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1CF57E" w14:textId="313D8432" w:rsidR="00F53E3A" w:rsidRDefault="0064484B" w:rsidP="0064484B">
      <w:pPr>
        <w:pStyle w:val="Pagedecouverture"/>
        <w:rPr>
          <w:noProof/>
        </w:rPr>
      </w:pPr>
      <w:bookmarkStart w:id="0" w:name="LW_BM_COVERPAGE"/>
      <w:r>
        <w:rPr>
          <w:noProof/>
        </w:rPr>
        <w:pict w14:anchorId="602DE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A1E05D4-8AE7-4D0A-8C25-0E061607E557" style="width:455.25pt;height:373.5pt">
            <v:imagedata r:id="rId11" o:title=""/>
          </v:shape>
        </w:pict>
      </w:r>
    </w:p>
    <w:bookmarkEnd w:id="0"/>
    <w:p w14:paraId="3D97C1FE" w14:textId="365F9D52" w:rsidR="00F53E3A" w:rsidRDefault="00F53E3A">
      <w:pPr>
        <w:rPr>
          <w:noProof/>
        </w:rPr>
        <w:sectPr w:rsidR="00F53E3A" w:rsidSect="0064484B">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7951DE50" w14:textId="487733C4" w:rsidR="00F53E3A" w:rsidRDefault="0036255F">
      <w:pPr>
        <w:pStyle w:val="P68B1DB1-Normal1"/>
        <w:tabs>
          <w:tab w:val="left" w:pos="2010"/>
        </w:tabs>
        <w:jc w:val="center"/>
        <w:rPr>
          <w:noProof/>
        </w:rPr>
      </w:pPr>
      <w:bookmarkStart w:id="1" w:name="_GoBack"/>
      <w:bookmarkEnd w:id="1"/>
      <w:r>
        <w:rPr>
          <w:noProof/>
        </w:rPr>
        <w:lastRenderedPageBreak/>
        <w:t>ANEXĂ</w:t>
      </w:r>
    </w:p>
    <w:p w14:paraId="68856615" w14:textId="0398B957" w:rsidR="00F53E3A" w:rsidRDefault="0036255F">
      <w:pPr>
        <w:pStyle w:val="P68B1DB1-Heading12"/>
        <w:numPr>
          <w:ilvl w:val="0"/>
          <w:numId w:val="0"/>
        </w:numPr>
        <w:spacing w:after="200"/>
        <w:rPr>
          <w:noProof/>
        </w:rPr>
      </w:pPr>
      <w:r>
        <w:rPr>
          <w:noProof/>
        </w:rPr>
        <w:t>Secțiunea 1: Reforme și investiții în cadrul planului de redresare și reziliență</w:t>
      </w:r>
    </w:p>
    <w:p w14:paraId="60AA164F" w14:textId="77777777" w:rsidR="00F53E3A" w:rsidRDefault="0036255F">
      <w:pPr>
        <w:pStyle w:val="P68B1DB1-NumPar13"/>
        <w:spacing w:before="360" w:after="360"/>
        <w:ind w:left="851" w:hanging="851"/>
        <w:rPr>
          <w:noProof/>
        </w:rPr>
      </w:pPr>
      <w:r>
        <w:rPr>
          <w:noProof/>
        </w:rPr>
        <w:t xml:space="preserve">Descrierea reformelor și a investițiilor </w:t>
      </w:r>
    </w:p>
    <w:p w14:paraId="7826B701" w14:textId="77777777" w:rsidR="00F53E3A" w:rsidRDefault="0036255F">
      <w:pPr>
        <w:pStyle w:val="ManualHeading1"/>
        <w:tabs>
          <w:tab w:val="clear" w:pos="850"/>
        </w:tabs>
        <w:spacing w:before="0" w:after="200"/>
        <w:ind w:left="0" w:firstLine="0"/>
        <w:rPr>
          <w:noProof/>
        </w:rPr>
      </w:pPr>
      <w:r>
        <w:rPr>
          <w:noProof/>
        </w:rPr>
        <w:t xml:space="preserve">A. COMPONENTA 1: Un sistem de sănătate rezilient și adaptat exigențelor viitorului </w:t>
      </w:r>
    </w:p>
    <w:p w14:paraId="00478732" w14:textId="77777777" w:rsidR="00F53E3A" w:rsidRDefault="0036255F">
      <w:pPr>
        <w:pStyle w:val="P68B1DB1-Normal4"/>
        <w:jc w:val="both"/>
        <w:rPr>
          <w:rFonts w:cs="Times New Roman"/>
          <w:noProof/>
        </w:rPr>
      </w:pPr>
      <w:r>
        <w:rPr>
          <w:noProof/>
        </w:rPr>
        <w:t>Componenta planului lituanian de redresare și reziliență contribuie la abordarea provocărilor legate de reziliența, calitatea, accesibilitatea și eficiența sistemului de sănătate. Aceste provocări au fost exacerbate în special de criza provocată de pandemia de COVID-19.</w:t>
      </w:r>
    </w:p>
    <w:p w14:paraId="531A36F2" w14:textId="560DA78D" w:rsidR="00F53E3A" w:rsidRDefault="0036255F">
      <w:pPr>
        <w:pStyle w:val="P68B1DB1-Normal4"/>
        <w:jc w:val="both"/>
        <w:rPr>
          <w:rFonts w:cs="Times New Roman"/>
          <w:noProof/>
          <w:szCs w:val="24"/>
        </w:rPr>
      </w:pPr>
      <w:r>
        <w:rPr>
          <w:noProof/>
        </w:rPr>
        <w:t>Componenta include un set de reforme și investiții legate de: (1) îmbunătățirea calității și accesibilității serviciilor de sănătate și promovarea inovării, (2) îmbunătățirea serviciilor de îngrijire pe termen lung și (3) consolidarea rezilienței sistemului de sănătate pentru a face față situațiilor de urgență. În ceea ce privește reformele, acestea se axează pe trecerea în continuare la asistența medicală ambulatorie, reorganizarea rețelei spitalicești, digitalizarea asistenței medicale, îmbunătățirea condițiilor de muncă ale profesioniștilor din domeniul sănătății, deficitele și competențele personalului medical, introducerea de măsuri de îmbunătățire a calității asistenței medicale, intensificarea măsurilor de prevenire și îmbunătățirea accesului la îngrijirea pe termen lung, reformarea modalităților de finanțare a asistenței medicale pentru a reduce dependența de contribuțiile legate de ocuparea forței de muncă. În ceea ce privește investițiile, planul include măsuri specifice de creare a unui centru pentru terapii avansate, de instituire a unei platforme de competențe pentru profesioniștii din domeniul sănătății, de digitalizare a sistemului de sănătate, de dezvoltare a unui model integrat de evaluare a calității asistenței medicale, de înființare a unor centre de îngrijire de zi pe termen lung și a unor echipe mobile. Pentru a spori eficiența furnizării de servicii de sănătate în situații de urgență sanitară și pentru a consolida reziliența sistemului de sănătate, sunt avute în vedere investiții pentru modernizarea infrastructurii unităților de asistență medicală în vederea adaptării muncii în situații de urgență și de criză.</w:t>
      </w:r>
    </w:p>
    <w:p w14:paraId="2FBABB15" w14:textId="77777777" w:rsidR="00F53E3A" w:rsidRDefault="0036255F">
      <w:pPr>
        <w:pStyle w:val="P68B1DB1-Normal4"/>
        <w:jc w:val="both"/>
        <w:rPr>
          <w:rFonts w:cs="Times New Roman"/>
          <w:noProof/>
        </w:rPr>
      </w:pPr>
      <w:r>
        <w:rPr>
          <w:noProof/>
        </w:rPr>
        <w:t>Se preconizează că măsurile incluse în componentă vor aborda unele provocări evidențiate în recomandarea specifică fiecărei țări de a consolida reziliența sistemului de sănătate și de a îmbunătăți accesibilitatea și calitatea serviciilor de sănătate (recomandarea specifică fiecărei țări nr. 2020), precum și de a spori calitatea, accesibilitatea financiară și eficiența sistemului de sănătate (recomandarea specifică fiecărei țări nr. 2019).</w:t>
      </w:r>
    </w:p>
    <w:p w14:paraId="29A7DC56" w14:textId="77777777" w:rsidR="00F53E3A" w:rsidRDefault="0036255F">
      <w:pPr>
        <w:pStyle w:val="P68B1DB1-Normal4"/>
        <w:jc w:val="both"/>
        <w:rPr>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48AB8913" w14:textId="77777777" w:rsidR="00F53E3A" w:rsidRDefault="00F53E3A">
      <w:pPr>
        <w:jc w:val="both"/>
        <w:rPr>
          <w:rFonts w:ascii="Times New Roman" w:hAnsi="Times New Roman" w:cs="Times New Roman"/>
          <w:noProof/>
          <w:sz w:val="24"/>
        </w:rPr>
      </w:pPr>
    </w:p>
    <w:p w14:paraId="27BCA290" w14:textId="73E26167" w:rsidR="00F53E3A" w:rsidRDefault="0036255F">
      <w:pPr>
        <w:pStyle w:val="P68B1DB1-Text15"/>
        <w:keepNext/>
        <w:keepLines/>
        <w:spacing w:before="0" w:after="200" w:line="276" w:lineRule="auto"/>
        <w:ind w:left="0"/>
        <w:outlineLvl w:val="1"/>
        <w:rPr>
          <w:noProof/>
        </w:rPr>
      </w:pPr>
      <w:r>
        <w:rPr>
          <w:noProof/>
        </w:rPr>
        <w:t>A.1. Descrierea reformelor și a investițiilor pentru sprijinul financiar nerambursabil</w:t>
      </w:r>
    </w:p>
    <w:p w14:paraId="0AB5478E" w14:textId="77777777" w:rsidR="00F53E3A" w:rsidRDefault="0036255F">
      <w:pPr>
        <w:pStyle w:val="P68B1DB1-Normal6"/>
        <w:jc w:val="both"/>
        <w:rPr>
          <w:rFonts w:eastAsia="Times New Roman" w:cs="Times New Roman"/>
          <w:noProof/>
        </w:rPr>
      </w:pPr>
      <w:r>
        <w:rPr>
          <w:noProof/>
        </w:rPr>
        <w:t>A.1.1. Reforma 1: „Îmbunătățirea calității și accesibilității serviciilor de sănătate și promovarea inovării”</w:t>
      </w:r>
    </w:p>
    <w:p w14:paraId="3A54AF5F" w14:textId="2DC39731" w:rsidR="00F53E3A" w:rsidRDefault="0036255F">
      <w:pPr>
        <w:pStyle w:val="P68B1DB1-Normal4"/>
        <w:jc w:val="both"/>
        <w:rPr>
          <w:rFonts w:cs="Times New Roman"/>
          <w:noProof/>
          <w:szCs w:val="24"/>
        </w:rPr>
      </w:pPr>
      <w:r>
        <w:rPr>
          <w:noProof/>
        </w:rPr>
        <w:t>Obiectivul reformei este de a spori calitatea și accesibilitatea asistenței medicale, cu accent pe asistența medicală primară, asistența medicală ambulatorie specializată, digitalizarea sectorului sănătății și inovare. Această reformă constă în 11 submăsuri: (1) cadrul legislativ care reglementează organizarea, gestionarea și furnizarea serviciilor de ambulanță (submăsura 1); (2)</w:t>
      </w:r>
      <w:r w:rsidR="00DB2EC5">
        <w:rPr>
          <w:noProof/>
        </w:rPr>
        <w:t> </w:t>
      </w:r>
      <w:r>
        <w:rPr>
          <w:noProof/>
        </w:rPr>
        <w:t xml:space="preserve">dezvoltarea unui sistem digital de sănătate care să faciliteze utilizarea secundară a datelor privind sănătatea (submăsura 2); (3) planul de acțiune privind dezvoltarea medicinei familiale pentru perioada 2016-2025 (submăsura 3); (4) stabilirea unui model de bază de furnizare a serviciilor de sănătate publică (submăsura 4); (5) îmbunătățirea condițiilor de muncă și a calificărilor profesionale ale cadrelor medicale (submăsura 5); (6) crearea unei rețele de instituții de asistență medicală personală pe baza modelului de cooperare regională (submăsura 6); (7) crearea Centrului pentru terapii avansate (submăsura 7); (8) colectarea datelor de referință privind genomul (submăsura 8); (9) crearea Platformei de competențe pentru profesioniștii din domeniul sănătății (submăsura 9); (10) elaborarea tabloului de bord al indicatorilor de calitate a serviciilor de asistență medicală (submăsura 10); (11) digitalizarea sectorului asistenței medicale (submăsura 11). </w:t>
      </w:r>
    </w:p>
    <w:p w14:paraId="5DD89ABD" w14:textId="77777777" w:rsidR="00F53E3A" w:rsidRDefault="0036255F">
      <w:pPr>
        <w:pStyle w:val="P68B1DB1-Normal4"/>
        <w:jc w:val="both"/>
        <w:rPr>
          <w:rFonts w:cs="Times New Roman"/>
          <w:noProof/>
          <w:szCs w:val="24"/>
        </w:rPr>
      </w:pPr>
      <w:r>
        <w:rPr>
          <w:noProof/>
          <w:u w:val="single"/>
        </w:rPr>
        <w:t>A.1.1.1. Submăsura 1: Cadrul legislativ care reglementează organizarea, gestionarea și furnizarea serviciilor de ambulanță</w:t>
      </w:r>
      <w:r>
        <w:rPr>
          <w:noProof/>
        </w:rPr>
        <w:t xml:space="preserve"> </w:t>
      </w:r>
    </w:p>
    <w:p w14:paraId="59B52C96" w14:textId="4F7B9750" w:rsidR="00F53E3A" w:rsidRDefault="0036255F">
      <w:pPr>
        <w:pStyle w:val="P68B1DB1-Normal4"/>
        <w:jc w:val="both"/>
        <w:rPr>
          <w:rFonts w:cs="Times New Roman"/>
          <w:noProof/>
          <w:szCs w:val="24"/>
        </w:rPr>
      </w:pPr>
      <w:r>
        <w:rPr>
          <w:noProof/>
        </w:rPr>
        <w:t xml:space="preserve">Obiectivul acestei submăsuri este de a adopta modificări ale Legii privind instituțiile de asistență medicală și ale Legii privind sistemul de sănătate din Republica Lituania, precum și ale legislației conexe de stabilire a unui model centralizat de organizare a asistenței de urgență prin integrarea centrelor de expediere a ambulanțelor într-un sistem unic al Centrului de răspuns pentru situații de urgență. </w:t>
      </w:r>
    </w:p>
    <w:p w14:paraId="167C4DDD" w14:textId="77777777" w:rsidR="00F53E3A" w:rsidRDefault="0036255F">
      <w:pPr>
        <w:pStyle w:val="P68B1DB1-Normal4"/>
        <w:jc w:val="both"/>
        <w:rPr>
          <w:rFonts w:cs="Times New Roman"/>
          <w:noProof/>
          <w:szCs w:val="24"/>
        </w:rPr>
      </w:pPr>
      <w:r>
        <w:rPr>
          <w:noProof/>
        </w:rPr>
        <w:t>Submăsura se finalizează până la 31 decembrie 2022.</w:t>
      </w:r>
    </w:p>
    <w:p w14:paraId="39C3C2D2" w14:textId="77777777" w:rsidR="00F53E3A" w:rsidRDefault="0036255F">
      <w:pPr>
        <w:pStyle w:val="P68B1DB1-Normal6"/>
        <w:jc w:val="both"/>
        <w:rPr>
          <w:rFonts w:cs="Times New Roman"/>
          <w:noProof/>
          <w:szCs w:val="24"/>
        </w:rPr>
      </w:pPr>
      <w:r>
        <w:rPr>
          <w:noProof/>
        </w:rPr>
        <w:t>A.1.1.2. Submăsura 2: Dezvoltarea unui sistem digital de sănătate care să faciliteze utilizarea secundară a datelor privind sănătatea</w:t>
      </w:r>
    </w:p>
    <w:p w14:paraId="33D0BB60" w14:textId="13DAC0EE" w:rsidR="00F53E3A" w:rsidRDefault="0036255F">
      <w:pPr>
        <w:pStyle w:val="P68B1DB1-Normal4"/>
        <w:jc w:val="both"/>
        <w:rPr>
          <w:noProof/>
          <w:szCs w:val="24"/>
        </w:rPr>
      </w:pPr>
      <w:r>
        <w:rPr>
          <w:noProof/>
        </w:rPr>
        <w:t xml:space="preserve">Obiectivul acestei submăsuri este de a adopta acte legislative privind utilizarea secundară a datelor privind sănătatea. În acest context, se elaborează o cartografiere a resurselor de informații ale sistemului de sănătate și se efectuează o analiză a maturității sistemelor de informații, evaluând integritatea acestora cu alte sisteme de informații. Pe această bază, se iau decizii de optimizare a resurselor care contribuie la sistemul informatic de asistență medicală coordonat, de înaltă calitate și interoperabil. </w:t>
      </w:r>
    </w:p>
    <w:p w14:paraId="2A95DE92" w14:textId="4513CA52" w:rsidR="00F53E3A" w:rsidRDefault="0036255F">
      <w:pPr>
        <w:pStyle w:val="P68B1DB1-Normal4"/>
        <w:jc w:val="both"/>
        <w:rPr>
          <w:noProof/>
          <w:szCs w:val="24"/>
        </w:rPr>
      </w:pPr>
      <w:r>
        <w:rPr>
          <w:noProof/>
        </w:rPr>
        <w:t>Submăsura se finalizează până la 30 septembrie 2022.</w:t>
      </w:r>
    </w:p>
    <w:p w14:paraId="528853EA" w14:textId="77777777" w:rsidR="00F53E3A" w:rsidRDefault="0036255F">
      <w:pPr>
        <w:pStyle w:val="P68B1DB1-Normal4"/>
        <w:jc w:val="both"/>
        <w:rPr>
          <w:rFonts w:cs="Times New Roman"/>
          <w:noProof/>
          <w:szCs w:val="24"/>
        </w:rPr>
      </w:pPr>
      <w:r>
        <w:rPr>
          <w:noProof/>
          <w:u w:val="single"/>
        </w:rPr>
        <w:t>A.1.1.3. Submăsura 3: Planul de acțiune privind dezvoltarea medicinei familiale pentru perioada 2016-2025</w:t>
      </w:r>
      <w:r>
        <w:rPr>
          <w:noProof/>
        </w:rPr>
        <w:t xml:space="preserve"> </w:t>
      </w:r>
    </w:p>
    <w:p w14:paraId="53081FC8" w14:textId="77777777" w:rsidR="00F53E3A" w:rsidRDefault="0036255F">
      <w:pPr>
        <w:pStyle w:val="P68B1DB1-Normal4"/>
        <w:jc w:val="both"/>
        <w:rPr>
          <w:rFonts w:cs="Times New Roman"/>
          <w:noProof/>
          <w:szCs w:val="24"/>
        </w:rPr>
      </w:pPr>
      <w:r>
        <w:rPr>
          <w:noProof/>
        </w:rPr>
        <w:t>Obiectivul acestei submăsuri este de a adopta un plan de acțiune actualizat privind dezvoltarea medicinei familiale pentru perioada 2016-2025. Planul de acțiune care urmează să fie adoptat de Ministerul Sănătății va permite medicilor generaliști să se concentreze mai eficient asupra pacienților și pacienților pentru a avea acces la o gamă mai largă de asistență medicală. Partenerii sociali sunt consultați.</w:t>
      </w:r>
    </w:p>
    <w:p w14:paraId="79B82B72" w14:textId="77777777" w:rsidR="00F53E3A" w:rsidRDefault="0036255F">
      <w:pPr>
        <w:pStyle w:val="P68B1DB1-Normal4"/>
        <w:jc w:val="both"/>
        <w:rPr>
          <w:rFonts w:cs="Times New Roman"/>
          <w:noProof/>
          <w:szCs w:val="24"/>
        </w:rPr>
      </w:pPr>
      <w:r>
        <w:rPr>
          <w:noProof/>
        </w:rPr>
        <w:t>Submăsura se finalizează până la 31 decembrie 2022.</w:t>
      </w:r>
    </w:p>
    <w:p w14:paraId="2967B4EB" w14:textId="7495144A" w:rsidR="00F53E3A" w:rsidRDefault="0036255F">
      <w:pPr>
        <w:pStyle w:val="P68B1DB1-Normal6"/>
        <w:jc w:val="both"/>
        <w:rPr>
          <w:rFonts w:cs="Times New Roman"/>
          <w:noProof/>
          <w:szCs w:val="24"/>
        </w:rPr>
      </w:pPr>
      <w:r>
        <w:rPr>
          <w:noProof/>
        </w:rPr>
        <w:t xml:space="preserve">A.1.1.4. Submăsura 4: Stabilirea unui model de bază de furnizare a serviciilor de sănătate publică </w:t>
      </w:r>
    </w:p>
    <w:p w14:paraId="3203515F" w14:textId="48E01036" w:rsidR="00F53E3A" w:rsidRDefault="0036255F">
      <w:pPr>
        <w:pStyle w:val="P68B1DB1-Normal4"/>
        <w:jc w:val="both"/>
        <w:rPr>
          <w:rFonts w:eastAsia="Calibri" w:cs="Arial"/>
          <w:noProof/>
          <w:szCs w:val="24"/>
        </w:rPr>
      </w:pPr>
      <w:r>
        <w:rPr>
          <w:noProof/>
        </w:rPr>
        <w:t>Obiectivul acestei submăsuri este de a stabili un model de bază de furnizare a serviciilor de sănătate publică, cu scopul de a oferi acces egal la serviciile municipale de sănătate publică pentru grupurile-țintă din societate, inclusiv pentru persoanele vulnerabile.</w:t>
      </w:r>
    </w:p>
    <w:p w14:paraId="6D729256" w14:textId="2A4133C3" w:rsidR="00F53E3A" w:rsidRDefault="0036255F">
      <w:pPr>
        <w:pStyle w:val="P68B1DB1-Normal4"/>
        <w:jc w:val="both"/>
        <w:rPr>
          <w:rFonts w:eastAsia="Calibri" w:cs="Arial"/>
          <w:noProof/>
          <w:szCs w:val="24"/>
        </w:rPr>
      </w:pPr>
      <w:r>
        <w:rPr>
          <w:noProof/>
        </w:rPr>
        <w:t xml:space="preserve">Intră în vigoare legislația care impune furnizarea și monitorizarea serviciilor publice de sănătate de bază de către municipalități. Un plan care stabilește serviciile de sănătate publică de bază care urmează să fie furnizate de municipalități este aprobat de Comisia pentru dezvoltarea asistenței medicale publice. Acest plan include indicatori de monitorizare a furnizării serviciilor și de identificare a principalelor grupuri-țintă. </w:t>
      </w:r>
    </w:p>
    <w:p w14:paraId="565683B4" w14:textId="2B217473" w:rsidR="00F53E3A" w:rsidRDefault="0036255F">
      <w:pPr>
        <w:pStyle w:val="P68B1DB1-Normal7"/>
        <w:jc w:val="both"/>
        <w:rPr>
          <w:noProof/>
          <w:szCs w:val="24"/>
        </w:rPr>
      </w:pPr>
      <w:r>
        <w:rPr>
          <w:noProof/>
        </w:rPr>
        <w:t>Planul aprobat pentru modelul de furnizare a serviciilor publice de sănătate de bază se publică pe site-ul Ministerului Sănătății.</w:t>
      </w:r>
    </w:p>
    <w:p w14:paraId="79988A5C" w14:textId="77777777" w:rsidR="00F53E3A" w:rsidRDefault="0036255F">
      <w:pPr>
        <w:pStyle w:val="P68B1DB1-Normal4"/>
        <w:jc w:val="both"/>
        <w:rPr>
          <w:rFonts w:cs="Times New Roman"/>
          <w:noProof/>
          <w:szCs w:val="24"/>
        </w:rPr>
      </w:pPr>
      <w:r>
        <w:rPr>
          <w:noProof/>
        </w:rPr>
        <w:t>Submăsura se finalizează până la 31 martie 2023.</w:t>
      </w:r>
    </w:p>
    <w:p w14:paraId="6C00DD63" w14:textId="77777777" w:rsidR="00F53E3A" w:rsidRDefault="0036255F">
      <w:pPr>
        <w:pStyle w:val="P68B1DB1-Normal4"/>
        <w:jc w:val="both"/>
        <w:rPr>
          <w:rFonts w:cs="Times New Roman"/>
          <w:noProof/>
          <w:szCs w:val="24"/>
        </w:rPr>
      </w:pPr>
      <w:r>
        <w:rPr>
          <w:noProof/>
          <w:u w:val="single"/>
        </w:rPr>
        <w:t>A.1.1.5. Submăsura 5: Îmbunătățirea condițiilor de muncă și a calificărilor profesionale ale cadrelor medicale</w:t>
      </w:r>
      <w:r>
        <w:rPr>
          <w:noProof/>
        </w:rPr>
        <w:t xml:space="preserve"> </w:t>
      </w:r>
    </w:p>
    <w:p w14:paraId="783A0371" w14:textId="29C9CA05" w:rsidR="00F53E3A" w:rsidRDefault="0036255F">
      <w:pPr>
        <w:pStyle w:val="P68B1DB1-Normal4"/>
        <w:jc w:val="both"/>
        <w:rPr>
          <w:rFonts w:cs="Times New Roman"/>
          <w:noProof/>
          <w:szCs w:val="24"/>
        </w:rPr>
      </w:pPr>
      <w:r>
        <w:rPr>
          <w:noProof/>
        </w:rPr>
        <w:t xml:space="preserve">Obiectivul acestei submăsuri este de a adopta o legislație privind îmbunătățirea condițiilor de muncă și a calificărilor profesionale ale profesioniștilor din domeniul sănătății. Deciziile privind capacitatea financiară a statului de a îndeplini dispozițiile proiectului de acord sunt evaluate și adoptate. În plus, un plan de acțiune pentru îmbunătățirea stării psihoemoționale a medicilor este elaborat și aprobat printr-un ordin al ministrului sănătății. Se instituie un grup de lucru pentru a dezvolta un mecanism de formare la locul de muncă a profesioniștilor din domeniul sănătății. </w:t>
      </w:r>
    </w:p>
    <w:p w14:paraId="64A2F637" w14:textId="77777777" w:rsidR="00F53E3A" w:rsidRDefault="0036255F">
      <w:pPr>
        <w:pStyle w:val="P68B1DB1-Normal4"/>
        <w:jc w:val="both"/>
        <w:rPr>
          <w:rFonts w:cs="Times New Roman"/>
          <w:noProof/>
          <w:szCs w:val="24"/>
        </w:rPr>
      </w:pPr>
      <w:r>
        <w:rPr>
          <w:noProof/>
        </w:rPr>
        <w:t>Submăsura se finalizează până la 30 iunie 2023.</w:t>
      </w:r>
    </w:p>
    <w:p w14:paraId="5ACC9909" w14:textId="77777777" w:rsidR="00F53E3A" w:rsidRDefault="0036255F">
      <w:pPr>
        <w:pStyle w:val="P68B1DB1-Normal4"/>
        <w:jc w:val="both"/>
        <w:rPr>
          <w:rFonts w:cs="Times New Roman"/>
          <w:noProof/>
          <w:szCs w:val="24"/>
        </w:rPr>
      </w:pPr>
      <w:r>
        <w:rPr>
          <w:noProof/>
          <w:u w:val="single"/>
        </w:rPr>
        <w:t>A.1.1.6. Submăsura 6: Crearea unei rețele de instituții de asistență medicală personală pe baza modelului de cooperare regională</w:t>
      </w:r>
      <w:r>
        <w:rPr>
          <w:noProof/>
        </w:rPr>
        <w:t xml:space="preserve"> </w:t>
      </w:r>
    </w:p>
    <w:p w14:paraId="7617CE2D" w14:textId="49422BD0" w:rsidR="00F53E3A" w:rsidRDefault="0036255F">
      <w:pPr>
        <w:pStyle w:val="P68B1DB1-Normal4"/>
        <w:jc w:val="both"/>
        <w:rPr>
          <w:rFonts w:cs="Times New Roman"/>
          <w:noProof/>
          <w:szCs w:val="24"/>
        </w:rPr>
      </w:pPr>
      <w:r>
        <w:rPr>
          <w:noProof/>
        </w:rPr>
        <w:t xml:space="preserve">Obiectivul acestei submăsuri este de a adopta o legislație privind instituirea și reglementarea unei rețele de instituții de asistență medicală personală bazate pe modelul centrelor de excelență și al cooperării regionale. Se dezvoltă principiile și criteriile pentru formarea unei rețele de instituții de îngrijire medicală personală și se instituie un mecanism de cooperare între instituțiile de îngrijire medicală personală și centrele de excelență. Se adoptă o decizie a guvernului privind acțiunile de reglementare, de investiții și de comunicare necesare pentru a forma o rețea durabilă de instituții de asistență medicală. </w:t>
      </w:r>
    </w:p>
    <w:p w14:paraId="22974D19" w14:textId="77777777" w:rsidR="00F53E3A" w:rsidRDefault="0036255F">
      <w:pPr>
        <w:pStyle w:val="P68B1DB1-Normal4"/>
        <w:jc w:val="both"/>
        <w:rPr>
          <w:noProof/>
          <w:szCs w:val="24"/>
        </w:rPr>
      </w:pPr>
      <w:r>
        <w:rPr>
          <w:noProof/>
        </w:rPr>
        <w:t xml:space="preserve">Submăsura se finalizează până la 30 septembrie 2023. </w:t>
      </w:r>
    </w:p>
    <w:p w14:paraId="5A68D813" w14:textId="37B129A4" w:rsidR="00F53E3A" w:rsidRDefault="0036255F" w:rsidP="00DB2EC5">
      <w:pPr>
        <w:pStyle w:val="P68B1DB1-Normal4"/>
        <w:keepNext/>
        <w:jc w:val="both"/>
        <w:rPr>
          <w:rFonts w:cs="Times New Roman"/>
          <w:noProof/>
          <w:szCs w:val="24"/>
        </w:rPr>
      </w:pPr>
      <w:r>
        <w:rPr>
          <w:noProof/>
          <w:u w:val="single"/>
        </w:rPr>
        <w:t>A.1.1.7. Submăsura 7: Crearea Centrului pentru terapii avansate</w:t>
      </w:r>
      <w:r>
        <w:rPr>
          <w:noProof/>
        </w:rPr>
        <w:t xml:space="preserve"> </w:t>
      </w:r>
    </w:p>
    <w:p w14:paraId="53EC8056" w14:textId="56DAC534" w:rsidR="00F53E3A" w:rsidRDefault="0036255F">
      <w:pPr>
        <w:pStyle w:val="P68B1DB1-Normal4"/>
        <w:jc w:val="both"/>
        <w:rPr>
          <w:rFonts w:cs="Times New Roman"/>
          <w:noProof/>
          <w:szCs w:val="24"/>
        </w:rPr>
      </w:pPr>
      <w:r>
        <w:rPr>
          <w:noProof/>
        </w:rPr>
        <w:t xml:space="preserve">Obiectivul acestei submăsuri este de a crea un Centru pentru terapii avansate pentru a asigura disponibilitatea terapiilor avansate. Această submăsură constă într-o extindere a infrastructurii Spitalului Universitar din Vilnius. </w:t>
      </w:r>
    </w:p>
    <w:p w14:paraId="3304428E" w14:textId="349A2504" w:rsidR="00F53E3A" w:rsidRDefault="0036255F">
      <w:pPr>
        <w:pStyle w:val="P68B1DB1-Normal6"/>
        <w:jc w:val="both"/>
        <w:rPr>
          <w:noProof/>
          <w:szCs w:val="24"/>
        </w:rPr>
      </w:pPr>
      <w:r>
        <w:rPr>
          <w:noProof/>
        </w:rPr>
        <w:t>A.1.1.8. Submăsura 8: Colectarea datelor privind genomul de referință</w:t>
      </w:r>
    </w:p>
    <w:p w14:paraId="7A5B082D" w14:textId="21CC30B6" w:rsidR="00F53E3A" w:rsidRDefault="0036255F">
      <w:pPr>
        <w:pStyle w:val="P68B1DB1-Normal4"/>
        <w:jc w:val="both"/>
        <w:rPr>
          <w:noProof/>
        </w:rPr>
      </w:pPr>
      <w:r>
        <w:rPr>
          <w:noProof/>
        </w:rPr>
        <w:t xml:space="preserve">Obiectivul acestei submăsuri este de a contribui la cercetarea genetică din Lituania. Această submăsură constă în colectarea de date genomice de referință ale cetățenilor lituanieni. </w:t>
      </w:r>
    </w:p>
    <w:p w14:paraId="287DB03F" w14:textId="2D92C24C" w:rsidR="00F53E3A" w:rsidRDefault="0036255F">
      <w:pPr>
        <w:pStyle w:val="P68B1DB1-Normal4"/>
        <w:jc w:val="both"/>
        <w:rPr>
          <w:rFonts w:cs="Times New Roman"/>
          <w:noProof/>
          <w:szCs w:val="24"/>
        </w:rPr>
      </w:pPr>
      <w:r>
        <w:rPr>
          <w:noProof/>
          <w:u w:val="single"/>
        </w:rPr>
        <w:t>A.1.1.9. Submăsura 9: Înființarea platformei de competențe pentru profesioniștii din domeniul sănătății</w:t>
      </w:r>
      <w:r>
        <w:rPr>
          <w:noProof/>
        </w:rPr>
        <w:t xml:space="preserve"> </w:t>
      </w:r>
    </w:p>
    <w:p w14:paraId="78DF3806" w14:textId="77777777" w:rsidR="00F53E3A" w:rsidRDefault="0036255F">
      <w:pPr>
        <w:pStyle w:val="P68B1DB1-Normal4"/>
        <w:jc w:val="both"/>
        <w:rPr>
          <w:rFonts w:cs="Times New Roman"/>
          <w:noProof/>
          <w:szCs w:val="24"/>
        </w:rPr>
      </w:pPr>
      <w:r>
        <w:rPr>
          <w:noProof/>
        </w:rPr>
        <w:t xml:space="preserve">Obiectivul acestei submăsuri este de a institui o platformă de competențe pentru profesioniștii din domeniul sănătății care să fie utilizată pentru identificarea, monitorizarea și gestionarea dezvoltării competențelor profesioniștilor din domeniul sănătății. Aceasta ține o evidență a licențelor profesioniștilor din domeniul sănătății în conformitate cu cadrul de reglementare relevant și în legătură cu Registrul de autorizare a asistenței medicale și a practicilor profesionale farmaceutice. </w:t>
      </w:r>
    </w:p>
    <w:p w14:paraId="267547E6" w14:textId="557EB153" w:rsidR="00F53E3A" w:rsidRDefault="0036255F">
      <w:pPr>
        <w:pStyle w:val="P68B1DB1-Normal4"/>
        <w:jc w:val="both"/>
        <w:rPr>
          <w:strike/>
          <w:noProof/>
          <w:szCs w:val="24"/>
        </w:rPr>
      </w:pPr>
      <w:r>
        <w:rPr>
          <w:noProof/>
        </w:rPr>
        <w:t>Submăsura se finalizează până la 31 martie 2026.</w:t>
      </w:r>
    </w:p>
    <w:p w14:paraId="7C5416FF" w14:textId="31758145" w:rsidR="00F53E3A" w:rsidRDefault="0036255F">
      <w:pPr>
        <w:pStyle w:val="P68B1DB1-Normal4"/>
        <w:jc w:val="both"/>
        <w:rPr>
          <w:rFonts w:cs="Times New Roman"/>
          <w:noProof/>
          <w:szCs w:val="24"/>
        </w:rPr>
      </w:pPr>
      <w:r>
        <w:rPr>
          <w:noProof/>
          <w:u w:val="single"/>
        </w:rPr>
        <w:t>A.1.1.10. Submăsura 10: Tabloul de bord al indicatorilor de calitate ai serviciilor de asistență medicală</w:t>
      </w:r>
      <w:r>
        <w:rPr>
          <w:noProof/>
        </w:rPr>
        <w:t xml:space="preserve"> </w:t>
      </w:r>
    </w:p>
    <w:p w14:paraId="2316EBE0" w14:textId="03ED1507" w:rsidR="00F53E3A" w:rsidRDefault="0036255F">
      <w:pPr>
        <w:pStyle w:val="P68B1DB1-Normal8"/>
        <w:jc w:val="both"/>
        <w:rPr>
          <w:rFonts w:ascii="Times New Roman" w:eastAsia="Times New Roman" w:hAnsi="Times New Roman" w:cs="Times New Roman"/>
          <w:noProof/>
          <w:szCs w:val="24"/>
        </w:rPr>
      </w:pPr>
      <w:r>
        <w:rPr>
          <w:rFonts w:ascii="Times New Roman" w:hAnsi="Times New Roman"/>
          <w:noProof/>
        </w:rPr>
        <w:t xml:space="preserve">Obiectivul acestei submăsuri este de a permite monitorizarea calității serviciilor de sănătate prin intermediul unui panou de afișare al sistemului de sănătate. Această submăsură constă în accesibilitatea publică a </w:t>
      </w:r>
      <w:r>
        <w:rPr>
          <w:rFonts w:ascii="Times New Roman" w:eastAsia="Segoe UI" w:hAnsi="Times New Roman" w:cs="Times New Roman"/>
          <w:noProof/>
          <w:color w:val="333333"/>
        </w:rPr>
        <w:t>tabloului de bord al indicatorilor privind calitatea serviciilor de asistență medicală</w:t>
      </w:r>
      <w:r>
        <w:rPr>
          <w:rFonts w:ascii="Times New Roman" w:hAnsi="Times New Roman"/>
          <w:noProof/>
        </w:rPr>
        <w:t xml:space="preserve">. </w:t>
      </w:r>
    </w:p>
    <w:p w14:paraId="2FCEE2B7" w14:textId="5F5E13D6" w:rsidR="00F53E3A" w:rsidRDefault="0036255F">
      <w:pPr>
        <w:pStyle w:val="P68B1DB1-Normal4"/>
        <w:jc w:val="both"/>
        <w:rPr>
          <w:rFonts w:cs="Times New Roman"/>
          <w:noProof/>
          <w:szCs w:val="24"/>
        </w:rPr>
      </w:pPr>
      <w:r>
        <w:rPr>
          <w:noProof/>
          <w:u w:val="single"/>
        </w:rPr>
        <w:t>A.1.1.11. Submăsura 11: Digitalizarea sectorului asistenței medicale</w:t>
      </w:r>
      <w:r>
        <w:rPr>
          <w:noProof/>
        </w:rPr>
        <w:t xml:space="preserve"> </w:t>
      </w:r>
    </w:p>
    <w:p w14:paraId="72782E8E" w14:textId="59D85615" w:rsidR="00F53E3A" w:rsidRDefault="0036255F">
      <w:pPr>
        <w:pStyle w:val="P68B1DB1-Normal4"/>
        <w:jc w:val="both"/>
        <w:rPr>
          <w:rFonts w:eastAsia="Times New Roman" w:cs="Times New Roman"/>
          <w:noProof/>
          <w:szCs w:val="24"/>
        </w:rPr>
      </w:pPr>
      <w:r>
        <w:rPr>
          <w:noProof/>
        </w:rPr>
        <w:t xml:space="preserve">Obiectivul acestei submăsuri este de a spori digitalizarea sectorului asistenței medicale. Această măsură constă în adoptarea unui plan de acțiune privind sănătatea digitală și în realizarea de proiecte legate de digitalizarea sectorului asistenței medicale. </w:t>
      </w:r>
    </w:p>
    <w:p w14:paraId="530081BA" w14:textId="07F306CE" w:rsidR="00F53E3A" w:rsidRDefault="0036255F">
      <w:pPr>
        <w:pStyle w:val="P68B1DB1-Normal6"/>
        <w:jc w:val="both"/>
        <w:rPr>
          <w:rFonts w:cs="Times New Roman"/>
          <w:noProof/>
          <w:szCs w:val="24"/>
        </w:rPr>
      </w:pPr>
      <w:r>
        <w:rPr>
          <w:noProof/>
        </w:rPr>
        <w:t>A.1.2. Reforma 2 „Furnizarea de servicii de îngrijire pe termen lung”</w:t>
      </w:r>
    </w:p>
    <w:p w14:paraId="4D0BB6CF" w14:textId="406A6E3E" w:rsidR="00F53E3A" w:rsidRDefault="0036255F">
      <w:pPr>
        <w:pStyle w:val="P68B1DB1-Normal4"/>
        <w:jc w:val="both"/>
        <w:rPr>
          <w:rFonts w:cs="Times New Roman"/>
          <w:noProof/>
          <w:szCs w:val="24"/>
        </w:rPr>
      </w:pPr>
      <w:r>
        <w:rPr>
          <w:noProof/>
        </w:rPr>
        <w:t>Obiectivul reformei este de a spori accesibilitatea serviciilor de îngrijire pe termen lung. Această reformă constă în 2 submăsuri: (1) adoptarea modelului de îngrijire pe termen lung (submăsura 1); (2) creșterea resurselor umane și a capacității de infrastructură pentru furnizarea de servicii de îngrijire pe termen lung (submăsura 2).</w:t>
      </w:r>
    </w:p>
    <w:p w14:paraId="5571019C" w14:textId="57483492" w:rsidR="00F53E3A" w:rsidRDefault="0036255F">
      <w:pPr>
        <w:pStyle w:val="P68B1DB1-Normal4"/>
        <w:jc w:val="both"/>
        <w:rPr>
          <w:rFonts w:cs="Times New Roman"/>
          <w:noProof/>
          <w:szCs w:val="24"/>
        </w:rPr>
      </w:pPr>
      <w:r>
        <w:rPr>
          <w:noProof/>
          <w:u w:val="single"/>
        </w:rPr>
        <w:t>A.1.2.1. Submăsura 1: Adoptarea modelului de îngrijire pe termen lung</w:t>
      </w:r>
      <w:r>
        <w:rPr>
          <w:noProof/>
        </w:rPr>
        <w:t xml:space="preserve"> </w:t>
      </w:r>
    </w:p>
    <w:p w14:paraId="6B57926A" w14:textId="13964E18" w:rsidR="00F53E3A" w:rsidRDefault="0036255F">
      <w:pPr>
        <w:pStyle w:val="P68B1DB1-Normal4"/>
        <w:jc w:val="both"/>
        <w:rPr>
          <w:rFonts w:cs="Times New Roman"/>
          <w:noProof/>
          <w:szCs w:val="24"/>
        </w:rPr>
      </w:pPr>
      <w:r>
        <w:rPr>
          <w:noProof/>
        </w:rPr>
        <w:t xml:space="preserve">Obiectivul acestei submăsuri este de a adopta o legislație care să reglementeze punerea în aplicare treptată a modelului de îngrijire pe termen lung. Modelul pentru furnizarea și finanțarea asistenței medicale sociale și personale simplifică parcursul pacienților pentru obținerea îngrijirii pe termen lung, pregătind astfel introducerea unui model de îngrijire pe termen lung bazat pe principiul ghișeului unic. Se efectuează o analiză aprofundată pentru a stabili modelul de furnizare a serviciilor de îngrijire pe termen lung. </w:t>
      </w:r>
    </w:p>
    <w:p w14:paraId="1998D70F" w14:textId="77777777" w:rsidR="00F53E3A" w:rsidRDefault="0036255F">
      <w:pPr>
        <w:pStyle w:val="P68B1DB1-Normal4"/>
        <w:jc w:val="both"/>
        <w:rPr>
          <w:rFonts w:cs="Times New Roman"/>
          <w:noProof/>
          <w:szCs w:val="24"/>
        </w:rPr>
      </w:pPr>
      <w:r>
        <w:rPr>
          <w:noProof/>
        </w:rPr>
        <w:t>Submăsura se finalizează până la 31 martie 2024.</w:t>
      </w:r>
    </w:p>
    <w:p w14:paraId="177F1951" w14:textId="0E70C105" w:rsidR="00F53E3A" w:rsidRDefault="0036255F">
      <w:pPr>
        <w:pStyle w:val="P68B1DB1-Normal6"/>
        <w:jc w:val="both"/>
        <w:rPr>
          <w:rFonts w:cs="Times New Roman"/>
          <w:noProof/>
          <w:szCs w:val="24"/>
        </w:rPr>
      </w:pPr>
      <w:r>
        <w:rPr>
          <w:noProof/>
        </w:rPr>
        <w:t xml:space="preserve">A.1.2.2. Submăsura 2: Resursele umane și capacitatea infrastructurii pentru furnizarea de servicii de îngrijire pe termen lung </w:t>
      </w:r>
    </w:p>
    <w:p w14:paraId="0ED2338B" w14:textId="4E140B74" w:rsidR="00F53E3A" w:rsidRDefault="0036255F">
      <w:pPr>
        <w:pStyle w:val="P68B1DB1-Normal4"/>
        <w:jc w:val="both"/>
        <w:rPr>
          <w:rFonts w:cs="Times New Roman"/>
          <w:noProof/>
          <w:szCs w:val="24"/>
        </w:rPr>
      </w:pPr>
      <w:r>
        <w:rPr>
          <w:noProof/>
        </w:rPr>
        <w:t xml:space="preserve">Obiectivul acestei submăsuri este de a spori resursele umane și capacitatea infrastructurii pentru furnizarea de servicii de îngrijire pe termen lung. Această măsură constă în renovarea centrelor de îngrijire de zi pe termen lung, furnizarea de echipamente și/sau vehicule echipelor mobile pentru servicii ambulatorii pe termen lung și formarea profesioniștilor din domeniul îngrijirii pe termen lung. </w:t>
      </w:r>
    </w:p>
    <w:p w14:paraId="1A30480E" w14:textId="64CEE4E2" w:rsidR="00F53E3A" w:rsidRDefault="0036255F">
      <w:pPr>
        <w:pStyle w:val="P68B1DB1-Normal6"/>
        <w:jc w:val="both"/>
        <w:rPr>
          <w:rFonts w:cs="Times New Roman"/>
          <w:noProof/>
          <w:szCs w:val="24"/>
        </w:rPr>
      </w:pPr>
      <w:r>
        <w:rPr>
          <w:noProof/>
        </w:rPr>
        <w:t>A.1.3. Reforma 3 „Reziliența sistemului de sănătate pentru a face față situațiilor de urgență”</w:t>
      </w:r>
    </w:p>
    <w:p w14:paraId="4948FF47" w14:textId="42720BA5" w:rsidR="00F53E3A" w:rsidRDefault="0036255F">
      <w:pPr>
        <w:pStyle w:val="P68B1DB1-Normal4"/>
        <w:jc w:val="both"/>
        <w:rPr>
          <w:rFonts w:cs="Times New Roman"/>
          <w:noProof/>
          <w:szCs w:val="24"/>
        </w:rPr>
      </w:pPr>
      <w:r>
        <w:rPr>
          <w:noProof/>
        </w:rPr>
        <w:t>Obiectivul reformei este de a sprijini furnizarea de servicii de sănătate în situații de urgență.</w:t>
      </w:r>
    </w:p>
    <w:p w14:paraId="1076177E" w14:textId="2A229122" w:rsidR="00F53E3A" w:rsidRDefault="0036255F">
      <w:pPr>
        <w:pStyle w:val="P68B1DB1-Normal4"/>
        <w:jc w:val="both"/>
        <w:rPr>
          <w:rFonts w:cs="Times New Roman"/>
          <w:noProof/>
          <w:szCs w:val="24"/>
        </w:rPr>
      </w:pPr>
      <w:r>
        <w:rPr>
          <w:noProof/>
        </w:rPr>
        <w:t>Această reformă constă în 3 submăsuri: (1) plan de acțiune privind îmbunătățirea cooperării dintre instituțiile de asistență medicală și modernizarea infrastructurii pentru situații de urgență. (submăsura 1); (2) modernizarea centrelor de combatere a bolilor infecțioase (submăsura 2); (3)</w:t>
      </w:r>
      <w:r w:rsidR="00DB2EC5">
        <w:rPr>
          <w:noProof/>
        </w:rPr>
        <w:t> </w:t>
      </w:r>
      <w:r>
        <w:rPr>
          <w:noProof/>
        </w:rPr>
        <w:t>modernizarea departamentelor de urgență și a unităților de resuscitare din spitalele regionale (submăsura 3).</w:t>
      </w:r>
    </w:p>
    <w:p w14:paraId="1D70084E" w14:textId="77777777" w:rsidR="00F53E3A" w:rsidRDefault="0036255F">
      <w:pPr>
        <w:pStyle w:val="P68B1DB1-Normal6"/>
        <w:jc w:val="both"/>
        <w:rPr>
          <w:rFonts w:cs="Times New Roman"/>
          <w:noProof/>
          <w:szCs w:val="24"/>
        </w:rPr>
      </w:pPr>
      <w:r>
        <w:rPr>
          <w:noProof/>
        </w:rPr>
        <w:t>A.1.3.1. Submăsura 1: Plan de acțiune pentru îmbunătățirea cooperării dintre instituțiile de asistență medicală și modernizarea infrastructurii pentru situații de urgență</w:t>
      </w:r>
    </w:p>
    <w:p w14:paraId="6DFB4F68" w14:textId="0815A420" w:rsidR="00F53E3A" w:rsidRDefault="0036255F">
      <w:pPr>
        <w:pStyle w:val="P68B1DB1-Normal4"/>
        <w:jc w:val="both"/>
        <w:rPr>
          <w:rFonts w:cs="Times New Roman"/>
          <w:noProof/>
          <w:szCs w:val="24"/>
        </w:rPr>
      </w:pPr>
      <w:r>
        <w:rPr>
          <w:noProof/>
        </w:rPr>
        <w:t xml:space="preserve">Obiectivul acestei submăsuri este de a adopta un plan de acțiune privind îmbunătățirea cooperării dintre instituțiile de asistență medicală și modernizarea infrastructurii pentru situații de urgență. Aceasta include cerințe pentru instituțiile sanitare de a asigura pregătirea acestora și eficacitatea răspunsului sistemului în situații de urgență. Se creează condițiile prealabile pentru o cooperare mai eficientă a resurselor umane disponibile. Se efectuează o evaluare a gradului de pregătire pentru situații de urgență a instituțiilor sanitare. </w:t>
      </w:r>
    </w:p>
    <w:p w14:paraId="5D223606" w14:textId="77777777" w:rsidR="00F53E3A" w:rsidRDefault="0036255F">
      <w:pPr>
        <w:pStyle w:val="P68B1DB1-Normal4"/>
        <w:jc w:val="both"/>
        <w:rPr>
          <w:rFonts w:cs="Times New Roman"/>
          <w:noProof/>
          <w:szCs w:val="24"/>
        </w:rPr>
      </w:pPr>
      <w:r>
        <w:rPr>
          <w:noProof/>
        </w:rPr>
        <w:t>Submăsura se finalizează până la 31 martie 2023.</w:t>
      </w:r>
    </w:p>
    <w:p w14:paraId="047F7E18" w14:textId="6D270501" w:rsidR="00F53E3A" w:rsidRDefault="0036255F">
      <w:pPr>
        <w:pStyle w:val="P68B1DB1-Normal6"/>
        <w:jc w:val="both"/>
        <w:rPr>
          <w:noProof/>
          <w:szCs w:val="24"/>
        </w:rPr>
      </w:pPr>
      <w:r>
        <w:rPr>
          <w:noProof/>
        </w:rPr>
        <w:t>A.1.3.2. Submăsura 2: Modernizarea centrelor de combatere a bolilor infecțioase</w:t>
      </w:r>
    </w:p>
    <w:p w14:paraId="02B31902" w14:textId="1C24ED29" w:rsidR="00F53E3A" w:rsidRDefault="0036255F">
      <w:pPr>
        <w:pStyle w:val="P68B1DB1-Normal4"/>
        <w:jc w:val="both"/>
        <w:rPr>
          <w:noProof/>
          <w:szCs w:val="24"/>
        </w:rPr>
      </w:pPr>
      <w:r>
        <w:rPr>
          <w:noProof/>
        </w:rPr>
        <w:t xml:space="preserve">Obiectivul acestei submăsuri este de a moderniza centrele de combatere a bolilor infecțioase din Lituania. Această submăsură constă în modernizarea și furnizarea de echipamente pentru centrele de combatere a bolilor infecțioase. </w:t>
      </w:r>
    </w:p>
    <w:p w14:paraId="2BD3107C" w14:textId="4D3D7873" w:rsidR="00F53E3A" w:rsidRDefault="0036255F">
      <w:pPr>
        <w:pStyle w:val="P68B1DB1-Normal6"/>
        <w:jc w:val="both"/>
        <w:rPr>
          <w:rFonts w:cs="Times New Roman"/>
          <w:noProof/>
          <w:szCs w:val="24"/>
        </w:rPr>
      </w:pPr>
      <w:r>
        <w:rPr>
          <w:noProof/>
        </w:rPr>
        <w:t>A.1.3.3. Submăsura 3: Modernizarea serviciilor de urgență și a unităților de resuscitare din spitalele regionale</w:t>
      </w:r>
    </w:p>
    <w:p w14:paraId="128C8657" w14:textId="0DA84629" w:rsidR="00F53E3A" w:rsidRDefault="0036255F">
      <w:pPr>
        <w:pStyle w:val="Text1"/>
        <w:spacing w:before="0" w:after="200" w:line="276" w:lineRule="auto"/>
        <w:ind w:left="0"/>
        <w:rPr>
          <w:noProof/>
        </w:rPr>
        <w:sectPr w:rsidR="00F53E3A" w:rsidSect="00742468">
          <w:headerReference w:type="even" r:id="rId18"/>
          <w:headerReference w:type="default" r:id="rId19"/>
          <w:footerReference w:type="even" r:id="rId20"/>
          <w:footerReference w:type="default" r:id="rId21"/>
          <w:headerReference w:type="first" r:id="rId22"/>
          <w:footerReference w:type="first" r:id="rId23"/>
          <w:pgSz w:w="11907" w:h="16839"/>
          <w:pgMar w:top="1134" w:right="1134" w:bottom="1134" w:left="1134" w:header="567" w:footer="567" w:gutter="0"/>
          <w:cols w:space="720"/>
          <w:titlePg/>
          <w:docGrid w:linePitch="360"/>
        </w:sectPr>
      </w:pPr>
      <w:r>
        <w:rPr>
          <w:noProof/>
        </w:rPr>
        <w:t>Obiectivul acestei submăsuri este de a moderniza unitățile medicale de urgență, de resuscitare și de terapie intensivă din spitalele din Lituania. Această măsură constă în modernizarea acestor unități medicale și în furnizarea de echipamente.</w:t>
      </w:r>
    </w:p>
    <w:p w14:paraId="42CF32EB" w14:textId="4EBF9A30" w:rsidR="00F53E3A" w:rsidRDefault="0036255F">
      <w:pPr>
        <w:pStyle w:val="P68B1DB1-Text15"/>
        <w:keepNext/>
        <w:keepLines/>
        <w:spacing w:before="0" w:after="200" w:line="276" w:lineRule="auto"/>
        <w:ind w:left="0"/>
        <w:jc w:val="center"/>
        <w:outlineLvl w:val="1"/>
        <w:rPr>
          <w:noProof/>
        </w:rPr>
      </w:pPr>
      <w:r>
        <w:rPr>
          <w:noProof/>
        </w:rPr>
        <w:t>A.2. Jaloane, ținte, indicatori și calendarul de monitorizare și implementare aplicabile sprijinului financiar nerambursabil</w:t>
      </w:r>
    </w:p>
    <w:tbl>
      <w:tblPr>
        <w:tblW w:w="151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ayout w:type="fixed"/>
        <w:tblCellMar>
          <w:left w:w="70" w:type="dxa"/>
          <w:right w:w="70" w:type="dxa"/>
        </w:tblCellMar>
        <w:tblLook w:val="04A0" w:firstRow="1" w:lastRow="0" w:firstColumn="1" w:lastColumn="0" w:noHBand="0" w:noVBand="1"/>
      </w:tblPr>
      <w:tblGrid>
        <w:gridCol w:w="586"/>
        <w:gridCol w:w="1708"/>
        <w:gridCol w:w="1245"/>
        <w:gridCol w:w="1586"/>
        <w:gridCol w:w="1571"/>
        <w:gridCol w:w="977"/>
        <w:gridCol w:w="993"/>
        <w:gridCol w:w="878"/>
        <w:gridCol w:w="1106"/>
        <w:gridCol w:w="661"/>
        <w:gridCol w:w="3863"/>
      </w:tblGrid>
      <w:tr w:rsidR="00F53E3A" w14:paraId="6A5F7DBB" w14:textId="77777777">
        <w:trPr>
          <w:trHeight w:val="300"/>
          <w:tblHeader/>
          <w:jc w:val="center"/>
        </w:trPr>
        <w:tc>
          <w:tcPr>
            <w:tcW w:w="586"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17556E1" w14:textId="7E2308FC" w:rsidR="00F53E3A" w:rsidRDefault="0035684C">
            <w:pPr>
              <w:pStyle w:val="P68B1DB1-Normal9"/>
              <w:spacing w:before="60" w:after="60"/>
              <w:jc w:val="center"/>
              <w:rPr>
                <w:rFonts w:cs="Times New Roman"/>
                <w:noProof/>
              </w:rPr>
            </w:pPr>
            <w:r>
              <w:rPr>
                <w:noProof/>
              </w:rPr>
              <w:t>Nr.</w:t>
            </w:r>
          </w:p>
        </w:tc>
        <w:tc>
          <w:tcPr>
            <w:tcW w:w="1708"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D92A4CB" w14:textId="77777777" w:rsidR="00F53E3A" w:rsidRDefault="0036255F">
            <w:pPr>
              <w:pStyle w:val="P68B1DB1-Normal9"/>
              <w:spacing w:before="60" w:after="60"/>
              <w:jc w:val="center"/>
              <w:rPr>
                <w:rFonts w:cs="Times New Roman"/>
                <w:noProof/>
              </w:rPr>
            </w:pPr>
            <w:r>
              <w:rPr>
                <w:noProof/>
              </w:rPr>
              <w:t>Măsură conexă (reformă sau investiții)</w:t>
            </w:r>
          </w:p>
        </w:tc>
        <w:tc>
          <w:tcPr>
            <w:tcW w:w="1245"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DC8DC48" w14:textId="0B269A53" w:rsidR="00F53E3A" w:rsidRDefault="0036255F">
            <w:pPr>
              <w:pStyle w:val="P68B1DB1-Normal9"/>
              <w:spacing w:before="60" w:after="60"/>
              <w:jc w:val="center"/>
              <w:rPr>
                <w:rFonts w:cs="Times New Roman"/>
                <w:noProof/>
              </w:rPr>
            </w:pPr>
            <w:r>
              <w:rPr>
                <w:noProof/>
              </w:rPr>
              <w:t>Etapă/</w:t>
            </w:r>
            <w:r w:rsidR="00DB2EC5">
              <w:rPr>
                <w:noProof/>
              </w:rPr>
              <w:t xml:space="preserve"> </w:t>
            </w:r>
            <w:r>
              <w:rPr>
                <w:noProof/>
              </w:rPr>
              <w:t>Obiectiv</w:t>
            </w:r>
          </w:p>
        </w:tc>
        <w:tc>
          <w:tcPr>
            <w:tcW w:w="1586"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DB79C81" w14:textId="77777777" w:rsidR="00F53E3A" w:rsidRDefault="0036255F">
            <w:pPr>
              <w:pStyle w:val="P68B1DB1-Normal9"/>
              <w:spacing w:before="60" w:after="60"/>
              <w:jc w:val="center"/>
              <w:rPr>
                <w:rFonts w:cs="Times New Roman"/>
                <w:noProof/>
              </w:rPr>
            </w:pPr>
            <w:r>
              <w:rPr>
                <w:noProof/>
              </w:rPr>
              <w:t>Titlu</w:t>
            </w:r>
          </w:p>
        </w:tc>
        <w:tc>
          <w:tcPr>
            <w:tcW w:w="1571"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7FC05B7" w14:textId="68D44978" w:rsidR="00F53E3A" w:rsidRDefault="0036255F">
            <w:pPr>
              <w:pStyle w:val="P68B1DB1-Normal10"/>
              <w:spacing w:before="60" w:after="60"/>
              <w:jc w:val="center"/>
              <w:rPr>
                <w:rFonts w:ascii="Times New Roman" w:hAnsi="Times New Roman" w:cs="Times New Roman"/>
                <w:b/>
                <w:noProof/>
              </w:rPr>
            </w:pPr>
            <w:r>
              <w:rPr>
                <w:rFonts w:ascii="Times New Roman" w:hAnsi="Times New Roman"/>
                <w:b/>
                <w:noProof/>
              </w:rPr>
              <w:t>Indicatori calitativi</w:t>
            </w:r>
            <w:r>
              <w:rPr>
                <w:noProof/>
              </w:rPr>
              <w:t xml:space="preserve"> </w:t>
            </w:r>
            <w:r>
              <w:rPr>
                <w:noProof/>
              </w:rPr>
              <w:br/>
            </w:r>
            <w:r>
              <w:rPr>
                <w:rFonts w:ascii="Times New Roman" w:hAnsi="Times New Roman"/>
                <w:b/>
                <w:noProof/>
              </w:rPr>
              <w:t>(pentru jaloane)</w:t>
            </w:r>
          </w:p>
        </w:tc>
        <w:tc>
          <w:tcPr>
            <w:tcW w:w="2848"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A73F2E7" w14:textId="77777777" w:rsidR="00F53E3A" w:rsidRDefault="0036255F">
            <w:pPr>
              <w:pStyle w:val="P68B1DB1-Normal10"/>
              <w:spacing w:before="60" w:after="60"/>
              <w:jc w:val="center"/>
              <w:rPr>
                <w:rFonts w:ascii="Times New Roman" w:hAnsi="Times New Roman" w:cs="Times New Roman"/>
                <w:b/>
                <w:noProof/>
              </w:rPr>
            </w:pPr>
            <w:r>
              <w:rPr>
                <w:rFonts w:ascii="Times New Roman" w:hAnsi="Times New Roman"/>
                <w:b/>
                <w:noProof/>
              </w:rPr>
              <w:t>Indicatori cantitativi</w:t>
            </w:r>
            <w:r>
              <w:rPr>
                <w:noProof/>
              </w:rPr>
              <w:t xml:space="preserve"> </w:t>
            </w:r>
            <w:r>
              <w:rPr>
                <w:noProof/>
              </w:rPr>
              <w:br/>
            </w:r>
            <w:r>
              <w:rPr>
                <w:rFonts w:ascii="Times New Roman" w:hAnsi="Times New Roman"/>
                <w:b/>
                <w:noProof/>
              </w:rPr>
              <w:t>(pentru obiective)</w:t>
            </w:r>
          </w:p>
        </w:tc>
        <w:tc>
          <w:tcPr>
            <w:tcW w:w="1767"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D3A754F" w14:textId="323B9B7C" w:rsidR="00F53E3A" w:rsidRDefault="0036255F">
            <w:pPr>
              <w:pStyle w:val="P68B1DB1-Normal9"/>
              <w:spacing w:before="60" w:after="60"/>
              <w:jc w:val="center"/>
              <w:rPr>
                <w:rFonts w:cs="Times New Roman"/>
                <w:noProof/>
              </w:rPr>
            </w:pPr>
            <w:r>
              <w:rPr>
                <w:noProof/>
              </w:rPr>
              <w:t>Calendar orientativ pentru finalizare</w:t>
            </w:r>
          </w:p>
        </w:tc>
        <w:tc>
          <w:tcPr>
            <w:tcW w:w="3863"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6B35F65" w14:textId="77777777" w:rsidR="00F53E3A" w:rsidRDefault="0036255F">
            <w:pPr>
              <w:pStyle w:val="P68B1DB1-Normal9"/>
              <w:spacing w:before="60" w:after="60"/>
              <w:jc w:val="center"/>
              <w:rPr>
                <w:rFonts w:cs="Times New Roman"/>
                <w:noProof/>
              </w:rPr>
            </w:pPr>
            <w:r>
              <w:rPr>
                <w:noProof/>
              </w:rPr>
              <w:t>Descrierea și definiția clară a fiecărui obiectiv de etapă și a fiecărei ținte</w:t>
            </w:r>
          </w:p>
        </w:tc>
      </w:tr>
      <w:tr w:rsidR="00F53E3A" w14:paraId="7355C6EC" w14:textId="77777777" w:rsidTr="00DB2EC5">
        <w:trPr>
          <w:trHeight w:val="300"/>
          <w:tblHeader/>
          <w:jc w:val="center"/>
        </w:trPr>
        <w:tc>
          <w:tcPr>
            <w:tcW w:w="586" w:type="dxa"/>
            <w:vMerge/>
          </w:tcPr>
          <w:p w14:paraId="6C67592E" w14:textId="77777777" w:rsidR="00F53E3A" w:rsidRDefault="00F53E3A">
            <w:pPr>
              <w:spacing w:before="60" w:after="60"/>
              <w:jc w:val="center"/>
              <w:rPr>
                <w:rFonts w:ascii="Times New Roman" w:hAnsi="Times New Roman" w:cs="Times New Roman"/>
                <w:b/>
                <w:noProof/>
                <w:sz w:val="20"/>
              </w:rPr>
            </w:pPr>
          </w:p>
        </w:tc>
        <w:tc>
          <w:tcPr>
            <w:tcW w:w="1708" w:type="dxa"/>
            <w:vMerge/>
            <w:vAlign w:val="center"/>
          </w:tcPr>
          <w:p w14:paraId="53D52947" w14:textId="77777777" w:rsidR="00F53E3A" w:rsidRDefault="00F53E3A">
            <w:pPr>
              <w:spacing w:before="60" w:after="60"/>
              <w:rPr>
                <w:rFonts w:ascii="Times New Roman" w:hAnsi="Times New Roman" w:cs="Times New Roman"/>
                <w:b/>
                <w:noProof/>
                <w:sz w:val="20"/>
              </w:rPr>
            </w:pPr>
          </w:p>
        </w:tc>
        <w:tc>
          <w:tcPr>
            <w:tcW w:w="1245" w:type="dxa"/>
            <w:vMerge/>
            <w:vAlign w:val="center"/>
          </w:tcPr>
          <w:p w14:paraId="339D7477" w14:textId="77777777" w:rsidR="00F53E3A" w:rsidRDefault="00F53E3A">
            <w:pPr>
              <w:spacing w:before="60" w:after="60"/>
              <w:jc w:val="center"/>
              <w:rPr>
                <w:rFonts w:ascii="Times New Roman" w:hAnsi="Times New Roman" w:cs="Times New Roman"/>
                <w:b/>
                <w:noProof/>
                <w:sz w:val="20"/>
              </w:rPr>
            </w:pPr>
          </w:p>
        </w:tc>
        <w:tc>
          <w:tcPr>
            <w:tcW w:w="1586" w:type="dxa"/>
            <w:vMerge/>
            <w:vAlign w:val="center"/>
          </w:tcPr>
          <w:p w14:paraId="3A89D3BF" w14:textId="77777777" w:rsidR="00F53E3A" w:rsidRDefault="00F53E3A">
            <w:pPr>
              <w:spacing w:before="60" w:after="60"/>
              <w:rPr>
                <w:rFonts w:ascii="Times New Roman" w:hAnsi="Times New Roman" w:cs="Times New Roman"/>
                <w:b/>
                <w:noProof/>
                <w:sz w:val="20"/>
              </w:rPr>
            </w:pPr>
          </w:p>
        </w:tc>
        <w:tc>
          <w:tcPr>
            <w:tcW w:w="1571" w:type="dxa"/>
            <w:vMerge/>
            <w:vAlign w:val="center"/>
          </w:tcPr>
          <w:p w14:paraId="548D0A0C" w14:textId="77777777" w:rsidR="00F53E3A" w:rsidRDefault="00F53E3A">
            <w:pPr>
              <w:spacing w:before="60" w:after="60"/>
              <w:rPr>
                <w:rFonts w:ascii="Times New Roman" w:hAnsi="Times New Roman" w:cs="Times New Roman"/>
                <w:b/>
                <w:noProof/>
                <w:sz w:val="20"/>
              </w:rPr>
            </w:pPr>
          </w:p>
        </w:tc>
        <w:tc>
          <w:tcPr>
            <w:tcW w:w="977"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1C74906" w14:textId="77777777" w:rsidR="00F53E3A" w:rsidRDefault="0036255F">
            <w:pPr>
              <w:pStyle w:val="P68B1DB1-Normal9"/>
              <w:spacing w:before="60" w:after="60"/>
              <w:jc w:val="center"/>
              <w:rPr>
                <w:rFonts w:cs="Times New Roman"/>
                <w:noProof/>
              </w:rPr>
            </w:pPr>
            <w:r>
              <w:rPr>
                <w:noProof/>
              </w:rPr>
              <w:t>Unitate</w:t>
            </w:r>
          </w:p>
        </w:tc>
        <w:tc>
          <w:tcPr>
            <w:tcW w:w="993"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5493CC8" w14:textId="77777777" w:rsidR="00F53E3A" w:rsidRDefault="0036255F">
            <w:pPr>
              <w:pStyle w:val="P68B1DB1-Normal9"/>
              <w:spacing w:before="60" w:after="60"/>
              <w:jc w:val="center"/>
              <w:rPr>
                <w:rFonts w:cs="Times New Roman"/>
                <w:noProof/>
              </w:rPr>
            </w:pPr>
            <w:r>
              <w:rPr>
                <w:noProof/>
              </w:rPr>
              <w:t>Situația de referință</w:t>
            </w:r>
          </w:p>
        </w:tc>
        <w:tc>
          <w:tcPr>
            <w:tcW w:w="878"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5AD70B7" w14:textId="77777777" w:rsidR="00F53E3A" w:rsidRDefault="0036255F">
            <w:pPr>
              <w:pStyle w:val="P68B1DB1-Normal9"/>
              <w:spacing w:before="60" w:after="60"/>
              <w:jc w:val="center"/>
              <w:rPr>
                <w:rFonts w:cs="Times New Roman"/>
                <w:noProof/>
              </w:rPr>
            </w:pPr>
            <w:r>
              <w:rPr>
                <w:noProof/>
              </w:rPr>
              <w:t>Obiectiv</w:t>
            </w:r>
          </w:p>
        </w:tc>
        <w:tc>
          <w:tcPr>
            <w:tcW w:w="1106"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9C9EED3" w14:textId="77777777" w:rsidR="00F53E3A" w:rsidRDefault="0036255F">
            <w:pPr>
              <w:pStyle w:val="P68B1DB1-Normal9"/>
              <w:spacing w:before="60" w:after="60"/>
              <w:jc w:val="center"/>
              <w:rPr>
                <w:rFonts w:cs="Times New Roman"/>
                <w:noProof/>
              </w:rPr>
            </w:pPr>
            <w:r>
              <w:rPr>
                <w:noProof/>
              </w:rPr>
              <w:t>Trimestru</w:t>
            </w:r>
          </w:p>
        </w:tc>
        <w:tc>
          <w:tcPr>
            <w:tcW w:w="661"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2DC0665" w14:textId="77777777" w:rsidR="00F53E3A" w:rsidRDefault="0036255F">
            <w:pPr>
              <w:pStyle w:val="P68B1DB1-Normal9"/>
              <w:spacing w:before="60" w:after="60"/>
              <w:jc w:val="center"/>
              <w:rPr>
                <w:rFonts w:cs="Times New Roman"/>
                <w:noProof/>
              </w:rPr>
            </w:pPr>
            <w:r>
              <w:rPr>
                <w:noProof/>
              </w:rPr>
              <w:t>Anul</w:t>
            </w:r>
          </w:p>
        </w:tc>
        <w:tc>
          <w:tcPr>
            <w:tcW w:w="3863" w:type="dxa"/>
            <w:vMerge/>
            <w:vAlign w:val="center"/>
          </w:tcPr>
          <w:p w14:paraId="3DEE2031" w14:textId="77777777" w:rsidR="00F53E3A" w:rsidRDefault="00F53E3A">
            <w:pPr>
              <w:spacing w:before="60" w:after="60"/>
              <w:rPr>
                <w:rFonts w:ascii="Times New Roman" w:hAnsi="Times New Roman" w:cs="Times New Roman"/>
                <w:b/>
                <w:noProof/>
                <w:sz w:val="20"/>
              </w:rPr>
            </w:pPr>
          </w:p>
        </w:tc>
      </w:tr>
      <w:tr w:rsidR="00F53E3A" w14:paraId="14115516" w14:textId="77777777" w:rsidTr="00DB2EC5">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CBD44BE" w14:textId="77777777" w:rsidR="00F53E3A" w:rsidRDefault="0036255F">
            <w:pPr>
              <w:pStyle w:val="P68B1DB1-Normal12"/>
              <w:spacing w:before="60" w:after="60"/>
              <w:jc w:val="center"/>
              <w:rPr>
                <w:rFonts w:cs="Times New Roman"/>
                <w:noProof/>
              </w:rPr>
            </w:pPr>
            <w:r>
              <w:rPr>
                <w:noProof/>
              </w:rPr>
              <w:t>1</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53086AE" w14:textId="48C3BD0B" w:rsidR="00F53E3A" w:rsidRDefault="0036255F">
            <w:pPr>
              <w:pStyle w:val="P68B1DB1-Normal12"/>
              <w:spacing w:before="60" w:after="60"/>
              <w:rPr>
                <w:rFonts w:eastAsia="Times New Roman" w:cs="Times New Roman"/>
                <w:noProof/>
              </w:rPr>
            </w:pPr>
            <w:r>
              <w:rPr>
                <w:noProof/>
              </w:rPr>
              <w:t xml:space="preserve">A.1.1. Îmbunătățirea calității și accesibilității serviciilor de sănătate și promovarea inovării </w:t>
            </w:r>
          </w:p>
          <w:p w14:paraId="5D686A6A" w14:textId="09E9546B" w:rsidR="00F53E3A" w:rsidRDefault="0036255F">
            <w:pPr>
              <w:pStyle w:val="P68B1DB1-Normal12"/>
              <w:spacing w:before="60" w:after="60"/>
              <w:rPr>
                <w:rFonts w:cs="Times New Roman"/>
                <w:noProof/>
              </w:rPr>
            </w:pPr>
            <w:r>
              <w:rPr>
                <w:noProof/>
              </w:rPr>
              <w:t>A.1.1.1. Cadrul legislativ care reglementează organizarea, gestionarea și furnizarea serviciilor de ambulanță</w:t>
            </w:r>
          </w:p>
        </w:tc>
        <w:tc>
          <w:tcPr>
            <w:tcW w:w="12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9C7428C" w14:textId="77777777" w:rsidR="00F53E3A" w:rsidRDefault="0036255F">
            <w:pPr>
              <w:pStyle w:val="P68B1DB1-Normal12"/>
              <w:spacing w:before="60" w:after="60"/>
              <w:jc w:val="center"/>
              <w:rPr>
                <w:rFonts w:cs="Times New Roman"/>
                <w:noProof/>
              </w:rPr>
            </w:pPr>
            <w:r>
              <w:rPr>
                <w:noProof/>
              </w:rPr>
              <w:t>Etapă</w:t>
            </w:r>
          </w:p>
        </w:tc>
        <w:tc>
          <w:tcPr>
            <w:tcW w:w="158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D1A5FA0" w14:textId="3747A5D4" w:rsidR="00F53E3A" w:rsidRDefault="0036255F">
            <w:pPr>
              <w:pStyle w:val="P68B1DB1-Normal12"/>
              <w:spacing w:before="60" w:after="60"/>
              <w:rPr>
                <w:rFonts w:eastAsia="Segoe UI" w:cs="Times New Roman"/>
                <w:noProof/>
              </w:rPr>
            </w:pPr>
            <w:r>
              <w:rPr>
                <w:noProof/>
              </w:rPr>
              <w:t>Intrarea în vigoare a Legii modificate privind instituțiile de asistență medicală și a Legii privind sistemul de sănătate din Republica Lituania și a legislației conexe</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C76AC3D" w14:textId="7A158582" w:rsidR="00F53E3A" w:rsidRDefault="0036255F">
            <w:pPr>
              <w:pStyle w:val="P68B1DB1-Normal12"/>
              <w:spacing w:before="60" w:after="60"/>
              <w:rPr>
                <w:rFonts w:eastAsia="Times New Roman" w:cs="Times New Roman"/>
                <w:noProof/>
              </w:rPr>
            </w:pPr>
            <w:r>
              <w:rPr>
                <w:noProof/>
              </w:rPr>
              <w:t>Legislația a intrat în vigoare</w:t>
            </w:r>
          </w:p>
        </w:tc>
        <w:tc>
          <w:tcPr>
            <w:tcW w:w="97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FBA5775" w14:textId="35C329C1" w:rsidR="00F53E3A" w:rsidRDefault="0036255F">
            <w:pPr>
              <w:pStyle w:val="P68B1DB1-Normal12"/>
              <w:spacing w:before="60" w:after="60"/>
              <w:jc w:val="center"/>
              <w:rPr>
                <w:rFonts w:eastAsia="Segoe UI" w:cs="Times New Roman"/>
                <w:noProof/>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AB9FF4A" w14:textId="03DCFC01" w:rsidR="00F53E3A" w:rsidRDefault="0036255F">
            <w:pPr>
              <w:pStyle w:val="P68B1DB1-Normal12"/>
              <w:spacing w:before="60" w:after="60"/>
              <w:jc w:val="center"/>
              <w:rPr>
                <w:rFonts w:cs="Times New Roman"/>
                <w:noProof/>
              </w:rPr>
            </w:pPr>
            <w:r>
              <w:rPr>
                <w:noProof/>
              </w:rPr>
              <w:t>NU EXISTĂ</w:t>
            </w:r>
          </w:p>
        </w:tc>
        <w:tc>
          <w:tcPr>
            <w:tcW w:w="87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C83A746" w14:textId="4FBC6FF4" w:rsidR="00F53E3A" w:rsidRDefault="0036255F">
            <w:pPr>
              <w:pStyle w:val="P68B1DB1-Normal12"/>
              <w:spacing w:before="60" w:after="60"/>
              <w:jc w:val="center"/>
              <w:rPr>
                <w:rFonts w:cs="Times New Roman"/>
                <w:noProof/>
              </w:rPr>
            </w:pPr>
            <w:r>
              <w:rPr>
                <w:noProof/>
              </w:rPr>
              <w:t>NU EXISTĂ</w:t>
            </w:r>
          </w:p>
        </w:tc>
        <w:tc>
          <w:tcPr>
            <w:tcW w:w="110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1B53020" w14:textId="4E502972" w:rsidR="00F53E3A" w:rsidRDefault="00DB2EC5">
            <w:pPr>
              <w:pStyle w:val="P68B1DB1-Normal12"/>
              <w:spacing w:before="60" w:after="60"/>
              <w:jc w:val="center"/>
              <w:rPr>
                <w:rFonts w:cs="Times New Roman"/>
                <w:noProof/>
              </w:rPr>
            </w:pPr>
            <w:r>
              <w:rPr>
                <w:noProof/>
              </w:rPr>
              <w:t>T</w:t>
            </w:r>
            <w:r w:rsidR="0036255F">
              <w:rPr>
                <w:noProof/>
              </w:rPr>
              <w:t>4</w:t>
            </w:r>
          </w:p>
        </w:tc>
        <w:tc>
          <w:tcPr>
            <w:tcW w:w="66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F0413AA" w14:textId="77777777" w:rsidR="00F53E3A" w:rsidRDefault="0036255F">
            <w:pPr>
              <w:pStyle w:val="P68B1DB1-Normal12"/>
              <w:spacing w:before="60" w:after="60"/>
              <w:jc w:val="center"/>
              <w:rPr>
                <w:rFonts w:cs="Times New Roman"/>
                <w:noProof/>
              </w:rPr>
            </w:pPr>
            <w:r>
              <w:rPr>
                <w:noProof/>
              </w:rPr>
              <w:t>2022</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A734B01" w14:textId="7F27232B" w:rsidR="00F53E3A" w:rsidRDefault="0036255F">
            <w:pPr>
              <w:pStyle w:val="P68B1DB1-Normal12"/>
              <w:spacing w:before="60" w:after="60"/>
              <w:jc w:val="both"/>
              <w:rPr>
                <w:rFonts w:eastAsia="Times New Roman" w:cs="Times New Roman"/>
                <w:noProof/>
                <w:u w:val="single"/>
              </w:rPr>
            </w:pPr>
            <w:r>
              <w:rPr>
                <w:noProof/>
              </w:rPr>
              <w:t>Organizarea, gestionarea și furnizarea serviciilor de ambulanță sunt reglementate de Legea privind instituțiile de asistență medicală și de Legea privind sistemul de sănătate din Republica Lituania. Cerințele pentru furnizarea serviciilor de ambulanță și procedurile de plată care reglementează organizarea, gestionarea și furnizarea serviciilor de ambulanță sunt incluse în ordinele ministrului sănătății.</w:t>
            </w:r>
          </w:p>
        </w:tc>
      </w:tr>
      <w:tr w:rsidR="00F53E3A" w14:paraId="0EDFFCBE" w14:textId="77777777" w:rsidTr="00DB2EC5">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7F9D9CC" w14:textId="77777777" w:rsidR="00F53E3A" w:rsidRDefault="0036255F">
            <w:pPr>
              <w:pStyle w:val="P68B1DB1-Normal12"/>
              <w:spacing w:before="60" w:after="60"/>
              <w:jc w:val="center"/>
              <w:rPr>
                <w:rFonts w:cs="Times New Roman"/>
                <w:noProof/>
              </w:rPr>
            </w:pPr>
            <w:r>
              <w:rPr>
                <w:noProof/>
              </w:rPr>
              <w:t>2</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72558C7" w14:textId="5F81D967" w:rsidR="00F53E3A" w:rsidRDefault="0036255F">
            <w:pPr>
              <w:pStyle w:val="P68B1DB1-Normal12"/>
              <w:spacing w:before="60" w:after="60"/>
              <w:rPr>
                <w:rFonts w:eastAsia="Times New Roman" w:cs="Times New Roman"/>
                <w:noProof/>
              </w:rPr>
            </w:pPr>
            <w:r>
              <w:rPr>
                <w:noProof/>
              </w:rPr>
              <w:t xml:space="preserve">A.1.1. Îmbunătățirea calității și accesibilității serviciilor de sănătate și promovarea inovării </w:t>
            </w:r>
          </w:p>
          <w:p w14:paraId="51D7F1A1" w14:textId="0C589552" w:rsidR="00F53E3A" w:rsidRDefault="0036255F">
            <w:pPr>
              <w:pStyle w:val="P68B1DB1-Normal12"/>
              <w:spacing w:before="60" w:after="60"/>
              <w:rPr>
                <w:rFonts w:cs="Times New Roman"/>
                <w:noProof/>
              </w:rPr>
            </w:pPr>
            <w:r>
              <w:rPr>
                <w:noProof/>
              </w:rPr>
              <w:t>A.1.1.2. Dezvoltarea unui sistem digital de sănătate care să faciliteze utilizarea secundară a datelor privind sănătatea</w:t>
            </w:r>
          </w:p>
        </w:tc>
        <w:tc>
          <w:tcPr>
            <w:tcW w:w="12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45D7D96" w14:textId="77777777" w:rsidR="00F53E3A" w:rsidRDefault="0036255F">
            <w:pPr>
              <w:pStyle w:val="P68B1DB1-Normal12"/>
              <w:spacing w:before="60" w:after="60"/>
              <w:jc w:val="center"/>
              <w:rPr>
                <w:rFonts w:cs="Times New Roman"/>
                <w:noProof/>
              </w:rPr>
            </w:pPr>
            <w:r>
              <w:rPr>
                <w:noProof/>
              </w:rPr>
              <w:t>Etapă</w:t>
            </w:r>
          </w:p>
        </w:tc>
        <w:tc>
          <w:tcPr>
            <w:tcW w:w="1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C170C0A" w14:textId="244C6D03" w:rsidR="00F53E3A" w:rsidRDefault="0036255F">
            <w:pPr>
              <w:pStyle w:val="P68B1DB1-Normal12"/>
              <w:spacing w:before="60" w:after="60"/>
              <w:rPr>
                <w:rFonts w:eastAsia="Segoe UI" w:cs="Times New Roman"/>
                <w:noProof/>
              </w:rPr>
            </w:pPr>
            <w:r>
              <w:rPr>
                <w:noProof/>
              </w:rPr>
              <w:t>Intrarea în vigoare a legislației care reglementează utilizarea secundară a datelor privind sănătatea</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8503B93" w14:textId="2C7DA14D" w:rsidR="00F53E3A" w:rsidRDefault="0036255F">
            <w:pPr>
              <w:pStyle w:val="P68B1DB1-Normal12"/>
              <w:spacing w:before="60" w:after="60"/>
              <w:rPr>
                <w:rFonts w:eastAsia="Segoe UI" w:cs="Times New Roman"/>
                <w:noProof/>
              </w:rPr>
            </w:pPr>
            <w:r>
              <w:rPr>
                <w:noProof/>
              </w:rPr>
              <w:t>Legislația a intrat în vigoare</w:t>
            </w:r>
          </w:p>
        </w:tc>
        <w:tc>
          <w:tcPr>
            <w:tcW w:w="97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90A3AA9" w14:textId="500AF2B3" w:rsidR="00F53E3A" w:rsidRDefault="0036255F">
            <w:pPr>
              <w:pStyle w:val="P68B1DB1-Normal12"/>
              <w:spacing w:before="60" w:after="60"/>
              <w:jc w:val="center"/>
              <w:rPr>
                <w:rFonts w:eastAsia="Segoe UI" w:cs="Times New Roman"/>
                <w:noProof/>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8795172" w14:textId="0B1FC952" w:rsidR="00F53E3A" w:rsidRDefault="0036255F">
            <w:pPr>
              <w:pStyle w:val="P68B1DB1-Normal12"/>
              <w:spacing w:before="60" w:after="60"/>
              <w:jc w:val="center"/>
              <w:rPr>
                <w:rFonts w:eastAsia="Segoe UI" w:cs="Times New Roman"/>
                <w:noProof/>
              </w:rPr>
            </w:pPr>
            <w:r>
              <w:rPr>
                <w:noProof/>
              </w:rPr>
              <w:t>NU EXISTĂ</w:t>
            </w:r>
          </w:p>
        </w:tc>
        <w:tc>
          <w:tcPr>
            <w:tcW w:w="87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1363332" w14:textId="5D7B14EC" w:rsidR="00F53E3A" w:rsidRDefault="0036255F">
            <w:pPr>
              <w:pStyle w:val="P68B1DB1-Normal12"/>
              <w:spacing w:before="60" w:after="60"/>
              <w:jc w:val="center"/>
              <w:rPr>
                <w:rFonts w:eastAsia="Segoe UI" w:cs="Times New Roman"/>
                <w:noProof/>
              </w:rPr>
            </w:pPr>
            <w:r>
              <w:rPr>
                <w:noProof/>
              </w:rPr>
              <w:t>NU EXISTĂ</w:t>
            </w:r>
          </w:p>
        </w:tc>
        <w:tc>
          <w:tcPr>
            <w:tcW w:w="110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756C229" w14:textId="104B261A" w:rsidR="00F53E3A" w:rsidRDefault="00DB2EC5">
            <w:pPr>
              <w:pStyle w:val="P68B1DB1-Normal12"/>
              <w:spacing w:before="60" w:after="60"/>
              <w:jc w:val="center"/>
              <w:rPr>
                <w:rFonts w:cs="Times New Roman"/>
                <w:noProof/>
              </w:rPr>
            </w:pPr>
            <w:r>
              <w:rPr>
                <w:noProof/>
              </w:rPr>
              <w:t>T3</w:t>
            </w:r>
          </w:p>
        </w:tc>
        <w:tc>
          <w:tcPr>
            <w:tcW w:w="66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6634CD3" w14:textId="77777777" w:rsidR="00F53E3A" w:rsidRDefault="0036255F">
            <w:pPr>
              <w:pStyle w:val="P68B1DB1-Normal12"/>
              <w:spacing w:before="60" w:after="60"/>
              <w:jc w:val="center"/>
              <w:rPr>
                <w:rFonts w:cs="Times New Roman"/>
                <w:noProof/>
              </w:rPr>
            </w:pPr>
            <w:r>
              <w:rPr>
                <w:noProof/>
              </w:rPr>
              <w:t>2022</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872D41" w14:textId="536FD47C" w:rsidR="00F53E3A" w:rsidRDefault="0036255F">
            <w:pPr>
              <w:pStyle w:val="P68B1DB1-Normal12"/>
              <w:spacing w:before="60" w:after="60"/>
              <w:jc w:val="both"/>
              <w:rPr>
                <w:rFonts w:eastAsia="Times New Roman" w:cs="Times New Roman"/>
                <w:noProof/>
              </w:rPr>
            </w:pPr>
            <w:r>
              <w:rPr>
                <w:noProof/>
              </w:rPr>
              <w:t>Legislația privind utilizarea secundară a datelor privind sănătatea și dispozițiile de punere în aplicare privind procedurile de eliberare a autorizațiilor pentru utilizarea secundară a datelor, pregătirea datelor privind sănătatea pentru utilizarea secundară, rambursarea costurilor de furnizare a datelor privind sănătatea de către operatorii de date privind sănătatea către o instituție autorizată de guvern (i) creează condiții pentru utilizarea secundară eficientă și sigură a datelor privind sănătatea în scopuri de interes public (cercetare, dezvoltare experimentală și inovare, educație și gestionarea cunoștințelor în domeniul sănătății, elaborarea de politici în domeniul sănătății, statistici), (ii) asigură dezvoltarea durabilă a sănătății digitale și (iii) reglementează măsurile organizatorice și tehnice necesare pentru o utilizare secundară armonizată, coordonată și de înaltă calitate a datelor, asigurând în același timp protecția datelor cu caracter personal.</w:t>
            </w:r>
          </w:p>
        </w:tc>
      </w:tr>
      <w:tr w:rsidR="00F53E3A" w14:paraId="41966633" w14:textId="77777777" w:rsidTr="00DB2EC5">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06E4B33" w14:textId="7695F531" w:rsidR="00F53E3A" w:rsidRDefault="0036255F">
            <w:pPr>
              <w:pStyle w:val="P68B1DB1-Normal12"/>
              <w:spacing w:before="60" w:after="60"/>
              <w:jc w:val="center"/>
              <w:rPr>
                <w:rFonts w:eastAsia="Times New Roman" w:cs="Times New Roman"/>
                <w:noProof/>
              </w:rPr>
            </w:pPr>
            <w:r>
              <w:rPr>
                <w:noProof/>
              </w:rPr>
              <w:t>3</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B834D73" w14:textId="107E37F3" w:rsidR="00F53E3A" w:rsidRDefault="0036255F">
            <w:pPr>
              <w:pStyle w:val="P68B1DB1-Normal12"/>
              <w:spacing w:before="60" w:after="60"/>
              <w:rPr>
                <w:rFonts w:eastAsia="Times New Roman" w:cs="Times New Roman"/>
                <w:noProof/>
              </w:rPr>
            </w:pPr>
            <w:r>
              <w:rPr>
                <w:noProof/>
              </w:rPr>
              <w:t xml:space="preserve">A.1.1. Îmbunătățirea calității și accesibilității serviciilor de sănătate și promovarea inovării </w:t>
            </w:r>
          </w:p>
          <w:p w14:paraId="6CC9C8AB" w14:textId="2143929B" w:rsidR="00F53E3A" w:rsidRDefault="0036255F">
            <w:pPr>
              <w:pStyle w:val="P68B1DB1-Normal12"/>
              <w:spacing w:before="60" w:after="60"/>
              <w:rPr>
                <w:rFonts w:eastAsia="Times New Roman" w:cs="Times New Roman"/>
                <w:noProof/>
              </w:rPr>
            </w:pPr>
            <w:r>
              <w:rPr>
                <w:noProof/>
              </w:rPr>
              <w:t>A.1.1.3. Planul de acțiune privind dezvoltarea medicinei familiale pentru perioada 2016-2025</w:t>
            </w:r>
          </w:p>
        </w:tc>
        <w:tc>
          <w:tcPr>
            <w:tcW w:w="12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AA573DB" w14:textId="1691847E" w:rsidR="00F53E3A" w:rsidRDefault="0036255F">
            <w:pPr>
              <w:pStyle w:val="P68B1DB1-Normal12"/>
              <w:spacing w:before="60" w:after="60"/>
              <w:jc w:val="center"/>
              <w:rPr>
                <w:rFonts w:eastAsia="Times New Roman" w:cs="Times New Roman"/>
                <w:noProof/>
              </w:rPr>
            </w:pPr>
            <w:r>
              <w:rPr>
                <w:noProof/>
              </w:rPr>
              <w:t>Etapă</w:t>
            </w:r>
          </w:p>
        </w:tc>
        <w:tc>
          <w:tcPr>
            <w:tcW w:w="1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A7B29F6" w14:textId="6E0A3120" w:rsidR="00F53E3A" w:rsidRDefault="0036255F">
            <w:pPr>
              <w:pStyle w:val="P68B1DB1-Normal12"/>
              <w:spacing w:before="60" w:after="60"/>
              <w:rPr>
                <w:rFonts w:eastAsia="Times New Roman" w:cs="Times New Roman"/>
                <w:noProof/>
              </w:rPr>
            </w:pPr>
            <w:r>
              <w:rPr>
                <w:noProof/>
              </w:rPr>
              <w:t>Adoptarea Planului de acțiune actualizat privind dezvoltarea medicinei familiale pentru perioada 2016-2025</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23BE273" w14:textId="10F88A7C" w:rsidR="00F53E3A" w:rsidRDefault="0036255F">
            <w:pPr>
              <w:pStyle w:val="P68B1DB1-Normal12"/>
              <w:spacing w:before="60" w:after="60"/>
              <w:rPr>
                <w:rFonts w:eastAsia="Times New Roman" w:cs="Times New Roman"/>
                <w:noProof/>
              </w:rPr>
            </w:pPr>
            <w:r>
              <w:rPr>
                <w:noProof/>
              </w:rPr>
              <w:t>Adoptarea Planului de acțiune privind dezvoltarea medicinei familiale de către Ministerul Sănătății</w:t>
            </w:r>
          </w:p>
        </w:tc>
        <w:tc>
          <w:tcPr>
            <w:tcW w:w="97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E505064" w14:textId="35BDA537" w:rsidR="00F53E3A" w:rsidRDefault="0036255F">
            <w:pPr>
              <w:pStyle w:val="P68B1DB1-Normal12"/>
              <w:spacing w:before="60" w:after="60"/>
              <w:jc w:val="center"/>
              <w:rPr>
                <w:rFonts w:eastAsia="Times New Roman" w:cs="Times New Roman"/>
                <w:noProof/>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8FEE406" w14:textId="60FA68DA" w:rsidR="00F53E3A" w:rsidRDefault="0036255F">
            <w:pPr>
              <w:pStyle w:val="P68B1DB1-Normal12"/>
              <w:spacing w:before="60" w:after="60"/>
              <w:jc w:val="center"/>
              <w:rPr>
                <w:rFonts w:eastAsia="Times New Roman" w:cs="Times New Roman"/>
                <w:noProof/>
              </w:rPr>
            </w:pPr>
            <w:r>
              <w:rPr>
                <w:noProof/>
              </w:rPr>
              <w:t>NU EXISTĂ</w:t>
            </w:r>
          </w:p>
        </w:tc>
        <w:tc>
          <w:tcPr>
            <w:tcW w:w="87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686D343" w14:textId="57BC03D0" w:rsidR="00F53E3A" w:rsidRDefault="0036255F">
            <w:pPr>
              <w:pStyle w:val="P68B1DB1-Normal12"/>
              <w:spacing w:before="60" w:after="60"/>
              <w:jc w:val="center"/>
              <w:rPr>
                <w:rFonts w:eastAsia="Times New Roman" w:cs="Times New Roman"/>
                <w:noProof/>
              </w:rPr>
            </w:pPr>
            <w:r>
              <w:rPr>
                <w:noProof/>
              </w:rPr>
              <w:t>NU EXISTĂ</w:t>
            </w:r>
          </w:p>
        </w:tc>
        <w:tc>
          <w:tcPr>
            <w:tcW w:w="110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059EDCB" w14:textId="6652232F" w:rsidR="00F53E3A" w:rsidRDefault="00DB2EC5">
            <w:pPr>
              <w:pStyle w:val="P68B1DB1-Normal12"/>
              <w:spacing w:before="60" w:after="60"/>
              <w:jc w:val="center"/>
              <w:rPr>
                <w:rFonts w:eastAsia="Times New Roman" w:cs="Times New Roman"/>
                <w:noProof/>
              </w:rPr>
            </w:pPr>
            <w:r>
              <w:rPr>
                <w:noProof/>
              </w:rPr>
              <w:t>T4</w:t>
            </w:r>
          </w:p>
        </w:tc>
        <w:tc>
          <w:tcPr>
            <w:tcW w:w="66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0E80FD3" w14:textId="18582801" w:rsidR="00F53E3A" w:rsidRDefault="0036255F">
            <w:pPr>
              <w:pStyle w:val="P68B1DB1-Normal12"/>
              <w:spacing w:before="60" w:after="60"/>
              <w:jc w:val="center"/>
              <w:rPr>
                <w:rFonts w:eastAsia="Times New Roman" w:cs="Times New Roman"/>
                <w:noProof/>
              </w:rPr>
            </w:pPr>
            <w:r>
              <w:rPr>
                <w:noProof/>
              </w:rPr>
              <w:t>2022</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293BE0F" w14:textId="63DC8EFD" w:rsidR="00F53E3A" w:rsidRDefault="0036255F">
            <w:pPr>
              <w:pStyle w:val="P68B1DB1-Normal12"/>
              <w:spacing w:before="60" w:after="60"/>
              <w:jc w:val="both"/>
              <w:rPr>
                <w:rFonts w:eastAsia="Calibri" w:cs="Times New Roman"/>
                <w:noProof/>
              </w:rPr>
            </w:pPr>
            <w:r>
              <w:rPr>
                <w:noProof/>
              </w:rPr>
              <w:t>Ministerul Sănătății elaborează și aprobă un plan de acțiune privind dezvoltarea medicinei familiale pentru perioada 2016-2025. Planul de acțiune definește funcțiile unui medic de familie care nu sunt direct legate de furnizarea de servicii de asistență medicală</w:t>
            </w:r>
            <w:r>
              <w:rPr>
                <w:strike/>
                <w:noProof/>
              </w:rPr>
              <w:t>;</w:t>
            </w:r>
            <w:r>
              <w:rPr>
                <w:noProof/>
              </w:rPr>
              <w:t xml:space="preserve"> și redistribuirea responsabilităților între medicii generaliști și alți membri ai echipei medicale (asistenți medicali, moașe, asistenți medicali, profesioniști din domeniul stilului de viață, asistenți sociali sau fizioterapeuți).</w:t>
            </w:r>
          </w:p>
        </w:tc>
      </w:tr>
      <w:tr w:rsidR="00F53E3A" w14:paraId="155E66C3" w14:textId="77777777" w:rsidTr="00DB2EC5">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A47C5FE" w14:textId="424D0502" w:rsidR="00F53E3A" w:rsidRDefault="0036255F">
            <w:pPr>
              <w:pStyle w:val="P68B1DB1-Normal12"/>
              <w:spacing w:before="60" w:after="60"/>
              <w:jc w:val="center"/>
              <w:rPr>
                <w:rFonts w:cs="Times New Roman"/>
                <w:noProof/>
              </w:rPr>
            </w:pPr>
            <w:r>
              <w:rPr>
                <w:noProof/>
              </w:rPr>
              <w:t>4</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553367D" w14:textId="5A828D4E" w:rsidR="00F53E3A" w:rsidRDefault="0036255F">
            <w:pPr>
              <w:pStyle w:val="P68B1DB1-Normal12"/>
              <w:spacing w:before="60" w:after="60"/>
              <w:rPr>
                <w:rFonts w:cs="Times New Roman"/>
                <w:noProof/>
              </w:rPr>
            </w:pPr>
            <w:r>
              <w:rPr>
                <w:noProof/>
              </w:rPr>
              <w:t xml:space="preserve">A.1.1. Îmbunătățirea calității și accesibilității serviciilor de sănătate și promovarea inovării </w:t>
            </w:r>
          </w:p>
          <w:p w14:paraId="6116DF6C" w14:textId="419294A4" w:rsidR="00F53E3A" w:rsidRDefault="0036255F">
            <w:pPr>
              <w:pStyle w:val="P68B1DB1-Normal12"/>
              <w:spacing w:before="60" w:after="60"/>
              <w:rPr>
                <w:rFonts w:cs="Times New Roman"/>
                <w:noProof/>
              </w:rPr>
            </w:pPr>
            <w:r>
              <w:rPr>
                <w:noProof/>
              </w:rPr>
              <w:t>A.1.1.4. Stabilirea unui model de bază de furnizare a serviciilor de sănătate publică</w:t>
            </w:r>
          </w:p>
        </w:tc>
        <w:tc>
          <w:tcPr>
            <w:tcW w:w="1245"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5862733" w14:textId="77777777" w:rsidR="00F53E3A" w:rsidRDefault="0036255F">
            <w:pPr>
              <w:pStyle w:val="P68B1DB1-Normal12"/>
              <w:spacing w:before="60" w:after="60"/>
              <w:jc w:val="center"/>
              <w:rPr>
                <w:rFonts w:cs="Times New Roman"/>
                <w:noProof/>
              </w:rPr>
            </w:pPr>
            <w:r>
              <w:rPr>
                <w:noProof/>
              </w:rPr>
              <w:t>Etapă</w:t>
            </w:r>
          </w:p>
        </w:tc>
        <w:tc>
          <w:tcPr>
            <w:tcW w:w="1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9A97C2" w14:textId="4FAB08E6" w:rsidR="00F53E3A" w:rsidRDefault="0036255F">
            <w:pPr>
              <w:pStyle w:val="P68B1DB1-Normal13"/>
              <w:spacing w:before="60" w:after="60"/>
              <w:rPr>
                <w:rFonts w:eastAsia="Segoe UI"/>
                <w:noProof/>
              </w:rPr>
            </w:pPr>
            <w:r>
              <w:rPr>
                <w:noProof/>
              </w:rPr>
              <w:t>Intrarea în vigoare</w:t>
            </w:r>
            <w:r>
              <w:rPr>
                <w:noProof/>
                <w:color w:val="000000" w:themeColor="text1"/>
              </w:rPr>
              <w:t xml:space="preserve"> a legislației de stabilire a unui model de bază de furnizare a serviciilor de sănătate publică</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CCCB95F" w14:textId="30907AC2" w:rsidR="00F53E3A" w:rsidRDefault="0036255F">
            <w:pPr>
              <w:pStyle w:val="P68B1DB1-Normal12"/>
              <w:spacing w:before="60" w:after="60"/>
              <w:rPr>
                <w:rFonts w:cs="Times New Roman"/>
                <w:noProof/>
              </w:rPr>
            </w:pPr>
            <w:r>
              <w:rPr>
                <w:noProof/>
              </w:rPr>
              <w:t>Legislația a intrat în vigoare</w:t>
            </w:r>
          </w:p>
        </w:tc>
        <w:tc>
          <w:tcPr>
            <w:tcW w:w="97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4F05ACA" w14:textId="6FFE2071" w:rsidR="00F53E3A" w:rsidRDefault="0036255F">
            <w:pPr>
              <w:pStyle w:val="P68B1DB1-Normal12"/>
              <w:spacing w:before="60" w:after="60"/>
              <w:jc w:val="center"/>
              <w:rPr>
                <w:rFonts w:eastAsia="Segoe UI" w:cs="Times New Roman"/>
                <w:noProof/>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3D7B2CE" w14:textId="55DE7C2C" w:rsidR="00F53E3A" w:rsidRDefault="0036255F">
            <w:pPr>
              <w:pStyle w:val="P68B1DB1-Normal12"/>
              <w:spacing w:before="60" w:after="60"/>
              <w:jc w:val="center"/>
              <w:rPr>
                <w:rFonts w:eastAsia="Segoe UI" w:cs="Times New Roman"/>
                <w:noProof/>
              </w:rPr>
            </w:pPr>
            <w:r>
              <w:rPr>
                <w:noProof/>
              </w:rPr>
              <w:t>NU EXISTĂ</w:t>
            </w:r>
          </w:p>
        </w:tc>
        <w:tc>
          <w:tcPr>
            <w:tcW w:w="87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4F33DE2" w14:textId="534E870A" w:rsidR="00F53E3A" w:rsidRDefault="0036255F">
            <w:pPr>
              <w:pStyle w:val="P68B1DB1-Normal12"/>
              <w:spacing w:before="60" w:after="60"/>
              <w:jc w:val="center"/>
              <w:rPr>
                <w:rFonts w:eastAsia="Segoe UI" w:cs="Times New Roman"/>
                <w:noProof/>
              </w:rPr>
            </w:pPr>
            <w:r>
              <w:rPr>
                <w:noProof/>
              </w:rPr>
              <w:t>NU EXISTĂ</w:t>
            </w:r>
          </w:p>
        </w:tc>
        <w:tc>
          <w:tcPr>
            <w:tcW w:w="110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299F806" w14:textId="70DDE4D8" w:rsidR="00F53E3A" w:rsidRDefault="00DB2EC5">
            <w:pPr>
              <w:pStyle w:val="P68B1DB1-Normal12"/>
              <w:spacing w:before="60" w:after="60"/>
              <w:jc w:val="center"/>
              <w:rPr>
                <w:rFonts w:cs="Times New Roman"/>
                <w:noProof/>
              </w:rPr>
            </w:pPr>
            <w:r>
              <w:rPr>
                <w:noProof/>
              </w:rPr>
              <w:t>T1</w:t>
            </w:r>
          </w:p>
        </w:tc>
        <w:tc>
          <w:tcPr>
            <w:tcW w:w="66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7CCA764" w14:textId="77777777" w:rsidR="00F53E3A" w:rsidRDefault="0036255F">
            <w:pPr>
              <w:pStyle w:val="P68B1DB1-Normal12"/>
              <w:spacing w:before="60" w:after="60"/>
              <w:jc w:val="center"/>
              <w:rPr>
                <w:rFonts w:cs="Times New Roman"/>
                <w:noProof/>
              </w:rPr>
            </w:pPr>
            <w:r>
              <w:rPr>
                <w:noProof/>
              </w:rPr>
              <w:t>2023</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3E7D6C" w14:textId="5AB1BC9C" w:rsidR="00F53E3A" w:rsidRDefault="0036255F">
            <w:pPr>
              <w:pStyle w:val="P68B1DB1-Normal14"/>
              <w:spacing w:before="60" w:after="60"/>
              <w:jc w:val="both"/>
              <w:rPr>
                <w:rFonts w:ascii="Calibri" w:eastAsia="Calibri" w:hAnsi="Calibri" w:cs="Calibri"/>
                <w:strike/>
                <w:noProof/>
              </w:rPr>
            </w:pPr>
            <w:r>
              <w:rPr>
                <w:noProof/>
              </w:rPr>
              <w:t xml:space="preserve">Intră în vigoare o legislație care să impună furnizarea de servicii de sănătate publică de bază de către municipalități. Un plan care stabilește serviciile de sănătate publică de bază care urmează să fie furnizate de municipalități este aprobat de Comisia pentru dezvoltarea asistenței medicale publice. Planul include indicatori de monitorizare a furnizării serviciilor și de identificare a principalelor grupuri-țintă. </w:t>
            </w:r>
          </w:p>
        </w:tc>
      </w:tr>
      <w:tr w:rsidR="00F53E3A" w14:paraId="3F620609" w14:textId="77777777" w:rsidTr="00DB2EC5">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6D8AF4D" w14:textId="70571F31" w:rsidR="00F53E3A" w:rsidRDefault="0036255F">
            <w:pPr>
              <w:pStyle w:val="P68B1DB1-Normal12"/>
              <w:spacing w:before="60" w:after="60"/>
              <w:jc w:val="center"/>
              <w:rPr>
                <w:rFonts w:cs="Times New Roman"/>
                <w:noProof/>
              </w:rPr>
            </w:pPr>
            <w:r>
              <w:rPr>
                <w:noProof/>
              </w:rPr>
              <w:t>5</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D560C7E" w14:textId="44FA3A7C" w:rsidR="00F53E3A" w:rsidRDefault="0036255F">
            <w:pPr>
              <w:pStyle w:val="P68B1DB1-Normal12"/>
              <w:spacing w:before="60" w:after="60"/>
              <w:rPr>
                <w:rFonts w:eastAsia="Times New Roman" w:cs="Times New Roman"/>
                <w:noProof/>
              </w:rPr>
            </w:pPr>
            <w:r>
              <w:rPr>
                <w:noProof/>
              </w:rPr>
              <w:t xml:space="preserve">A.1.1. Îmbunătățirea calității și accesibilității serviciilor de sănătate și promovarea inovării </w:t>
            </w:r>
          </w:p>
          <w:p w14:paraId="4D5D5BC8" w14:textId="38CAE1F0" w:rsidR="00F53E3A" w:rsidRDefault="0036255F">
            <w:pPr>
              <w:pStyle w:val="P68B1DB1-Normal12"/>
              <w:spacing w:before="60" w:after="60"/>
              <w:rPr>
                <w:rFonts w:cs="Times New Roman"/>
                <w:noProof/>
              </w:rPr>
            </w:pPr>
            <w:r>
              <w:rPr>
                <w:noProof/>
              </w:rPr>
              <w:t>A.1.1.5. Îmbunătățirea condițiilor de muncă și a calificărilor profesionale ale cadrelor medicale</w:t>
            </w:r>
          </w:p>
        </w:tc>
        <w:tc>
          <w:tcPr>
            <w:tcW w:w="12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196DEE0" w14:textId="77777777" w:rsidR="00F53E3A" w:rsidRDefault="0036255F">
            <w:pPr>
              <w:pStyle w:val="P68B1DB1-Normal12"/>
              <w:spacing w:before="60" w:after="60"/>
              <w:jc w:val="center"/>
              <w:rPr>
                <w:rFonts w:cs="Times New Roman"/>
                <w:noProof/>
              </w:rPr>
            </w:pPr>
            <w:r>
              <w:rPr>
                <w:noProof/>
              </w:rPr>
              <w:t>Etapă</w:t>
            </w:r>
          </w:p>
        </w:tc>
        <w:tc>
          <w:tcPr>
            <w:tcW w:w="1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3F0FB55" w14:textId="77777777" w:rsidR="00F53E3A" w:rsidRDefault="0036255F">
            <w:pPr>
              <w:pStyle w:val="P68B1DB1-Normal12"/>
              <w:spacing w:before="60" w:after="60"/>
              <w:rPr>
                <w:rFonts w:eastAsia="Segoe UI" w:cs="Times New Roman"/>
                <w:noProof/>
              </w:rPr>
            </w:pPr>
            <w:r>
              <w:rPr>
                <w:noProof/>
              </w:rPr>
              <w:t>Intrarea în vigoare a legislației privind îmbunătățirea condițiilor de muncă și a calificărilor profesionale ale cadrelor medicale</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A88E3FB" w14:textId="5CD56111" w:rsidR="00F53E3A" w:rsidRDefault="0036255F">
            <w:pPr>
              <w:pStyle w:val="P68B1DB1-Normal12"/>
              <w:spacing w:before="60" w:after="60"/>
              <w:rPr>
                <w:rFonts w:eastAsia="Segoe UI" w:cs="Times New Roman"/>
                <w:noProof/>
              </w:rPr>
            </w:pPr>
            <w:r>
              <w:rPr>
                <w:noProof/>
              </w:rPr>
              <w:t>Legislația a intrat în vigoare</w:t>
            </w:r>
          </w:p>
        </w:tc>
        <w:tc>
          <w:tcPr>
            <w:tcW w:w="97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09F0E78" w14:textId="2939C1FB" w:rsidR="00F53E3A" w:rsidRDefault="0036255F">
            <w:pPr>
              <w:pStyle w:val="P68B1DB1-Normal12"/>
              <w:spacing w:before="60" w:after="60"/>
              <w:jc w:val="center"/>
              <w:rPr>
                <w:rFonts w:eastAsia="Segoe UI" w:cs="Times New Roman"/>
                <w:noProof/>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0FAD5DB" w14:textId="069F696C" w:rsidR="00F53E3A" w:rsidRDefault="0036255F">
            <w:pPr>
              <w:pStyle w:val="P68B1DB1-Normal12"/>
              <w:spacing w:before="60" w:after="60"/>
              <w:jc w:val="center"/>
              <w:rPr>
                <w:rFonts w:eastAsia="Segoe UI" w:cs="Times New Roman"/>
                <w:noProof/>
              </w:rPr>
            </w:pPr>
            <w:r>
              <w:rPr>
                <w:noProof/>
              </w:rPr>
              <w:t>NU EXISTĂ</w:t>
            </w:r>
          </w:p>
        </w:tc>
        <w:tc>
          <w:tcPr>
            <w:tcW w:w="87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1EAF83F" w14:textId="2C9BFF18" w:rsidR="00F53E3A" w:rsidRDefault="0036255F">
            <w:pPr>
              <w:pStyle w:val="P68B1DB1-Normal12"/>
              <w:spacing w:before="60" w:after="60"/>
              <w:jc w:val="center"/>
              <w:rPr>
                <w:rFonts w:eastAsia="Segoe UI" w:cs="Times New Roman"/>
                <w:noProof/>
              </w:rPr>
            </w:pPr>
            <w:r>
              <w:rPr>
                <w:noProof/>
              </w:rPr>
              <w:t>NU EXISTĂ</w:t>
            </w:r>
          </w:p>
        </w:tc>
        <w:tc>
          <w:tcPr>
            <w:tcW w:w="110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E423984" w14:textId="5F9BF858" w:rsidR="00F53E3A" w:rsidRDefault="00DB2EC5">
            <w:pPr>
              <w:pStyle w:val="P68B1DB1-Normal12"/>
              <w:spacing w:before="60" w:after="60"/>
              <w:jc w:val="center"/>
              <w:rPr>
                <w:rFonts w:cs="Times New Roman"/>
                <w:noProof/>
              </w:rPr>
            </w:pPr>
            <w:r>
              <w:rPr>
                <w:noProof/>
              </w:rPr>
              <w:t>T2</w:t>
            </w:r>
          </w:p>
        </w:tc>
        <w:tc>
          <w:tcPr>
            <w:tcW w:w="66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DA55260" w14:textId="77777777" w:rsidR="00F53E3A" w:rsidRDefault="0036255F">
            <w:pPr>
              <w:pStyle w:val="P68B1DB1-Normal12"/>
              <w:spacing w:before="60" w:after="60"/>
              <w:jc w:val="center"/>
              <w:rPr>
                <w:rFonts w:cs="Times New Roman"/>
                <w:noProof/>
              </w:rPr>
            </w:pPr>
            <w:r>
              <w:rPr>
                <w:noProof/>
              </w:rPr>
              <w:t>2023</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F66A203" w14:textId="29BFBF24" w:rsidR="00F53E3A" w:rsidRDefault="0036255F">
            <w:pPr>
              <w:pStyle w:val="P68B1DB1-Normal12"/>
              <w:spacing w:before="60" w:after="60"/>
              <w:jc w:val="both"/>
              <w:rPr>
                <w:rFonts w:cs="Times New Roman"/>
                <w:noProof/>
              </w:rPr>
            </w:pPr>
            <w:r>
              <w:rPr>
                <w:noProof/>
              </w:rPr>
              <w:t>Legislația de îmbunătățire a condițiilor de muncă și a calificărilor profesionale ale profesioniștilor din domeniul sănătății include dispoziții privind reglementarea salariilor, volumul de muncă, măsuri de îmbunătățire a stării psihoemoționale a medicilor și un mecanism de formare la locul de muncă a profesioniștilor din domeniul sănătății.</w:t>
            </w:r>
          </w:p>
        </w:tc>
      </w:tr>
      <w:tr w:rsidR="00F53E3A" w14:paraId="33698CDE" w14:textId="77777777" w:rsidTr="00DB2EC5">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7753DBE" w14:textId="01C8AC31" w:rsidR="00F53E3A" w:rsidRDefault="0036255F">
            <w:pPr>
              <w:pStyle w:val="P68B1DB1-Normal12"/>
              <w:spacing w:before="60" w:after="60"/>
              <w:jc w:val="center"/>
              <w:rPr>
                <w:rFonts w:cs="Times New Roman"/>
                <w:noProof/>
              </w:rPr>
            </w:pPr>
            <w:r>
              <w:rPr>
                <w:noProof/>
              </w:rPr>
              <w:t>6</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40E8604" w14:textId="0AD603EA" w:rsidR="00F53E3A" w:rsidRDefault="0036255F">
            <w:pPr>
              <w:pStyle w:val="P68B1DB1-Normal12"/>
              <w:spacing w:before="60" w:after="60"/>
              <w:rPr>
                <w:rFonts w:cs="Times New Roman"/>
                <w:noProof/>
              </w:rPr>
            </w:pPr>
            <w:r>
              <w:rPr>
                <w:noProof/>
              </w:rPr>
              <w:t xml:space="preserve">A.1.1. Îmbunătățirea calității și accesibilității serviciilor de sănătate și promovarea inovării </w:t>
            </w:r>
          </w:p>
          <w:p w14:paraId="6D1AB1AE" w14:textId="01AC1343" w:rsidR="00F53E3A" w:rsidRDefault="0036255F">
            <w:pPr>
              <w:pStyle w:val="P68B1DB1-Normal12"/>
              <w:spacing w:before="60" w:after="60"/>
              <w:rPr>
                <w:rFonts w:cs="Times New Roman"/>
                <w:noProof/>
              </w:rPr>
            </w:pPr>
            <w:r>
              <w:rPr>
                <w:noProof/>
              </w:rPr>
              <w:t>A.1.1.6. Crearea unei rețele de instituții de asistență medicală personală pe baza modelului de cooperare regională</w:t>
            </w:r>
          </w:p>
        </w:tc>
        <w:tc>
          <w:tcPr>
            <w:tcW w:w="12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41F47B0" w14:textId="77777777" w:rsidR="00F53E3A" w:rsidRDefault="0036255F">
            <w:pPr>
              <w:pStyle w:val="P68B1DB1-Normal12"/>
              <w:spacing w:before="60" w:after="60"/>
              <w:jc w:val="center"/>
              <w:rPr>
                <w:rFonts w:cs="Times New Roman"/>
                <w:noProof/>
              </w:rPr>
            </w:pPr>
            <w:r>
              <w:rPr>
                <w:noProof/>
              </w:rPr>
              <w:t>Etapă</w:t>
            </w:r>
          </w:p>
        </w:tc>
        <w:tc>
          <w:tcPr>
            <w:tcW w:w="1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F9E20D" w14:textId="01A4785F" w:rsidR="00F53E3A" w:rsidRDefault="0036255F">
            <w:pPr>
              <w:pStyle w:val="P68B1DB1-Normal12"/>
              <w:spacing w:before="60" w:after="60"/>
              <w:rPr>
                <w:rFonts w:eastAsia="Segoe UI" w:cs="Times New Roman"/>
                <w:noProof/>
              </w:rPr>
            </w:pPr>
            <w:r>
              <w:rPr>
                <w:noProof/>
              </w:rPr>
              <w:t>Intrarea în vigoare a legislației privind înființarea și reglementarea unei rețele de instituții de asistență medicală personală bazate pe modelul centrelor de excelență și al cooperării regionale</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3B35749" w14:textId="6668B396" w:rsidR="00F53E3A" w:rsidRDefault="0036255F">
            <w:pPr>
              <w:pStyle w:val="P68B1DB1-Normal12"/>
              <w:spacing w:before="60" w:after="60"/>
              <w:rPr>
                <w:rFonts w:eastAsia="Segoe UI" w:cs="Times New Roman"/>
                <w:noProof/>
              </w:rPr>
            </w:pPr>
            <w:r>
              <w:rPr>
                <w:noProof/>
              </w:rPr>
              <w:t>Legislația a intrat în vigoare</w:t>
            </w:r>
          </w:p>
        </w:tc>
        <w:tc>
          <w:tcPr>
            <w:tcW w:w="97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228552C" w14:textId="421B7F12" w:rsidR="00F53E3A" w:rsidRDefault="0036255F">
            <w:pPr>
              <w:pStyle w:val="P68B1DB1-Normal12"/>
              <w:spacing w:before="60" w:after="60"/>
              <w:jc w:val="center"/>
              <w:rPr>
                <w:rFonts w:eastAsia="Segoe UI" w:cs="Times New Roman"/>
                <w:noProof/>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0586807" w14:textId="779611A9" w:rsidR="00F53E3A" w:rsidRDefault="0036255F">
            <w:pPr>
              <w:pStyle w:val="P68B1DB1-Normal12"/>
              <w:spacing w:before="60" w:after="60"/>
              <w:jc w:val="center"/>
              <w:rPr>
                <w:rFonts w:eastAsia="Times New Roman" w:cs="Times New Roman"/>
                <w:noProof/>
              </w:rPr>
            </w:pPr>
            <w:r>
              <w:rPr>
                <w:noProof/>
              </w:rPr>
              <w:t>NU EXISTĂ</w:t>
            </w:r>
          </w:p>
        </w:tc>
        <w:tc>
          <w:tcPr>
            <w:tcW w:w="87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A9BB5BA" w14:textId="53306758" w:rsidR="00F53E3A" w:rsidRDefault="0036255F">
            <w:pPr>
              <w:pStyle w:val="P68B1DB1-Normal12"/>
              <w:spacing w:before="60" w:after="60"/>
              <w:jc w:val="center"/>
              <w:rPr>
                <w:rFonts w:eastAsia="Times New Roman" w:cs="Times New Roman"/>
                <w:noProof/>
              </w:rPr>
            </w:pPr>
            <w:r>
              <w:rPr>
                <w:noProof/>
              </w:rPr>
              <w:t>NU EXISTĂ</w:t>
            </w:r>
          </w:p>
        </w:tc>
        <w:tc>
          <w:tcPr>
            <w:tcW w:w="110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2976A99" w14:textId="07157A91" w:rsidR="00F53E3A" w:rsidRDefault="00DB2EC5">
            <w:pPr>
              <w:pStyle w:val="P68B1DB1-Normal12"/>
              <w:spacing w:before="60" w:after="60"/>
              <w:jc w:val="center"/>
              <w:rPr>
                <w:rFonts w:eastAsia="Times New Roman" w:cs="Times New Roman"/>
                <w:noProof/>
              </w:rPr>
            </w:pPr>
            <w:r>
              <w:rPr>
                <w:noProof/>
              </w:rPr>
              <w:t>T3</w:t>
            </w:r>
          </w:p>
        </w:tc>
        <w:tc>
          <w:tcPr>
            <w:tcW w:w="66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5E15B1A" w14:textId="77777777" w:rsidR="00F53E3A" w:rsidRDefault="0036255F">
            <w:pPr>
              <w:pStyle w:val="P68B1DB1-Normal12"/>
              <w:spacing w:before="60" w:after="60"/>
              <w:jc w:val="center"/>
              <w:rPr>
                <w:rFonts w:eastAsia="Times New Roman" w:cs="Times New Roman"/>
                <w:noProof/>
              </w:rPr>
            </w:pPr>
            <w:r>
              <w:rPr>
                <w:noProof/>
              </w:rPr>
              <w:t>2023</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170E763" w14:textId="2AA67B0F" w:rsidR="00F53E3A" w:rsidRDefault="0036255F">
            <w:pPr>
              <w:pStyle w:val="P68B1DB1-Normal12"/>
              <w:spacing w:before="60" w:after="60"/>
              <w:jc w:val="both"/>
              <w:rPr>
                <w:rFonts w:eastAsia="Times New Roman" w:cs="Times New Roman"/>
                <w:noProof/>
              </w:rPr>
            </w:pPr>
            <w:r>
              <w:rPr>
                <w:noProof/>
              </w:rPr>
              <w:t>Legislația care reglementează rețeaua de instituții de îngrijire medicală personală pe baza modelului centrelor de excelență și de cooperare regională stabilește principiile și criteriile pentru formarea unei rețele de instituții de îngrijire medicală personală și a unui mecanism de cooperare între instituțiile de îngrijire medicală personală și centrele de excelență.</w:t>
            </w:r>
          </w:p>
        </w:tc>
      </w:tr>
      <w:tr w:rsidR="00F53E3A" w14:paraId="1420C5F2" w14:textId="77777777" w:rsidTr="00DB2EC5">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1923EF5" w14:textId="2E4FB20C" w:rsidR="00F53E3A" w:rsidRDefault="0036255F">
            <w:pPr>
              <w:pStyle w:val="P68B1DB1-Normal12"/>
              <w:spacing w:before="60" w:after="60"/>
              <w:jc w:val="center"/>
              <w:rPr>
                <w:rFonts w:cs="Times New Roman"/>
                <w:noProof/>
              </w:rPr>
            </w:pPr>
            <w:r>
              <w:rPr>
                <w:noProof/>
              </w:rPr>
              <w:t>7</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6BAF81D" w14:textId="47250017" w:rsidR="00F53E3A" w:rsidRDefault="0036255F">
            <w:pPr>
              <w:pStyle w:val="P68B1DB1-Normal12"/>
              <w:spacing w:before="60" w:after="60"/>
              <w:rPr>
                <w:rFonts w:eastAsia="Times New Roman" w:cs="Times New Roman"/>
                <w:noProof/>
              </w:rPr>
            </w:pPr>
            <w:r>
              <w:rPr>
                <w:noProof/>
              </w:rPr>
              <w:t xml:space="preserve">A.1.1. Îmbunătățirea calității și accesibilității serviciilor de sănătate și promovarea inovării </w:t>
            </w:r>
          </w:p>
          <w:p w14:paraId="5DCD5B02" w14:textId="7743D30B" w:rsidR="00F53E3A" w:rsidRDefault="0036255F">
            <w:pPr>
              <w:pStyle w:val="P68B1DB1-Normal12"/>
              <w:spacing w:before="60" w:after="60"/>
              <w:rPr>
                <w:rFonts w:eastAsia="Times New Roman" w:cs="Times New Roman"/>
                <w:noProof/>
              </w:rPr>
            </w:pPr>
            <w:r>
              <w:rPr>
                <w:noProof/>
              </w:rPr>
              <w:t>A.1.1.7. Crearea Centrului pentru terapii avansate</w:t>
            </w:r>
          </w:p>
        </w:tc>
        <w:tc>
          <w:tcPr>
            <w:tcW w:w="12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A2939D7" w14:textId="77777777" w:rsidR="00F53E3A" w:rsidRDefault="0036255F">
            <w:pPr>
              <w:pStyle w:val="P68B1DB1-Normal12"/>
              <w:spacing w:before="60" w:after="60"/>
              <w:jc w:val="center"/>
              <w:rPr>
                <w:rFonts w:cs="Times New Roman"/>
                <w:noProof/>
              </w:rPr>
            </w:pPr>
            <w:r>
              <w:rPr>
                <w:noProof/>
              </w:rPr>
              <w:t>Etapă</w:t>
            </w:r>
          </w:p>
        </w:tc>
        <w:tc>
          <w:tcPr>
            <w:tcW w:w="1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9CA5FB" w14:textId="0004427D" w:rsidR="00F53E3A" w:rsidRDefault="0036255F">
            <w:pPr>
              <w:pStyle w:val="P68B1DB1-Normal14"/>
              <w:spacing w:before="60" w:after="60"/>
              <w:rPr>
                <w:noProof/>
              </w:rPr>
            </w:pPr>
            <w:r>
              <w:rPr>
                <w:noProof/>
              </w:rPr>
              <w:t xml:space="preserve">Centru de terapie avansată </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983C7D" w14:textId="18578223" w:rsidR="00F53E3A" w:rsidRDefault="0036255F">
            <w:pPr>
              <w:pStyle w:val="P68B1DB1-Normal14"/>
              <w:spacing w:before="60" w:after="60"/>
              <w:rPr>
                <w:noProof/>
              </w:rPr>
            </w:pPr>
            <w:r>
              <w:rPr>
                <w:noProof/>
              </w:rPr>
              <w:t>Extinderea infrastructurii pentru centrul de terapie avansată construit</w:t>
            </w:r>
          </w:p>
        </w:tc>
        <w:tc>
          <w:tcPr>
            <w:tcW w:w="97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9556AFE" w14:textId="432E4075" w:rsidR="00F53E3A" w:rsidRDefault="0036255F">
            <w:pPr>
              <w:pStyle w:val="P68B1DB1-Normal13"/>
              <w:spacing w:before="60" w:after="60"/>
              <w:jc w:val="center"/>
              <w:rPr>
                <w:noProof/>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CF6551C" w14:textId="02F98AFE" w:rsidR="00F53E3A" w:rsidRDefault="0036255F">
            <w:pPr>
              <w:pStyle w:val="P68B1DB1-Normal13"/>
              <w:spacing w:before="60" w:after="60"/>
              <w:jc w:val="center"/>
              <w:rPr>
                <w:noProof/>
              </w:rPr>
            </w:pPr>
            <w:r>
              <w:rPr>
                <w:noProof/>
              </w:rPr>
              <w:t>NU EXISTĂ</w:t>
            </w:r>
          </w:p>
        </w:tc>
        <w:tc>
          <w:tcPr>
            <w:tcW w:w="87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12BEDEA" w14:textId="3A55D497" w:rsidR="00F53E3A" w:rsidRDefault="0036255F">
            <w:pPr>
              <w:pStyle w:val="P68B1DB1-Normal13"/>
              <w:spacing w:before="60" w:after="60"/>
              <w:jc w:val="center"/>
              <w:rPr>
                <w:noProof/>
              </w:rPr>
            </w:pPr>
            <w:r>
              <w:rPr>
                <w:noProof/>
              </w:rPr>
              <w:t>NU EXISTĂ</w:t>
            </w:r>
          </w:p>
        </w:tc>
        <w:tc>
          <w:tcPr>
            <w:tcW w:w="110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D52DC37" w14:textId="13E60CF2" w:rsidR="00F53E3A" w:rsidRDefault="00DB2EC5">
            <w:pPr>
              <w:pStyle w:val="P68B1DB1-Normal13"/>
              <w:spacing w:before="60" w:after="60"/>
              <w:jc w:val="center"/>
              <w:rPr>
                <w:noProof/>
              </w:rPr>
            </w:pPr>
            <w:r>
              <w:rPr>
                <w:noProof/>
              </w:rPr>
              <w:t>T2</w:t>
            </w:r>
          </w:p>
        </w:tc>
        <w:tc>
          <w:tcPr>
            <w:tcW w:w="66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ED6D1EB" w14:textId="31564FAD" w:rsidR="00F53E3A" w:rsidRDefault="0036255F">
            <w:pPr>
              <w:pStyle w:val="P68B1DB1-Normal13"/>
              <w:spacing w:before="60" w:after="60"/>
              <w:jc w:val="center"/>
              <w:rPr>
                <w:noProof/>
              </w:rPr>
            </w:pPr>
            <w:r>
              <w:rPr>
                <w:noProof/>
              </w:rPr>
              <w:t>2026</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CB057AF" w14:textId="49E26083" w:rsidR="00F53E3A" w:rsidRDefault="0036255F">
            <w:pPr>
              <w:pStyle w:val="P68B1DB1-Normal14"/>
              <w:spacing w:before="60" w:after="60"/>
              <w:jc w:val="both"/>
              <w:rPr>
                <w:noProof/>
              </w:rPr>
            </w:pPr>
            <w:r>
              <w:rPr>
                <w:noProof/>
              </w:rPr>
              <w:t>Extinderea infrastructurii pentru construirea unui centru de terapie avansată și achiziționarea de echipamente.</w:t>
            </w:r>
          </w:p>
        </w:tc>
      </w:tr>
      <w:tr w:rsidR="00F53E3A" w14:paraId="76FD2A46" w14:textId="77777777" w:rsidTr="00DB2EC5">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EF4CB6F" w14:textId="255E6CCF" w:rsidR="00F53E3A" w:rsidRDefault="0036255F">
            <w:pPr>
              <w:pStyle w:val="P68B1DB1-Normal12"/>
              <w:spacing w:before="60" w:after="60"/>
              <w:jc w:val="center"/>
              <w:rPr>
                <w:noProof/>
                <w:highlight w:val="yellow"/>
              </w:rPr>
            </w:pPr>
            <w:r>
              <w:rPr>
                <w:noProof/>
              </w:rPr>
              <w:t>9</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02D54DD" w14:textId="55AA872B" w:rsidR="00F53E3A" w:rsidRDefault="0036255F">
            <w:pPr>
              <w:pStyle w:val="P68B1DB1-Normal12"/>
              <w:spacing w:before="60" w:after="60"/>
              <w:rPr>
                <w:rFonts w:eastAsia="Times New Roman" w:cs="Times New Roman"/>
                <w:noProof/>
              </w:rPr>
            </w:pPr>
            <w:r>
              <w:rPr>
                <w:noProof/>
              </w:rPr>
              <w:t>A.1.1. Îmbunătățirea calității și accesibilității serviciilor de sănătate și promovarea inovării</w:t>
            </w:r>
          </w:p>
          <w:p w14:paraId="261D7FB9" w14:textId="6B7884A3" w:rsidR="00F53E3A" w:rsidRDefault="0036255F">
            <w:pPr>
              <w:pStyle w:val="P68B1DB1-Normal12"/>
              <w:spacing w:before="60" w:after="60"/>
              <w:rPr>
                <w:rFonts w:eastAsia="Times New Roman" w:cs="Times New Roman"/>
                <w:noProof/>
              </w:rPr>
            </w:pPr>
            <w:r>
              <w:rPr>
                <w:noProof/>
              </w:rPr>
              <w:t>A.1.1.8. Colectarea datelor privind genomul de referință</w:t>
            </w:r>
          </w:p>
        </w:tc>
        <w:tc>
          <w:tcPr>
            <w:tcW w:w="12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4B9A317" w14:textId="77777777" w:rsidR="00F53E3A" w:rsidRDefault="0036255F">
            <w:pPr>
              <w:pStyle w:val="P68B1DB1-Normal12"/>
              <w:spacing w:before="60" w:after="60"/>
              <w:jc w:val="center"/>
              <w:rPr>
                <w:noProof/>
              </w:rPr>
            </w:pPr>
            <w:r>
              <w:rPr>
                <w:noProof/>
              </w:rPr>
              <w:t>Țintă</w:t>
            </w:r>
          </w:p>
        </w:tc>
        <w:tc>
          <w:tcPr>
            <w:tcW w:w="1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0B27CBF" w14:textId="09854699" w:rsidR="00F53E3A" w:rsidRDefault="0036255F">
            <w:pPr>
              <w:pStyle w:val="P68B1DB1-Normal12"/>
              <w:spacing w:before="60" w:after="60"/>
              <w:rPr>
                <w:noProof/>
              </w:rPr>
            </w:pPr>
            <w:r>
              <w:rPr>
                <w:noProof/>
              </w:rPr>
              <w:t>Numărul de teste de secvențiere efectuate pentru genomul uman</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68B1F6" w14:textId="3E7761B1" w:rsidR="00F53E3A" w:rsidRDefault="00F53E3A">
            <w:pPr>
              <w:spacing w:before="60" w:after="60"/>
              <w:rPr>
                <w:noProof/>
                <w:sz w:val="20"/>
              </w:rPr>
            </w:pPr>
          </w:p>
        </w:tc>
        <w:tc>
          <w:tcPr>
            <w:tcW w:w="97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D7FE688" w14:textId="77777777" w:rsidR="00F53E3A" w:rsidRDefault="0036255F">
            <w:pPr>
              <w:pStyle w:val="P68B1DB1-Normal12"/>
              <w:spacing w:before="60" w:after="60"/>
              <w:jc w:val="center"/>
              <w:rPr>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EBBEA23" w14:textId="58F205EA" w:rsidR="00F53E3A" w:rsidRDefault="0036255F">
            <w:pPr>
              <w:pStyle w:val="P68B1DB1-Normal12"/>
              <w:spacing w:before="60" w:after="60"/>
              <w:jc w:val="center"/>
              <w:rPr>
                <w:noProof/>
              </w:rPr>
            </w:pPr>
            <w:r>
              <w:rPr>
                <w:noProof/>
              </w:rPr>
              <w:t>0</w:t>
            </w:r>
          </w:p>
        </w:tc>
        <w:tc>
          <w:tcPr>
            <w:tcW w:w="87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A122EEF" w14:textId="283D11D8" w:rsidR="00F53E3A" w:rsidRDefault="0036255F">
            <w:pPr>
              <w:pStyle w:val="P68B1DB1-Normal12"/>
              <w:spacing w:before="60" w:after="60"/>
              <w:jc w:val="center"/>
              <w:rPr>
                <w:noProof/>
              </w:rPr>
            </w:pPr>
            <w:r>
              <w:rPr>
                <w:noProof/>
              </w:rPr>
              <w:t>1 570</w:t>
            </w:r>
          </w:p>
        </w:tc>
        <w:tc>
          <w:tcPr>
            <w:tcW w:w="110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69F6815" w14:textId="5E5B2671" w:rsidR="00F53E3A" w:rsidRDefault="00DB2EC5">
            <w:pPr>
              <w:pStyle w:val="P68B1DB1-Normal12"/>
              <w:spacing w:before="60" w:after="60"/>
              <w:jc w:val="center"/>
              <w:rPr>
                <w:noProof/>
              </w:rPr>
            </w:pPr>
            <w:r>
              <w:rPr>
                <w:noProof/>
              </w:rPr>
              <w:t>T1</w:t>
            </w:r>
          </w:p>
        </w:tc>
        <w:tc>
          <w:tcPr>
            <w:tcW w:w="66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C68BEA0" w14:textId="77777777" w:rsidR="00F53E3A" w:rsidRDefault="0036255F">
            <w:pPr>
              <w:pStyle w:val="P68B1DB1-Normal12"/>
              <w:spacing w:before="60" w:after="60"/>
              <w:jc w:val="center"/>
              <w:rPr>
                <w:noProof/>
              </w:rPr>
            </w:pPr>
            <w:r>
              <w:rPr>
                <w:noProof/>
              </w:rPr>
              <w:t>2026</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2C9E904" w14:textId="04EBAA8F" w:rsidR="00F53E3A" w:rsidRDefault="0036255F">
            <w:pPr>
              <w:pStyle w:val="P68B1DB1-Normal12"/>
              <w:spacing w:before="60" w:after="60"/>
              <w:jc w:val="both"/>
              <w:rPr>
                <w:rFonts w:eastAsia="Times New Roman" w:cs="Times New Roman"/>
                <w:noProof/>
              </w:rPr>
            </w:pPr>
            <w:r>
              <w:rPr>
                <w:noProof/>
              </w:rPr>
              <w:t>Teste de secvențiere pentru genomul uman efectuate.</w:t>
            </w:r>
          </w:p>
        </w:tc>
      </w:tr>
      <w:tr w:rsidR="00F53E3A" w14:paraId="72676862" w14:textId="77777777" w:rsidTr="00DB2EC5">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57B3D79" w14:textId="48EEED21" w:rsidR="00F53E3A" w:rsidRDefault="0036255F">
            <w:pPr>
              <w:pStyle w:val="P68B1DB1-Normal12"/>
              <w:spacing w:before="60" w:after="60"/>
              <w:jc w:val="center"/>
              <w:rPr>
                <w:rFonts w:cs="Times New Roman"/>
                <w:noProof/>
              </w:rPr>
            </w:pPr>
            <w:r>
              <w:rPr>
                <w:noProof/>
              </w:rPr>
              <w:t>10</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F42B61" w14:textId="4CF9CE57" w:rsidR="00F53E3A" w:rsidRDefault="0036255F">
            <w:pPr>
              <w:pStyle w:val="P68B1DB1-Normal12"/>
              <w:spacing w:before="60" w:after="60"/>
              <w:rPr>
                <w:rFonts w:cs="Times New Roman"/>
                <w:noProof/>
              </w:rPr>
            </w:pPr>
            <w:r>
              <w:rPr>
                <w:noProof/>
              </w:rPr>
              <w:t xml:space="preserve">A.1.1. Îmbunătățirea calității și accesibilității serviciilor de sănătate și promovarea inovării </w:t>
            </w:r>
          </w:p>
          <w:p w14:paraId="4F30F3EA" w14:textId="77777777" w:rsidR="00F53E3A" w:rsidRDefault="0036255F">
            <w:pPr>
              <w:pStyle w:val="P68B1DB1-Normal12"/>
              <w:spacing w:before="60" w:after="60"/>
              <w:rPr>
                <w:rFonts w:cs="Times New Roman"/>
                <w:noProof/>
              </w:rPr>
            </w:pPr>
            <w:r>
              <w:rPr>
                <w:noProof/>
              </w:rPr>
              <w:t>A.1.1.9. Înființarea platformei de competențe pentru profesioniștii din domeniul sănătății</w:t>
            </w:r>
          </w:p>
        </w:tc>
        <w:tc>
          <w:tcPr>
            <w:tcW w:w="12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40A4362" w14:textId="77777777" w:rsidR="00F53E3A" w:rsidRDefault="0036255F">
            <w:pPr>
              <w:pStyle w:val="P68B1DB1-Normal12"/>
              <w:spacing w:before="60" w:after="60"/>
              <w:jc w:val="center"/>
              <w:rPr>
                <w:rFonts w:cs="Times New Roman"/>
                <w:noProof/>
              </w:rPr>
            </w:pPr>
            <w:r>
              <w:rPr>
                <w:noProof/>
              </w:rPr>
              <w:t>Etapă</w:t>
            </w:r>
          </w:p>
        </w:tc>
        <w:tc>
          <w:tcPr>
            <w:tcW w:w="1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C7C53E" w14:textId="77777777" w:rsidR="00F53E3A" w:rsidRDefault="0036255F">
            <w:pPr>
              <w:pStyle w:val="P68B1DB1-Normal12"/>
              <w:spacing w:before="60" w:after="60"/>
              <w:rPr>
                <w:rFonts w:cs="Times New Roman"/>
                <w:noProof/>
              </w:rPr>
            </w:pPr>
            <w:r>
              <w:rPr>
                <w:noProof/>
              </w:rPr>
              <w:t xml:space="preserve">Înființarea unei platforme de competențe pentru profesioniștii din domeniul sănătății </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2E6AFAB" w14:textId="77777777" w:rsidR="00F53E3A" w:rsidRDefault="0036255F">
            <w:pPr>
              <w:pStyle w:val="P68B1DB1-Normal12"/>
              <w:spacing w:before="60" w:after="60"/>
              <w:rPr>
                <w:rFonts w:cs="Times New Roman"/>
                <w:noProof/>
              </w:rPr>
            </w:pPr>
            <w:r>
              <w:rPr>
                <w:noProof/>
              </w:rPr>
              <w:t>Înființarea Platformei de competențe pentru profesioniștii din domeniul sănătății</w:t>
            </w:r>
          </w:p>
        </w:tc>
        <w:tc>
          <w:tcPr>
            <w:tcW w:w="97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6EE0C49" w14:textId="4A7E1522" w:rsidR="00F53E3A" w:rsidRDefault="0036255F">
            <w:pPr>
              <w:pStyle w:val="P68B1DB1-Normal12"/>
              <w:spacing w:before="60" w:after="60"/>
              <w:jc w:val="center"/>
              <w:rPr>
                <w:rFonts w:cs="Times New Roman"/>
                <w:noProof/>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55A2C34" w14:textId="61FD8A33" w:rsidR="00F53E3A" w:rsidRDefault="0036255F">
            <w:pPr>
              <w:pStyle w:val="P68B1DB1-Normal12"/>
              <w:spacing w:before="60" w:after="60"/>
              <w:jc w:val="center"/>
              <w:rPr>
                <w:rFonts w:eastAsia="Times New Roman" w:cs="Times New Roman"/>
                <w:noProof/>
              </w:rPr>
            </w:pPr>
            <w:r>
              <w:rPr>
                <w:noProof/>
              </w:rPr>
              <w:t>NU EXISTĂ</w:t>
            </w:r>
          </w:p>
        </w:tc>
        <w:tc>
          <w:tcPr>
            <w:tcW w:w="87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F5E9F01" w14:textId="6F813293" w:rsidR="00F53E3A" w:rsidRDefault="0036255F">
            <w:pPr>
              <w:pStyle w:val="P68B1DB1-Normal12"/>
              <w:spacing w:before="60" w:after="60"/>
              <w:jc w:val="center"/>
              <w:rPr>
                <w:rFonts w:eastAsia="Times New Roman" w:cs="Times New Roman"/>
                <w:noProof/>
              </w:rPr>
            </w:pPr>
            <w:r>
              <w:rPr>
                <w:noProof/>
              </w:rPr>
              <w:t>NU EXISTĂ</w:t>
            </w:r>
          </w:p>
        </w:tc>
        <w:tc>
          <w:tcPr>
            <w:tcW w:w="110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C06DA94" w14:textId="7E3CD5AB" w:rsidR="00F53E3A" w:rsidRDefault="00DB2EC5">
            <w:pPr>
              <w:pStyle w:val="P68B1DB1-Normal12"/>
              <w:spacing w:before="60" w:after="60"/>
              <w:jc w:val="center"/>
              <w:rPr>
                <w:rFonts w:eastAsia="Times New Roman" w:cs="Times New Roman"/>
                <w:strike/>
                <w:noProof/>
              </w:rPr>
            </w:pPr>
            <w:r>
              <w:rPr>
                <w:noProof/>
              </w:rPr>
              <w:t>T4</w:t>
            </w:r>
          </w:p>
        </w:tc>
        <w:tc>
          <w:tcPr>
            <w:tcW w:w="66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DFC4B37" w14:textId="5B6A51E9" w:rsidR="00F53E3A" w:rsidRDefault="0036255F">
            <w:pPr>
              <w:pStyle w:val="P68B1DB1-Normal12"/>
              <w:spacing w:before="60" w:after="60"/>
              <w:jc w:val="center"/>
              <w:rPr>
                <w:rFonts w:eastAsia="Times New Roman" w:cs="Times New Roman"/>
                <w:noProof/>
              </w:rPr>
            </w:pPr>
            <w:r>
              <w:rPr>
                <w:noProof/>
              </w:rPr>
              <w:t>2024</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64AA5DB" w14:textId="29909241" w:rsidR="00F53E3A" w:rsidRDefault="0036255F">
            <w:pPr>
              <w:pStyle w:val="P68B1DB1-Normal12"/>
              <w:spacing w:before="60" w:after="60"/>
              <w:jc w:val="both"/>
              <w:rPr>
                <w:rFonts w:eastAsia="Times New Roman" w:cs="Times New Roman"/>
                <w:noProof/>
              </w:rPr>
            </w:pPr>
            <w:r>
              <w:rPr>
                <w:noProof/>
              </w:rPr>
              <w:t xml:space="preserve">Se instituie Platforma de competențe ale profesioniștilor din domeniul sănătății, care include modalități de identificare, monitorizare, planificare și gestionare a profesioniștilor din domeniul sănătății, cum ar fi medicii, asistenții medicali, sănătatea publică, dezvoltarea competențelor specialiștilor în domeniul farmaceutic (recalificare și perfecționare). Platforma stochează evidențele licențelor profesioniștilor din domeniul sănătății și este conectată la Registrul de autorizare a asistenței medicale și a practicilor profesionale farmaceutice. </w:t>
            </w:r>
          </w:p>
          <w:p w14:paraId="54F26707" w14:textId="126275BF" w:rsidR="00F53E3A" w:rsidRDefault="0036255F">
            <w:pPr>
              <w:pStyle w:val="P68B1DB1-Normal12"/>
              <w:spacing w:before="60" w:after="60"/>
              <w:jc w:val="both"/>
              <w:rPr>
                <w:rFonts w:eastAsia="Times New Roman" w:cs="Times New Roman"/>
                <w:noProof/>
              </w:rPr>
            </w:pPr>
            <w:r>
              <w:rPr>
                <w:noProof/>
              </w:rPr>
              <w:t xml:space="preserve">Platforma permite monitorizarea și planificarea dezvoltării profesionale a specialiștilor, monitorizarea perfecționării și recalificării specialiștilor furnizorilor naționali de servicii medicale și ai serviciilor publice de sănătate. </w:t>
            </w:r>
          </w:p>
        </w:tc>
      </w:tr>
      <w:tr w:rsidR="00F53E3A" w14:paraId="7414F7D8" w14:textId="77777777" w:rsidTr="00DB2EC5">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097C954" w14:textId="64BAB199" w:rsidR="00F53E3A" w:rsidRDefault="0036255F">
            <w:pPr>
              <w:pStyle w:val="P68B1DB1-Normal12"/>
              <w:spacing w:before="60" w:after="60"/>
              <w:jc w:val="center"/>
              <w:rPr>
                <w:noProof/>
              </w:rPr>
            </w:pPr>
            <w:r>
              <w:rPr>
                <w:noProof/>
              </w:rPr>
              <w:t>11</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6D4DDE2" w14:textId="744EB6EF" w:rsidR="00F53E3A" w:rsidRDefault="0036255F">
            <w:pPr>
              <w:pStyle w:val="P68B1DB1-Normal12"/>
              <w:spacing w:before="60" w:after="60"/>
              <w:rPr>
                <w:noProof/>
              </w:rPr>
            </w:pPr>
            <w:r>
              <w:rPr>
                <w:noProof/>
              </w:rPr>
              <w:t>A.1.1. Îmbunătățirea calității și accesibilității serviciilor de sănătate și promovarea inovării</w:t>
            </w:r>
          </w:p>
          <w:p w14:paraId="2F50D136" w14:textId="472C8FB0" w:rsidR="00F53E3A" w:rsidRDefault="0036255F">
            <w:pPr>
              <w:pStyle w:val="P68B1DB1-Normal12"/>
              <w:spacing w:before="60" w:after="60"/>
              <w:rPr>
                <w:noProof/>
              </w:rPr>
            </w:pPr>
            <w:r>
              <w:rPr>
                <w:noProof/>
              </w:rPr>
              <w:t>A.1.1.10. Tabloul de bord al indicatorilor de calitate ai serviciilor de asistență medicală</w:t>
            </w:r>
          </w:p>
        </w:tc>
        <w:tc>
          <w:tcPr>
            <w:tcW w:w="12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76E19A" w14:textId="5EF4F1E8" w:rsidR="00F53E3A" w:rsidRDefault="0036255F">
            <w:pPr>
              <w:pStyle w:val="P68B1DB1-Normal12"/>
              <w:spacing w:before="60" w:after="60"/>
              <w:jc w:val="center"/>
              <w:rPr>
                <w:noProof/>
              </w:rPr>
            </w:pPr>
            <w:r>
              <w:rPr>
                <w:noProof/>
              </w:rPr>
              <w:t>Etapă</w:t>
            </w:r>
          </w:p>
        </w:tc>
        <w:tc>
          <w:tcPr>
            <w:tcW w:w="1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DB9BABE" w14:textId="3576075F" w:rsidR="00F53E3A" w:rsidRDefault="0036255F">
            <w:pPr>
              <w:pStyle w:val="P68B1DB1-Normal12"/>
              <w:spacing w:before="60" w:after="60"/>
              <w:rPr>
                <w:noProof/>
              </w:rPr>
            </w:pPr>
            <w:r>
              <w:rPr>
                <w:noProof/>
              </w:rPr>
              <w:t xml:space="preserve">Tabloul de bord al indicatorilor de calitate ai serviciilor de asistență medicală </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93DF725" w14:textId="577B0921" w:rsidR="00F53E3A" w:rsidRDefault="0036255F">
            <w:pPr>
              <w:pStyle w:val="P68B1DB1-Normal12"/>
              <w:spacing w:before="60" w:after="60"/>
              <w:rPr>
                <w:noProof/>
              </w:rPr>
            </w:pPr>
            <w:r>
              <w:rPr>
                <w:noProof/>
              </w:rPr>
              <w:t>Tabloul de bord online al indicatorilor de calitate ai serviciilor de asistență medicală</w:t>
            </w:r>
          </w:p>
        </w:tc>
        <w:tc>
          <w:tcPr>
            <w:tcW w:w="97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93F2468" w14:textId="0C9D61A7" w:rsidR="00F53E3A" w:rsidRDefault="0036255F">
            <w:pPr>
              <w:pStyle w:val="P68B1DB1-Normal12"/>
              <w:spacing w:before="60" w:after="60"/>
              <w:jc w:val="center"/>
              <w:rPr>
                <w:noProof/>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66454B7" w14:textId="0CB7F1E7" w:rsidR="00F53E3A" w:rsidRDefault="0036255F">
            <w:pPr>
              <w:pStyle w:val="P68B1DB1-Normal12"/>
              <w:spacing w:before="60" w:after="60"/>
              <w:jc w:val="center"/>
              <w:rPr>
                <w:noProof/>
              </w:rPr>
            </w:pPr>
            <w:r>
              <w:rPr>
                <w:noProof/>
              </w:rPr>
              <w:t>NU EXISTĂ</w:t>
            </w:r>
          </w:p>
        </w:tc>
        <w:tc>
          <w:tcPr>
            <w:tcW w:w="87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212CD64" w14:textId="07C7E12B" w:rsidR="00F53E3A" w:rsidRDefault="0036255F">
            <w:pPr>
              <w:pStyle w:val="P68B1DB1-Normal12"/>
              <w:spacing w:before="60" w:after="60"/>
              <w:jc w:val="center"/>
              <w:rPr>
                <w:noProof/>
              </w:rPr>
            </w:pPr>
            <w:r>
              <w:rPr>
                <w:noProof/>
              </w:rPr>
              <w:t>NU EXISTĂ</w:t>
            </w:r>
          </w:p>
        </w:tc>
        <w:tc>
          <w:tcPr>
            <w:tcW w:w="110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65E582A" w14:textId="42CE3A79" w:rsidR="00F53E3A" w:rsidRDefault="00DB2EC5">
            <w:pPr>
              <w:pStyle w:val="P68B1DB1-Normal12"/>
              <w:spacing w:before="60" w:after="60"/>
              <w:jc w:val="center"/>
              <w:rPr>
                <w:noProof/>
              </w:rPr>
            </w:pPr>
            <w:r>
              <w:rPr>
                <w:noProof/>
              </w:rPr>
              <w:t>T2</w:t>
            </w:r>
          </w:p>
        </w:tc>
        <w:tc>
          <w:tcPr>
            <w:tcW w:w="66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C68E6C5" w14:textId="2F0FA76E" w:rsidR="00F53E3A" w:rsidRDefault="0036255F">
            <w:pPr>
              <w:pStyle w:val="P68B1DB1-Normal12"/>
              <w:spacing w:before="60" w:after="60"/>
              <w:jc w:val="center"/>
              <w:rPr>
                <w:rFonts w:eastAsia="Times New Roman" w:cs="Times New Roman"/>
                <w:noProof/>
              </w:rPr>
            </w:pPr>
            <w:r>
              <w:rPr>
                <w:noProof/>
              </w:rPr>
              <w:t>2025</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F6A1785" w14:textId="18535926" w:rsidR="00F53E3A" w:rsidRDefault="0036255F">
            <w:pPr>
              <w:pStyle w:val="P68B1DB1-Normal12"/>
              <w:spacing w:before="60" w:after="60"/>
              <w:jc w:val="both"/>
              <w:rPr>
                <w:noProof/>
              </w:rPr>
            </w:pPr>
            <w:r>
              <w:rPr>
                <w:noProof/>
              </w:rPr>
              <w:t>Tabloul de bord al indicatorilor de calitate ai serviciilor de asistență medicală este accesibil publicului.</w:t>
            </w:r>
          </w:p>
        </w:tc>
      </w:tr>
      <w:tr w:rsidR="00F53E3A" w14:paraId="5323DABC" w14:textId="77777777" w:rsidTr="00DB2EC5">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809F164" w14:textId="612DB74B" w:rsidR="00F53E3A" w:rsidRDefault="0036255F">
            <w:pPr>
              <w:pStyle w:val="P68B1DB1-Normal12"/>
              <w:spacing w:before="60" w:after="60"/>
              <w:jc w:val="center"/>
              <w:rPr>
                <w:rFonts w:cs="Times New Roman"/>
                <w:noProof/>
              </w:rPr>
            </w:pPr>
            <w:r>
              <w:rPr>
                <w:noProof/>
              </w:rPr>
              <w:t>13a</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8F8841A" w14:textId="5F1C57B8" w:rsidR="00F53E3A" w:rsidRDefault="0036255F">
            <w:pPr>
              <w:pStyle w:val="P68B1DB1-Normal12"/>
              <w:spacing w:before="60" w:after="60"/>
              <w:rPr>
                <w:noProof/>
              </w:rPr>
            </w:pPr>
            <w:r>
              <w:rPr>
                <w:noProof/>
              </w:rPr>
              <w:t xml:space="preserve">A.1.1. Îmbunătățirea calității și accesibilității serviciilor de sănătate și promovarea inovării </w:t>
            </w:r>
          </w:p>
          <w:p w14:paraId="68E1EE30" w14:textId="1D338B2B" w:rsidR="00F53E3A" w:rsidRDefault="0036255F">
            <w:pPr>
              <w:pStyle w:val="P68B1DB1-Normal12"/>
              <w:spacing w:before="60" w:after="60"/>
              <w:rPr>
                <w:noProof/>
              </w:rPr>
            </w:pPr>
            <w:r>
              <w:rPr>
                <w:noProof/>
              </w:rPr>
              <w:t>A.1.1.11. Digitalizarea sectorului asistenței medicale</w:t>
            </w:r>
          </w:p>
        </w:tc>
        <w:tc>
          <w:tcPr>
            <w:tcW w:w="12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1AA6AC3" w14:textId="28BC36D0" w:rsidR="00F53E3A" w:rsidRDefault="0036255F">
            <w:pPr>
              <w:pStyle w:val="P68B1DB1-Normal12"/>
              <w:spacing w:before="60" w:after="60"/>
              <w:jc w:val="center"/>
              <w:rPr>
                <w:rFonts w:cs="Times New Roman"/>
                <w:noProof/>
              </w:rPr>
            </w:pPr>
            <w:r>
              <w:rPr>
                <w:noProof/>
              </w:rPr>
              <w:t>Etapă</w:t>
            </w:r>
          </w:p>
        </w:tc>
        <w:tc>
          <w:tcPr>
            <w:tcW w:w="1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0E4CAC" w14:textId="3B17A381" w:rsidR="00F53E3A" w:rsidRDefault="0036255F">
            <w:pPr>
              <w:pStyle w:val="P68B1DB1-Normal12"/>
              <w:spacing w:before="60" w:after="60"/>
              <w:rPr>
                <w:noProof/>
              </w:rPr>
            </w:pPr>
            <w:r>
              <w:rPr>
                <w:noProof/>
              </w:rPr>
              <w:t>Plan de acțiune pentru dezvoltarea sistemului de sănătate digitală și proiecte</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A63A3F1" w14:textId="3230C076" w:rsidR="00F53E3A" w:rsidRDefault="0036255F">
            <w:pPr>
              <w:pStyle w:val="P68B1DB1-Normal12"/>
              <w:spacing w:before="60" w:after="60"/>
              <w:rPr>
                <w:noProof/>
              </w:rPr>
            </w:pPr>
            <w:r>
              <w:rPr>
                <w:noProof/>
              </w:rPr>
              <w:t>Plan de acțiune aprobat și proiecte finalizate</w:t>
            </w:r>
          </w:p>
        </w:tc>
        <w:tc>
          <w:tcPr>
            <w:tcW w:w="97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01015F0" w14:textId="00B65C9D" w:rsidR="00F53E3A" w:rsidRDefault="0036255F">
            <w:pPr>
              <w:pStyle w:val="P68B1DB1-Normal12"/>
              <w:spacing w:before="60" w:after="60"/>
              <w:jc w:val="center"/>
              <w:rPr>
                <w:rFonts w:eastAsia="Times New Roman" w:cs="Times New Roman"/>
                <w:noProof/>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14FC075" w14:textId="09C9860B" w:rsidR="00F53E3A" w:rsidRDefault="0036255F">
            <w:pPr>
              <w:pStyle w:val="P68B1DB1-Normal12"/>
              <w:spacing w:before="60" w:after="60"/>
              <w:jc w:val="center"/>
              <w:rPr>
                <w:rFonts w:eastAsia="Times New Roman" w:cs="Times New Roman"/>
                <w:noProof/>
              </w:rPr>
            </w:pPr>
            <w:r>
              <w:rPr>
                <w:noProof/>
              </w:rPr>
              <w:t>NU EXISTĂ</w:t>
            </w:r>
          </w:p>
        </w:tc>
        <w:tc>
          <w:tcPr>
            <w:tcW w:w="87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F69E15" w14:textId="366D6D15" w:rsidR="00F53E3A" w:rsidRDefault="0036255F">
            <w:pPr>
              <w:pStyle w:val="P68B1DB1-Normal12"/>
              <w:spacing w:before="60" w:after="60"/>
              <w:jc w:val="center"/>
              <w:rPr>
                <w:rFonts w:eastAsia="Times New Roman" w:cs="Times New Roman"/>
                <w:noProof/>
              </w:rPr>
            </w:pPr>
            <w:r>
              <w:rPr>
                <w:noProof/>
              </w:rPr>
              <w:t>NU EXISTĂ</w:t>
            </w:r>
          </w:p>
        </w:tc>
        <w:tc>
          <w:tcPr>
            <w:tcW w:w="110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000F1F1" w14:textId="07D6CF05" w:rsidR="00F53E3A" w:rsidRDefault="00DB2EC5">
            <w:pPr>
              <w:pStyle w:val="P68B1DB1-Normal12"/>
              <w:spacing w:before="60" w:after="60"/>
              <w:jc w:val="center"/>
              <w:rPr>
                <w:rFonts w:eastAsia="Times New Roman" w:cs="Times New Roman"/>
                <w:noProof/>
              </w:rPr>
            </w:pPr>
            <w:r>
              <w:rPr>
                <w:noProof/>
              </w:rPr>
              <w:t>T2</w:t>
            </w:r>
          </w:p>
        </w:tc>
        <w:tc>
          <w:tcPr>
            <w:tcW w:w="66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41A3A40" w14:textId="415F1F3D" w:rsidR="00F53E3A" w:rsidRDefault="0036255F">
            <w:pPr>
              <w:pStyle w:val="P68B1DB1-Normal12"/>
              <w:spacing w:before="60" w:after="60"/>
              <w:jc w:val="center"/>
              <w:rPr>
                <w:rFonts w:eastAsia="Times New Roman" w:cs="Times New Roman"/>
                <w:noProof/>
              </w:rPr>
            </w:pPr>
            <w:r>
              <w:rPr>
                <w:noProof/>
              </w:rPr>
              <w:t>2026</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778730C" w14:textId="74595229" w:rsidR="00F53E3A" w:rsidRDefault="0036255F">
            <w:pPr>
              <w:pStyle w:val="P68B1DB1-Normal15"/>
              <w:spacing w:before="60" w:after="60"/>
              <w:jc w:val="both"/>
              <w:rPr>
                <w:noProof/>
              </w:rPr>
            </w:pPr>
            <w:r>
              <w:rPr>
                <w:noProof/>
              </w:rPr>
              <w:t>Planul de acțiune pentru dezvoltarea sistemului de sănătate digitală se aprobă și se emit certificate de finalizare sau acte de acceptare pentru nouă proiecte.</w:t>
            </w:r>
          </w:p>
        </w:tc>
      </w:tr>
      <w:tr w:rsidR="00F53E3A" w14:paraId="61F5E2BC" w14:textId="77777777" w:rsidTr="00DB2EC5">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8B5AE6A" w14:textId="77777777" w:rsidR="00F53E3A" w:rsidRDefault="0036255F">
            <w:pPr>
              <w:pStyle w:val="P68B1DB1-Normal12"/>
              <w:spacing w:before="60" w:after="60"/>
              <w:jc w:val="center"/>
              <w:rPr>
                <w:rFonts w:cs="Times New Roman"/>
                <w:noProof/>
              </w:rPr>
            </w:pPr>
            <w:r>
              <w:rPr>
                <w:noProof/>
              </w:rPr>
              <w:t>15</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5B8AD9B" w14:textId="29EE21F1" w:rsidR="00F53E3A" w:rsidRDefault="0036255F">
            <w:pPr>
              <w:pStyle w:val="P68B1DB1-Normal12"/>
              <w:spacing w:before="60" w:after="60"/>
              <w:rPr>
                <w:rFonts w:eastAsia="Times New Roman" w:cs="Times New Roman"/>
                <w:noProof/>
              </w:rPr>
            </w:pPr>
            <w:r>
              <w:rPr>
                <w:noProof/>
              </w:rPr>
              <w:t xml:space="preserve">A.1.2. Furnizarea de servicii de îngrijire pe termen lung </w:t>
            </w:r>
          </w:p>
          <w:p w14:paraId="48E90EDD" w14:textId="77777777" w:rsidR="00F53E3A" w:rsidRDefault="0036255F">
            <w:pPr>
              <w:pStyle w:val="P68B1DB1-Normal12"/>
              <w:spacing w:before="60" w:after="60"/>
              <w:rPr>
                <w:rFonts w:eastAsia="Times New Roman" w:cs="Times New Roman"/>
                <w:noProof/>
              </w:rPr>
            </w:pPr>
            <w:r>
              <w:rPr>
                <w:noProof/>
              </w:rPr>
              <w:t>A.1.2.1. Adoptarea modelului de îngrijire pe termen lung</w:t>
            </w:r>
          </w:p>
        </w:tc>
        <w:tc>
          <w:tcPr>
            <w:tcW w:w="12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FEC225B" w14:textId="77777777" w:rsidR="00F53E3A" w:rsidRDefault="0036255F">
            <w:pPr>
              <w:pStyle w:val="P68B1DB1-Normal12"/>
              <w:spacing w:before="60" w:after="60"/>
              <w:jc w:val="center"/>
              <w:rPr>
                <w:rFonts w:cs="Times New Roman"/>
                <w:noProof/>
              </w:rPr>
            </w:pPr>
            <w:r>
              <w:rPr>
                <w:noProof/>
              </w:rPr>
              <w:t>Etapă</w:t>
            </w:r>
          </w:p>
        </w:tc>
        <w:tc>
          <w:tcPr>
            <w:tcW w:w="1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0EED062" w14:textId="77777777" w:rsidR="00F53E3A" w:rsidRDefault="0036255F">
            <w:pPr>
              <w:pStyle w:val="P68B1DB1-Normal12"/>
              <w:spacing w:before="60" w:after="60"/>
              <w:rPr>
                <w:rFonts w:cs="Times New Roman"/>
                <w:noProof/>
              </w:rPr>
            </w:pPr>
            <w:r>
              <w:rPr>
                <w:noProof/>
              </w:rPr>
              <w:t xml:space="preserve">Intrarea în vigoare a legislației care reglementează punerea în aplicare a modelului de îngrijire pe termen lung </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BCF27B" w14:textId="77777777" w:rsidR="00F53E3A" w:rsidRDefault="0036255F">
            <w:pPr>
              <w:pStyle w:val="P68B1DB1-Normal12"/>
              <w:spacing w:before="60" w:after="60"/>
              <w:rPr>
                <w:rFonts w:eastAsia="Times New Roman" w:cs="Times New Roman"/>
                <w:noProof/>
              </w:rPr>
            </w:pPr>
            <w:r>
              <w:rPr>
                <w:noProof/>
              </w:rPr>
              <w:t>Legislația a intrat în vigoare</w:t>
            </w:r>
          </w:p>
        </w:tc>
        <w:tc>
          <w:tcPr>
            <w:tcW w:w="97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FAF18F9" w14:textId="508FC4FF" w:rsidR="00F53E3A" w:rsidRDefault="0036255F">
            <w:pPr>
              <w:pStyle w:val="P68B1DB1-Normal12"/>
              <w:spacing w:before="60" w:after="60"/>
              <w:jc w:val="center"/>
              <w:rPr>
                <w:rFonts w:cs="Times New Roman"/>
                <w:noProof/>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5DDC75" w14:textId="13280EAB" w:rsidR="00F53E3A" w:rsidRDefault="0036255F">
            <w:pPr>
              <w:pStyle w:val="P68B1DB1-Normal12"/>
              <w:spacing w:before="60" w:after="60"/>
              <w:jc w:val="center"/>
              <w:rPr>
                <w:rFonts w:cs="Times New Roman"/>
                <w:noProof/>
              </w:rPr>
            </w:pPr>
            <w:r>
              <w:rPr>
                <w:noProof/>
              </w:rPr>
              <w:t>NU EXISTĂ</w:t>
            </w:r>
          </w:p>
        </w:tc>
        <w:tc>
          <w:tcPr>
            <w:tcW w:w="87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ADF195F" w14:textId="02C77238" w:rsidR="00F53E3A" w:rsidRDefault="0036255F">
            <w:pPr>
              <w:pStyle w:val="P68B1DB1-Normal12"/>
              <w:spacing w:before="60" w:after="60"/>
              <w:jc w:val="center"/>
              <w:rPr>
                <w:rFonts w:cs="Times New Roman"/>
                <w:noProof/>
              </w:rPr>
            </w:pPr>
            <w:r>
              <w:rPr>
                <w:noProof/>
              </w:rPr>
              <w:t>NU EXISTĂ</w:t>
            </w:r>
          </w:p>
        </w:tc>
        <w:tc>
          <w:tcPr>
            <w:tcW w:w="110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BDD1313" w14:textId="203D61BA" w:rsidR="00F53E3A" w:rsidRDefault="00DB2EC5">
            <w:pPr>
              <w:pStyle w:val="P68B1DB1-Normal12"/>
              <w:spacing w:before="60" w:after="60"/>
              <w:jc w:val="center"/>
              <w:rPr>
                <w:rFonts w:cs="Times New Roman"/>
                <w:noProof/>
              </w:rPr>
            </w:pPr>
            <w:r>
              <w:rPr>
                <w:noProof/>
              </w:rPr>
              <w:t>T1</w:t>
            </w:r>
          </w:p>
        </w:tc>
        <w:tc>
          <w:tcPr>
            <w:tcW w:w="66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B319744" w14:textId="77777777" w:rsidR="00F53E3A" w:rsidRDefault="0036255F">
            <w:pPr>
              <w:pStyle w:val="P68B1DB1-Normal12"/>
              <w:spacing w:before="60" w:after="60"/>
              <w:jc w:val="center"/>
              <w:rPr>
                <w:rFonts w:cs="Times New Roman"/>
                <w:noProof/>
              </w:rPr>
            </w:pPr>
            <w:r>
              <w:rPr>
                <w:noProof/>
              </w:rPr>
              <w:t>2024</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8503F7" w14:textId="62624A3D" w:rsidR="00F53E3A" w:rsidRDefault="0036255F">
            <w:pPr>
              <w:pStyle w:val="P68B1DB1-Normal12"/>
              <w:spacing w:before="60" w:after="60"/>
              <w:jc w:val="both"/>
              <w:rPr>
                <w:rFonts w:eastAsia="Times New Roman" w:cs="Times New Roman"/>
                <w:noProof/>
              </w:rPr>
            </w:pPr>
            <w:r>
              <w:rPr>
                <w:noProof/>
              </w:rPr>
              <w:t>Legislația care reglementează punerea în aplicare treptată a modelului de îngrijire pe termen lung include conceptul de servicii de îngrijire pe termen lung, cerințele privind furnizarea de servicii, administrarea serviciilor de îngrijire pe termen lung, atribuirea clară a funcțiilor de administrare a serviciilor către instituții specifice, stabilește cerințele de bază pentru ca entitățile relevante să furnizeze servicii de îngrijire pe termen lung și stabilește principii și mecanisme pentru finanțarea serviciilor de îngrijire pe termen lung.</w:t>
            </w:r>
          </w:p>
        </w:tc>
      </w:tr>
      <w:tr w:rsidR="00F53E3A" w14:paraId="2F75FC09" w14:textId="77777777" w:rsidTr="00DB2EC5">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108357E" w14:textId="77777777" w:rsidR="00F53E3A" w:rsidRDefault="0036255F">
            <w:pPr>
              <w:pStyle w:val="P68B1DB1-Normal12"/>
              <w:spacing w:before="60" w:after="60"/>
              <w:jc w:val="center"/>
              <w:rPr>
                <w:rFonts w:cs="Times New Roman"/>
                <w:noProof/>
              </w:rPr>
            </w:pPr>
            <w:r>
              <w:rPr>
                <w:noProof/>
              </w:rPr>
              <w:t>16</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708232" w14:textId="4FD91387" w:rsidR="00F53E3A" w:rsidRDefault="0036255F">
            <w:pPr>
              <w:pStyle w:val="P68B1DB1-Normal12"/>
              <w:spacing w:before="60" w:after="60"/>
              <w:rPr>
                <w:rFonts w:eastAsia="Times New Roman" w:cs="Times New Roman"/>
                <w:noProof/>
              </w:rPr>
            </w:pPr>
            <w:r>
              <w:rPr>
                <w:noProof/>
              </w:rPr>
              <w:t xml:space="preserve">A.1.2. Furnizarea de servicii de îngrijire pe termen lung </w:t>
            </w:r>
          </w:p>
          <w:p w14:paraId="713F7E12" w14:textId="179B9CA7" w:rsidR="00F53E3A" w:rsidRDefault="0036255F">
            <w:pPr>
              <w:pStyle w:val="P68B1DB1-Normal12"/>
              <w:spacing w:before="60" w:after="60"/>
              <w:rPr>
                <w:rFonts w:eastAsia="Times New Roman" w:cs="Times New Roman"/>
                <w:noProof/>
              </w:rPr>
            </w:pPr>
            <w:r>
              <w:rPr>
                <w:noProof/>
              </w:rPr>
              <w:t>A.1.2.2. Resursele umane și capacitatea infrastructurii pentru furnizarea de servicii de îngrijire pe termen lung</w:t>
            </w:r>
          </w:p>
        </w:tc>
        <w:tc>
          <w:tcPr>
            <w:tcW w:w="12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BD46470" w14:textId="436EF643" w:rsidR="00F53E3A" w:rsidRDefault="0036255F">
            <w:pPr>
              <w:pStyle w:val="P68B1DB1-Normal12"/>
              <w:spacing w:before="60" w:after="60"/>
              <w:jc w:val="center"/>
              <w:rPr>
                <w:rFonts w:cs="Times New Roman"/>
                <w:noProof/>
              </w:rPr>
            </w:pPr>
            <w:r>
              <w:rPr>
                <w:noProof/>
              </w:rPr>
              <w:t>Țintă</w:t>
            </w:r>
          </w:p>
        </w:tc>
        <w:tc>
          <w:tcPr>
            <w:tcW w:w="1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1DE5BF" w14:textId="638DEAA7" w:rsidR="00F53E3A" w:rsidRDefault="0036255F">
            <w:pPr>
              <w:pStyle w:val="P68B1DB1-Normal16"/>
              <w:spacing w:before="60" w:after="60"/>
              <w:rPr>
                <w:noProof/>
              </w:rPr>
            </w:pPr>
            <w:r>
              <w:rPr>
                <w:noProof/>
              </w:rPr>
              <w:t>Resurse umane și capacități de infrastructură</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0387AF" w14:textId="04B418D2" w:rsidR="00F53E3A" w:rsidRDefault="0036255F">
            <w:pPr>
              <w:pStyle w:val="P68B1DB1-Normal16"/>
              <w:spacing w:before="60" w:after="60"/>
              <w:rPr>
                <w:noProof/>
              </w:rPr>
            </w:pPr>
            <w:r>
              <w:rPr>
                <w:noProof/>
              </w:rPr>
              <w:t xml:space="preserve"> </w:t>
            </w:r>
          </w:p>
        </w:tc>
        <w:tc>
          <w:tcPr>
            <w:tcW w:w="97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E79205D" w14:textId="54D721C2" w:rsidR="00F53E3A" w:rsidRDefault="0036255F">
            <w:pPr>
              <w:pStyle w:val="P68B1DB1-Normal12"/>
              <w:spacing w:before="60" w:after="60"/>
              <w:jc w:val="center"/>
              <w:rPr>
                <w:rFonts w:cs="Times New Roman"/>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DB56D2" w14:textId="1B8A3795" w:rsidR="00F53E3A" w:rsidRDefault="0036255F">
            <w:pPr>
              <w:pStyle w:val="P68B1DB1-Normal13"/>
              <w:spacing w:before="60" w:after="60"/>
              <w:jc w:val="center"/>
              <w:rPr>
                <w:noProof/>
              </w:rPr>
            </w:pPr>
            <w:r>
              <w:rPr>
                <w:noProof/>
              </w:rPr>
              <w:t>0</w:t>
            </w:r>
          </w:p>
        </w:tc>
        <w:tc>
          <w:tcPr>
            <w:tcW w:w="87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49E7142" w14:textId="1620AF5C" w:rsidR="00F53E3A" w:rsidRDefault="0036255F">
            <w:pPr>
              <w:pStyle w:val="P68B1DB1-Normal12"/>
              <w:spacing w:before="60" w:after="60"/>
              <w:jc w:val="center"/>
              <w:rPr>
                <w:noProof/>
              </w:rPr>
            </w:pPr>
            <w:r>
              <w:rPr>
                <w:noProof/>
              </w:rPr>
              <w:t>1 085</w:t>
            </w:r>
          </w:p>
        </w:tc>
        <w:tc>
          <w:tcPr>
            <w:tcW w:w="110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D6BC8F1" w14:textId="1E5193DE" w:rsidR="00F53E3A" w:rsidRDefault="00DB2EC5">
            <w:pPr>
              <w:pStyle w:val="P68B1DB1-Normal12"/>
              <w:spacing w:before="60" w:after="60"/>
              <w:jc w:val="center"/>
              <w:rPr>
                <w:rFonts w:cs="Times New Roman"/>
                <w:noProof/>
              </w:rPr>
            </w:pPr>
            <w:r>
              <w:rPr>
                <w:noProof/>
              </w:rPr>
              <w:t>T2</w:t>
            </w:r>
          </w:p>
        </w:tc>
        <w:tc>
          <w:tcPr>
            <w:tcW w:w="66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08A8D4" w14:textId="77777777" w:rsidR="00F53E3A" w:rsidRDefault="0036255F">
            <w:pPr>
              <w:pStyle w:val="P68B1DB1-Normal12"/>
              <w:spacing w:before="60" w:after="60"/>
              <w:jc w:val="center"/>
              <w:rPr>
                <w:rFonts w:cs="Times New Roman"/>
                <w:noProof/>
              </w:rPr>
            </w:pPr>
            <w:r>
              <w:rPr>
                <w:noProof/>
              </w:rPr>
              <w:t>2025</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7205BFD" w14:textId="7EF4112B" w:rsidR="00F53E3A" w:rsidRDefault="0036255F">
            <w:pPr>
              <w:pStyle w:val="P68B1DB1-Normal12"/>
              <w:spacing w:before="60" w:after="60"/>
              <w:jc w:val="both"/>
              <w:rPr>
                <w:rFonts w:eastAsia="Times New Roman" w:cs="Times New Roman"/>
                <w:noProof/>
              </w:rPr>
            </w:pPr>
            <w:r>
              <w:rPr>
                <w:noProof/>
              </w:rPr>
              <w:t>1 000 de profesioniști în domeniul îngrijirii pe termen lung formați, 82 echipe mobile dotate cu echipamente și/sau vehicule și 3 centre de zi renovate.</w:t>
            </w:r>
          </w:p>
        </w:tc>
      </w:tr>
      <w:tr w:rsidR="00F53E3A" w14:paraId="3E4A2DE7" w14:textId="77777777" w:rsidTr="00DB2EC5">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C52BA50" w14:textId="047A9DF6" w:rsidR="00F53E3A" w:rsidRDefault="0036255F">
            <w:pPr>
              <w:pStyle w:val="P68B1DB1-Normal12"/>
              <w:spacing w:before="60" w:after="60"/>
              <w:jc w:val="center"/>
              <w:rPr>
                <w:rFonts w:cs="Times New Roman"/>
                <w:noProof/>
              </w:rPr>
            </w:pPr>
            <w:r>
              <w:rPr>
                <w:noProof/>
              </w:rPr>
              <w:t>17</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A2DCCDA" w14:textId="2AC0A3F6" w:rsidR="00F53E3A" w:rsidRDefault="0036255F">
            <w:pPr>
              <w:pStyle w:val="P68B1DB1-Normal12"/>
              <w:spacing w:before="60" w:after="60"/>
              <w:rPr>
                <w:rFonts w:eastAsia="Times New Roman" w:cs="Times New Roman"/>
                <w:noProof/>
              </w:rPr>
            </w:pPr>
            <w:r>
              <w:rPr>
                <w:noProof/>
              </w:rPr>
              <w:t xml:space="preserve">A.1.2. Furnizarea de servicii de îngrijire pe termen lung </w:t>
            </w:r>
          </w:p>
          <w:p w14:paraId="4A18CA3F" w14:textId="2DCA1586" w:rsidR="00F53E3A" w:rsidRDefault="0036255F">
            <w:pPr>
              <w:pStyle w:val="P68B1DB1-Normal12"/>
              <w:spacing w:before="60" w:after="60"/>
              <w:rPr>
                <w:rFonts w:eastAsia="Times New Roman" w:cs="Times New Roman"/>
                <w:noProof/>
              </w:rPr>
            </w:pPr>
            <w:r>
              <w:rPr>
                <w:noProof/>
              </w:rPr>
              <w:t>A.1.2.2. Resursele umane și capacitatea infrastructurii pentru furnizarea de servicii de îngrijire pe termen lung</w:t>
            </w:r>
          </w:p>
        </w:tc>
        <w:tc>
          <w:tcPr>
            <w:tcW w:w="12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13A0E3" w14:textId="3A50D87D" w:rsidR="00F53E3A" w:rsidRDefault="0036255F">
            <w:pPr>
              <w:pStyle w:val="P68B1DB1-Normal12"/>
              <w:spacing w:before="60" w:after="60"/>
              <w:jc w:val="center"/>
              <w:rPr>
                <w:rFonts w:cs="Times New Roman"/>
                <w:noProof/>
              </w:rPr>
            </w:pPr>
            <w:r>
              <w:rPr>
                <w:noProof/>
              </w:rPr>
              <w:t>Țintă</w:t>
            </w:r>
          </w:p>
        </w:tc>
        <w:tc>
          <w:tcPr>
            <w:tcW w:w="1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01001AC" w14:textId="7078BF85" w:rsidR="00F53E3A" w:rsidRDefault="0036255F">
            <w:pPr>
              <w:pStyle w:val="P68B1DB1-Normal16"/>
              <w:spacing w:before="60" w:after="60"/>
              <w:rPr>
                <w:noProof/>
              </w:rPr>
            </w:pPr>
            <w:r>
              <w:rPr>
                <w:noProof/>
              </w:rPr>
              <w:t>Capacități de infrastructură</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11D2230" w14:textId="737CEC00" w:rsidR="00F53E3A" w:rsidRDefault="00F53E3A">
            <w:pPr>
              <w:spacing w:before="60" w:after="60"/>
              <w:rPr>
                <w:rFonts w:ascii="Times New Roman" w:eastAsia="Calibri" w:hAnsi="Times New Roman" w:cs="Arial"/>
                <w:noProof/>
                <w:sz w:val="20"/>
              </w:rPr>
            </w:pPr>
          </w:p>
        </w:tc>
        <w:tc>
          <w:tcPr>
            <w:tcW w:w="97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B56B45" w14:textId="72D0F308" w:rsidR="00F53E3A" w:rsidRDefault="0036255F">
            <w:pPr>
              <w:pStyle w:val="P68B1DB1-Normal12"/>
              <w:spacing w:before="60" w:after="60"/>
              <w:jc w:val="center"/>
              <w:rPr>
                <w:rFonts w:cs="Times New Roman"/>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E11C1E" w14:textId="25E25D93" w:rsidR="00F53E3A" w:rsidRDefault="0036255F">
            <w:pPr>
              <w:pStyle w:val="P68B1DB1-Normal12"/>
              <w:spacing w:before="60" w:after="60"/>
              <w:jc w:val="center"/>
              <w:rPr>
                <w:noProof/>
              </w:rPr>
            </w:pPr>
            <w:r>
              <w:rPr>
                <w:noProof/>
              </w:rPr>
              <w:t>85</w:t>
            </w:r>
          </w:p>
        </w:tc>
        <w:tc>
          <w:tcPr>
            <w:tcW w:w="87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60093DF" w14:textId="1E11F731" w:rsidR="00F53E3A" w:rsidRDefault="0036255F">
            <w:pPr>
              <w:pStyle w:val="P68B1DB1-Normal12"/>
              <w:spacing w:before="60" w:after="60"/>
              <w:jc w:val="center"/>
              <w:rPr>
                <w:rFonts w:cs="Times New Roman"/>
                <w:noProof/>
              </w:rPr>
            </w:pPr>
            <w:r>
              <w:rPr>
                <w:noProof/>
              </w:rPr>
              <w:t>100</w:t>
            </w:r>
          </w:p>
        </w:tc>
        <w:tc>
          <w:tcPr>
            <w:tcW w:w="110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F35BE35" w14:textId="0331D712" w:rsidR="00F53E3A" w:rsidRDefault="00DB2EC5">
            <w:pPr>
              <w:pStyle w:val="P68B1DB1-Normal12"/>
              <w:spacing w:before="60" w:after="60"/>
              <w:jc w:val="center"/>
              <w:rPr>
                <w:rFonts w:cs="Times New Roman"/>
                <w:noProof/>
              </w:rPr>
            </w:pPr>
            <w:r>
              <w:rPr>
                <w:noProof/>
              </w:rPr>
              <w:t>T1</w:t>
            </w:r>
          </w:p>
        </w:tc>
        <w:tc>
          <w:tcPr>
            <w:tcW w:w="66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CEDC30" w14:textId="77777777" w:rsidR="00F53E3A" w:rsidRDefault="0036255F">
            <w:pPr>
              <w:pStyle w:val="P68B1DB1-Normal12"/>
              <w:spacing w:before="60" w:after="60"/>
              <w:jc w:val="center"/>
              <w:rPr>
                <w:rFonts w:cs="Times New Roman"/>
                <w:noProof/>
              </w:rPr>
            </w:pPr>
            <w:r>
              <w:rPr>
                <w:noProof/>
              </w:rPr>
              <w:t>2026</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786F15" w14:textId="7E4E19C8" w:rsidR="00F53E3A" w:rsidRDefault="0036255F">
            <w:pPr>
              <w:pStyle w:val="P68B1DB1-Normal12"/>
              <w:spacing w:before="60" w:after="60"/>
              <w:jc w:val="both"/>
              <w:rPr>
                <w:rFonts w:ascii="Segoe UI" w:eastAsia="Segoe UI" w:hAnsi="Segoe UI" w:cs="Segoe UI"/>
                <w:noProof/>
                <w:sz w:val="18"/>
                <w:szCs w:val="18"/>
              </w:rPr>
            </w:pPr>
            <w:r>
              <w:rPr>
                <w:noProof/>
              </w:rPr>
              <w:t>90 echipe mobile dotate cu echipamente și/sau vehicule (inclusiv cele din ținta 16) și 10 centre de zi renovate (inclusiv cele din ținta 16).</w:t>
            </w:r>
          </w:p>
        </w:tc>
      </w:tr>
      <w:tr w:rsidR="00F53E3A" w14:paraId="16BFE239" w14:textId="77777777" w:rsidTr="00DB2EC5">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ECFD661" w14:textId="77777777" w:rsidR="00F53E3A" w:rsidRDefault="0036255F">
            <w:pPr>
              <w:pStyle w:val="P68B1DB1-Normal12"/>
              <w:spacing w:before="60" w:after="60"/>
              <w:jc w:val="center"/>
              <w:rPr>
                <w:rFonts w:cs="Times New Roman"/>
                <w:noProof/>
              </w:rPr>
            </w:pPr>
            <w:r>
              <w:rPr>
                <w:noProof/>
              </w:rPr>
              <w:t>18</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F93EA4D" w14:textId="220EF155" w:rsidR="00F53E3A" w:rsidRDefault="0036255F">
            <w:pPr>
              <w:pStyle w:val="P68B1DB1-Normal12"/>
              <w:spacing w:before="60" w:after="60"/>
              <w:rPr>
                <w:rFonts w:eastAsia="Times New Roman" w:cs="Times New Roman"/>
                <w:noProof/>
              </w:rPr>
            </w:pPr>
            <w:r>
              <w:rPr>
                <w:noProof/>
              </w:rPr>
              <w:t>A.1.3. Reziliența sistemului de sănătate pentru a face față situațiilor de urgență</w:t>
            </w:r>
          </w:p>
          <w:p w14:paraId="6D7DB4FE" w14:textId="77777777" w:rsidR="00F53E3A" w:rsidRDefault="0036255F">
            <w:pPr>
              <w:pStyle w:val="P68B1DB1-Normal12"/>
              <w:spacing w:before="60" w:after="60"/>
              <w:rPr>
                <w:rFonts w:eastAsia="Times New Roman" w:cs="Times New Roman"/>
                <w:noProof/>
              </w:rPr>
            </w:pPr>
            <w:r>
              <w:rPr>
                <w:noProof/>
              </w:rPr>
              <w:t>A.1.3.1. Plan de acțiune pentru îmbunătățirea cooperării dintre instituțiile de asistență medicală și modernizarea infrastructurii pentru situații de urgență</w:t>
            </w:r>
          </w:p>
        </w:tc>
        <w:tc>
          <w:tcPr>
            <w:tcW w:w="12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955E9A" w14:textId="77777777" w:rsidR="00F53E3A" w:rsidRDefault="0036255F">
            <w:pPr>
              <w:pStyle w:val="P68B1DB1-Normal12"/>
              <w:spacing w:before="60" w:after="60"/>
              <w:jc w:val="center"/>
              <w:rPr>
                <w:rFonts w:cs="Times New Roman"/>
                <w:noProof/>
              </w:rPr>
            </w:pPr>
            <w:r>
              <w:rPr>
                <w:noProof/>
              </w:rPr>
              <w:t>Etapă</w:t>
            </w:r>
          </w:p>
        </w:tc>
        <w:tc>
          <w:tcPr>
            <w:tcW w:w="1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F5AE3D5" w14:textId="77777777" w:rsidR="00F53E3A" w:rsidRDefault="0036255F">
            <w:pPr>
              <w:pStyle w:val="P68B1DB1-Normal12"/>
              <w:spacing w:before="60" w:after="60"/>
              <w:rPr>
                <w:rFonts w:cs="Times New Roman"/>
                <w:noProof/>
              </w:rPr>
            </w:pPr>
            <w:r>
              <w:rPr>
                <w:noProof/>
              </w:rPr>
              <w:t xml:space="preserve">Intrarea în vigoare a unui plan de acțiune privind îmbunătățirea cooperării dintre instituțiile de asistență medicală și modernizarea infrastructurii pentru situații de urgență </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1E0C0AB" w14:textId="150DD570" w:rsidR="00F53E3A" w:rsidRDefault="0036255F">
            <w:pPr>
              <w:pStyle w:val="P68B1DB1-Normal12"/>
              <w:spacing w:before="60" w:after="60"/>
              <w:rPr>
                <w:rFonts w:cs="Times New Roman"/>
                <w:noProof/>
              </w:rPr>
            </w:pPr>
            <w:r>
              <w:rPr>
                <w:noProof/>
              </w:rPr>
              <w:t>Adoptarea Planului de acțiune privind cooperarea dintre instituțiile de asistență medicală și modernizarea infrastructurii pentru situații de urgență de către Ministerul Sănătății</w:t>
            </w:r>
          </w:p>
        </w:tc>
        <w:tc>
          <w:tcPr>
            <w:tcW w:w="97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64C24D5" w14:textId="735853C8" w:rsidR="00F53E3A" w:rsidRDefault="0036255F">
            <w:pPr>
              <w:pStyle w:val="P68B1DB1-Normal12"/>
              <w:spacing w:before="60" w:after="60"/>
              <w:jc w:val="center"/>
              <w:rPr>
                <w:rFonts w:cs="Times New Roman"/>
                <w:noProof/>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22DC883" w14:textId="38757562" w:rsidR="00F53E3A" w:rsidRDefault="0036255F">
            <w:pPr>
              <w:pStyle w:val="P68B1DB1-Normal12"/>
              <w:spacing w:before="60" w:after="60"/>
              <w:jc w:val="center"/>
              <w:rPr>
                <w:rFonts w:cs="Times New Roman"/>
                <w:noProof/>
              </w:rPr>
            </w:pPr>
            <w:r>
              <w:rPr>
                <w:noProof/>
              </w:rPr>
              <w:t>NU EXISTĂ</w:t>
            </w:r>
          </w:p>
        </w:tc>
        <w:tc>
          <w:tcPr>
            <w:tcW w:w="87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17207DB" w14:textId="0D24FC6F" w:rsidR="00F53E3A" w:rsidRDefault="0036255F">
            <w:pPr>
              <w:pStyle w:val="P68B1DB1-Normal12"/>
              <w:spacing w:before="60" w:after="60"/>
              <w:jc w:val="center"/>
              <w:rPr>
                <w:rFonts w:cs="Times New Roman"/>
                <w:noProof/>
              </w:rPr>
            </w:pPr>
            <w:r>
              <w:rPr>
                <w:noProof/>
              </w:rPr>
              <w:t>NU EXISTĂ</w:t>
            </w:r>
          </w:p>
        </w:tc>
        <w:tc>
          <w:tcPr>
            <w:tcW w:w="110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A43439" w14:textId="7194B1E1" w:rsidR="00F53E3A" w:rsidRDefault="00DB2EC5">
            <w:pPr>
              <w:pStyle w:val="P68B1DB1-Normal12"/>
              <w:spacing w:before="60" w:after="60"/>
              <w:jc w:val="center"/>
              <w:rPr>
                <w:rFonts w:cs="Times New Roman"/>
                <w:noProof/>
              </w:rPr>
            </w:pPr>
            <w:r>
              <w:rPr>
                <w:noProof/>
              </w:rPr>
              <w:t>T1</w:t>
            </w:r>
          </w:p>
        </w:tc>
        <w:tc>
          <w:tcPr>
            <w:tcW w:w="66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C74737A" w14:textId="77777777" w:rsidR="00F53E3A" w:rsidRDefault="0036255F">
            <w:pPr>
              <w:pStyle w:val="P68B1DB1-Normal12"/>
              <w:spacing w:before="60" w:after="60"/>
              <w:jc w:val="center"/>
              <w:rPr>
                <w:rFonts w:cs="Times New Roman"/>
                <w:noProof/>
              </w:rPr>
            </w:pPr>
            <w:r>
              <w:rPr>
                <w:noProof/>
              </w:rPr>
              <w:t>2023</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7F0A6E" w14:textId="77777777" w:rsidR="00F53E3A" w:rsidRDefault="0036255F">
            <w:pPr>
              <w:pStyle w:val="P68B1DB1-Normal12"/>
              <w:spacing w:before="60" w:after="60"/>
              <w:jc w:val="both"/>
              <w:rPr>
                <w:rFonts w:cs="Times New Roman"/>
                <w:noProof/>
              </w:rPr>
            </w:pPr>
            <w:r>
              <w:rPr>
                <w:noProof/>
              </w:rPr>
              <w:t>Planul de acțiune pentru îmbunătățirea cooperării dintre instituțiile de asistență medicală și pentru adaptarea infrastructurii la situațiile de urgență include cerințe privind pregătirea pentru situații de urgență pentru instituțiile de asistență medicală și asigură mobilizarea eficientă a resurselor umane.</w:t>
            </w:r>
          </w:p>
        </w:tc>
      </w:tr>
      <w:tr w:rsidR="00F53E3A" w14:paraId="6C427452" w14:textId="77777777" w:rsidTr="00DB2EC5">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566A64" w14:textId="46AAEE40" w:rsidR="00F53E3A" w:rsidRDefault="0036255F">
            <w:pPr>
              <w:pStyle w:val="P68B1DB1-Normal12"/>
              <w:spacing w:before="60" w:after="60"/>
              <w:jc w:val="center"/>
              <w:rPr>
                <w:rFonts w:cs="Times New Roman"/>
                <w:noProof/>
              </w:rPr>
            </w:pPr>
            <w:r>
              <w:rPr>
                <w:noProof/>
              </w:rPr>
              <w:t>19</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03C5552" w14:textId="7F866129" w:rsidR="00F53E3A" w:rsidRDefault="0036255F">
            <w:pPr>
              <w:pStyle w:val="P68B1DB1-Normal10"/>
              <w:spacing w:before="60" w:after="60"/>
              <w:rPr>
                <w:rFonts w:ascii="Times New Roman" w:eastAsia="Times New Roman" w:hAnsi="Times New Roman" w:cs="Times New Roman"/>
                <w:noProof/>
              </w:rPr>
            </w:pPr>
            <w:r>
              <w:rPr>
                <w:rFonts w:ascii="Times New Roman" w:hAnsi="Times New Roman" w:cs="Times New Roman"/>
                <w:noProof/>
              </w:rPr>
              <w:t xml:space="preserve">A.1.3. </w:t>
            </w:r>
            <w:r>
              <w:rPr>
                <w:rFonts w:ascii="Times New Roman" w:eastAsia="Segoe UI" w:hAnsi="Times New Roman" w:cs="Times New Roman"/>
                <w:noProof/>
                <w:color w:val="333333"/>
              </w:rPr>
              <w:t>Reziliența sistemului de sănătate pentru a face față situațiilor de urgență</w:t>
            </w:r>
          </w:p>
          <w:p w14:paraId="12EECDCB" w14:textId="3CD77A93" w:rsidR="00F53E3A" w:rsidRDefault="0036255F">
            <w:pPr>
              <w:pStyle w:val="P68B1DB1-Normal12"/>
              <w:spacing w:before="60" w:after="60"/>
              <w:rPr>
                <w:rFonts w:eastAsia="Times New Roman" w:cs="Times New Roman"/>
                <w:noProof/>
              </w:rPr>
            </w:pPr>
            <w:r>
              <w:rPr>
                <w:noProof/>
              </w:rPr>
              <w:t>A.1.3.2. Modernizarea centrelor de combatere a bolilor infecțioase</w:t>
            </w:r>
          </w:p>
        </w:tc>
        <w:tc>
          <w:tcPr>
            <w:tcW w:w="12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E59A4BB" w14:textId="39E08BD5" w:rsidR="00F53E3A" w:rsidRDefault="0036255F">
            <w:pPr>
              <w:pStyle w:val="P68B1DB1-Normal12"/>
              <w:spacing w:before="60" w:after="60"/>
              <w:jc w:val="center"/>
              <w:rPr>
                <w:noProof/>
              </w:rPr>
            </w:pPr>
            <w:r>
              <w:rPr>
                <w:noProof/>
              </w:rPr>
              <w:t>Etapă</w:t>
            </w:r>
          </w:p>
        </w:tc>
        <w:tc>
          <w:tcPr>
            <w:tcW w:w="1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0119EC9" w14:textId="167775B4" w:rsidR="00F53E3A" w:rsidRDefault="0036255F">
            <w:pPr>
              <w:pStyle w:val="P68B1DB1-Normal12"/>
              <w:spacing w:before="60" w:after="60"/>
              <w:rPr>
                <w:rFonts w:cs="Times New Roman"/>
                <w:noProof/>
              </w:rPr>
            </w:pPr>
            <w:r>
              <w:rPr>
                <w:noProof/>
              </w:rPr>
              <w:t>Centre de gestionare a bolilor infecțioase</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F053A72" w14:textId="41960AC2" w:rsidR="00F53E3A" w:rsidRDefault="0036255F">
            <w:pPr>
              <w:pStyle w:val="P68B1DB1-Normal10"/>
              <w:spacing w:before="60" w:after="60"/>
              <w:rPr>
                <w:rFonts w:ascii="Times New Roman" w:hAnsi="Times New Roman" w:cs="Times New Roman"/>
                <w:noProof/>
              </w:rPr>
            </w:pPr>
            <w:r>
              <w:rPr>
                <w:rFonts w:ascii="Times" w:eastAsia="Times" w:hAnsi="Times" w:cs="Times"/>
                <w:noProof/>
              </w:rPr>
              <w:t>Certificate semnate de acceptare a transferului</w:t>
            </w:r>
            <w:r>
              <w:rPr>
                <w:rFonts w:ascii="Times New Roman" w:hAnsi="Times New Roman"/>
                <w:noProof/>
              </w:rPr>
              <w:t xml:space="preserve"> pentru centrele de boli infecțioase</w:t>
            </w:r>
          </w:p>
        </w:tc>
        <w:tc>
          <w:tcPr>
            <w:tcW w:w="97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9FEE73" w14:textId="6CCDA81F" w:rsidR="00F53E3A" w:rsidRDefault="0036255F">
            <w:pPr>
              <w:pStyle w:val="P68B1DB1-Normal12"/>
              <w:spacing w:before="60" w:after="60"/>
              <w:jc w:val="center"/>
              <w:rPr>
                <w:noProof/>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08B7A63" w14:textId="26C07FD9" w:rsidR="00F53E3A" w:rsidRDefault="0036255F">
            <w:pPr>
              <w:pStyle w:val="P68B1DB1-Normal12"/>
              <w:spacing w:before="60" w:after="60"/>
              <w:jc w:val="center"/>
              <w:rPr>
                <w:noProof/>
              </w:rPr>
            </w:pPr>
            <w:r>
              <w:rPr>
                <w:noProof/>
              </w:rPr>
              <w:t>NU EXISTĂ</w:t>
            </w:r>
          </w:p>
        </w:tc>
        <w:tc>
          <w:tcPr>
            <w:tcW w:w="87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1E2DBD2" w14:textId="7FBC34D6" w:rsidR="00F53E3A" w:rsidRDefault="0036255F">
            <w:pPr>
              <w:pStyle w:val="P68B1DB1-Normal12"/>
              <w:spacing w:before="60" w:after="60"/>
              <w:jc w:val="center"/>
              <w:rPr>
                <w:noProof/>
              </w:rPr>
            </w:pPr>
            <w:r>
              <w:rPr>
                <w:noProof/>
              </w:rPr>
              <w:t>NU EXISTĂ</w:t>
            </w:r>
          </w:p>
        </w:tc>
        <w:tc>
          <w:tcPr>
            <w:tcW w:w="110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717AF13" w14:textId="04DA0143" w:rsidR="00F53E3A" w:rsidRDefault="00DB2EC5">
            <w:pPr>
              <w:pStyle w:val="P68B1DB1-Normal12"/>
              <w:spacing w:before="60" w:after="60"/>
              <w:jc w:val="center"/>
              <w:rPr>
                <w:noProof/>
              </w:rPr>
            </w:pPr>
            <w:r>
              <w:rPr>
                <w:noProof/>
              </w:rPr>
              <w:t>T2</w:t>
            </w:r>
          </w:p>
        </w:tc>
        <w:tc>
          <w:tcPr>
            <w:tcW w:w="66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2A4628C" w14:textId="2188E13A" w:rsidR="00F53E3A" w:rsidRDefault="0036255F">
            <w:pPr>
              <w:pStyle w:val="P68B1DB1-Normal17"/>
              <w:spacing w:before="60" w:after="60"/>
              <w:jc w:val="center"/>
              <w:rPr>
                <w:noProof/>
              </w:rPr>
            </w:pPr>
            <w:r>
              <w:rPr>
                <w:noProof/>
              </w:rPr>
              <w:t>2026</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89020AE" w14:textId="36026248" w:rsidR="00F53E3A" w:rsidRDefault="0036255F">
            <w:pPr>
              <w:pStyle w:val="P68B1DB1-Normal17"/>
              <w:spacing w:before="60" w:after="60"/>
              <w:jc w:val="both"/>
              <w:rPr>
                <w:noProof/>
                <w:color w:val="242424"/>
              </w:rPr>
            </w:pPr>
            <w:r>
              <w:rPr>
                <w:noProof/>
              </w:rPr>
              <w:t>Certificate de acceptare a transferului (finale sau interimare) semnate între promotorii de proiecte și contractanți, care să confirme că au fost efectuate cel puțin 95 % din lucrările de modernizare pentru patru centre de clustere de boli infecțioase. Aprobarea de către Agenția Centrală de Gestionare a Proiectelor a listei de echipamente livrate.</w:t>
            </w:r>
          </w:p>
        </w:tc>
      </w:tr>
      <w:tr w:rsidR="00F53E3A" w14:paraId="51AB1158" w14:textId="77777777" w:rsidTr="00DB2EC5">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C756812" w14:textId="4304BBA8" w:rsidR="00F53E3A" w:rsidRDefault="0036255F">
            <w:pPr>
              <w:pStyle w:val="P68B1DB1-Normal12"/>
              <w:spacing w:before="60" w:after="60"/>
              <w:jc w:val="center"/>
              <w:rPr>
                <w:rFonts w:cs="Times New Roman"/>
                <w:noProof/>
              </w:rPr>
            </w:pPr>
            <w:r>
              <w:rPr>
                <w:noProof/>
              </w:rPr>
              <w:t>20</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F266529" w14:textId="51E18554" w:rsidR="00F53E3A" w:rsidRDefault="0036255F">
            <w:pPr>
              <w:pStyle w:val="P68B1DB1-Normal10"/>
              <w:spacing w:before="60" w:after="60"/>
              <w:rPr>
                <w:rFonts w:ascii="Times New Roman" w:eastAsia="Times New Roman" w:hAnsi="Times New Roman" w:cs="Times New Roman"/>
                <w:noProof/>
              </w:rPr>
            </w:pPr>
            <w:r>
              <w:rPr>
                <w:rFonts w:ascii="Times New Roman" w:hAnsi="Times New Roman" w:cs="Times New Roman"/>
                <w:noProof/>
              </w:rPr>
              <w:t xml:space="preserve">A.1.3. </w:t>
            </w:r>
            <w:r>
              <w:rPr>
                <w:rFonts w:ascii="Times New Roman" w:eastAsia="Segoe UI" w:hAnsi="Times New Roman" w:cs="Times New Roman"/>
                <w:noProof/>
                <w:color w:val="333333"/>
              </w:rPr>
              <w:t>Reziliența sistemului de sănătate pentru a face față situațiilor de urgență</w:t>
            </w:r>
          </w:p>
          <w:p w14:paraId="0F03C1F2" w14:textId="234D4C17" w:rsidR="00F53E3A" w:rsidRDefault="0036255F">
            <w:pPr>
              <w:pStyle w:val="P68B1DB1-Normal12"/>
              <w:spacing w:before="60" w:after="60"/>
              <w:rPr>
                <w:rFonts w:eastAsia="Times New Roman" w:cs="Times New Roman"/>
                <w:noProof/>
              </w:rPr>
            </w:pPr>
            <w:r>
              <w:rPr>
                <w:noProof/>
              </w:rPr>
              <w:t>A.1.3.3. Modernizarea serviciilor de urgență și a unităților de resuscitare din spitalele regionale</w:t>
            </w:r>
          </w:p>
        </w:tc>
        <w:tc>
          <w:tcPr>
            <w:tcW w:w="12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E34118B" w14:textId="77777777" w:rsidR="00F53E3A" w:rsidRDefault="0036255F">
            <w:pPr>
              <w:pStyle w:val="P68B1DB1-Normal12"/>
              <w:spacing w:before="60" w:after="60"/>
              <w:jc w:val="center"/>
              <w:rPr>
                <w:rFonts w:cs="Times New Roman"/>
                <w:noProof/>
              </w:rPr>
            </w:pPr>
            <w:r>
              <w:rPr>
                <w:noProof/>
              </w:rPr>
              <w:t>Țintă</w:t>
            </w:r>
          </w:p>
        </w:tc>
        <w:tc>
          <w:tcPr>
            <w:tcW w:w="1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91D6EA" w14:textId="0936DD8E" w:rsidR="00F53E3A" w:rsidRDefault="0036255F">
            <w:pPr>
              <w:pStyle w:val="P68B1DB1-Normal12"/>
              <w:spacing w:before="60" w:after="60"/>
              <w:rPr>
                <w:rFonts w:cs="Times New Roman"/>
                <w:noProof/>
              </w:rPr>
            </w:pPr>
            <w:r>
              <w:rPr>
                <w:noProof/>
              </w:rPr>
              <w:t>Numărul de spitale cu unități modernizate de urgență, de resuscitare sau de terapie intensivă.</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BEEAB8B" w14:textId="77777777" w:rsidR="00F53E3A" w:rsidRDefault="0036255F">
            <w:pPr>
              <w:pStyle w:val="P68B1DB1-Normal12"/>
              <w:spacing w:before="60" w:after="60"/>
              <w:rPr>
                <w:rFonts w:cs="Times New Roman"/>
                <w:noProof/>
              </w:rPr>
            </w:pPr>
            <w:r>
              <w:rPr>
                <w:noProof/>
              </w:rPr>
              <w:t xml:space="preserve"> </w:t>
            </w:r>
          </w:p>
        </w:tc>
        <w:tc>
          <w:tcPr>
            <w:tcW w:w="97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E37D9DA" w14:textId="77777777" w:rsidR="00F53E3A" w:rsidRDefault="0036255F">
            <w:pPr>
              <w:pStyle w:val="P68B1DB1-Normal12"/>
              <w:spacing w:before="60" w:after="60"/>
              <w:jc w:val="center"/>
              <w:rPr>
                <w:rFonts w:cs="Times New Roman"/>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FAD3851" w14:textId="77777777" w:rsidR="00F53E3A" w:rsidRDefault="0036255F">
            <w:pPr>
              <w:pStyle w:val="P68B1DB1-Normal12"/>
              <w:spacing w:before="60" w:after="60"/>
              <w:jc w:val="center"/>
              <w:rPr>
                <w:rFonts w:cs="Times New Roman"/>
                <w:noProof/>
              </w:rPr>
            </w:pPr>
            <w:r>
              <w:rPr>
                <w:noProof/>
              </w:rPr>
              <w:t>0</w:t>
            </w:r>
          </w:p>
        </w:tc>
        <w:tc>
          <w:tcPr>
            <w:tcW w:w="87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3565724" w14:textId="77777777" w:rsidR="00F53E3A" w:rsidRDefault="0036255F">
            <w:pPr>
              <w:pStyle w:val="P68B1DB1-Normal12"/>
              <w:spacing w:before="60" w:after="60"/>
              <w:jc w:val="center"/>
              <w:rPr>
                <w:rFonts w:cs="Times New Roman"/>
                <w:noProof/>
              </w:rPr>
            </w:pPr>
            <w:r>
              <w:rPr>
                <w:noProof/>
              </w:rPr>
              <w:t>7</w:t>
            </w:r>
          </w:p>
        </w:tc>
        <w:tc>
          <w:tcPr>
            <w:tcW w:w="110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259C024" w14:textId="549547E3" w:rsidR="00F53E3A" w:rsidRDefault="00DB2EC5">
            <w:pPr>
              <w:pStyle w:val="P68B1DB1-Normal12"/>
              <w:spacing w:before="60" w:after="60"/>
              <w:jc w:val="center"/>
              <w:rPr>
                <w:noProof/>
              </w:rPr>
            </w:pPr>
            <w:r>
              <w:rPr>
                <w:noProof/>
              </w:rPr>
              <w:t>T2</w:t>
            </w:r>
          </w:p>
        </w:tc>
        <w:tc>
          <w:tcPr>
            <w:tcW w:w="66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82D0A87" w14:textId="7CCD2B08" w:rsidR="00F53E3A" w:rsidRDefault="0036255F">
            <w:pPr>
              <w:pStyle w:val="P68B1DB1-Normal12"/>
              <w:spacing w:before="60" w:after="60"/>
              <w:jc w:val="center"/>
              <w:rPr>
                <w:noProof/>
              </w:rPr>
            </w:pPr>
            <w:r>
              <w:rPr>
                <w:noProof/>
              </w:rPr>
              <w:t>2026</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6590F40" w14:textId="13566E0B" w:rsidR="00F53E3A" w:rsidRDefault="0036255F">
            <w:pPr>
              <w:pStyle w:val="P68B1DB1-Normal12"/>
              <w:spacing w:before="60" w:after="60"/>
              <w:jc w:val="both"/>
              <w:rPr>
                <w:noProof/>
              </w:rPr>
            </w:pPr>
            <w:r>
              <w:rPr>
                <w:noProof/>
              </w:rPr>
              <w:t>Unități de urgență, de resuscitare sau de terapie intensivă în șapte spitale construite și/sau renovate și echipamente livrate.</w:t>
            </w:r>
          </w:p>
        </w:tc>
      </w:tr>
    </w:tbl>
    <w:p w14:paraId="1A870DF7" w14:textId="77777777" w:rsidR="00F53E3A" w:rsidRDefault="00F53E3A">
      <w:pPr>
        <w:jc w:val="both"/>
        <w:rPr>
          <w:rFonts w:ascii="Times New Roman" w:hAnsi="Times New Roman" w:cs="Times New Roman"/>
          <w:noProof/>
        </w:rPr>
        <w:sectPr w:rsidR="00F53E3A" w:rsidSect="0074650A">
          <w:headerReference w:type="even" r:id="rId24"/>
          <w:headerReference w:type="default" r:id="rId25"/>
          <w:footerReference w:type="even" r:id="rId26"/>
          <w:footerReference w:type="default" r:id="rId27"/>
          <w:headerReference w:type="first" r:id="rId28"/>
          <w:footerReference w:type="first" r:id="rId29"/>
          <w:pgSz w:w="16839" w:h="11907" w:orient="landscape"/>
          <w:pgMar w:top="1134" w:right="1134" w:bottom="1134" w:left="1134" w:header="567" w:footer="567" w:gutter="0"/>
          <w:cols w:space="720"/>
          <w:docGrid w:linePitch="360"/>
        </w:sectPr>
      </w:pPr>
    </w:p>
    <w:p w14:paraId="39FE4C69" w14:textId="77777777" w:rsidR="00F53E3A" w:rsidRDefault="0036255F">
      <w:pPr>
        <w:pStyle w:val="ManualHeading1"/>
        <w:tabs>
          <w:tab w:val="clear" w:pos="850"/>
        </w:tabs>
        <w:spacing w:before="0" w:after="200"/>
        <w:ind w:left="0" w:firstLine="0"/>
        <w:rPr>
          <w:noProof/>
        </w:rPr>
      </w:pPr>
      <w:r>
        <w:rPr>
          <w:noProof/>
        </w:rPr>
        <w:t>B. COMPONENTA 2: Transformarea verde a Lituaniei</w:t>
      </w:r>
    </w:p>
    <w:p w14:paraId="6BC639A0" w14:textId="77777777" w:rsidR="00F53E3A" w:rsidRDefault="0036255F">
      <w:pPr>
        <w:pStyle w:val="P68B1DB1-Normal4"/>
        <w:spacing w:before="120" w:after="120"/>
        <w:jc w:val="both"/>
        <w:rPr>
          <w:rFonts w:eastAsia="Calibri" w:cs="Times New Roman"/>
          <w:noProof/>
        </w:rPr>
      </w:pPr>
      <w:r>
        <w:rPr>
          <w:noProof/>
        </w:rPr>
        <w:t xml:space="preserve">Componenta planului lituanian de redresare și reziliență contribuie la abordarea provocărilor legate de tranziția verde și, în special, a necesității de a reduce emisiile de GES, inclusiv din sectorul transporturilor, de a spori eficiența energetică a clădirilor și a transporturilor, de a spori eficiența resurselor și de a contribui la absorbția GES prin soluții bazate pe natură. </w:t>
      </w:r>
    </w:p>
    <w:p w14:paraId="2E9D9507" w14:textId="65A6639D" w:rsidR="00F53E3A" w:rsidRDefault="0036255F">
      <w:pPr>
        <w:pStyle w:val="P68B1DB1-Normal4"/>
        <w:spacing w:before="120" w:after="120"/>
        <w:jc w:val="both"/>
        <w:rPr>
          <w:rFonts w:eastAsia="Calibri" w:cs="Times New Roman"/>
          <w:noProof/>
          <w:szCs w:val="24"/>
        </w:rPr>
      </w:pPr>
      <w:r>
        <w:rPr>
          <w:noProof/>
        </w:rPr>
        <w:t>Componenta are în vedere lucrările pregătitoare pentru dezvoltarea centralelor eoliene offshore și a infrastructurii conexe, sprijinul pentru construirea de instalații individuale de stocare și înființarea de comunități de energie din surse regenerabile, precum și instalarea altor infrastructuri de stocare a energiei electrice, dedicate utilizării publice într-o primă perioadă de timp. În ceea ce privește mobilitatea, măsurile-cheie implică sprijinirea înlocuirii vehiculelor de transport rutier poluante utilizate de sectorul public și de întreprinderi cu vehicule nepoluante, îmbunătățirea calității și atractivității serviciilor de transport public prin modernizarea vehiculelor de transport public cu vehicule cu emisii zero sau cu emisii scăzute, crearea unei infrastructuri de încărcare/realimentare pentru toate tipurile de vehicule nepoluante care utilizează combustibili alternativi și dezvoltarea sectoarelor combustibililor alternativi (biometan, biocombustibili lichizi de a doua generație, hidrogen). În ceea ce privește eficiența energetică, se preconizează că acest lucru va fi realizat prin pachetele și standardele de renovare a clădirilor, planurile de dezvoltare municipală, metodologiile de dezvoltare urbană durabilă și proiectele de renovare centralizată, promovând furnizarea de produse și servicii de construcții care accelerează renovarea clădirilor și finanțarea renovării. Pentru a restabili capacitatea zonelor umede degradate de a absorbi și de a stoca GES, se are în vedere o reformă privind refacerea acestor zone umede și se achiziționează păduri bogate în biodiversitate. În cele din urmă, utilizarea eficientă a resurselor va avansa odată cu adoptarea Planului de acțiune privind economia circulară, care va stabili direcția către o Lituania mai eficientă din punctul de vedere al utilizării resurselor până în 2035.</w:t>
      </w:r>
    </w:p>
    <w:p w14:paraId="6E6B0894" w14:textId="7CFB827D" w:rsidR="00F53E3A" w:rsidRDefault="0036255F">
      <w:pPr>
        <w:pStyle w:val="P68B1DB1-Normal4"/>
        <w:spacing w:before="120" w:after="120"/>
        <w:jc w:val="both"/>
        <w:rPr>
          <w:rFonts w:eastAsia="Calibri" w:cs="Times New Roman"/>
          <w:noProof/>
        </w:rPr>
      </w:pPr>
      <w:r>
        <w:rPr>
          <w:noProof/>
        </w:rPr>
        <w:t>Măsurile incluse în componenta de sprijin care abordează recomandarea specifică fiecărei țări de a se concentra asupra politicii economice legate de investiții în ceea ce privește eficiența energetică și utilizarea eficientă a resurselor, transportul durabil și interconexiunile energetice (CSR3 2019).</w:t>
      </w:r>
    </w:p>
    <w:p w14:paraId="1B350A35" w14:textId="77777777" w:rsidR="00F53E3A" w:rsidRDefault="0036255F">
      <w:pPr>
        <w:pStyle w:val="P68B1DB1-Normal4"/>
        <w:spacing w:before="120" w:after="120"/>
        <w:jc w:val="both"/>
        <w:rPr>
          <w:rFonts w:eastAsia="Calibri" w:cs="Times New Roman"/>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 De asemenea, se preconizează că, în cazul în care sprijinul este acordat oricărei instalații care intră sub incidența schemei UE de comercializare a certificatelor de emisii (ETS), activitățile ETS trebuie să atingă emisii de gaze cu efect de seră mai mici decât valorile de referință ETS relevante</w:t>
      </w:r>
      <w:r>
        <w:rPr>
          <w:noProof/>
        </w:rPr>
        <w:footnoteReference w:id="2"/>
      </w:r>
      <w:r>
        <w:rPr>
          <w:noProof/>
        </w:rPr>
        <w:t>.</w:t>
      </w:r>
    </w:p>
    <w:p w14:paraId="0A085B6E" w14:textId="683BFA91" w:rsidR="00F53E3A" w:rsidRDefault="00F53E3A">
      <w:pPr>
        <w:rPr>
          <w:rFonts w:ascii="Times New Roman" w:eastAsia="Calibri" w:hAnsi="Times New Roman" w:cs="Times New Roman"/>
          <w:b/>
          <w:noProof/>
          <w:sz w:val="24"/>
          <w:u w:val="single"/>
        </w:rPr>
      </w:pPr>
    </w:p>
    <w:p w14:paraId="7E99B37F" w14:textId="278B0153" w:rsidR="00F53E3A" w:rsidRDefault="0036255F">
      <w:pPr>
        <w:pStyle w:val="P68B1DB1-Text15"/>
        <w:keepNext/>
        <w:keepLines/>
        <w:spacing w:before="0" w:after="200" w:line="276" w:lineRule="auto"/>
        <w:ind w:left="0"/>
        <w:outlineLvl w:val="1"/>
        <w:rPr>
          <w:i/>
          <w:noProof/>
        </w:rPr>
      </w:pPr>
      <w:r>
        <w:rPr>
          <w:noProof/>
        </w:rPr>
        <w:t>B.1. Descrierea reformelor și a investițiilor pentru sprijinul financiar nerambursabil</w:t>
      </w:r>
    </w:p>
    <w:p w14:paraId="69880D64" w14:textId="5C3E0CB8" w:rsidR="00F53E3A" w:rsidRDefault="0036255F">
      <w:pPr>
        <w:pStyle w:val="P68B1DB1-Normal6"/>
        <w:keepNext/>
        <w:keepLines/>
        <w:jc w:val="both"/>
        <w:rPr>
          <w:rFonts w:eastAsia="Calibri" w:cs="Times New Roman"/>
          <w:noProof/>
        </w:rPr>
      </w:pPr>
      <w:r>
        <w:rPr>
          <w:noProof/>
        </w:rPr>
        <w:t>B.1.1. Reforma 1 „Energie electrică mai durabilă produsă în țară”</w:t>
      </w:r>
    </w:p>
    <w:p w14:paraId="237691B7" w14:textId="25AC217D" w:rsidR="00F53E3A" w:rsidRDefault="0036255F">
      <w:pPr>
        <w:pStyle w:val="P68B1DB1-Normal4"/>
        <w:jc w:val="both"/>
        <w:rPr>
          <w:rFonts w:eastAsia="Calibri" w:cs="Times New Roman"/>
          <w:noProof/>
          <w:szCs w:val="24"/>
        </w:rPr>
      </w:pPr>
      <w:r>
        <w:rPr>
          <w:noProof/>
        </w:rPr>
        <w:t>Obiectivul reformei este de a stimula producția, transportul și consumul de energie electrică din surse regenerabile, cu scopul (i) de a crește producția de energie electrică din SRE la cel puțin 7 TWh până în 2030, ceea ce asigură faptul că SRE generează 50 % din consumul național total de energie electrică; (II) creșterea capacităților locale de producție a energiei electrice; (III) să faciliteze dezvoltarea capacităților necesare pentru producția de energie electrică din surse regenerabile de energie prin sprijinirea tehnologiilor celor mai eficiente din punct de vedere economic; (IV) să integreze treptat pe piață producătorii de energie electrică care utilizează SRE; (V) să asigure o sarcină financiară minimă pentru consumatorii de energie electrică; (VI) să asigure nediscriminarea producătorilor de energie electrică importată și să permită altor state membre să beneficieze de mecanismul de sprijin introdus prin proiectul de lege privind energia din surse regenerabile; (VII) asigură dezmembrarea centralelor electrice care și-au încetat funcționarea; (VIII)</w:t>
      </w:r>
      <w:r w:rsidR="00DB2EC5">
        <w:rPr>
          <w:noProof/>
        </w:rPr>
        <w:t> </w:t>
      </w:r>
      <w:r>
        <w:rPr>
          <w:noProof/>
        </w:rPr>
        <w:t xml:space="preserve">se asigură că energia electrică nu este produsă la prețuri negative; (IX) să creeze condiții adecvate pentru prosumatori și comunitățile de energie din surse regenerabile. </w:t>
      </w:r>
    </w:p>
    <w:p w14:paraId="16C0F1E6" w14:textId="119C5C84" w:rsidR="00F53E3A" w:rsidRDefault="0036255F">
      <w:pPr>
        <w:pStyle w:val="P68B1DB1-Normal4"/>
        <w:jc w:val="both"/>
        <w:rPr>
          <w:rFonts w:eastAsia="Calibri" w:cs="Times New Roman"/>
          <w:noProof/>
          <w:szCs w:val="24"/>
        </w:rPr>
      </w:pPr>
      <w:r>
        <w:rPr>
          <w:noProof/>
        </w:rPr>
        <w:t xml:space="preserve">Această reformă este însoțită de 3 submăsuri: (1) lucrări pregătitoare pentru parcurile eoliene offshore și infrastructura aferentă (submăsura 1); (2) sprijin pentru construirea de instalații individuale de depozitare (submăsura 2); (3) instalarea altor infrastructuri de stocare a energiei electrice (submăsura 3). </w:t>
      </w:r>
    </w:p>
    <w:p w14:paraId="030CC4EC" w14:textId="1E8702DA" w:rsidR="00F53E3A" w:rsidRDefault="0036255F">
      <w:pPr>
        <w:pStyle w:val="P68B1DB1-Normal6"/>
        <w:keepNext/>
        <w:keepLines/>
        <w:jc w:val="both"/>
        <w:rPr>
          <w:rFonts w:cs="Times New Roman"/>
          <w:noProof/>
          <w:szCs w:val="24"/>
        </w:rPr>
      </w:pPr>
      <w:r>
        <w:rPr>
          <w:noProof/>
        </w:rPr>
        <w:t>B.1.1.1 Submăsura 1: Lucrări pregătitoare pentru centralele eoliene offshore și infrastructura aferentă</w:t>
      </w:r>
    </w:p>
    <w:p w14:paraId="2BF6185A" w14:textId="1A76A940" w:rsidR="00F53E3A" w:rsidRDefault="0036255F">
      <w:pPr>
        <w:pStyle w:val="P68B1DB1-Normal4"/>
        <w:jc w:val="both"/>
        <w:rPr>
          <w:rFonts w:cs="Times New Roman"/>
          <w:noProof/>
          <w:szCs w:val="24"/>
        </w:rPr>
      </w:pPr>
      <w:r>
        <w:rPr>
          <w:noProof/>
        </w:rPr>
        <w:t xml:space="preserve">Obiectivul acestei submăsuri este activitatea pregătitoare pentru centralele eoliene offshore și infrastructura aferentă. Submăsura constă în efectuarea de anchete, măsurători și studii. </w:t>
      </w:r>
    </w:p>
    <w:p w14:paraId="1B110DA3" w14:textId="51B6C6BE" w:rsidR="00F53E3A" w:rsidRDefault="0036255F">
      <w:pPr>
        <w:pStyle w:val="P68B1DB1-Normal6"/>
        <w:keepNext/>
        <w:keepLines/>
        <w:jc w:val="both"/>
        <w:rPr>
          <w:rFonts w:cs="Times New Roman"/>
          <w:noProof/>
          <w:szCs w:val="24"/>
        </w:rPr>
      </w:pPr>
      <w:r>
        <w:rPr>
          <w:noProof/>
        </w:rPr>
        <w:t>B.1.1.2 Submăsura 2: Sprijin pentru construirea de instalații individuale de depozitare</w:t>
      </w:r>
    </w:p>
    <w:p w14:paraId="7844F0FD" w14:textId="5019AA3F" w:rsidR="00F53E3A" w:rsidRDefault="0036255F">
      <w:pPr>
        <w:pStyle w:val="P68B1DB1-Normal4"/>
        <w:jc w:val="both"/>
        <w:rPr>
          <w:rFonts w:cs="Times New Roman"/>
          <w:noProof/>
          <w:szCs w:val="24"/>
        </w:rPr>
      </w:pPr>
      <w:r>
        <w:rPr>
          <w:noProof/>
        </w:rPr>
        <w:t>Obiectivul acestei submăsuri este de a oferi sprijin pentru stocarea energiei. Submăsura constă în instalarea unei capacități de stocare a energiei de-a lungul surselor regenerabile de energie (aceasta poate include, dar nu se limitează la energia solară fotovoltaică).</w:t>
      </w:r>
    </w:p>
    <w:p w14:paraId="7034C9EA" w14:textId="77777777" w:rsidR="00F53E3A" w:rsidRDefault="0036255F">
      <w:pPr>
        <w:pStyle w:val="P68B1DB1-Normal6"/>
        <w:keepNext/>
        <w:keepLines/>
        <w:jc w:val="both"/>
        <w:rPr>
          <w:rFonts w:cs="Times New Roman"/>
          <w:noProof/>
          <w:szCs w:val="24"/>
        </w:rPr>
      </w:pPr>
      <w:r>
        <w:rPr>
          <w:noProof/>
        </w:rPr>
        <w:t>B.1.1.3 Submăsura 3: Instalarea altor infrastructuri de stocare a energiei electrice</w:t>
      </w:r>
    </w:p>
    <w:p w14:paraId="343312FD" w14:textId="6BB3183C" w:rsidR="00F53E3A" w:rsidRDefault="0036255F">
      <w:pPr>
        <w:pStyle w:val="P68B1DB1-Normal4"/>
        <w:jc w:val="both"/>
        <w:rPr>
          <w:rFonts w:cs="Times New Roman"/>
          <w:noProof/>
          <w:szCs w:val="24"/>
        </w:rPr>
      </w:pPr>
      <w:r>
        <w:rPr>
          <w:noProof/>
        </w:rPr>
        <w:t xml:space="preserve">Obiectivul acestei submăsuri este de a asigura securitatea, stabilitatea și pregătirea sistemului electroenergetic lituanian pentru exploatarea lucrărilor izolate înainte de interconectarea acestuia cu rețelele de energie electrică din Europa continentală. Submăsura constă în sprijin pentru instalarea a patru instalații de stocare a energiei, fiecare de 50 MW, care asigură inerția sintetică ca răspuns la schimbarea frecvenței, gestionarea congestiilor rețelelor, care este necesară pentru integrarea a 100 % din energia electrică produsă din SRE. </w:t>
      </w:r>
    </w:p>
    <w:p w14:paraId="266C4CDA" w14:textId="77777777" w:rsidR="00F53E3A" w:rsidRDefault="0036255F">
      <w:pPr>
        <w:pStyle w:val="P68B1DB1-Normal4"/>
        <w:jc w:val="both"/>
        <w:rPr>
          <w:rFonts w:cs="Times New Roman"/>
          <w:noProof/>
          <w:szCs w:val="24"/>
        </w:rPr>
      </w:pPr>
      <w:r>
        <w:rPr>
          <w:noProof/>
        </w:rPr>
        <w:t xml:space="preserve">Submăsura se finalizează până la 31 decembrie 2022. </w:t>
      </w:r>
    </w:p>
    <w:p w14:paraId="23CD11FA" w14:textId="7C03EBE7" w:rsidR="00F53E3A" w:rsidRDefault="0036255F">
      <w:pPr>
        <w:pStyle w:val="P68B1DB1-Normal6"/>
        <w:keepNext/>
        <w:keepLines/>
        <w:jc w:val="both"/>
        <w:rPr>
          <w:rFonts w:cs="Times New Roman"/>
          <w:noProof/>
          <w:szCs w:val="24"/>
        </w:rPr>
      </w:pPr>
      <w:r>
        <w:rPr>
          <w:noProof/>
        </w:rPr>
        <w:t xml:space="preserve">B.1.2. Reforma 2 „Trecerea fără poluarea mediului” </w:t>
      </w:r>
    </w:p>
    <w:p w14:paraId="0D3761F0" w14:textId="37A5CB8D" w:rsidR="00F53E3A" w:rsidRDefault="0036255F">
      <w:pPr>
        <w:pStyle w:val="P68B1DB1-Normal4"/>
        <w:jc w:val="both"/>
        <w:rPr>
          <w:rFonts w:cs="Times New Roman"/>
          <w:noProof/>
          <w:szCs w:val="24"/>
        </w:rPr>
      </w:pPr>
      <w:r>
        <w:rPr>
          <w:noProof/>
        </w:rPr>
        <w:t xml:space="preserve">Obiectivul acestei reforme este de a reduce emisiile de GES în sectorul transporturilor. </w:t>
      </w:r>
    </w:p>
    <w:p w14:paraId="20B4FDEB" w14:textId="45FD61D2" w:rsidR="00F53E3A" w:rsidRDefault="0036255F">
      <w:pPr>
        <w:pStyle w:val="P68B1DB1-Normal4"/>
        <w:jc w:val="both"/>
        <w:rPr>
          <w:rFonts w:cs="Times New Roman"/>
          <w:noProof/>
          <w:szCs w:val="24"/>
        </w:rPr>
      </w:pPr>
      <w:r>
        <w:rPr>
          <w:noProof/>
        </w:rPr>
        <w:t xml:space="preserve">Punerea în aplicare a reformei a început atunci când Seimas a adoptat Legea privind combustibilii alternativi. Aceasta va continua cu adoptarea și intrarea în vigoare a unui cadru legislativ care să stabilească o procedură pentru determinarea cerințelor de eficiență energetică și de protecție a mediului pentru achiziționarea de vehicule de transport rutier și pentru cazurile în care acestea sunt obligatorii. Prezentul cadru intră în vigoare până la 31 decembrie 2021. </w:t>
      </w:r>
    </w:p>
    <w:p w14:paraId="0E5E11B8" w14:textId="4B21C86F" w:rsidR="00F53E3A" w:rsidRDefault="0036255F">
      <w:pPr>
        <w:pStyle w:val="P68B1DB1-Normal4"/>
        <w:jc w:val="both"/>
        <w:rPr>
          <w:rFonts w:cs="Times New Roman"/>
          <w:noProof/>
          <w:szCs w:val="24"/>
        </w:rPr>
      </w:pPr>
      <w:r>
        <w:rPr>
          <w:noProof/>
        </w:rPr>
        <w:t xml:space="preserve">Se instituie Fondul pentru mobilitate durabilă, care oferă sprijin, în anumite cazuri definite, pentru achiziționarea și utilizarea de vehicule nepoluante, precum și pentru instalarea, modernizarea și dezvoltarea infrastructurii pentru combustibili alternativi pentru aceste vehicule. Fondul este utilizat, de asemenea, pentru a sprijini restricțiile de utilizare a vehiculelor cu motor cu ardere internă, cu excepția vehiculelor cu emisii zero și cu emisii scăzute. Sprijinul se acordă în mod direcționat și continuu, cel puțin până în 2030. Fondul devine operațional până la 31 martie 2022. </w:t>
      </w:r>
    </w:p>
    <w:p w14:paraId="0814B315" w14:textId="03FAD8E8" w:rsidR="00F53E3A" w:rsidRDefault="0036255F">
      <w:pPr>
        <w:pStyle w:val="P68B1DB1-Normal4"/>
        <w:jc w:val="both"/>
        <w:rPr>
          <w:rFonts w:eastAsia="Calibri" w:cs="Times New Roman"/>
          <w:noProof/>
          <w:szCs w:val="24"/>
        </w:rPr>
      </w:pPr>
      <w:r>
        <w:rPr>
          <w:noProof/>
        </w:rPr>
        <w:t>Această reformă este însoțită de patru submăsuri: (1) sprijin pentru livrarea de vehicule nepoluante și pentru mobilitate durabilă (submăsura 1); (2) sprijin pentru achiziționarea de vehicule de transport public cu emisii zero (submăsura 2); (3) instalarea infrastructurii de încărcare a vehiculelor și de alimentare cu combustibili alternativi (submăsura 3); și (4) sprijinirea dezvoltării combustibililor din surse regenerabile (gaz biometan, biocombustibili lichizi de a doua generație pentru transporturi și hidrogen din surse regenerabile) (submăsura 4).</w:t>
      </w:r>
    </w:p>
    <w:p w14:paraId="1D26E49A" w14:textId="358FD072" w:rsidR="00F53E3A" w:rsidRDefault="0036255F">
      <w:pPr>
        <w:pStyle w:val="P68B1DB1-Normal6"/>
        <w:keepNext/>
        <w:keepLines/>
        <w:jc w:val="both"/>
        <w:rPr>
          <w:noProof/>
          <w:szCs w:val="24"/>
        </w:rPr>
      </w:pPr>
      <w:r>
        <w:rPr>
          <w:noProof/>
        </w:rPr>
        <w:t>B.1.2.1. Submăsura 1: Sprijin pentru furnizarea de vehicule nepoluante și pentru mobilitate durabilă</w:t>
      </w:r>
    </w:p>
    <w:p w14:paraId="526AAE62" w14:textId="6D3F54BE" w:rsidR="00F53E3A" w:rsidRDefault="0036255F">
      <w:pPr>
        <w:pStyle w:val="P68B1DB1-Normal8"/>
        <w:jc w:val="both"/>
        <w:rPr>
          <w:rFonts w:ascii="Times New Roman" w:hAnsi="Times New Roman" w:cs="Times New Roman"/>
          <w:noProof/>
          <w:szCs w:val="24"/>
        </w:rPr>
      </w:pPr>
      <w:r>
        <w:rPr>
          <w:rFonts w:ascii="Times New Roman" w:hAnsi="Times New Roman"/>
          <w:noProof/>
        </w:rPr>
        <w:t xml:space="preserve">Obiectivul acestei submăsuri este de a stimula mobilitatea durabilă și, prin urmare, de a reduce emisiile de GES și poluarea aerului. Această submăsură constă în livrarea de vehicule cu emisii zero și cu emisii scăzute, modernizarea autobuzelor, </w:t>
      </w:r>
      <w:bookmarkStart w:id="2" w:name="_MailAutoSig"/>
      <w:r>
        <w:rPr>
          <w:rFonts w:ascii="Times New Roman" w:hAnsi="Times New Roman"/>
          <w:noProof/>
        </w:rPr>
        <w:t>construirea sau renovarea pistelor pentru biciclete, a străzilor pentru biciclete sau a benzilor pentru biciclete sau a pistelor combinate pentru biciclete și pietoni, precum și electrificarea căilor ferate</w:t>
      </w:r>
      <w:bookmarkEnd w:id="2"/>
      <w:r>
        <w:rPr>
          <w:rFonts w:ascii="Times New Roman" w:eastAsia="Times New Roman" w:hAnsi="Times New Roman" w:cs="Times New Roman"/>
          <w:noProof/>
        </w:rPr>
        <w:t>.</w:t>
      </w:r>
    </w:p>
    <w:p w14:paraId="61B0C296" w14:textId="1FAE9291" w:rsidR="00F53E3A" w:rsidRDefault="0036255F">
      <w:pPr>
        <w:pStyle w:val="P68B1DB1-Normal6"/>
        <w:keepNext/>
        <w:keepLines/>
        <w:jc w:val="both"/>
        <w:rPr>
          <w:rFonts w:cs="Times New Roman"/>
          <w:noProof/>
          <w:szCs w:val="24"/>
        </w:rPr>
      </w:pPr>
      <w:r>
        <w:rPr>
          <w:noProof/>
        </w:rPr>
        <w:t>B.1.2.2. Submăsura 2: Sprijin pentru achiziționarea de vehicule de transport public cu emisii zero</w:t>
      </w:r>
    </w:p>
    <w:p w14:paraId="5525DE4A" w14:textId="45A026BF" w:rsidR="00F53E3A" w:rsidRDefault="0036255F">
      <w:pPr>
        <w:pStyle w:val="P68B1DB1-Normal4"/>
        <w:jc w:val="both"/>
        <w:rPr>
          <w:rFonts w:cs="Times New Roman"/>
          <w:noProof/>
          <w:szCs w:val="24"/>
        </w:rPr>
      </w:pPr>
      <w:r>
        <w:rPr>
          <w:noProof/>
        </w:rPr>
        <w:t xml:space="preserve">Obiectivul investiției este de a face transportul public mai ecologic. Această submăsură constă în: (1) intrarea în vigoare a legislației de reformare a rețelei de transport public interurban pe distanțe lungi și (2) furnizarea de autobuze electrice (clasa M3). </w:t>
      </w:r>
    </w:p>
    <w:p w14:paraId="74D96952" w14:textId="337237C8" w:rsidR="00F53E3A" w:rsidRDefault="0036255F">
      <w:pPr>
        <w:pStyle w:val="P68B1DB1-Normal6"/>
        <w:keepNext/>
        <w:keepLines/>
        <w:jc w:val="both"/>
        <w:rPr>
          <w:rFonts w:eastAsia="Calibri" w:cs="Times New Roman"/>
          <w:noProof/>
          <w:szCs w:val="24"/>
        </w:rPr>
      </w:pPr>
      <w:r>
        <w:rPr>
          <w:noProof/>
        </w:rPr>
        <w:t>B.1.2.3. Submăsura 3: Instalarea infrastructurii de încărcare a vehiculelor și de alimentare cu combustibili alternativi</w:t>
      </w:r>
    </w:p>
    <w:p w14:paraId="5CCAB017" w14:textId="66049D04" w:rsidR="00F53E3A" w:rsidRDefault="0036255F">
      <w:pPr>
        <w:pStyle w:val="P68B1DB1-Normal4"/>
        <w:jc w:val="both"/>
        <w:rPr>
          <w:rFonts w:eastAsia="Calibri" w:cs="Times New Roman"/>
          <w:noProof/>
          <w:szCs w:val="24"/>
        </w:rPr>
      </w:pPr>
      <w:r>
        <w:rPr>
          <w:noProof/>
        </w:rPr>
        <w:t>Obiectivul acestei submăsuri este de a crea o rețea optimă de infrastructuri de reîncărcare și de alimentare cu combustibili alternativi accesibile publicului și private, pentru a crea condiții favorabile pentru ca întreprinderile și cetățenii să exploateze vehicule nepoluante. În cadrul acestei submăsuri se vor realiza următoarele: (1) un sistem de informații pentru punctele de încărcare/realimentare a vehiculelor electrice accesibile publicului, pus în funcțiune (până la 31 martie 2022); și (2) instalarea de puncte de reîncărcare și a unei stații de alimentare cu hidrogen.</w:t>
      </w:r>
    </w:p>
    <w:p w14:paraId="66D23CF1" w14:textId="6A774096" w:rsidR="00F53E3A" w:rsidRDefault="0036255F">
      <w:pPr>
        <w:pStyle w:val="P68B1DB1-Normal6"/>
        <w:keepNext/>
        <w:keepLines/>
        <w:jc w:val="both"/>
        <w:rPr>
          <w:rFonts w:cs="Times New Roman"/>
          <w:noProof/>
          <w:szCs w:val="24"/>
        </w:rPr>
      </w:pPr>
      <w:r>
        <w:rPr>
          <w:noProof/>
        </w:rPr>
        <w:t>B.1.2.4. Submăsura 4: Sprijin pentru sectorul combustibililor din surse regenerabile (gaz biometan, biocombustibili lichizi de a doua generație pentru transporturi și hidrogen din surse regenerabile)</w:t>
      </w:r>
    </w:p>
    <w:p w14:paraId="2A78DA8B" w14:textId="69481FED" w:rsidR="00F53E3A" w:rsidRDefault="0036255F">
      <w:pPr>
        <w:pStyle w:val="P68B1DB1-Normal4"/>
        <w:jc w:val="both"/>
        <w:rPr>
          <w:rFonts w:cs="Times New Roman"/>
          <w:noProof/>
          <w:szCs w:val="24"/>
        </w:rPr>
      </w:pPr>
      <w:r>
        <w:rPr>
          <w:noProof/>
        </w:rPr>
        <w:t>Obiectivul acestei submăsuri este de a crea o ofertă de combustibili din surse regenerabile și de a stimula utilizarea acestora în sectorul transporturilor. Această submăsură constă în instalarea de: (1)</w:t>
      </w:r>
      <w:r w:rsidR="00DB2EC5">
        <w:rPr>
          <w:noProof/>
        </w:rPr>
        <w:t> </w:t>
      </w:r>
      <w:r>
        <w:rPr>
          <w:noProof/>
        </w:rPr>
        <w:t>instalații de producție a biometanului gazos; (2) echipamente pentru producția de biocombustibili lichizi de a doua generație; și (3) capacitatea de producție a hidrogenului din surse regenerabile.</w:t>
      </w:r>
    </w:p>
    <w:p w14:paraId="39B7FB5C" w14:textId="31562F05" w:rsidR="00F53E3A" w:rsidRDefault="0036255F">
      <w:pPr>
        <w:pStyle w:val="P68B1DB1-Normal6"/>
        <w:keepNext/>
        <w:keepLines/>
        <w:jc w:val="both"/>
        <w:rPr>
          <w:rFonts w:eastAsia="Calibri" w:cs="Times New Roman"/>
          <w:noProof/>
          <w:szCs w:val="24"/>
        </w:rPr>
      </w:pPr>
      <w:r>
        <w:rPr>
          <w:noProof/>
        </w:rPr>
        <w:t>B.1.3. Reforma 3 „Accelerarea renovării clădirilor și un mediu urban durabil”</w:t>
      </w:r>
    </w:p>
    <w:p w14:paraId="6232C419" w14:textId="3536104A" w:rsidR="00F53E3A" w:rsidRDefault="0036255F">
      <w:pPr>
        <w:pStyle w:val="P68B1DB1-Normal4"/>
        <w:jc w:val="both"/>
        <w:rPr>
          <w:rFonts w:cs="Times New Roman"/>
          <w:noProof/>
          <w:szCs w:val="24"/>
        </w:rPr>
      </w:pPr>
      <w:r>
        <w:rPr>
          <w:noProof/>
        </w:rPr>
        <w:t>Obiectivul reformei este de a accelera ritmul procesului de renovare a clădirilor. Reforma constă în patru submăsuri: (1) actualizarea și testarea în practică a pachetelor și standardelor de renovare a clădirilor și crearea unei metodologii pentru dezvoltarea orașelor durabile (submăsura 1); (2)</w:t>
      </w:r>
      <w:r w:rsidR="00DB2EC5">
        <w:rPr>
          <w:noProof/>
        </w:rPr>
        <w:t> </w:t>
      </w:r>
      <w:r>
        <w:rPr>
          <w:noProof/>
        </w:rPr>
        <w:t>crearea de instrumente pentru a facilita coordonarea renovării clădirilor și asistența tehnică (submăsura 2); (3) furnizarea de produse și servicii pentru construcții care accelerează renovarea clădirilor (submăsura 3); și (4) sprijin pentru renovarea clădirilor (submăsura 4).</w:t>
      </w:r>
    </w:p>
    <w:p w14:paraId="5099DE74" w14:textId="653386BF" w:rsidR="00F53E3A" w:rsidRDefault="0036255F">
      <w:pPr>
        <w:pStyle w:val="P68B1DB1-Normal6"/>
        <w:keepNext/>
        <w:keepLines/>
        <w:jc w:val="both"/>
        <w:rPr>
          <w:rFonts w:eastAsia="Calibri" w:cs="Times New Roman"/>
          <w:noProof/>
          <w:szCs w:val="24"/>
        </w:rPr>
      </w:pPr>
      <w:r>
        <w:rPr>
          <w:noProof/>
        </w:rPr>
        <w:t xml:space="preserve">B.1.3.1. Submăsura 1: Actualizarea pachetelor și standardelor de renovare a clădirilor și crearea unei metodologii pentru dezvoltarea orașelor durabile </w:t>
      </w:r>
    </w:p>
    <w:p w14:paraId="39F7ED25" w14:textId="1C929173" w:rsidR="00F53E3A" w:rsidRDefault="0036255F">
      <w:pPr>
        <w:pStyle w:val="P68B1DB1-Normal4"/>
        <w:jc w:val="both"/>
        <w:rPr>
          <w:rFonts w:eastAsia="Calibri" w:cs="Times New Roman"/>
          <w:noProof/>
          <w:szCs w:val="24"/>
        </w:rPr>
      </w:pPr>
      <w:r>
        <w:rPr>
          <w:noProof/>
        </w:rPr>
        <w:t>Obiectivul acestei submăsuri este de a efectua modificările de reglementare necesare pentru a accelera renovarea clădirilor și pentru a contribui la ecologizarea regiunilor.</w:t>
      </w:r>
    </w:p>
    <w:p w14:paraId="77517895" w14:textId="04C53E3C" w:rsidR="00F53E3A" w:rsidRDefault="0036255F">
      <w:pPr>
        <w:pStyle w:val="P68B1DB1-Normal4"/>
        <w:jc w:val="both"/>
        <w:rPr>
          <w:rFonts w:eastAsia="Calibri" w:cs="Times New Roman"/>
          <w:noProof/>
          <w:szCs w:val="24"/>
        </w:rPr>
      </w:pPr>
      <w:r>
        <w:rPr>
          <w:noProof/>
        </w:rPr>
        <w:t xml:space="preserve">În cadrul acestei submăsuri, se efectuează o serie de modificări normative. În ceea ce privește modificările normative, se adoptă și intră în vigoare următoarele: </w:t>
      </w:r>
    </w:p>
    <w:p w14:paraId="0B8BEBA9" w14:textId="787D380E" w:rsidR="00F53E3A" w:rsidRDefault="0036255F">
      <w:pPr>
        <w:pStyle w:val="P68B1DB1-ListParagraph18"/>
        <w:numPr>
          <w:ilvl w:val="0"/>
          <w:numId w:val="36"/>
        </w:numPr>
        <w:spacing w:line="276" w:lineRule="auto"/>
        <w:ind w:left="714" w:hanging="357"/>
        <w:jc w:val="both"/>
        <w:rPr>
          <w:rFonts w:cs="Times New Roman"/>
          <w:noProof/>
          <w:szCs w:val="24"/>
        </w:rPr>
      </w:pPr>
      <w:r>
        <w:rPr>
          <w:noProof/>
        </w:rPr>
        <w:t xml:space="preserve">Rezoluția Republicii Lituania de aprobare a planului de punere în aplicare a strategiei de renovare pe termen lung a clădirilor, care prevede un plan legislativ pentru accelerarea conversiei siturilor și a conversiei clădirilor existente și pentru formalizarea utilizării tehnicilor de modelare a informațiilor privind clădirile (BIM), un plan pentru inițiativele de renovare centralizată și proiectele de investiții; </w:t>
      </w:r>
    </w:p>
    <w:p w14:paraId="11DC6BDE" w14:textId="369D2F74" w:rsidR="00F53E3A" w:rsidRDefault="0036255F">
      <w:pPr>
        <w:pStyle w:val="P68B1DB1-ListParagraph18"/>
        <w:numPr>
          <w:ilvl w:val="0"/>
          <w:numId w:val="36"/>
        </w:numPr>
        <w:spacing w:line="276" w:lineRule="auto"/>
        <w:ind w:left="714" w:hanging="357"/>
        <w:jc w:val="both"/>
        <w:rPr>
          <w:rFonts w:cs="Times New Roman"/>
          <w:noProof/>
          <w:szCs w:val="24"/>
        </w:rPr>
      </w:pPr>
      <w:r>
        <w:rPr>
          <w:noProof/>
        </w:rPr>
        <w:t xml:space="preserve">Modificarea Regulamentului tehnic privind construcțiile „Proiectarea și certificarea performanței energetice a clădirilor”, legitimând clasa de performanță energetică a clădirii renovate cel puțin clasa B; </w:t>
      </w:r>
    </w:p>
    <w:p w14:paraId="5022E356" w14:textId="473256B2" w:rsidR="00F53E3A" w:rsidRDefault="0036255F">
      <w:pPr>
        <w:pStyle w:val="P68B1DB1-ListParagraph18"/>
        <w:numPr>
          <w:ilvl w:val="0"/>
          <w:numId w:val="36"/>
        </w:numPr>
        <w:spacing w:line="276" w:lineRule="auto"/>
        <w:ind w:left="714" w:hanging="357"/>
        <w:jc w:val="both"/>
        <w:rPr>
          <w:rFonts w:cs="Times New Roman"/>
          <w:noProof/>
          <w:szCs w:val="24"/>
        </w:rPr>
      </w:pPr>
      <w:r>
        <w:rPr>
          <w:noProof/>
        </w:rPr>
        <w:t>Modificarea Regulamentului tehnic privind construcțiile „Proiectarea structurilor din lemn”;</w:t>
      </w:r>
    </w:p>
    <w:p w14:paraId="65784337" w14:textId="7134D788" w:rsidR="00F53E3A" w:rsidRDefault="0036255F">
      <w:pPr>
        <w:pStyle w:val="P68B1DB1-ListParagraph18"/>
        <w:numPr>
          <w:ilvl w:val="0"/>
          <w:numId w:val="36"/>
        </w:numPr>
        <w:spacing w:line="276" w:lineRule="auto"/>
        <w:ind w:left="714" w:hanging="357"/>
        <w:jc w:val="both"/>
        <w:rPr>
          <w:rFonts w:cs="Times New Roman"/>
          <w:noProof/>
          <w:szCs w:val="24"/>
        </w:rPr>
      </w:pPr>
      <w:r>
        <w:rPr>
          <w:noProof/>
        </w:rPr>
        <w:t>Orientări pentru dezvoltarea urbană durabilă.</w:t>
      </w:r>
    </w:p>
    <w:p w14:paraId="51B7812D" w14:textId="76DC6B84" w:rsidR="00F53E3A" w:rsidRDefault="0036255F">
      <w:pPr>
        <w:pStyle w:val="P68B1DB1-Normal4"/>
        <w:jc w:val="both"/>
        <w:rPr>
          <w:rFonts w:cs="Times New Roman"/>
          <w:noProof/>
          <w:szCs w:val="24"/>
        </w:rPr>
      </w:pPr>
      <w:r>
        <w:rPr>
          <w:noProof/>
        </w:rPr>
        <w:t xml:space="preserve">Submăsura se finalizează până la 31 decembrie 2023. </w:t>
      </w:r>
    </w:p>
    <w:p w14:paraId="14753762" w14:textId="511996AC" w:rsidR="00F53E3A" w:rsidRDefault="0036255F">
      <w:pPr>
        <w:pStyle w:val="P68B1DB1-Normal6"/>
        <w:keepNext/>
        <w:keepLines/>
        <w:jc w:val="both"/>
        <w:rPr>
          <w:rFonts w:cs="Times New Roman"/>
          <w:noProof/>
          <w:szCs w:val="24"/>
        </w:rPr>
      </w:pPr>
      <w:r>
        <w:rPr>
          <w:noProof/>
        </w:rPr>
        <w:t>B.1.3.2. Submăsura 2: Instrumente de facilitare a coordonării renovării clădirilor și a asistenței tehnice</w:t>
      </w:r>
    </w:p>
    <w:p w14:paraId="0A3270AB" w14:textId="6C2DAA03" w:rsidR="00F53E3A" w:rsidRDefault="0036255F">
      <w:pPr>
        <w:pStyle w:val="P68B1DB1-Normal4"/>
        <w:jc w:val="both"/>
        <w:rPr>
          <w:noProof/>
          <w:szCs w:val="24"/>
        </w:rPr>
      </w:pPr>
      <w:r>
        <w:rPr>
          <w:noProof/>
        </w:rPr>
        <w:t>Obiectivul acestei submăsuri este de a crea instrumente pentru a facilita coordonarea renovării clădirilor și asistența tehnică. Submăsura constă în crearea centrului de competențe pentru renovarea clădirilor (până la 31 decembrie 2022) și a instrumentelor digitale legate de renovare.</w:t>
      </w:r>
    </w:p>
    <w:p w14:paraId="4C18FCDA" w14:textId="03405E66" w:rsidR="00F53E3A" w:rsidRDefault="0036255F">
      <w:pPr>
        <w:pStyle w:val="P68B1DB1-Normal6"/>
        <w:jc w:val="both"/>
        <w:rPr>
          <w:rFonts w:cs="Times New Roman"/>
          <w:noProof/>
          <w:szCs w:val="24"/>
        </w:rPr>
      </w:pPr>
      <w:r>
        <w:rPr>
          <w:noProof/>
        </w:rPr>
        <w:t>B.1.3.3. Submăsura 3: Furnizarea de produse și servicii pentru construcții care accelerează renovarea clădirilor</w:t>
      </w:r>
    </w:p>
    <w:p w14:paraId="74861AD7" w14:textId="3198E809" w:rsidR="00F53E3A" w:rsidRDefault="0036255F">
      <w:pPr>
        <w:pStyle w:val="P68B1DB1-Normal4"/>
        <w:jc w:val="both"/>
        <w:rPr>
          <w:rFonts w:eastAsia="Calibri" w:cs="Times New Roman"/>
          <w:noProof/>
          <w:szCs w:val="24"/>
        </w:rPr>
      </w:pPr>
      <w:r>
        <w:rPr>
          <w:noProof/>
        </w:rPr>
        <w:t>Obiectivul acestei submăsuri este de a crea o piață locală pentru structuri modulare standardizate din materiale organice. Această submăsură constă în livrarea de echipamente sau instalarea de linii de producție de structuri modulare din materiale organice.</w:t>
      </w:r>
    </w:p>
    <w:p w14:paraId="57C0A36A" w14:textId="3F49A0A8" w:rsidR="00F53E3A" w:rsidRDefault="0036255F">
      <w:pPr>
        <w:pStyle w:val="P68B1DB1-Normal6"/>
        <w:keepNext/>
        <w:keepLines/>
        <w:jc w:val="both"/>
        <w:rPr>
          <w:rFonts w:cs="Times New Roman"/>
          <w:noProof/>
          <w:szCs w:val="24"/>
        </w:rPr>
      </w:pPr>
      <w:r>
        <w:rPr>
          <w:noProof/>
        </w:rPr>
        <w:t>B.1.3.4. Submăsura 4: Sprijin pentru renovarea clădirilor</w:t>
      </w:r>
    </w:p>
    <w:p w14:paraId="7C55DD82" w14:textId="33C1FB1E" w:rsidR="00F53E3A" w:rsidRDefault="0036255F">
      <w:pPr>
        <w:pStyle w:val="P68B1DB1-Normal4"/>
        <w:jc w:val="both"/>
        <w:rPr>
          <w:noProof/>
          <w:szCs w:val="24"/>
        </w:rPr>
      </w:pPr>
      <w:r>
        <w:rPr>
          <w:noProof/>
        </w:rPr>
        <w:t xml:space="preserve">Obiectivul acestei submăsuri este de a reduce consumul de energie al clădirilor cu mai multe apartamente. Submăsura constă în renovarea clădirilor cu mai multe apartamente. </w:t>
      </w:r>
    </w:p>
    <w:p w14:paraId="747C69D4" w14:textId="6C850A7E" w:rsidR="00F53E3A" w:rsidRDefault="0036255F">
      <w:pPr>
        <w:pStyle w:val="P68B1DB1-Normal4"/>
        <w:jc w:val="both"/>
        <w:rPr>
          <w:rFonts w:eastAsia="Calibri" w:cs="Times New Roman"/>
          <w:noProof/>
          <w:szCs w:val="24"/>
        </w:rPr>
      </w:pPr>
      <w:r>
        <w:rPr>
          <w:noProof/>
        </w:rPr>
        <w:t xml:space="preserve">MRR sprijină o parte din costurile acestei investiții. Această investiție poate beneficia, de asemenea, de sprijin din partea altor programe sau instrumente ale Uniunii pentru costurile care nu sunt sprijinite de MRR. </w:t>
      </w:r>
    </w:p>
    <w:p w14:paraId="63F4DE61" w14:textId="18EC46EE" w:rsidR="00F53E3A" w:rsidRDefault="0036255F">
      <w:pPr>
        <w:pStyle w:val="P68B1DB1-Normal6"/>
        <w:keepNext/>
        <w:keepLines/>
        <w:jc w:val="both"/>
        <w:rPr>
          <w:rFonts w:eastAsia="Calibri" w:cs="Times New Roman"/>
          <w:noProof/>
          <w:szCs w:val="24"/>
        </w:rPr>
      </w:pPr>
      <w:r>
        <w:rPr>
          <w:noProof/>
        </w:rPr>
        <w:t>B.1.4. Investiția 4: „Menținerea și creșterea capacității de absorbție a GES”</w:t>
      </w:r>
    </w:p>
    <w:p w14:paraId="4E100AF2" w14:textId="1D1782E8" w:rsidR="00F53E3A" w:rsidRDefault="0036255F">
      <w:pPr>
        <w:pStyle w:val="P68B1DB1-Normal4"/>
        <w:jc w:val="both"/>
        <w:rPr>
          <w:rFonts w:eastAsia="Calibri" w:cs="Times New Roman"/>
          <w:noProof/>
          <w:szCs w:val="24"/>
        </w:rPr>
      </w:pPr>
      <w:r>
        <w:rPr>
          <w:noProof/>
        </w:rPr>
        <w:t xml:space="preserve">Obiectivul acestei investiții este de a reduce emisiile de GES de pe terenurile lituaniene prin crearea unor condiții favorabile pentru conservarea biodiversității și prin creșterea absorbțiilor de GES. Investiția constă în: (1) modificări în materie de reglementare pentru operaționalizarea cadrului național de identificare a turbăriilor deteriorate și pentru gestionarea ulterioară a turbăriilor refăcute; și (2) achiziționarea de zone forestiere în scopul conservării. </w:t>
      </w:r>
    </w:p>
    <w:p w14:paraId="6A614FFC" w14:textId="3218EAA9" w:rsidR="00F53E3A" w:rsidRDefault="0036255F">
      <w:pPr>
        <w:pStyle w:val="P68B1DB1-Normal4"/>
        <w:jc w:val="both"/>
        <w:rPr>
          <w:noProof/>
          <w:szCs w:val="24"/>
        </w:rPr>
      </w:pPr>
      <w:r>
        <w:rPr>
          <w:noProof/>
        </w:rPr>
        <w:t>În cadrul primei părți a acestei investiții, se concep și se pun în aplicare măsuri de refacere a nivelurilor apei, de refacere a bunelor condiții agricole și de mediu și de instituire a unui sistem de monitorizare, dacă este necesar. Actorilor în cauză li se oferă consiliere și formare. Selectarea unei activități economice se efectuează de la caz la caz, ținând seama de caracteristicile specifice ale zonei și de constrângerile de mediu implicate.</w:t>
      </w:r>
    </w:p>
    <w:p w14:paraId="04AD7701" w14:textId="77777777" w:rsidR="00F53E3A" w:rsidRDefault="0036255F">
      <w:pPr>
        <w:pStyle w:val="P68B1DB1-Normal6"/>
        <w:keepNext/>
        <w:keepLines/>
        <w:jc w:val="both"/>
        <w:rPr>
          <w:rFonts w:cs="Times New Roman"/>
          <w:noProof/>
          <w:szCs w:val="24"/>
        </w:rPr>
      </w:pPr>
      <w:r>
        <w:rPr>
          <w:noProof/>
        </w:rPr>
        <w:t>B.1.5. Reforma 5: „Către o economie circulară”</w:t>
      </w:r>
    </w:p>
    <w:p w14:paraId="0DBB1238" w14:textId="32AAD84D" w:rsidR="00F53E3A" w:rsidRDefault="0036255F">
      <w:pPr>
        <w:pStyle w:val="P68B1DB1-Normal4"/>
        <w:jc w:val="both"/>
        <w:rPr>
          <w:rFonts w:cs="Times New Roman"/>
          <w:noProof/>
          <w:szCs w:val="24"/>
        </w:rPr>
      </w:pPr>
      <w:r>
        <w:rPr>
          <w:noProof/>
        </w:rPr>
        <w:t>Obiectivul reformei este de a dezvolta un model de economie circulară de sine stătător, cu implicarea tuturor părților interesate, asigurând principiile circularității și prevenirea generării de deșeuri în sectorul industrial, extinzând producția și utilizarea materiilor prime secundare, sporind utilizarea eficientă a materialelor și a resurselor, promovând proiectarea durabilă și inovarea verde, asigurând sustenabilitatea, durabilitatea, repararea și reînnoirea produselor. Ca urmare a reformei, un plan de acțiune pentru tranziția Lituaniei către o economie circulară până în 2035 va fi aprobat prin protocol guvernamental. Planul de acțiune se axează pe prevenirea generării de deșeuri, pe reciclare, pe proiectarea produselor și pe utilizarea materiilor prime secundare, pe digitalizare, pe promovarea inovării verzi, precum și pe îmbunătățirea cadrului juridic și a măsurilor fiscale care promovează beneficii pe termen lung în locul soluțiilor și rezultatelor pe termen scurt pentru revenirea resurselor la circularitate. Scopul este de a asigura o abordare instituțională sistemică a economiei circulare și o cooperare strânsă între instituțiile implicate.</w:t>
      </w:r>
    </w:p>
    <w:p w14:paraId="5CB6B24D" w14:textId="77777777" w:rsidR="00F53E3A" w:rsidRDefault="0036255F">
      <w:pPr>
        <w:pStyle w:val="P68B1DB1-Normal4"/>
        <w:jc w:val="both"/>
        <w:rPr>
          <w:rFonts w:cs="Times New Roman"/>
          <w:noProof/>
          <w:szCs w:val="24"/>
        </w:rPr>
      </w:pPr>
      <w:r>
        <w:rPr>
          <w:noProof/>
        </w:rPr>
        <w:t>Reforma se finalizează până la 31 martie 2023.</w:t>
      </w:r>
    </w:p>
    <w:p w14:paraId="5A8BF485" w14:textId="4F4AD603" w:rsidR="00F53E3A" w:rsidRDefault="0036255F">
      <w:pPr>
        <w:pStyle w:val="P68B1DB1-Normal6"/>
        <w:jc w:val="both"/>
        <w:rPr>
          <w:noProof/>
          <w:szCs w:val="24"/>
        </w:rPr>
      </w:pPr>
      <w:r>
        <w:rPr>
          <w:noProof/>
        </w:rPr>
        <w:t>B.1.6. Reforma 6: „Transparența informațiilor privind racordarea la rețeaua de energie electrică”</w:t>
      </w:r>
    </w:p>
    <w:p w14:paraId="05A755E2" w14:textId="44AE88A1" w:rsidR="00F53E3A" w:rsidRDefault="0036255F">
      <w:pPr>
        <w:pStyle w:val="P68B1DB1-Normal19"/>
        <w:jc w:val="both"/>
        <w:rPr>
          <w:noProof/>
          <w:szCs w:val="24"/>
        </w:rPr>
      </w:pPr>
      <w:r>
        <w:rPr>
          <w:noProof/>
        </w:rPr>
        <w:t xml:space="preserve">Obiectivul acestei reforme este de a furniza informații publice cu privire la posibilitățile de conectare la rețeaua de energie electrică. </w:t>
      </w:r>
    </w:p>
    <w:p w14:paraId="67E32A82" w14:textId="295891D9" w:rsidR="00F53E3A" w:rsidRDefault="0036255F">
      <w:pPr>
        <w:pStyle w:val="P68B1DB1-Normal20"/>
        <w:jc w:val="both"/>
        <w:rPr>
          <w:strike/>
          <w:noProof/>
          <w:color w:val="D13438"/>
        </w:rPr>
        <w:sectPr w:rsidR="00F53E3A" w:rsidSect="0074650A">
          <w:headerReference w:type="even" r:id="rId30"/>
          <w:headerReference w:type="default" r:id="rId31"/>
          <w:footerReference w:type="even" r:id="rId32"/>
          <w:footerReference w:type="default" r:id="rId33"/>
          <w:headerReference w:type="first" r:id="rId34"/>
          <w:footerReference w:type="first" r:id="rId35"/>
          <w:pgSz w:w="11907" w:h="16839"/>
          <w:pgMar w:top="1134" w:right="1134" w:bottom="1134" w:left="1134" w:header="567" w:footer="567" w:gutter="0"/>
          <w:cols w:space="720"/>
          <w:docGrid w:linePitch="360"/>
        </w:sectPr>
      </w:pPr>
      <w:r>
        <w:rPr>
          <w:noProof/>
          <w:color w:val="000000" w:themeColor="text1"/>
        </w:rPr>
        <w:t xml:space="preserve">Reforma constă în intrarea în vigoare a unei legislații care stabilește obligația operatorului de sistem de transport și a operatorului de sistem de distribuție de a </w:t>
      </w:r>
      <w:r>
        <w:rPr>
          <w:noProof/>
        </w:rPr>
        <w:t>publica</w:t>
      </w:r>
      <w:r>
        <w:rPr>
          <w:noProof/>
          <w:color w:val="000000" w:themeColor="text1"/>
        </w:rPr>
        <w:t xml:space="preserve"> informații prospective privind capacitatea rețelei.</w:t>
      </w:r>
    </w:p>
    <w:p w14:paraId="10E2A4B5" w14:textId="1ABE977C" w:rsidR="00F53E3A" w:rsidRDefault="0036255F">
      <w:pPr>
        <w:pStyle w:val="P68B1DB1-Text15"/>
        <w:keepNext/>
        <w:keepLines/>
        <w:spacing w:before="0" w:after="200" w:line="276" w:lineRule="auto"/>
        <w:ind w:left="0"/>
        <w:jc w:val="center"/>
        <w:outlineLvl w:val="1"/>
        <w:rPr>
          <w:noProof/>
        </w:rPr>
      </w:pPr>
      <w:r>
        <w:rPr>
          <w:noProof/>
        </w:rPr>
        <w:t>B.2. Jaloane, ținte, indicatori și calendarul de monitorizare și implementare aplicabile sprijinului financiar nerambursabil</w:t>
      </w:r>
    </w:p>
    <w:tbl>
      <w:tblPr>
        <w:tblpPr w:leftFromText="141" w:rightFromText="141" w:vertAnchor="text" w:tblpXSpec="center" w:tblpY="1"/>
        <w:tblOverlap w:val="never"/>
        <w:tblW w:w="15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ayout w:type="fixed"/>
        <w:tblCellMar>
          <w:left w:w="70" w:type="dxa"/>
          <w:right w:w="70" w:type="dxa"/>
        </w:tblCellMar>
        <w:tblLook w:val="04A0" w:firstRow="1" w:lastRow="0" w:firstColumn="1" w:lastColumn="0" w:noHBand="0" w:noVBand="1"/>
      </w:tblPr>
      <w:tblGrid>
        <w:gridCol w:w="885"/>
        <w:gridCol w:w="1384"/>
        <w:gridCol w:w="1345"/>
        <w:gridCol w:w="1665"/>
        <w:gridCol w:w="1541"/>
        <w:gridCol w:w="1050"/>
        <w:gridCol w:w="960"/>
        <w:gridCol w:w="879"/>
        <w:gridCol w:w="1134"/>
        <w:gridCol w:w="780"/>
        <w:gridCol w:w="3444"/>
      </w:tblGrid>
      <w:tr w:rsidR="00F53E3A" w14:paraId="2DFC1A9E" w14:textId="77777777" w:rsidTr="00CB74C1">
        <w:trPr>
          <w:trHeight w:val="300"/>
          <w:tblHeader/>
          <w:jc w:val="center"/>
        </w:trPr>
        <w:tc>
          <w:tcPr>
            <w:tcW w:w="885"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7F8AA895" w14:textId="61A2B131" w:rsidR="00F53E3A" w:rsidRDefault="0035684C">
            <w:pPr>
              <w:pStyle w:val="P68B1DB1-Normal9"/>
              <w:spacing w:before="60" w:after="60"/>
              <w:jc w:val="center"/>
              <w:rPr>
                <w:rFonts w:cs="Times New Roman"/>
                <w:noProof/>
              </w:rPr>
            </w:pPr>
            <w:r>
              <w:rPr>
                <w:noProof/>
              </w:rPr>
              <w:t>Nr.</w:t>
            </w:r>
          </w:p>
        </w:tc>
        <w:tc>
          <w:tcPr>
            <w:tcW w:w="138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57265C7" w14:textId="77777777" w:rsidR="00F53E3A" w:rsidRDefault="0036255F">
            <w:pPr>
              <w:pStyle w:val="P68B1DB1-Normal9"/>
              <w:spacing w:before="60" w:after="60"/>
              <w:jc w:val="center"/>
              <w:rPr>
                <w:rFonts w:eastAsia="Calibri" w:cs="Times New Roman"/>
                <w:noProof/>
              </w:rPr>
            </w:pPr>
            <w:r>
              <w:rPr>
                <w:noProof/>
              </w:rPr>
              <w:t>Măsură conexă (reformă sau investiții)</w:t>
            </w:r>
          </w:p>
        </w:tc>
        <w:tc>
          <w:tcPr>
            <w:tcW w:w="1345"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4C52EDFA" w14:textId="77777777" w:rsidR="00F53E3A" w:rsidRDefault="0036255F">
            <w:pPr>
              <w:pStyle w:val="P68B1DB1-Normal9"/>
              <w:spacing w:before="60" w:after="60"/>
              <w:jc w:val="center"/>
              <w:rPr>
                <w:rFonts w:cs="Times New Roman"/>
                <w:noProof/>
              </w:rPr>
            </w:pPr>
            <w:r>
              <w:rPr>
                <w:noProof/>
              </w:rPr>
              <w:t>Kilometraje/</w:t>
            </w:r>
          </w:p>
          <w:p w14:paraId="5DDFCAB4" w14:textId="5E9A9B27" w:rsidR="00F53E3A" w:rsidRDefault="0036255F">
            <w:pPr>
              <w:pStyle w:val="P68B1DB1-Normal9"/>
              <w:spacing w:before="60" w:after="60"/>
              <w:jc w:val="center"/>
              <w:rPr>
                <w:rFonts w:cs="Times New Roman"/>
                <w:noProof/>
              </w:rPr>
            </w:pPr>
            <w:r>
              <w:rPr>
                <w:noProof/>
              </w:rPr>
              <w:t>Țintă</w:t>
            </w:r>
          </w:p>
        </w:tc>
        <w:tc>
          <w:tcPr>
            <w:tcW w:w="1665"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D7054B2" w14:textId="77777777" w:rsidR="00F53E3A" w:rsidRDefault="0036255F">
            <w:pPr>
              <w:pStyle w:val="P68B1DB1-Normal9"/>
              <w:spacing w:before="60" w:after="60"/>
              <w:jc w:val="center"/>
              <w:rPr>
                <w:rFonts w:eastAsia="Times New Roman" w:cs="Times New Roman"/>
                <w:noProof/>
              </w:rPr>
            </w:pPr>
            <w:r>
              <w:rPr>
                <w:noProof/>
              </w:rPr>
              <w:t>Titlu</w:t>
            </w:r>
          </w:p>
        </w:tc>
        <w:tc>
          <w:tcPr>
            <w:tcW w:w="1541"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CB8B1B2" w14:textId="77777777" w:rsidR="00F53E3A" w:rsidRDefault="0036255F">
            <w:pPr>
              <w:pStyle w:val="P68B1DB1-Normal9"/>
              <w:spacing w:before="60" w:after="60"/>
              <w:jc w:val="center"/>
              <w:rPr>
                <w:rFonts w:eastAsia="Times New Roman" w:cs="Times New Roman"/>
                <w:noProof/>
              </w:rPr>
            </w:pPr>
            <w:r>
              <w:rPr>
                <w:noProof/>
              </w:rPr>
              <w:t>Indicatori calitativi</w:t>
            </w:r>
          </w:p>
          <w:p w14:paraId="63C5A16D" w14:textId="485F2B8B" w:rsidR="00F53E3A" w:rsidRDefault="0036255F">
            <w:pPr>
              <w:pStyle w:val="P68B1DB1-Normal9"/>
              <w:spacing w:before="60" w:after="60"/>
              <w:jc w:val="center"/>
              <w:rPr>
                <w:rFonts w:eastAsia="Times New Roman" w:cs="Times New Roman"/>
                <w:noProof/>
              </w:rPr>
            </w:pPr>
            <w:r>
              <w:rPr>
                <w:noProof/>
              </w:rPr>
              <w:t>(pentru jaloane)</w:t>
            </w:r>
          </w:p>
        </w:tc>
        <w:tc>
          <w:tcPr>
            <w:tcW w:w="2889"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2FCEB2A8" w14:textId="77777777" w:rsidR="00F53E3A" w:rsidRDefault="0036255F">
            <w:pPr>
              <w:pStyle w:val="P68B1DB1-Normal10"/>
              <w:spacing w:before="60" w:after="60"/>
              <w:jc w:val="center"/>
              <w:rPr>
                <w:rFonts w:ascii="Times New Roman" w:hAnsi="Times New Roman" w:cs="Times New Roman"/>
                <w:b/>
                <w:noProof/>
              </w:rPr>
            </w:pPr>
            <w:r>
              <w:rPr>
                <w:rFonts w:ascii="Times New Roman" w:hAnsi="Times New Roman"/>
                <w:b/>
                <w:noProof/>
              </w:rPr>
              <w:t>Indicatori cantitativi</w:t>
            </w:r>
            <w:r>
              <w:rPr>
                <w:noProof/>
              </w:rPr>
              <w:t xml:space="preserve"> </w:t>
            </w:r>
            <w:r>
              <w:rPr>
                <w:noProof/>
              </w:rPr>
              <w:br/>
            </w:r>
            <w:r>
              <w:rPr>
                <w:rFonts w:ascii="Times New Roman" w:hAnsi="Times New Roman"/>
                <w:b/>
                <w:noProof/>
              </w:rPr>
              <w:t>(pentru obiective)</w:t>
            </w:r>
          </w:p>
        </w:tc>
        <w:tc>
          <w:tcPr>
            <w:tcW w:w="1914"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27A8ABA1" w14:textId="77777777" w:rsidR="00F53E3A" w:rsidRDefault="0036255F">
            <w:pPr>
              <w:pStyle w:val="P68B1DB1-Normal9"/>
              <w:spacing w:before="60" w:after="60"/>
              <w:jc w:val="center"/>
              <w:rPr>
                <w:rFonts w:cs="Times New Roman"/>
                <w:noProof/>
              </w:rPr>
            </w:pPr>
            <w:r>
              <w:rPr>
                <w:noProof/>
              </w:rPr>
              <w:t>Calendar orientativ pentru finalizare</w:t>
            </w:r>
          </w:p>
        </w:tc>
        <w:tc>
          <w:tcPr>
            <w:tcW w:w="344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CCCF5BD" w14:textId="77777777" w:rsidR="00F53E3A" w:rsidRDefault="0036255F">
            <w:pPr>
              <w:pStyle w:val="P68B1DB1-Normal9"/>
              <w:spacing w:before="60" w:after="60"/>
              <w:jc w:val="center"/>
              <w:rPr>
                <w:rFonts w:eastAsia="Times New Roman" w:cs="Times New Roman"/>
                <w:noProof/>
              </w:rPr>
            </w:pPr>
            <w:r>
              <w:rPr>
                <w:noProof/>
              </w:rPr>
              <w:t>Descrierea și definiția clară a fiecărui obiectiv de etapă și a fiecărei ținte</w:t>
            </w:r>
          </w:p>
        </w:tc>
      </w:tr>
      <w:tr w:rsidR="00F53E3A" w14:paraId="73B0E28C" w14:textId="77777777" w:rsidTr="00CB74C1">
        <w:trPr>
          <w:trHeight w:val="300"/>
          <w:tblHeader/>
          <w:jc w:val="center"/>
        </w:trPr>
        <w:tc>
          <w:tcPr>
            <w:tcW w:w="885" w:type="dxa"/>
            <w:vMerge/>
            <w:noWrap/>
          </w:tcPr>
          <w:p w14:paraId="3B95F9C3" w14:textId="77777777" w:rsidR="00F53E3A" w:rsidRDefault="00F53E3A">
            <w:pPr>
              <w:spacing w:before="60" w:after="60"/>
              <w:jc w:val="center"/>
              <w:rPr>
                <w:rFonts w:ascii="Times New Roman" w:hAnsi="Times New Roman" w:cs="Times New Roman"/>
                <w:noProof/>
                <w:sz w:val="20"/>
              </w:rPr>
            </w:pPr>
          </w:p>
        </w:tc>
        <w:tc>
          <w:tcPr>
            <w:tcW w:w="1384" w:type="dxa"/>
            <w:vMerge/>
          </w:tcPr>
          <w:p w14:paraId="039B89EE" w14:textId="77777777" w:rsidR="00F53E3A" w:rsidRDefault="00F53E3A">
            <w:pPr>
              <w:spacing w:before="60" w:after="60"/>
              <w:rPr>
                <w:rFonts w:ascii="Times New Roman" w:eastAsia="Calibri" w:hAnsi="Times New Roman" w:cs="Times New Roman"/>
                <w:noProof/>
                <w:sz w:val="20"/>
              </w:rPr>
            </w:pPr>
          </w:p>
        </w:tc>
        <w:tc>
          <w:tcPr>
            <w:tcW w:w="1345" w:type="dxa"/>
            <w:vMerge/>
            <w:noWrap/>
          </w:tcPr>
          <w:p w14:paraId="01072C02" w14:textId="77777777" w:rsidR="00F53E3A" w:rsidRDefault="00F53E3A">
            <w:pPr>
              <w:spacing w:before="60" w:after="60"/>
              <w:jc w:val="center"/>
              <w:rPr>
                <w:rFonts w:ascii="Times New Roman" w:hAnsi="Times New Roman" w:cs="Times New Roman"/>
                <w:noProof/>
                <w:sz w:val="20"/>
              </w:rPr>
            </w:pPr>
          </w:p>
        </w:tc>
        <w:tc>
          <w:tcPr>
            <w:tcW w:w="1665" w:type="dxa"/>
            <w:vMerge/>
          </w:tcPr>
          <w:p w14:paraId="0B2FF337" w14:textId="77777777" w:rsidR="00F53E3A" w:rsidRDefault="00F53E3A">
            <w:pPr>
              <w:spacing w:before="60" w:after="60"/>
              <w:rPr>
                <w:rFonts w:ascii="Times New Roman" w:hAnsi="Times New Roman" w:cs="Times New Roman"/>
                <w:noProof/>
                <w:sz w:val="20"/>
              </w:rPr>
            </w:pPr>
          </w:p>
        </w:tc>
        <w:tc>
          <w:tcPr>
            <w:tcW w:w="1541" w:type="dxa"/>
            <w:vMerge/>
          </w:tcPr>
          <w:p w14:paraId="49923815" w14:textId="77777777" w:rsidR="00F53E3A" w:rsidRDefault="00F53E3A">
            <w:pPr>
              <w:spacing w:before="60" w:after="60"/>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097E5E54" w14:textId="77777777" w:rsidR="00F53E3A" w:rsidRDefault="0036255F">
            <w:pPr>
              <w:pStyle w:val="P68B1DB1-Normal9"/>
              <w:spacing w:before="60" w:after="60"/>
              <w:jc w:val="center"/>
              <w:rPr>
                <w:rFonts w:cs="Times New Roman"/>
                <w:noProof/>
              </w:rPr>
            </w:pPr>
            <w:r>
              <w:rPr>
                <w:noProof/>
              </w:rPr>
              <w:t>Unitate</w:t>
            </w:r>
          </w:p>
        </w:tc>
        <w:tc>
          <w:tcPr>
            <w:tcW w:w="96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FF56C78" w14:textId="77777777" w:rsidR="00F53E3A" w:rsidRDefault="0036255F">
            <w:pPr>
              <w:pStyle w:val="P68B1DB1-Normal9"/>
              <w:spacing w:before="60" w:after="60"/>
              <w:jc w:val="center"/>
              <w:rPr>
                <w:rFonts w:cs="Times New Roman"/>
                <w:noProof/>
              </w:rPr>
            </w:pPr>
            <w:r>
              <w:rPr>
                <w:noProof/>
              </w:rPr>
              <w:t>Situația de referință</w:t>
            </w:r>
          </w:p>
        </w:tc>
        <w:tc>
          <w:tcPr>
            <w:tcW w:w="879"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54F1B07" w14:textId="77777777" w:rsidR="00F53E3A" w:rsidRDefault="0036255F">
            <w:pPr>
              <w:pStyle w:val="P68B1DB1-Normal9"/>
              <w:spacing w:before="60" w:after="60"/>
              <w:jc w:val="center"/>
              <w:rPr>
                <w:rFonts w:cs="Times New Roman"/>
                <w:noProof/>
              </w:rPr>
            </w:pPr>
            <w:r>
              <w:rPr>
                <w:noProof/>
              </w:rPr>
              <w:t>Obiectiv</w:t>
            </w:r>
          </w:p>
        </w:tc>
        <w:tc>
          <w:tcPr>
            <w:tcW w:w="1134"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16CC9072" w14:textId="77777777" w:rsidR="00F53E3A" w:rsidRDefault="0036255F">
            <w:pPr>
              <w:pStyle w:val="P68B1DB1-Normal9"/>
              <w:spacing w:before="60" w:after="60"/>
              <w:jc w:val="center"/>
              <w:rPr>
                <w:rFonts w:cs="Times New Roman"/>
                <w:noProof/>
              </w:rPr>
            </w:pPr>
            <w:r>
              <w:rPr>
                <w:noProof/>
              </w:rPr>
              <w:t>Trimestru</w:t>
            </w:r>
          </w:p>
        </w:tc>
        <w:tc>
          <w:tcPr>
            <w:tcW w:w="78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0CE2208" w14:textId="77777777" w:rsidR="00F53E3A" w:rsidRDefault="0036255F">
            <w:pPr>
              <w:pStyle w:val="P68B1DB1-Normal9"/>
              <w:spacing w:before="60" w:after="60"/>
              <w:jc w:val="center"/>
              <w:rPr>
                <w:rFonts w:cs="Times New Roman"/>
                <w:noProof/>
              </w:rPr>
            </w:pPr>
            <w:r>
              <w:rPr>
                <w:noProof/>
              </w:rPr>
              <w:t>Anul</w:t>
            </w:r>
          </w:p>
        </w:tc>
        <w:tc>
          <w:tcPr>
            <w:tcW w:w="3444" w:type="dxa"/>
            <w:vMerge/>
          </w:tcPr>
          <w:p w14:paraId="3EFC64B9" w14:textId="77777777" w:rsidR="00F53E3A" w:rsidRDefault="00F53E3A">
            <w:pPr>
              <w:spacing w:before="60" w:after="60"/>
              <w:rPr>
                <w:rFonts w:ascii="Times New Roman" w:hAnsi="Times New Roman" w:cs="Times New Roman"/>
                <w:b/>
                <w:noProof/>
                <w:sz w:val="20"/>
              </w:rPr>
            </w:pPr>
          </w:p>
        </w:tc>
      </w:tr>
      <w:tr w:rsidR="00F53E3A" w14:paraId="04EDDC06" w14:textId="77777777" w:rsidTr="00CB74C1">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3F010CA" w14:textId="57CD12FB" w:rsidR="00F53E3A" w:rsidRDefault="0036255F">
            <w:pPr>
              <w:pStyle w:val="P68B1DB1-Normal13"/>
              <w:spacing w:before="60" w:after="60"/>
              <w:jc w:val="center"/>
              <w:rPr>
                <w:noProof/>
              </w:rPr>
            </w:pPr>
            <w:r>
              <w:rPr>
                <w:noProof/>
              </w:rPr>
              <w:t>21</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C10002" w14:textId="715E02BE" w:rsidR="00F53E3A" w:rsidRDefault="0036255F">
            <w:pPr>
              <w:pStyle w:val="P68B1DB1-Normal13"/>
              <w:spacing w:before="60" w:after="60"/>
              <w:rPr>
                <w:rFonts w:eastAsia="Calibri"/>
                <w:noProof/>
              </w:rPr>
            </w:pPr>
            <w:r>
              <w:rPr>
                <w:noProof/>
              </w:rPr>
              <w:t>B.1.1 Energie electrică mai durabilă produsă în țară</w:t>
            </w:r>
          </w:p>
        </w:tc>
        <w:tc>
          <w:tcPr>
            <w:tcW w:w="13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62A126A" w14:textId="3E9C31E1" w:rsidR="00F53E3A" w:rsidRDefault="0036255F">
            <w:pPr>
              <w:pStyle w:val="P68B1DB1-Normal13"/>
              <w:spacing w:before="60" w:after="60"/>
              <w:jc w:val="center"/>
              <w:rPr>
                <w:noProof/>
              </w:rPr>
            </w:pPr>
            <w:r>
              <w:rPr>
                <w:noProof/>
              </w:rPr>
              <w:t>Etapă</w:t>
            </w:r>
          </w:p>
        </w:tc>
        <w:tc>
          <w:tcPr>
            <w:tcW w:w="166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7111D24" w14:textId="09324C26" w:rsidR="00F53E3A" w:rsidRDefault="0036255F">
            <w:pPr>
              <w:pStyle w:val="P68B1DB1-Normal13"/>
              <w:spacing w:before="60" w:after="60"/>
              <w:rPr>
                <w:noProof/>
              </w:rPr>
            </w:pPr>
            <w:r>
              <w:rPr>
                <w:noProof/>
              </w:rPr>
              <w:t>Intrarea în vigoare a legislației de îmbunătățire a mecanismelor instituționale și juridice de promovare a producției, transportului și consumului de energie electrică din surse regenerabile</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6979D23" w14:textId="3AF651F9" w:rsidR="00F53E3A" w:rsidRDefault="0036255F">
            <w:pPr>
              <w:pStyle w:val="P68B1DB1-Normal13"/>
              <w:spacing w:before="60" w:after="60"/>
              <w:rPr>
                <w:noProof/>
              </w:rPr>
            </w:pPr>
            <w:r>
              <w:rPr>
                <w:noProof/>
              </w:rPr>
              <w:t>Dispoziție din lege care indică intrarea în vigoare</w:t>
            </w: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173FDE4" w14:textId="04721CC2" w:rsidR="00F53E3A" w:rsidRDefault="00F53E3A">
            <w:pPr>
              <w:spacing w:before="60" w:after="60"/>
              <w:jc w:val="center"/>
              <w:rPr>
                <w:rFonts w:ascii="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9DFD3D1" w14:textId="4B89DEB4" w:rsidR="00F53E3A" w:rsidRDefault="00F53E3A">
            <w:pPr>
              <w:spacing w:before="60" w:after="60"/>
              <w:jc w:val="center"/>
              <w:rPr>
                <w:rFonts w:ascii="Times New Roman" w:hAnsi="Times New Roman" w:cs="Times New Roman"/>
                <w:noProof/>
                <w:sz w:val="20"/>
              </w:rPr>
            </w:pPr>
          </w:p>
        </w:tc>
        <w:tc>
          <w:tcPr>
            <w:tcW w:w="87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ACDD769" w14:textId="1AB44D3D" w:rsidR="00F53E3A" w:rsidRDefault="00F53E3A">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5CDBE52" w14:textId="2ED0C98C" w:rsidR="00F53E3A" w:rsidRDefault="00DB2EC5">
            <w:pPr>
              <w:pStyle w:val="P68B1DB1-Normal13"/>
              <w:spacing w:before="60" w:after="60"/>
              <w:jc w:val="center"/>
              <w:rPr>
                <w:noProof/>
              </w:rPr>
            </w:pPr>
            <w:r>
              <w:rPr>
                <w:noProof/>
              </w:rPr>
              <w:t>T4</w:t>
            </w:r>
          </w:p>
        </w:tc>
        <w:tc>
          <w:tcPr>
            <w:tcW w:w="7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10B2E47" w14:textId="3A9B2108" w:rsidR="00F53E3A" w:rsidRDefault="0036255F">
            <w:pPr>
              <w:pStyle w:val="P68B1DB1-Normal13"/>
              <w:spacing w:before="60" w:after="60"/>
              <w:jc w:val="center"/>
              <w:rPr>
                <w:noProof/>
              </w:rPr>
            </w:pPr>
            <w:r>
              <w:rPr>
                <w:noProof/>
              </w:rPr>
              <w:t>2021</w:t>
            </w:r>
          </w:p>
        </w:tc>
        <w:tc>
          <w:tcPr>
            <w:tcW w:w="344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EEFD817" w14:textId="3951A769" w:rsidR="00F53E3A" w:rsidRDefault="0036255F">
            <w:pPr>
              <w:pStyle w:val="P68B1DB1-Normal13"/>
              <w:spacing w:before="60" w:after="60"/>
              <w:jc w:val="both"/>
              <w:textAlignment w:val="baseline"/>
              <w:rPr>
                <w:rFonts w:cs="Segoe UI"/>
                <w:noProof/>
              </w:rPr>
            </w:pPr>
            <w:r>
              <w:rPr>
                <w:noProof/>
              </w:rPr>
              <w:t>Intrarea în vigoare a modificărilor aduse Legii privind energia din surse regenerabile, Legii privind energia electrică și Legii privind energia (offshore și onshore).</w:t>
            </w:r>
          </w:p>
          <w:p w14:paraId="7241ADA3" w14:textId="2784261C" w:rsidR="00F53E3A" w:rsidRDefault="0036255F">
            <w:pPr>
              <w:pStyle w:val="P68B1DB1-Normal13"/>
              <w:spacing w:before="60" w:after="60"/>
              <w:jc w:val="both"/>
              <w:textAlignment w:val="baseline"/>
              <w:rPr>
                <w:rFonts w:cs="Segoe UI"/>
                <w:noProof/>
              </w:rPr>
            </w:pPr>
            <w:r>
              <w:rPr>
                <w:noProof/>
              </w:rPr>
              <w:t>Aceste acte juridice stabilesc faptul că instituția publică, Agenția lituaniană pentru energie, trebuie să se consulte și să ofere asistență metodologică cu privire la aspectele legate de activitățile din sectorul energiei electrice, ceea ce ar facilita procesele pentru solicitanți și ar asigura furnizarea informațiilor în timp util. De asemenea, aceste acte:</w:t>
            </w:r>
          </w:p>
          <w:p w14:paraId="58BF3DD3" w14:textId="70F5F60F" w:rsidR="00F53E3A" w:rsidRDefault="0036255F">
            <w:pPr>
              <w:pStyle w:val="P68B1DB1-Normal13"/>
              <w:spacing w:before="60" w:after="60"/>
              <w:jc w:val="both"/>
              <w:textAlignment w:val="baseline"/>
              <w:rPr>
                <w:rFonts w:cs="Segoe UI"/>
                <w:noProof/>
              </w:rPr>
            </w:pPr>
            <w:r>
              <w:rPr>
                <w:noProof/>
              </w:rPr>
              <w:t>— reglementarea condițiilor în care câștigătorii licitațiilor pot vinde energie electrică în temeiul acordurilor bilaterale, deoarece acest lucru ar oferi mai multă claritate investitorilor cu privire la modul de operare pe piață;</w:t>
            </w:r>
          </w:p>
          <w:p w14:paraId="3BB3BF17" w14:textId="69C6E364" w:rsidR="00F53E3A" w:rsidRDefault="0036255F">
            <w:pPr>
              <w:pStyle w:val="P68B1DB1-Normal13"/>
              <w:spacing w:before="60" w:after="60"/>
              <w:jc w:val="both"/>
              <w:textAlignment w:val="baseline"/>
              <w:rPr>
                <w:rFonts w:cs="Segoe UI"/>
                <w:noProof/>
              </w:rPr>
            </w:pPr>
            <w:r>
              <w:rPr>
                <w:noProof/>
              </w:rPr>
              <w:t>— să stabilească obiective pe termen lung privind energia din surse regenerabile pentru toate sectoarele, și anume să stabilească obiective naționale pe termen lung la nivel legislativ și să creeze certitudine pentru investitori în ceea ce privește dezvoltarea surselor regenerabile de energie;</w:t>
            </w:r>
          </w:p>
          <w:p w14:paraId="45A92499" w14:textId="0E0E6838" w:rsidR="00F53E3A" w:rsidRDefault="0036255F">
            <w:pPr>
              <w:pStyle w:val="P68B1DB1-Normal13"/>
              <w:spacing w:before="60" w:after="60"/>
              <w:jc w:val="both"/>
              <w:rPr>
                <w:noProof/>
              </w:rPr>
            </w:pPr>
            <w:r>
              <w:rPr>
                <w:noProof/>
              </w:rPr>
              <w:t>— stabilirea unui nou tip de autorizații – o autorizație de modernizare (reconstrucție) a unei centrale electrice sau a unei instalații de producere a energiei electrice, astfel cum se prevede în Directiva (UE) 2018/2001 a Parlamentului European și a Consiliului privind promovarea utilizării energiei din surse regenerabile.</w:t>
            </w:r>
          </w:p>
        </w:tc>
      </w:tr>
      <w:tr w:rsidR="00F53E3A" w14:paraId="67912DFE" w14:textId="77777777" w:rsidTr="00CB74C1">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41E8EDF" w14:textId="59C0ED9B" w:rsidR="00F53E3A" w:rsidRDefault="0036255F">
            <w:pPr>
              <w:pStyle w:val="P68B1DB1-Normal13"/>
              <w:spacing w:before="60" w:after="60"/>
              <w:jc w:val="center"/>
              <w:rPr>
                <w:noProof/>
              </w:rPr>
            </w:pPr>
            <w:r>
              <w:rPr>
                <w:noProof/>
              </w:rPr>
              <w:t>22</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35BDFCD" w14:textId="16E06669" w:rsidR="00F53E3A" w:rsidRDefault="0036255F">
            <w:pPr>
              <w:pStyle w:val="P68B1DB1-Normal13"/>
              <w:spacing w:before="60" w:after="60"/>
              <w:rPr>
                <w:noProof/>
              </w:rPr>
            </w:pPr>
            <w:r>
              <w:rPr>
                <w:noProof/>
              </w:rPr>
              <w:t>B. 1.1 Energie electrică mai durabilă produsă în țară – B.1.1.1 Lucrări pregătitoare pentru centralele eoliene offshore și infrastructura aferentă</w:t>
            </w:r>
          </w:p>
        </w:tc>
        <w:tc>
          <w:tcPr>
            <w:tcW w:w="13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6A56655" w14:textId="76BD5002" w:rsidR="00F53E3A" w:rsidRDefault="0036255F">
            <w:pPr>
              <w:pStyle w:val="P68B1DB1-Normal13"/>
              <w:spacing w:before="60" w:after="60"/>
              <w:jc w:val="center"/>
              <w:rPr>
                <w:noProof/>
              </w:rPr>
            </w:pPr>
            <w:r>
              <w:rPr>
                <w:noProof/>
              </w:rPr>
              <w:t>Etapă</w:t>
            </w:r>
          </w:p>
        </w:tc>
        <w:tc>
          <w:tcPr>
            <w:tcW w:w="166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253A0D2" w14:textId="284EC702" w:rsidR="00F53E3A" w:rsidRDefault="0036255F">
            <w:pPr>
              <w:pStyle w:val="P68B1DB1-Normal13"/>
              <w:spacing w:before="60" w:after="60"/>
              <w:rPr>
                <w:noProof/>
              </w:rPr>
            </w:pPr>
            <w:r>
              <w:rPr>
                <w:noProof/>
              </w:rPr>
              <w:t>Efectuarea lucrărilor pregătitoare pentru centralele eoliene offshore și infrastructura aferentă</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D4D7F3D" w14:textId="6CB4C4D1" w:rsidR="00F53E3A" w:rsidRDefault="0036255F">
            <w:pPr>
              <w:pStyle w:val="P68B1DB1-Normal13"/>
              <w:spacing w:before="60" w:after="60"/>
              <w:rPr>
                <w:noProof/>
              </w:rPr>
            </w:pPr>
            <w:r>
              <w:rPr>
                <w:noProof/>
              </w:rPr>
              <w:t>Anchete, măsurători și studii efectuate sau furnizate</w:t>
            </w: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1173707" w14:textId="285F0B60" w:rsidR="00F53E3A" w:rsidRDefault="00F53E3A">
            <w:pPr>
              <w:spacing w:before="60" w:after="60"/>
              <w:jc w:val="center"/>
              <w:rPr>
                <w:rFonts w:ascii="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2A6E8BB" w14:textId="10521D10" w:rsidR="00F53E3A" w:rsidRDefault="00F53E3A">
            <w:pPr>
              <w:spacing w:before="60" w:after="60"/>
              <w:jc w:val="center"/>
              <w:rPr>
                <w:rFonts w:ascii="Times New Roman" w:hAnsi="Times New Roman" w:cs="Times New Roman"/>
                <w:noProof/>
                <w:sz w:val="20"/>
              </w:rPr>
            </w:pPr>
          </w:p>
        </w:tc>
        <w:tc>
          <w:tcPr>
            <w:tcW w:w="87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83AF199" w14:textId="4153D53C" w:rsidR="00F53E3A" w:rsidRDefault="00F53E3A">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853661B" w14:textId="27CFA8F2" w:rsidR="00F53E3A" w:rsidRDefault="00DB2EC5">
            <w:pPr>
              <w:pStyle w:val="P68B1DB1-Normal13"/>
              <w:spacing w:before="60" w:after="60"/>
              <w:jc w:val="center"/>
              <w:rPr>
                <w:noProof/>
              </w:rPr>
            </w:pPr>
            <w:r>
              <w:rPr>
                <w:noProof/>
              </w:rPr>
              <w:t>T1</w:t>
            </w:r>
          </w:p>
        </w:tc>
        <w:tc>
          <w:tcPr>
            <w:tcW w:w="7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280FD63" w14:textId="31971C53" w:rsidR="00F53E3A" w:rsidRDefault="0036255F">
            <w:pPr>
              <w:pStyle w:val="P68B1DB1-Normal13"/>
              <w:spacing w:before="60" w:after="60"/>
              <w:jc w:val="center"/>
              <w:rPr>
                <w:noProof/>
              </w:rPr>
            </w:pPr>
            <w:r>
              <w:rPr>
                <w:noProof/>
              </w:rPr>
              <w:t>2026</w:t>
            </w:r>
          </w:p>
        </w:tc>
        <w:tc>
          <w:tcPr>
            <w:tcW w:w="344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52334CB" w14:textId="6DEF8441" w:rsidR="00F53E3A" w:rsidRDefault="0036255F">
            <w:pPr>
              <w:pStyle w:val="P68B1DB1-Normal13"/>
              <w:spacing w:before="60" w:after="60"/>
              <w:jc w:val="both"/>
              <w:textAlignment w:val="baseline"/>
              <w:rPr>
                <w:rFonts w:cs="Segoe UI"/>
                <w:noProof/>
              </w:rPr>
            </w:pPr>
            <w:r>
              <w:rPr>
                <w:noProof/>
              </w:rPr>
              <w:t>Se efectuează sau se livrează:</w:t>
            </w:r>
          </w:p>
          <w:p w14:paraId="32ACFBBB" w14:textId="7BA218DB" w:rsidR="00F53E3A" w:rsidRDefault="0036255F">
            <w:pPr>
              <w:pStyle w:val="P68B1DB1-Normal13"/>
              <w:spacing w:before="60" w:after="60"/>
              <w:jc w:val="both"/>
              <w:textAlignment w:val="baseline"/>
              <w:rPr>
                <w:rFonts w:cs="Segoe UI"/>
                <w:noProof/>
              </w:rPr>
            </w:pPr>
            <w:r>
              <w:rPr>
                <w:noProof/>
              </w:rPr>
              <w:t>1) un studiu privind: soluții tehnice, valoarea instalării infrastructurii, analiza cost-beneficiu.</w:t>
            </w:r>
          </w:p>
          <w:p w14:paraId="31420050" w14:textId="6F4A5EB8" w:rsidR="00F53E3A" w:rsidRDefault="0036255F">
            <w:pPr>
              <w:pStyle w:val="P68B1DB1-Normal13"/>
              <w:spacing w:before="60" w:after="60"/>
              <w:jc w:val="both"/>
              <w:textAlignment w:val="baseline"/>
              <w:rPr>
                <w:rFonts w:cs="Segoe UI"/>
                <w:noProof/>
              </w:rPr>
            </w:pPr>
            <w:r>
              <w:rPr>
                <w:noProof/>
              </w:rPr>
              <w:t>2) identificarea posibilelor amplasamente pentru conectarea parcurilor eoliene offshore la rețeaua terestră.</w:t>
            </w:r>
          </w:p>
          <w:p w14:paraId="4C12CC90" w14:textId="654322E6" w:rsidR="00F53E3A" w:rsidRDefault="0036255F">
            <w:pPr>
              <w:pStyle w:val="P68B1DB1-Normal13"/>
              <w:spacing w:before="60" w:after="60"/>
              <w:jc w:val="both"/>
              <w:textAlignment w:val="baseline"/>
              <w:rPr>
                <w:rFonts w:cs="Segoe UI"/>
                <w:noProof/>
              </w:rPr>
            </w:pPr>
            <w:r>
              <w:rPr>
                <w:noProof/>
              </w:rPr>
              <w:t>3) măsurarea vitezei vântului.</w:t>
            </w:r>
          </w:p>
          <w:p w14:paraId="083E7F71" w14:textId="28C166BE" w:rsidR="00F53E3A" w:rsidRDefault="0036255F">
            <w:pPr>
              <w:pStyle w:val="P68B1DB1-Normal13"/>
              <w:spacing w:before="60" w:after="60"/>
              <w:jc w:val="both"/>
              <w:textAlignment w:val="baseline"/>
              <w:rPr>
                <w:rFonts w:cs="Segoe UI"/>
                <w:noProof/>
              </w:rPr>
            </w:pPr>
            <w:r>
              <w:rPr>
                <w:noProof/>
              </w:rPr>
              <w:t>4) prospectarea fundului mării în teritoriu în vederea posibilei dezvoltări a unui parc eolian offshore.</w:t>
            </w:r>
          </w:p>
          <w:p w14:paraId="60ABBE55" w14:textId="69EFE7E7" w:rsidR="00F53E3A" w:rsidRDefault="0036255F">
            <w:pPr>
              <w:pStyle w:val="P68B1DB1-Normal13"/>
              <w:spacing w:before="60" w:after="60"/>
              <w:jc w:val="both"/>
              <w:textAlignment w:val="baseline"/>
              <w:rPr>
                <w:rFonts w:cs="Segoe UI"/>
                <w:noProof/>
              </w:rPr>
            </w:pPr>
            <w:r>
              <w:rPr>
                <w:noProof/>
              </w:rPr>
              <w:t>5) prospectări ale fundului mării pentru conectarea parcului eolian offshore cu solul.</w:t>
            </w:r>
          </w:p>
          <w:p w14:paraId="35D8995E" w14:textId="016CB4A5" w:rsidR="00F53E3A" w:rsidRDefault="0036255F">
            <w:pPr>
              <w:pStyle w:val="P68B1DB1-Normal13"/>
              <w:spacing w:before="60" w:after="60"/>
              <w:jc w:val="both"/>
              <w:textAlignment w:val="baseline"/>
              <w:rPr>
                <w:rFonts w:cs="Segoe UI"/>
                <w:noProof/>
              </w:rPr>
            </w:pPr>
            <w:r>
              <w:rPr>
                <w:noProof/>
              </w:rPr>
              <w:t>6) document de planificare teritorială pentru conectarea parcurilor eoliene offshore la rețeaua terestră.</w:t>
            </w:r>
          </w:p>
          <w:p w14:paraId="0985A82B" w14:textId="75C85A09" w:rsidR="00F53E3A" w:rsidRDefault="0036255F">
            <w:pPr>
              <w:pStyle w:val="P68B1DB1-Normal13"/>
              <w:spacing w:before="60" w:after="60"/>
              <w:jc w:val="both"/>
              <w:textAlignment w:val="baseline"/>
              <w:rPr>
                <w:noProof/>
              </w:rPr>
            </w:pPr>
            <w:r>
              <w:rPr>
                <w:noProof/>
              </w:rPr>
              <w:t>7) specificație tehnică pentru conectarea parcului eolian offshore la rețeaua terestră.</w:t>
            </w:r>
          </w:p>
        </w:tc>
      </w:tr>
      <w:tr w:rsidR="00F53E3A" w14:paraId="2EAADBA4" w14:textId="77777777" w:rsidTr="00CB74C1">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2AA9D86" w14:textId="73383B4A" w:rsidR="00F53E3A" w:rsidRDefault="0036255F">
            <w:pPr>
              <w:pStyle w:val="P68B1DB1-Normal13"/>
              <w:spacing w:before="60" w:after="60"/>
              <w:jc w:val="center"/>
              <w:rPr>
                <w:noProof/>
              </w:rPr>
            </w:pPr>
            <w:r>
              <w:rPr>
                <w:noProof/>
              </w:rPr>
              <w:t>26</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6A07C7" w14:textId="6082D871" w:rsidR="00F53E3A" w:rsidRDefault="0036255F">
            <w:pPr>
              <w:pStyle w:val="P68B1DB1-Normal13"/>
              <w:spacing w:before="60" w:after="60"/>
              <w:rPr>
                <w:noProof/>
              </w:rPr>
            </w:pPr>
            <w:r>
              <w:rPr>
                <w:noProof/>
              </w:rPr>
              <w:t>B.1.1 Energie electrică mai durabilă produsă în țară – B.1.1.2</w:t>
            </w:r>
            <w:r>
              <w:rPr>
                <w:noProof/>
                <w:u w:val="single"/>
              </w:rPr>
              <w:t xml:space="preserve"> </w:t>
            </w:r>
            <w:r>
              <w:rPr>
                <w:noProof/>
              </w:rPr>
              <w:t>Sprijin pentru construirea de instalații individuale de stocare</w:t>
            </w:r>
          </w:p>
        </w:tc>
        <w:tc>
          <w:tcPr>
            <w:tcW w:w="13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CB93EEC" w14:textId="0188FE70" w:rsidR="00F53E3A" w:rsidRDefault="0036255F">
            <w:pPr>
              <w:pStyle w:val="P68B1DB1-Normal13"/>
              <w:spacing w:before="60" w:after="60"/>
              <w:jc w:val="center"/>
              <w:rPr>
                <w:noProof/>
              </w:rPr>
            </w:pPr>
            <w:r>
              <w:rPr>
                <w:noProof/>
              </w:rPr>
              <w:t>Țintă</w:t>
            </w:r>
          </w:p>
        </w:tc>
        <w:tc>
          <w:tcPr>
            <w:tcW w:w="166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AFD794" w14:textId="73A05AB5" w:rsidR="00F53E3A" w:rsidRDefault="0036255F">
            <w:pPr>
              <w:pStyle w:val="P68B1DB1-Normal13"/>
              <w:spacing w:before="60" w:after="60"/>
              <w:rPr>
                <w:noProof/>
              </w:rPr>
            </w:pPr>
            <w:r>
              <w:rPr>
                <w:noProof/>
              </w:rPr>
              <w:t>Capacitatea instalată de stocare a energiei</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9EDF55A" w14:textId="5B6E33D4" w:rsidR="00F53E3A" w:rsidRDefault="00F53E3A">
            <w:pPr>
              <w:spacing w:before="60" w:after="60"/>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8EA3419" w14:textId="2DC72F5F" w:rsidR="00F53E3A" w:rsidRDefault="0036255F">
            <w:pPr>
              <w:pStyle w:val="P68B1DB1-Normal13"/>
              <w:spacing w:before="60" w:after="60"/>
              <w:jc w:val="center"/>
              <w:rPr>
                <w:noProof/>
              </w:rPr>
            </w:pPr>
            <w:r>
              <w:rPr>
                <w:noProof/>
              </w:rPr>
              <w:t>MWh</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BDD519D" w14:textId="7B587223" w:rsidR="00F53E3A" w:rsidRDefault="0036255F">
            <w:pPr>
              <w:pStyle w:val="P68B1DB1-Normal13"/>
              <w:spacing w:before="60" w:after="60"/>
              <w:jc w:val="center"/>
              <w:rPr>
                <w:noProof/>
              </w:rPr>
            </w:pPr>
            <w:r>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490C629" w14:textId="406C92BF" w:rsidR="00F53E3A" w:rsidRDefault="0036255F">
            <w:pPr>
              <w:pStyle w:val="P68B1DB1-Normal13"/>
              <w:spacing w:before="60" w:after="60"/>
              <w:jc w:val="center"/>
              <w:rPr>
                <w:noProof/>
              </w:rPr>
            </w:pPr>
            <w:r>
              <w:rPr>
                <w:noProof/>
              </w:rPr>
              <w:t>157.2</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10EC95F" w14:textId="6AEA19CD" w:rsidR="00F53E3A" w:rsidRDefault="00DB2EC5">
            <w:pPr>
              <w:pStyle w:val="P68B1DB1-Normal13"/>
              <w:spacing w:before="60" w:after="60"/>
              <w:jc w:val="center"/>
              <w:rPr>
                <w:noProof/>
              </w:rPr>
            </w:pPr>
            <w:r>
              <w:rPr>
                <w:noProof/>
              </w:rPr>
              <w:t>T2</w:t>
            </w:r>
          </w:p>
        </w:tc>
        <w:tc>
          <w:tcPr>
            <w:tcW w:w="7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F4FF702" w14:textId="1AD02B5B" w:rsidR="00F53E3A" w:rsidRDefault="0036255F">
            <w:pPr>
              <w:pStyle w:val="P68B1DB1-Normal13"/>
              <w:spacing w:before="60" w:after="60"/>
              <w:jc w:val="center"/>
              <w:rPr>
                <w:noProof/>
              </w:rPr>
            </w:pPr>
            <w:r>
              <w:rPr>
                <w:noProof/>
              </w:rPr>
              <w:t>2026</w:t>
            </w:r>
          </w:p>
        </w:tc>
        <w:tc>
          <w:tcPr>
            <w:tcW w:w="344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9C3FC17" w14:textId="38B27714" w:rsidR="00F53E3A" w:rsidRDefault="0036255F">
            <w:pPr>
              <w:pStyle w:val="P68B1DB1-Normal13"/>
              <w:spacing w:before="60" w:after="60"/>
              <w:jc w:val="both"/>
              <w:rPr>
                <w:noProof/>
              </w:rPr>
            </w:pPr>
            <w:r>
              <w:rPr>
                <w:noProof/>
              </w:rPr>
              <w:t xml:space="preserve">Capacitate totală de stocare a energiei de 157,2 MWh instalată. Capacitatea de stocare a energiei instalată în entități juridice a fost conectată la rețea. </w:t>
            </w:r>
          </w:p>
        </w:tc>
      </w:tr>
      <w:tr w:rsidR="00F53E3A" w14:paraId="298447B5" w14:textId="77777777" w:rsidTr="00CB74C1">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2E263DE" w14:textId="29C87A63" w:rsidR="00F53E3A" w:rsidRDefault="0036255F">
            <w:pPr>
              <w:pStyle w:val="P68B1DB1-Normal13"/>
              <w:spacing w:before="60" w:after="60"/>
              <w:jc w:val="center"/>
              <w:rPr>
                <w:noProof/>
              </w:rPr>
            </w:pPr>
            <w:r>
              <w:rPr>
                <w:noProof/>
              </w:rPr>
              <w:t>27</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21E0BD3" w14:textId="0B0BFBE3" w:rsidR="00F53E3A" w:rsidRDefault="0036255F">
            <w:pPr>
              <w:pStyle w:val="P68B1DB1-Normal13"/>
              <w:spacing w:before="60" w:after="60"/>
              <w:rPr>
                <w:noProof/>
              </w:rPr>
            </w:pPr>
            <w:r>
              <w:rPr>
                <w:noProof/>
              </w:rPr>
              <w:t>B.1.1 Energie electrică mai durabilă produsă în țară – B.1.1.3 Instalarea altor infrastructuri de stocare a energiei electrice</w:t>
            </w:r>
          </w:p>
        </w:tc>
        <w:tc>
          <w:tcPr>
            <w:tcW w:w="13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5B85EC4" w14:textId="65CAF7B9" w:rsidR="00F53E3A" w:rsidRDefault="0036255F">
            <w:pPr>
              <w:pStyle w:val="P68B1DB1-Normal13"/>
              <w:spacing w:before="60" w:after="60"/>
              <w:jc w:val="center"/>
              <w:rPr>
                <w:noProof/>
              </w:rPr>
            </w:pPr>
            <w:r>
              <w:rPr>
                <w:noProof/>
              </w:rPr>
              <w:t>Țintă</w:t>
            </w:r>
          </w:p>
        </w:tc>
        <w:tc>
          <w:tcPr>
            <w:tcW w:w="166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185921" w14:textId="368E6041" w:rsidR="00F53E3A" w:rsidRDefault="0036255F">
            <w:pPr>
              <w:pStyle w:val="P68B1DB1-Normal13"/>
              <w:spacing w:before="60" w:after="60"/>
              <w:rPr>
                <w:noProof/>
              </w:rPr>
            </w:pPr>
            <w:r>
              <w:rPr>
                <w:noProof/>
              </w:rPr>
              <w:t>Capacitatea instalată a noilor instalații de stocare a energiei electrice (MW)</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1FFBE3" w14:textId="5EF933BA" w:rsidR="00F53E3A" w:rsidRDefault="00F53E3A">
            <w:pPr>
              <w:spacing w:before="60" w:after="60"/>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80F1672" w14:textId="1942431C" w:rsidR="00F53E3A" w:rsidRDefault="0036255F">
            <w:pPr>
              <w:pStyle w:val="P68B1DB1-Normal13"/>
              <w:spacing w:before="60" w:after="60"/>
              <w:jc w:val="center"/>
              <w:rPr>
                <w:noProof/>
              </w:rPr>
            </w:pPr>
            <w:r>
              <w:rPr>
                <w:noProof/>
              </w:rPr>
              <w:t>MW</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5DCEB3C" w14:textId="1E15492A" w:rsidR="00F53E3A" w:rsidRDefault="0036255F">
            <w:pPr>
              <w:pStyle w:val="P68B1DB1-Normal13"/>
              <w:spacing w:before="60" w:after="60"/>
              <w:jc w:val="center"/>
              <w:rPr>
                <w:noProof/>
              </w:rPr>
            </w:pPr>
            <w:r>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7390BC8" w14:textId="31A48861" w:rsidR="00F53E3A" w:rsidRDefault="0036255F">
            <w:pPr>
              <w:pStyle w:val="P68B1DB1-Normal13"/>
              <w:spacing w:before="60" w:after="60"/>
              <w:jc w:val="center"/>
              <w:rPr>
                <w:noProof/>
              </w:rPr>
            </w:pPr>
            <w:r>
              <w:rPr>
                <w:noProof/>
              </w:rPr>
              <w:t>200</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285A6DD" w14:textId="58A7006C" w:rsidR="00F53E3A" w:rsidRDefault="00DB2EC5">
            <w:pPr>
              <w:pStyle w:val="P68B1DB1-Normal13"/>
              <w:spacing w:before="60" w:after="60"/>
              <w:jc w:val="center"/>
              <w:rPr>
                <w:noProof/>
              </w:rPr>
            </w:pPr>
            <w:r>
              <w:rPr>
                <w:noProof/>
              </w:rPr>
              <w:t>T4</w:t>
            </w:r>
          </w:p>
        </w:tc>
        <w:tc>
          <w:tcPr>
            <w:tcW w:w="7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C5F3065" w14:textId="6F936CB4" w:rsidR="00F53E3A" w:rsidRDefault="0036255F">
            <w:pPr>
              <w:pStyle w:val="P68B1DB1-Normal13"/>
              <w:spacing w:before="60" w:after="60"/>
              <w:jc w:val="center"/>
              <w:rPr>
                <w:noProof/>
              </w:rPr>
            </w:pPr>
            <w:r>
              <w:rPr>
                <w:noProof/>
              </w:rPr>
              <w:t>2022</w:t>
            </w:r>
          </w:p>
        </w:tc>
        <w:tc>
          <w:tcPr>
            <w:tcW w:w="344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AD070CC" w14:textId="05BE1AD9" w:rsidR="00F53E3A" w:rsidRDefault="0036255F">
            <w:pPr>
              <w:pStyle w:val="P68B1DB1-Normal13"/>
              <w:spacing w:before="60" w:after="60"/>
              <w:jc w:val="both"/>
              <w:textAlignment w:val="baseline"/>
              <w:rPr>
                <w:noProof/>
              </w:rPr>
            </w:pPr>
            <w:r>
              <w:rPr>
                <w:noProof/>
              </w:rPr>
              <w:t>Intrarea în funcțiune a patru instalații de stocare a energiei, fiecare de 50 MW.</w:t>
            </w:r>
          </w:p>
        </w:tc>
      </w:tr>
      <w:tr w:rsidR="00F53E3A" w14:paraId="11F41AA6" w14:textId="77777777" w:rsidTr="00CB74C1">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7E9BE0A" w14:textId="6918A835" w:rsidR="00F53E3A" w:rsidRDefault="0036255F">
            <w:pPr>
              <w:pStyle w:val="P68B1DB1-Normal13"/>
              <w:spacing w:before="60" w:after="60"/>
              <w:jc w:val="center"/>
              <w:rPr>
                <w:noProof/>
              </w:rPr>
            </w:pPr>
            <w:r>
              <w:rPr>
                <w:noProof/>
              </w:rPr>
              <w:t>28</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2C6FBB" w14:textId="71F9EDFD" w:rsidR="00F53E3A" w:rsidRDefault="0036255F">
            <w:pPr>
              <w:pStyle w:val="P68B1DB1-Normal13"/>
              <w:spacing w:before="60" w:after="60"/>
              <w:rPr>
                <w:noProof/>
              </w:rPr>
            </w:pPr>
            <w:r>
              <w:rPr>
                <w:noProof/>
              </w:rPr>
              <w:t>B.1.2 Deplasarea fără poluarea mediului</w:t>
            </w:r>
          </w:p>
        </w:tc>
        <w:tc>
          <w:tcPr>
            <w:tcW w:w="13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CC73A90" w14:textId="1C2C02F7" w:rsidR="00F53E3A" w:rsidRDefault="0036255F">
            <w:pPr>
              <w:pStyle w:val="P68B1DB1-Normal13"/>
              <w:spacing w:before="60" w:after="60"/>
              <w:jc w:val="center"/>
              <w:rPr>
                <w:noProof/>
              </w:rPr>
            </w:pPr>
            <w:r>
              <w:rPr>
                <w:noProof/>
              </w:rPr>
              <w:t>Etapă</w:t>
            </w:r>
          </w:p>
        </w:tc>
        <w:tc>
          <w:tcPr>
            <w:tcW w:w="166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21E9A27" w14:textId="5F7A818A" w:rsidR="00F53E3A" w:rsidRDefault="0036255F">
            <w:pPr>
              <w:pStyle w:val="P68B1DB1-Normal13"/>
              <w:spacing w:before="60" w:after="60"/>
              <w:rPr>
                <w:noProof/>
              </w:rPr>
            </w:pPr>
            <w:r>
              <w:rPr>
                <w:noProof/>
              </w:rPr>
              <w:t>Intrarea în vigoare a unui cadru legislativ de stabilire a unei proceduri de determinare a cerințelor de eficiență energetică și de protecție a mediului pentru achiziționarea de vehicule de transport rutier și pentru cazurile în care acestea sunt obligatorii</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0C9D1D" w14:textId="79C873BB" w:rsidR="00F53E3A" w:rsidRDefault="0036255F">
            <w:pPr>
              <w:pStyle w:val="P68B1DB1-Normal13"/>
              <w:spacing w:before="60" w:after="60"/>
              <w:rPr>
                <w:noProof/>
              </w:rPr>
            </w:pPr>
            <w:r>
              <w:rPr>
                <w:noProof/>
              </w:rPr>
              <w:t>Legislația a intrat în vigoare</w:t>
            </w: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DF43E4D" w14:textId="1A0CBCA8" w:rsidR="00F53E3A" w:rsidRDefault="00F53E3A">
            <w:pPr>
              <w:spacing w:before="60" w:after="60"/>
              <w:jc w:val="center"/>
              <w:rPr>
                <w:rFonts w:ascii="Times New Roman" w:eastAsia="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E06BE80" w14:textId="75AE25E9" w:rsidR="00F53E3A" w:rsidRDefault="00F53E3A">
            <w:pPr>
              <w:spacing w:before="60" w:after="60"/>
              <w:jc w:val="center"/>
              <w:rPr>
                <w:rFonts w:ascii="Times New Roman" w:eastAsia="Times New Roman" w:hAnsi="Times New Roman" w:cs="Times New Roman"/>
                <w:noProof/>
                <w:sz w:val="20"/>
              </w:rPr>
            </w:pPr>
          </w:p>
        </w:tc>
        <w:tc>
          <w:tcPr>
            <w:tcW w:w="87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3C72CFD" w14:textId="34F15448" w:rsidR="00F53E3A" w:rsidRDefault="00F53E3A">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B159C62" w14:textId="2D5E098E" w:rsidR="00F53E3A" w:rsidRDefault="00DB2EC5">
            <w:pPr>
              <w:pStyle w:val="P68B1DB1-Normal13"/>
              <w:spacing w:before="60" w:after="60"/>
              <w:jc w:val="center"/>
              <w:rPr>
                <w:noProof/>
              </w:rPr>
            </w:pPr>
            <w:r>
              <w:rPr>
                <w:noProof/>
              </w:rPr>
              <w:t>T4</w:t>
            </w:r>
          </w:p>
        </w:tc>
        <w:tc>
          <w:tcPr>
            <w:tcW w:w="7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71D3776" w14:textId="5A49D809" w:rsidR="00F53E3A" w:rsidRDefault="0036255F">
            <w:pPr>
              <w:pStyle w:val="P68B1DB1-Normal13"/>
              <w:spacing w:before="60" w:after="60"/>
              <w:jc w:val="center"/>
              <w:rPr>
                <w:noProof/>
              </w:rPr>
            </w:pPr>
            <w:r>
              <w:rPr>
                <w:noProof/>
              </w:rPr>
              <w:t>2021</w:t>
            </w:r>
          </w:p>
        </w:tc>
        <w:tc>
          <w:tcPr>
            <w:tcW w:w="344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6E59E3B" w14:textId="5DF1BE24" w:rsidR="00F53E3A" w:rsidRDefault="0036255F">
            <w:pPr>
              <w:pStyle w:val="P68B1DB1-Normal13"/>
              <w:spacing w:before="60" w:after="60"/>
              <w:jc w:val="both"/>
              <w:textAlignment w:val="baseline"/>
              <w:rPr>
                <w:noProof/>
              </w:rPr>
            </w:pPr>
            <w:r>
              <w:rPr>
                <w:noProof/>
              </w:rPr>
              <w:t>Intrarea în vigoare a legislației care stabilește cerințele de eficiență energetică și de protecție a mediului, precum și cazurile în care acestea sunt obligatorii pentru vehiculele rutiere din categoriile M1, N1, N2, N3, M2 și M3 și se utilizează pentru a calcula impactul energetic și de mediu pe durata de viață a acestor vehicule.</w:t>
            </w:r>
          </w:p>
        </w:tc>
      </w:tr>
      <w:tr w:rsidR="00F53E3A" w14:paraId="26AAF96F" w14:textId="77777777" w:rsidTr="00CB74C1">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0F3399F" w14:textId="1E1841FF" w:rsidR="00F53E3A" w:rsidRDefault="0036255F">
            <w:pPr>
              <w:pStyle w:val="P68B1DB1-Normal13"/>
              <w:spacing w:before="60" w:after="60"/>
              <w:jc w:val="center"/>
              <w:rPr>
                <w:noProof/>
              </w:rPr>
            </w:pPr>
            <w:r>
              <w:rPr>
                <w:noProof/>
              </w:rPr>
              <w:t>29</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F67602" w14:textId="175F06A7" w:rsidR="00F53E3A" w:rsidRDefault="0036255F">
            <w:pPr>
              <w:pStyle w:val="P68B1DB1-Normal13"/>
              <w:spacing w:before="60" w:after="60"/>
              <w:rPr>
                <w:noProof/>
              </w:rPr>
            </w:pPr>
            <w:r>
              <w:rPr>
                <w:noProof/>
              </w:rPr>
              <w:t>B.1.2 Deplasarea fără poluarea mediului</w:t>
            </w:r>
          </w:p>
        </w:tc>
        <w:tc>
          <w:tcPr>
            <w:tcW w:w="13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319FE46" w14:textId="338EF448" w:rsidR="00F53E3A" w:rsidRDefault="0036255F">
            <w:pPr>
              <w:pStyle w:val="P68B1DB1-Normal13"/>
              <w:spacing w:before="60" w:after="60"/>
              <w:jc w:val="center"/>
              <w:rPr>
                <w:noProof/>
              </w:rPr>
            </w:pPr>
            <w:r>
              <w:rPr>
                <w:noProof/>
              </w:rPr>
              <w:t>Etapă</w:t>
            </w:r>
          </w:p>
        </w:tc>
        <w:tc>
          <w:tcPr>
            <w:tcW w:w="166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73C8B37" w14:textId="07962537" w:rsidR="00F53E3A" w:rsidRDefault="0036255F">
            <w:pPr>
              <w:pStyle w:val="P68B1DB1-Normal13"/>
              <w:spacing w:before="60" w:after="60"/>
              <w:rPr>
                <w:noProof/>
              </w:rPr>
            </w:pPr>
            <w:r>
              <w:rPr>
                <w:noProof/>
              </w:rPr>
              <w:t>Este instituit și operațional Fondul pentru mobilitate durabilă, care finanțează dezvoltarea combustibililor alternativi și a infrastructurii pentru vehicule</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B570E8" w14:textId="6CD21BFE" w:rsidR="00F53E3A" w:rsidRDefault="0036255F">
            <w:pPr>
              <w:pStyle w:val="P68B1DB1-Normal13"/>
              <w:spacing w:before="60" w:after="60"/>
              <w:rPr>
                <w:noProof/>
              </w:rPr>
            </w:pPr>
            <w:r>
              <w:rPr>
                <w:noProof/>
              </w:rPr>
              <w:t>Dispoziție din acord/ordin care indică intrarea în vigoare</w:t>
            </w: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3B94967" w14:textId="4BC05CE1" w:rsidR="00F53E3A" w:rsidRDefault="00F53E3A">
            <w:pPr>
              <w:spacing w:before="60" w:after="60"/>
              <w:jc w:val="center"/>
              <w:rPr>
                <w:rFonts w:ascii="Times New Roman" w:eastAsia="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641B515" w14:textId="2DB810FC" w:rsidR="00F53E3A" w:rsidRDefault="00F53E3A">
            <w:pPr>
              <w:spacing w:before="60" w:after="60"/>
              <w:jc w:val="center"/>
              <w:rPr>
                <w:rFonts w:ascii="Times New Roman" w:eastAsia="Times New Roman" w:hAnsi="Times New Roman" w:cs="Times New Roman"/>
                <w:noProof/>
                <w:sz w:val="20"/>
              </w:rPr>
            </w:pPr>
          </w:p>
        </w:tc>
        <w:tc>
          <w:tcPr>
            <w:tcW w:w="87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1CCB719" w14:textId="097066F2" w:rsidR="00F53E3A" w:rsidRDefault="00F53E3A">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5993D6E" w14:textId="2F5F5A6B" w:rsidR="00F53E3A" w:rsidRDefault="00DB2EC5">
            <w:pPr>
              <w:pStyle w:val="P68B1DB1-Normal13"/>
              <w:spacing w:before="60" w:after="60"/>
              <w:jc w:val="center"/>
              <w:rPr>
                <w:noProof/>
              </w:rPr>
            </w:pPr>
            <w:r>
              <w:rPr>
                <w:noProof/>
              </w:rPr>
              <w:t>T1</w:t>
            </w:r>
          </w:p>
        </w:tc>
        <w:tc>
          <w:tcPr>
            <w:tcW w:w="7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2D68ED5" w14:textId="4011F402" w:rsidR="00F53E3A" w:rsidRDefault="0036255F">
            <w:pPr>
              <w:pStyle w:val="P68B1DB1-Normal13"/>
              <w:spacing w:before="60" w:after="60"/>
              <w:jc w:val="center"/>
              <w:rPr>
                <w:noProof/>
              </w:rPr>
            </w:pPr>
            <w:r>
              <w:rPr>
                <w:noProof/>
              </w:rPr>
              <w:t>2022</w:t>
            </w:r>
          </w:p>
        </w:tc>
        <w:tc>
          <w:tcPr>
            <w:tcW w:w="344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F3BB36B" w14:textId="0F1F9F3A" w:rsidR="00F53E3A" w:rsidRDefault="0036255F">
            <w:pPr>
              <w:pStyle w:val="P68B1DB1-Normal13"/>
              <w:spacing w:before="60" w:after="60"/>
              <w:jc w:val="both"/>
              <w:textAlignment w:val="baseline"/>
              <w:rPr>
                <w:rFonts w:cs="Segoe UI"/>
                <w:noProof/>
              </w:rPr>
            </w:pPr>
            <w:r>
              <w:rPr>
                <w:noProof/>
              </w:rPr>
              <w:t>Fondul pentru mobilitate durabilă este instituit și operațional.</w:t>
            </w:r>
          </w:p>
          <w:p w14:paraId="2C327478" w14:textId="502499A1" w:rsidR="00F53E3A" w:rsidRDefault="0036255F">
            <w:pPr>
              <w:pStyle w:val="P68B1DB1-Normal13"/>
              <w:spacing w:before="60" w:after="60"/>
              <w:jc w:val="both"/>
              <w:textAlignment w:val="baseline"/>
              <w:rPr>
                <w:noProof/>
              </w:rPr>
            </w:pPr>
            <w:r>
              <w:rPr>
                <w:noProof/>
              </w:rPr>
              <w:t>Fondul se instituie pentru a finanța achiziționarea și utilizarea de vehicule nepoluante, instalarea, modernizarea și/sau dezvoltarea infrastructurii pentru combustibili alternativi pentru vehicule în mod direcționat și continuu, cel puțin până în 2030. Fondul este utilizat, de asemenea, pentru a sprijini stabilirea de restricții pentru utilizarea vehiculelor cu motor cu ardere internă, cu excepția vehiculelor cu emisii zero și cu emisii scăzute.</w:t>
            </w:r>
          </w:p>
        </w:tc>
      </w:tr>
      <w:tr w:rsidR="00F53E3A" w14:paraId="13B5F851" w14:textId="77777777" w:rsidTr="00CB74C1">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DDEB35D" w14:textId="68990635" w:rsidR="00F53E3A" w:rsidRDefault="0036255F">
            <w:pPr>
              <w:pStyle w:val="P68B1DB1-Normal13"/>
              <w:spacing w:before="60" w:after="60"/>
              <w:jc w:val="center"/>
              <w:rPr>
                <w:noProof/>
              </w:rPr>
            </w:pPr>
            <w:r>
              <w:rPr>
                <w:noProof/>
              </w:rPr>
              <w:t>32</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393DA11" w14:textId="5388E312" w:rsidR="00F53E3A" w:rsidRDefault="0036255F">
            <w:pPr>
              <w:pStyle w:val="P68B1DB1-Normal13"/>
              <w:spacing w:before="60" w:after="60"/>
              <w:rPr>
                <w:noProof/>
              </w:rPr>
            </w:pPr>
            <w:r>
              <w:rPr>
                <w:noProof/>
              </w:rPr>
              <w:t>B.1.2. Deplasarea fără poluarea mediului – B.1.2.1. Sprijin pentru livrarea de vehicule nepoluante și pentru mobilitatea durabilă</w:t>
            </w:r>
          </w:p>
        </w:tc>
        <w:tc>
          <w:tcPr>
            <w:tcW w:w="13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A218B80" w14:textId="1AE05386" w:rsidR="00F53E3A" w:rsidRDefault="0036255F">
            <w:pPr>
              <w:pStyle w:val="P68B1DB1-Normal13"/>
              <w:spacing w:before="60" w:after="60"/>
              <w:jc w:val="center"/>
              <w:rPr>
                <w:noProof/>
              </w:rPr>
            </w:pPr>
            <w:r>
              <w:rPr>
                <w:noProof/>
              </w:rPr>
              <w:t>Țintă</w:t>
            </w:r>
          </w:p>
        </w:tc>
        <w:tc>
          <w:tcPr>
            <w:tcW w:w="166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3F198B8" w14:textId="11931A3D" w:rsidR="00F53E3A" w:rsidRDefault="0036255F">
            <w:pPr>
              <w:pStyle w:val="P68B1DB1-Normal13"/>
              <w:spacing w:before="60" w:after="60"/>
              <w:rPr>
                <w:noProof/>
              </w:rPr>
            </w:pPr>
            <w:r>
              <w:rPr>
                <w:noProof/>
              </w:rPr>
              <w:t>Numărul de vehicule de transport nepoluante livrate și înmatriculate în Lituania</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67CC85A" w14:textId="7A9A661A" w:rsidR="00F53E3A" w:rsidRDefault="00F53E3A">
            <w:pPr>
              <w:spacing w:before="60" w:after="60"/>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C1EE1C3" w14:textId="104BECAF" w:rsidR="00F53E3A" w:rsidRDefault="0036255F">
            <w:pPr>
              <w:pStyle w:val="P68B1DB1-Normal13"/>
              <w:spacing w:before="60" w:after="60"/>
              <w:jc w:val="center"/>
              <w:rPr>
                <w:noProof/>
              </w:rPr>
            </w:pPr>
            <w:r>
              <w:rPr>
                <w:noProof/>
              </w:rPr>
              <w:t>Număr</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7C7D11A" w14:textId="4949895B" w:rsidR="00F53E3A" w:rsidRDefault="0036255F">
            <w:pPr>
              <w:pStyle w:val="P68B1DB1-Normal13"/>
              <w:spacing w:before="60" w:after="60"/>
              <w:jc w:val="center"/>
              <w:rPr>
                <w:noProof/>
              </w:rPr>
            </w:pPr>
            <w:r>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7ADB56D" w14:textId="57FBB7AE" w:rsidR="00F53E3A" w:rsidRDefault="0036255F">
            <w:pPr>
              <w:pStyle w:val="P68B1DB1-Normal13"/>
              <w:spacing w:before="60" w:after="60"/>
              <w:jc w:val="center"/>
              <w:rPr>
                <w:noProof/>
              </w:rPr>
            </w:pPr>
            <w:r>
              <w:rPr>
                <w:noProof/>
              </w:rPr>
              <w:t>210</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E15EE6A" w14:textId="64D4B502" w:rsidR="00F53E3A" w:rsidRDefault="00DB2EC5">
            <w:pPr>
              <w:pStyle w:val="P68B1DB1-Normal13"/>
              <w:spacing w:before="60" w:after="60"/>
              <w:jc w:val="center"/>
              <w:rPr>
                <w:noProof/>
              </w:rPr>
            </w:pPr>
            <w:r>
              <w:rPr>
                <w:noProof/>
              </w:rPr>
              <w:t>T2</w:t>
            </w:r>
          </w:p>
        </w:tc>
        <w:tc>
          <w:tcPr>
            <w:tcW w:w="7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A682DDA" w14:textId="7348664F" w:rsidR="00F53E3A" w:rsidRDefault="0036255F">
            <w:pPr>
              <w:pStyle w:val="P68B1DB1-Normal13"/>
              <w:spacing w:before="60" w:after="60"/>
              <w:jc w:val="center"/>
              <w:rPr>
                <w:noProof/>
              </w:rPr>
            </w:pPr>
            <w:r>
              <w:rPr>
                <w:noProof/>
              </w:rPr>
              <w:t>2026</w:t>
            </w:r>
          </w:p>
        </w:tc>
        <w:tc>
          <w:tcPr>
            <w:tcW w:w="344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9B3D9C3" w14:textId="05D67BF2" w:rsidR="00F53E3A" w:rsidRDefault="0036255F">
            <w:pPr>
              <w:pStyle w:val="P68B1DB1-Normal13"/>
              <w:spacing w:before="60" w:after="60"/>
              <w:jc w:val="both"/>
              <w:textAlignment w:val="baseline"/>
              <w:rPr>
                <w:noProof/>
              </w:rPr>
            </w:pPr>
            <w:r>
              <w:rPr>
                <w:noProof/>
              </w:rPr>
              <w:t>Numărul de vehicule de transport nepoluante livrate și înmatriculate în Lituania: cel puțin 210 vehicule ușoare cu emisii zero (clasa M1 sau N1) și vehicule de transport grele cu emisii zero sau cu emisii scăzute (clasa N3 sau M3).</w:t>
            </w:r>
          </w:p>
        </w:tc>
      </w:tr>
      <w:tr w:rsidR="00F53E3A" w14:paraId="35B225E9" w14:textId="77777777" w:rsidTr="00CB74C1">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AFB5838" w14:textId="05AA4B0C" w:rsidR="00F53E3A" w:rsidRDefault="0036255F">
            <w:pPr>
              <w:pStyle w:val="P68B1DB1-Normal13"/>
              <w:spacing w:before="60" w:after="60"/>
              <w:jc w:val="center"/>
              <w:rPr>
                <w:noProof/>
              </w:rPr>
            </w:pPr>
            <w:r>
              <w:rPr>
                <w:noProof/>
              </w:rPr>
              <w:t>32a</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5AC526" w14:textId="7C99C9CE" w:rsidR="00F53E3A" w:rsidRDefault="0036255F">
            <w:pPr>
              <w:pStyle w:val="P68B1DB1-Normal13"/>
              <w:spacing w:before="60" w:after="60"/>
              <w:rPr>
                <w:noProof/>
              </w:rPr>
            </w:pPr>
            <w:r>
              <w:rPr>
                <w:noProof/>
              </w:rPr>
              <w:t>B.1.2. Deplasarea fără poluarea mediului – B.1.2.1. Sprijin pentru livrarea de vehicule nepoluante și pentru mobilitatea durabilă</w:t>
            </w:r>
          </w:p>
        </w:tc>
        <w:tc>
          <w:tcPr>
            <w:tcW w:w="13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1CA2102" w14:textId="712B21CD" w:rsidR="00F53E3A" w:rsidRDefault="0036255F">
            <w:pPr>
              <w:pStyle w:val="P68B1DB1-Normal13"/>
              <w:spacing w:before="60" w:after="60"/>
              <w:jc w:val="center"/>
              <w:rPr>
                <w:noProof/>
              </w:rPr>
            </w:pPr>
            <w:r>
              <w:rPr>
                <w:noProof/>
              </w:rPr>
              <w:t>Țintă</w:t>
            </w:r>
          </w:p>
        </w:tc>
        <w:tc>
          <w:tcPr>
            <w:tcW w:w="166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5DDB72" w14:textId="399B383A" w:rsidR="00F53E3A" w:rsidRDefault="0036255F">
            <w:pPr>
              <w:pStyle w:val="P68B1DB1-Normal14"/>
              <w:spacing w:before="60" w:after="60"/>
              <w:rPr>
                <w:noProof/>
              </w:rPr>
            </w:pPr>
            <w:r>
              <w:rPr>
                <w:noProof/>
              </w:rPr>
              <w:t>Lungimea pistelor, străzilor sau benzilor pentru biciclete nou construite sau renovate sau a pistelor combinate pentru biciclete și pietoni</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0B7EBE" w14:textId="3B016AEA" w:rsidR="00F53E3A" w:rsidRDefault="00F53E3A">
            <w:pPr>
              <w:spacing w:before="60" w:after="60"/>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8BF6078" w14:textId="29B1CB97" w:rsidR="00F53E3A" w:rsidRDefault="0036255F">
            <w:pPr>
              <w:pStyle w:val="P68B1DB1-Normal13"/>
              <w:spacing w:before="60" w:after="60"/>
              <w:jc w:val="center"/>
              <w:rPr>
                <w:noProof/>
              </w:rPr>
            </w:pPr>
            <w:r>
              <w:rPr>
                <w:noProof/>
              </w:rPr>
              <w:t>kilometri</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5C97EAA" w14:textId="511034AD" w:rsidR="00F53E3A" w:rsidRDefault="0036255F">
            <w:pPr>
              <w:pStyle w:val="P68B1DB1-Normal13"/>
              <w:spacing w:before="60" w:after="60"/>
              <w:jc w:val="center"/>
              <w:rPr>
                <w:noProof/>
              </w:rPr>
            </w:pPr>
            <w:r>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5EA106C" w14:textId="5172EE6F" w:rsidR="00F53E3A" w:rsidRDefault="0036255F">
            <w:pPr>
              <w:pStyle w:val="P68B1DB1-Normal13"/>
              <w:spacing w:before="60" w:after="60"/>
              <w:jc w:val="center"/>
              <w:rPr>
                <w:noProof/>
              </w:rPr>
            </w:pPr>
            <w:r>
              <w:rPr>
                <w:noProof/>
              </w:rPr>
              <w:t>119.23</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79ACAA1" w14:textId="225015ED" w:rsidR="00F53E3A" w:rsidRDefault="00DB2EC5">
            <w:pPr>
              <w:pStyle w:val="P68B1DB1-Normal13"/>
              <w:spacing w:before="60" w:after="60"/>
              <w:jc w:val="center"/>
              <w:rPr>
                <w:noProof/>
              </w:rPr>
            </w:pPr>
            <w:r>
              <w:rPr>
                <w:noProof/>
              </w:rPr>
              <w:t>T2</w:t>
            </w:r>
          </w:p>
        </w:tc>
        <w:tc>
          <w:tcPr>
            <w:tcW w:w="7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FC3FC88" w14:textId="6F1E506B" w:rsidR="00F53E3A" w:rsidRDefault="0036255F">
            <w:pPr>
              <w:pStyle w:val="P68B1DB1-Normal13"/>
              <w:spacing w:before="60" w:after="60"/>
              <w:jc w:val="center"/>
              <w:rPr>
                <w:noProof/>
              </w:rPr>
            </w:pPr>
            <w:r>
              <w:rPr>
                <w:noProof/>
              </w:rPr>
              <w:t>2026</w:t>
            </w:r>
          </w:p>
        </w:tc>
        <w:tc>
          <w:tcPr>
            <w:tcW w:w="344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1272E60" w14:textId="676EED3C" w:rsidR="00F53E3A" w:rsidRDefault="0036255F">
            <w:pPr>
              <w:pStyle w:val="P68B1DB1-Normal13"/>
              <w:spacing w:before="60" w:after="60"/>
              <w:jc w:val="both"/>
              <w:rPr>
                <w:noProof/>
              </w:rPr>
            </w:pPr>
            <w:r>
              <w:rPr>
                <w:noProof/>
              </w:rPr>
              <w:t>Construirea sau renovarea a 119,23 km de piste pentru biciclete, străzi pentru biciclete sau benzi pentru biciclete sau drumuri combinate pentru biciclete și pietoni.</w:t>
            </w:r>
          </w:p>
        </w:tc>
      </w:tr>
      <w:tr w:rsidR="00F53E3A" w14:paraId="6AF2A75E" w14:textId="77777777" w:rsidTr="00CB74C1">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815C2A8" w14:textId="29E7F179" w:rsidR="00F53E3A" w:rsidRDefault="0036255F">
            <w:pPr>
              <w:pStyle w:val="P68B1DB1-Normal13"/>
              <w:spacing w:before="60" w:after="60" w:line="240" w:lineRule="auto"/>
              <w:jc w:val="center"/>
              <w:rPr>
                <w:noProof/>
              </w:rPr>
            </w:pPr>
            <w:r>
              <w:rPr>
                <w:noProof/>
              </w:rPr>
              <w:t>32b</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F52037C" w14:textId="746475C9" w:rsidR="00F53E3A" w:rsidRDefault="0036255F">
            <w:pPr>
              <w:pStyle w:val="P68B1DB1-Normal13"/>
              <w:spacing w:before="60" w:after="60" w:line="240" w:lineRule="auto"/>
              <w:rPr>
                <w:noProof/>
              </w:rPr>
            </w:pPr>
            <w:r>
              <w:rPr>
                <w:noProof/>
              </w:rPr>
              <w:t>B.1.2. Deplasarea fără poluarea mediului – B.1.2.1. Sprijin pentru livrarea de vehicule nepoluante și pentru mobilitatea durabilă</w:t>
            </w:r>
          </w:p>
        </w:tc>
        <w:tc>
          <w:tcPr>
            <w:tcW w:w="13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B908EF2" w14:textId="09B6FC8C" w:rsidR="00F53E3A" w:rsidRDefault="0036255F">
            <w:pPr>
              <w:pStyle w:val="P68B1DB1-Normal13"/>
              <w:spacing w:before="60" w:after="60" w:line="240" w:lineRule="auto"/>
              <w:jc w:val="center"/>
              <w:rPr>
                <w:noProof/>
              </w:rPr>
            </w:pPr>
            <w:r>
              <w:rPr>
                <w:noProof/>
              </w:rPr>
              <w:t>Etapă</w:t>
            </w:r>
          </w:p>
        </w:tc>
        <w:tc>
          <w:tcPr>
            <w:tcW w:w="166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C23CDB3" w14:textId="54480D90" w:rsidR="00F53E3A" w:rsidRDefault="0036255F">
            <w:pPr>
              <w:pStyle w:val="P68B1DB1-Normal13"/>
              <w:spacing w:before="60" w:after="60" w:line="240" w:lineRule="auto"/>
              <w:rPr>
                <w:noProof/>
              </w:rPr>
            </w:pPr>
            <w:r>
              <w:rPr>
                <w:noProof/>
              </w:rPr>
              <w:t>Electrificarea segmentelor de cale ferată dintre Radviliškis și Klaipėda</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EFAF303" w14:textId="36524960" w:rsidR="00F53E3A" w:rsidRDefault="0036255F">
            <w:pPr>
              <w:pStyle w:val="P68B1DB1-Normal13"/>
              <w:spacing w:before="60" w:after="60" w:line="240" w:lineRule="auto"/>
              <w:rPr>
                <w:noProof/>
              </w:rPr>
            </w:pPr>
            <w:r>
              <w:rPr>
                <w:noProof/>
              </w:rPr>
              <w:t>Sistem de contact aerian și substații de tracțiune instalate</w:t>
            </w: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B0541C0" w14:textId="3208628B" w:rsidR="00F53E3A" w:rsidRDefault="00F53E3A">
            <w:pPr>
              <w:spacing w:before="60" w:after="60" w:line="240" w:lineRule="auto"/>
              <w:jc w:val="center"/>
              <w:rPr>
                <w:rFonts w:ascii="Times New Roman" w:eastAsia="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5208834" w14:textId="41AE35DB" w:rsidR="00F53E3A" w:rsidRDefault="00F53E3A">
            <w:pPr>
              <w:spacing w:before="60" w:after="60" w:line="240" w:lineRule="auto"/>
              <w:jc w:val="center"/>
              <w:rPr>
                <w:rFonts w:ascii="Times New Roman" w:eastAsia="Times New Roman" w:hAnsi="Times New Roman" w:cs="Times New Roman"/>
                <w:noProof/>
                <w:sz w:val="20"/>
              </w:rPr>
            </w:pPr>
          </w:p>
        </w:tc>
        <w:tc>
          <w:tcPr>
            <w:tcW w:w="87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414C525" w14:textId="09A97ABE" w:rsidR="00F53E3A" w:rsidRDefault="00F53E3A">
            <w:pPr>
              <w:spacing w:before="60" w:after="60" w:line="240" w:lineRule="auto"/>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DBA33C8" w14:textId="63D57BA9" w:rsidR="00F53E3A" w:rsidRDefault="00DB2EC5">
            <w:pPr>
              <w:pStyle w:val="P68B1DB1-Normal13"/>
              <w:spacing w:before="60" w:after="60" w:line="240" w:lineRule="auto"/>
              <w:jc w:val="center"/>
              <w:rPr>
                <w:noProof/>
              </w:rPr>
            </w:pPr>
            <w:r>
              <w:rPr>
                <w:noProof/>
              </w:rPr>
              <w:t>T2</w:t>
            </w:r>
          </w:p>
        </w:tc>
        <w:tc>
          <w:tcPr>
            <w:tcW w:w="7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4D5107A" w14:textId="03BBC8A4" w:rsidR="00F53E3A" w:rsidRDefault="0036255F">
            <w:pPr>
              <w:pStyle w:val="P68B1DB1-Normal13"/>
              <w:spacing w:before="60" w:after="60" w:line="240" w:lineRule="auto"/>
              <w:jc w:val="center"/>
              <w:rPr>
                <w:noProof/>
              </w:rPr>
            </w:pPr>
            <w:r>
              <w:rPr>
                <w:noProof/>
              </w:rPr>
              <w:t>2026</w:t>
            </w:r>
          </w:p>
        </w:tc>
        <w:tc>
          <w:tcPr>
            <w:tcW w:w="344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A9BC90" w14:textId="61B377D0" w:rsidR="00F53E3A" w:rsidRDefault="0036255F">
            <w:pPr>
              <w:pStyle w:val="P68B1DB1-Normal13"/>
              <w:spacing w:before="60" w:after="60" w:line="240" w:lineRule="auto"/>
              <w:jc w:val="both"/>
              <w:rPr>
                <w:noProof/>
              </w:rPr>
            </w:pPr>
            <w:r>
              <w:rPr>
                <w:noProof/>
              </w:rPr>
              <w:t>Instalarea unui sistem de contact aerian de-a lungul unei secțiuni de cale ferată între Radviliškis și Klaipėda, care cuprinde următoarele segmente:</w:t>
            </w:r>
          </w:p>
          <w:p w14:paraId="27BD705A" w14:textId="6E9BCFF4" w:rsidR="00F53E3A" w:rsidRDefault="0036255F">
            <w:pPr>
              <w:pStyle w:val="P68B1DB1-ListParagraph21"/>
              <w:numPr>
                <w:ilvl w:val="0"/>
                <w:numId w:val="40"/>
              </w:numPr>
              <w:spacing w:before="60" w:after="60" w:line="240" w:lineRule="auto"/>
              <w:ind w:left="357" w:hanging="357"/>
              <w:jc w:val="both"/>
              <w:rPr>
                <w:noProof/>
              </w:rPr>
            </w:pPr>
            <w:r>
              <w:rPr>
                <w:noProof/>
              </w:rPr>
              <w:t>Radviliškis – Kužiai</w:t>
            </w:r>
          </w:p>
          <w:p w14:paraId="1B3735A7" w14:textId="2F43648B" w:rsidR="00F53E3A" w:rsidRDefault="0036255F">
            <w:pPr>
              <w:pStyle w:val="P68B1DB1-ListParagraph21"/>
              <w:numPr>
                <w:ilvl w:val="0"/>
                <w:numId w:val="40"/>
              </w:numPr>
              <w:spacing w:before="60" w:after="60" w:line="240" w:lineRule="auto"/>
              <w:ind w:left="357" w:hanging="357"/>
              <w:jc w:val="both"/>
              <w:rPr>
                <w:noProof/>
              </w:rPr>
            </w:pPr>
            <w:r>
              <w:rPr>
                <w:noProof/>
              </w:rPr>
              <w:t>Kužiai – Lieplauzikė</w:t>
            </w:r>
          </w:p>
          <w:p w14:paraId="19522A93" w14:textId="4B64824D" w:rsidR="00F53E3A" w:rsidRDefault="0036255F">
            <w:pPr>
              <w:pStyle w:val="P68B1DB1-ListParagraph21"/>
              <w:numPr>
                <w:ilvl w:val="0"/>
                <w:numId w:val="40"/>
              </w:numPr>
              <w:spacing w:before="60" w:after="60" w:line="240" w:lineRule="auto"/>
              <w:ind w:left="357" w:hanging="357"/>
              <w:jc w:val="both"/>
              <w:rPr>
                <w:noProof/>
              </w:rPr>
            </w:pPr>
            <w:r>
              <w:rPr>
                <w:noProof/>
              </w:rPr>
              <w:t>Lieplauzikė – Kretinga</w:t>
            </w:r>
          </w:p>
          <w:p w14:paraId="7DF9DAD5" w14:textId="5A5A8CA4" w:rsidR="00F53E3A" w:rsidRDefault="0036255F">
            <w:pPr>
              <w:pStyle w:val="P68B1DB1-ListParagraph21"/>
              <w:numPr>
                <w:ilvl w:val="0"/>
                <w:numId w:val="40"/>
              </w:numPr>
              <w:spacing w:before="60" w:after="60" w:line="240" w:lineRule="auto"/>
              <w:ind w:left="357" w:hanging="357"/>
              <w:jc w:val="both"/>
              <w:rPr>
                <w:noProof/>
              </w:rPr>
            </w:pPr>
            <w:r>
              <w:rPr>
                <w:noProof/>
              </w:rPr>
              <w:t>Kretinga – Klaipėda (stația Draugystė)</w:t>
            </w:r>
          </w:p>
          <w:p w14:paraId="5721204F" w14:textId="4C22DE69" w:rsidR="00F53E3A" w:rsidRDefault="0036255F">
            <w:pPr>
              <w:pStyle w:val="P68B1DB1-Normal13"/>
              <w:spacing w:before="60" w:after="60" w:line="240" w:lineRule="auto"/>
              <w:jc w:val="both"/>
              <w:rPr>
                <w:noProof/>
              </w:rPr>
            </w:pPr>
            <w:r>
              <w:rPr>
                <w:noProof/>
              </w:rPr>
              <w:t>În plus, vor fi instalate stații electrice de tracțiune în Žasliai și Kretinga.</w:t>
            </w:r>
          </w:p>
        </w:tc>
      </w:tr>
      <w:tr w:rsidR="00F53E3A" w14:paraId="7EA2AF5A" w14:textId="77777777" w:rsidTr="00CB74C1">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A625D48" w14:textId="4ACC664B" w:rsidR="00F53E3A" w:rsidRDefault="0036255F">
            <w:pPr>
              <w:pStyle w:val="P68B1DB1-Normal13"/>
              <w:spacing w:before="60" w:after="60"/>
              <w:jc w:val="center"/>
              <w:rPr>
                <w:noProof/>
              </w:rPr>
            </w:pPr>
            <w:r>
              <w:rPr>
                <w:noProof/>
              </w:rPr>
              <w:t>33</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A18BA4" w14:textId="47176377" w:rsidR="00F53E3A" w:rsidRDefault="0036255F">
            <w:pPr>
              <w:pStyle w:val="P68B1DB1-Normal13"/>
              <w:spacing w:before="60" w:after="60"/>
              <w:rPr>
                <w:noProof/>
              </w:rPr>
            </w:pPr>
            <w:r>
              <w:rPr>
                <w:noProof/>
              </w:rPr>
              <w:t>B.1.2. Deplasarea fără poluarea mediului – B.1.2.1. Sprijin pentru livrarea de vehicule nepoluante și pentru mobilitatea durabilă</w:t>
            </w:r>
          </w:p>
        </w:tc>
        <w:tc>
          <w:tcPr>
            <w:tcW w:w="13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276EF6B" w14:textId="555D450B" w:rsidR="00F53E3A" w:rsidRDefault="0036255F">
            <w:pPr>
              <w:pStyle w:val="P68B1DB1-Normal13"/>
              <w:spacing w:before="60" w:after="60"/>
              <w:jc w:val="center"/>
              <w:rPr>
                <w:noProof/>
              </w:rPr>
            </w:pPr>
            <w:r>
              <w:rPr>
                <w:noProof/>
              </w:rPr>
              <w:t>Țintă</w:t>
            </w:r>
          </w:p>
        </w:tc>
        <w:tc>
          <w:tcPr>
            <w:tcW w:w="166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CB915F" w14:textId="2DE84E5B" w:rsidR="00F53E3A" w:rsidRDefault="0036255F">
            <w:pPr>
              <w:pStyle w:val="P68B1DB1-Normal13"/>
              <w:spacing w:before="60" w:after="60"/>
              <w:rPr>
                <w:noProof/>
              </w:rPr>
            </w:pPr>
            <w:r>
              <w:rPr>
                <w:noProof/>
              </w:rPr>
              <w:t xml:space="preserve">Autobuze modernizate </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794B784" w14:textId="44EF294D" w:rsidR="00F53E3A" w:rsidRDefault="00F53E3A">
            <w:pPr>
              <w:spacing w:before="60" w:after="60"/>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F5110CE" w14:textId="69355D15" w:rsidR="00F53E3A" w:rsidRDefault="0036255F">
            <w:pPr>
              <w:pStyle w:val="P68B1DB1-Normal13"/>
              <w:spacing w:before="60" w:after="60"/>
              <w:rPr>
                <w:noProof/>
              </w:rPr>
            </w:pPr>
            <w:r>
              <w:rPr>
                <w:noProof/>
              </w:rPr>
              <w:t>Numărul de autobuze modernizate</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3FE7E1C" w14:textId="5C8F0529" w:rsidR="00F53E3A" w:rsidRDefault="0036255F">
            <w:pPr>
              <w:pStyle w:val="P68B1DB1-Normal13"/>
              <w:spacing w:before="60" w:after="60"/>
              <w:jc w:val="center"/>
              <w:rPr>
                <w:noProof/>
              </w:rPr>
            </w:pPr>
            <w:r>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538D8C1" w14:textId="4412B719" w:rsidR="00F53E3A" w:rsidRDefault="0036255F">
            <w:pPr>
              <w:pStyle w:val="P68B1DB1-Normal13"/>
              <w:spacing w:before="60" w:after="60"/>
              <w:jc w:val="center"/>
              <w:rPr>
                <w:noProof/>
              </w:rPr>
            </w:pPr>
            <w:r>
              <w:rPr>
                <w:noProof/>
              </w:rPr>
              <w:t>5</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0E0431F" w14:textId="69A69215" w:rsidR="00F53E3A" w:rsidRDefault="00DB2EC5">
            <w:pPr>
              <w:pStyle w:val="P68B1DB1-Normal13"/>
              <w:spacing w:before="60" w:after="60"/>
              <w:jc w:val="center"/>
              <w:rPr>
                <w:noProof/>
              </w:rPr>
            </w:pPr>
            <w:r>
              <w:rPr>
                <w:noProof/>
              </w:rPr>
              <w:t>T2</w:t>
            </w:r>
          </w:p>
        </w:tc>
        <w:tc>
          <w:tcPr>
            <w:tcW w:w="7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67BE264" w14:textId="2EBC1406" w:rsidR="00F53E3A" w:rsidRDefault="0036255F">
            <w:pPr>
              <w:pStyle w:val="P68B1DB1-Normal13"/>
              <w:spacing w:before="60" w:after="60"/>
              <w:jc w:val="center"/>
              <w:rPr>
                <w:noProof/>
              </w:rPr>
            </w:pPr>
            <w:r>
              <w:rPr>
                <w:noProof/>
              </w:rPr>
              <w:t>2026</w:t>
            </w:r>
          </w:p>
        </w:tc>
        <w:tc>
          <w:tcPr>
            <w:tcW w:w="344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A8DFE9" w14:textId="3F6260FF" w:rsidR="00F53E3A" w:rsidRDefault="0036255F">
            <w:pPr>
              <w:pStyle w:val="P68B1DB1-Normal13"/>
              <w:spacing w:before="60" w:after="60"/>
              <w:jc w:val="both"/>
              <w:textAlignment w:val="baseline"/>
              <w:rPr>
                <w:noProof/>
              </w:rPr>
            </w:pPr>
            <w:r>
              <w:rPr>
                <w:noProof/>
              </w:rPr>
              <w:t>Cinci autobuze trebuie să fie modernizate pentru a se califica drept autobuze cu emisii zero.</w:t>
            </w:r>
          </w:p>
        </w:tc>
      </w:tr>
      <w:tr w:rsidR="00F53E3A" w14:paraId="74294353" w14:textId="77777777" w:rsidTr="00CB74C1">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6505796" w14:textId="3B535F63" w:rsidR="00F53E3A" w:rsidRDefault="0036255F">
            <w:pPr>
              <w:pStyle w:val="P68B1DB1-Normal13"/>
              <w:spacing w:before="60" w:after="60"/>
              <w:jc w:val="center"/>
              <w:rPr>
                <w:noProof/>
              </w:rPr>
            </w:pPr>
            <w:r>
              <w:rPr>
                <w:noProof/>
              </w:rPr>
              <w:t>34</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33CC633" w14:textId="5AADE364" w:rsidR="00F53E3A" w:rsidRDefault="0036255F">
            <w:pPr>
              <w:pStyle w:val="P68B1DB1-Normal13"/>
              <w:spacing w:before="60" w:after="60"/>
              <w:rPr>
                <w:noProof/>
              </w:rPr>
            </w:pPr>
            <w:r>
              <w:rPr>
                <w:noProof/>
              </w:rPr>
              <w:t>B.1.2 Deplasarea fără poluarea mediului – B.1.2.2. Sprijin pentru achiziționarea de vehicule de transport public cu emisii zero</w:t>
            </w:r>
          </w:p>
        </w:tc>
        <w:tc>
          <w:tcPr>
            <w:tcW w:w="13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D8C488C" w14:textId="0F7720EC" w:rsidR="00F53E3A" w:rsidRDefault="0036255F">
            <w:pPr>
              <w:pStyle w:val="P68B1DB1-Normal13"/>
              <w:spacing w:before="60" w:after="60"/>
              <w:jc w:val="center"/>
              <w:rPr>
                <w:noProof/>
              </w:rPr>
            </w:pPr>
            <w:r>
              <w:rPr>
                <w:noProof/>
              </w:rPr>
              <w:t>Etapă</w:t>
            </w:r>
          </w:p>
        </w:tc>
        <w:tc>
          <w:tcPr>
            <w:tcW w:w="166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9C821A4" w14:textId="4F4AE14F" w:rsidR="00F53E3A" w:rsidRDefault="0036255F">
            <w:pPr>
              <w:pStyle w:val="P68B1DB1-Normal13"/>
              <w:spacing w:before="60" w:after="60"/>
              <w:rPr>
                <w:noProof/>
              </w:rPr>
            </w:pPr>
            <w:r>
              <w:rPr>
                <w:noProof/>
              </w:rPr>
              <w:t>Reforma sistemului de mobilitate interurbană</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DBF50F1" w14:textId="06B27170" w:rsidR="00F53E3A" w:rsidRDefault="0036255F">
            <w:pPr>
              <w:pStyle w:val="P68B1DB1-Normal13"/>
              <w:spacing w:before="60" w:after="60"/>
              <w:rPr>
                <w:noProof/>
              </w:rPr>
            </w:pPr>
            <w:r>
              <w:rPr>
                <w:noProof/>
              </w:rPr>
              <w:t>Legislația a intrat în vigoare</w:t>
            </w: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F910884" w14:textId="1B79707E" w:rsidR="00F53E3A" w:rsidRDefault="00F53E3A">
            <w:pPr>
              <w:spacing w:before="60" w:after="60"/>
              <w:jc w:val="center"/>
              <w:rPr>
                <w:rFonts w:ascii="Times New Roman" w:eastAsia="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A007710" w14:textId="1CDD4C25" w:rsidR="00F53E3A" w:rsidRDefault="00F53E3A">
            <w:pPr>
              <w:spacing w:before="60" w:after="60"/>
              <w:jc w:val="center"/>
              <w:rPr>
                <w:rFonts w:ascii="Times New Roman" w:eastAsia="Times New Roman" w:hAnsi="Times New Roman" w:cs="Times New Roman"/>
                <w:noProof/>
                <w:sz w:val="20"/>
              </w:rPr>
            </w:pPr>
          </w:p>
        </w:tc>
        <w:tc>
          <w:tcPr>
            <w:tcW w:w="87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EE462C0" w14:textId="70BEEE05" w:rsidR="00F53E3A" w:rsidRDefault="00F53E3A">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AAD3398" w14:textId="2EE1A9A9" w:rsidR="00F53E3A" w:rsidRDefault="00DB2EC5">
            <w:pPr>
              <w:pStyle w:val="P68B1DB1-Normal13"/>
              <w:spacing w:before="60" w:after="60"/>
              <w:jc w:val="center"/>
              <w:rPr>
                <w:noProof/>
              </w:rPr>
            </w:pPr>
            <w:r>
              <w:rPr>
                <w:noProof/>
              </w:rPr>
              <w:t>T2</w:t>
            </w:r>
          </w:p>
        </w:tc>
        <w:tc>
          <w:tcPr>
            <w:tcW w:w="7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1A131E0" w14:textId="250EF28B" w:rsidR="00F53E3A" w:rsidRDefault="0036255F">
            <w:pPr>
              <w:pStyle w:val="P68B1DB1-Normal13"/>
              <w:spacing w:before="60" w:after="60"/>
              <w:jc w:val="center"/>
              <w:rPr>
                <w:noProof/>
              </w:rPr>
            </w:pPr>
            <w:r>
              <w:rPr>
                <w:noProof/>
              </w:rPr>
              <w:t>2026</w:t>
            </w:r>
          </w:p>
        </w:tc>
        <w:tc>
          <w:tcPr>
            <w:tcW w:w="344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003282E" w14:textId="6E6935B7" w:rsidR="00F53E3A" w:rsidRDefault="0036255F">
            <w:pPr>
              <w:pStyle w:val="P68B1DB1-Normal13"/>
              <w:spacing w:before="60" w:after="60"/>
              <w:jc w:val="both"/>
              <w:rPr>
                <w:noProof/>
              </w:rPr>
            </w:pPr>
            <w:r>
              <w:rPr>
                <w:noProof/>
              </w:rPr>
              <w:t>Intrarea în vigoare a legislației de reformare a rețelei de transport public interurban pe distanțe lungi, inclusiv: definirea criteriilor pentru obligațiile de serviciu public pe rutele pe distanțe lungi, aliniind rutele cu autocarul la rutele feroviare și la sistemul de transport local pentru a asigura interconectivitatea între nodurile regionale; și introducerea unor rute intermunicipale.</w:t>
            </w:r>
          </w:p>
        </w:tc>
      </w:tr>
      <w:tr w:rsidR="00F53E3A" w14:paraId="1C568EE7" w14:textId="77777777" w:rsidTr="00CB74C1">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F5013AC" w14:textId="290C4B0A" w:rsidR="00F53E3A" w:rsidRDefault="0036255F">
            <w:pPr>
              <w:pStyle w:val="P68B1DB1-Normal13"/>
              <w:spacing w:before="60" w:after="60"/>
              <w:jc w:val="center"/>
              <w:rPr>
                <w:noProof/>
              </w:rPr>
            </w:pPr>
            <w:r>
              <w:rPr>
                <w:noProof/>
              </w:rPr>
              <w:t>36</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0F9C9A" w14:textId="42549AB8" w:rsidR="00F53E3A" w:rsidRDefault="0036255F">
            <w:pPr>
              <w:pStyle w:val="P68B1DB1-Normal13"/>
              <w:spacing w:before="60" w:after="60"/>
              <w:rPr>
                <w:noProof/>
              </w:rPr>
            </w:pPr>
            <w:r>
              <w:rPr>
                <w:noProof/>
              </w:rPr>
              <w:t>B.1.2 Deplasarea fără poluarea mediului – B.1.2.2. Sprijin pentru achiziționarea de vehicule de transport public cu emisii zero</w:t>
            </w:r>
          </w:p>
        </w:tc>
        <w:tc>
          <w:tcPr>
            <w:tcW w:w="13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7F7A818" w14:textId="51D95F6A" w:rsidR="00F53E3A" w:rsidRDefault="0036255F">
            <w:pPr>
              <w:pStyle w:val="P68B1DB1-Normal13"/>
              <w:spacing w:before="60" w:after="60"/>
              <w:jc w:val="center"/>
              <w:rPr>
                <w:noProof/>
              </w:rPr>
            </w:pPr>
            <w:r>
              <w:rPr>
                <w:noProof/>
              </w:rPr>
              <w:t>Țintă</w:t>
            </w:r>
          </w:p>
        </w:tc>
        <w:tc>
          <w:tcPr>
            <w:tcW w:w="166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2F88CFF" w14:textId="33CB83FE" w:rsidR="00F53E3A" w:rsidRDefault="0036255F">
            <w:pPr>
              <w:pStyle w:val="P68B1DB1-Normal13"/>
              <w:spacing w:before="60" w:after="60"/>
              <w:textAlignment w:val="baseline"/>
              <w:rPr>
                <w:rFonts w:cs="Segoe UI"/>
                <w:noProof/>
              </w:rPr>
            </w:pPr>
            <w:r>
              <w:rPr>
                <w:noProof/>
              </w:rPr>
              <w:t>Livrarea de autobuze electrice</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445B1CF" w14:textId="2D9CFC57" w:rsidR="00F53E3A" w:rsidRDefault="00F53E3A">
            <w:pPr>
              <w:spacing w:before="60" w:after="60"/>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0C31B42" w14:textId="37674E69" w:rsidR="00F53E3A" w:rsidRDefault="0036255F">
            <w:pPr>
              <w:pStyle w:val="P68B1DB1-Normal13"/>
              <w:spacing w:before="60" w:after="60"/>
              <w:rPr>
                <w:noProof/>
              </w:rPr>
            </w:pPr>
            <w:r>
              <w:rPr>
                <w:noProof/>
              </w:rPr>
              <w:t>Număr de autobuze</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7F98146" w14:textId="10C33536" w:rsidR="00F53E3A" w:rsidRDefault="0036255F">
            <w:pPr>
              <w:pStyle w:val="P68B1DB1-Normal13"/>
              <w:spacing w:before="60" w:after="60"/>
              <w:jc w:val="center"/>
              <w:rPr>
                <w:noProof/>
              </w:rPr>
            </w:pPr>
            <w:r>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9E15383" w14:textId="1137D8A8" w:rsidR="00F53E3A" w:rsidRDefault="0036255F">
            <w:pPr>
              <w:pStyle w:val="P68B1DB1-Normal13"/>
              <w:spacing w:before="60" w:after="60"/>
              <w:jc w:val="center"/>
              <w:rPr>
                <w:noProof/>
              </w:rPr>
            </w:pPr>
            <w:r>
              <w:rPr>
                <w:noProof/>
              </w:rPr>
              <w:t>218</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44DB6D0" w14:textId="1E508A9D" w:rsidR="00F53E3A" w:rsidRDefault="00DB2EC5">
            <w:pPr>
              <w:pStyle w:val="P68B1DB1-Normal13"/>
              <w:spacing w:before="60" w:after="60"/>
              <w:jc w:val="center"/>
              <w:rPr>
                <w:noProof/>
              </w:rPr>
            </w:pPr>
            <w:r>
              <w:rPr>
                <w:noProof/>
              </w:rPr>
              <w:t>T2</w:t>
            </w:r>
          </w:p>
        </w:tc>
        <w:tc>
          <w:tcPr>
            <w:tcW w:w="7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46B0475" w14:textId="5E7FBE80" w:rsidR="00F53E3A" w:rsidRDefault="0036255F">
            <w:pPr>
              <w:pStyle w:val="P68B1DB1-Normal13"/>
              <w:spacing w:before="60" w:after="60"/>
              <w:jc w:val="center"/>
              <w:rPr>
                <w:noProof/>
              </w:rPr>
            </w:pPr>
            <w:r>
              <w:rPr>
                <w:noProof/>
              </w:rPr>
              <w:t>2026</w:t>
            </w:r>
          </w:p>
        </w:tc>
        <w:tc>
          <w:tcPr>
            <w:tcW w:w="344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896CD81" w14:textId="17700768" w:rsidR="00F53E3A" w:rsidRDefault="0036255F">
            <w:pPr>
              <w:pStyle w:val="P68B1DB1-Normal13"/>
              <w:spacing w:before="60" w:after="60"/>
              <w:jc w:val="both"/>
              <w:textAlignment w:val="baseline"/>
              <w:rPr>
                <w:noProof/>
              </w:rPr>
            </w:pPr>
            <w:r>
              <w:rPr>
                <w:noProof/>
              </w:rPr>
              <w:t>Livrarea a 218 autobuze electrice (clasa M3).</w:t>
            </w:r>
          </w:p>
        </w:tc>
      </w:tr>
      <w:tr w:rsidR="00F53E3A" w14:paraId="0B135206" w14:textId="77777777" w:rsidTr="00CB74C1">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C38F20" w14:textId="7A0076F7" w:rsidR="00F53E3A" w:rsidRDefault="0036255F">
            <w:pPr>
              <w:pStyle w:val="P68B1DB1-Normal13"/>
              <w:spacing w:before="60" w:after="60"/>
              <w:jc w:val="center"/>
              <w:rPr>
                <w:noProof/>
              </w:rPr>
            </w:pPr>
            <w:r>
              <w:rPr>
                <w:noProof/>
              </w:rPr>
              <w:t>37</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75690D3" w14:textId="49ACCF2E" w:rsidR="00F53E3A" w:rsidRDefault="0036255F">
            <w:pPr>
              <w:pStyle w:val="P68B1DB1-Normal13"/>
              <w:spacing w:before="60" w:after="60"/>
              <w:rPr>
                <w:noProof/>
              </w:rPr>
            </w:pPr>
            <w:r>
              <w:rPr>
                <w:noProof/>
              </w:rPr>
              <w:t>B.1.2 Deplasarea fără poluarea mediului – B.1.2.3. Instalarea infrastructurii de reîncărcare a vehiculelor și de alimentare cu combustibili alternativi</w:t>
            </w:r>
          </w:p>
        </w:tc>
        <w:tc>
          <w:tcPr>
            <w:tcW w:w="13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EFEAC19" w14:textId="12A4B275" w:rsidR="00F53E3A" w:rsidRDefault="0036255F">
            <w:pPr>
              <w:pStyle w:val="P68B1DB1-Normal13"/>
              <w:spacing w:before="60" w:after="60"/>
              <w:jc w:val="center"/>
              <w:rPr>
                <w:noProof/>
              </w:rPr>
            </w:pPr>
            <w:r>
              <w:rPr>
                <w:noProof/>
              </w:rPr>
              <w:t>Etapă</w:t>
            </w:r>
          </w:p>
        </w:tc>
        <w:tc>
          <w:tcPr>
            <w:tcW w:w="166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B1CEC76" w14:textId="79D4E96C" w:rsidR="00F53E3A" w:rsidRDefault="0036255F">
            <w:pPr>
              <w:pStyle w:val="P68B1DB1-Normal13"/>
              <w:spacing w:before="60" w:after="60"/>
              <w:textAlignment w:val="baseline"/>
              <w:rPr>
                <w:noProof/>
              </w:rPr>
            </w:pPr>
            <w:r>
              <w:rPr>
                <w:noProof/>
              </w:rPr>
              <w:t>Punerea în funcțiune a unui sistem de informații pentru punctele de reîncărcare pentru vehicule electrice accesibile publicului</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FA8393F" w14:textId="780BD209" w:rsidR="00F53E3A" w:rsidRDefault="0036255F">
            <w:pPr>
              <w:pStyle w:val="P68B1DB1-Normal13"/>
              <w:spacing w:before="60" w:after="60"/>
              <w:rPr>
                <w:noProof/>
              </w:rPr>
            </w:pPr>
            <w:r>
              <w:rPr>
                <w:noProof/>
              </w:rPr>
              <w:t>Punerea în funcțiune a unui sistem de informații pentru punctele de reîncărcare pentru vehicule electrice accesibile publicului</w:t>
            </w: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3A8D936" w14:textId="7885A292" w:rsidR="00F53E3A" w:rsidRDefault="00F53E3A">
            <w:pPr>
              <w:spacing w:before="60" w:after="60"/>
              <w:jc w:val="center"/>
              <w:rPr>
                <w:rFonts w:ascii="Times New Roman" w:eastAsia="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FA1D6B7" w14:textId="39BAAC42" w:rsidR="00F53E3A" w:rsidRDefault="00F53E3A">
            <w:pPr>
              <w:spacing w:before="60" w:after="60"/>
              <w:jc w:val="center"/>
              <w:rPr>
                <w:rFonts w:ascii="Times New Roman" w:eastAsia="Times New Roman" w:hAnsi="Times New Roman" w:cs="Times New Roman"/>
                <w:noProof/>
                <w:sz w:val="20"/>
              </w:rPr>
            </w:pPr>
          </w:p>
        </w:tc>
        <w:tc>
          <w:tcPr>
            <w:tcW w:w="87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EB70C1D" w14:textId="496F2523" w:rsidR="00F53E3A" w:rsidRDefault="00F53E3A">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F588204" w14:textId="78825E51" w:rsidR="00F53E3A" w:rsidRDefault="00DB2EC5">
            <w:pPr>
              <w:pStyle w:val="P68B1DB1-Normal13"/>
              <w:spacing w:before="60" w:after="60"/>
              <w:jc w:val="center"/>
              <w:rPr>
                <w:noProof/>
              </w:rPr>
            </w:pPr>
            <w:r>
              <w:rPr>
                <w:noProof/>
              </w:rPr>
              <w:t>T1</w:t>
            </w:r>
          </w:p>
        </w:tc>
        <w:tc>
          <w:tcPr>
            <w:tcW w:w="7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1807FE3" w14:textId="6FDD1525" w:rsidR="00F53E3A" w:rsidRDefault="0036255F">
            <w:pPr>
              <w:pStyle w:val="P68B1DB1-Normal13"/>
              <w:spacing w:before="60" w:after="60"/>
              <w:jc w:val="center"/>
              <w:rPr>
                <w:noProof/>
              </w:rPr>
            </w:pPr>
            <w:r>
              <w:rPr>
                <w:noProof/>
              </w:rPr>
              <w:t>2022</w:t>
            </w:r>
          </w:p>
        </w:tc>
        <w:tc>
          <w:tcPr>
            <w:tcW w:w="344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A59B94" w14:textId="77777777" w:rsidR="00F53E3A" w:rsidRDefault="0036255F">
            <w:pPr>
              <w:pStyle w:val="P68B1DB1-Normal22"/>
              <w:spacing w:before="60" w:after="60"/>
              <w:jc w:val="both"/>
              <w:textAlignment w:val="baseline"/>
              <w:rPr>
                <w:rFonts w:cs="Calibri"/>
                <w:noProof/>
              </w:rPr>
            </w:pPr>
            <w:r>
              <w:rPr>
                <w:noProof/>
              </w:rPr>
              <w:t xml:space="preserve">Punerea în funcțiune a unui sistem informatic care: </w:t>
            </w:r>
          </w:p>
          <w:p w14:paraId="27857670" w14:textId="51AB8CDD" w:rsidR="00F53E3A" w:rsidRDefault="0036255F">
            <w:pPr>
              <w:pStyle w:val="P68B1DB1-Normal22"/>
              <w:spacing w:before="60" w:after="60"/>
              <w:jc w:val="both"/>
              <w:textAlignment w:val="baseline"/>
              <w:rPr>
                <w:rFonts w:cs="Calibri"/>
                <w:noProof/>
              </w:rPr>
            </w:pPr>
            <w:r>
              <w:rPr>
                <w:noProof/>
              </w:rPr>
              <w:t xml:space="preserve">1. Furnizează și înregistrează codurile unice de identificare ale punctelor de reîncărcare accesibile publicului pentru vehicule electrice și ale operatorilor acestora. </w:t>
            </w:r>
          </w:p>
          <w:p w14:paraId="49B6F64A" w14:textId="0D50F456" w:rsidR="00F53E3A" w:rsidRDefault="0036255F">
            <w:pPr>
              <w:pStyle w:val="P68B1DB1-Normal13"/>
              <w:spacing w:before="60" w:after="60"/>
              <w:jc w:val="both"/>
              <w:textAlignment w:val="baseline"/>
              <w:rPr>
                <w:noProof/>
              </w:rPr>
            </w:pPr>
            <w:r>
              <w:rPr>
                <w:noProof/>
              </w:rPr>
              <w:t>2. Furnizarea de date statice/dinamice în timp real de la stațiile de încărcare accesibile publicului pentru vehiculele electrice care circulă în Lituania.</w:t>
            </w:r>
          </w:p>
        </w:tc>
      </w:tr>
      <w:tr w:rsidR="00F53E3A" w14:paraId="217D9F3F" w14:textId="77777777" w:rsidTr="00CB74C1">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A1C8E72" w14:textId="66F34021" w:rsidR="00F53E3A" w:rsidRDefault="0036255F">
            <w:pPr>
              <w:pStyle w:val="P68B1DB1-Normal13"/>
              <w:spacing w:before="60" w:after="60"/>
              <w:jc w:val="center"/>
              <w:rPr>
                <w:noProof/>
              </w:rPr>
            </w:pPr>
            <w:r>
              <w:rPr>
                <w:noProof/>
              </w:rPr>
              <w:t>39</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4919D01" w14:textId="532D8DDE" w:rsidR="00F53E3A" w:rsidRDefault="0036255F">
            <w:pPr>
              <w:pStyle w:val="P68B1DB1-Normal13"/>
              <w:spacing w:before="60" w:after="60"/>
              <w:rPr>
                <w:noProof/>
              </w:rPr>
            </w:pPr>
            <w:r>
              <w:rPr>
                <w:noProof/>
              </w:rPr>
              <w:t>B.1.2 Deplasarea fără poluarea mediului – B.1.2.3. Instalarea infrastructurii de reîncărcare a vehiculelor și de alimentare cu combustibili alternativi</w:t>
            </w:r>
          </w:p>
        </w:tc>
        <w:tc>
          <w:tcPr>
            <w:tcW w:w="13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141174A" w14:textId="42AEB6E8" w:rsidR="00F53E3A" w:rsidRDefault="0036255F">
            <w:pPr>
              <w:pStyle w:val="P68B1DB1-Normal13"/>
              <w:spacing w:before="60" w:after="60"/>
              <w:jc w:val="center"/>
              <w:rPr>
                <w:noProof/>
              </w:rPr>
            </w:pPr>
            <w:r>
              <w:rPr>
                <w:noProof/>
              </w:rPr>
              <w:t>Țintă</w:t>
            </w:r>
          </w:p>
        </w:tc>
        <w:tc>
          <w:tcPr>
            <w:tcW w:w="166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927493F" w14:textId="7D287013" w:rsidR="00F53E3A" w:rsidRDefault="0036255F">
            <w:pPr>
              <w:pStyle w:val="P68B1DB1-Normal13"/>
              <w:spacing w:before="60" w:after="60"/>
              <w:textAlignment w:val="baseline"/>
              <w:rPr>
                <w:noProof/>
              </w:rPr>
            </w:pPr>
            <w:r>
              <w:rPr>
                <w:noProof/>
              </w:rPr>
              <w:t xml:space="preserve">Instalarea punctelor de reîncărcare </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331EE25" w14:textId="43187C99" w:rsidR="00F53E3A" w:rsidRDefault="00F53E3A">
            <w:pPr>
              <w:spacing w:before="60" w:after="60"/>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D89EFCF" w14:textId="5E6A278A" w:rsidR="00F53E3A" w:rsidRDefault="0036255F">
            <w:pPr>
              <w:pStyle w:val="P68B1DB1-Normal13"/>
              <w:spacing w:before="60" w:after="60"/>
              <w:rPr>
                <w:noProof/>
              </w:rPr>
            </w:pPr>
            <w:r>
              <w:rPr>
                <w:noProof/>
              </w:rPr>
              <w:t>Numărul de puncte de reîncărcare</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FC1C779" w14:textId="10923994" w:rsidR="00F53E3A" w:rsidRDefault="0036255F">
            <w:pPr>
              <w:pStyle w:val="P68B1DB1-Normal13"/>
              <w:spacing w:before="60" w:after="60"/>
              <w:jc w:val="center"/>
              <w:rPr>
                <w:noProof/>
              </w:rPr>
            </w:pPr>
            <w:r>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80E1652" w14:textId="7A8685F8" w:rsidR="00F53E3A" w:rsidRDefault="0036255F">
            <w:pPr>
              <w:pStyle w:val="P68B1DB1-Normal12"/>
              <w:spacing w:before="60" w:after="60"/>
              <w:jc w:val="center"/>
              <w:rPr>
                <w:rFonts w:eastAsia="Times New Roman" w:cs="Times New Roman"/>
                <w:noProof/>
              </w:rPr>
            </w:pPr>
            <w:r>
              <w:rPr>
                <w:noProof/>
              </w:rPr>
              <w:t>20 850</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F7B0574" w14:textId="15A9E9B9" w:rsidR="00F53E3A" w:rsidRDefault="00DB2EC5">
            <w:pPr>
              <w:pStyle w:val="P68B1DB1-Normal13"/>
              <w:spacing w:before="60" w:after="60"/>
              <w:jc w:val="center"/>
              <w:rPr>
                <w:noProof/>
              </w:rPr>
            </w:pPr>
            <w:r>
              <w:rPr>
                <w:noProof/>
              </w:rPr>
              <w:t>T2</w:t>
            </w:r>
          </w:p>
        </w:tc>
        <w:tc>
          <w:tcPr>
            <w:tcW w:w="7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D8D1FC9" w14:textId="41CE146A" w:rsidR="00F53E3A" w:rsidRDefault="0036255F">
            <w:pPr>
              <w:pStyle w:val="P68B1DB1-Normal13"/>
              <w:spacing w:before="60" w:after="60"/>
              <w:jc w:val="center"/>
              <w:rPr>
                <w:noProof/>
              </w:rPr>
            </w:pPr>
            <w:r>
              <w:rPr>
                <w:noProof/>
              </w:rPr>
              <w:t>2026</w:t>
            </w:r>
          </w:p>
        </w:tc>
        <w:tc>
          <w:tcPr>
            <w:tcW w:w="344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094A8C" w14:textId="0CC4AE7B" w:rsidR="00F53E3A" w:rsidRDefault="0036255F">
            <w:pPr>
              <w:pStyle w:val="P68B1DB1-Normal13"/>
              <w:spacing w:before="60" w:after="60"/>
              <w:jc w:val="both"/>
              <w:textAlignment w:val="baseline"/>
              <w:rPr>
                <w:noProof/>
              </w:rPr>
            </w:pPr>
            <w:r>
              <w:rPr>
                <w:noProof/>
              </w:rPr>
              <w:t>40 de puncte de reîncărcare pentru vehicule electrice accesibile publicului și 20 810 de puncte de reîncărcare pentru vehicule electrice private instalate.</w:t>
            </w:r>
          </w:p>
        </w:tc>
      </w:tr>
      <w:tr w:rsidR="00F53E3A" w14:paraId="7ACCD8D8" w14:textId="77777777" w:rsidTr="00CB74C1">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591BAEF" w14:textId="6F7EDDF7" w:rsidR="00F53E3A" w:rsidRDefault="0036255F">
            <w:pPr>
              <w:pStyle w:val="P68B1DB1-Normal13"/>
              <w:spacing w:before="60" w:after="60"/>
              <w:jc w:val="center"/>
              <w:rPr>
                <w:noProof/>
              </w:rPr>
            </w:pPr>
            <w:r>
              <w:rPr>
                <w:noProof/>
              </w:rPr>
              <w:t>42</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2BD25E2" w14:textId="59375BAF" w:rsidR="00F53E3A" w:rsidRDefault="0036255F">
            <w:pPr>
              <w:pStyle w:val="P68B1DB1-Normal13"/>
              <w:spacing w:before="60" w:after="60"/>
              <w:rPr>
                <w:noProof/>
              </w:rPr>
            </w:pPr>
            <w:r>
              <w:rPr>
                <w:noProof/>
              </w:rPr>
              <w:t>B.1.2 Deplasarea fără poluarea mediului – B.1.2.3. Instalarea infrastructurii de reîncărcare a vehiculelor și de alimentare cu combustibili alternativi</w:t>
            </w:r>
          </w:p>
        </w:tc>
        <w:tc>
          <w:tcPr>
            <w:tcW w:w="13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D633EC0" w14:textId="7D9B4C34" w:rsidR="00F53E3A" w:rsidRDefault="0036255F">
            <w:pPr>
              <w:pStyle w:val="P68B1DB1-Normal13"/>
              <w:spacing w:before="60" w:after="60"/>
              <w:jc w:val="center"/>
              <w:rPr>
                <w:noProof/>
              </w:rPr>
            </w:pPr>
            <w:r>
              <w:rPr>
                <w:noProof/>
              </w:rPr>
              <w:t>Țintă</w:t>
            </w:r>
          </w:p>
        </w:tc>
        <w:tc>
          <w:tcPr>
            <w:tcW w:w="166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36AF197" w14:textId="7046AE3F" w:rsidR="00F53E3A" w:rsidRDefault="0036255F">
            <w:pPr>
              <w:pStyle w:val="P68B1DB1-Normal13"/>
              <w:spacing w:before="60" w:after="60"/>
              <w:textAlignment w:val="baseline"/>
              <w:rPr>
                <w:noProof/>
              </w:rPr>
            </w:pPr>
            <w:r>
              <w:rPr>
                <w:noProof/>
              </w:rPr>
              <w:t>Instalarea unei stații de realimentare cu hidrogen</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8C2FD48" w14:textId="4803D575" w:rsidR="00F53E3A" w:rsidRDefault="00F53E3A">
            <w:pPr>
              <w:spacing w:before="60" w:after="60"/>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B7B7B50" w14:textId="376C79B9" w:rsidR="00F53E3A" w:rsidRDefault="0036255F">
            <w:pPr>
              <w:pStyle w:val="P68B1DB1-Normal13"/>
              <w:spacing w:before="60" w:after="60"/>
              <w:rPr>
                <w:noProof/>
              </w:rPr>
            </w:pPr>
            <w:r>
              <w:rPr>
                <w:noProof/>
              </w:rPr>
              <w:t>Numărul de stații de realimentare cu hidrogen</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B3682D5" w14:textId="437415B3" w:rsidR="00F53E3A" w:rsidRDefault="0036255F">
            <w:pPr>
              <w:pStyle w:val="P68B1DB1-Normal13"/>
              <w:spacing w:before="60" w:after="60"/>
              <w:jc w:val="center"/>
              <w:rPr>
                <w:noProof/>
              </w:rPr>
            </w:pPr>
            <w:r>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545E5E4" w14:textId="5B3F6579" w:rsidR="00F53E3A" w:rsidRDefault="0036255F">
            <w:pPr>
              <w:pStyle w:val="P68B1DB1-Normal13"/>
              <w:spacing w:before="60" w:after="60"/>
              <w:jc w:val="center"/>
              <w:rPr>
                <w:noProof/>
              </w:rPr>
            </w:pPr>
            <w:r>
              <w:rPr>
                <w:noProof/>
              </w:rPr>
              <w:t>1</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59144BA" w14:textId="4642161B" w:rsidR="00F53E3A" w:rsidRDefault="00DB2EC5">
            <w:pPr>
              <w:pStyle w:val="P68B1DB1-Normal13"/>
              <w:spacing w:before="60" w:after="60"/>
              <w:jc w:val="center"/>
              <w:rPr>
                <w:noProof/>
              </w:rPr>
            </w:pPr>
            <w:r>
              <w:rPr>
                <w:noProof/>
              </w:rPr>
              <w:t>T2</w:t>
            </w:r>
          </w:p>
        </w:tc>
        <w:tc>
          <w:tcPr>
            <w:tcW w:w="7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10678CC" w14:textId="681913EB" w:rsidR="00F53E3A" w:rsidRDefault="0036255F">
            <w:pPr>
              <w:pStyle w:val="P68B1DB1-Normal13"/>
              <w:spacing w:before="60" w:after="60"/>
              <w:jc w:val="center"/>
              <w:rPr>
                <w:noProof/>
              </w:rPr>
            </w:pPr>
            <w:r>
              <w:rPr>
                <w:noProof/>
              </w:rPr>
              <w:t>2026</w:t>
            </w:r>
          </w:p>
        </w:tc>
        <w:tc>
          <w:tcPr>
            <w:tcW w:w="344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0551329" w14:textId="6D905EEF" w:rsidR="00F53E3A" w:rsidRDefault="0036255F">
            <w:pPr>
              <w:pStyle w:val="P68B1DB1-Normal13"/>
              <w:spacing w:before="60" w:after="60"/>
              <w:jc w:val="both"/>
              <w:rPr>
                <w:noProof/>
              </w:rPr>
            </w:pPr>
            <w:r>
              <w:rPr>
                <w:noProof/>
              </w:rPr>
              <w:t>Emiterea unui certificat de acceptare a transferului pentru instalarea unei stații de realimentare cu hidrogen.</w:t>
            </w:r>
          </w:p>
        </w:tc>
      </w:tr>
      <w:tr w:rsidR="00F53E3A" w14:paraId="03C6142A" w14:textId="77777777" w:rsidTr="00CB74C1">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6F4DBB3" w14:textId="5B71D8E9" w:rsidR="00F53E3A" w:rsidRDefault="0036255F">
            <w:pPr>
              <w:pStyle w:val="P68B1DB1-Normal13"/>
              <w:spacing w:before="60" w:after="60"/>
              <w:jc w:val="center"/>
              <w:rPr>
                <w:noProof/>
              </w:rPr>
            </w:pPr>
            <w:r>
              <w:rPr>
                <w:noProof/>
              </w:rPr>
              <w:t>43</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A9D058A" w14:textId="08798F5D" w:rsidR="00F53E3A" w:rsidRDefault="0036255F">
            <w:pPr>
              <w:pStyle w:val="P68B1DB1-Normal13"/>
              <w:spacing w:before="60" w:after="60"/>
              <w:rPr>
                <w:noProof/>
              </w:rPr>
            </w:pPr>
            <w:r>
              <w:rPr>
                <w:noProof/>
              </w:rPr>
              <w:t>B.1.2 Deplasarea fără poluarea mediului – B.1.2.3. Instalarea infrastructurii de reîncărcare a vehiculelor și de alimentare cu combustibili alternativi</w:t>
            </w:r>
          </w:p>
        </w:tc>
        <w:tc>
          <w:tcPr>
            <w:tcW w:w="13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4EA8314" w14:textId="1779E409" w:rsidR="00F53E3A" w:rsidRDefault="0036255F">
            <w:pPr>
              <w:pStyle w:val="P68B1DB1-Normal13"/>
              <w:spacing w:before="60" w:after="60"/>
              <w:jc w:val="center"/>
              <w:rPr>
                <w:noProof/>
              </w:rPr>
            </w:pPr>
            <w:r>
              <w:rPr>
                <w:noProof/>
              </w:rPr>
              <w:t>Etapă</w:t>
            </w:r>
          </w:p>
        </w:tc>
        <w:tc>
          <w:tcPr>
            <w:tcW w:w="166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3B39185" w14:textId="0E476339" w:rsidR="00F53E3A" w:rsidRDefault="0036255F">
            <w:pPr>
              <w:pStyle w:val="P68B1DB1-Normal13"/>
              <w:spacing w:before="60" w:after="60"/>
              <w:textAlignment w:val="baseline"/>
              <w:rPr>
                <w:noProof/>
              </w:rPr>
            </w:pPr>
            <w:r>
              <w:rPr>
                <w:noProof/>
              </w:rPr>
              <w:t>Adoptarea planului de acțiune pentru integrarea rețelei infrastructurii de încărcare cu energie electrică</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AE293DF" w14:textId="3C8FAF3D" w:rsidR="00F53E3A" w:rsidRDefault="0036255F">
            <w:pPr>
              <w:pStyle w:val="P68B1DB1-Normal13"/>
              <w:spacing w:before="60" w:after="60"/>
              <w:textAlignment w:val="baseline"/>
              <w:rPr>
                <w:noProof/>
              </w:rPr>
            </w:pPr>
            <w:r>
              <w:rPr>
                <w:noProof/>
              </w:rPr>
              <w:t>Planul de acțiune adoptat privind infrastructura de încărcare cu energie electrică</w:t>
            </w: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14FDC2E" w14:textId="39CFA81D" w:rsidR="00F53E3A" w:rsidRDefault="00F53E3A">
            <w:pPr>
              <w:spacing w:before="60" w:after="60"/>
              <w:jc w:val="center"/>
              <w:rPr>
                <w:rFonts w:ascii="Times New Roman" w:eastAsia="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FBEA874" w14:textId="6E7140D1" w:rsidR="00F53E3A" w:rsidRDefault="00F53E3A">
            <w:pPr>
              <w:spacing w:before="60" w:after="60"/>
              <w:jc w:val="center"/>
              <w:rPr>
                <w:rFonts w:ascii="Times New Roman" w:eastAsia="Times New Roman" w:hAnsi="Times New Roman" w:cs="Times New Roman"/>
                <w:noProof/>
                <w:sz w:val="20"/>
              </w:rPr>
            </w:pPr>
          </w:p>
        </w:tc>
        <w:tc>
          <w:tcPr>
            <w:tcW w:w="87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0513884" w14:textId="09D07B6E" w:rsidR="00F53E3A" w:rsidRDefault="00F53E3A">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6F1F9A5" w14:textId="46795C96" w:rsidR="00F53E3A" w:rsidRDefault="00DB2EC5">
            <w:pPr>
              <w:pStyle w:val="P68B1DB1-Normal13"/>
              <w:spacing w:before="60" w:after="60"/>
              <w:jc w:val="center"/>
              <w:rPr>
                <w:noProof/>
              </w:rPr>
            </w:pPr>
            <w:r>
              <w:rPr>
                <w:noProof/>
              </w:rPr>
              <w:t>T4</w:t>
            </w:r>
          </w:p>
        </w:tc>
        <w:tc>
          <w:tcPr>
            <w:tcW w:w="7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C02F2AE" w14:textId="2CC150EA" w:rsidR="00F53E3A" w:rsidRDefault="0036255F">
            <w:pPr>
              <w:pStyle w:val="P68B1DB1-Normal13"/>
              <w:spacing w:before="60" w:after="60"/>
              <w:jc w:val="center"/>
              <w:rPr>
                <w:noProof/>
              </w:rPr>
            </w:pPr>
            <w:r>
              <w:rPr>
                <w:noProof/>
              </w:rPr>
              <w:t>2021</w:t>
            </w:r>
          </w:p>
        </w:tc>
        <w:tc>
          <w:tcPr>
            <w:tcW w:w="344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824B87C" w14:textId="22A7F9D6" w:rsidR="00F53E3A" w:rsidRDefault="0036255F">
            <w:pPr>
              <w:pStyle w:val="P68B1DB1-Normal13"/>
              <w:spacing w:before="60" w:after="60"/>
              <w:jc w:val="both"/>
              <w:textAlignment w:val="baseline"/>
              <w:rPr>
                <w:noProof/>
              </w:rPr>
            </w:pPr>
            <w:r>
              <w:rPr>
                <w:noProof/>
              </w:rPr>
              <w:t>Adoptarea unui plan de acțiune care să identifice direcțiile prioritare de dezvoltare și să stabilească cerințe pentru instalarea de puncte de reîncărcare pentru vehiculele electrice, pentru a asigura dezvoltarea cât mai eficientă a infrastructurii de reîncărcare pentru vehiculele electrice.</w:t>
            </w:r>
          </w:p>
        </w:tc>
      </w:tr>
      <w:tr w:rsidR="00F53E3A" w14:paraId="2C6C7B22" w14:textId="77777777" w:rsidTr="00CB74C1">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A8EAEF1" w14:textId="212848E8" w:rsidR="00F53E3A" w:rsidRDefault="0036255F">
            <w:pPr>
              <w:pStyle w:val="P68B1DB1-Normal13"/>
              <w:spacing w:before="60" w:after="60"/>
              <w:jc w:val="center"/>
              <w:rPr>
                <w:noProof/>
              </w:rPr>
            </w:pPr>
            <w:r>
              <w:rPr>
                <w:noProof/>
              </w:rPr>
              <w:t>44</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EDA186A" w14:textId="01503F1E" w:rsidR="00F53E3A" w:rsidRDefault="0036255F">
            <w:pPr>
              <w:pStyle w:val="P68B1DB1-Normal13"/>
              <w:spacing w:before="60" w:after="60"/>
              <w:rPr>
                <w:noProof/>
              </w:rPr>
            </w:pPr>
            <w:r>
              <w:rPr>
                <w:noProof/>
              </w:rPr>
              <w:t>B.1.2 Deplasarea fără poluarea mediului – B.1.2.4. Sprijin pentru sectorul combustibililor din surse regenerabile</w:t>
            </w:r>
            <w:r>
              <w:rPr>
                <w:noProof/>
                <w:u w:val="single"/>
              </w:rPr>
              <w:t xml:space="preserve"> </w:t>
            </w:r>
            <w:r>
              <w:rPr>
                <w:noProof/>
              </w:rPr>
              <w:t>(gaz biometan, biocombustibili lichizi de a doua generație pentru transporturi și hidrogen din surse regenerabile)</w:t>
            </w:r>
          </w:p>
        </w:tc>
        <w:tc>
          <w:tcPr>
            <w:tcW w:w="13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FE74B36" w14:textId="0716AD6B" w:rsidR="00F53E3A" w:rsidRDefault="0036255F">
            <w:pPr>
              <w:pStyle w:val="P68B1DB1-Normal13"/>
              <w:spacing w:before="60" w:after="60"/>
              <w:jc w:val="center"/>
              <w:rPr>
                <w:noProof/>
              </w:rPr>
            </w:pPr>
            <w:r>
              <w:rPr>
                <w:noProof/>
              </w:rPr>
              <w:t>Etapă</w:t>
            </w:r>
          </w:p>
        </w:tc>
        <w:tc>
          <w:tcPr>
            <w:tcW w:w="166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73D3301" w14:textId="0C078671" w:rsidR="00F53E3A" w:rsidRDefault="0036255F">
            <w:pPr>
              <w:pStyle w:val="P68B1DB1-Normal13"/>
              <w:spacing w:before="60" w:after="60"/>
              <w:textAlignment w:val="baseline"/>
              <w:rPr>
                <w:noProof/>
              </w:rPr>
            </w:pPr>
            <w:r>
              <w:rPr>
                <w:noProof/>
              </w:rPr>
              <w:t>Punerea în funcțiune a unui sistem informatic de unități de contabilizare a combustibililor din surse regenerabile utilizați în transporturi</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DA85C7" w14:textId="17BD42BE" w:rsidR="00F53E3A" w:rsidRDefault="0036255F">
            <w:pPr>
              <w:pStyle w:val="P68B1DB1-Normal13"/>
              <w:spacing w:before="60" w:after="60"/>
              <w:textAlignment w:val="baseline"/>
              <w:rPr>
                <w:noProof/>
              </w:rPr>
            </w:pPr>
            <w:r>
              <w:rPr>
                <w:noProof/>
              </w:rPr>
              <w:t>Sistemul informatic de unități de contabilizare a combustibililor din surse regenerabile este operațional</w:t>
            </w: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74B0A06" w14:textId="52B63483" w:rsidR="00F53E3A" w:rsidRDefault="00F53E3A">
            <w:pPr>
              <w:spacing w:before="60" w:after="60"/>
              <w:jc w:val="center"/>
              <w:rPr>
                <w:rFonts w:ascii="Times New Roman" w:eastAsia="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4CC3CC8" w14:textId="330955FD" w:rsidR="00F53E3A" w:rsidRDefault="00F53E3A">
            <w:pPr>
              <w:spacing w:before="60" w:after="60"/>
              <w:jc w:val="center"/>
              <w:rPr>
                <w:rFonts w:ascii="Times New Roman" w:eastAsia="Times New Roman" w:hAnsi="Times New Roman" w:cs="Times New Roman"/>
                <w:noProof/>
                <w:sz w:val="20"/>
              </w:rPr>
            </w:pPr>
          </w:p>
        </w:tc>
        <w:tc>
          <w:tcPr>
            <w:tcW w:w="87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A448BC4" w14:textId="0834A0EE" w:rsidR="00F53E3A" w:rsidRDefault="00F53E3A">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2B2A024" w14:textId="45912617" w:rsidR="00F53E3A" w:rsidRDefault="00DB2EC5">
            <w:pPr>
              <w:pStyle w:val="P68B1DB1-Normal13"/>
              <w:spacing w:before="60" w:after="60"/>
              <w:jc w:val="center"/>
              <w:rPr>
                <w:noProof/>
              </w:rPr>
            </w:pPr>
            <w:r>
              <w:rPr>
                <w:noProof/>
              </w:rPr>
              <w:t>T4</w:t>
            </w:r>
          </w:p>
        </w:tc>
        <w:tc>
          <w:tcPr>
            <w:tcW w:w="7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9B658ED" w14:textId="58048F33" w:rsidR="00F53E3A" w:rsidRDefault="0036255F">
            <w:pPr>
              <w:pStyle w:val="P68B1DB1-Normal13"/>
              <w:spacing w:before="60" w:after="60"/>
              <w:jc w:val="center"/>
              <w:rPr>
                <w:noProof/>
              </w:rPr>
            </w:pPr>
            <w:r>
              <w:rPr>
                <w:noProof/>
              </w:rPr>
              <w:t>2021</w:t>
            </w:r>
          </w:p>
        </w:tc>
        <w:tc>
          <w:tcPr>
            <w:tcW w:w="344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37E3963" w14:textId="278D27A1" w:rsidR="00F53E3A" w:rsidRDefault="0036255F">
            <w:pPr>
              <w:pStyle w:val="P68B1DB1-Normal13"/>
              <w:spacing w:before="60" w:after="60"/>
              <w:jc w:val="both"/>
              <w:textAlignment w:val="baseline"/>
              <w:rPr>
                <w:noProof/>
              </w:rPr>
            </w:pPr>
            <w:r>
              <w:rPr>
                <w:noProof/>
              </w:rPr>
              <w:t>Pentru a asigura nivelul consumului de gaz biometan în sectorul transporturilor, se instituie o platformă informatică adecvată pentru înregistrarea cantităților de gaz biometan și de alți combustibili din surse regenerabile furnizate sectorului transporturilor și a certificatelor acordate producătorilor pentru care gazul rezultat se utilizează în vederea îndeplinirii obligațiilor privind combustibilii.</w:t>
            </w:r>
          </w:p>
        </w:tc>
      </w:tr>
      <w:tr w:rsidR="00F53E3A" w14:paraId="7D218992" w14:textId="77777777" w:rsidTr="00CB74C1">
        <w:trPr>
          <w:trHeight w:val="384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DC021CD" w14:textId="6D362686" w:rsidR="00F53E3A" w:rsidRDefault="0036255F">
            <w:pPr>
              <w:pStyle w:val="P68B1DB1-Normal13"/>
              <w:spacing w:before="60" w:after="60"/>
              <w:jc w:val="center"/>
              <w:rPr>
                <w:noProof/>
              </w:rPr>
            </w:pPr>
            <w:r>
              <w:rPr>
                <w:noProof/>
              </w:rPr>
              <w:t>45</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DDBB4B" w14:textId="57CD1334" w:rsidR="00F53E3A" w:rsidRDefault="0036255F">
            <w:pPr>
              <w:pStyle w:val="P68B1DB1-Normal13"/>
              <w:spacing w:before="60" w:after="60"/>
              <w:rPr>
                <w:noProof/>
              </w:rPr>
            </w:pPr>
            <w:r>
              <w:rPr>
                <w:noProof/>
              </w:rPr>
              <w:t>B.1.2 Deplasarea fără poluarea mediului – B.1.2.4. Sprijin pentru sectorul combustibililor din surse regenerabile</w:t>
            </w:r>
            <w:r>
              <w:rPr>
                <w:noProof/>
                <w:u w:val="single"/>
              </w:rPr>
              <w:t xml:space="preserve"> </w:t>
            </w:r>
            <w:r>
              <w:rPr>
                <w:noProof/>
              </w:rPr>
              <w:t>(gaz biometan, biocombustibili lichizi de a doua generație pentru transporturi și hidrogen din surse regenerabile)</w:t>
            </w:r>
          </w:p>
        </w:tc>
        <w:tc>
          <w:tcPr>
            <w:tcW w:w="13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B6715F9" w14:textId="70F97E3A" w:rsidR="00F53E3A" w:rsidRDefault="0036255F">
            <w:pPr>
              <w:pStyle w:val="P68B1DB1-Normal13"/>
              <w:spacing w:before="60" w:after="60"/>
              <w:jc w:val="center"/>
              <w:rPr>
                <w:noProof/>
              </w:rPr>
            </w:pPr>
            <w:r>
              <w:rPr>
                <w:noProof/>
              </w:rPr>
              <w:t>Țintă</w:t>
            </w:r>
          </w:p>
        </w:tc>
        <w:tc>
          <w:tcPr>
            <w:tcW w:w="166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C2B040" w14:textId="73F7EE42" w:rsidR="00F53E3A" w:rsidRDefault="0036255F">
            <w:pPr>
              <w:pStyle w:val="P68B1DB1-Normal13"/>
              <w:spacing w:before="60" w:after="60"/>
              <w:textAlignment w:val="baseline"/>
              <w:rPr>
                <w:noProof/>
              </w:rPr>
            </w:pPr>
            <w:r>
              <w:rPr>
                <w:noProof/>
              </w:rPr>
              <w:t>Noi instalații de producere a biometanului, a gazului și a hidrogenului din surse regenerabile</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3F042F8" w14:textId="7C00C26B" w:rsidR="00F53E3A" w:rsidRDefault="00F53E3A">
            <w:pPr>
              <w:spacing w:before="60" w:after="60"/>
              <w:textAlignment w:val="baseline"/>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345F503" w14:textId="442F7270" w:rsidR="00F53E3A" w:rsidRDefault="0036255F">
            <w:pPr>
              <w:pStyle w:val="P68B1DB1-Normal13"/>
              <w:spacing w:before="60" w:after="60"/>
              <w:jc w:val="center"/>
              <w:rPr>
                <w:noProof/>
              </w:rPr>
            </w:pPr>
            <w:r>
              <w:rPr>
                <w:noProof/>
              </w:rPr>
              <w:t>MW</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DD57AE2" w14:textId="6B461E5B" w:rsidR="00F53E3A" w:rsidRDefault="0036255F">
            <w:pPr>
              <w:pStyle w:val="P68B1DB1-Normal13"/>
              <w:spacing w:before="60" w:after="60"/>
              <w:jc w:val="center"/>
              <w:rPr>
                <w:noProof/>
              </w:rPr>
            </w:pPr>
            <w:r>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1D8279C" w14:textId="4BB4FEC9" w:rsidR="00F53E3A" w:rsidRDefault="0036255F">
            <w:pPr>
              <w:pStyle w:val="P68B1DB1-Normal13"/>
              <w:spacing w:before="60" w:after="60"/>
              <w:jc w:val="center"/>
              <w:rPr>
                <w:noProof/>
              </w:rPr>
            </w:pPr>
            <w:r>
              <w:rPr>
                <w:noProof/>
              </w:rPr>
              <w:t>21.84</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C748103" w14:textId="4E46018C" w:rsidR="00F53E3A" w:rsidRDefault="00DB2EC5">
            <w:pPr>
              <w:pStyle w:val="P68B1DB1-Normal13"/>
              <w:spacing w:before="60" w:after="60"/>
              <w:jc w:val="center"/>
              <w:rPr>
                <w:noProof/>
              </w:rPr>
            </w:pPr>
            <w:r>
              <w:rPr>
                <w:noProof/>
              </w:rPr>
              <w:t>T2</w:t>
            </w:r>
          </w:p>
        </w:tc>
        <w:tc>
          <w:tcPr>
            <w:tcW w:w="7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C8614CC" w14:textId="165A3194" w:rsidR="00F53E3A" w:rsidRDefault="0036255F">
            <w:pPr>
              <w:pStyle w:val="P68B1DB1-Normal13"/>
              <w:spacing w:before="60" w:after="60"/>
              <w:jc w:val="center"/>
              <w:rPr>
                <w:noProof/>
              </w:rPr>
            </w:pPr>
            <w:r>
              <w:rPr>
                <w:noProof/>
              </w:rPr>
              <w:t>2026</w:t>
            </w:r>
          </w:p>
        </w:tc>
        <w:tc>
          <w:tcPr>
            <w:tcW w:w="344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ED8C59B" w14:textId="41B06EEF" w:rsidR="00F53E3A" w:rsidRDefault="0036255F">
            <w:pPr>
              <w:pStyle w:val="P68B1DB1-Normal13"/>
              <w:spacing w:before="60" w:after="60"/>
              <w:jc w:val="both"/>
              <w:textAlignment w:val="baseline"/>
              <w:rPr>
                <w:noProof/>
              </w:rPr>
            </w:pPr>
            <w:r>
              <w:rPr>
                <w:noProof/>
              </w:rPr>
              <w:t>Se instalează sau se construiesc două noi instalații de producere a biometanului gazos și se construiesc și se conectează la rețeaua de gaze naturale două noi instalații de producere a biometanului gazos, cu o capacitate combinată de 17,84 MW. În plus, se instalează și se conectează la rețeaua de energie electrică instalații de producere a hidrogenului din surse regenerabile cu o capacitate de 4 MW.</w:t>
            </w:r>
          </w:p>
        </w:tc>
      </w:tr>
      <w:tr w:rsidR="00F53E3A" w14:paraId="7648BB18" w14:textId="77777777" w:rsidTr="00CB74C1">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C482334" w14:textId="763C740B" w:rsidR="00F53E3A" w:rsidRDefault="0036255F">
            <w:pPr>
              <w:pStyle w:val="P68B1DB1-Normal13"/>
              <w:spacing w:before="60" w:after="60"/>
              <w:jc w:val="center"/>
              <w:rPr>
                <w:noProof/>
              </w:rPr>
            </w:pPr>
            <w:r>
              <w:rPr>
                <w:noProof/>
              </w:rPr>
              <w:t>46</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67B6EC3" w14:textId="27ADB667" w:rsidR="00F53E3A" w:rsidRDefault="0036255F">
            <w:pPr>
              <w:pStyle w:val="P68B1DB1-Normal13"/>
              <w:spacing w:before="60" w:after="60"/>
              <w:rPr>
                <w:noProof/>
              </w:rPr>
            </w:pPr>
            <w:r>
              <w:rPr>
                <w:noProof/>
              </w:rPr>
              <w:t>B.1.2 Deplasarea fără poluarea mediului – B.1.2.4. Sprijin pentru sectorul combustibililor din surse regenerabile</w:t>
            </w:r>
            <w:r>
              <w:rPr>
                <w:noProof/>
                <w:u w:val="single"/>
              </w:rPr>
              <w:t xml:space="preserve"> </w:t>
            </w:r>
            <w:r>
              <w:rPr>
                <w:noProof/>
              </w:rPr>
              <w:t>(gaz biometan, biocombustibili lichizi de a doua generație pentru transporturi și hidrogen din surse regenerabile)</w:t>
            </w:r>
          </w:p>
        </w:tc>
        <w:tc>
          <w:tcPr>
            <w:tcW w:w="13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85505C1" w14:textId="5B8C7F03" w:rsidR="00F53E3A" w:rsidRDefault="0036255F">
            <w:pPr>
              <w:pStyle w:val="P68B1DB1-Normal13"/>
              <w:spacing w:before="60" w:after="60"/>
              <w:jc w:val="center"/>
              <w:rPr>
                <w:noProof/>
              </w:rPr>
            </w:pPr>
            <w:r>
              <w:rPr>
                <w:noProof/>
              </w:rPr>
              <w:t>Țintă</w:t>
            </w:r>
          </w:p>
        </w:tc>
        <w:tc>
          <w:tcPr>
            <w:tcW w:w="166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0CAB1ED" w14:textId="18F24C48" w:rsidR="00F53E3A" w:rsidRDefault="0036255F">
            <w:pPr>
              <w:pStyle w:val="P68B1DB1-Normal13"/>
              <w:spacing w:before="60" w:after="60"/>
              <w:textAlignment w:val="baseline"/>
              <w:rPr>
                <w:noProof/>
              </w:rPr>
            </w:pPr>
            <w:r>
              <w:rPr>
                <w:noProof/>
              </w:rPr>
              <w:t>Echipamente pentru producția de biocombustibili lichizi de a doua generație</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18B1C2" w14:textId="075B34A2" w:rsidR="00F53E3A" w:rsidRDefault="00F53E3A">
            <w:pPr>
              <w:spacing w:before="60" w:after="60"/>
              <w:textAlignment w:val="baseline"/>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D681F17" w14:textId="6C5C6FAA" w:rsidR="00F53E3A" w:rsidRDefault="0036255F">
            <w:pPr>
              <w:pStyle w:val="P68B1DB1-Normal13"/>
              <w:spacing w:before="60" w:after="60"/>
              <w:jc w:val="center"/>
              <w:rPr>
                <w:noProof/>
              </w:rPr>
            </w:pPr>
            <w:r>
              <w:rPr>
                <w:noProof/>
              </w:rPr>
              <w:t>Număr</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E7D975D" w14:textId="41B3E9F4" w:rsidR="00F53E3A" w:rsidRDefault="0036255F">
            <w:pPr>
              <w:pStyle w:val="P68B1DB1-Normal13"/>
              <w:spacing w:before="60" w:after="60"/>
              <w:jc w:val="center"/>
              <w:rPr>
                <w:noProof/>
              </w:rPr>
            </w:pPr>
            <w:r>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32494BE" w14:textId="3134BD00" w:rsidR="00F53E3A" w:rsidRDefault="0036255F">
            <w:pPr>
              <w:pStyle w:val="P68B1DB1-Normal13"/>
              <w:spacing w:before="60" w:after="60"/>
              <w:jc w:val="center"/>
              <w:rPr>
                <w:noProof/>
              </w:rPr>
            </w:pPr>
            <w:r>
              <w:rPr>
                <w:noProof/>
              </w:rPr>
              <w:t>3</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D6AFB37" w14:textId="60E7D751" w:rsidR="00F53E3A" w:rsidRDefault="00DB2EC5">
            <w:pPr>
              <w:pStyle w:val="P68B1DB1-Normal13"/>
              <w:spacing w:before="60" w:after="60"/>
              <w:jc w:val="center"/>
              <w:rPr>
                <w:noProof/>
              </w:rPr>
            </w:pPr>
            <w:r>
              <w:rPr>
                <w:noProof/>
              </w:rPr>
              <w:t>T2</w:t>
            </w:r>
          </w:p>
        </w:tc>
        <w:tc>
          <w:tcPr>
            <w:tcW w:w="7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C343DAE" w14:textId="291D27A9" w:rsidR="00F53E3A" w:rsidRDefault="0036255F">
            <w:pPr>
              <w:pStyle w:val="P68B1DB1-Normal13"/>
              <w:spacing w:before="60" w:after="60"/>
              <w:jc w:val="center"/>
              <w:rPr>
                <w:noProof/>
              </w:rPr>
            </w:pPr>
            <w:r>
              <w:rPr>
                <w:noProof/>
              </w:rPr>
              <w:t>2026</w:t>
            </w:r>
          </w:p>
        </w:tc>
        <w:tc>
          <w:tcPr>
            <w:tcW w:w="344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B2F07BE" w14:textId="22652420" w:rsidR="00F53E3A" w:rsidRDefault="0036255F">
            <w:pPr>
              <w:pStyle w:val="P68B1DB1-Normal13"/>
              <w:spacing w:before="60" w:after="60"/>
              <w:jc w:val="both"/>
              <w:textAlignment w:val="baseline"/>
              <w:rPr>
                <w:noProof/>
              </w:rPr>
            </w:pPr>
            <w:r>
              <w:rPr>
                <w:noProof/>
              </w:rPr>
              <w:t>Echipamente livrate și instalate sau construite în trei instalații pentru producția de biocombustibili lichizi de a doua generație.</w:t>
            </w:r>
          </w:p>
        </w:tc>
      </w:tr>
      <w:tr w:rsidR="00F53E3A" w14:paraId="36F2AAD5" w14:textId="77777777" w:rsidTr="00CB74C1">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F12AE53" w14:textId="0373E7BA" w:rsidR="00F53E3A" w:rsidRDefault="0036255F">
            <w:pPr>
              <w:pStyle w:val="P68B1DB1-Normal13"/>
              <w:spacing w:before="60" w:after="60"/>
              <w:jc w:val="center"/>
              <w:rPr>
                <w:noProof/>
              </w:rPr>
            </w:pPr>
            <w:r>
              <w:rPr>
                <w:noProof/>
              </w:rPr>
              <w:t>48</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B68936" w14:textId="7014B06A" w:rsidR="00F53E3A" w:rsidRDefault="0036255F">
            <w:pPr>
              <w:pStyle w:val="P68B1DB1-Normal13"/>
              <w:spacing w:before="60" w:after="60"/>
              <w:rPr>
                <w:noProof/>
              </w:rPr>
            </w:pPr>
            <w:r>
              <w:rPr>
                <w:noProof/>
              </w:rPr>
              <w:t>B.1.3 Accelerarea renovării clădirilor și un mediu urban durabil – B.1.3.1. Actualizarea pachetelor și standardelor de renovare a clădirilor și crearea unei metodologii pentru dezvoltarea orașelor durabile</w:t>
            </w:r>
          </w:p>
        </w:tc>
        <w:tc>
          <w:tcPr>
            <w:tcW w:w="13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7BA9509" w14:textId="2048D71A" w:rsidR="00F53E3A" w:rsidRDefault="0036255F">
            <w:pPr>
              <w:pStyle w:val="P68B1DB1-Normal13"/>
              <w:spacing w:before="60" w:after="60"/>
              <w:jc w:val="center"/>
              <w:rPr>
                <w:noProof/>
              </w:rPr>
            </w:pPr>
            <w:r>
              <w:rPr>
                <w:noProof/>
              </w:rPr>
              <w:t>Etapă</w:t>
            </w:r>
          </w:p>
        </w:tc>
        <w:tc>
          <w:tcPr>
            <w:tcW w:w="166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784D14" w14:textId="2570BD5D" w:rsidR="00F53E3A" w:rsidRDefault="0036255F">
            <w:pPr>
              <w:pStyle w:val="P68B1DB1-Normal13"/>
              <w:spacing w:before="60" w:after="60"/>
              <w:textAlignment w:val="baseline"/>
              <w:rPr>
                <w:rFonts w:cs="Segoe UI"/>
                <w:noProof/>
              </w:rPr>
            </w:pPr>
            <w:r>
              <w:rPr>
                <w:noProof/>
              </w:rPr>
              <w:t>Intrarea în vigoare a următoarelor acte legislative:</w:t>
            </w:r>
          </w:p>
          <w:p w14:paraId="2B31C1C6" w14:textId="036525C5" w:rsidR="00F53E3A" w:rsidRDefault="0036255F">
            <w:pPr>
              <w:pStyle w:val="P68B1DB1-Normal13"/>
              <w:spacing w:before="60" w:after="60"/>
              <w:textAlignment w:val="baseline"/>
              <w:rPr>
                <w:rFonts w:cs="Segoe UI"/>
                <w:noProof/>
              </w:rPr>
            </w:pPr>
            <w:r>
              <w:rPr>
                <w:noProof/>
              </w:rPr>
              <w:t>a) Planul de punere în aplicare a Strategiei pe termen lung de renovare a clădirilor</w:t>
            </w:r>
          </w:p>
          <w:p w14:paraId="2EE383AD" w14:textId="606806BB" w:rsidR="00F53E3A" w:rsidRDefault="0036255F">
            <w:pPr>
              <w:pStyle w:val="P68B1DB1-Normal13"/>
              <w:spacing w:before="60" w:after="60"/>
              <w:textAlignment w:val="baseline"/>
              <w:rPr>
                <w:rFonts w:cs="Segoe UI"/>
                <w:noProof/>
              </w:rPr>
            </w:pPr>
            <w:r>
              <w:rPr>
                <w:noProof/>
              </w:rPr>
              <w:t>b) Modificarea Regulamentului tehnic de construcție „Proiectarea și certificarea performanței energetice a clădirilor”, aprobat prin Ordinul nr. D2016-11 al ministrului mediului nr. 11-1-754</w:t>
            </w:r>
          </w:p>
          <w:p w14:paraId="693F46E8" w14:textId="11D72E98" w:rsidR="00F53E3A" w:rsidRDefault="0036255F">
            <w:pPr>
              <w:pStyle w:val="P68B1DB1-Normal13"/>
              <w:spacing w:before="60" w:after="60"/>
              <w:textAlignment w:val="baseline"/>
              <w:rPr>
                <w:rFonts w:cs="Segoe UI"/>
                <w:noProof/>
              </w:rPr>
            </w:pPr>
            <w:r>
              <w:rPr>
                <w:noProof/>
              </w:rPr>
              <w:t>c) Orientări pentru dezvoltare urbană durabilă aprobate prin ordin al ministrului mediului</w:t>
            </w:r>
          </w:p>
          <w:p w14:paraId="7BF471DA" w14:textId="07233DF6" w:rsidR="00F53E3A" w:rsidRDefault="0036255F">
            <w:pPr>
              <w:pStyle w:val="P68B1DB1-Normal13"/>
              <w:spacing w:before="60" w:after="60"/>
              <w:textAlignment w:val="baseline"/>
              <w:rPr>
                <w:noProof/>
              </w:rPr>
            </w:pPr>
            <w:r>
              <w:rPr>
                <w:noProof/>
              </w:rPr>
              <w:t>d) Modificarea Regulamentului tehnic de construcție CTR 2.05.07: 2005 „Proiectarea structurilor din lemn”, aprobat prin Ordinul nr. D2005-02 al ministrului mediului nr. 10-1-79</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BC0B480" w14:textId="6E0CB771" w:rsidR="00F53E3A" w:rsidRDefault="0036255F">
            <w:pPr>
              <w:pStyle w:val="P68B1DB1-Normal13"/>
              <w:spacing w:before="60" w:after="60"/>
              <w:textAlignment w:val="baseline"/>
              <w:rPr>
                <w:noProof/>
              </w:rPr>
            </w:pPr>
            <w:r>
              <w:rPr>
                <w:noProof/>
              </w:rPr>
              <w:t>Legislația a intrat în vigoare</w:t>
            </w: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AD97986" w14:textId="78E66947" w:rsidR="00F53E3A" w:rsidRDefault="00F53E3A">
            <w:pPr>
              <w:spacing w:before="60" w:after="60"/>
              <w:jc w:val="center"/>
              <w:rPr>
                <w:rFonts w:ascii="Times New Roman" w:eastAsia="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4180097" w14:textId="3A61B31E" w:rsidR="00F53E3A" w:rsidRDefault="00F53E3A">
            <w:pPr>
              <w:spacing w:before="60" w:after="60"/>
              <w:jc w:val="center"/>
              <w:rPr>
                <w:rFonts w:ascii="Times New Roman" w:eastAsia="Times New Roman" w:hAnsi="Times New Roman" w:cs="Times New Roman"/>
                <w:noProof/>
                <w:sz w:val="20"/>
              </w:rPr>
            </w:pPr>
          </w:p>
        </w:tc>
        <w:tc>
          <w:tcPr>
            <w:tcW w:w="87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7DB84D0" w14:textId="51215625" w:rsidR="00F53E3A" w:rsidRDefault="00F53E3A">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B82DEE1" w14:textId="7AA6605B" w:rsidR="00F53E3A" w:rsidRDefault="00DB2EC5">
            <w:pPr>
              <w:pStyle w:val="P68B1DB1-Normal13"/>
              <w:spacing w:before="60" w:after="60"/>
              <w:jc w:val="center"/>
              <w:rPr>
                <w:noProof/>
              </w:rPr>
            </w:pPr>
            <w:r>
              <w:rPr>
                <w:noProof/>
              </w:rPr>
              <w:t>T4</w:t>
            </w:r>
          </w:p>
        </w:tc>
        <w:tc>
          <w:tcPr>
            <w:tcW w:w="7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AD23DF" w14:textId="28854F44" w:rsidR="00F53E3A" w:rsidRDefault="0036255F">
            <w:pPr>
              <w:pStyle w:val="P68B1DB1-Normal13"/>
              <w:spacing w:before="60" w:after="60"/>
              <w:jc w:val="center"/>
              <w:rPr>
                <w:noProof/>
              </w:rPr>
            </w:pPr>
            <w:r>
              <w:rPr>
                <w:noProof/>
              </w:rPr>
              <w:t>2023</w:t>
            </w:r>
          </w:p>
        </w:tc>
        <w:tc>
          <w:tcPr>
            <w:tcW w:w="344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D1C9DC7" w14:textId="07CCD3C5" w:rsidR="00F53E3A" w:rsidRDefault="0036255F">
            <w:pPr>
              <w:pStyle w:val="P68B1DB1-Normal13"/>
              <w:spacing w:before="60" w:after="60"/>
              <w:jc w:val="both"/>
              <w:textAlignment w:val="baseline"/>
              <w:rPr>
                <w:rFonts w:cs="Segoe UI"/>
                <w:noProof/>
              </w:rPr>
            </w:pPr>
            <w:r>
              <w:rPr>
                <w:noProof/>
              </w:rPr>
              <w:t>Au fost aprobate și au intrat în vigoare următoarele acte normative:</w:t>
            </w:r>
          </w:p>
          <w:p w14:paraId="597B5910" w14:textId="69E1E4C0" w:rsidR="00F53E3A" w:rsidRDefault="0036255F">
            <w:pPr>
              <w:pStyle w:val="P68B1DB1-Normal13"/>
              <w:spacing w:before="60" w:after="60"/>
              <w:jc w:val="both"/>
              <w:textAlignment w:val="baseline"/>
              <w:rPr>
                <w:rFonts w:cs="Segoe UI"/>
                <w:noProof/>
              </w:rPr>
            </w:pPr>
            <w:r>
              <w:rPr>
                <w:noProof/>
              </w:rPr>
              <w:t>1. Planul de punere în aplicare a strategiei de renovare a clădirilor pe termen lung, care prevede:</w:t>
            </w:r>
          </w:p>
          <w:p w14:paraId="6DEACD14" w14:textId="5DC5AC05" w:rsidR="00F53E3A" w:rsidRDefault="0036255F">
            <w:pPr>
              <w:pStyle w:val="P68B1DB1-Normal13"/>
              <w:spacing w:before="60" w:after="60"/>
              <w:jc w:val="both"/>
              <w:textAlignment w:val="baseline"/>
              <w:rPr>
                <w:rFonts w:cs="Segoe UI"/>
                <w:noProof/>
              </w:rPr>
            </w:pPr>
            <w:r>
              <w:rPr>
                <w:noProof/>
              </w:rPr>
              <w:t>1.1. un plan legislativ de accelerare a conversiei siturilor rezidențiale, de formalizare a utilizării tehnicilor de modelare a informațiilor privind clădirile (BIM), precum și de evaluare a posibilelor modele de conversie, reconstrucție sau renovare a clădirilor existente;</w:t>
            </w:r>
          </w:p>
          <w:p w14:paraId="658892DC" w14:textId="52895F01" w:rsidR="00F53E3A" w:rsidRDefault="0036255F">
            <w:pPr>
              <w:pStyle w:val="P68B1DB1-Normal13"/>
              <w:spacing w:before="60" w:after="60"/>
              <w:jc w:val="both"/>
              <w:textAlignment w:val="baseline"/>
              <w:rPr>
                <w:rFonts w:cs="Segoe UI"/>
                <w:noProof/>
              </w:rPr>
            </w:pPr>
            <w:r>
              <w:rPr>
                <w:noProof/>
              </w:rPr>
              <w:t>1.2. recomandări pentru pregătirea proiectelor trimestriale de renovare.</w:t>
            </w:r>
          </w:p>
          <w:p w14:paraId="477F7876" w14:textId="608668C1" w:rsidR="00F53E3A" w:rsidRDefault="0036255F">
            <w:pPr>
              <w:pStyle w:val="P68B1DB1-Normal13"/>
              <w:spacing w:before="60" w:after="60"/>
              <w:jc w:val="both"/>
              <w:textAlignment w:val="baseline"/>
              <w:rPr>
                <w:rFonts w:cs="Segoe UI"/>
                <w:noProof/>
              </w:rPr>
            </w:pPr>
            <w:r>
              <w:rPr>
                <w:noProof/>
              </w:rPr>
              <w:t>2. Regulamentul tehnic de construcție modificat „Proiectarea și certificarea performanței energetice a clădirilor”, aprobat la 2016-11-11 prin Ordinul nr. D1-754 al ministrului mediului, care legitimează clasa de performanță energetică a clădirii renovate, cel puțin B.</w:t>
            </w:r>
          </w:p>
          <w:p w14:paraId="43DA7466" w14:textId="5C88CCE0" w:rsidR="00F53E3A" w:rsidRDefault="0036255F">
            <w:pPr>
              <w:pStyle w:val="P68B1DB1-Normal13"/>
              <w:spacing w:before="60" w:after="60"/>
              <w:jc w:val="both"/>
              <w:textAlignment w:val="baseline"/>
              <w:rPr>
                <w:rFonts w:cs="Segoe UI"/>
                <w:noProof/>
              </w:rPr>
            </w:pPr>
            <w:r>
              <w:rPr>
                <w:noProof/>
              </w:rPr>
              <w:t>3. Orientări pentru dezvoltarea urbană durabilă, care stabilesc indicatorii pentru orașele durabile și metodologia de calculare a acestora.</w:t>
            </w:r>
          </w:p>
          <w:p w14:paraId="2B45FC74" w14:textId="3D4A6771" w:rsidR="00F53E3A" w:rsidRDefault="0036255F">
            <w:pPr>
              <w:pStyle w:val="P68B1DB1-Normal13"/>
              <w:spacing w:before="60" w:after="60"/>
              <w:jc w:val="both"/>
              <w:textAlignment w:val="baseline"/>
              <w:rPr>
                <w:noProof/>
              </w:rPr>
            </w:pPr>
            <w:r>
              <w:rPr>
                <w:noProof/>
              </w:rPr>
              <w:t>4. Modificarea Regulamentului tehnic privind construcțiile CTR 2.05.07: 2005 „Proiectarea structurilor din lemn”, aprobat prin Ordinul nr. D2005-02 al ministrului mediului nr. 10-1, care extinde utilizarea produselor din lemn pentru construcții în clădirile multifuncționale.</w:t>
            </w:r>
          </w:p>
        </w:tc>
      </w:tr>
      <w:tr w:rsidR="00F53E3A" w14:paraId="7ED8ED81" w14:textId="77777777" w:rsidTr="00CB74C1">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19DFE23" w14:textId="6A6F1EC2" w:rsidR="00F53E3A" w:rsidRDefault="0036255F">
            <w:pPr>
              <w:pStyle w:val="P68B1DB1-Normal13"/>
              <w:spacing w:before="60" w:after="60"/>
              <w:jc w:val="center"/>
              <w:rPr>
                <w:noProof/>
              </w:rPr>
            </w:pPr>
            <w:r>
              <w:rPr>
                <w:noProof/>
              </w:rPr>
              <w:t>50</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52B4F0A" w14:textId="43FBE7F8" w:rsidR="00F53E3A" w:rsidRDefault="0036255F">
            <w:pPr>
              <w:pStyle w:val="P68B1DB1-Normal13"/>
              <w:spacing w:before="60" w:after="60"/>
              <w:rPr>
                <w:noProof/>
              </w:rPr>
            </w:pPr>
            <w:r>
              <w:rPr>
                <w:noProof/>
              </w:rPr>
              <w:t>B.1.3 Accelerarea renovării clădirilor și un mediu urban durabil – B.1.3.2. Instrumente de facilitare a coordonării renovării clădirilor și a asistenței tehnice</w:t>
            </w:r>
          </w:p>
        </w:tc>
        <w:tc>
          <w:tcPr>
            <w:tcW w:w="13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9843A08" w14:textId="31FEF9B9" w:rsidR="00F53E3A" w:rsidRDefault="0036255F">
            <w:pPr>
              <w:pStyle w:val="P68B1DB1-Normal13"/>
              <w:spacing w:before="60" w:after="60"/>
              <w:jc w:val="center"/>
              <w:rPr>
                <w:noProof/>
              </w:rPr>
            </w:pPr>
            <w:r>
              <w:rPr>
                <w:noProof/>
              </w:rPr>
              <w:t>Etapă</w:t>
            </w:r>
          </w:p>
        </w:tc>
        <w:tc>
          <w:tcPr>
            <w:tcW w:w="166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0B30114" w14:textId="1DBF05E0" w:rsidR="00F53E3A" w:rsidRDefault="0036255F">
            <w:pPr>
              <w:pStyle w:val="P68B1DB1-Normal13"/>
              <w:spacing w:before="60" w:after="60"/>
              <w:textAlignment w:val="baseline"/>
              <w:rPr>
                <w:noProof/>
              </w:rPr>
            </w:pPr>
            <w:r>
              <w:rPr>
                <w:noProof/>
              </w:rPr>
              <w:t>Este înființat și operațional Centrul de competențe pentru renovarea clădirilor</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E3D0A45" w14:textId="445129C8" w:rsidR="00F53E3A" w:rsidRDefault="0036255F">
            <w:pPr>
              <w:pStyle w:val="P68B1DB1-Normal13"/>
              <w:spacing w:before="60" w:after="60"/>
              <w:textAlignment w:val="baseline"/>
              <w:rPr>
                <w:noProof/>
              </w:rPr>
            </w:pPr>
            <w:r>
              <w:rPr>
                <w:noProof/>
              </w:rPr>
              <w:t>Legislația a intrat în vigoare</w:t>
            </w: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BFE723" w14:textId="78BCBB77" w:rsidR="00F53E3A" w:rsidRDefault="00F53E3A">
            <w:pPr>
              <w:spacing w:before="60" w:after="60"/>
              <w:jc w:val="center"/>
              <w:rPr>
                <w:rFonts w:ascii="Times New Roman" w:eastAsia="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B1308A5" w14:textId="7B70ADF3" w:rsidR="00F53E3A" w:rsidRDefault="00F53E3A">
            <w:pPr>
              <w:spacing w:before="60" w:after="60"/>
              <w:jc w:val="center"/>
              <w:rPr>
                <w:rFonts w:ascii="Times New Roman" w:eastAsia="Times New Roman" w:hAnsi="Times New Roman" w:cs="Times New Roman"/>
                <w:noProof/>
                <w:sz w:val="20"/>
              </w:rPr>
            </w:pPr>
          </w:p>
        </w:tc>
        <w:tc>
          <w:tcPr>
            <w:tcW w:w="87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43FA777" w14:textId="2CCE4EDF" w:rsidR="00F53E3A" w:rsidRDefault="00F53E3A">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9084E15" w14:textId="25B19E8B" w:rsidR="00F53E3A" w:rsidRDefault="00DB2EC5">
            <w:pPr>
              <w:pStyle w:val="P68B1DB1-Normal13"/>
              <w:spacing w:before="60" w:after="60"/>
              <w:jc w:val="center"/>
              <w:rPr>
                <w:noProof/>
              </w:rPr>
            </w:pPr>
            <w:r>
              <w:rPr>
                <w:noProof/>
              </w:rPr>
              <w:t>T4</w:t>
            </w:r>
          </w:p>
        </w:tc>
        <w:tc>
          <w:tcPr>
            <w:tcW w:w="7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EA84AE8" w14:textId="053016B4" w:rsidR="00F53E3A" w:rsidRDefault="0036255F">
            <w:pPr>
              <w:pStyle w:val="P68B1DB1-Normal13"/>
              <w:spacing w:before="60" w:after="60"/>
              <w:jc w:val="center"/>
              <w:rPr>
                <w:noProof/>
              </w:rPr>
            </w:pPr>
            <w:r>
              <w:rPr>
                <w:noProof/>
              </w:rPr>
              <w:t>2022</w:t>
            </w:r>
          </w:p>
        </w:tc>
        <w:tc>
          <w:tcPr>
            <w:tcW w:w="344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9F645E" w14:textId="598C2A66" w:rsidR="00F53E3A" w:rsidRDefault="0036255F">
            <w:pPr>
              <w:pStyle w:val="P68B1DB1-Normal13"/>
              <w:spacing w:before="60" w:after="60"/>
              <w:jc w:val="both"/>
              <w:textAlignment w:val="baseline"/>
              <w:rPr>
                <w:rFonts w:cs="Segoe UI"/>
                <w:noProof/>
              </w:rPr>
            </w:pPr>
            <w:r>
              <w:rPr>
                <w:noProof/>
              </w:rPr>
              <w:t>1. Statutul Agenției de Management al Proiectelor de Mediu care stabilește funcțiile de administrare a programului de renovare a clădirilor cu mai multe apartamente (modernizare), precum și administrarea finanțării din diverse surse, astfel cum este efectuată în prezent de Agenția pentru Eficiența Energetică a Locuințelor, modificat prin Ordinul ministrului mediului adoptat și intrat în vigoare.</w:t>
            </w:r>
          </w:p>
          <w:p w14:paraId="694E6080" w14:textId="5C76F95B" w:rsidR="00F53E3A" w:rsidRDefault="0036255F">
            <w:pPr>
              <w:pStyle w:val="P68B1DB1-Normal13"/>
              <w:spacing w:before="60" w:after="60"/>
              <w:jc w:val="both"/>
              <w:textAlignment w:val="baseline"/>
              <w:rPr>
                <w:noProof/>
              </w:rPr>
            </w:pPr>
            <w:r>
              <w:rPr>
                <w:noProof/>
              </w:rPr>
              <w:t>2. Ghișeul unic al Centrului de competențe pentru renovarea clădirilor (unitatea EPMA) (50 % din posturile vacante din cadrul Centrului de competențe sunt ocupate) este operațional.</w:t>
            </w:r>
          </w:p>
        </w:tc>
      </w:tr>
      <w:tr w:rsidR="00F53E3A" w14:paraId="113CACF1" w14:textId="77777777" w:rsidTr="00CB74C1">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1802C36" w14:textId="5B49054D" w:rsidR="00F53E3A" w:rsidRDefault="0036255F">
            <w:pPr>
              <w:pStyle w:val="P68B1DB1-Normal13"/>
              <w:spacing w:before="60" w:after="60"/>
              <w:jc w:val="center"/>
              <w:rPr>
                <w:noProof/>
              </w:rPr>
            </w:pPr>
            <w:r>
              <w:rPr>
                <w:noProof/>
              </w:rPr>
              <w:t>51</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2CFB04" w14:textId="1B5D54BC" w:rsidR="00F53E3A" w:rsidRDefault="0036255F">
            <w:pPr>
              <w:pStyle w:val="P68B1DB1-Normal13"/>
              <w:spacing w:before="60" w:after="60"/>
              <w:rPr>
                <w:noProof/>
              </w:rPr>
            </w:pPr>
            <w:r>
              <w:rPr>
                <w:noProof/>
              </w:rPr>
              <w:t>B.1.3 Accelerarea renovării clădirilor și un mediu urban durabil – B.1.3.2. Instrumente de facilitare a coordonării renovării clădirilor și a asistenței tehnice</w:t>
            </w:r>
          </w:p>
        </w:tc>
        <w:tc>
          <w:tcPr>
            <w:tcW w:w="13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1A6BBC5" w14:textId="66886A24" w:rsidR="00F53E3A" w:rsidRDefault="0036255F">
            <w:pPr>
              <w:pStyle w:val="P68B1DB1-Normal13"/>
              <w:spacing w:before="60" w:after="60"/>
              <w:jc w:val="center"/>
              <w:rPr>
                <w:noProof/>
              </w:rPr>
            </w:pPr>
            <w:r>
              <w:rPr>
                <w:noProof/>
              </w:rPr>
              <w:t>Țintă</w:t>
            </w:r>
          </w:p>
        </w:tc>
        <w:tc>
          <w:tcPr>
            <w:tcW w:w="166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47E3CF3" w14:textId="3AF13982" w:rsidR="00F53E3A" w:rsidRDefault="0036255F">
            <w:pPr>
              <w:pStyle w:val="P68B1DB1-Normal13"/>
              <w:spacing w:before="60" w:after="60"/>
              <w:textAlignment w:val="baseline"/>
              <w:rPr>
                <w:noProof/>
              </w:rPr>
            </w:pPr>
            <w:r>
              <w:rPr>
                <w:noProof/>
              </w:rPr>
              <w:t xml:space="preserve">Furnizarea de instrumente digitale legate de renovare </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9F4FB96" w14:textId="54F9EFC9" w:rsidR="00F53E3A" w:rsidRDefault="00F53E3A">
            <w:pPr>
              <w:spacing w:before="60" w:after="60"/>
              <w:textAlignment w:val="baseline"/>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6648401" w14:textId="1370D23B" w:rsidR="00F53E3A" w:rsidRDefault="0036255F">
            <w:pPr>
              <w:pStyle w:val="P68B1DB1-Normal13"/>
              <w:spacing w:before="60" w:after="60"/>
              <w:jc w:val="center"/>
              <w:rPr>
                <w:noProof/>
              </w:rPr>
            </w:pPr>
            <w:r>
              <w:rPr>
                <w:noProof/>
              </w:rPr>
              <w:t>Număr</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9290462" w14:textId="6A3DE910" w:rsidR="00F53E3A" w:rsidRDefault="0036255F">
            <w:pPr>
              <w:pStyle w:val="P68B1DB1-Normal13"/>
              <w:spacing w:before="60" w:after="60"/>
              <w:jc w:val="center"/>
              <w:rPr>
                <w:noProof/>
              </w:rPr>
            </w:pPr>
            <w:r>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59A24A0" w14:textId="6422FD87" w:rsidR="00F53E3A" w:rsidRDefault="0036255F">
            <w:pPr>
              <w:pStyle w:val="P68B1DB1-Normal13"/>
              <w:spacing w:before="60" w:after="60"/>
              <w:jc w:val="center"/>
              <w:rPr>
                <w:noProof/>
              </w:rPr>
            </w:pPr>
            <w:r>
              <w:rPr>
                <w:noProof/>
              </w:rPr>
              <w:t>3</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57C0615" w14:textId="01AF82AD" w:rsidR="00F53E3A" w:rsidRDefault="00DB2EC5">
            <w:pPr>
              <w:pStyle w:val="P68B1DB1-Normal13"/>
              <w:spacing w:before="60" w:after="60"/>
              <w:jc w:val="center"/>
              <w:rPr>
                <w:noProof/>
              </w:rPr>
            </w:pPr>
            <w:r>
              <w:rPr>
                <w:noProof/>
              </w:rPr>
              <w:t>T3</w:t>
            </w:r>
          </w:p>
        </w:tc>
        <w:tc>
          <w:tcPr>
            <w:tcW w:w="7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2024C69" w14:textId="16F3B2B3" w:rsidR="00F53E3A" w:rsidRDefault="0036255F">
            <w:pPr>
              <w:pStyle w:val="P68B1DB1-Normal13"/>
              <w:spacing w:before="60" w:after="60"/>
              <w:jc w:val="center"/>
              <w:rPr>
                <w:noProof/>
              </w:rPr>
            </w:pPr>
            <w:r>
              <w:rPr>
                <w:noProof/>
              </w:rPr>
              <w:t>2025</w:t>
            </w:r>
          </w:p>
        </w:tc>
        <w:tc>
          <w:tcPr>
            <w:tcW w:w="344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DE260CA" w14:textId="265A51B2" w:rsidR="00F53E3A" w:rsidRDefault="0036255F">
            <w:pPr>
              <w:pStyle w:val="P68B1DB1-Normal13"/>
              <w:spacing w:after="0"/>
              <w:jc w:val="both"/>
              <w:textAlignment w:val="baseline"/>
              <w:rPr>
                <w:rFonts w:cs="Segoe UI"/>
                <w:noProof/>
              </w:rPr>
            </w:pPr>
            <w:r>
              <w:rPr>
                <w:noProof/>
              </w:rPr>
              <w:t>Vor fi furnizate instrumente digitale în cadrul a două sisteme de informații, care să acopere:</w:t>
            </w:r>
          </w:p>
          <w:p w14:paraId="7B2FFA69" w14:textId="71FCEC4F" w:rsidR="00F53E3A" w:rsidRDefault="0036255F">
            <w:pPr>
              <w:pStyle w:val="P68B1DB1-Normal13"/>
              <w:spacing w:after="0"/>
              <w:jc w:val="both"/>
              <w:textAlignment w:val="baseline"/>
              <w:rPr>
                <w:noProof/>
              </w:rPr>
            </w:pPr>
            <w:r>
              <w:rPr>
                <w:noProof/>
              </w:rPr>
              <w:t>1. Instrument metodologic digital pentru pregătirea proiectelor de investiții, specificații tehnice standard pentru proiectare și lucrări contractate;</w:t>
            </w:r>
          </w:p>
          <w:p w14:paraId="5FF25DA2" w14:textId="1EAC1286" w:rsidR="00F53E3A" w:rsidRDefault="0036255F">
            <w:pPr>
              <w:pStyle w:val="P68B1DB1-Normal13"/>
              <w:spacing w:after="0"/>
              <w:jc w:val="both"/>
              <w:textAlignment w:val="baseline"/>
              <w:rPr>
                <w:noProof/>
              </w:rPr>
            </w:pPr>
            <w:r>
              <w:rPr>
                <w:noProof/>
              </w:rPr>
              <w:t>2. Instrumentul digital de administrare a proiectelor de renovare a clădirilor;</w:t>
            </w:r>
          </w:p>
          <w:p w14:paraId="0D3A50DC" w14:textId="4A4F688F" w:rsidR="00F53E3A" w:rsidRDefault="0036255F">
            <w:pPr>
              <w:pStyle w:val="P68B1DB1-Normal13"/>
              <w:spacing w:after="0"/>
              <w:jc w:val="both"/>
              <w:textAlignment w:val="baseline"/>
              <w:rPr>
                <w:noProof/>
              </w:rPr>
            </w:pPr>
            <w:r>
              <w:rPr>
                <w:noProof/>
              </w:rPr>
              <w:t>3. Banca lituaniană de date privind clădirile.</w:t>
            </w:r>
          </w:p>
        </w:tc>
      </w:tr>
      <w:tr w:rsidR="00F53E3A" w14:paraId="18F44891" w14:textId="77777777" w:rsidTr="00CB74C1">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F9DBE53" w14:textId="5DDED8ED" w:rsidR="00F53E3A" w:rsidRDefault="0036255F">
            <w:pPr>
              <w:pStyle w:val="P68B1DB1-Normal13"/>
              <w:spacing w:before="60" w:after="60"/>
              <w:jc w:val="center"/>
              <w:rPr>
                <w:noProof/>
              </w:rPr>
            </w:pPr>
            <w:r>
              <w:rPr>
                <w:noProof/>
              </w:rPr>
              <w:t>52</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9B6D4A" w14:textId="636B1388" w:rsidR="00F53E3A" w:rsidRDefault="0036255F">
            <w:pPr>
              <w:pStyle w:val="P68B1DB1-Normal13"/>
              <w:spacing w:before="60" w:after="60"/>
              <w:rPr>
                <w:noProof/>
              </w:rPr>
            </w:pPr>
            <w:r>
              <w:rPr>
                <w:noProof/>
              </w:rPr>
              <w:t>B.1.3 Accelerarea renovării clădirilor și un mediu urban durabil – B.1.3.3. Furnizarea de produse și servicii pentru construcții care accelerează renovarea clădirilor</w:t>
            </w:r>
          </w:p>
        </w:tc>
        <w:tc>
          <w:tcPr>
            <w:tcW w:w="13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2BC8262" w14:textId="0BD7C02A" w:rsidR="00F53E3A" w:rsidRDefault="0036255F">
            <w:pPr>
              <w:pStyle w:val="P68B1DB1-Normal13"/>
              <w:spacing w:before="60" w:after="60"/>
              <w:jc w:val="center"/>
              <w:rPr>
                <w:noProof/>
              </w:rPr>
            </w:pPr>
            <w:r>
              <w:rPr>
                <w:noProof/>
              </w:rPr>
              <w:t>Țintă</w:t>
            </w:r>
          </w:p>
        </w:tc>
        <w:tc>
          <w:tcPr>
            <w:tcW w:w="166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4E29C8E" w14:textId="7B1FFB12" w:rsidR="00F53E3A" w:rsidRDefault="0036255F">
            <w:pPr>
              <w:pStyle w:val="P68B1DB1-Normal13"/>
              <w:spacing w:before="60" w:after="60"/>
              <w:textAlignment w:val="baseline"/>
              <w:rPr>
                <w:noProof/>
              </w:rPr>
            </w:pPr>
            <w:r>
              <w:rPr>
                <w:noProof/>
              </w:rPr>
              <w:t>Capacitatea de producție a structurilor modulare</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49CBAD8" w14:textId="4DA9A062" w:rsidR="00F53E3A" w:rsidRDefault="00F53E3A">
            <w:pPr>
              <w:spacing w:before="60" w:after="60"/>
              <w:textAlignment w:val="baseline"/>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BB8D759" w14:textId="7F7ABE0B" w:rsidR="00F53E3A" w:rsidRDefault="0036255F">
            <w:pPr>
              <w:pStyle w:val="P68B1DB1-Normal13"/>
              <w:spacing w:before="60" w:after="60"/>
              <w:jc w:val="center"/>
              <w:rPr>
                <w:noProof/>
              </w:rPr>
            </w:pPr>
            <w:r>
              <w:rPr>
                <w:noProof/>
              </w:rPr>
              <w:t>m²/an</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D2A33DF" w14:textId="22D9A229" w:rsidR="00F53E3A" w:rsidRDefault="0036255F">
            <w:pPr>
              <w:pStyle w:val="P68B1DB1-Normal13"/>
              <w:spacing w:before="60" w:after="60"/>
              <w:jc w:val="center"/>
              <w:rPr>
                <w:noProof/>
              </w:rPr>
            </w:pPr>
            <w:r>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714B0E0" w14:textId="644E2569" w:rsidR="00F53E3A" w:rsidRDefault="0036255F">
            <w:pPr>
              <w:pStyle w:val="P68B1DB1-Normal12"/>
              <w:spacing w:before="60" w:after="60"/>
              <w:jc w:val="center"/>
              <w:rPr>
                <w:rFonts w:eastAsia="Times New Roman" w:cs="Times New Roman"/>
                <w:noProof/>
              </w:rPr>
            </w:pPr>
            <w:r>
              <w:rPr>
                <w:noProof/>
              </w:rPr>
              <w:t>273 600</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FD26A6C" w14:textId="51EEB533" w:rsidR="00F53E3A" w:rsidRDefault="00DB2EC5">
            <w:pPr>
              <w:pStyle w:val="P68B1DB1-Normal13"/>
              <w:spacing w:before="60" w:after="60"/>
              <w:jc w:val="center"/>
              <w:rPr>
                <w:noProof/>
              </w:rPr>
            </w:pPr>
            <w:r>
              <w:rPr>
                <w:noProof/>
              </w:rPr>
              <w:t>T2</w:t>
            </w:r>
          </w:p>
        </w:tc>
        <w:tc>
          <w:tcPr>
            <w:tcW w:w="7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649A48C" w14:textId="47913BBD" w:rsidR="00F53E3A" w:rsidRDefault="0036255F">
            <w:pPr>
              <w:pStyle w:val="P68B1DB1-Normal13"/>
              <w:spacing w:before="60" w:after="60"/>
              <w:jc w:val="center"/>
              <w:rPr>
                <w:noProof/>
              </w:rPr>
            </w:pPr>
            <w:r>
              <w:rPr>
                <w:noProof/>
              </w:rPr>
              <w:t>2026</w:t>
            </w:r>
          </w:p>
        </w:tc>
        <w:tc>
          <w:tcPr>
            <w:tcW w:w="344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23A7DAF" w14:textId="0A013FE1" w:rsidR="00F53E3A" w:rsidRDefault="0036255F">
            <w:pPr>
              <w:pStyle w:val="P68B1DB1-Normal12"/>
              <w:spacing w:before="60" w:after="60"/>
              <w:jc w:val="both"/>
              <w:rPr>
                <w:rFonts w:eastAsia="Times New Roman" w:cs="Times New Roman"/>
                <w:noProof/>
              </w:rPr>
            </w:pPr>
            <w:r>
              <w:rPr>
                <w:noProof/>
              </w:rPr>
              <w:t>Se instalează o linie de producție de structuri modulare din materiale organice și se livrează echipamente pentru o a doua linie de producție, ceea ce corespunde unei capacități agregate de 273 600 m²/an.</w:t>
            </w:r>
          </w:p>
        </w:tc>
      </w:tr>
      <w:tr w:rsidR="00F53E3A" w14:paraId="459252DC" w14:textId="77777777" w:rsidTr="00CB74C1">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2CAE4EB" w14:textId="1E3FCE92" w:rsidR="00F53E3A" w:rsidRDefault="0036255F">
            <w:pPr>
              <w:pStyle w:val="P68B1DB1-Normal13"/>
              <w:spacing w:before="60" w:after="60"/>
              <w:jc w:val="center"/>
              <w:rPr>
                <w:noProof/>
              </w:rPr>
            </w:pPr>
            <w:r>
              <w:rPr>
                <w:noProof/>
              </w:rPr>
              <w:t>54</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CBCB3AF" w14:textId="123F3AEC" w:rsidR="00F53E3A" w:rsidRDefault="0036255F">
            <w:pPr>
              <w:pStyle w:val="P68B1DB1-Normal13"/>
              <w:spacing w:before="60" w:after="60"/>
              <w:rPr>
                <w:noProof/>
              </w:rPr>
            </w:pPr>
            <w:r>
              <w:rPr>
                <w:noProof/>
              </w:rPr>
              <w:t xml:space="preserve">B.1.3 Accelerarea renovării clădirilor și un mediu urban durabil – B.1.3.4. Sprijin pentru renovarea clădirilor </w:t>
            </w:r>
          </w:p>
        </w:tc>
        <w:tc>
          <w:tcPr>
            <w:tcW w:w="13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E460FC7" w14:textId="2804C28A" w:rsidR="00F53E3A" w:rsidRDefault="0036255F">
            <w:pPr>
              <w:pStyle w:val="P68B1DB1-Normal13"/>
              <w:spacing w:before="60" w:after="60"/>
              <w:jc w:val="center"/>
              <w:rPr>
                <w:noProof/>
              </w:rPr>
            </w:pPr>
            <w:r>
              <w:rPr>
                <w:noProof/>
              </w:rPr>
              <w:t>Țintă</w:t>
            </w:r>
          </w:p>
        </w:tc>
        <w:tc>
          <w:tcPr>
            <w:tcW w:w="166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0D80F8C" w14:textId="0A960C38" w:rsidR="00F53E3A" w:rsidRDefault="0036255F">
            <w:pPr>
              <w:pStyle w:val="P68B1DB1-Normal13"/>
              <w:spacing w:before="60" w:after="60"/>
              <w:textAlignment w:val="baseline"/>
              <w:rPr>
                <w:noProof/>
              </w:rPr>
            </w:pPr>
            <w:r>
              <w:rPr>
                <w:noProof/>
              </w:rPr>
              <w:t>Suprafața clădirilor renovate cu mai multe apartamente</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D947ED" w14:textId="4A0D960C" w:rsidR="00F53E3A" w:rsidRDefault="00F53E3A">
            <w:pPr>
              <w:spacing w:before="60" w:after="60"/>
              <w:textAlignment w:val="baseline"/>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9A90F50" w14:textId="40FA25AC" w:rsidR="00F53E3A" w:rsidRDefault="0036255F">
            <w:pPr>
              <w:pStyle w:val="P68B1DB1-Normal13"/>
              <w:spacing w:before="60" w:after="60"/>
              <w:jc w:val="center"/>
              <w:rPr>
                <w:noProof/>
                <w:vertAlign w:val="superscript"/>
              </w:rPr>
            </w:pPr>
            <w:r>
              <w:rPr>
                <w:noProof/>
              </w:rPr>
              <w:t>m</w:t>
            </w:r>
            <w:r>
              <w:rPr>
                <w:noProof/>
                <w:vertAlign w:val="superscript"/>
              </w:rPr>
              <w:t xml:space="preserve"> 2</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5BD3D16" w14:textId="200E0504" w:rsidR="00F53E3A" w:rsidRDefault="0036255F">
            <w:pPr>
              <w:pStyle w:val="P68B1DB1-Normal13"/>
              <w:spacing w:before="60" w:after="60"/>
              <w:jc w:val="center"/>
              <w:rPr>
                <w:noProof/>
              </w:rPr>
            </w:pPr>
            <w:r>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7DD6AB4" w14:textId="105DB6BA" w:rsidR="00F53E3A" w:rsidRDefault="0036255F">
            <w:pPr>
              <w:pStyle w:val="P68B1DB1-Normal12"/>
              <w:spacing w:before="60" w:after="60"/>
              <w:jc w:val="center"/>
              <w:rPr>
                <w:rFonts w:eastAsia="Times New Roman" w:cs="Times New Roman"/>
                <w:noProof/>
              </w:rPr>
            </w:pPr>
            <w:r>
              <w:rPr>
                <w:noProof/>
              </w:rPr>
              <w:t>845 000</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45362F1" w14:textId="1B475D0B" w:rsidR="00F53E3A" w:rsidRDefault="00DB2EC5">
            <w:pPr>
              <w:pStyle w:val="P68B1DB1-Normal13"/>
              <w:spacing w:before="60" w:after="60"/>
              <w:jc w:val="center"/>
              <w:rPr>
                <w:noProof/>
              </w:rPr>
            </w:pPr>
            <w:r>
              <w:rPr>
                <w:noProof/>
              </w:rPr>
              <w:t>T2</w:t>
            </w:r>
          </w:p>
        </w:tc>
        <w:tc>
          <w:tcPr>
            <w:tcW w:w="7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E079270" w14:textId="1421AB5D" w:rsidR="00F53E3A" w:rsidRDefault="0036255F">
            <w:pPr>
              <w:pStyle w:val="P68B1DB1-Normal13"/>
              <w:spacing w:before="60" w:after="60"/>
              <w:jc w:val="center"/>
              <w:rPr>
                <w:noProof/>
              </w:rPr>
            </w:pPr>
            <w:r>
              <w:rPr>
                <w:noProof/>
              </w:rPr>
              <w:t>2026</w:t>
            </w:r>
          </w:p>
        </w:tc>
        <w:tc>
          <w:tcPr>
            <w:tcW w:w="344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389B931" w14:textId="0D79C528" w:rsidR="00F53E3A" w:rsidRDefault="0036255F">
            <w:pPr>
              <w:pStyle w:val="P68B1DB1-Normal12"/>
              <w:spacing w:before="60" w:after="60"/>
              <w:jc w:val="both"/>
              <w:rPr>
                <w:rFonts w:eastAsia="Times New Roman" w:cs="Times New Roman"/>
                <w:noProof/>
              </w:rPr>
            </w:pPr>
            <w:r>
              <w:rPr>
                <w:noProof/>
              </w:rPr>
              <w:t>845 000 m² de clădiri cu mai multe apartamente renovate pentru a obține o reducere de cel puțin 30 % a consumului de energie primară și cel puțin clasa de eficiență energetică B. 57 Clădirile cu mai multe apartamente renovate beneficiază de asistență tehnică.</w:t>
            </w:r>
          </w:p>
        </w:tc>
      </w:tr>
      <w:tr w:rsidR="00F53E3A" w14:paraId="1463B353" w14:textId="77777777" w:rsidTr="00CB74C1">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C9CAE7E" w14:textId="6BE5278F" w:rsidR="00F53E3A" w:rsidRDefault="0036255F">
            <w:pPr>
              <w:pStyle w:val="P68B1DB1-Normal13"/>
              <w:spacing w:before="60" w:after="60"/>
              <w:jc w:val="center"/>
              <w:rPr>
                <w:noProof/>
              </w:rPr>
            </w:pPr>
            <w:r>
              <w:rPr>
                <w:noProof/>
              </w:rPr>
              <w:t>55</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1DF0731" w14:textId="76EE4D80" w:rsidR="00F53E3A" w:rsidRDefault="0036255F">
            <w:pPr>
              <w:pStyle w:val="P68B1DB1-Normal13"/>
              <w:spacing w:before="60" w:after="60"/>
              <w:rPr>
                <w:noProof/>
              </w:rPr>
            </w:pPr>
            <w:r>
              <w:rPr>
                <w:noProof/>
              </w:rPr>
              <w:t>B.1.4 Menținerea și creșterea capacității de absorbție a GES</w:t>
            </w:r>
          </w:p>
        </w:tc>
        <w:tc>
          <w:tcPr>
            <w:tcW w:w="13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423C089" w14:textId="0BA8B815" w:rsidR="00F53E3A" w:rsidRDefault="0036255F">
            <w:pPr>
              <w:pStyle w:val="P68B1DB1-Normal13"/>
              <w:spacing w:before="60" w:after="60"/>
              <w:jc w:val="center"/>
              <w:rPr>
                <w:noProof/>
              </w:rPr>
            </w:pPr>
            <w:r>
              <w:rPr>
                <w:noProof/>
              </w:rPr>
              <w:t>Țintă</w:t>
            </w:r>
          </w:p>
        </w:tc>
        <w:tc>
          <w:tcPr>
            <w:tcW w:w="166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9E2A87" w14:textId="7CD71635" w:rsidR="00F53E3A" w:rsidRDefault="0036255F">
            <w:pPr>
              <w:pStyle w:val="P68B1DB1-Normal13"/>
              <w:spacing w:before="60" w:after="60"/>
              <w:rPr>
                <w:noProof/>
              </w:rPr>
            </w:pPr>
            <w:r>
              <w:rPr>
                <w:noProof/>
              </w:rPr>
              <w:t>Zone forestiere bogate în biodiversitate achiziționate</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0D2401B" w14:textId="4756A1A1" w:rsidR="00F53E3A" w:rsidRDefault="00F53E3A">
            <w:pPr>
              <w:spacing w:before="60" w:after="60"/>
              <w:textAlignment w:val="baseline"/>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CF21516" w14:textId="61837FA5" w:rsidR="00F53E3A" w:rsidRDefault="0036255F">
            <w:pPr>
              <w:pStyle w:val="P68B1DB1-Normal13"/>
              <w:spacing w:before="60" w:after="60"/>
              <w:jc w:val="center"/>
              <w:rPr>
                <w:noProof/>
              </w:rPr>
            </w:pPr>
            <w:r>
              <w:rPr>
                <w:noProof/>
              </w:rPr>
              <w:t>ha</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E1FDF8F" w14:textId="0CC4B4D6" w:rsidR="00F53E3A" w:rsidRDefault="0036255F">
            <w:pPr>
              <w:pStyle w:val="P68B1DB1-Normal13"/>
              <w:spacing w:before="60" w:after="60"/>
              <w:jc w:val="center"/>
              <w:rPr>
                <w:noProof/>
              </w:rPr>
            </w:pPr>
            <w:r>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7D04060" w14:textId="09A1E5D5" w:rsidR="00F53E3A" w:rsidRDefault="0036255F">
            <w:pPr>
              <w:pStyle w:val="P68B1DB1-Normal13"/>
              <w:spacing w:before="60" w:after="60"/>
              <w:jc w:val="center"/>
              <w:rPr>
                <w:noProof/>
              </w:rPr>
            </w:pPr>
            <w:r>
              <w:rPr>
                <w:noProof/>
              </w:rPr>
              <w:t>266</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B426B08" w14:textId="0E02D038" w:rsidR="00F53E3A" w:rsidRDefault="00DB2EC5">
            <w:pPr>
              <w:pStyle w:val="P68B1DB1-Normal13"/>
              <w:spacing w:before="60" w:after="60"/>
              <w:jc w:val="center"/>
              <w:rPr>
                <w:noProof/>
              </w:rPr>
            </w:pPr>
            <w:r>
              <w:rPr>
                <w:noProof/>
              </w:rPr>
              <w:t>T2</w:t>
            </w:r>
          </w:p>
        </w:tc>
        <w:tc>
          <w:tcPr>
            <w:tcW w:w="7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E10E8AC" w14:textId="0E353181" w:rsidR="00F53E3A" w:rsidRDefault="0036255F">
            <w:pPr>
              <w:pStyle w:val="P68B1DB1-Normal13"/>
              <w:spacing w:before="60" w:after="60"/>
              <w:jc w:val="center"/>
              <w:rPr>
                <w:noProof/>
              </w:rPr>
            </w:pPr>
            <w:r>
              <w:rPr>
                <w:noProof/>
              </w:rPr>
              <w:t>2026</w:t>
            </w:r>
          </w:p>
        </w:tc>
        <w:tc>
          <w:tcPr>
            <w:tcW w:w="344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9BAF55C" w14:textId="237F702F" w:rsidR="00F53E3A" w:rsidRDefault="0036255F">
            <w:pPr>
              <w:pStyle w:val="P68B1DB1-Normal13"/>
              <w:spacing w:before="60" w:after="60"/>
              <w:jc w:val="both"/>
              <w:textAlignment w:val="baseline"/>
              <w:rPr>
                <w:noProof/>
              </w:rPr>
            </w:pPr>
            <w:r>
              <w:rPr>
                <w:noProof/>
              </w:rPr>
              <w:t>Cel puțin 266 ha de zone forestiere aflate în proprietate privată bogate în biodiversitate sunt achiziționate și înregistrate în stadiul de conservare.</w:t>
            </w:r>
          </w:p>
        </w:tc>
      </w:tr>
      <w:tr w:rsidR="00F53E3A" w14:paraId="1EF097F4" w14:textId="77777777" w:rsidTr="00CB74C1">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061AB39" w14:textId="7ED289F3" w:rsidR="00F53E3A" w:rsidRDefault="0036255F">
            <w:pPr>
              <w:pStyle w:val="P68B1DB1-Normal13"/>
              <w:spacing w:before="60" w:after="60"/>
              <w:jc w:val="center"/>
              <w:rPr>
                <w:noProof/>
              </w:rPr>
            </w:pPr>
            <w:r>
              <w:rPr>
                <w:noProof/>
              </w:rPr>
              <w:t>57</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DF27277" w14:textId="22D2F63D" w:rsidR="00F53E3A" w:rsidRDefault="0036255F">
            <w:pPr>
              <w:pStyle w:val="P68B1DB1-Normal13"/>
              <w:spacing w:before="60" w:after="60"/>
              <w:rPr>
                <w:noProof/>
              </w:rPr>
            </w:pPr>
            <w:r>
              <w:rPr>
                <w:noProof/>
              </w:rPr>
              <w:t>B.1.4 Menținerea și creșterea capacității de absorbție a GES</w:t>
            </w:r>
          </w:p>
        </w:tc>
        <w:tc>
          <w:tcPr>
            <w:tcW w:w="13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91E0104" w14:textId="08A9513C" w:rsidR="00F53E3A" w:rsidRDefault="0036255F">
            <w:pPr>
              <w:pStyle w:val="P68B1DB1-Normal13"/>
              <w:spacing w:before="60" w:after="60"/>
              <w:jc w:val="center"/>
              <w:rPr>
                <w:noProof/>
              </w:rPr>
            </w:pPr>
            <w:r>
              <w:rPr>
                <w:noProof/>
              </w:rPr>
              <w:t>Etapă</w:t>
            </w:r>
          </w:p>
        </w:tc>
        <w:tc>
          <w:tcPr>
            <w:tcW w:w="166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F19E2BA" w14:textId="629E16C7" w:rsidR="00F53E3A" w:rsidRDefault="0036255F">
            <w:pPr>
              <w:pStyle w:val="P68B1DB1-Normal13"/>
              <w:spacing w:before="60" w:after="60"/>
              <w:textAlignment w:val="baseline"/>
              <w:rPr>
                <w:noProof/>
              </w:rPr>
            </w:pPr>
            <w:r>
              <w:rPr>
                <w:noProof/>
              </w:rPr>
              <w:t>A intrat în vigoare legislația care reglementează refacerea zonelor umede (turbăriile) și protecția suplimentară și utilizarea durabilă a acestora</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F1BBF1B" w14:textId="610CA2C4" w:rsidR="00F53E3A" w:rsidRDefault="0036255F">
            <w:pPr>
              <w:pStyle w:val="P68B1DB1-Normal13"/>
              <w:spacing w:before="60" w:after="60"/>
              <w:textAlignment w:val="baseline"/>
              <w:rPr>
                <w:noProof/>
              </w:rPr>
            </w:pPr>
            <w:r>
              <w:rPr>
                <w:noProof/>
              </w:rPr>
              <w:t>Legislația a intrat în vigoare</w:t>
            </w: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67F37DE" w14:textId="3CCD2EB1" w:rsidR="00F53E3A" w:rsidRDefault="00F53E3A">
            <w:pPr>
              <w:spacing w:before="60" w:after="60"/>
              <w:jc w:val="center"/>
              <w:rPr>
                <w:rFonts w:ascii="Times New Roman" w:eastAsia="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98EF6F1" w14:textId="26850EF3" w:rsidR="00F53E3A" w:rsidRDefault="00F53E3A">
            <w:pPr>
              <w:spacing w:before="60" w:after="60"/>
              <w:jc w:val="center"/>
              <w:rPr>
                <w:rFonts w:ascii="Times New Roman" w:eastAsia="Times New Roman" w:hAnsi="Times New Roman" w:cs="Times New Roman"/>
                <w:noProof/>
                <w:sz w:val="20"/>
              </w:rPr>
            </w:pPr>
          </w:p>
        </w:tc>
        <w:tc>
          <w:tcPr>
            <w:tcW w:w="87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CA47DB3" w14:textId="599B412A" w:rsidR="00F53E3A" w:rsidRDefault="00F53E3A">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D77297F" w14:textId="156F4D70" w:rsidR="00F53E3A" w:rsidRDefault="00DB2EC5">
            <w:pPr>
              <w:pStyle w:val="P68B1DB1-Normal13"/>
              <w:spacing w:before="60" w:after="60"/>
              <w:jc w:val="center"/>
              <w:rPr>
                <w:noProof/>
              </w:rPr>
            </w:pPr>
            <w:r>
              <w:rPr>
                <w:noProof/>
              </w:rPr>
              <w:t>T3</w:t>
            </w:r>
          </w:p>
        </w:tc>
        <w:tc>
          <w:tcPr>
            <w:tcW w:w="7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F7FD582" w14:textId="4320B6D6" w:rsidR="00F53E3A" w:rsidRDefault="0036255F">
            <w:pPr>
              <w:pStyle w:val="P68B1DB1-Normal13"/>
              <w:spacing w:before="60" w:after="60"/>
              <w:jc w:val="center"/>
              <w:rPr>
                <w:noProof/>
              </w:rPr>
            </w:pPr>
            <w:r>
              <w:rPr>
                <w:noProof/>
              </w:rPr>
              <w:t>2022</w:t>
            </w:r>
          </w:p>
        </w:tc>
        <w:tc>
          <w:tcPr>
            <w:tcW w:w="344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62EDD68" w14:textId="4CF2CD50" w:rsidR="00F53E3A" w:rsidRDefault="0036255F">
            <w:pPr>
              <w:pStyle w:val="P68B1DB1-Normal13"/>
              <w:spacing w:before="60" w:after="60"/>
              <w:jc w:val="both"/>
              <w:textAlignment w:val="baseline"/>
              <w:rPr>
                <w:noProof/>
              </w:rPr>
            </w:pPr>
            <w:r>
              <w:rPr>
                <w:noProof/>
              </w:rPr>
              <w:t>A intrat în vigoare legislația care reglementează refacerea zonelor umede (turbăriile) și protecția suplimentară și utilizarea durabilă a acestora.</w:t>
            </w:r>
          </w:p>
        </w:tc>
      </w:tr>
      <w:tr w:rsidR="00F53E3A" w14:paraId="2227E800" w14:textId="77777777" w:rsidTr="00CB74C1">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76AC903" w14:textId="19BB62F0" w:rsidR="00F53E3A" w:rsidRDefault="0036255F">
            <w:pPr>
              <w:pStyle w:val="P68B1DB1-Normal13"/>
              <w:spacing w:before="60" w:after="60"/>
              <w:jc w:val="center"/>
              <w:rPr>
                <w:noProof/>
              </w:rPr>
            </w:pPr>
            <w:r>
              <w:rPr>
                <w:noProof/>
              </w:rPr>
              <w:t>58</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AE63D6" w14:textId="44CF41BE" w:rsidR="00F53E3A" w:rsidRDefault="0036255F">
            <w:pPr>
              <w:pStyle w:val="P68B1DB1-Normal13"/>
              <w:spacing w:before="60" w:after="60"/>
              <w:rPr>
                <w:noProof/>
              </w:rPr>
            </w:pPr>
            <w:r>
              <w:rPr>
                <w:noProof/>
              </w:rPr>
              <w:t>B.1.5 Spre o economie circulară</w:t>
            </w:r>
          </w:p>
        </w:tc>
        <w:tc>
          <w:tcPr>
            <w:tcW w:w="13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B38EA39" w14:textId="5E19E479" w:rsidR="00F53E3A" w:rsidRDefault="0036255F">
            <w:pPr>
              <w:pStyle w:val="P68B1DB1-Normal13"/>
              <w:spacing w:before="60" w:after="60"/>
              <w:jc w:val="center"/>
              <w:rPr>
                <w:noProof/>
              </w:rPr>
            </w:pPr>
            <w:r>
              <w:rPr>
                <w:noProof/>
              </w:rPr>
              <w:t>Etapă</w:t>
            </w:r>
          </w:p>
        </w:tc>
        <w:tc>
          <w:tcPr>
            <w:tcW w:w="166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17E729C" w14:textId="52F46C3A" w:rsidR="00F53E3A" w:rsidRDefault="0036255F">
            <w:pPr>
              <w:pStyle w:val="P68B1DB1-Normal13"/>
              <w:spacing w:before="60" w:after="60"/>
              <w:textAlignment w:val="baseline"/>
              <w:rPr>
                <w:noProof/>
              </w:rPr>
            </w:pPr>
            <w:r>
              <w:rPr>
                <w:noProof/>
              </w:rPr>
              <w:t>Aprobarea planului de acțiune pentru tranziția către economia circulară</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FFA5B5" w14:textId="05E8E03D" w:rsidR="00F53E3A" w:rsidRDefault="0036255F">
            <w:pPr>
              <w:pStyle w:val="P68B1DB1-Normal13"/>
              <w:spacing w:before="60" w:after="60"/>
              <w:textAlignment w:val="baseline"/>
              <w:rPr>
                <w:noProof/>
              </w:rPr>
            </w:pPr>
            <w:r>
              <w:rPr>
                <w:noProof/>
              </w:rPr>
              <w:t>Plan de acțiune aprobat prin Protocolul guvernamental</w:t>
            </w: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C850532" w14:textId="300396D3" w:rsidR="00F53E3A" w:rsidRDefault="00F53E3A">
            <w:pPr>
              <w:spacing w:before="60" w:after="60"/>
              <w:jc w:val="center"/>
              <w:rPr>
                <w:rFonts w:ascii="Times New Roman" w:eastAsia="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250CFB" w14:textId="55476139" w:rsidR="00F53E3A" w:rsidRDefault="00F53E3A">
            <w:pPr>
              <w:spacing w:before="60" w:after="60"/>
              <w:jc w:val="center"/>
              <w:rPr>
                <w:rFonts w:ascii="Times New Roman" w:eastAsia="Times New Roman" w:hAnsi="Times New Roman" w:cs="Times New Roman"/>
                <w:noProof/>
                <w:sz w:val="20"/>
              </w:rPr>
            </w:pPr>
          </w:p>
        </w:tc>
        <w:tc>
          <w:tcPr>
            <w:tcW w:w="87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66FCD67" w14:textId="25F14353" w:rsidR="00F53E3A" w:rsidRDefault="00F53E3A">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A27C88D" w14:textId="2C578CF7" w:rsidR="00F53E3A" w:rsidRDefault="00DB2EC5">
            <w:pPr>
              <w:pStyle w:val="P68B1DB1-Normal13"/>
              <w:spacing w:before="60" w:after="60"/>
              <w:jc w:val="center"/>
              <w:rPr>
                <w:noProof/>
              </w:rPr>
            </w:pPr>
            <w:r>
              <w:rPr>
                <w:noProof/>
              </w:rPr>
              <w:t>T1</w:t>
            </w:r>
          </w:p>
        </w:tc>
        <w:tc>
          <w:tcPr>
            <w:tcW w:w="7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345A4C8" w14:textId="1925CD12" w:rsidR="00F53E3A" w:rsidRDefault="0036255F">
            <w:pPr>
              <w:pStyle w:val="P68B1DB1-Normal13"/>
              <w:spacing w:before="60" w:after="60"/>
              <w:jc w:val="center"/>
              <w:rPr>
                <w:noProof/>
              </w:rPr>
            </w:pPr>
            <w:r>
              <w:rPr>
                <w:noProof/>
              </w:rPr>
              <w:t>2023</w:t>
            </w:r>
          </w:p>
        </w:tc>
        <w:tc>
          <w:tcPr>
            <w:tcW w:w="344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1CF8B82" w14:textId="3A518D17" w:rsidR="00F53E3A" w:rsidRDefault="0036255F">
            <w:pPr>
              <w:pStyle w:val="P68B1DB1-Normal13"/>
              <w:spacing w:before="60" w:after="60"/>
              <w:jc w:val="both"/>
              <w:textAlignment w:val="baseline"/>
              <w:rPr>
                <w:noProof/>
              </w:rPr>
            </w:pPr>
            <w:r>
              <w:rPr>
                <w:noProof/>
              </w:rPr>
              <w:t>Aprobarea de către guvern a Protocolului de acțiune al Lituaniei pentru tranziția către o economie circulară până în 2035, elaborat cu implicarea instituțiilor interesate și a partenerilor socioeconomici, cu scopul de a implica toate autoritățile relevante și de a coordona punerea în aplicare și dezvoltarea economiei circulare în această țară.</w:t>
            </w:r>
          </w:p>
        </w:tc>
      </w:tr>
      <w:tr w:rsidR="00F53E3A" w14:paraId="02A25CDD" w14:textId="77777777" w:rsidTr="00CB74C1">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3615043" w14:textId="6CEF4D48" w:rsidR="00F53E3A" w:rsidRDefault="0036255F">
            <w:pPr>
              <w:pStyle w:val="P68B1DB1-Normal13"/>
              <w:jc w:val="center"/>
              <w:rPr>
                <w:noProof/>
              </w:rPr>
            </w:pPr>
            <w:r>
              <w:rPr>
                <w:noProof/>
              </w:rPr>
              <w:t>58c</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C4EC11D" w14:textId="6536233E" w:rsidR="00F53E3A" w:rsidRDefault="0036255F">
            <w:pPr>
              <w:pStyle w:val="P68B1DB1-Normal13"/>
              <w:rPr>
                <w:noProof/>
              </w:rPr>
            </w:pPr>
            <w:r>
              <w:rPr>
                <w:noProof/>
              </w:rPr>
              <w:t>B.1.6. Transparența informațiilor privind racordarea la rețeaua de energie electrică</w:t>
            </w:r>
          </w:p>
        </w:tc>
        <w:tc>
          <w:tcPr>
            <w:tcW w:w="13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A267CF8" w14:textId="64B0A1BE" w:rsidR="00F53E3A" w:rsidRDefault="0036255F">
            <w:pPr>
              <w:pStyle w:val="P68B1DB1-Normal13"/>
              <w:jc w:val="center"/>
              <w:rPr>
                <w:noProof/>
              </w:rPr>
            </w:pPr>
            <w:r>
              <w:rPr>
                <w:noProof/>
              </w:rPr>
              <w:t>Etapă</w:t>
            </w:r>
          </w:p>
        </w:tc>
        <w:tc>
          <w:tcPr>
            <w:tcW w:w="166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EA98C84" w14:textId="4B534E76" w:rsidR="00F53E3A" w:rsidRDefault="0036255F">
            <w:pPr>
              <w:pStyle w:val="P68B1DB1-Normal13"/>
              <w:rPr>
                <w:noProof/>
              </w:rPr>
            </w:pPr>
            <w:r>
              <w:rPr>
                <w:noProof/>
              </w:rPr>
              <w:t>Intrarea în vigoare a legislației</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FA6A08E" w14:textId="6641B80A" w:rsidR="00F53E3A" w:rsidRDefault="0036255F">
            <w:pPr>
              <w:pStyle w:val="P68B1DB1-Normal13"/>
              <w:rPr>
                <w:noProof/>
              </w:rPr>
            </w:pPr>
            <w:r>
              <w:rPr>
                <w:noProof/>
              </w:rPr>
              <w:t>Legislația a intrat în vigoare</w:t>
            </w: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0F9DAE4" w14:textId="6B7A4378" w:rsidR="00F53E3A" w:rsidRDefault="00F53E3A">
            <w:pPr>
              <w:jc w:val="center"/>
              <w:rPr>
                <w:rFonts w:ascii="Times New Roman" w:eastAsia="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DF6D874" w14:textId="60DB3464" w:rsidR="00F53E3A" w:rsidRDefault="00F53E3A">
            <w:pPr>
              <w:jc w:val="center"/>
              <w:rPr>
                <w:rFonts w:ascii="Times New Roman" w:eastAsia="Times New Roman" w:hAnsi="Times New Roman" w:cs="Times New Roman"/>
                <w:noProof/>
                <w:sz w:val="20"/>
              </w:rPr>
            </w:pPr>
          </w:p>
        </w:tc>
        <w:tc>
          <w:tcPr>
            <w:tcW w:w="87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2457067" w14:textId="7CCF015F" w:rsidR="00F53E3A" w:rsidRDefault="00F53E3A">
            <w:pPr>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81D19D5" w14:textId="0E0949AC" w:rsidR="00F53E3A" w:rsidRDefault="00DB2EC5">
            <w:pPr>
              <w:pStyle w:val="P68B1DB1-Normal13"/>
              <w:jc w:val="center"/>
              <w:rPr>
                <w:noProof/>
              </w:rPr>
            </w:pPr>
            <w:r>
              <w:rPr>
                <w:noProof/>
              </w:rPr>
              <w:t>T4</w:t>
            </w:r>
          </w:p>
        </w:tc>
        <w:tc>
          <w:tcPr>
            <w:tcW w:w="7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C691636" w14:textId="2F6D9CAA" w:rsidR="00F53E3A" w:rsidRDefault="0036255F">
            <w:pPr>
              <w:pStyle w:val="P68B1DB1-Normal13"/>
              <w:jc w:val="center"/>
              <w:rPr>
                <w:noProof/>
              </w:rPr>
            </w:pPr>
            <w:r>
              <w:rPr>
                <w:noProof/>
              </w:rPr>
              <w:t>2025</w:t>
            </w:r>
          </w:p>
        </w:tc>
        <w:tc>
          <w:tcPr>
            <w:tcW w:w="344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B3D3B35" w14:textId="52021C85" w:rsidR="00F53E3A" w:rsidRDefault="0036255F">
            <w:pPr>
              <w:pStyle w:val="P68B1DB1-Normal13"/>
              <w:jc w:val="both"/>
              <w:rPr>
                <w:noProof/>
              </w:rPr>
            </w:pPr>
            <w:r>
              <w:rPr>
                <w:noProof/>
              </w:rPr>
              <w:t>Intrarea în vigoare a legislației care impune:</w:t>
            </w:r>
          </w:p>
          <w:p w14:paraId="23DE1E5F" w14:textId="411FFE1A" w:rsidR="00F53E3A" w:rsidRDefault="0036255F">
            <w:pPr>
              <w:pStyle w:val="P68B1DB1-ListParagraph21"/>
              <w:numPr>
                <w:ilvl w:val="0"/>
                <w:numId w:val="45"/>
              </w:numPr>
              <w:ind w:left="209" w:hanging="209"/>
              <w:jc w:val="both"/>
              <w:rPr>
                <w:noProof/>
              </w:rPr>
            </w:pPr>
            <w:r>
              <w:rPr>
                <w:noProof/>
              </w:rPr>
              <w:t xml:space="preserve">Operatorul de sistem de transport (OST) și operatorul de sistem de distribuție (OSD) să publice informații cu privire la eventualele modificări ale capacității rețelei pe baza planurilor lor de dezvoltare a rețelei pe zece ani. </w:t>
            </w:r>
          </w:p>
          <w:p w14:paraId="5D00F0DB" w14:textId="54D6C90B" w:rsidR="00F53E3A" w:rsidRDefault="0036255F">
            <w:pPr>
              <w:pStyle w:val="P68B1DB1-ListParagraph21"/>
              <w:numPr>
                <w:ilvl w:val="0"/>
                <w:numId w:val="45"/>
              </w:numPr>
              <w:ind w:left="209" w:hanging="209"/>
              <w:jc w:val="both"/>
              <w:rPr>
                <w:noProof/>
              </w:rPr>
            </w:pPr>
            <w:r>
              <w:rPr>
                <w:noProof/>
              </w:rPr>
              <w:t xml:space="preserve">OST să publice informații privind racordările planificate ale instalațiilor de producere a energiei electrice și de stocare a energiei electrice. </w:t>
            </w:r>
          </w:p>
          <w:p w14:paraId="5BEF44A7" w14:textId="4AA7431E" w:rsidR="00F53E3A" w:rsidRDefault="0036255F">
            <w:pPr>
              <w:pStyle w:val="P68B1DB1-ListParagraph21"/>
              <w:numPr>
                <w:ilvl w:val="0"/>
                <w:numId w:val="45"/>
              </w:numPr>
              <w:ind w:left="209" w:hanging="209"/>
              <w:jc w:val="both"/>
              <w:rPr>
                <w:noProof/>
              </w:rPr>
            </w:pPr>
            <w:r>
              <w:rPr>
                <w:noProof/>
              </w:rPr>
              <w:t xml:space="preserve">OTS trebuie să actualizeze informațiile disponibile privind capacitatea în harta posibilităților de racordare la rețea în termen de cinci zile lucrătoare de la anularea sau eliberarea unei rezervări temporare a capacității de rețea. </w:t>
            </w:r>
          </w:p>
          <w:p w14:paraId="59F2D5B9" w14:textId="1FA16793" w:rsidR="00F53E3A" w:rsidRDefault="0036255F">
            <w:pPr>
              <w:pStyle w:val="P68B1DB1-ListParagraph21"/>
              <w:numPr>
                <w:ilvl w:val="0"/>
                <w:numId w:val="45"/>
              </w:numPr>
              <w:ind w:left="209" w:hanging="209"/>
              <w:jc w:val="both"/>
              <w:rPr>
                <w:noProof/>
              </w:rPr>
            </w:pPr>
            <w:r>
              <w:rPr>
                <w:noProof/>
              </w:rPr>
              <w:t>OD trebuie să actualizeze informațiile disponibile privind capacitatea în harta posibilităților de racordare la rețea în termen de zece zile lucrătoare de la publicarea de către OTS a listei utilizatorilor de rețea eligibili pentru rezervare.</w:t>
            </w:r>
          </w:p>
        </w:tc>
      </w:tr>
    </w:tbl>
    <w:p w14:paraId="43ACBABD" w14:textId="77777777" w:rsidR="00F53E3A" w:rsidRDefault="00F53E3A">
      <w:pPr>
        <w:jc w:val="both"/>
        <w:rPr>
          <w:rFonts w:ascii="Times New Roman" w:hAnsi="Times New Roman"/>
          <w:noProof/>
          <w:sz w:val="24"/>
          <w:szCs w:val="24"/>
        </w:rPr>
      </w:pPr>
    </w:p>
    <w:p w14:paraId="001B85A3" w14:textId="24B7F12E" w:rsidR="00F53E3A" w:rsidRDefault="00F53E3A">
      <w:pPr>
        <w:jc w:val="both"/>
        <w:rPr>
          <w:rFonts w:ascii="Times New Roman" w:hAnsi="Times New Roman" w:cs="Times New Roman"/>
          <w:noProof/>
        </w:rPr>
        <w:sectPr w:rsidR="00F53E3A" w:rsidSect="0074650A">
          <w:headerReference w:type="even" r:id="rId36"/>
          <w:headerReference w:type="default" r:id="rId37"/>
          <w:footerReference w:type="even" r:id="rId38"/>
          <w:footerReference w:type="default" r:id="rId39"/>
          <w:headerReference w:type="first" r:id="rId40"/>
          <w:footerReference w:type="first" r:id="rId41"/>
          <w:pgSz w:w="16839" w:h="11907" w:orient="landscape"/>
          <w:pgMar w:top="1134" w:right="1134" w:bottom="1134" w:left="1134" w:header="567" w:footer="567" w:gutter="0"/>
          <w:cols w:space="720"/>
          <w:docGrid w:linePitch="360"/>
        </w:sectPr>
      </w:pPr>
    </w:p>
    <w:p w14:paraId="2DCDF7BF" w14:textId="1CC62AB8" w:rsidR="00F53E3A" w:rsidRDefault="0036255F">
      <w:pPr>
        <w:pStyle w:val="P68B1DB1-Text15"/>
        <w:keepNext/>
        <w:keepLines/>
        <w:spacing w:before="0" w:after="200" w:line="276" w:lineRule="auto"/>
        <w:ind w:left="0"/>
        <w:outlineLvl w:val="1"/>
        <w:rPr>
          <w:i/>
          <w:noProof/>
        </w:rPr>
      </w:pPr>
      <w:r>
        <w:rPr>
          <w:noProof/>
        </w:rPr>
        <w:t>B.3. Descrierea reformelor și a investițiilor pentru care se acordă sprijin sub formă de împrumut</w:t>
      </w:r>
    </w:p>
    <w:p w14:paraId="2DFE173F" w14:textId="2B7CF148" w:rsidR="00F53E3A" w:rsidRDefault="0036255F">
      <w:pPr>
        <w:pStyle w:val="P68B1DB1-Normal6"/>
        <w:keepNext/>
        <w:keepLines/>
        <w:jc w:val="both"/>
        <w:rPr>
          <w:rFonts w:eastAsia="Times New Roman" w:cs="Times New Roman"/>
          <w:noProof/>
          <w:szCs w:val="24"/>
        </w:rPr>
      </w:pPr>
      <w:r>
        <w:rPr>
          <w:noProof/>
        </w:rPr>
        <w:t>B.3.1. Reforma 1 „Dezvoltarea produselor financiare ecologice”</w:t>
      </w:r>
    </w:p>
    <w:p w14:paraId="392AC46C" w14:textId="77777777" w:rsidR="00F53E3A" w:rsidRDefault="0036255F">
      <w:pPr>
        <w:pStyle w:val="P68B1DB1-Normal4"/>
        <w:jc w:val="both"/>
        <w:rPr>
          <w:rFonts w:eastAsia="Times New Roman" w:cs="Times New Roman"/>
          <w:noProof/>
          <w:szCs w:val="24"/>
        </w:rPr>
      </w:pPr>
      <w:r>
        <w:rPr>
          <w:noProof/>
        </w:rPr>
        <w:t>Obiectivul reformei este intrarea în vigoare a Ordinului ministrului de finanțe de aprobare a Planului de acțiune lituanian privind finanțarea verde pentru perioada 2023-2026, care vizează mobilizarea finanțării publice și private pentru a îndeplini obiectivele de atenuare a schimbărilor climatice și de adaptare la acestea și pentru a spori atractivitatea Lituaniei pentru investitorii în produse financiare verzi.</w:t>
      </w:r>
    </w:p>
    <w:p w14:paraId="38BE2925" w14:textId="77777777" w:rsidR="00F53E3A" w:rsidRDefault="0036255F">
      <w:pPr>
        <w:pStyle w:val="P68B1DB1-Normal4"/>
        <w:jc w:val="both"/>
        <w:rPr>
          <w:rFonts w:eastAsia="Times New Roman" w:cs="Times New Roman"/>
          <w:noProof/>
          <w:szCs w:val="24"/>
        </w:rPr>
      </w:pPr>
      <w:r>
        <w:rPr>
          <w:noProof/>
        </w:rPr>
        <w:t>Planul de acțiune include următoarele:</w:t>
      </w:r>
    </w:p>
    <w:p w14:paraId="723D35F9" w14:textId="77777777" w:rsidR="00F53E3A" w:rsidRDefault="0036255F">
      <w:pPr>
        <w:pStyle w:val="P68B1DB1-ListParagraph18"/>
        <w:numPr>
          <w:ilvl w:val="0"/>
          <w:numId w:val="37"/>
        </w:numPr>
        <w:spacing w:after="200"/>
        <w:ind w:left="714" w:hanging="357"/>
        <w:jc w:val="both"/>
        <w:rPr>
          <w:rFonts w:eastAsia="Times New Roman" w:cs="Times New Roman"/>
          <w:noProof/>
          <w:szCs w:val="24"/>
        </w:rPr>
      </w:pPr>
      <w:r>
        <w:rPr>
          <w:noProof/>
        </w:rPr>
        <w:t>înființarea unui Centru de cunoștințe și competențe în materie de finanțe ecologice;</w:t>
      </w:r>
    </w:p>
    <w:p w14:paraId="314C80E0" w14:textId="77777777" w:rsidR="00F53E3A" w:rsidRDefault="0036255F">
      <w:pPr>
        <w:pStyle w:val="P68B1DB1-ListParagraph18"/>
        <w:numPr>
          <w:ilvl w:val="0"/>
          <w:numId w:val="37"/>
        </w:numPr>
        <w:spacing w:after="200"/>
        <w:ind w:left="714" w:hanging="357"/>
        <w:jc w:val="both"/>
        <w:rPr>
          <w:rFonts w:eastAsia="Times New Roman" w:cs="Times New Roman"/>
          <w:noProof/>
          <w:szCs w:val="24"/>
        </w:rPr>
      </w:pPr>
      <w:r>
        <w:rPr>
          <w:noProof/>
        </w:rPr>
        <w:t>promovarea dezvoltării finanțării publice verzi;</w:t>
      </w:r>
    </w:p>
    <w:p w14:paraId="5EF8EF1C" w14:textId="77777777" w:rsidR="00F53E3A" w:rsidRDefault="0036255F">
      <w:pPr>
        <w:pStyle w:val="P68B1DB1-ListParagraph18"/>
        <w:numPr>
          <w:ilvl w:val="0"/>
          <w:numId w:val="37"/>
        </w:numPr>
        <w:spacing w:after="200"/>
        <w:ind w:left="714" w:hanging="357"/>
        <w:jc w:val="both"/>
        <w:rPr>
          <w:rFonts w:eastAsia="Times New Roman" w:cs="Times New Roman"/>
          <w:noProof/>
          <w:szCs w:val="24"/>
        </w:rPr>
      </w:pPr>
      <w:r>
        <w:rPr>
          <w:noProof/>
        </w:rPr>
        <w:t>crearea condițiilor prealabile pentru atragerea investițiilor din sectorul privat în vederea atingerii obiectivelor ecologice;</w:t>
      </w:r>
    </w:p>
    <w:p w14:paraId="0EF9E7EE" w14:textId="77777777" w:rsidR="00F53E3A" w:rsidRDefault="0036255F">
      <w:pPr>
        <w:pStyle w:val="P68B1DB1-ListParagraph18"/>
        <w:numPr>
          <w:ilvl w:val="0"/>
          <w:numId w:val="37"/>
        </w:numPr>
        <w:spacing w:after="200"/>
        <w:ind w:left="714" w:hanging="357"/>
        <w:jc w:val="both"/>
        <w:rPr>
          <w:rFonts w:eastAsia="Times New Roman" w:cs="Times New Roman"/>
          <w:noProof/>
          <w:szCs w:val="24"/>
        </w:rPr>
      </w:pPr>
      <w:r>
        <w:rPr>
          <w:noProof/>
        </w:rPr>
        <w:t>asigurarea accesului la date legate de durabilitate;</w:t>
      </w:r>
    </w:p>
    <w:p w14:paraId="24435860" w14:textId="77777777" w:rsidR="00F53E3A" w:rsidRDefault="0036255F">
      <w:pPr>
        <w:pStyle w:val="P68B1DB1-ListParagraph18"/>
        <w:numPr>
          <w:ilvl w:val="0"/>
          <w:numId w:val="37"/>
        </w:numPr>
        <w:spacing w:after="200"/>
        <w:ind w:left="714" w:hanging="357"/>
        <w:jc w:val="both"/>
        <w:rPr>
          <w:rFonts w:eastAsia="Times New Roman" w:cs="Times New Roman"/>
          <w:noProof/>
          <w:szCs w:val="24"/>
        </w:rPr>
      </w:pPr>
      <w:r>
        <w:rPr>
          <w:noProof/>
        </w:rPr>
        <w:t>dezvoltarea competențelor în domeniul finanțelor verzi și al educației publice.</w:t>
      </w:r>
    </w:p>
    <w:p w14:paraId="46A21638" w14:textId="77777777" w:rsidR="00F53E3A" w:rsidRDefault="0036255F">
      <w:pPr>
        <w:pStyle w:val="P68B1DB1-Normal4"/>
        <w:jc w:val="both"/>
        <w:rPr>
          <w:rFonts w:eastAsia="Times New Roman" w:cs="Times New Roman"/>
          <w:noProof/>
          <w:szCs w:val="24"/>
        </w:rPr>
      </w:pPr>
      <w:r>
        <w:rPr>
          <w:noProof/>
        </w:rPr>
        <w:t xml:space="preserve">În cadrul acestei reforme, se acordă sprijin pentru înființarea și operaționalizarea Centrului de competențe și cunoștințe privind finanțarea verde, pentru a contribui la dezvoltarea unui ecosistem de etichetare durabilă în Lituania pe baza practicilor internaționale, pentru a asigura diseminarea informațiilor relevante legate de durabilitate, pentru a coordona cooperarea dintre sectorul public și cel privat și mediul academic și pentru a promova Lituania în domeniul finanțării durabile. </w:t>
      </w:r>
    </w:p>
    <w:p w14:paraId="533B36C9" w14:textId="77777777" w:rsidR="00F53E3A" w:rsidRDefault="0036255F">
      <w:pPr>
        <w:pStyle w:val="P68B1DB1-Normal4"/>
        <w:jc w:val="both"/>
        <w:rPr>
          <w:rFonts w:eastAsia="Calibri" w:cs="Times New Roman"/>
          <w:noProof/>
        </w:rPr>
      </w:pPr>
      <w:r>
        <w:rPr>
          <w:noProof/>
        </w:rPr>
        <w:t>Punerea în aplicare a măsurii se finalizează până la 31 decembrie 2023.</w:t>
      </w:r>
    </w:p>
    <w:p w14:paraId="6BBDABA0" w14:textId="77777777" w:rsidR="00F53E3A" w:rsidRDefault="00F53E3A">
      <w:pPr>
        <w:spacing w:before="120" w:after="120" w:line="240" w:lineRule="auto"/>
        <w:jc w:val="both"/>
        <w:rPr>
          <w:rFonts w:ascii="Times New Roman" w:eastAsia="Times New Roman" w:hAnsi="Times New Roman" w:cs="Times New Roman"/>
          <w:noProof/>
          <w:sz w:val="24"/>
        </w:rPr>
        <w:sectPr w:rsidR="00F53E3A" w:rsidSect="0074650A">
          <w:headerReference w:type="even" r:id="rId42"/>
          <w:headerReference w:type="default" r:id="rId43"/>
          <w:footerReference w:type="even" r:id="rId44"/>
          <w:footerReference w:type="default" r:id="rId45"/>
          <w:headerReference w:type="first" r:id="rId46"/>
          <w:footerReference w:type="first" r:id="rId47"/>
          <w:pgSz w:w="11907" w:h="16839"/>
          <w:pgMar w:top="1134" w:right="1134" w:bottom="1134" w:left="1134" w:header="567" w:footer="567" w:gutter="0"/>
          <w:cols w:space="720"/>
          <w:docGrid w:linePitch="360"/>
        </w:sectPr>
      </w:pPr>
    </w:p>
    <w:p w14:paraId="372DC204" w14:textId="796190EF" w:rsidR="00F53E3A" w:rsidRDefault="0036255F">
      <w:pPr>
        <w:pStyle w:val="P68B1DB1-Text15"/>
        <w:keepNext/>
        <w:keepLines/>
        <w:spacing w:before="0" w:after="200" w:line="276" w:lineRule="auto"/>
        <w:ind w:left="0"/>
        <w:jc w:val="center"/>
        <w:outlineLvl w:val="1"/>
        <w:rPr>
          <w:i/>
          <w:noProof/>
        </w:rPr>
      </w:pPr>
      <w:r>
        <w:rPr>
          <w:noProof/>
        </w:rPr>
        <w:t>B.4. Jaloane, ținte, indicatori și calendarul de monitorizare și implementare aplicabile împrumutului</w:t>
      </w:r>
    </w:p>
    <w:tbl>
      <w:tblPr>
        <w:tblpPr w:leftFromText="141" w:rightFromText="141" w:vertAnchor="text" w:tblpXSpec="center" w:tblpY="1"/>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ayout w:type="fixed"/>
        <w:tblCellMar>
          <w:left w:w="70" w:type="dxa"/>
          <w:right w:w="70" w:type="dxa"/>
        </w:tblCellMar>
        <w:tblLook w:val="04A0" w:firstRow="1" w:lastRow="0" w:firstColumn="1" w:lastColumn="0" w:noHBand="0" w:noVBand="1"/>
      </w:tblPr>
      <w:tblGrid>
        <w:gridCol w:w="516"/>
        <w:gridCol w:w="1334"/>
        <w:gridCol w:w="1339"/>
        <w:gridCol w:w="1734"/>
        <w:gridCol w:w="1101"/>
        <w:gridCol w:w="850"/>
        <w:gridCol w:w="993"/>
        <w:gridCol w:w="992"/>
        <w:gridCol w:w="1096"/>
        <w:gridCol w:w="696"/>
        <w:gridCol w:w="4060"/>
      </w:tblGrid>
      <w:tr w:rsidR="00F53E3A" w14:paraId="4911D7B4" w14:textId="77777777" w:rsidTr="00CB74C1">
        <w:trPr>
          <w:tblHeader/>
          <w:jc w:val="center"/>
        </w:trPr>
        <w:tc>
          <w:tcPr>
            <w:tcW w:w="516"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22989778" w14:textId="4675BC61" w:rsidR="00F53E3A" w:rsidRDefault="0035684C">
            <w:pPr>
              <w:pStyle w:val="P68B1DB1-Normal9"/>
              <w:spacing w:after="0"/>
              <w:jc w:val="center"/>
              <w:rPr>
                <w:rFonts w:cs="Times New Roman"/>
                <w:noProof/>
              </w:rPr>
            </w:pPr>
            <w:r>
              <w:rPr>
                <w:noProof/>
              </w:rPr>
              <w:t>Nr.</w:t>
            </w:r>
          </w:p>
        </w:tc>
        <w:tc>
          <w:tcPr>
            <w:tcW w:w="133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2F7A4AB" w14:textId="77777777" w:rsidR="00F53E3A" w:rsidRDefault="0036255F">
            <w:pPr>
              <w:pStyle w:val="P68B1DB1-Normal9"/>
              <w:spacing w:after="0"/>
              <w:jc w:val="center"/>
              <w:rPr>
                <w:rFonts w:eastAsia="Calibri" w:cs="Times New Roman"/>
                <w:noProof/>
              </w:rPr>
            </w:pPr>
            <w:r>
              <w:rPr>
                <w:noProof/>
              </w:rPr>
              <w:t>Măsură conexă (reformă sau investiții)</w:t>
            </w:r>
          </w:p>
        </w:tc>
        <w:tc>
          <w:tcPr>
            <w:tcW w:w="1339"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4782EEC7" w14:textId="77777777" w:rsidR="00F53E3A" w:rsidRDefault="0036255F">
            <w:pPr>
              <w:pStyle w:val="P68B1DB1-Normal9"/>
              <w:spacing w:after="0"/>
              <w:jc w:val="center"/>
              <w:rPr>
                <w:noProof/>
              </w:rPr>
            </w:pPr>
            <w:r>
              <w:rPr>
                <w:noProof/>
              </w:rPr>
              <w:t>Kilometraje/</w:t>
            </w:r>
          </w:p>
          <w:p w14:paraId="04321632" w14:textId="3F3AA2C3" w:rsidR="00F53E3A" w:rsidRDefault="0036255F">
            <w:pPr>
              <w:pStyle w:val="P68B1DB1-Normal9"/>
              <w:spacing w:after="0"/>
              <w:jc w:val="center"/>
              <w:rPr>
                <w:rFonts w:cs="Times New Roman"/>
                <w:noProof/>
              </w:rPr>
            </w:pPr>
            <w:r>
              <w:rPr>
                <w:noProof/>
              </w:rPr>
              <w:t>Țintă</w:t>
            </w:r>
          </w:p>
        </w:tc>
        <w:tc>
          <w:tcPr>
            <w:tcW w:w="173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08A35F0" w14:textId="77777777" w:rsidR="00F53E3A" w:rsidRDefault="0036255F">
            <w:pPr>
              <w:pStyle w:val="P68B1DB1-Normal9"/>
              <w:spacing w:after="0"/>
              <w:jc w:val="center"/>
              <w:rPr>
                <w:rFonts w:eastAsia="Times New Roman" w:cs="Times New Roman"/>
                <w:noProof/>
              </w:rPr>
            </w:pPr>
            <w:r>
              <w:rPr>
                <w:noProof/>
              </w:rPr>
              <w:t>Titlu</w:t>
            </w:r>
          </w:p>
        </w:tc>
        <w:tc>
          <w:tcPr>
            <w:tcW w:w="1101"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7AFD59E" w14:textId="6B36C298" w:rsidR="00F53E3A" w:rsidRDefault="0036255F">
            <w:pPr>
              <w:pStyle w:val="P68B1DB1-Normal9"/>
              <w:spacing w:after="0"/>
              <w:jc w:val="center"/>
              <w:rPr>
                <w:rFonts w:eastAsia="Times New Roman" w:cs="Times New Roman"/>
                <w:noProof/>
              </w:rPr>
            </w:pPr>
            <w:r>
              <w:rPr>
                <w:noProof/>
              </w:rPr>
              <w:t>Indicatori calitativi (pentru obiectivele de etapă)</w:t>
            </w:r>
          </w:p>
        </w:tc>
        <w:tc>
          <w:tcPr>
            <w:tcW w:w="2835"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3FA2E072" w14:textId="77777777" w:rsidR="00F53E3A" w:rsidRDefault="0036255F">
            <w:pPr>
              <w:pStyle w:val="P68B1DB1-Normal10"/>
              <w:spacing w:after="0"/>
              <w:jc w:val="center"/>
              <w:rPr>
                <w:rFonts w:ascii="Times New Roman" w:hAnsi="Times New Roman" w:cs="Times New Roman"/>
                <w:b/>
                <w:noProof/>
              </w:rPr>
            </w:pPr>
            <w:r>
              <w:rPr>
                <w:rFonts w:ascii="Times New Roman" w:hAnsi="Times New Roman"/>
                <w:b/>
                <w:noProof/>
              </w:rPr>
              <w:t>Indicatori cantitativi</w:t>
            </w:r>
            <w:r>
              <w:rPr>
                <w:noProof/>
              </w:rPr>
              <w:t xml:space="preserve"> </w:t>
            </w:r>
            <w:r>
              <w:rPr>
                <w:noProof/>
              </w:rPr>
              <w:br/>
            </w:r>
            <w:r>
              <w:rPr>
                <w:rFonts w:ascii="Times New Roman" w:hAnsi="Times New Roman"/>
                <w:b/>
                <w:noProof/>
              </w:rPr>
              <w:t>(pentru obiective)</w:t>
            </w:r>
          </w:p>
        </w:tc>
        <w:tc>
          <w:tcPr>
            <w:tcW w:w="1792"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66894B48" w14:textId="0C178C6B" w:rsidR="00F53E3A" w:rsidRDefault="0036255F">
            <w:pPr>
              <w:pStyle w:val="P68B1DB1-Normal9"/>
              <w:spacing w:after="0"/>
              <w:jc w:val="center"/>
              <w:rPr>
                <w:rFonts w:cs="Times New Roman"/>
                <w:noProof/>
              </w:rPr>
            </w:pPr>
            <w:r>
              <w:rPr>
                <w:noProof/>
              </w:rPr>
              <w:t>Calendar orientativ pentru finalizare</w:t>
            </w:r>
          </w:p>
        </w:tc>
        <w:tc>
          <w:tcPr>
            <w:tcW w:w="4060"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C19E924" w14:textId="77777777" w:rsidR="00F53E3A" w:rsidRDefault="0036255F">
            <w:pPr>
              <w:pStyle w:val="P68B1DB1-Normal9"/>
              <w:spacing w:after="0"/>
              <w:jc w:val="center"/>
              <w:rPr>
                <w:rFonts w:eastAsia="Times New Roman" w:cs="Times New Roman"/>
                <w:noProof/>
              </w:rPr>
            </w:pPr>
            <w:r>
              <w:rPr>
                <w:noProof/>
              </w:rPr>
              <w:t>Descrierea și definiția clară a fiecărui obiectiv de etapă și a fiecărei ținte</w:t>
            </w:r>
          </w:p>
        </w:tc>
      </w:tr>
      <w:tr w:rsidR="00F53E3A" w14:paraId="572C9B7C" w14:textId="77777777" w:rsidTr="00CB74C1">
        <w:trPr>
          <w:tblHeader/>
          <w:jc w:val="center"/>
        </w:trPr>
        <w:tc>
          <w:tcPr>
            <w:tcW w:w="516" w:type="dxa"/>
            <w:vMerge/>
            <w:tcBorders>
              <w:top w:val="single" w:sz="4" w:space="0" w:color="auto"/>
              <w:left w:val="single" w:sz="4" w:space="0" w:color="auto"/>
              <w:bottom w:val="single" w:sz="4" w:space="0" w:color="auto"/>
              <w:right w:val="single" w:sz="4" w:space="0" w:color="auto"/>
            </w:tcBorders>
            <w:noWrap/>
          </w:tcPr>
          <w:p w14:paraId="4C8CF51F" w14:textId="77777777" w:rsidR="00F53E3A" w:rsidRDefault="00F53E3A">
            <w:pPr>
              <w:spacing w:after="0"/>
              <w:jc w:val="center"/>
              <w:rPr>
                <w:rFonts w:ascii="Times New Roman" w:hAnsi="Times New Roman" w:cs="Times New Roman"/>
                <w:noProof/>
                <w:sz w:val="20"/>
              </w:rPr>
            </w:pPr>
          </w:p>
        </w:tc>
        <w:tc>
          <w:tcPr>
            <w:tcW w:w="1334" w:type="dxa"/>
            <w:vMerge/>
            <w:tcBorders>
              <w:top w:val="single" w:sz="4" w:space="0" w:color="auto"/>
              <w:left w:val="single" w:sz="4" w:space="0" w:color="auto"/>
              <w:bottom w:val="single" w:sz="4" w:space="0" w:color="auto"/>
              <w:right w:val="single" w:sz="4" w:space="0" w:color="auto"/>
            </w:tcBorders>
          </w:tcPr>
          <w:p w14:paraId="56A49335" w14:textId="77777777" w:rsidR="00F53E3A" w:rsidRDefault="00F53E3A">
            <w:pPr>
              <w:spacing w:after="0"/>
              <w:rPr>
                <w:rFonts w:ascii="Times New Roman" w:eastAsia="Calibri" w:hAnsi="Times New Roman" w:cs="Times New Roman"/>
                <w:noProof/>
                <w:sz w:val="20"/>
              </w:rPr>
            </w:pPr>
          </w:p>
        </w:tc>
        <w:tc>
          <w:tcPr>
            <w:tcW w:w="1339" w:type="dxa"/>
            <w:vMerge/>
            <w:tcBorders>
              <w:top w:val="single" w:sz="4" w:space="0" w:color="auto"/>
              <w:left w:val="single" w:sz="4" w:space="0" w:color="auto"/>
              <w:bottom w:val="single" w:sz="4" w:space="0" w:color="auto"/>
              <w:right w:val="single" w:sz="4" w:space="0" w:color="auto"/>
            </w:tcBorders>
            <w:noWrap/>
          </w:tcPr>
          <w:p w14:paraId="02B03625" w14:textId="77777777" w:rsidR="00F53E3A" w:rsidRDefault="00F53E3A">
            <w:pPr>
              <w:spacing w:after="0"/>
              <w:rPr>
                <w:rFonts w:ascii="Times New Roman" w:hAnsi="Times New Roman" w:cs="Times New Roman"/>
                <w:noProof/>
                <w:sz w:val="20"/>
              </w:rPr>
            </w:pPr>
          </w:p>
        </w:tc>
        <w:tc>
          <w:tcPr>
            <w:tcW w:w="1734" w:type="dxa"/>
            <w:vMerge/>
            <w:tcBorders>
              <w:top w:val="single" w:sz="4" w:space="0" w:color="auto"/>
              <w:left w:val="single" w:sz="4" w:space="0" w:color="auto"/>
              <w:bottom w:val="single" w:sz="4" w:space="0" w:color="auto"/>
              <w:right w:val="single" w:sz="4" w:space="0" w:color="auto"/>
            </w:tcBorders>
          </w:tcPr>
          <w:p w14:paraId="3D19CD68" w14:textId="77777777" w:rsidR="00F53E3A" w:rsidRDefault="00F53E3A">
            <w:pPr>
              <w:spacing w:after="0"/>
              <w:rPr>
                <w:rFonts w:ascii="Times New Roman" w:hAnsi="Times New Roman" w:cs="Times New Roman"/>
                <w:noProof/>
                <w:sz w:val="20"/>
              </w:rPr>
            </w:pPr>
          </w:p>
        </w:tc>
        <w:tc>
          <w:tcPr>
            <w:tcW w:w="1101" w:type="dxa"/>
            <w:vMerge/>
            <w:tcBorders>
              <w:top w:val="single" w:sz="4" w:space="0" w:color="auto"/>
              <w:left w:val="single" w:sz="4" w:space="0" w:color="auto"/>
              <w:bottom w:val="single" w:sz="4" w:space="0" w:color="auto"/>
              <w:right w:val="single" w:sz="4" w:space="0" w:color="auto"/>
            </w:tcBorders>
          </w:tcPr>
          <w:p w14:paraId="21E9EFD1" w14:textId="77777777" w:rsidR="00F53E3A" w:rsidRDefault="00F53E3A">
            <w:pPr>
              <w:spacing w:after="0"/>
              <w:rPr>
                <w:rFonts w:ascii="Times New Roman" w:eastAsia="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26A1F806" w14:textId="77777777" w:rsidR="00F53E3A" w:rsidRDefault="0036255F">
            <w:pPr>
              <w:pStyle w:val="P68B1DB1-Normal9"/>
              <w:spacing w:after="0"/>
              <w:jc w:val="center"/>
              <w:rPr>
                <w:rFonts w:cs="Times New Roman"/>
                <w:noProof/>
              </w:rPr>
            </w:pPr>
            <w:r>
              <w:rPr>
                <w:noProof/>
              </w:rPr>
              <w:t>Unitate</w:t>
            </w:r>
          </w:p>
        </w:tc>
        <w:tc>
          <w:tcPr>
            <w:tcW w:w="993"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EB4C284" w14:textId="77777777" w:rsidR="00F53E3A" w:rsidRDefault="0036255F">
            <w:pPr>
              <w:pStyle w:val="P68B1DB1-Normal9"/>
              <w:spacing w:after="0"/>
              <w:jc w:val="center"/>
              <w:rPr>
                <w:rFonts w:cs="Times New Roman"/>
                <w:noProof/>
              </w:rPr>
            </w:pPr>
            <w:r>
              <w:rPr>
                <w:noProof/>
              </w:rPr>
              <w:t>Situația de referință</w:t>
            </w:r>
          </w:p>
        </w:tc>
        <w:tc>
          <w:tcPr>
            <w:tcW w:w="992"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7970E9A" w14:textId="77777777" w:rsidR="00F53E3A" w:rsidRDefault="0036255F">
            <w:pPr>
              <w:pStyle w:val="P68B1DB1-Normal9"/>
              <w:spacing w:after="0"/>
              <w:jc w:val="center"/>
              <w:rPr>
                <w:rFonts w:cs="Times New Roman"/>
                <w:noProof/>
              </w:rPr>
            </w:pPr>
            <w:r>
              <w:rPr>
                <w:noProof/>
              </w:rPr>
              <w:t>Obiectiv</w:t>
            </w:r>
          </w:p>
        </w:tc>
        <w:tc>
          <w:tcPr>
            <w:tcW w:w="1096"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2918232E" w14:textId="77777777" w:rsidR="00F53E3A" w:rsidRDefault="0036255F">
            <w:pPr>
              <w:pStyle w:val="P68B1DB1-Normal9"/>
              <w:spacing w:after="0"/>
              <w:jc w:val="center"/>
              <w:rPr>
                <w:rFonts w:cs="Times New Roman"/>
                <w:noProof/>
              </w:rPr>
            </w:pPr>
            <w:r>
              <w:rPr>
                <w:noProof/>
              </w:rPr>
              <w:t>Trimestru</w:t>
            </w:r>
          </w:p>
        </w:tc>
        <w:tc>
          <w:tcPr>
            <w:tcW w:w="696"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E0A7182" w14:textId="77777777" w:rsidR="00F53E3A" w:rsidRDefault="0036255F">
            <w:pPr>
              <w:pStyle w:val="P68B1DB1-Normal9"/>
              <w:spacing w:after="0"/>
              <w:jc w:val="center"/>
              <w:rPr>
                <w:rFonts w:cs="Times New Roman"/>
                <w:noProof/>
              </w:rPr>
            </w:pPr>
            <w:r>
              <w:rPr>
                <w:noProof/>
              </w:rPr>
              <w:t>Anul</w:t>
            </w:r>
          </w:p>
        </w:tc>
        <w:tc>
          <w:tcPr>
            <w:tcW w:w="4060" w:type="dxa"/>
            <w:vMerge/>
            <w:tcBorders>
              <w:top w:val="single" w:sz="4" w:space="0" w:color="auto"/>
              <w:left w:val="single" w:sz="4" w:space="0" w:color="auto"/>
              <w:bottom w:val="single" w:sz="4" w:space="0" w:color="auto"/>
              <w:right w:val="single" w:sz="4" w:space="0" w:color="auto"/>
            </w:tcBorders>
          </w:tcPr>
          <w:p w14:paraId="11B13AE2" w14:textId="77777777" w:rsidR="00F53E3A" w:rsidRDefault="00F53E3A">
            <w:pPr>
              <w:spacing w:after="0"/>
              <w:rPr>
                <w:rFonts w:ascii="Times New Roman" w:hAnsi="Times New Roman" w:cs="Times New Roman"/>
                <w:b/>
                <w:noProof/>
                <w:sz w:val="20"/>
              </w:rPr>
            </w:pPr>
          </w:p>
        </w:tc>
      </w:tr>
      <w:tr w:rsidR="00F53E3A" w14:paraId="01E746AD" w14:textId="77777777" w:rsidTr="00CB74C1">
        <w:trPr>
          <w:jc w:val="center"/>
        </w:trPr>
        <w:tc>
          <w:tcPr>
            <w:tcW w:w="51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555C467" w14:textId="1D40FFEE" w:rsidR="00F53E3A" w:rsidRDefault="0036255F">
            <w:pPr>
              <w:pStyle w:val="P68B1DB1-Normal12"/>
              <w:spacing w:after="0"/>
              <w:jc w:val="center"/>
              <w:rPr>
                <w:rFonts w:cs="Times New Roman"/>
                <w:noProof/>
              </w:rPr>
            </w:pPr>
            <w:r>
              <w:rPr>
                <w:noProof/>
              </w:rPr>
              <w:t>58a</w:t>
            </w:r>
          </w:p>
        </w:tc>
        <w:tc>
          <w:tcPr>
            <w:tcW w:w="13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65C93E3" w14:textId="14EA6A90" w:rsidR="00F53E3A" w:rsidRDefault="0036255F">
            <w:pPr>
              <w:pStyle w:val="P68B1DB1-Normal12"/>
              <w:spacing w:after="0"/>
              <w:jc w:val="both"/>
              <w:rPr>
                <w:rFonts w:eastAsia="Calibri" w:cs="Times New Roman"/>
                <w:noProof/>
              </w:rPr>
            </w:pPr>
            <w:r>
              <w:rPr>
                <w:noProof/>
              </w:rPr>
              <w:t>B.3.1 Dezvoltarea de produse financiare ecologice</w:t>
            </w:r>
          </w:p>
        </w:tc>
        <w:tc>
          <w:tcPr>
            <w:tcW w:w="133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8A23797" w14:textId="0BD15C63" w:rsidR="00F53E3A" w:rsidRDefault="0036255F">
            <w:pPr>
              <w:pStyle w:val="P68B1DB1-Normal12"/>
              <w:spacing w:after="0"/>
              <w:jc w:val="both"/>
              <w:rPr>
                <w:rFonts w:cs="Times New Roman"/>
                <w:noProof/>
              </w:rPr>
            </w:pPr>
            <w:r>
              <w:rPr>
                <w:noProof/>
              </w:rPr>
              <w:t>Etapă</w:t>
            </w:r>
          </w:p>
        </w:tc>
        <w:tc>
          <w:tcPr>
            <w:tcW w:w="17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23B8AAD" w14:textId="0AAFA1E9" w:rsidR="00F53E3A" w:rsidRDefault="0036255F">
            <w:pPr>
              <w:pStyle w:val="P68B1DB1-Normal12"/>
              <w:spacing w:after="0"/>
              <w:jc w:val="both"/>
              <w:rPr>
                <w:rFonts w:eastAsia="Times New Roman" w:cs="Times New Roman"/>
                <w:noProof/>
              </w:rPr>
            </w:pPr>
            <w:r>
              <w:rPr>
                <w:noProof/>
              </w:rPr>
              <w:t xml:space="preserve">Aprobarea Planului de acțiune privind finanțarea ecologică </w:t>
            </w:r>
          </w:p>
        </w:tc>
        <w:tc>
          <w:tcPr>
            <w:tcW w:w="11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143DB21" w14:textId="72C63696" w:rsidR="00F53E3A" w:rsidRDefault="0036255F">
            <w:pPr>
              <w:pStyle w:val="P68B1DB1-Normal12"/>
              <w:spacing w:after="0"/>
              <w:jc w:val="both"/>
              <w:rPr>
                <w:rFonts w:eastAsia="Times New Roman" w:cs="Times New Roman"/>
                <w:noProof/>
              </w:rPr>
            </w:pPr>
            <w:r>
              <w:rPr>
                <w:noProof/>
              </w:rPr>
              <w:t>Intrarea în vigoare a Ordinului ministrului de finanțe</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33A3104" w14:textId="26DBF45B" w:rsidR="00F53E3A" w:rsidRDefault="00F53E3A">
            <w:pPr>
              <w:spacing w:after="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A7750DB" w14:textId="1927CC79" w:rsidR="00F53E3A" w:rsidRDefault="00F53E3A">
            <w:pPr>
              <w:spacing w:after="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E659256" w14:textId="39FF7B3E" w:rsidR="00F53E3A" w:rsidRDefault="00F53E3A">
            <w:pPr>
              <w:spacing w:after="0"/>
              <w:jc w:val="center"/>
              <w:rPr>
                <w:rFonts w:ascii="Times New Roman" w:hAnsi="Times New Roman" w:cs="Times New Roman"/>
                <w:noProof/>
                <w:sz w:val="20"/>
              </w:rPr>
            </w:pPr>
          </w:p>
        </w:tc>
        <w:tc>
          <w:tcPr>
            <w:tcW w:w="10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9ABD099" w14:textId="7359D5DE" w:rsidR="00F53E3A" w:rsidRDefault="00DB2EC5">
            <w:pPr>
              <w:pStyle w:val="P68B1DB1-Normal12"/>
              <w:spacing w:after="0"/>
              <w:jc w:val="center"/>
              <w:rPr>
                <w:rFonts w:cs="Times New Roman"/>
                <w:noProof/>
              </w:rPr>
            </w:pPr>
            <w:r>
              <w:rPr>
                <w:noProof/>
              </w:rPr>
              <w:t>T2</w:t>
            </w:r>
          </w:p>
        </w:tc>
        <w:tc>
          <w:tcPr>
            <w:tcW w:w="6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F6E5206" w14:textId="5AB1C853" w:rsidR="00F53E3A" w:rsidRDefault="0036255F">
            <w:pPr>
              <w:pStyle w:val="P68B1DB1-Normal12"/>
              <w:spacing w:after="0"/>
              <w:jc w:val="center"/>
              <w:rPr>
                <w:rFonts w:cs="Times New Roman"/>
                <w:noProof/>
              </w:rPr>
            </w:pPr>
            <w:r>
              <w:rPr>
                <w:noProof/>
              </w:rPr>
              <w:t>2023</w:t>
            </w:r>
          </w:p>
        </w:tc>
        <w:tc>
          <w:tcPr>
            <w:tcW w:w="40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0A1DC6A" w14:textId="456FC9A2" w:rsidR="00F53E3A" w:rsidRDefault="0036255F">
            <w:pPr>
              <w:pStyle w:val="P68B1DB1-Normal12"/>
              <w:spacing w:after="0"/>
              <w:jc w:val="both"/>
              <w:rPr>
                <w:rFonts w:eastAsia="Times New Roman" w:cs="Times New Roman"/>
                <w:noProof/>
              </w:rPr>
            </w:pPr>
            <w:r>
              <w:rPr>
                <w:noProof/>
              </w:rPr>
              <w:t xml:space="preserve">Intrarea în vigoare a Ordinului ministrului de finanțe de aprobare a Planului de acțiune lituanian privind finanțarea verde, care vizează mobilizarea finanțării publice și private pentru a îndeplini obiectivele de atenuare a schimbărilor climatice și de adaptare la acestea și pentru a spori atractivitatea Lituaniei pentru investitorii în produse financiare verzi. </w:t>
            </w:r>
          </w:p>
          <w:p w14:paraId="4EDF3EB5" w14:textId="6982553C" w:rsidR="00F53E3A" w:rsidRDefault="0036255F">
            <w:pPr>
              <w:pStyle w:val="P68B1DB1-Normal12"/>
              <w:spacing w:after="0"/>
              <w:jc w:val="both"/>
              <w:rPr>
                <w:rFonts w:cs="Times New Roman"/>
                <w:noProof/>
              </w:rPr>
            </w:pPr>
            <w:r>
              <w:rPr>
                <w:noProof/>
              </w:rPr>
              <w:t xml:space="preserve">Planul de acțiune include următoarele: </w:t>
            </w:r>
          </w:p>
          <w:p w14:paraId="2EFD08EF" w14:textId="60A7B73D" w:rsidR="00F53E3A" w:rsidRDefault="0036255F">
            <w:pPr>
              <w:pStyle w:val="P68B1DB1-ListParagraph23"/>
              <w:numPr>
                <w:ilvl w:val="0"/>
                <w:numId w:val="31"/>
              </w:numPr>
              <w:spacing w:after="0" w:line="276" w:lineRule="auto"/>
              <w:ind w:left="357" w:hanging="357"/>
              <w:jc w:val="both"/>
              <w:rPr>
                <w:rFonts w:eastAsia="Times New Roman" w:cs="Times New Roman"/>
                <w:noProof/>
              </w:rPr>
            </w:pPr>
            <w:r>
              <w:rPr>
                <w:noProof/>
              </w:rPr>
              <w:t xml:space="preserve">înființarea unui Centru de cunoștințe și competențe în materie de finanțe ecologice; </w:t>
            </w:r>
          </w:p>
          <w:p w14:paraId="6F120FCF" w14:textId="0B6EA6A0" w:rsidR="00F53E3A" w:rsidRDefault="0036255F">
            <w:pPr>
              <w:pStyle w:val="P68B1DB1-ListParagraph23"/>
              <w:numPr>
                <w:ilvl w:val="0"/>
                <w:numId w:val="31"/>
              </w:numPr>
              <w:spacing w:after="0" w:line="276" w:lineRule="auto"/>
              <w:ind w:left="357" w:hanging="357"/>
              <w:jc w:val="both"/>
              <w:rPr>
                <w:rFonts w:eastAsia="Times New Roman" w:cs="Times New Roman"/>
                <w:noProof/>
              </w:rPr>
            </w:pPr>
            <w:r>
              <w:rPr>
                <w:noProof/>
              </w:rPr>
              <w:t>promovarea dezvoltării finanțării publice verzi;</w:t>
            </w:r>
          </w:p>
          <w:p w14:paraId="4209B589" w14:textId="6AA94768" w:rsidR="00F53E3A" w:rsidRDefault="0036255F">
            <w:pPr>
              <w:pStyle w:val="P68B1DB1-ListParagraph23"/>
              <w:numPr>
                <w:ilvl w:val="0"/>
                <w:numId w:val="31"/>
              </w:numPr>
              <w:spacing w:after="0" w:line="276" w:lineRule="auto"/>
              <w:ind w:left="357" w:hanging="357"/>
              <w:jc w:val="both"/>
              <w:rPr>
                <w:rFonts w:eastAsia="Times New Roman" w:cs="Times New Roman"/>
                <w:noProof/>
              </w:rPr>
            </w:pPr>
            <w:r>
              <w:rPr>
                <w:noProof/>
              </w:rPr>
              <w:t>crearea condițiilor prealabile pentru atragerea investițiilor din sectorul privat în vederea atingerii obiectivelor ecologice;</w:t>
            </w:r>
          </w:p>
          <w:p w14:paraId="051A9459" w14:textId="1687FC64" w:rsidR="00F53E3A" w:rsidRDefault="0036255F">
            <w:pPr>
              <w:pStyle w:val="P68B1DB1-ListParagraph23"/>
              <w:numPr>
                <w:ilvl w:val="0"/>
                <w:numId w:val="31"/>
              </w:numPr>
              <w:spacing w:after="0" w:line="276" w:lineRule="auto"/>
              <w:ind w:left="357" w:hanging="357"/>
              <w:jc w:val="both"/>
              <w:rPr>
                <w:rFonts w:eastAsia="Times New Roman" w:cs="Times New Roman"/>
                <w:noProof/>
              </w:rPr>
            </w:pPr>
            <w:r>
              <w:rPr>
                <w:noProof/>
              </w:rPr>
              <w:t xml:space="preserve">asigurarea accesului la date legate de durabilitate; </w:t>
            </w:r>
          </w:p>
          <w:p w14:paraId="395B62BA" w14:textId="5F45485E" w:rsidR="00F53E3A" w:rsidRDefault="0036255F">
            <w:pPr>
              <w:pStyle w:val="P68B1DB1-ListParagraph23"/>
              <w:numPr>
                <w:ilvl w:val="0"/>
                <w:numId w:val="31"/>
              </w:numPr>
              <w:spacing w:after="0"/>
              <w:ind w:left="357" w:hanging="357"/>
              <w:jc w:val="both"/>
              <w:rPr>
                <w:rFonts w:eastAsia="Times New Roman" w:cs="Times New Roman"/>
                <w:noProof/>
              </w:rPr>
            </w:pPr>
            <w:r>
              <w:rPr>
                <w:noProof/>
              </w:rPr>
              <w:t>dezvoltarea competențelor în domeniul finanțelor verzi și al educației publice.</w:t>
            </w:r>
          </w:p>
        </w:tc>
      </w:tr>
      <w:tr w:rsidR="00F53E3A" w14:paraId="6221CA94" w14:textId="77777777" w:rsidTr="00CB74C1">
        <w:trPr>
          <w:jc w:val="center"/>
        </w:trPr>
        <w:tc>
          <w:tcPr>
            <w:tcW w:w="51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0F7345A" w14:textId="18CD6D1E" w:rsidR="00F53E3A" w:rsidRDefault="0036255F">
            <w:pPr>
              <w:pStyle w:val="P68B1DB1-Normal12"/>
              <w:spacing w:after="0"/>
              <w:jc w:val="center"/>
              <w:rPr>
                <w:rFonts w:cs="Times New Roman"/>
                <w:noProof/>
              </w:rPr>
            </w:pPr>
            <w:r>
              <w:rPr>
                <w:noProof/>
              </w:rPr>
              <w:t>58b</w:t>
            </w:r>
          </w:p>
        </w:tc>
        <w:tc>
          <w:tcPr>
            <w:tcW w:w="13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A03E5B" w14:textId="0D258505" w:rsidR="00F53E3A" w:rsidRDefault="0036255F">
            <w:pPr>
              <w:pStyle w:val="P68B1DB1-Normal12"/>
              <w:spacing w:after="0"/>
              <w:jc w:val="both"/>
              <w:rPr>
                <w:rFonts w:eastAsia="Times New Roman" w:cs="Times New Roman"/>
                <w:noProof/>
              </w:rPr>
            </w:pPr>
            <w:r>
              <w:rPr>
                <w:noProof/>
              </w:rPr>
              <w:t>B.3.1 Dezvoltarea de produse financiare ecologice</w:t>
            </w:r>
          </w:p>
        </w:tc>
        <w:tc>
          <w:tcPr>
            <w:tcW w:w="133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C8504D9" w14:textId="7057CC78" w:rsidR="00F53E3A" w:rsidRDefault="0036255F">
            <w:pPr>
              <w:pStyle w:val="P68B1DB1-Normal12"/>
              <w:spacing w:after="0"/>
              <w:jc w:val="both"/>
              <w:rPr>
                <w:rFonts w:cs="Times New Roman"/>
                <w:noProof/>
              </w:rPr>
            </w:pPr>
            <w:r>
              <w:rPr>
                <w:noProof/>
              </w:rPr>
              <w:t>Etapă</w:t>
            </w:r>
          </w:p>
        </w:tc>
        <w:tc>
          <w:tcPr>
            <w:tcW w:w="17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617BFDD" w14:textId="7397A2D6" w:rsidR="00F53E3A" w:rsidRDefault="0036255F">
            <w:pPr>
              <w:pStyle w:val="P68B1DB1-Normal12"/>
              <w:spacing w:after="0"/>
              <w:rPr>
                <w:rFonts w:eastAsia="Times New Roman" w:cs="Times New Roman"/>
                <w:noProof/>
              </w:rPr>
            </w:pPr>
            <w:r>
              <w:rPr>
                <w:noProof/>
              </w:rPr>
              <w:t>Înființarea și punerea în funcțiune a Centrului de competențe și cunoștințe privind finanțarea ecologică</w:t>
            </w:r>
          </w:p>
        </w:tc>
        <w:tc>
          <w:tcPr>
            <w:tcW w:w="11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828629D" w14:textId="35001F8E" w:rsidR="00F53E3A" w:rsidRDefault="0036255F">
            <w:pPr>
              <w:pStyle w:val="P68B1DB1-Normal12"/>
              <w:spacing w:after="0"/>
              <w:rPr>
                <w:rFonts w:eastAsia="Times New Roman" w:cs="Times New Roman"/>
                <w:noProof/>
              </w:rPr>
            </w:pPr>
            <w:r>
              <w:rPr>
                <w:noProof/>
              </w:rPr>
              <w:t>Centrul de competențe și cunoștințe privind finanțarea ecologică a intrat în funcțiune</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05C1F5D" w14:textId="77777777" w:rsidR="00F53E3A" w:rsidRDefault="00F53E3A">
            <w:pPr>
              <w:spacing w:after="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92C1611" w14:textId="77777777" w:rsidR="00F53E3A" w:rsidRDefault="00F53E3A">
            <w:pPr>
              <w:spacing w:after="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B575794" w14:textId="77777777" w:rsidR="00F53E3A" w:rsidRDefault="00F53E3A">
            <w:pPr>
              <w:spacing w:after="0"/>
              <w:jc w:val="center"/>
              <w:rPr>
                <w:rFonts w:ascii="Times New Roman" w:hAnsi="Times New Roman" w:cs="Times New Roman"/>
                <w:noProof/>
                <w:sz w:val="20"/>
              </w:rPr>
            </w:pPr>
          </w:p>
        </w:tc>
        <w:tc>
          <w:tcPr>
            <w:tcW w:w="10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0C79497" w14:textId="5F6EBA74" w:rsidR="00F53E3A" w:rsidRDefault="00DB2EC5">
            <w:pPr>
              <w:pStyle w:val="P68B1DB1-Normal12"/>
              <w:spacing w:after="0"/>
              <w:jc w:val="center"/>
              <w:rPr>
                <w:rFonts w:eastAsia="Times New Roman" w:cs="Times New Roman"/>
                <w:noProof/>
              </w:rPr>
            </w:pPr>
            <w:r>
              <w:rPr>
                <w:noProof/>
              </w:rPr>
              <w:t>T4</w:t>
            </w:r>
          </w:p>
        </w:tc>
        <w:tc>
          <w:tcPr>
            <w:tcW w:w="6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39C5E2A" w14:textId="49F14B68" w:rsidR="00F53E3A" w:rsidRDefault="0036255F">
            <w:pPr>
              <w:pStyle w:val="P68B1DB1-Normal12"/>
              <w:spacing w:after="0"/>
              <w:jc w:val="center"/>
              <w:rPr>
                <w:rFonts w:eastAsia="Times New Roman" w:cs="Times New Roman"/>
                <w:noProof/>
              </w:rPr>
            </w:pPr>
            <w:r>
              <w:rPr>
                <w:noProof/>
              </w:rPr>
              <w:t>2023</w:t>
            </w:r>
          </w:p>
        </w:tc>
        <w:tc>
          <w:tcPr>
            <w:tcW w:w="40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0D54E19" w14:textId="2670F031" w:rsidR="00F53E3A" w:rsidRDefault="0036255F">
            <w:pPr>
              <w:pStyle w:val="P68B1DB1-Normal12"/>
              <w:spacing w:after="0"/>
              <w:jc w:val="both"/>
              <w:rPr>
                <w:rFonts w:eastAsia="Times New Roman" w:cs="Times New Roman"/>
                <w:noProof/>
              </w:rPr>
            </w:pPr>
            <w:r>
              <w:rPr>
                <w:noProof/>
              </w:rPr>
              <w:t>În cadrul structurii INVEGA se înființează un Centru de competențe și cunoștințe privind finanțarea ecologică, care va intra în funcțiune pentru a contribui la dezvoltarea unui ecosistem durabil de etichetare în Lituania pe baza practicilor internaționale, pentru a asigura diseminarea informațiilor relevante legate de durabilitate, pentru a coordona cooperarea dintre sectorul public și cel privat și mediul academic și pentru a promova Lituania în domeniul finanțării durabile.</w:t>
            </w:r>
          </w:p>
        </w:tc>
      </w:tr>
    </w:tbl>
    <w:p w14:paraId="3A825414" w14:textId="6C818F7C" w:rsidR="00F53E3A" w:rsidRDefault="00F53E3A">
      <w:pPr>
        <w:pStyle w:val="Text1"/>
        <w:ind w:left="0"/>
        <w:rPr>
          <w:noProof/>
        </w:rPr>
        <w:sectPr w:rsidR="00F53E3A" w:rsidSect="0074650A">
          <w:headerReference w:type="even" r:id="rId48"/>
          <w:headerReference w:type="default" r:id="rId49"/>
          <w:footerReference w:type="even" r:id="rId50"/>
          <w:footerReference w:type="default" r:id="rId51"/>
          <w:headerReference w:type="first" r:id="rId52"/>
          <w:footerReference w:type="first" r:id="rId53"/>
          <w:pgSz w:w="16839" w:h="11907" w:orient="landscape"/>
          <w:pgMar w:top="1134" w:right="1134" w:bottom="1134" w:left="1134" w:header="567" w:footer="567" w:gutter="0"/>
          <w:cols w:space="720"/>
          <w:docGrid w:linePitch="360"/>
        </w:sectPr>
      </w:pPr>
    </w:p>
    <w:p w14:paraId="3AE26315" w14:textId="77777777" w:rsidR="00F53E3A" w:rsidRDefault="0036255F">
      <w:pPr>
        <w:pStyle w:val="ManualHeading1"/>
        <w:tabs>
          <w:tab w:val="clear" w:pos="850"/>
        </w:tabs>
        <w:spacing w:before="0" w:after="200"/>
        <w:ind w:left="0" w:firstLine="0"/>
        <w:rPr>
          <w:noProof/>
        </w:rPr>
      </w:pPr>
      <w:r>
        <w:rPr>
          <w:noProof/>
        </w:rPr>
        <w:t>C. COMPONENTA 3: Transformarea digitală pentru creștere</w:t>
      </w:r>
    </w:p>
    <w:p w14:paraId="19FFDE32" w14:textId="4EE99702" w:rsidR="00F53E3A" w:rsidRDefault="0036255F">
      <w:pPr>
        <w:pStyle w:val="P68B1DB1-Normal4"/>
        <w:jc w:val="both"/>
        <w:rPr>
          <w:rFonts w:eastAsia="Times New Roman" w:cs="Times New Roman"/>
          <w:noProof/>
        </w:rPr>
      </w:pPr>
      <w:r>
        <w:rPr>
          <w:noProof/>
        </w:rPr>
        <w:t>Componenta planului lituanian de redresare și reziliență abordează mai multe aspecte ale transformării digitale – conectivitatea digitală, inclusiv decalajul digital dintre zonele urbane și cele rurale, digitalizarea sectoarelor public și privat și competențele digitale. Componenta include măsuri de facilitare a implementării tehnologiei 5G, de dezvoltare în continuare a infrastructurii de fibră optică în zonele rurale și îndepărtate și de promovare a inovării în materie de conectivitate. În plus, reformele și investițiile substanțiale vizează digitalizarea sectorului public. Se are în vedere promovarea competențelor digitale pentru copii, angajați și persoanele în vârstă, precum și măsuri de abordare a deficitului de angajați IT de pe piața forței de muncă. În plus, componenta propune investiții pentru a promova adoptarea tehnologiilor digitale avansate în sectorul privat, în special în ceea ce privește cooperarea dintre mediul științific și mediul de afaceri pentru tehnologiile inovatoare și digitalizarea sectorului cultural. În ansamblu, componenta include cinci măsuri (trei</w:t>
      </w:r>
      <w:r w:rsidR="00CB74C1">
        <w:rPr>
          <w:noProof/>
        </w:rPr>
        <w:t> </w:t>
      </w:r>
      <w:r>
        <w:rPr>
          <w:noProof/>
        </w:rPr>
        <w:t>reforme și două investiții).</w:t>
      </w:r>
    </w:p>
    <w:p w14:paraId="07FBE38F" w14:textId="77777777" w:rsidR="00F53E3A" w:rsidRDefault="0036255F">
      <w:pPr>
        <w:pStyle w:val="P68B1DB1-Normal4"/>
        <w:jc w:val="both"/>
        <w:rPr>
          <w:rFonts w:eastAsia="Times New Roman" w:cs="Times New Roman"/>
          <w:noProof/>
          <w:szCs w:val="24"/>
        </w:rPr>
      </w:pPr>
      <w:r>
        <w:rPr>
          <w:noProof/>
        </w:rPr>
        <w:t>Componenta abordează recomandarea specifică fiecărei țări de a promova investițiile în tranziția digitală, în special acoperirea și adoptarea benzii largi de mare capacitate (Recomandarea specifică fiecărei țări 3 2020). În plus, se preconizează că această componentă va contribui la stimularea creșterii productivității, inclusiv prin eficientizarea investițiilor publice (Recomandarea specifică fiecărei țări 3 2019), deoarece include măsuri de digitalizare a sectorului public care vor avea un impact pozitiv de durată asupra funcționării administrației publice și a productivității acesteia. Măsurile din cadrul componentei abordează, de asemenea, parțial provocările legate de inovarea tehnologică în întreprinderile mici și mijlocii (Recomandarea specifică fiecărei țări 3 2020). În general, dimensiunea și domeniul de aplicare al investițiilor și reformelor avute în vedere pentru tranziția digitală contribuie indirect la atenuarea impactului crizei asupra ocupării forței de muncă (Recomandarea specifică fiecărei țări 2 2020) și la promovarea investițiilor pentru inovare (Recomandarea specifică fiecărei țări 3 2019).</w:t>
      </w:r>
    </w:p>
    <w:p w14:paraId="65558BAF" w14:textId="77777777" w:rsidR="00F53E3A" w:rsidRDefault="0036255F">
      <w:pPr>
        <w:pStyle w:val="P68B1DB1-Normal4"/>
        <w:jc w:val="both"/>
        <w:rPr>
          <w:rFonts w:eastAsia="Times New Roman" w:cs="Times New Roman"/>
          <w:noProof/>
          <w:szCs w:val="24"/>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1DDCB542" w14:textId="2F021497" w:rsidR="00F53E3A" w:rsidRDefault="0036255F">
      <w:pPr>
        <w:pStyle w:val="P68B1DB1-Text15"/>
        <w:keepNext/>
        <w:keepLines/>
        <w:spacing w:before="0" w:after="200" w:line="276" w:lineRule="auto"/>
        <w:ind w:left="0"/>
        <w:outlineLvl w:val="1"/>
        <w:rPr>
          <w:bCs/>
          <w:noProof/>
        </w:rPr>
      </w:pPr>
      <w:r>
        <w:rPr>
          <w:noProof/>
        </w:rPr>
        <w:t xml:space="preserve">C.1. Descrierea reformelor și a investițiilor pentru sprijinul financiar nerambursabil </w:t>
      </w:r>
    </w:p>
    <w:p w14:paraId="3722620B" w14:textId="26E137E7" w:rsidR="00F53E3A" w:rsidRDefault="0036255F">
      <w:pPr>
        <w:pStyle w:val="P68B1DB1-Normal6"/>
        <w:keepNext/>
        <w:keepLines/>
        <w:jc w:val="both"/>
        <w:rPr>
          <w:rFonts w:eastAsia="Times New Roman" w:cs="Times New Roman"/>
          <w:noProof/>
          <w:szCs w:val="24"/>
        </w:rPr>
      </w:pPr>
      <w:r>
        <w:rPr>
          <w:noProof/>
        </w:rPr>
        <w:t>C.1.1. Reforma 1 Transformarea guvernanței publice în domeniul tehnologiei informației</w:t>
      </w:r>
    </w:p>
    <w:p w14:paraId="4EE970D2" w14:textId="59E337BB" w:rsidR="00F53E3A" w:rsidRDefault="0036255F">
      <w:pPr>
        <w:pStyle w:val="P68B1DB1-Normal4"/>
        <w:jc w:val="both"/>
        <w:rPr>
          <w:rFonts w:eastAsia="Times New Roman" w:cs="Times New Roman"/>
          <w:noProof/>
          <w:szCs w:val="24"/>
        </w:rPr>
      </w:pPr>
      <w:r>
        <w:rPr>
          <w:noProof/>
        </w:rPr>
        <w:t>Obiectivul reformei este de a consolida resursele informaționale ale statului și de a gestiona la nivel central infrastructura, serviciile și procesele informatice ale instituțiilor publice. Reforma constă în migrarea sistemelor gestionate de instituțiile statului către un cloud hibrid.</w:t>
      </w:r>
    </w:p>
    <w:p w14:paraId="314A5371" w14:textId="6628A82E" w:rsidR="00F53E3A" w:rsidRDefault="0036255F">
      <w:pPr>
        <w:pStyle w:val="P68B1DB1-Normal6"/>
        <w:keepNext/>
        <w:keepLines/>
        <w:jc w:val="both"/>
        <w:rPr>
          <w:rFonts w:eastAsia="Times New Roman" w:cs="Times New Roman"/>
          <w:noProof/>
          <w:szCs w:val="24"/>
        </w:rPr>
      </w:pPr>
      <w:r>
        <w:rPr>
          <w:noProof/>
        </w:rPr>
        <w:t>C.1.1a Investiția 1a Dezvoltarea securității cibernetice de stat</w:t>
      </w:r>
    </w:p>
    <w:p w14:paraId="0D3DC1E2" w14:textId="6D1D4629" w:rsidR="00F53E3A" w:rsidRDefault="0036255F">
      <w:pPr>
        <w:pStyle w:val="P68B1DB1-Normal4"/>
        <w:jc w:val="both"/>
        <w:rPr>
          <w:rFonts w:eastAsia="Times New Roman" w:cs="Times New Roman"/>
          <w:noProof/>
          <w:szCs w:val="24"/>
        </w:rPr>
      </w:pPr>
      <w:r>
        <w:rPr>
          <w:noProof/>
        </w:rPr>
        <w:t>Obiectivul investiției este de a spori capacitățile statului în materie de securitate cibernetică. Investiția constă în adoptarea unui program național de dezvoltare a securității cibernetice, instituirea unui sistem de monitorizare a securității cibernetice, furnizarea de hardware și software pentru investigarea infracțiunilor cibernetice și formarea în materie de securitate cibernetică.</w:t>
      </w:r>
    </w:p>
    <w:p w14:paraId="16955EC1" w14:textId="1E3C22EB" w:rsidR="00F53E3A" w:rsidRDefault="0036255F">
      <w:pPr>
        <w:pStyle w:val="paragraph"/>
        <w:numPr>
          <w:ilvl w:val="0"/>
          <w:numId w:val="28"/>
        </w:numPr>
        <w:spacing w:before="0" w:beforeAutospacing="0" w:after="200" w:afterAutospacing="0" w:line="276" w:lineRule="auto"/>
        <w:ind w:left="714" w:hanging="357"/>
        <w:contextualSpacing/>
        <w:jc w:val="both"/>
        <w:textAlignment w:val="baseline"/>
        <w:rPr>
          <w:noProof/>
        </w:rPr>
      </w:pPr>
      <w:r>
        <w:rPr>
          <w:noProof/>
        </w:rPr>
        <w:t>Adoptarea unui program național de dezvoltare a securității cibernetice, care este un document de planificare pe 4 ani ce urmează să fie elaborat în conformitate cu Legea privind guvernanța strategică a Republicii Lituania și cu legislația secundară. Programul servește drept bază pentru activitățile enumerate la literele (b)-(d), descriind provocările în materie de securitate cibernetică care trebuie abordate și identificând fondurile și resursele necesare pentru punerea în aplicare a acțiunilor.</w:t>
      </w:r>
    </w:p>
    <w:p w14:paraId="6C99FF47" w14:textId="0F64D69E" w:rsidR="00F53E3A" w:rsidRDefault="0036255F">
      <w:pPr>
        <w:pStyle w:val="P68B1DB1-Normal6"/>
        <w:jc w:val="both"/>
        <w:rPr>
          <w:rFonts w:eastAsia="Times New Roman" w:cs="Times New Roman"/>
          <w:noProof/>
          <w:szCs w:val="24"/>
        </w:rPr>
      </w:pPr>
      <w:r>
        <w:rPr>
          <w:noProof/>
        </w:rPr>
        <w:t>C.1.2. Reforma 2 Gestionarea datelor și datele deschise</w:t>
      </w:r>
    </w:p>
    <w:p w14:paraId="6AE34292" w14:textId="7DF66A5A" w:rsidR="00F53E3A" w:rsidRDefault="0036255F">
      <w:pPr>
        <w:pStyle w:val="P68B1DB1-Normal4"/>
        <w:jc w:val="both"/>
        <w:rPr>
          <w:noProof/>
        </w:rPr>
      </w:pPr>
      <w:r>
        <w:rPr>
          <w:noProof/>
        </w:rPr>
        <w:t xml:space="preserve">Obiectivul reformei este de a sprijini gestionarea datelor publice. Reforma constă în adoptarea legislației, furnizarea unui model de gestionare a datelor și integrarea resurselor informaționale în lacul național de date. </w:t>
      </w:r>
    </w:p>
    <w:p w14:paraId="1ADCDFA8" w14:textId="2CDF313D" w:rsidR="00F53E3A" w:rsidRDefault="0036255F">
      <w:pPr>
        <w:pStyle w:val="P68B1DB1-Normal6"/>
        <w:keepNext/>
        <w:keepLines/>
        <w:jc w:val="both"/>
        <w:rPr>
          <w:rFonts w:eastAsia="Times New Roman" w:cs="Times New Roman"/>
          <w:noProof/>
          <w:szCs w:val="24"/>
        </w:rPr>
      </w:pPr>
      <w:r>
        <w:rPr>
          <w:noProof/>
        </w:rPr>
        <w:t>C.1.3. Reforma 3: Servicii orientate către clienți</w:t>
      </w:r>
    </w:p>
    <w:p w14:paraId="1D74D0B9" w14:textId="23F9681E" w:rsidR="00F53E3A" w:rsidRDefault="0036255F">
      <w:pPr>
        <w:pStyle w:val="P68B1DB1-Normal4"/>
        <w:jc w:val="both"/>
        <w:rPr>
          <w:noProof/>
        </w:rPr>
      </w:pPr>
      <w:r>
        <w:rPr>
          <w:noProof/>
        </w:rPr>
        <w:t xml:space="preserve">Obiectivul reformei este digitalizarea serviciilor. Reforma constă în digitalizarea serviciilor în sectorul public. </w:t>
      </w:r>
    </w:p>
    <w:p w14:paraId="25781749" w14:textId="009D47FC" w:rsidR="00F53E3A" w:rsidRDefault="0036255F">
      <w:pPr>
        <w:pStyle w:val="P68B1DB1-Normal6"/>
        <w:keepNext/>
        <w:keepLines/>
        <w:jc w:val="both"/>
        <w:rPr>
          <w:rFonts w:eastAsia="Calibri" w:cs="Times New Roman"/>
          <w:noProof/>
          <w:szCs w:val="24"/>
        </w:rPr>
      </w:pPr>
      <w:r>
        <w:rPr>
          <w:noProof/>
        </w:rPr>
        <w:t>C.1.4. Investiția 1: Soluții tehnologice în mediul de afaceri și în viața de zi cu zi</w:t>
      </w:r>
    </w:p>
    <w:p w14:paraId="17D69A8A" w14:textId="321C1041" w:rsidR="00F53E3A" w:rsidRDefault="0036255F">
      <w:pPr>
        <w:pStyle w:val="P68B1DB1-Normal4"/>
        <w:keepNext/>
        <w:keepLines/>
        <w:jc w:val="both"/>
        <w:rPr>
          <w:noProof/>
          <w:szCs w:val="24"/>
        </w:rPr>
      </w:pPr>
      <w:r>
        <w:rPr>
          <w:noProof/>
        </w:rPr>
        <w:t>Obiectivul măsurii este de a spori utilizarea soluțiilor digitale. Măsura constă în soluții tehnologice pentru limba lituaniană, digitalizarea resurselor culturale, resurse educaționale digitale, instrumente financiare pentru inovarea digitală și un centru de excelență TIC.</w:t>
      </w:r>
      <w:bookmarkStart w:id="3" w:name="_Hlk144736170"/>
    </w:p>
    <w:p w14:paraId="59FE1B00" w14:textId="2232F465" w:rsidR="00F53E3A" w:rsidRDefault="0036255F">
      <w:pPr>
        <w:pStyle w:val="P68B1DB1-Normal6"/>
        <w:keepNext/>
        <w:keepLines/>
        <w:jc w:val="both"/>
        <w:rPr>
          <w:rFonts w:eastAsia="Times New Roman" w:cs="Times New Roman"/>
          <w:noProof/>
          <w:szCs w:val="24"/>
        </w:rPr>
      </w:pPr>
      <w:r>
        <w:rPr>
          <w:noProof/>
        </w:rPr>
        <w:t>C.1.4.1. Submăsura 1</w:t>
      </w:r>
      <w:bookmarkEnd w:id="3"/>
      <w:r>
        <w:rPr>
          <w:noProof/>
        </w:rPr>
        <w:t>: Resurse tehnologice în limba lituaniană</w:t>
      </w:r>
    </w:p>
    <w:p w14:paraId="045EAA91" w14:textId="47B1B62B" w:rsidR="00F53E3A" w:rsidRDefault="0036255F">
      <w:pPr>
        <w:pStyle w:val="P68B1DB1-Normal4"/>
        <w:jc w:val="both"/>
        <w:rPr>
          <w:rFonts w:eastAsia="Times New Roman" w:cs="Times New Roman"/>
          <w:noProof/>
          <w:szCs w:val="24"/>
        </w:rPr>
      </w:pPr>
      <w:r>
        <w:rPr>
          <w:noProof/>
        </w:rPr>
        <w:t>Obiectivul submăsurii este de a sprijini sistemele și serviciile de IA în limba lituaniană. Submăsura constă în publicarea gratuită a resurselor necesare pentru dezvoltarea soluțiilor lingvistice lituaniene bazate pe IA.</w:t>
      </w:r>
    </w:p>
    <w:p w14:paraId="3A8A5C2B" w14:textId="708578F2" w:rsidR="00F53E3A" w:rsidRDefault="0036255F">
      <w:pPr>
        <w:pStyle w:val="P68B1DB1-Normal6"/>
        <w:keepNext/>
        <w:keepLines/>
        <w:jc w:val="both"/>
        <w:rPr>
          <w:rFonts w:eastAsia="Times New Roman" w:cs="Times New Roman"/>
          <w:noProof/>
          <w:szCs w:val="24"/>
        </w:rPr>
      </w:pPr>
      <w:bookmarkStart w:id="4" w:name="_Hlk144736184"/>
      <w:r>
        <w:rPr>
          <w:noProof/>
        </w:rPr>
        <w:t>C.1.4.2. Submăsura 2</w:t>
      </w:r>
      <w:bookmarkEnd w:id="4"/>
      <w:r>
        <w:rPr>
          <w:noProof/>
        </w:rPr>
        <w:t>: Digitalizarea resurselor culturale</w:t>
      </w:r>
    </w:p>
    <w:p w14:paraId="0E5E00B7" w14:textId="646DAC4E" w:rsidR="00F53E3A" w:rsidRDefault="0036255F">
      <w:pPr>
        <w:pStyle w:val="P68B1DB1-Normal4"/>
        <w:jc w:val="both"/>
        <w:rPr>
          <w:rFonts w:eastAsia="Times New Roman" w:cs="Times New Roman"/>
          <w:noProof/>
          <w:szCs w:val="24"/>
        </w:rPr>
      </w:pPr>
      <w:r>
        <w:rPr>
          <w:noProof/>
        </w:rPr>
        <w:t xml:space="preserve">Obiectivul submăsurii de a spori accesibilitatea resurselor culturale digitale. Submăsura constă în lansarea unei platforme e-cultură, în cadrul căreia conținutul cultural digitalizat este accesibil. </w:t>
      </w:r>
    </w:p>
    <w:p w14:paraId="474E2AE5" w14:textId="77777777" w:rsidR="00F53E3A" w:rsidRDefault="0036255F">
      <w:pPr>
        <w:pStyle w:val="P68B1DB1-Normal6"/>
        <w:keepNext/>
        <w:keepLines/>
        <w:jc w:val="both"/>
        <w:rPr>
          <w:rFonts w:eastAsia="Times New Roman" w:cs="Times New Roman"/>
          <w:noProof/>
          <w:szCs w:val="24"/>
        </w:rPr>
      </w:pPr>
      <w:r>
        <w:rPr>
          <w:noProof/>
        </w:rPr>
        <w:t>C.1.4.3. Submăsura 3: Producția de conținut și resurse didactice digitale</w:t>
      </w:r>
    </w:p>
    <w:p w14:paraId="1CD078CC" w14:textId="6001CE7E" w:rsidR="00F53E3A" w:rsidRDefault="0036255F">
      <w:pPr>
        <w:pStyle w:val="P68B1DB1-Normal4"/>
        <w:jc w:val="both"/>
        <w:rPr>
          <w:rFonts w:eastAsia="Times New Roman" w:cs="Times New Roman"/>
          <w:noProof/>
          <w:szCs w:val="24"/>
        </w:rPr>
      </w:pPr>
      <w:r>
        <w:rPr>
          <w:noProof/>
        </w:rPr>
        <w:t xml:space="preserve">Obiectivul submăsurii este de a dezvolta soluțiile tehnologice necesare pentru predarea digitală, resursele de studiu și infrastructura informatică în instituțiile de învățământ pentru a permite învățarea personalizată la distanță. </w:t>
      </w:r>
    </w:p>
    <w:p w14:paraId="04B6E947" w14:textId="77777777" w:rsidR="00F53E3A" w:rsidRDefault="0036255F">
      <w:pPr>
        <w:pStyle w:val="P68B1DB1-Normal4"/>
        <w:jc w:val="both"/>
        <w:rPr>
          <w:rFonts w:eastAsia="Times New Roman" w:cs="Times New Roman"/>
          <w:noProof/>
          <w:szCs w:val="24"/>
        </w:rPr>
      </w:pPr>
      <w:r>
        <w:rPr>
          <w:noProof/>
        </w:rPr>
        <w:t>Submăsura se finalizează până la 30 iunie 2024.</w:t>
      </w:r>
    </w:p>
    <w:p w14:paraId="782000FC" w14:textId="77777777" w:rsidR="00F53E3A" w:rsidRDefault="0036255F">
      <w:pPr>
        <w:pStyle w:val="P68B1DB1-Normal6"/>
        <w:keepNext/>
        <w:keepLines/>
        <w:jc w:val="both"/>
        <w:rPr>
          <w:rFonts w:eastAsia="Times New Roman" w:cs="Times New Roman"/>
          <w:noProof/>
          <w:szCs w:val="24"/>
        </w:rPr>
      </w:pPr>
      <w:r>
        <w:rPr>
          <w:noProof/>
        </w:rPr>
        <w:t>C.1.4.4. Submăsura 4: Instrumente financiare pentru înființarea de întreprinderi și inovarea digitală</w:t>
      </w:r>
    </w:p>
    <w:p w14:paraId="7ED2CC96" w14:textId="77777777" w:rsidR="00F53E3A" w:rsidRDefault="0036255F">
      <w:pPr>
        <w:pStyle w:val="P68B1DB1-Normal4"/>
        <w:jc w:val="both"/>
        <w:rPr>
          <w:rFonts w:eastAsia="Times New Roman" w:cs="Times New Roman"/>
          <w:noProof/>
          <w:szCs w:val="24"/>
        </w:rPr>
      </w:pPr>
      <w:r>
        <w:rPr>
          <w:noProof/>
        </w:rPr>
        <w:t xml:space="preserve">Submăsura urmărește să ofere stimulente financiare pentru înființarea de întreprinderi și inovarea digitală. </w:t>
      </w:r>
    </w:p>
    <w:p w14:paraId="77FF9F3C" w14:textId="6BCEC693" w:rsidR="00F53E3A" w:rsidRDefault="0036255F">
      <w:pPr>
        <w:pStyle w:val="P68B1DB1-Normal4"/>
        <w:jc w:val="both"/>
        <w:rPr>
          <w:rFonts w:eastAsia="Times New Roman" w:cs="Times New Roman"/>
          <w:noProof/>
          <w:szCs w:val="24"/>
        </w:rPr>
      </w:pPr>
      <w:r>
        <w:rPr>
          <w:noProof/>
        </w:rPr>
        <w:t>Centrele de servicii pentru întreprinderi sunt sprijinite să implementeze procese de automatizare robotică și soluții de inteligență artificială prin finanțarea cheltuielilor legate de (i) serviciile de consultanță legate de analiza proiectului; (II) costurile de formare legate de dezvoltarea arhitecturii de servicii pentru întreprinderi și a soluției IA; (III) achiziționarea de licențe (roboți, licențe software) în legătură cu proiectul; (IV) costul remunerării pentru timpul petrecut cu activitățile proiectului; (V) costurile cu echipamentele și costurile de închiriere legate de instalarea și exploatarea soluțiilor automatizate (de exemplu, închirierea serverului).</w:t>
      </w:r>
    </w:p>
    <w:p w14:paraId="248CADAB" w14:textId="028F0708" w:rsidR="00F53E3A" w:rsidRDefault="0036255F">
      <w:pPr>
        <w:pStyle w:val="P68B1DB1-Normal4"/>
        <w:jc w:val="both"/>
        <w:rPr>
          <w:rFonts w:eastAsia="Times New Roman" w:cs="Times New Roman"/>
          <w:noProof/>
          <w:szCs w:val="24"/>
        </w:rPr>
      </w:pPr>
      <w:r>
        <w:rPr>
          <w:noProof/>
        </w:rPr>
        <w:t>Întreprinderile nou-înființate și spin-off-urile sunt sprijinite pentru a dezvolta produse și soluții pentru inteligența artificială, tehnologiile blockchain și automatizarea proceselor de robotică prin finanțarea cheltuielilor legate de (i) dezvoltarea de produse și servicii în etapa inițială de maturitate, înainte de atragerea capitalului de investiții; (II) analiza nevoilor pieței; (III) dezvoltarea unui concept tehnologic de soluție; (IV) dezvoltarea unui produs viabil minim; și (v) atingerea stadiului de comercializare a produsului.</w:t>
      </w:r>
    </w:p>
    <w:p w14:paraId="43EF501D" w14:textId="77777777" w:rsidR="00F53E3A" w:rsidRDefault="0036255F">
      <w:pPr>
        <w:pStyle w:val="P68B1DB1-Normal4"/>
        <w:jc w:val="both"/>
        <w:rPr>
          <w:rFonts w:eastAsia="Times New Roman" w:cs="Times New Roman"/>
          <w:noProof/>
          <w:szCs w:val="24"/>
        </w:rPr>
      </w:pPr>
      <w:r>
        <w:rPr>
          <w:noProof/>
        </w:rPr>
        <w:t>Submăsura se finalizează până la 30 septembrie 2025.</w:t>
      </w:r>
    </w:p>
    <w:p w14:paraId="4EE13DF4" w14:textId="77777777" w:rsidR="00F53E3A" w:rsidRDefault="0036255F">
      <w:pPr>
        <w:pStyle w:val="P68B1DB1-Normal6"/>
        <w:keepNext/>
        <w:keepLines/>
        <w:jc w:val="both"/>
        <w:rPr>
          <w:rFonts w:eastAsia="Times New Roman" w:cs="Times New Roman"/>
          <w:noProof/>
          <w:szCs w:val="24"/>
        </w:rPr>
      </w:pPr>
      <w:r>
        <w:rPr>
          <w:noProof/>
        </w:rPr>
        <w:t>C.1.4.5. Submăsura 5: Centrul de excelență TIC</w:t>
      </w:r>
    </w:p>
    <w:p w14:paraId="0E1822B4" w14:textId="11AAF3D4" w:rsidR="00F53E3A" w:rsidRDefault="0036255F">
      <w:pPr>
        <w:pStyle w:val="P68B1DB1-Normal4"/>
        <w:jc w:val="both"/>
        <w:rPr>
          <w:rFonts w:eastAsia="Times New Roman" w:cs="Times New Roman"/>
          <w:noProof/>
          <w:szCs w:val="24"/>
        </w:rPr>
      </w:pPr>
      <w:r>
        <w:rPr>
          <w:noProof/>
        </w:rPr>
        <w:t xml:space="preserve">Obiectivul submăsurii este de a sprijini cercetarea și dezvoltarea în Lituania, inclusiv în domeniul tehnologiilor informației și comunicațiilor. Submăsura constă în construirea unui centru de excelență TIC pentru C &amp; D. </w:t>
      </w:r>
    </w:p>
    <w:p w14:paraId="4EF80B83" w14:textId="786057CB" w:rsidR="00F53E3A" w:rsidRDefault="0036255F">
      <w:pPr>
        <w:pStyle w:val="P68B1DB1-Normal6"/>
        <w:keepNext/>
        <w:keepLines/>
        <w:jc w:val="both"/>
        <w:rPr>
          <w:rFonts w:eastAsia="Times New Roman" w:cs="Times New Roman"/>
          <w:noProof/>
          <w:szCs w:val="24"/>
        </w:rPr>
      </w:pPr>
      <w:r>
        <w:rPr>
          <w:noProof/>
        </w:rPr>
        <w:t>C.1.5. Investiția 2 – Etapa către 5G</w:t>
      </w:r>
    </w:p>
    <w:p w14:paraId="1CDE7C4E" w14:textId="13799FEF" w:rsidR="00F53E3A" w:rsidRDefault="0036255F">
      <w:pPr>
        <w:pStyle w:val="P68B1DB1-Normal4"/>
        <w:jc w:val="both"/>
        <w:rPr>
          <w:rFonts w:eastAsia="Times New Roman" w:cs="Times New Roman"/>
          <w:noProof/>
          <w:szCs w:val="24"/>
          <w:u w:val="single"/>
        </w:rPr>
      </w:pPr>
      <w:r>
        <w:rPr>
          <w:noProof/>
        </w:rPr>
        <w:t>Obiectivul investiției este de a asigura acoperirea rețelelor de comunicații electronice. Investiția constă într-o foaie de parcurs privind 5G, în construirea în continuare a infrastructurii de conectare de mare viteză și în măsuri de sprijinire a inovării în domeniul mobilității.</w:t>
      </w:r>
    </w:p>
    <w:p w14:paraId="1E537C67" w14:textId="77777777" w:rsidR="00F53E3A" w:rsidRDefault="0036255F">
      <w:pPr>
        <w:pStyle w:val="P68B1DB1-Normal6"/>
        <w:keepNext/>
        <w:keepLines/>
        <w:jc w:val="both"/>
        <w:rPr>
          <w:rFonts w:eastAsia="Times New Roman" w:cs="Times New Roman"/>
          <w:noProof/>
          <w:szCs w:val="24"/>
        </w:rPr>
      </w:pPr>
      <w:r>
        <w:rPr>
          <w:noProof/>
        </w:rPr>
        <w:t>C.1.5.1. Submăsura 1: Foaia de parcurs privind 5G</w:t>
      </w:r>
    </w:p>
    <w:p w14:paraId="42BF62AD" w14:textId="5A1ED675" w:rsidR="00F53E3A" w:rsidRDefault="0036255F">
      <w:pPr>
        <w:pStyle w:val="P68B1DB1-Normal4"/>
        <w:jc w:val="both"/>
        <w:rPr>
          <w:noProof/>
          <w:szCs w:val="24"/>
        </w:rPr>
      </w:pPr>
      <w:r>
        <w:rPr>
          <w:noProof/>
        </w:rPr>
        <w:t>Obiectivul submăsurii este de a implementa tehnologia 5G disponibilă pe piață în Lituania.</w:t>
      </w:r>
    </w:p>
    <w:p w14:paraId="194964D2" w14:textId="14DD0654" w:rsidR="00F53E3A" w:rsidRDefault="0036255F">
      <w:pPr>
        <w:pStyle w:val="P68B1DB1-Normal4"/>
        <w:jc w:val="both"/>
        <w:rPr>
          <w:noProof/>
        </w:rPr>
      </w:pPr>
      <w:r>
        <w:rPr>
          <w:noProof/>
        </w:rPr>
        <w:t xml:space="preserve">Submăsura constă în foaia de parcurs lituaniană privind 5G, care include măsuri menite să faciliteze condițiile de reglementare și de investiții pentru dezvoltarea tehnologiei 5G. </w:t>
      </w:r>
    </w:p>
    <w:p w14:paraId="2FAD8CBB" w14:textId="40A86BFD" w:rsidR="00F53E3A" w:rsidRDefault="0036255F">
      <w:pPr>
        <w:pStyle w:val="P68B1DB1-Normal6"/>
        <w:keepNext/>
        <w:keepLines/>
        <w:jc w:val="both"/>
        <w:rPr>
          <w:rFonts w:eastAsia="Times New Roman" w:cs="Times New Roman"/>
          <w:noProof/>
          <w:szCs w:val="24"/>
        </w:rPr>
      </w:pPr>
      <w:bookmarkStart w:id="5" w:name="_Hlk144736464"/>
      <w:bookmarkStart w:id="6" w:name="_Hlk145498101"/>
      <w:r>
        <w:rPr>
          <w:noProof/>
        </w:rPr>
        <w:t>C.1.5.2. Submăsura 2</w:t>
      </w:r>
      <w:bookmarkEnd w:id="5"/>
      <w:r>
        <w:rPr>
          <w:noProof/>
        </w:rPr>
        <w:t>: Continuarea construcției de rețele de conexiune de mare viteză</w:t>
      </w:r>
      <w:bookmarkEnd w:id="6"/>
    </w:p>
    <w:p w14:paraId="4A904CF3" w14:textId="3BF94D5F" w:rsidR="00F53E3A" w:rsidRDefault="0036255F">
      <w:pPr>
        <w:pStyle w:val="P68B1DB1-Normal4"/>
        <w:jc w:val="both"/>
        <w:rPr>
          <w:noProof/>
          <w:szCs w:val="24"/>
        </w:rPr>
      </w:pPr>
      <w:r>
        <w:rPr>
          <w:noProof/>
        </w:rPr>
        <w:t>Obiectivul submăsurii este construirea infrastructurii de conectare de mare viteză.</w:t>
      </w:r>
    </w:p>
    <w:p w14:paraId="2FFC9D81" w14:textId="43FD968E" w:rsidR="00F53E3A" w:rsidRDefault="0036255F">
      <w:pPr>
        <w:pStyle w:val="P68B1DB1-Normal4"/>
        <w:jc w:val="both"/>
        <w:rPr>
          <w:noProof/>
          <w:szCs w:val="24"/>
        </w:rPr>
      </w:pPr>
      <w:r>
        <w:rPr>
          <w:noProof/>
        </w:rPr>
        <w:t>Submăsura constă în instalarea de linii de fibră optică pentru a conecta factorii socioeconomici și infrastructura mobilă existentă cu scopul de a facilita conectarea pentru factorii socioeconomici. </w:t>
      </w:r>
    </w:p>
    <w:p w14:paraId="09800D83" w14:textId="77777777" w:rsidR="00F53E3A" w:rsidRDefault="0036255F">
      <w:pPr>
        <w:pStyle w:val="P68B1DB1-Normal6"/>
        <w:keepNext/>
        <w:keepLines/>
        <w:jc w:val="both"/>
        <w:rPr>
          <w:rFonts w:eastAsia="Times New Roman" w:cs="Times New Roman"/>
          <w:noProof/>
          <w:szCs w:val="24"/>
        </w:rPr>
      </w:pPr>
      <w:bookmarkStart w:id="7" w:name="_Hlk144736535"/>
      <w:r>
        <w:rPr>
          <w:noProof/>
        </w:rPr>
        <w:t>C.1.5.3. Submăsura 3</w:t>
      </w:r>
      <w:bookmarkEnd w:id="7"/>
      <w:r>
        <w:rPr>
          <w:noProof/>
        </w:rPr>
        <w:t>: Inovarea în domeniul mobilității</w:t>
      </w:r>
    </w:p>
    <w:p w14:paraId="18427FDE" w14:textId="630FCB4E" w:rsidR="00F53E3A" w:rsidRDefault="0036255F">
      <w:pPr>
        <w:pStyle w:val="P68B1DB1-Normal4"/>
        <w:jc w:val="both"/>
        <w:rPr>
          <w:noProof/>
          <w:szCs w:val="24"/>
        </w:rPr>
      </w:pPr>
      <w:r>
        <w:rPr>
          <w:noProof/>
        </w:rPr>
        <w:t xml:space="preserve">Obiectivul submăsurii este de a sprijini inovarea în domeniul mobilității. </w:t>
      </w:r>
    </w:p>
    <w:p w14:paraId="096D9D1C" w14:textId="5E78107A" w:rsidR="00F53E3A" w:rsidRDefault="0036255F">
      <w:pPr>
        <w:pStyle w:val="P68B1DB1-Normal4"/>
        <w:jc w:val="both"/>
        <w:rPr>
          <w:rFonts w:eastAsia="Times New Roman" w:cs="Times New Roman"/>
          <w:noProof/>
          <w:szCs w:val="24"/>
        </w:rPr>
      </w:pPr>
      <w:r>
        <w:rPr>
          <w:noProof/>
        </w:rPr>
        <w:t xml:space="preserve">Submăsura constă în sprijin pentru soluții digitale. </w:t>
      </w:r>
    </w:p>
    <w:p w14:paraId="4D310055" w14:textId="77777777" w:rsidR="00F53E3A" w:rsidRDefault="00F53E3A">
      <w:pPr>
        <w:pStyle w:val="Text1"/>
        <w:spacing w:before="0" w:after="240" w:line="276" w:lineRule="auto"/>
        <w:rPr>
          <w:rStyle w:val="normaltextrun"/>
          <w:noProof/>
        </w:rPr>
        <w:sectPr w:rsidR="00F53E3A" w:rsidSect="0074650A">
          <w:headerReference w:type="even" r:id="rId54"/>
          <w:headerReference w:type="default" r:id="rId55"/>
          <w:footerReference w:type="even" r:id="rId56"/>
          <w:footerReference w:type="default" r:id="rId57"/>
          <w:headerReference w:type="first" r:id="rId58"/>
          <w:footerReference w:type="first" r:id="rId59"/>
          <w:pgSz w:w="11907" w:h="16839"/>
          <w:pgMar w:top="1134" w:right="1134" w:bottom="1134" w:left="1134" w:header="567" w:footer="567" w:gutter="0"/>
          <w:cols w:space="720"/>
          <w:docGrid w:linePitch="360"/>
        </w:sectPr>
      </w:pPr>
    </w:p>
    <w:p w14:paraId="6BE68974" w14:textId="512ECD89" w:rsidR="00F53E3A" w:rsidRDefault="0036255F">
      <w:pPr>
        <w:pStyle w:val="P68B1DB1-Text15"/>
        <w:keepNext/>
        <w:keepLines/>
        <w:spacing w:before="0" w:after="200" w:line="276" w:lineRule="auto"/>
        <w:ind w:left="0"/>
        <w:jc w:val="center"/>
        <w:outlineLvl w:val="1"/>
        <w:rPr>
          <w:noProof/>
        </w:rPr>
      </w:pPr>
      <w:r>
        <w:rPr>
          <w:noProof/>
        </w:rPr>
        <w:t>C.2. Jaloane, ținte, indicatori și calendarul de monitorizare și implementare aplicabile sprijinului financiar nerambursabil</w:t>
      </w:r>
    </w:p>
    <w:tbl>
      <w:tblPr>
        <w:tblW w:w="5224" w:type="pct"/>
        <w:tblInd w:w="-459" w:type="dxa"/>
        <w:tblLayout w:type="fixed"/>
        <w:tblLook w:val="04A0" w:firstRow="1" w:lastRow="0" w:firstColumn="1" w:lastColumn="0" w:noHBand="0" w:noVBand="1"/>
      </w:tblPr>
      <w:tblGrid>
        <w:gridCol w:w="709"/>
        <w:gridCol w:w="1701"/>
        <w:gridCol w:w="1418"/>
        <w:gridCol w:w="1657"/>
        <w:gridCol w:w="1461"/>
        <w:gridCol w:w="851"/>
        <w:gridCol w:w="992"/>
        <w:gridCol w:w="992"/>
        <w:gridCol w:w="1132"/>
        <w:gridCol w:w="993"/>
        <w:gridCol w:w="3543"/>
      </w:tblGrid>
      <w:tr w:rsidR="00F53E3A" w14:paraId="02642005" w14:textId="77777777" w:rsidTr="00CB74C1">
        <w:trPr>
          <w:tblHeader/>
        </w:trPr>
        <w:tc>
          <w:tcPr>
            <w:tcW w:w="709"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6341969" w14:textId="04D7DC20" w:rsidR="00F53E3A" w:rsidRDefault="0035684C">
            <w:pPr>
              <w:pStyle w:val="P68B1DB1-Normal9"/>
              <w:spacing w:before="60" w:after="60"/>
              <w:jc w:val="center"/>
              <w:rPr>
                <w:rFonts w:eastAsia="Times New Roman" w:cs="Times New Roman"/>
                <w:noProof/>
              </w:rPr>
            </w:pPr>
            <w:r>
              <w:rPr>
                <w:noProof/>
              </w:rPr>
              <w:t>Nr.</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7BF84C6" w14:textId="77777777" w:rsidR="00F53E3A" w:rsidRDefault="0036255F">
            <w:pPr>
              <w:pStyle w:val="P68B1DB1-Normal9"/>
              <w:spacing w:before="60" w:after="60"/>
              <w:jc w:val="center"/>
              <w:rPr>
                <w:rFonts w:eastAsia="Times New Roman" w:cs="Times New Roman"/>
                <w:noProof/>
              </w:rPr>
            </w:pPr>
            <w:r>
              <w:rPr>
                <w:noProof/>
              </w:rPr>
              <w:t>Măsură conexă (reformă sau investiții)</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DED20A7" w14:textId="77777777" w:rsidR="00F53E3A" w:rsidRDefault="0036255F">
            <w:pPr>
              <w:pStyle w:val="P68B1DB1-Normal9"/>
              <w:spacing w:before="60" w:after="60"/>
              <w:jc w:val="center"/>
              <w:rPr>
                <w:noProof/>
              </w:rPr>
            </w:pPr>
            <w:r>
              <w:rPr>
                <w:noProof/>
              </w:rPr>
              <w:t>Kilometraje/</w:t>
            </w:r>
          </w:p>
          <w:p w14:paraId="4A4AE47F" w14:textId="4E78DE18" w:rsidR="00F53E3A" w:rsidRDefault="0036255F">
            <w:pPr>
              <w:pStyle w:val="P68B1DB1-Normal9"/>
              <w:spacing w:before="60" w:after="60"/>
              <w:jc w:val="center"/>
              <w:rPr>
                <w:rFonts w:eastAsia="Times New Roman" w:cs="Times New Roman"/>
                <w:noProof/>
              </w:rPr>
            </w:pPr>
            <w:r>
              <w:rPr>
                <w:noProof/>
              </w:rPr>
              <w:t>Țintă</w:t>
            </w:r>
          </w:p>
        </w:tc>
        <w:tc>
          <w:tcPr>
            <w:tcW w:w="1657"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62CAB1D" w14:textId="77777777" w:rsidR="00F53E3A" w:rsidRDefault="0036255F">
            <w:pPr>
              <w:pStyle w:val="P68B1DB1-Normal9"/>
              <w:spacing w:before="60" w:after="60"/>
              <w:jc w:val="center"/>
              <w:rPr>
                <w:rFonts w:eastAsia="Times New Roman" w:cs="Times New Roman"/>
                <w:noProof/>
              </w:rPr>
            </w:pPr>
            <w:r>
              <w:rPr>
                <w:noProof/>
              </w:rPr>
              <w:t>Titlu</w:t>
            </w:r>
          </w:p>
        </w:tc>
        <w:tc>
          <w:tcPr>
            <w:tcW w:w="1461"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AAD3C3E" w14:textId="05C5BC7A" w:rsidR="00F53E3A" w:rsidRDefault="0036255F">
            <w:pPr>
              <w:pStyle w:val="P68B1DB1-Normal10"/>
              <w:spacing w:before="60" w:after="60"/>
              <w:jc w:val="center"/>
              <w:rPr>
                <w:rFonts w:ascii="Times New Roman" w:eastAsia="Times New Roman" w:hAnsi="Times New Roman" w:cs="Times New Roman"/>
                <w:b/>
                <w:noProof/>
              </w:rPr>
            </w:pPr>
            <w:r>
              <w:rPr>
                <w:rFonts w:ascii="Times New Roman" w:hAnsi="Times New Roman"/>
                <w:b/>
                <w:noProof/>
              </w:rPr>
              <w:t>Indicatori calitativi</w:t>
            </w:r>
            <w:r>
              <w:rPr>
                <w:noProof/>
              </w:rPr>
              <w:t xml:space="preserve"> </w:t>
            </w:r>
            <w:r>
              <w:rPr>
                <w:noProof/>
              </w:rPr>
              <w:br/>
            </w:r>
            <w:r>
              <w:rPr>
                <w:rFonts w:ascii="Times New Roman" w:hAnsi="Times New Roman"/>
                <w:b/>
                <w:noProof/>
              </w:rPr>
              <w:t>(pentru jaloane)</w:t>
            </w:r>
          </w:p>
        </w:tc>
        <w:tc>
          <w:tcPr>
            <w:tcW w:w="2835"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2ED0605" w14:textId="77777777" w:rsidR="00F53E3A" w:rsidRDefault="0036255F">
            <w:pPr>
              <w:pStyle w:val="P68B1DB1-Normal10"/>
              <w:spacing w:before="60" w:after="60"/>
              <w:jc w:val="center"/>
              <w:rPr>
                <w:rFonts w:ascii="Times New Roman" w:eastAsia="Times New Roman" w:hAnsi="Times New Roman" w:cs="Times New Roman"/>
                <w:b/>
                <w:noProof/>
              </w:rPr>
            </w:pPr>
            <w:r>
              <w:rPr>
                <w:rFonts w:ascii="Times New Roman" w:hAnsi="Times New Roman"/>
                <w:b/>
                <w:noProof/>
              </w:rPr>
              <w:t>Indicatori cantitativi</w:t>
            </w:r>
            <w:r>
              <w:rPr>
                <w:noProof/>
              </w:rPr>
              <w:t xml:space="preserve"> </w:t>
            </w:r>
            <w:r>
              <w:rPr>
                <w:noProof/>
              </w:rPr>
              <w:br/>
            </w:r>
            <w:r>
              <w:rPr>
                <w:rFonts w:ascii="Times New Roman" w:hAnsi="Times New Roman"/>
                <w:b/>
                <w:noProof/>
              </w:rPr>
              <w:t>(pentru obiective)</w:t>
            </w:r>
          </w:p>
        </w:tc>
        <w:tc>
          <w:tcPr>
            <w:tcW w:w="2125"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A0CAC15" w14:textId="0164650C" w:rsidR="00F53E3A" w:rsidRDefault="0036255F">
            <w:pPr>
              <w:pStyle w:val="P68B1DB1-Normal9"/>
              <w:spacing w:before="60" w:after="60"/>
              <w:jc w:val="center"/>
              <w:rPr>
                <w:rFonts w:eastAsia="Times New Roman" w:cs="Times New Roman"/>
                <w:noProof/>
              </w:rPr>
            </w:pPr>
            <w:r>
              <w:rPr>
                <w:noProof/>
              </w:rPr>
              <w:t>Calendar orientativ pentru finalizare</w:t>
            </w:r>
          </w:p>
        </w:tc>
        <w:tc>
          <w:tcPr>
            <w:tcW w:w="3543"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332794C" w14:textId="77777777" w:rsidR="00F53E3A" w:rsidRDefault="0036255F">
            <w:pPr>
              <w:pStyle w:val="P68B1DB1-Normal9"/>
              <w:spacing w:before="60" w:after="60"/>
              <w:jc w:val="center"/>
              <w:rPr>
                <w:rFonts w:eastAsia="Times New Roman" w:cs="Times New Roman"/>
                <w:noProof/>
              </w:rPr>
            </w:pPr>
            <w:r>
              <w:rPr>
                <w:noProof/>
              </w:rPr>
              <w:t>Descrierea și definiția clară a fiecărui obiectiv de etapă și a fiecărei ținte</w:t>
            </w:r>
          </w:p>
        </w:tc>
      </w:tr>
      <w:tr w:rsidR="00F53E3A" w14:paraId="01D3CA09" w14:textId="77777777" w:rsidTr="00CB74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Header/>
        </w:trPr>
        <w:tc>
          <w:tcPr>
            <w:tcW w:w="709" w:type="dxa"/>
            <w:vMerge/>
          </w:tcPr>
          <w:p w14:paraId="562D1743" w14:textId="77777777" w:rsidR="00F53E3A" w:rsidRDefault="00F53E3A">
            <w:pPr>
              <w:spacing w:before="60" w:after="60"/>
              <w:jc w:val="center"/>
              <w:rPr>
                <w:rFonts w:ascii="Times New Roman" w:hAnsi="Times New Roman" w:cs="Times New Roman"/>
                <w:noProof/>
                <w:sz w:val="20"/>
              </w:rPr>
            </w:pPr>
          </w:p>
        </w:tc>
        <w:tc>
          <w:tcPr>
            <w:tcW w:w="1701" w:type="dxa"/>
            <w:vMerge/>
            <w:vAlign w:val="center"/>
          </w:tcPr>
          <w:p w14:paraId="1AE24F12" w14:textId="77777777" w:rsidR="00F53E3A" w:rsidRDefault="00F53E3A">
            <w:pPr>
              <w:spacing w:before="60" w:after="60"/>
              <w:rPr>
                <w:rFonts w:ascii="Times New Roman" w:hAnsi="Times New Roman" w:cs="Times New Roman"/>
                <w:noProof/>
                <w:sz w:val="20"/>
              </w:rPr>
            </w:pPr>
          </w:p>
        </w:tc>
        <w:tc>
          <w:tcPr>
            <w:tcW w:w="1418" w:type="dxa"/>
            <w:vMerge/>
            <w:vAlign w:val="center"/>
          </w:tcPr>
          <w:p w14:paraId="770014F7" w14:textId="77777777" w:rsidR="00F53E3A" w:rsidRDefault="00F53E3A">
            <w:pPr>
              <w:spacing w:before="60" w:after="60"/>
              <w:jc w:val="center"/>
              <w:rPr>
                <w:rFonts w:ascii="Times New Roman" w:hAnsi="Times New Roman" w:cs="Times New Roman"/>
                <w:noProof/>
                <w:sz w:val="20"/>
              </w:rPr>
            </w:pPr>
          </w:p>
        </w:tc>
        <w:tc>
          <w:tcPr>
            <w:tcW w:w="1657" w:type="dxa"/>
            <w:vMerge/>
            <w:vAlign w:val="center"/>
          </w:tcPr>
          <w:p w14:paraId="5931471B" w14:textId="77777777" w:rsidR="00F53E3A" w:rsidRDefault="00F53E3A">
            <w:pPr>
              <w:spacing w:before="60" w:after="60"/>
              <w:rPr>
                <w:rFonts w:ascii="Times New Roman" w:hAnsi="Times New Roman" w:cs="Times New Roman"/>
                <w:noProof/>
                <w:sz w:val="20"/>
              </w:rPr>
            </w:pPr>
          </w:p>
        </w:tc>
        <w:tc>
          <w:tcPr>
            <w:tcW w:w="1461" w:type="dxa"/>
            <w:vMerge/>
            <w:vAlign w:val="center"/>
          </w:tcPr>
          <w:p w14:paraId="5281CEEB" w14:textId="77777777" w:rsidR="00F53E3A" w:rsidRDefault="00F53E3A">
            <w:pPr>
              <w:spacing w:before="60" w:after="60"/>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8EBEDBA" w14:textId="77777777" w:rsidR="00F53E3A" w:rsidRDefault="0036255F">
            <w:pPr>
              <w:pStyle w:val="P68B1DB1-Normal9"/>
              <w:spacing w:before="60" w:after="60"/>
              <w:jc w:val="center"/>
              <w:rPr>
                <w:rFonts w:eastAsia="Times New Roman" w:cs="Times New Roman"/>
                <w:noProof/>
              </w:rPr>
            </w:pPr>
            <w:r>
              <w:rPr>
                <w:noProof/>
              </w:rPr>
              <w:t>Unitate</w:t>
            </w:r>
          </w:p>
        </w:tc>
        <w:tc>
          <w:tcPr>
            <w:tcW w:w="992"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E0BE909" w14:textId="77777777" w:rsidR="00F53E3A" w:rsidRDefault="0036255F">
            <w:pPr>
              <w:pStyle w:val="P68B1DB1-Normal9"/>
              <w:spacing w:before="60" w:after="60"/>
              <w:jc w:val="center"/>
              <w:rPr>
                <w:rFonts w:eastAsia="Times New Roman" w:cs="Times New Roman"/>
                <w:noProof/>
              </w:rPr>
            </w:pPr>
            <w:r>
              <w:rPr>
                <w:noProof/>
              </w:rPr>
              <w:t>Situația de referință</w:t>
            </w:r>
          </w:p>
        </w:tc>
        <w:tc>
          <w:tcPr>
            <w:tcW w:w="992"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9F7F0C2" w14:textId="77777777" w:rsidR="00F53E3A" w:rsidRDefault="0036255F">
            <w:pPr>
              <w:pStyle w:val="P68B1DB1-Normal9"/>
              <w:spacing w:before="60" w:after="60"/>
              <w:jc w:val="center"/>
              <w:rPr>
                <w:rFonts w:eastAsia="Times New Roman" w:cs="Times New Roman"/>
                <w:noProof/>
              </w:rPr>
            </w:pPr>
            <w:r>
              <w:rPr>
                <w:noProof/>
              </w:rPr>
              <w:t>Obiectiv</w:t>
            </w:r>
          </w:p>
        </w:tc>
        <w:tc>
          <w:tcPr>
            <w:tcW w:w="1132"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7DC314C" w14:textId="77777777" w:rsidR="00F53E3A" w:rsidRDefault="0036255F">
            <w:pPr>
              <w:pStyle w:val="P68B1DB1-Normal9"/>
              <w:spacing w:before="60" w:after="60"/>
              <w:jc w:val="center"/>
              <w:rPr>
                <w:rFonts w:eastAsia="Times New Roman" w:cs="Times New Roman"/>
                <w:noProof/>
              </w:rPr>
            </w:pPr>
            <w:r>
              <w:rPr>
                <w:noProof/>
              </w:rPr>
              <w:t>Trimestru</w:t>
            </w:r>
          </w:p>
        </w:tc>
        <w:tc>
          <w:tcPr>
            <w:tcW w:w="993"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55BFCE2" w14:textId="77777777" w:rsidR="00F53E3A" w:rsidRDefault="0036255F">
            <w:pPr>
              <w:pStyle w:val="P68B1DB1-Normal9"/>
              <w:spacing w:before="60" w:after="60"/>
              <w:jc w:val="center"/>
              <w:rPr>
                <w:rFonts w:eastAsia="Times New Roman" w:cs="Times New Roman"/>
                <w:noProof/>
              </w:rPr>
            </w:pPr>
            <w:r>
              <w:rPr>
                <w:noProof/>
              </w:rPr>
              <w:t>Anul</w:t>
            </w:r>
          </w:p>
        </w:tc>
        <w:tc>
          <w:tcPr>
            <w:tcW w:w="3543" w:type="dxa"/>
            <w:vMerge/>
            <w:vAlign w:val="center"/>
          </w:tcPr>
          <w:p w14:paraId="650166DB" w14:textId="77777777" w:rsidR="00F53E3A" w:rsidRDefault="00F53E3A">
            <w:pPr>
              <w:spacing w:before="60" w:after="60"/>
              <w:rPr>
                <w:rFonts w:ascii="Times New Roman" w:hAnsi="Times New Roman" w:cs="Times New Roman"/>
                <w:noProof/>
                <w:sz w:val="20"/>
              </w:rPr>
            </w:pPr>
          </w:p>
        </w:tc>
      </w:tr>
      <w:tr w:rsidR="00F53E3A" w14:paraId="1B224827" w14:textId="77777777" w:rsidTr="00CB74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FA7304" w14:textId="77777777" w:rsidR="00F53E3A" w:rsidRDefault="0036255F">
            <w:pPr>
              <w:pStyle w:val="P68B1DB1-Normal12"/>
              <w:spacing w:before="60" w:after="60"/>
              <w:jc w:val="center"/>
              <w:rPr>
                <w:rFonts w:eastAsia="Times New Roman" w:cs="Times New Roman"/>
                <w:noProof/>
              </w:rPr>
            </w:pPr>
            <w:r>
              <w:rPr>
                <w:noProof/>
              </w:rPr>
              <w:t>59</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71B3FB1" w14:textId="77777777" w:rsidR="00F53E3A" w:rsidRDefault="0036255F">
            <w:pPr>
              <w:pStyle w:val="P68B1DB1-Normal12"/>
              <w:spacing w:before="60" w:after="60"/>
              <w:rPr>
                <w:rFonts w:eastAsia="Times New Roman" w:cs="Times New Roman"/>
                <w:noProof/>
              </w:rPr>
            </w:pPr>
            <w:r>
              <w:rPr>
                <w:noProof/>
              </w:rPr>
              <w:t>C.1.1 Transformarea guvernanței tehnologiei informației publice</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B672E9C" w14:textId="77777777" w:rsidR="00F53E3A" w:rsidRDefault="0036255F">
            <w:pPr>
              <w:pStyle w:val="P68B1DB1-Normal12"/>
              <w:spacing w:before="60" w:after="60"/>
              <w:jc w:val="center"/>
              <w:rPr>
                <w:rFonts w:eastAsia="Times New Roman" w:cs="Times New Roman"/>
                <w:noProof/>
              </w:rPr>
            </w:pPr>
            <w:r>
              <w:rPr>
                <w:noProof/>
              </w:rPr>
              <w:t>Etapă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073F131" w14:textId="72858BB7" w:rsidR="00F53E3A" w:rsidRDefault="0036255F">
            <w:pPr>
              <w:pStyle w:val="P68B1DB1-Normal12"/>
              <w:spacing w:before="60" w:after="60"/>
              <w:rPr>
                <w:rFonts w:eastAsia="Times New Roman" w:cs="Times New Roman"/>
                <w:noProof/>
              </w:rPr>
            </w:pPr>
            <w:r>
              <w:rPr>
                <w:noProof/>
              </w:rPr>
              <w:t>Sisteme gestionate de instituții și organisme de stat migrate către o infrastructură de cloud hibridă</w:t>
            </w:r>
          </w:p>
        </w:tc>
        <w:tc>
          <w:tcPr>
            <w:tcW w:w="146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AF88218" w14:textId="2661956C" w:rsidR="00F53E3A" w:rsidRDefault="0036255F">
            <w:pPr>
              <w:pStyle w:val="P68B1DB1-Normal12"/>
              <w:spacing w:before="60" w:after="60"/>
              <w:rPr>
                <w:noProof/>
              </w:rPr>
            </w:pPr>
            <w:r>
              <w:rPr>
                <w:noProof/>
              </w:rPr>
              <w:t xml:space="preserve">Reorganizarea infrastructurii tehnologiei informației și comunicațiilor </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AA3D3C0" w14:textId="533F0870" w:rsidR="00F53E3A" w:rsidRDefault="00F53E3A">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9FF2385" w14:textId="188C239D" w:rsidR="00F53E3A" w:rsidRDefault="00F53E3A">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C029D0C" w14:textId="33A33DF1" w:rsidR="00F53E3A" w:rsidRDefault="00F53E3A">
            <w:pPr>
              <w:spacing w:before="60" w:after="60"/>
              <w:jc w:val="center"/>
              <w:rPr>
                <w:rFonts w:ascii="Times New Roman" w:eastAsia="Times New Roman" w:hAnsi="Times New Roman" w:cs="Times New Roman"/>
                <w:noProof/>
                <w:sz w:val="20"/>
              </w:rPr>
            </w:pP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4FDF9B" w14:textId="479BC75F" w:rsidR="00F53E3A" w:rsidRDefault="00DB2EC5">
            <w:pPr>
              <w:pStyle w:val="P68B1DB1-Normal12"/>
              <w:spacing w:before="60" w:after="60"/>
              <w:jc w:val="center"/>
              <w:rPr>
                <w:rFonts w:eastAsia="Times New Roman" w:cs="Times New Roman"/>
                <w:noProof/>
              </w:rPr>
            </w:pPr>
            <w:r>
              <w:rPr>
                <w:noProof/>
              </w:rPr>
              <w:t>T3</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241F5BC" w14:textId="77777777" w:rsidR="00F53E3A" w:rsidRDefault="0036255F">
            <w:pPr>
              <w:pStyle w:val="P68B1DB1-Normal12"/>
              <w:spacing w:before="60" w:after="60"/>
              <w:jc w:val="center"/>
              <w:rPr>
                <w:rFonts w:eastAsia="Times New Roman" w:cs="Times New Roman"/>
                <w:noProof/>
              </w:rPr>
            </w:pPr>
            <w:r>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087148D" w14:textId="219375CD" w:rsidR="00F53E3A" w:rsidRDefault="0036255F">
            <w:pPr>
              <w:pStyle w:val="P68B1DB1-Normal12"/>
              <w:spacing w:before="60" w:after="60"/>
              <w:jc w:val="both"/>
              <w:rPr>
                <w:rFonts w:eastAsia="Times New Roman" w:cs="Times New Roman"/>
                <w:noProof/>
              </w:rPr>
            </w:pPr>
            <w:r>
              <w:rPr>
                <w:noProof/>
              </w:rPr>
              <w:t xml:space="preserve">Sistemele gestionate de instituțiile și organismele de stat incluse în Lista instituțiilor și organismelor de stat care primesc servicii centralizate de tehnologie a informației, aprobată prin Hotărârea Guvernului nr. 907, au migrat către o infrastructură hibridă de cloud. </w:t>
            </w:r>
          </w:p>
          <w:p w14:paraId="1E5AA1F4" w14:textId="77777777" w:rsidR="00F53E3A" w:rsidRDefault="0036255F">
            <w:pPr>
              <w:pStyle w:val="P68B1DB1-Normal12"/>
              <w:spacing w:before="60" w:after="60"/>
              <w:jc w:val="both"/>
              <w:rPr>
                <w:noProof/>
              </w:rPr>
            </w:pPr>
            <w:r>
              <w:rPr>
                <w:noProof/>
              </w:rPr>
              <w:t xml:space="preserve">Excepții: </w:t>
            </w:r>
          </w:p>
          <w:p w14:paraId="71DD1B14" w14:textId="7DE6DE7F" w:rsidR="00F53E3A" w:rsidRDefault="0036255F">
            <w:pPr>
              <w:pStyle w:val="P68B1DB1-Normal12"/>
              <w:spacing w:before="60" w:after="60"/>
              <w:jc w:val="both"/>
              <w:rPr>
                <w:rFonts w:eastAsia="Times New Roman" w:cs="Times New Roman"/>
                <w:noProof/>
              </w:rPr>
            </w:pPr>
            <w:r>
              <w:rPr>
                <w:noProof/>
              </w:rPr>
              <w:t>Sistemele deținute de instituțiile și organismele de stat care sunt gestionate de Centrul de registre al întreprinderilor de stat, întreținute din bugetul Centrului de registre al întreprinderilor de stat și care sunt exploatate în infrastructura sa TIC și sunt stocate în centre de date conforme pot fi excluse de la migrarea/modernizarea menționată mai sus.</w:t>
            </w:r>
          </w:p>
          <w:p w14:paraId="70EBA4E8" w14:textId="23D51FD7" w:rsidR="00F53E3A" w:rsidRDefault="0036255F">
            <w:pPr>
              <w:pStyle w:val="P68B1DB1-Normal12"/>
              <w:spacing w:before="60" w:after="60"/>
              <w:jc w:val="both"/>
              <w:rPr>
                <w:noProof/>
              </w:rPr>
            </w:pPr>
            <w:r>
              <w:rPr>
                <w:noProof/>
              </w:rPr>
              <w:t>Instituțiile și organismele de stat incluse pe lista instituțiilor și organismelor de stat care primesc servicii centralizate de tehnologie a informației pentru care Rezoluția nr. 907 stabilește o excepție pot fi excluse de la migrarea/modernizarea menționată mai sus.</w:t>
            </w:r>
          </w:p>
        </w:tc>
      </w:tr>
      <w:tr w:rsidR="00F53E3A" w14:paraId="7B6812D5" w14:textId="77777777" w:rsidTr="00CB74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008389A" w14:textId="0A0C1581" w:rsidR="00F53E3A" w:rsidRDefault="0036255F">
            <w:pPr>
              <w:pStyle w:val="P68B1DB1-Normal12"/>
              <w:spacing w:before="60" w:after="60"/>
              <w:jc w:val="center"/>
              <w:rPr>
                <w:rFonts w:eastAsia="Times New Roman" w:cs="Times New Roman"/>
                <w:noProof/>
              </w:rPr>
            </w:pPr>
            <w:r>
              <w:rPr>
                <w:noProof/>
              </w:rPr>
              <w:t>60a</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6702CE8" w14:textId="78FB3BC7" w:rsidR="00F53E3A" w:rsidRDefault="0036255F">
            <w:pPr>
              <w:pStyle w:val="P68B1DB1-Normal12"/>
              <w:spacing w:before="60" w:after="60"/>
              <w:rPr>
                <w:rFonts w:eastAsia="Times New Roman" w:cs="Times New Roman"/>
                <w:noProof/>
              </w:rPr>
            </w:pPr>
            <w:r>
              <w:rPr>
                <w:noProof/>
              </w:rPr>
              <w:t>C.1.1a Dezvoltarea securității cibernetice de stat</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77ACA1" w14:textId="1BCE319C" w:rsidR="00F53E3A" w:rsidRDefault="0036255F">
            <w:pPr>
              <w:pStyle w:val="P68B1DB1-Normal12"/>
              <w:spacing w:before="60" w:after="60"/>
              <w:jc w:val="center"/>
              <w:rPr>
                <w:rFonts w:eastAsia="Times New Roman" w:cs="Times New Roman"/>
                <w:noProof/>
              </w:rPr>
            </w:pPr>
            <w:r>
              <w:rPr>
                <w:noProof/>
              </w:rPr>
              <w:t>Etapă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2266924" w14:textId="667CE9F0" w:rsidR="00F53E3A" w:rsidRDefault="0036255F">
            <w:pPr>
              <w:pStyle w:val="P68B1DB1-Normal12"/>
              <w:spacing w:before="60" w:after="60"/>
              <w:rPr>
                <w:rFonts w:eastAsia="Times New Roman" w:cs="Times New Roman"/>
                <w:noProof/>
              </w:rPr>
            </w:pPr>
            <w:r>
              <w:rPr>
                <w:noProof/>
              </w:rPr>
              <w:t>Adoptarea programului de dezvoltare a securității cibernetice.</w:t>
            </w:r>
          </w:p>
        </w:tc>
        <w:tc>
          <w:tcPr>
            <w:tcW w:w="146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69C5CF4" w14:textId="174184DB" w:rsidR="00F53E3A" w:rsidRDefault="0036255F">
            <w:pPr>
              <w:pStyle w:val="P68B1DB1-Normal12"/>
              <w:spacing w:before="60" w:after="60"/>
              <w:rPr>
                <w:rFonts w:eastAsia="Times New Roman" w:cs="Times New Roman"/>
                <w:noProof/>
              </w:rPr>
            </w:pPr>
            <w:r>
              <w:rPr>
                <w:noProof/>
              </w:rPr>
              <w:t>Programul de dezvoltare a securității cibernetice a fost adoptat</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7A6AC12" w14:textId="77777777" w:rsidR="00F53E3A" w:rsidRDefault="00F53E3A">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024078F" w14:textId="77777777" w:rsidR="00F53E3A" w:rsidRDefault="00F53E3A">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142A455" w14:textId="77777777" w:rsidR="00F53E3A" w:rsidRDefault="00F53E3A">
            <w:pPr>
              <w:spacing w:before="60" w:after="60"/>
              <w:jc w:val="center"/>
              <w:rPr>
                <w:rFonts w:ascii="Times New Roman" w:eastAsia="Times New Roman" w:hAnsi="Times New Roman" w:cs="Times New Roman"/>
                <w:noProof/>
                <w:sz w:val="20"/>
              </w:rPr>
            </w:pP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4A7313E" w14:textId="2C75769F" w:rsidR="00F53E3A" w:rsidRDefault="00DB2EC5">
            <w:pPr>
              <w:pStyle w:val="P68B1DB1-Normal12"/>
              <w:spacing w:before="60" w:after="60"/>
              <w:jc w:val="center"/>
              <w:rPr>
                <w:rFonts w:eastAsia="Times New Roman" w:cs="Times New Roman"/>
                <w:noProof/>
              </w:rPr>
            </w:pPr>
            <w:r>
              <w:rPr>
                <w:noProof/>
              </w:rPr>
              <w:t>T3</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18BB44" w14:textId="59B903A1" w:rsidR="00F53E3A" w:rsidRDefault="0036255F">
            <w:pPr>
              <w:pStyle w:val="P68B1DB1-Normal12"/>
              <w:spacing w:before="60" w:after="60"/>
              <w:jc w:val="center"/>
              <w:rPr>
                <w:rFonts w:eastAsia="Times New Roman" w:cs="Times New Roman"/>
                <w:noProof/>
              </w:rPr>
            </w:pPr>
            <w:r>
              <w:rPr>
                <w:noProof/>
              </w:rPr>
              <w:t>2023</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8D4EBD4" w14:textId="48B389AE" w:rsidR="00F53E3A" w:rsidRDefault="0036255F">
            <w:pPr>
              <w:pStyle w:val="P68B1DB1-Normal12"/>
              <w:spacing w:before="60" w:after="60"/>
              <w:jc w:val="both"/>
              <w:rPr>
                <w:rFonts w:eastAsia="Times New Roman" w:cs="Times New Roman"/>
                <w:noProof/>
              </w:rPr>
            </w:pPr>
            <w:r>
              <w:rPr>
                <w:noProof/>
              </w:rPr>
              <w:t>Programul național de dezvoltare a securității cibernetice este adoptat de Guvernul Republicii Lituania.</w:t>
            </w:r>
          </w:p>
        </w:tc>
      </w:tr>
      <w:tr w:rsidR="00F53E3A" w14:paraId="7D2743CB" w14:textId="77777777" w:rsidTr="00CB74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55F284" w14:textId="33781306" w:rsidR="00F53E3A" w:rsidRDefault="0036255F">
            <w:pPr>
              <w:pStyle w:val="P68B1DB1-Normal12"/>
              <w:spacing w:before="60" w:after="60"/>
              <w:jc w:val="center"/>
              <w:rPr>
                <w:rFonts w:eastAsia="Times New Roman" w:cs="Times New Roman"/>
                <w:noProof/>
              </w:rPr>
            </w:pPr>
            <w:r>
              <w:rPr>
                <w:noProof/>
              </w:rPr>
              <w:t>60b</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54583A1" w14:textId="593132E2" w:rsidR="00F53E3A" w:rsidRDefault="0036255F">
            <w:pPr>
              <w:pStyle w:val="P68B1DB1-Normal12"/>
              <w:spacing w:before="60" w:after="60"/>
              <w:rPr>
                <w:rFonts w:eastAsia="Times New Roman" w:cs="Times New Roman"/>
                <w:noProof/>
              </w:rPr>
            </w:pPr>
            <w:r>
              <w:rPr>
                <w:noProof/>
              </w:rPr>
              <w:t>C.1.1a Dezvoltarea securității cibernetice de stat</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6D76A83" w14:textId="7499481E" w:rsidR="00F53E3A" w:rsidRDefault="0036255F">
            <w:pPr>
              <w:pStyle w:val="P68B1DB1-Normal12"/>
              <w:spacing w:before="60" w:after="60"/>
              <w:jc w:val="center"/>
              <w:rPr>
                <w:rFonts w:eastAsia="Times New Roman" w:cs="Times New Roman"/>
                <w:noProof/>
              </w:rPr>
            </w:pPr>
            <w:r>
              <w:rPr>
                <w:noProof/>
              </w:rPr>
              <w:t>Etapă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11E182E" w14:textId="4F79F007" w:rsidR="00F53E3A" w:rsidRDefault="0036255F">
            <w:pPr>
              <w:pStyle w:val="P68B1DB1-Normal12"/>
              <w:spacing w:before="60" w:after="60"/>
              <w:rPr>
                <w:rFonts w:eastAsia="Times New Roman" w:cs="Times New Roman"/>
                <w:noProof/>
              </w:rPr>
            </w:pPr>
            <w:r>
              <w:rPr>
                <w:noProof/>
              </w:rPr>
              <w:t>Furnizarea unui sistem național de monitorizare a securității cibernetice.</w:t>
            </w:r>
          </w:p>
        </w:tc>
        <w:tc>
          <w:tcPr>
            <w:tcW w:w="146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926877" w14:textId="13FA13EA" w:rsidR="00F53E3A" w:rsidRDefault="0036255F">
            <w:pPr>
              <w:pStyle w:val="P68B1DB1-Normal12"/>
              <w:spacing w:before="60" w:after="60"/>
              <w:rPr>
                <w:rFonts w:eastAsia="Times New Roman" w:cs="Times New Roman"/>
                <w:noProof/>
              </w:rPr>
            </w:pPr>
            <w:r>
              <w:rPr>
                <w:noProof/>
              </w:rPr>
              <w:t>Furnizarea unui sistem național de monitorizare a securității cibernetice</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DBE6934" w14:textId="77777777" w:rsidR="00F53E3A" w:rsidRDefault="00F53E3A">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CD6F724" w14:textId="77777777" w:rsidR="00F53E3A" w:rsidRDefault="00F53E3A">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DD3CE4F" w14:textId="77777777" w:rsidR="00F53E3A" w:rsidRDefault="00F53E3A">
            <w:pPr>
              <w:spacing w:before="60" w:after="60"/>
              <w:jc w:val="center"/>
              <w:rPr>
                <w:rFonts w:ascii="Times New Roman" w:eastAsia="Times New Roman" w:hAnsi="Times New Roman" w:cs="Times New Roman"/>
                <w:noProof/>
                <w:sz w:val="20"/>
              </w:rPr>
            </w:pP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19E8950" w14:textId="66E71E47" w:rsidR="00F53E3A" w:rsidRDefault="00DB2EC5">
            <w:pPr>
              <w:pStyle w:val="P68B1DB1-Normal12"/>
              <w:spacing w:before="60" w:after="60"/>
              <w:jc w:val="center"/>
              <w:rPr>
                <w:rFonts w:eastAsia="Times New Roman" w:cs="Times New Roman"/>
                <w:noProof/>
              </w:rPr>
            </w:pPr>
            <w:r>
              <w:rPr>
                <w:noProof/>
              </w:rPr>
              <w:t>T2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A068905" w14:textId="2EE21C38" w:rsidR="00F53E3A" w:rsidRDefault="0036255F">
            <w:pPr>
              <w:pStyle w:val="P68B1DB1-Normal12"/>
              <w:spacing w:before="60" w:after="60"/>
              <w:jc w:val="center"/>
              <w:rPr>
                <w:rFonts w:eastAsia="Times New Roman" w:cs="Times New Roman"/>
                <w:noProof/>
              </w:rPr>
            </w:pPr>
            <w:r>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7C35F2E" w14:textId="0DC0D36E" w:rsidR="00F53E3A" w:rsidRDefault="0036255F">
            <w:pPr>
              <w:pStyle w:val="P68B1DB1-Normal12"/>
              <w:spacing w:before="60" w:after="60"/>
              <w:ind w:left="57" w:right="57"/>
              <w:jc w:val="both"/>
              <w:textAlignment w:val="baseline"/>
              <w:rPr>
                <w:rFonts w:eastAsia="Times New Roman" w:cs="Times New Roman"/>
                <w:noProof/>
              </w:rPr>
            </w:pPr>
            <w:r>
              <w:rPr>
                <w:noProof/>
              </w:rPr>
              <w:t>Se pune la dispoziție un sistem de monitorizare a securității cibernetice. Acestea cuprind: 1) furnizarea de hardware și software; 2) instituirea schimbului de informații între utilizatori (subiecți ai securității cibernetice) și Centrul național de securitate cibernetică; și 3) înființarea de centre de gestionare a securității.</w:t>
            </w:r>
          </w:p>
        </w:tc>
      </w:tr>
      <w:tr w:rsidR="00F53E3A" w14:paraId="376FA13C" w14:textId="77777777" w:rsidTr="00CB74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3432A17" w14:textId="0E15AF5D" w:rsidR="00F53E3A" w:rsidRDefault="0036255F">
            <w:pPr>
              <w:pStyle w:val="P68B1DB1-Normal12"/>
              <w:spacing w:before="60" w:after="60"/>
              <w:jc w:val="center"/>
              <w:rPr>
                <w:rFonts w:eastAsia="Times New Roman" w:cs="Times New Roman"/>
                <w:noProof/>
              </w:rPr>
            </w:pPr>
            <w:r>
              <w:rPr>
                <w:noProof/>
              </w:rPr>
              <w:t>60c</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2B2674F" w14:textId="397BE4D3" w:rsidR="00F53E3A" w:rsidRDefault="0036255F">
            <w:pPr>
              <w:pStyle w:val="P68B1DB1-Normal12"/>
              <w:spacing w:before="60" w:after="60"/>
              <w:rPr>
                <w:rFonts w:eastAsia="Times New Roman" w:cs="Times New Roman"/>
                <w:noProof/>
              </w:rPr>
            </w:pPr>
            <w:r>
              <w:rPr>
                <w:noProof/>
              </w:rPr>
              <w:t>C.1.1a Dezvoltarea securității cibernetice de stat</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3208F4" w14:textId="5FFC9A4C" w:rsidR="00F53E3A" w:rsidRDefault="0036255F">
            <w:pPr>
              <w:pStyle w:val="P68B1DB1-Normal12"/>
              <w:spacing w:before="60" w:after="60"/>
              <w:jc w:val="center"/>
              <w:rPr>
                <w:rFonts w:eastAsia="Times New Roman" w:cs="Times New Roman"/>
                <w:noProof/>
              </w:rPr>
            </w:pPr>
            <w:r>
              <w:rPr>
                <w:noProof/>
              </w:rPr>
              <w:t>Etapă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78E6EE0" w14:textId="61063F87" w:rsidR="00F53E3A" w:rsidRDefault="0036255F">
            <w:pPr>
              <w:pStyle w:val="P68B1DB1-Normal12"/>
              <w:spacing w:before="60" w:after="60"/>
              <w:rPr>
                <w:rFonts w:eastAsia="Times New Roman" w:cs="Times New Roman"/>
                <w:noProof/>
              </w:rPr>
            </w:pPr>
            <w:r>
              <w:rPr>
                <w:noProof/>
              </w:rPr>
              <w:t xml:space="preserve">Ancheta privind criminalitatea informatică </w:t>
            </w:r>
          </w:p>
        </w:tc>
        <w:tc>
          <w:tcPr>
            <w:tcW w:w="146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407958" w14:textId="2CAC12B8" w:rsidR="00F53E3A" w:rsidRDefault="0036255F">
            <w:pPr>
              <w:pStyle w:val="P68B1DB1-Normal12"/>
              <w:spacing w:before="60" w:after="60"/>
              <w:rPr>
                <w:rFonts w:eastAsia="Times New Roman" w:cs="Times New Roman"/>
                <w:noProof/>
              </w:rPr>
            </w:pPr>
            <w:r>
              <w:rPr>
                <w:noProof/>
              </w:rPr>
              <w:t xml:space="preserve">Furnizarea de hardware și software pentru investigarea criminalității cibernetice </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7BE302" w14:textId="77777777" w:rsidR="00F53E3A" w:rsidRDefault="00F53E3A">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C0ACD9" w14:textId="77777777" w:rsidR="00F53E3A" w:rsidRDefault="00F53E3A">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3B3FAF7" w14:textId="77777777" w:rsidR="00F53E3A" w:rsidRDefault="00F53E3A">
            <w:pPr>
              <w:spacing w:before="60" w:after="60"/>
              <w:jc w:val="center"/>
              <w:rPr>
                <w:rFonts w:ascii="Times New Roman" w:eastAsia="Times New Roman" w:hAnsi="Times New Roman" w:cs="Times New Roman"/>
                <w:noProof/>
                <w:sz w:val="20"/>
              </w:rPr>
            </w:pP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AAFB26A" w14:textId="41C90221" w:rsidR="00F53E3A" w:rsidRDefault="00DB2EC5">
            <w:pPr>
              <w:pStyle w:val="P68B1DB1-Normal12"/>
              <w:spacing w:before="60" w:after="60"/>
              <w:jc w:val="center"/>
              <w:rPr>
                <w:rFonts w:eastAsia="Times New Roman" w:cs="Times New Roman"/>
                <w:noProof/>
              </w:rPr>
            </w:pPr>
            <w:r>
              <w:rPr>
                <w:noProof/>
              </w:rPr>
              <w:t>T2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15C80CB" w14:textId="0CBEF01D" w:rsidR="00F53E3A" w:rsidRDefault="0036255F">
            <w:pPr>
              <w:pStyle w:val="P68B1DB1-Normal12"/>
              <w:spacing w:before="60" w:after="60"/>
              <w:jc w:val="center"/>
              <w:rPr>
                <w:rFonts w:eastAsia="Times New Roman" w:cs="Times New Roman"/>
                <w:noProof/>
              </w:rPr>
            </w:pPr>
            <w:r>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4C5E85B" w14:textId="3C0705D5" w:rsidR="00F53E3A" w:rsidRDefault="0036255F">
            <w:pPr>
              <w:pStyle w:val="P68B1DB1-paragraph24"/>
              <w:spacing w:before="60" w:beforeAutospacing="0" w:after="60" w:afterAutospacing="0" w:line="276" w:lineRule="auto"/>
              <w:ind w:left="57" w:right="57"/>
              <w:jc w:val="both"/>
              <w:textAlignment w:val="baseline"/>
              <w:rPr>
                <w:noProof/>
              </w:rPr>
            </w:pPr>
            <w:r>
              <w:rPr>
                <w:noProof/>
              </w:rPr>
              <w:t xml:space="preserve">Hardware-ul și software-ul sunt furnizate pentru investigarea criminalității cibernetice. </w:t>
            </w:r>
          </w:p>
        </w:tc>
      </w:tr>
      <w:tr w:rsidR="00F53E3A" w14:paraId="7589D0C2" w14:textId="77777777" w:rsidTr="00CB74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0A4F71" w14:textId="19EA00F5" w:rsidR="00F53E3A" w:rsidRDefault="0036255F">
            <w:pPr>
              <w:pStyle w:val="P68B1DB1-Normal12"/>
              <w:spacing w:before="60" w:after="60"/>
              <w:jc w:val="center"/>
              <w:rPr>
                <w:rFonts w:eastAsia="Times New Roman" w:cs="Times New Roman"/>
                <w:noProof/>
              </w:rPr>
            </w:pPr>
            <w:r>
              <w:rPr>
                <w:noProof/>
              </w:rPr>
              <w:t>61</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89689AE" w14:textId="0BD3A18E" w:rsidR="00F53E3A" w:rsidRDefault="0036255F">
            <w:pPr>
              <w:pStyle w:val="P68B1DB1-Normal12"/>
              <w:spacing w:before="60" w:after="60"/>
              <w:rPr>
                <w:rFonts w:eastAsia="Times New Roman" w:cs="Times New Roman"/>
                <w:noProof/>
              </w:rPr>
            </w:pPr>
            <w:r>
              <w:rPr>
                <w:noProof/>
              </w:rPr>
              <w:t>C.1.1a Dezvoltarea securității cibernetice de stat</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22C93B5" w14:textId="1EA4792A" w:rsidR="00F53E3A" w:rsidRDefault="0036255F">
            <w:pPr>
              <w:pStyle w:val="P68B1DB1-Normal12"/>
              <w:spacing w:before="60" w:after="60"/>
              <w:jc w:val="center"/>
              <w:rPr>
                <w:rFonts w:eastAsia="Times New Roman" w:cs="Times New Roman"/>
                <w:noProof/>
              </w:rPr>
            </w:pPr>
            <w:r>
              <w:rPr>
                <w:noProof/>
              </w:rPr>
              <w:t>Țintă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32B42C5" w14:textId="485ECFF8" w:rsidR="00F53E3A" w:rsidRDefault="0036255F">
            <w:pPr>
              <w:pStyle w:val="P68B1DB1-Normal12"/>
              <w:spacing w:before="60" w:after="60"/>
              <w:rPr>
                <w:rFonts w:cs="Times New Roman"/>
                <w:noProof/>
              </w:rPr>
            </w:pPr>
            <w:r>
              <w:rPr>
                <w:noProof/>
              </w:rPr>
              <w:t>Finalizarea formării în materie de securitate cibernetică</w:t>
            </w:r>
          </w:p>
        </w:tc>
        <w:tc>
          <w:tcPr>
            <w:tcW w:w="146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AD6C5D" w14:textId="77777777" w:rsidR="00F53E3A" w:rsidRDefault="00F53E3A">
            <w:pPr>
              <w:spacing w:before="60" w:after="60"/>
              <w:rPr>
                <w:rFonts w:ascii="Times New Roman" w:eastAsia="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22FBBC" w14:textId="58681DA1" w:rsidR="00F53E3A" w:rsidRDefault="0036255F">
            <w:pPr>
              <w:pStyle w:val="P68B1DB1-Normal12"/>
              <w:spacing w:before="60" w:after="60"/>
              <w:jc w:val="center"/>
              <w:rPr>
                <w:rFonts w:eastAsia="Times New Roman"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6202DDD" w14:textId="6C501B75" w:rsidR="00F53E3A" w:rsidRDefault="0036255F">
            <w:pPr>
              <w:pStyle w:val="P68B1DB1-Normal12"/>
              <w:spacing w:before="60" w:after="60"/>
              <w:jc w:val="center"/>
              <w:rPr>
                <w:rFonts w:eastAsia="Times New Roman"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B8C7DEE" w14:textId="1F9A5346" w:rsidR="00F53E3A" w:rsidRDefault="0036255F">
            <w:pPr>
              <w:pStyle w:val="P68B1DB1-Normal12"/>
              <w:spacing w:before="60" w:after="60"/>
              <w:jc w:val="center"/>
              <w:rPr>
                <w:rFonts w:eastAsia="Times New Roman" w:cs="Times New Roman"/>
                <w:noProof/>
              </w:rPr>
            </w:pPr>
            <w:r>
              <w:rPr>
                <w:noProof/>
              </w:rPr>
              <w:t>300</w:t>
            </w: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C7FD08" w14:textId="21B2B4F0" w:rsidR="00F53E3A" w:rsidRDefault="00DB2EC5">
            <w:pPr>
              <w:pStyle w:val="P68B1DB1-Normal12"/>
              <w:spacing w:before="60" w:after="60"/>
              <w:jc w:val="center"/>
              <w:rPr>
                <w:rFonts w:eastAsia="Times New Roman" w:cs="Times New Roman"/>
                <w:noProof/>
              </w:rPr>
            </w:pPr>
            <w:r>
              <w:rPr>
                <w:noProof/>
              </w:rPr>
              <w:t>T2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43197C" w14:textId="3329EE2C" w:rsidR="00F53E3A" w:rsidRDefault="0036255F">
            <w:pPr>
              <w:pStyle w:val="P68B1DB1-Normal12"/>
              <w:spacing w:before="60" w:after="60"/>
              <w:jc w:val="center"/>
              <w:rPr>
                <w:rFonts w:eastAsia="Times New Roman" w:cs="Times New Roman"/>
                <w:noProof/>
              </w:rPr>
            </w:pPr>
            <w:r>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F35945E" w14:textId="542F6E81" w:rsidR="00F53E3A" w:rsidRDefault="0036255F">
            <w:pPr>
              <w:pStyle w:val="P68B1DB1-paragraph24"/>
              <w:spacing w:before="60" w:beforeAutospacing="0" w:after="60" w:afterAutospacing="0" w:line="276" w:lineRule="auto"/>
              <w:ind w:left="57" w:right="57"/>
              <w:jc w:val="both"/>
              <w:rPr>
                <w:noProof/>
              </w:rPr>
            </w:pPr>
            <w:r>
              <w:rPr>
                <w:noProof/>
              </w:rPr>
              <w:t>300 de persoane au beneficiat de formare în domeniul securității cibernetice.</w:t>
            </w:r>
          </w:p>
        </w:tc>
      </w:tr>
      <w:tr w:rsidR="00F53E3A" w14:paraId="655A3E54" w14:textId="77777777" w:rsidTr="00CB74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DE12519" w14:textId="77777777" w:rsidR="00F53E3A" w:rsidRDefault="0036255F">
            <w:pPr>
              <w:pStyle w:val="P68B1DB1-Normal12"/>
              <w:spacing w:before="60" w:after="60"/>
              <w:jc w:val="center"/>
              <w:rPr>
                <w:rFonts w:eastAsia="Times New Roman" w:cs="Times New Roman"/>
                <w:noProof/>
              </w:rPr>
            </w:pPr>
            <w:r>
              <w:rPr>
                <w:noProof/>
              </w:rPr>
              <w:t>62</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15924E5" w14:textId="77777777" w:rsidR="00F53E3A" w:rsidRDefault="0036255F">
            <w:pPr>
              <w:pStyle w:val="P68B1DB1-Normal12"/>
              <w:spacing w:before="60" w:after="60"/>
              <w:rPr>
                <w:rFonts w:eastAsia="Times New Roman" w:cs="Times New Roman"/>
                <w:noProof/>
              </w:rPr>
            </w:pPr>
            <w:r>
              <w:rPr>
                <w:noProof/>
              </w:rPr>
              <w:t>C.1.1 Transformarea guvernanței tehnologiei informației publice</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E95177" w14:textId="77777777" w:rsidR="00F53E3A" w:rsidRDefault="0036255F">
            <w:pPr>
              <w:pStyle w:val="P68B1DB1-Normal12"/>
              <w:spacing w:before="60" w:after="60"/>
              <w:jc w:val="center"/>
              <w:rPr>
                <w:rFonts w:eastAsia="Times New Roman" w:cs="Times New Roman"/>
                <w:noProof/>
              </w:rPr>
            </w:pPr>
            <w:r>
              <w:rPr>
                <w:noProof/>
              </w:rPr>
              <w:t>Țintă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8E707D7" w14:textId="306E694A" w:rsidR="00F53E3A" w:rsidRDefault="0036255F">
            <w:pPr>
              <w:pStyle w:val="P68B1DB1-Normal12"/>
              <w:spacing w:before="60" w:after="60"/>
              <w:rPr>
                <w:noProof/>
              </w:rPr>
            </w:pPr>
            <w:r>
              <w:rPr>
                <w:noProof/>
              </w:rPr>
              <w:t>Agenția de Stat pentru Soluții Digitale furnizează servicii informatice instituțiilor și organismelor de stat stabilite în Lista instituțiilor și organismelor de stat care primesc servicii centralizate de tehnologie a informației.</w:t>
            </w:r>
          </w:p>
        </w:tc>
        <w:tc>
          <w:tcPr>
            <w:tcW w:w="146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249321" w14:textId="1D117690" w:rsidR="00F53E3A" w:rsidRDefault="00F53E3A">
            <w:pPr>
              <w:spacing w:before="60" w:after="60"/>
              <w:rPr>
                <w:rFonts w:ascii="Times New Roman" w:eastAsia="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02D3288" w14:textId="60E7BF7D" w:rsidR="00F53E3A" w:rsidRDefault="0036255F">
            <w:pPr>
              <w:pStyle w:val="P68B1DB1-Normal25"/>
              <w:spacing w:before="60" w:after="60"/>
              <w:jc w:val="center"/>
              <w:rPr>
                <w:rFonts w:eastAsia="Times New Roman" w:cs="Times New Roman"/>
                <w:noProof/>
                <w:sz w:val="20"/>
              </w:rPr>
            </w:pPr>
            <w:r>
              <w:rPr>
                <w:noProof/>
              </w:rPr>
              <w:t>Procent</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0F84135" w14:textId="1514A44A" w:rsidR="00F53E3A" w:rsidRDefault="0036255F">
            <w:pPr>
              <w:pStyle w:val="P68B1DB1-Normal12"/>
              <w:spacing w:before="60" w:after="60"/>
              <w:jc w:val="center"/>
              <w:rPr>
                <w:rFonts w:eastAsia="Times New Roman" w:cs="Times New Roman"/>
                <w:noProof/>
              </w:rPr>
            </w:pPr>
            <w:r>
              <w:rPr>
                <w:noProof/>
              </w:rPr>
              <w:t>9 %</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EEA51C4" w14:textId="5668CC9E" w:rsidR="00F53E3A" w:rsidRDefault="0036255F">
            <w:pPr>
              <w:pStyle w:val="P68B1DB1-Normal12"/>
              <w:spacing w:before="60" w:after="60"/>
              <w:jc w:val="center"/>
              <w:rPr>
                <w:rFonts w:eastAsia="Times New Roman" w:cs="Times New Roman"/>
                <w:noProof/>
              </w:rPr>
            </w:pPr>
            <w:r>
              <w:rPr>
                <w:noProof/>
              </w:rPr>
              <w:t>75 %</w:t>
            </w: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E4F98EE" w14:textId="044D567B" w:rsidR="00F53E3A" w:rsidRDefault="00DB2EC5">
            <w:pPr>
              <w:pStyle w:val="P68B1DB1-Normal12"/>
              <w:spacing w:before="60" w:after="60"/>
              <w:jc w:val="center"/>
              <w:rPr>
                <w:rFonts w:eastAsia="Times New Roman" w:cs="Times New Roman"/>
                <w:noProof/>
              </w:rPr>
            </w:pPr>
            <w:r>
              <w:rPr>
                <w:noProof/>
              </w:rPr>
              <w:t>T1</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AABC4E" w14:textId="77777777" w:rsidR="00F53E3A" w:rsidRDefault="0036255F">
            <w:pPr>
              <w:pStyle w:val="P68B1DB1-Normal12"/>
              <w:spacing w:before="60" w:after="60"/>
              <w:jc w:val="center"/>
              <w:rPr>
                <w:rFonts w:eastAsia="Times New Roman" w:cs="Times New Roman"/>
                <w:noProof/>
              </w:rPr>
            </w:pPr>
            <w:r>
              <w:rPr>
                <w:noProof/>
              </w:rPr>
              <w:t>2025</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94DE96" w14:textId="6E1B7B5F" w:rsidR="00F53E3A" w:rsidRDefault="0036255F">
            <w:pPr>
              <w:pStyle w:val="P68B1DB1-Normal12"/>
              <w:spacing w:before="60" w:after="60"/>
              <w:jc w:val="both"/>
              <w:rPr>
                <w:noProof/>
              </w:rPr>
            </w:pPr>
            <w:r>
              <w:rPr>
                <w:noProof/>
              </w:rPr>
              <w:t>75 % dintre instituțiile stabilite în Lista instituțiilor și organismelor de stat care primesc servicii centralizate de tehnologie a informației beneficiază de servicii informatice consolidate.</w:t>
            </w:r>
          </w:p>
          <w:p w14:paraId="4706A7A5" w14:textId="315E44B3" w:rsidR="00F53E3A" w:rsidRDefault="0036255F">
            <w:pPr>
              <w:pStyle w:val="P68B1DB1-Normal12"/>
              <w:spacing w:before="60" w:after="60"/>
              <w:jc w:val="both"/>
              <w:rPr>
                <w:rFonts w:eastAsia="Times New Roman" w:cs="Times New Roman"/>
                <w:noProof/>
              </w:rPr>
            </w:pPr>
            <w:r>
              <w:rPr>
                <w:noProof/>
              </w:rPr>
              <w:t>Excepție: Instituțiile și organismele de stat incluse pe lista instituțiilor și organismelor de stat care primesc servicii centralizate de tehnologie a informației pentru care Rezoluția nr. 907 stabilește o excepție pot fi excluse la calcularea cotei menționate anterior.</w:t>
            </w:r>
          </w:p>
        </w:tc>
      </w:tr>
      <w:tr w:rsidR="00F53E3A" w14:paraId="050D2AAD" w14:textId="77777777" w:rsidTr="00CB74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216111A" w14:textId="77777777" w:rsidR="00F53E3A" w:rsidRDefault="0036255F">
            <w:pPr>
              <w:pStyle w:val="P68B1DB1-Normal12"/>
              <w:spacing w:before="60" w:after="60"/>
              <w:jc w:val="center"/>
              <w:rPr>
                <w:rFonts w:eastAsia="Times New Roman" w:cs="Times New Roman"/>
                <w:noProof/>
              </w:rPr>
            </w:pPr>
            <w:r>
              <w:rPr>
                <w:noProof/>
              </w:rPr>
              <w:t>63</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39B0490" w14:textId="77777777" w:rsidR="00F53E3A" w:rsidRDefault="0036255F">
            <w:pPr>
              <w:pStyle w:val="P68B1DB1-Normal12"/>
              <w:spacing w:before="60" w:after="60"/>
              <w:rPr>
                <w:rFonts w:eastAsia="Times New Roman" w:cs="Times New Roman"/>
                <w:noProof/>
              </w:rPr>
            </w:pPr>
            <w:r>
              <w:rPr>
                <w:noProof/>
              </w:rPr>
              <w:t>C.1.1 Transformarea guvernanței tehnologiei informației publice</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0AD44A" w14:textId="77777777" w:rsidR="00F53E3A" w:rsidRDefault="0036255F">
            <w:pPr>
              <w:pStyle w:val="P68B1DB1-Normal12"/>
              <w:spacing w:before="60" w:after="60"/>
              <w:jc w:val="center"/>
              <w:rPr>
                <w:rFonts w:eastAsia="Times New Roman" w:cs="Times New Roman"/>
                <w:noProof/>
              </w:rPr>
            </w:pPr>
            <w:r>
              <w:rPr>
                <w:noProof/>
              </w:rPr>
              <w:t>Țintă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7EFBC5" w14:textId="41B6EE7B" w:rsidR="00F53E3A" w:rsidRDefault="0036255F">
            <w:pPr>
              <w:pStyle w:val="P68B1DB1-Normal12"/>
              <w:spacing w:before="60" w:after="60"/>
              <w:rPr>
                <w:noProof/>
              </w:rPr>
            </w:pPr>
            <w:r>
              <w:rPr>
                <w:noProof/>
              </w:rPr>
              <w:t>Agenția de Stat pentru Soluții Digitale furnizează servicii informatice tuturor instituțiilor și organismelor de stat stabilite în Lista instituțiilor și organismelor de stat care primesc servicii centralizate de tehnologie a informației</w:t>
            </w:r>
          </w:p>
        </w:tc>
        <w:tc>
          <w:tcPr>
            <w:tcW w:w="146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98D62B9" w14:textId="41FE3E84" w:rsidR="00F53E3A" w:rsidRDefault="00F53E3A">
            <w:pPr>
              <w:spacing w:before="60" w:after="60"/>
              <w:rPr>
                <w:rFonts w:ascii="Times New Roman" w:eastAsia="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01128DB" w14:textId="169ED303" w:rsidR="00F53E3A" w:rsidRDefault="0036255F">
            <w:pPr>
              <w:pStyle w:val="P68B1DB1-Normal25"/>
              <w:spacing w:before="60" w:after="60"/>
              <w:jc w:val="center"/>
              <w:rPr>
                <w:rFonts w:eastAsia="Times New Roman" w:cs="Times New Roman"/>
                <w:noProof/>
                <w:sz w:val="20"/>
              </w:rPr>
            </w:pPr>
            <w:r>
              <w:rPr>
                <w:noProof/>
              </w:rPr>
              <w:t>Procent</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D58FE46" w14:textId="6611D26F" w:rsidR="00F53E3A" w:rsidRDefault="0036255F">
            <w:pPr>
              <w:pStyle w:val="P68B1DB1-Normal12"/>
              <w:spacing w:before="60" w:after="60"/>
              <w:jc w:val="center"/>
              <w:rPr>
                <w:rFonts w:eastAsia="Times New Roman" w:cs="Times New Roman"/>
                <w:noProof/>
              </w:rPr>
            </w:pPr>
            <w:r>
              <w:rPr>
                <w:noProof/>
              </w:rPr>
              <w:t>75 %</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1F9D6B" w14:textId="54C2DCF1" w:rsidR="00F53E3A" w:rsidRDefault="0036255F">
            <w:pPr>
              <w:pStyle w:val="P68B1DB1-Normal12"/>
              <w:spacing w:before="60" w:after="60"/>
              <w:jc w:val="center"/>
              <w:rPr>
                <w:rFonts w:eastAsia="Times New Roman" w:cs="Times New Roman"/>
                <w:noProof/>
              </w:rPr>
            </w:pPr>
            <w:r>
              <w:rPr>
                <w:noProof/>
              </w:rPr>
              <w:t>100 %</w:t>
            </w: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9E6FF1E" w14:textId="0FA830B8" w:rsidR="00F53E3A" w:rsidRDefault="00DB2EC5">
            <w:pPr>
              <w:pStyle w:val="P68B1DB1-Normal12"/>
              <w:spacing w:before="60" w:after="60"/>
              <w:jc w:val="center"/>
              <w:rPr>
                <w:rFonts w:eastAsia="Times New Roman" w:cs="Times New Roman"/>
                <w:noProof/>
              </w:rPr>
            </w:pPr>
            <w:r>
              <w:rPr>
                <w:noProof/>
              </w:rPr>
              <w:t>T3</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DD5F54B" w14:textId="77777777" w:rsidR="00F53E3A" w:rsidRDefault="0036255F">
            <w:pPr>
              <w:pStyle w:val="P68B1DB1-Normal12"/>
              <w:spacing w:before="60" w:after="60"/>
              <w:jc w:val="center"/>
              <w:rPr>
                <w:rFonts w:eastAsia="Times New Roman" w:cs="Times New Roman"/>
                <w:noProof/>
              </w:rPr>
            </w:pPr>
            <w:r>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7CB3DA" w14:textId="4233364D" w:rsidR="00F53E3A" w:rsidRDefault="0036255F">
            <w:pPr>
              <w:pStyle w:val="P68B1DB1-Normal12"/>
              <w:spacing w:before="60" w:after="60"/>
              <w:jc w:val="both"/>
              <w:rPr>
                <w:noProof/>
              </w:rPr>
            </w:pPr>
            <w:r>
              <w:rPr>
                <w:noProof/>
              </w:rPr>
              <w:t xml:space="preserve">100 % dintre instituțiile stabilite în Lista instituțiilor și organismelor de stat care primesc servicii centralizate de tehnologie a informației beneficiază de servicii informatice consolidate. </w:t>
            </w:r>
          </w:p>
          <w:p w14:paraId="44301E74" w14:textId="5E21541D" w:rsidR="00F53E3A" w:rsidRDefault="0036255F">
            <w:pPr>
              <w:pStyle w:val="P68B1DB1-Normal12"/>
              <w:spacing w:before="60" w:after="60"/>
              <w:jc w:val="both"/>
              <w:rPr>
                <w:rFonts w:eastAsia="Times New Roman" w:cs="Times New Roman"/>
                <w:noProof/>
              </w:rPr>
            </w:pPr>
            <w:r>
              <w:rPr>
                <w:noProof/>
              </w:rPr>
              <w:t>Excepție: Instituțiile și organismele de stat incluse pe lista instituțiilor și organismelor de stat care primesc servicii centralizate de tehnologie a informației pentru care Rezoluția nr. 907 stabilește o excepție pot fi excluse la calcularea cotei menționate anterior.</w:t>
            </w:r>
          </w:p>
        </w:tc>
      </w:tr>
      <w:tr w:rsidR="00F53E3A" w14:paraId="4D322900" w14:textId="77777777" w:rsidTr="00CB74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52ADCDA" w14:textId="77777777" w:rsidR="00F53E3A" w:rsidRDefault="0036255F">
            <w:pPr>
              <w:pStyle w:val="P68B1DB1-Normal12"/>
              <w:spacing w:before="60" w:after="60"/>
              <w:jc w:val="center"/>
              <w:rPr>
                <w:rFonts w:eastAsia="Times New Roman" w:cs="Times New Roman"/>
                <w:noProof/>
              </w:rPr>
            </w:pPr>
            <w:r>
              <w:rPr>
                <w:noProof/>
              </w:rPr>
              <w:t>64</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678544" w14:textId="019120FC" w:rsidR="00F53E3A" w:rsidRDefault="0036255F">
            <w:pPr>
              <w:pStyle w:val="P68B1DB1-Normal12"/>
              <w:spacing w:before="60" w:after="60"/>
              <w:rPr>
                <w:rFonts w:eastAsia="Times New Roman" w:cs="Times New Roman"/>
                <w:noProof/>
              </w:rPr>
            </w:pPr>
            <w:r>
              <w:rPr>
                <w:noProof/>
              </w:rPr>
              <w:t>C.1.2 Gestionarea datelor și datele deschise</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6705505" w14:textId="77777777" w:rsidR="00F53E3A" w:rsidRDefault="0036255F">
            <w:pPr>
              <w:pStyle w:val="P68B1DB1-Normal12"/>
              <w:spacing w:before="60" w:after="60"/>
              <w:jc w:val="center"/>
              <w:rPr>
                <w:rFonts w:eastAsia="Times New Roman" w:cs="Times New Roman"/>
                <w:noProof/>
              </w:rPr>
            </w:pPr>
            <w:r>
              <w:rPr>
                <w:noProof/>
              </w:rPr>
              <w:t>Etapă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7AA06B" w14:textId="77777777" w:rsidR="00F53E3A" w:rsidRDefault="0036255F">
            <w:pPr>
              <w:pStyle w:val="P68B1DB1-Normal12"/>
              <w:spacing w:before="60" w:after="60"/>
              <w:rPr>
                <w:rFonts w:eastAsia="Times New Roman" w:cs="Times New Roman"/>
                <w:noProof/>
              </w:rPr>
            </w:pPr>
            <w:r>
              <w:rPr>
                <w:noProof/>
              </w:rPr>
              <w:t>Intrarea în vigoare a legislației privind prelucrarea eficientă a datelor.</w:t>
            </w:r>
          </w:p>
        </w:tc>
        <w:tc>
          <w:tcPr>
            <w:tcW w:w="146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1690F99" w14:textId="77777777" w:rsidR="00F53E3A" w:rsidRDefault="0036255F">
            <w:pPr>
              <w:pStyle w:val="P68B1DB1-Normal12"/>
              <w:spacing w:before="60" w:after="60"/>
              <w:rPr>
                <w:rFonts w:eastAsia="Times New Roman" w:cs="Times New Roman"/>
                <w:noProof/>
              </w:rPr>
            </w:pPr>
            <w:r>
              <w:rPr>
                <w:noProof/>
              </w:rPr>
              <w:t xml:space="preserve">Legislația a intrat în vigoare </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883B8B" w14:textId="12308F36" w:rsidR="00F53E3A" w:rsidRDefault="00F53E3A">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36130F7" w14:textId="57BD3F41" w:rsidR="00F53E3A" w:rsidRDefault="00F53E3A">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2A05C07" w14:textId="61C4D8C7" w:rsidR="00F53E3A" w:rsidRDefault="00F53E3A">
            <w:pPr>
              <w:spacing w:before="60" w:after="60"/>
              <w:jc w:val="center"/>
              <w:rPr>
                <w:rFonts w:ascii="Times New Roman" w:eastAsia="Times New Roman" w:hAnsi="Times New Roman" w:cs="Times New Roman"/>
                <w:noProof/>
                <w:sz w:val="20"/>
              </w:rPr>
            </w:pP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CF772C1" w14:textId="3D2B7077" w:rsidR="00F53E3A" w:rsidRDefault="00DB2EC5">
            <w:pPr>
              <w:pStyle w:val="P68B1DB1-Normal12"/>
              <w:spacing w:before="60" w:after="60"/>
              <w:jc w:val="center"/>
              <w:rPr>
                <w:rFonts w:eastAsia="Times New Roman" w:cs="Times New Roman"/>
                <w:noProof/>
              </w:rPr>
            </w:pPr>
            <w:r>
              <w:rPr>
                <w:noProof/>
              </w:rPr>
              <w:t>T3</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FA137C" w14:textId="77777777" w:rsidR="00F53E3A" w:rsidRDefault="0036255F">
            <w:pPr>
              <w:pStyle w:val="P68B1DB1-Normal12"/>
              <w:spacing w:before="60" w:after="60"/>
              <w:jc w:val="center"/>
              <w:rPr>
                <w:rFonts w:eastAsia="Times New Roman" w:cs="Times New Roman"/>
                <w:noProof/>
              </w:rPr>
            </w:pPr>
            <w:r>
              <w:rPr>
                <w:noProof/>
              </w:rPr>
              <w:t>2022</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3CA2676" w14:textId="77777777" w:rsidR="00F53E3A" w:rsidRDefault="0036255F">
            <w:pPr>
              <w:pStyle w:val="P68B1DB1-Normal12"/>
              <w:spacing w:before="60" w:after="60"/>
              <w:jc w:val="both"/>
              <w:rPr>
                <w:rFonts w:eastAsia="Times New Roman" w:cs="Times New Roman"/>
                <w:noProof/>
              </w:rPr>
            </w:pPr>
            <w:r>
              <w:rPr>
                <w:noProof/>
              </w:rPr>
              <w:t xml:space="preserve">Intrarea în vigoare a legislației privind gestionarea eficientă a datelor. Aceasta include modificări ale Legii privind statisticile oficiale sau ale Legii privind dreptul de a obține informații de la instituțiile de stat și municipale care extind funcțiile Statistic Lithuania la gestionarea lacului de date de stat (platforma de date de stat). </w:t>
            </w:r>
          </w:p>
        </w:tc>
      </w:tr>
      <w:tr w:rsidR="00F53E3A" w14:paraId="6968F434" w14:textId="77777777" w:rsidTr="00CB74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85BBE51" w14:textId="77777777" w:rsidR="00F53E3A" w:rsidRDefault="0036255F">
            <w:pPr>
              <w:pStyle w:val="P68B1DB1-Normal12"/>
              <w:spacing w:before="60" w:after="60"/>
              <w:jc w:val="center"/>
              <w:rPr>
                <w:rFonts w:eastAsia="Times New Roman" w:cs="Times New Roman"/>
                <w:noProof/>
              </w:rPr>
            </w:pPr>
            <w:r>
              <w:rPr>
                <w:noProof/>
              </w:rPr>
              <w:t>65</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2A0F0B0" w14:textId="70476F36" w:rsidR="00F53E3A" w:rsidRDefault="0036255F">
            <w:pPr>
              <w:pStyle w:val="P68B1DB1-Normal12"/>
              <w:spacing w:before="60" w:after="60"/>
              <w:rPr>
                <w:rFonts w:eastAsia="Times New Roman" w:cs="Times New Roman"/>
                <w:noProof/>
              </w:rPr>
            </w:pPr>
            <w:r>
              <w:rPr>
                <w:noProof/>
              </w:rPr>
              <w:t>C.1.2 Gestionarea datelor și datele deschise</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33E3973" w14:textId="77777777" w:rsidR="00F53E3A" w:rsidRDefault="0036255F">
            <w:pPr>
              <w:pStyle w:val="P68B1DB1-Normal12"/>
              <w:spacing w:before="60" w:after="60"/>
              <w:jc w:val="center"/>
              <w:rPr>
                <w:rFonts w:eastAsia="Times New Roman" w:cs="Times New Roman"/>
                <w:noProof/>
              </w:rPr>
            </w:pPr>
            <w:r>
              <w:rPr>
                <w:noProof/>
              </w:rPr>
              <w:t>Țintă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2EBC61" w14:textId="7F824DBE" w:rsidR="00F53E3A" w:rsidRDefault="0036255F">
            <w:pPr>
              <w:pStyle w:val="P68B1DB1-Normal12"/>
              <w:spacing w:before="60" w:after="60"/>
              <w:rPr>
                <w:rFonts w:eastAsia="Times New Roman" w:cs="Times New Roman"/>
                <w:noProof/>
              </w:rPr>
            </w:pPr>
            <w:r>
              <w:rPr>
                <w:noProof/>
              </w:rPr>
              <w:t>Furnizarea modelului de gestionare a datelor</w:t>
            </w:r>
          </w:p>
        </w:tc>
        <w:tc>
          <w:tcPr>
            <w:tcW w:w="146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FDB9A5" w14:textId="77777777" w:rsidR="00F53E3A" w:rsidRDefault="00F53E3A">
            <w:pPr>
              <w:spacing w:before="60" w:after="60"/>
              <w:rPr>
                <w:rFonts w:ascii="Times New Roman" w:eastAsia="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CC7B1B4" w14:textId="77777777" w:rsidR="00F53E3A" w:rsidRDefault="0036255F">
            <w:pPr>
              <w:pStyle w:val="P68B1DB1-Normal12"/>
              <w:spacing w:before="60" w:after="60"/>
              <w:jc w:val="center"/>
              <w:rPr>
                <w:rFonts w:eastAsia="Times New Roman"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3F91A29" w14:textId="77777777" w:rsidR="00F53E3A" w:rsidRDefault="0036255F">
            <w:pPr>
              <w:pStyle w:val="P68B1DB1-Normal12"/>
              <w:spacing w:before="60" w:after="60"/>
              <w:jc w:val="center"/>
              <w:rPr>
                <w:rFonts w:eastAsia="Times New Roman"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66D7394" w14:textId="77777777" w:rsidR="00F53E3A" w:rsidRDefault="0036255F">
            <w:pPr>
              <w:pStyle w:val="P68B1DB1-Normal12"/>
              <w:spacing w:before="60" w:after="60"/>
              <w:jc w:val="center"/>
              <w:rPr>
                <w:rFonts w:eastAsia="Times New Roman" w:cs="Times New Roman"/>
                <w:noProof/>
              </w:rPr>
            </w:pPr>
            <w:r>
              <w:rPr>
                <w:noProof/>
              </w:rPr>
              <w:t>1</w:t>
            </w: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FF7E90D" w14:textId="1AF4232F" w:rsidR="00F53E3A" w:rsidRDefault="00DB2EC5">
            <w:pPr>
              <w:pStyle w:val="P68B1DB1-Normal12"/>
              <w:spacing w:before="60" w:after="60"/>
              <w:jc w:val="center"/>
              <w:rPr>
                <w:rFonts w:eastAsia="Times New Roman" w:cs="Times New Roman"/>
                <w:noProof/>
              </w:rPr>
            </w:pPr>
            <w:r>
              <w:rPr>
                <w:noProof/>
              </w:rPr>
              <w:t>T4</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4B49454" w14:textId="35504A48" w:rsidR="00F53E3A" w:rsidRDefault="0036255F">
            <w:pPr>
              <w:pStyle w:val="P68B1DB1-Normal12"/>
              <w:spacing w:before="60" w:after="60"/>
              <w:jc w:val="center"/>
              <w:rPr>
                <w:rFonts w:eastAsia="Times New Roman" w:cs="Times New Roman"/>
                <w:noProof/>
              </w:rPr>
            </w:pPr>
            <w:r>
              <w:rPr>
                <w:noProof/>
              </w:rPr>
              <w:t>2025</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EAB36FA" w14:textId="46D3F8ED" w:rsidR="00F53E3A" w:rsidRDefault="0036255F">
            <w:pPr>
              <w:pStyle w:val="P68B1DB1-Normal12"/>
              <w:spacing w:before="60" w:after="60"/>
              <w:jc w:val="both"/>
              <w:rPr>
                <w:noProof/>
              </w:rPr>
            </w:pPr>
            <w:r>
              <w:rPr>
                <w:noProof/>
              </w:rPr>
              <w:t>Furnizarea unui registru centralizat al interfeței de programare a aplicațiilor (API) pentru modelul național de gestionare a datelor.</w:t>
            </w:r>
          </w:p>
        </w:tc>
      </w:tr>
      <w:tr w:rsidR="00F53E3A" w14:paraId="57DF6DA5" w14:textId="77777777" w:rsidTr="00CB74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A6D517E" w14:textId="77777777" w:rsidR="00F53E3A" w:rsidRDefault="0036255F">
            <w:pPr>
              <w:pStyle w:val="P68B1DB1-Normal12"/>
              <w:spacing w:before="60" w:after="60"/>
              <w:jc w:val="center"/>
              <w:rPr>
                <w:rFonts w:eastAsia="Times New Roman" w:cs="Times New Roman"/>
                <w:noProof/>
              </w:rPr>
            </w:pPr>
            <w:r>
              <w:rPr>
                <w:noProof/>
              </w:rPr>
              <w:t>66</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DC5079" w14:textId="0EDBE5AB" w:rsidR="00F53E3A" w:rsidRDefault="0036255F">
            <w:pPr>
              <w:pStyle w:val="P68B1DB1-Normal12"/>
              <w:spacing w:before="60" w:after="60"/>
              <w:rPr>
                <w:rFonts w:eastAsia="Times New Roman" w:cs="Times New Roman"/>
                <w:noProof/>
              </w:rPr>
            </w:pPr>
            <w:r>
              <w:rPr>
                <w:noProof/>
              </w:rPr>
              <w:t>C.1.2 Gestionarea datelor și datele deschise</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5081BFA" w14:textId="77777777" w:rsidR="00F53E3A" w:rsidRDefault="0036255F">
            <w:pPr>
              <w:pStyle w:val="P68B1DB1-Normal12"/>
              <w:spacing w:before="60" w:after="60"/>
              <w:jc w:val="center"/>
              <w:rPr>
                <w:rFonts w:eastAsia="Times New Roman" w:cs="Times New Roman"/>
                <w:noProof/>
              </w:rPr>
            </w:pPr>
            <w:r>
              <w:rPr>
                <w:noProof/>
              </w:rPr>
              <w:t>Țintă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32646D9" w14:textId="77777777" w:rsidR="00F53E3A" w:rsidRDefault="0036255F">
            <w:pPr>
              <w:pStyle w:val="P68B1DB1-Normal12"/>
              <w:spacing w:before="60" w:after="60"/>
              <w:rPr>
                <w:rFonts w:eastAsia="Times New Roman" w:cs="Times New Roman"/>
                <w:noProof/>
              </w:rPr>
            </w:pPr>
            <w:r>
              <w:rPr>
                <w:noProof/>
              </w:rPr>
              <w:t>Integrarea resurselor informaționale în lacul de date</w:t>
            </w:r>
          </w:p>
        </w:tc>
        <w:tc>
          <w:tcPr>
            <w:tcW w:w="146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78C493" w14:textId="77777777" w:rsidR="00F53E3A" w:rsidRDefault="00F53E3A">
            <w:pPr>
              <w:spacing w:before="60" w:after="60"/>
              <w:rPr>
                <w:rFonts w:ascii="Times New Roman" w:eastAsia="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A1A421F" w14:textId="77777777" w:rsidR="00F53E3A" w:rsidRDefault="0036255F">
            <w:pPr>
              <w:pStyle w:val="P68B1DB1-Normal12"/>
              <w:spacing w:before="60" w:after="60"/>
              <w:jc w:val="center"/>
              <w:rPr>
                <w:rFonts w:eastAsia="Times New Roman"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C678FE1" w14:textId="0ABECFB5" w:rsidR="00F53E3A" w:rsidRDefault="0036255F">
            <w:pPr>
              <w:pStyle w:val="P68B1DB1-Normal13"/>
              <w:spacing w:before="60" w:after="60"/>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C0784E1" w14:textId="54E88D10" w:rsidR="00F53E3A" w:rsidRDefault="0036255F">
            <w:pPr>
              <w:pStyle w:val="P68B1DB1-Normal12"/>
              <w:spacing w:before="60" w:after="60"/>
              <w:jc w:val="center"/>
              <w:rPr>
                <w:rFonts w:eastAsia="Times New Roman" w:cs="Times New Roman"/>
                <w:noProof/>
              </w:rPr>
            </w:pPr>
            <w:r>
              <w:rPr>
                <w:noProof/>
              </w:rPr>
              <w:t>323</w:t>
            </w: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78172EC" w14:textId="67A1E624" w:rsidR="00F53E3A" w:rsidRDefault="00DB2EC5">
            <w:pPr>
              <w:pStyle w:val="P68B1DB1-Normal12"/>
              <w:spacing w:before="60" w:after="60"/>
              <w:jc w:val="center"/>
              <w:rPr>
                <w:rFonts w:eastAsia="Times New Roman" w:cs="Times New Roman"/>
                <w:noProof/>
              </w:rPr>
            </w:pPr>
            <w:r>
              <w:rPr>
                <w:noProof/>
              </w:rPr>
              <w:t>T2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C2290A3" w14:textId="77777777" w:rsidR="00F53E3A" w:rsidRDefault="0036255F">
            <w:pPr>
              <w:pStyle w:val="P68B1DB1-Normal12"/>
              <w:spacing w:before="60" w:after="60"/>
              <w:jc w:val="center"/>
              <w:rPr>
                <w:rFonts w:eastAsia="Times New Roman" w:cs="Times New Roman"/>
                <w:noProof/>
              </w:rPr>
            </w:pPr>
            <w:r>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FD27500" w14:textId="78787773" w:rsidR="00F53E3A" w:rsidRDefault="0036255F">
            <w:pPr>
              <w:pStyle w:val="P68B1DB1-Normal12"/>
              <w:spacing w:before="60" w:after="60"/>
              <w:jc w:val="both"/>
              <w:rPr>
                <w:rFonts w:eastAsia="Times New Roman" w:cs="Times New Roman"/>
                <w:noProof/>
              </w:rPr>
            </w:pPr>
            <w:r>
              <w:rPr>
                <w:noProof/>
              </w:rPr>
              <w:t xml:space="preserve">323 resursele informaționale trebuie integrate în lacul național de date. </w:t>
            </w:r>
          </w:p>
        </w:tc>
      </w:tr>
      <w:tr w:rsidR="00F53E3A" w14:paraId="7CACC093" w14:textId="77777777" w:rsidTr="00CB74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17E3B51" w14:textId="77777777" w:rsidR="00F53E3A" w:rsidRDefault="0036255F">
            <w:pPr>
              <w:pStyle w:val="P68B1DB1-Normal12"/>
              <w:spacing w:before="60" w:after="60"/>
              <w:jc w:val="center"/>
              <w:rPr>
                <w:rFonts w:eastAsia="Times New Roman" w:cs="Times New Roman"/>
                <w:noProof/>
              </w:rPr>
            </w:pPr>
            <w:r>
              <w:rPr>
                <w:noProof/>
              </w:rPr>
              <w:t>67</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2B66D3D" w14:textId="78D08D4D" w:rsidR="00F53E3A" w:rsidRDefault="0036255F">
            <w:pPr>
              <w:pStyle w:val="P68B1DB1-Normal12"/>
              <w:spacing w:before="60" w:after="60"/>
              <w:rPr>
                <w:rFonts w:eastAsia="Times New Roman" w:cs="Times New Roman"/>
                <w:noProof/>
              </w:rPr>
            </w:pPr>
            <w:r>
              <w:rPr>
                <w:noProof/>
              </w:rPr>
              <w:t>C.1.2 Gestionarea datelor și datele deschise</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B899CB2" w14:textId="77777777" w:rsidR="00F53E3A" w:rsidRDefault="0036255F">
            <w:pPr>
              <w:pStyle w:val="P68B1DB1-Normal12"/>
              <w:spacing w:before="60" w:after="60"/>
              <w:jc w:val="center"/>
              <w:rPr>
                <w:rFonts w:eastAsia="Times New Roman" w:cs="Times New Roman"/>
                <w:noProof/>
              </w:rPr>
            </w:pPr>
            <w:r>
              <w:rPr>
                <w:noProof/>
              </w:rPr>
              <w:t>Țintă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94D22D8" w14:textId="77777777" w:rsidR="00F53E3A" w:rsidRDefault="0036255F">
            <w:pPr>
              <w:pStyle w:val="P68B1DB1-Normal12"/>
              <w:spacing w:before="60" w:after="60"/>
              <w:rPr>
                <w:rFonts w:eastAsia="Times New Roman" w:cs="Times New Roman"/>
                <w:noProof/>
              </w:rPr>
            </w:pPr>
            <w:r>
              <w:rPr>
                <w:noProof/>
              </w:rPr>
              <w:t>Punerea în funcțiune a instrumentului de schimb de date</w:t>
            </w:r>
          </w:p>
        </w:tc>
        <w:tc>
          <w:tcPr>
            <w:tcW w:w="146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F3E8B91" w14:textId="77777777" w:rsidR="00F53E3A" w:rsidRDefault="00F53E3A">
            <w:pPr>
              <w:spacing w:before="60" w:after="60"/>
              <w:rPr>
                <w:rFonts w:ascii="Times New Roman" w:eastAsia="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D7CFE02" w14:textId="77777777" w:rsidR="00F53E3A" w:rsidRDefault="0036255F">
            <w:pPr>
              <w:pStyle w:val="P68B1DB1-Normal12"/>
              <w:spacing w:before="60" w:after="60"/>
              <w:jc w:val="center"/>
              <w:rPr>
                <w:rFonts w:eastAsia="Times New Roman"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F2985BD" w14:textId="77777777" w:rsidR="00F53E3A" w:rsidRDefault="0036255F">
            <w:pPr>
              <w:pStyle w:val="P68B1DB1-Normal12"/>
              <w:spacing w:before="60" w:after="60"/>
              <w:jc w:val="center"/>
              <w:rPr>
                <w:rFonts w:eastAsia="Times New Roman"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6FC9CF9" w14:textId="77777777" w:rsidR="00F53E3A" w:rsidRDefault="0036255F">
            <w:pPr>
              <w:pStyle w:val="P68B1DB1-Normal12"/>
              <w:spacing w:before="60" w:after="60"/>
              <w:jc w:val="center"/>
              <w:rPr>
                <w:rFonts w:eastAsia="Times New Roman" w:cs="Times New Roman"/>
                <w:noProof/>
              </w:rPr>
            </w:pPr>
            <w:r>
              <w:rPr>
                <w:noProof/>
              </w:rPr>
              <w:t>1</w:t>
            </w: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41EB2EE" w14:textId="35858F03" w:rsidR="00F53E3A" w:rsidRDefault="00DB2EC5">
            <w:pPr>
              <w:pStyle w:val="P68B1DB1-Normal12"/>
              <w:spacing w:before="60" w:after="60"/>
              <w:jc w:val="center"/>
              <w:rPr>
                <w:rFonts w:eastAsia="Times New Roman" w:cs="Times New Roman"/>
                <w:noProof/>
              </w:rPr>
            </w:pPr>
            <w:r>
              <w:rPr>
                <w:noProof/>
              </w:rPr>
              <w:t>T1</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8C33052" w14:textId="5AAEBD79" w:rsidR="00F53E3A" w:rsidRDefault="0036255F">
            <w:pPr>
              <w:pStyle w:val="P68B1DB1-Normal12"/>
              <w:spacing w:before="60" w:after="60"/>
              <w:jc w:val="center"/>
              <w:rPr>
                <w:rFonts w:eastAsia="Times New Roman" w:cs="Times New Roman"/>
                <w:noProof/>
              </w:rPr>
            </w:pPr>
            <w:r>
              <w:rPr>
                <w:noProof/>
              </w:rPr>
              <w:t>2024</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321AE28" w14:textId="77777777" w:rsidR="00F53E3A" w:rsidRDefault="0036255F">
            <w:pPr>
              <w:pStyle w:val="P68B1DB1-Normal12"/>
              <w:spacing w:before="60" w:after="60"/>
              <w:jc w:val="both"/>
              <w:rPr>
                <w:rFonts w:eastAsia="Times New Roman" w:cs="Times New Roman"/>
                <w:noProof/>
              </w:rPr>
            </w:pPr>
            <w:r>
              <w:rPr>
                <w:noProof/>
              </w:rPr>
              <w:t>Punerea în funcțiune a unui instrument de schimb de date care respectă cerințele contabile corespunzătoare.</w:t>
            </w:r>
          </w:p>
          <w:p w14:paraId="5E22EB61" w14:textId="3F435CA4" w:rsidR="00F53E3A" w:rsidRDefault="0036255F">
            <w:pPr>
              <w:pStyle w:val="P68B1DB1-Normal12"/>
              <w:spacing w:before="60" w:after="60"/>
              <w:jc w:val="both"/>
              <w:rPr>
                <w:rFonts w:eastAsia="Times New Roman" w:cs="Times New Roman"/>
                <w:noProof/>
              </w:rPr>
            </w:pPr>
            <w:r>
              <w:rPr>
                <w:noProof/>
              </w:rPr>
              <w:t>Crearea unui instrument pentru schimbul de date permite trimiterea, primirea și prelucrarea facturilor electronice. Instrumentul pentru schimbul de date se publică și este accesibil gratuit.</w:t>
            </w:r>
          </w:p>
        </w:tc>
      </w:tr>
      <w:tr w:rsidR="00F53E3A" w14:paraId="30EF07D5" w14:textId="77777777" w:rsidTr="00CB74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64CD87" w14:textId="77777777" w:rsidR="00F53E3A" w:rsidRDefault="0036255F">
            <w:pPr>
              <w:pStyle w:val="P68B1DB1-Normal12"/>
              <w:spacing w:before="60" w:after="60"/>
              <w:jc w:val="center"/>
              <w:rPr>
                <w:rFonts w:eastAsia="Times New Roman" w:cs="Times New Roman"/>
                <w:noProof/>
              </w:rPr>
            </w:pPr>
            <w:r>
              <w:rPr>
                <w:noProof/>
              </w:rPr>
              <w:t>68</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82D6CEA" w14:textId="77777777" w:rsidR="00F53E3A" w:rsidRDefault="0036255F">
            <w:pPr>
              <w:pStyle w:val="P68B1DB1-Normal12"/>
              <w:spacing w:before="60" w:after="60"/>
              <w:rPr>
                <w:rFonts w:eastAsia="Times New Roman" w:cs="Times New Roman"/>
                <w:noProof/>
              </w:rPr>
            </w:pPr>
            <w:r>
              <w:rPr>
                <w:noProof/>
              </w:rPr>
              <w:t>C.1.3 Servicii orientate către clienți</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B821AD" w14:textId="77777777" w:rsidR="00F53E3A" w:rsidRDefault="0036255F">
            <w:pPr>
              <w:pStyle w:val="P68B1DB1-Normal12"/>
              <w:spacing w:before="60" w:after="60"/>
              <w:jc w:val="center"/>
              <w:rPr>
                <w:rFonts w:eastAsia="Times New Roman" w:cs="Times New Roman"/>
                <w:noProof/>
              </w:rPr>
            </w:pPr>
            <w:r>
              <w:rPr>
                <w:noProof/>
              </w:rPr>
              <w:t>Etapă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FF0CD6D" w14:textId="77777777" w:rsidR="00F53E3A" w:rsidRDefault="0036255F">
            <w:pPr>
              <w:pStyle w:val="P68B1DB1-Normal12"/>
              <w:spacing w:before="60" w:after="60"/>
              <w:rPr>
                <w:rFonts w:eastAsia="Times New Roman" w:cs="Times New Roman"/>
                <w:noProof/>
              </w:rPr>
            </w:pPr>
            <w:r>
              <w:rPr>
                <w:noProof/>
              </w:rPr>
              <w:t>Intrarea în vigoare a regulamentului modificat privind furnizarea de informații persoanelor cu handicap</w:t>
            </w:r>
          </w:p>
        </w:tc>
        <w:tc>
          <w:tcPr>
            <w:tcW w:w="146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405B7CD" w14:textId="77777777" w:rsidR="00F53E3A" w:rsidRDefault="0036255F">
            <w:pPr>
              <w:pStyle w:val="P68B1DB1-Normal12"/>
              <w:spacing w:before="60" w:after="60"/>
              <w:rPr>
                <w:rFonts w:eastAsia="Times New Roman" w:cs="Times New Roman"/>
                <w:noProof/>
              </w:rPr>
            </w:pPr>
            <w:r>
              <w:rPr>
                <w:noProof/>
              </w:rPr>
              <w:t>Legislația a intrat în vigoare</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A68E7D8" w14:textId="63100C9D" w:rsidR="00F53E3A" w:rsidRDefault="00F53E3A">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5934865" w14:textId="2FA4DF1C" w:rsidR="00F53E3A" w:rsidRDefault="00F53E3A">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4D3F5C" w14:textId="064C13EB" w:rsidR="00F53E3A" w:rsidRDefault="00F53E3A">
            <w:pPr>
              <w:spacing w:before="60" w:after="60"/>
              <w:jc w:val="center"/>
              <w:rPr>
                <w:rFonts w:ascii="Times New Roman" w:eastAsia="Times New Roman" w:hAnsi="Times New Roman" w:cs="Times New Roman"/>
                <w:noProof/>
                <w:sz w:val="20"/>
              </w:rPr>
            </w:pP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48458C8" w14:textId="35A9EE14" w:rsidR="00F53E3A" w:rsidRDefault="00DB2EC5">
            <w:pPr>
              <w:pStyle w:val="P68B1DB1-Normal12"/>
              <w:spacing w:before="60" w:after="60"/>
              <w:jc w:val="center"/>
              <w:rPr>
                <w:rFonts w:eastAsia="Times New Roman" w:cs="Times New Roman"/>
                <w:noProof/>
              </w:rPr>
            </w:pPr>
            <w:r>
              <w:rPr>
                <w:noProof/>
              </w:rPr>
              <w:t>T1</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44EB884" w14:textId="405D648A" w:rsidR="00F53E3A" w:rsidRDefault="0036255F">
            <w:pPr>
              <w:pStyle w:val="P68B1DB1-Normal12"/>
              <w:spacing w:before="60" w:after="60"/>
              <w:jc w:val="center"/>
              <w:rPr>
                <w:rFonts w:eastAsia="Times New Roman" w:cs="Times New Roman"/>
                <w:noProof/>
              </w:rPr>
            </w:pPr>
            <w:r>
              <w:rPr>
                <w:noProof/>
              </w:rPr>
              <w:t>2024</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B095AD8" w14:textId="30444595" w:rsidR="00F53E3A" w:rsidRDefault="0036255F">
            <w:pPr>
              <w:pStyle w:val="P68B1DB1-Normal12"/>
              <w:spacing w:before="60" w:after="60"/>
              <w:jc w:val="both"/>
              <w:rPr>
                <w:rFonts w:eastAsia="Times New Roman" w:cs="Times New Roman"/>
                <w:noProof/>
              </w:rPr>
            </w:pPr>
            <w:r>
              <w:rPr>
                <w:noProof/>
              </w:rPr>
              <w:t xml:space="preserve">Intrarea în vigoare a regulamentului juridic modificat privind furnizarea de informații persoanelor cu handicap. </w:t>
            </w:r>
          </w:p>
        </w:tc>
      </w:tr>
      <w:tr w:rsidR="00F53E3A" w14:paraId="7F26981D" w14:textId="77777777" w:rsidTr="00CB74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0C377D" w14:textId="77777777" w:rsidR="00F53E3A" w:rsidRDefault="0036255F">
            <w:pPr>
              <w:pStyle w:val="P68B1DB1-Normal12"/>
              <w:spacing w:before="60" w:after="60"/>
              <w:jc w:val="center"/>
              <w:rPr>
                <w:rFonts w:eastAsia="Times New Roman" w:cs="Times New Roman"/>
                <w:noProof/>
              </w:rPr>
            </w:pPr>
            <w:r>
              <w:rPr>
                <w:noProof/>
              </w:rPr>
              <w:t>69</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B9B0B2" w14:textId="77777777" w:rsidR="00F53E3A" w:rsidRDefault="0036255F">
            <w:pPr>
              <w:pStyle w:val="P68B1DB1-Normal12"/>
              <w:spacing w:before="60" w:after="60"/>
              <w:rPr>
                <w:rFonts w:eastAsia="Times New Roman" w:cs="Times New Roman"/>
                <w:noProof/>
              </w:rPr>
            </w:pPr>
            <w:r>
              <w:rPr>
                <w:noProof/>
              </w:rPr>
              <w:t>C.1.3 Servicii orientate către clienți</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BC60EC" w14:textId="77777777" w:rsidR="00F53E3A" w:rsidRDefault="0036255F">
            <w:pPr>
              <w:pStyle w:val="P68B1DB1-Normal12"/>
              <w:spacing w:before="60" w:after="60"/>
              <w:jc w:val="center"/>
              <w:rPr>
                <w:rFonts w:eastAsia="Times New Roman" w:cs="Times New Roman"/>
                <w:noProof/>
              </w:rPr>
            </w:pPr>
            <w:r>
              <w:rPr>
                <w:noProof/>
              </w:rPr>
              <w:t>Etapă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3DF29C8" w14:textId="0FAB4B8A" w:rsidR="00F53E3A" w:rsidRDefault="0036255F">
            <w:pPr>
              <w:pStyle w:val="P68B1DB1-Normal12"/>
              <w:spacing w:before="60" w:after="60"/>
              <w:rPr>
                <w:rFonts w:eastAsia="Times New Roman" w:cs="Times New Roman"/>
                <w:noProof/>
              </w:rPr>
            </w:pPr>
            <w:r>
              <w:rPr>
                <w:noProof/>
              </w:rPr>
              <w:t>Publicarea unei cereri de oferte pentru soluții și instrumente inovatoare pentru a asigura oportunități mai bune de comunicare pentru persoanele cu handicap</w:t>
            </w:r>
          </w:p>
        </w:tc>
        <w:tc>
          <w:tcPr>
            <w:tcW w:w="146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352B4A5" w14:textId="77777777" w:rsidR="00F53E3A" w:rsidRDefault="0036255F">
            <w:pPr>
              <w:pStyle w:val="P68B1DB1-Normal12"/>
              <w:spacing w:before="60" w:after="60"/>
              <w:rPr>
                <w:rFonts w:eastAsia="Times New Roman" w:cs="Times New Roman"/>
                <w:noProof/>
              </w:rPr>
            </w:pPr>
            <w:r>
              <w:rPr>
                <w:noProof/>
              </w:rPr>
              <w:t>Publicarea anunțului de participare la procedura de ofertare</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6E919B8" w14:textId="6B26D83E" w:rsidR="00F53E3A" w:rsidRDefault="00F53E3A">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8CAABE" w14:textId="71F550BA" w:rsidR="00F53E3A" w:rsidRDefault="00F53E3A">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7F2174" w14:textId="79C0BBE6" w:rsidR="00F53E3A" w:rsidRDefault="00F53E3A">
            <w:pPr>
              <w:spacing w:before="60" w:after="60"/>
              <w:jc w:val="center"/>
              <w:rPr>
                <w:rFonts w:ascii="Times New Roman" w:eastAsia="Times New Roman" w:hAnsi="Times New Roman" w:cs="Times New Roman"/>
                <w:noProof/>
                <w:sz w:val="20"/>
              </w:rPr>
            </w:pP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331E3C" w14:textId="26CA6FB5" w:rsidR="00F53E3A" w:rsidRDefault="00DB2EC5">
            <w:pPr>
              <w:pStyle w:val="P68B1DB1-Normal12"/>
              <w:spacing w:before="60" w:after="60"/>
              <w:jc w:val="center"/>
              <w:rPr>
                <w:rFonts w:eastAsia="Times New Roman" w:cs="Times New Roman"/>
                <w:noProof/>
              </w:rPr>
            </w:pPr>
            <w:r>
              <w:rPr>
                <w:noProof/>
              </w:rPr>
              <w:t>T2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1B9507" w14:textId="77777777" w:rsidR="00F53E3A" w:rsidRDefault="0036255F">
            <w:pPr>
              <w:pStyle w:val="P68B1DB1-Normal12"/>
              <w:spacing w:before="60" w:after="60"/>
              <w:jc w:val="center"/>
              <w:rPr>
                <w:rFonts w:eastAsia="Times New Roman" w:cs="Times New Roman"/>
                <w:noProof/>
              </w:rPr>
            </w:pPr>
            <w:r>
              <w:rPr>
                <w:noProof/>
              </w:rPr>
              <w:t>2023</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30EDFB" w14:textId="77777777" w:rsidR="00F53E3A" w:rsidRDefault="0036255F">
            <w:pPr>
              <w:pStyle w:val="P68B1DB1-Normal12"/>
              <w:spacing w:before="60" w:after="60"/>
              <w:jc w:val="both"/>
              <w:rPr>
                <w:rFonts w:eastAsia="Times New Roman" w:cs="Times New Roman"/>
                <w:noProof/>
              </w:rPr>
            </w:pPr>
            <w:r>
              <w:rPr>
                <w:noProof/>
              </w:rPr>
              <w:t>Publicarea unei cereri de oferte pentru soluții și instrumente inovatoare pentru a asigura oportunități de comunicare mai bune pentru persoanele cu handicap. Specificațiile tehnice și achizițiile publice sunt elaborate în cooperare cu grupurile-țintă. Cerințele de calificare acordă o atenție deosebită experienței, competențelor și abilităților furnizorilor de a pune în aplicare soluții informatice similare. Sistemele informatice trebuie să îndeplinească toate cerințele Directivei CE privind accesibilitatea internetului. (2024 T1).</w:t>
            </w:r>
          </w:p>
        </w:tc>
      </w:tr>
      <w:tr w:rsidR="00F53E3A" w14:paraId="51F31BDD" w14:textId="77777777" w:rsidTr="00CB74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6A679E3" w14:textId="77777777" w:rsidR="00F53E3A" w:rsidRDefault="0036255F">
            <w:pPr>
              <w:pStyle w:val="P68B1DB1-Normal12"/>
              <w:spacing w:before="60" w:after="60"/>
              <w:jc w:val="center"/>
              <w:rPr>
                <w:rFonts w:eastAsia="Times New Roman" w:cs="Times New Roman"/>
                <w:noProof/>
              </w:rPr>
            </w:pPr>
            <w:r>
              <w:rPr>
                <w:noProof/>
              </w:rPr>
              <w:t>70</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B9EBBED" w14:textId="77777777" w:rsidR="00F53E3A" w:rsidRDefault="0036255F">
            <w:pPr>
              <w:pStyle w:val="P68B1DB1-Normal12"/>
              <w:spacing w:before="60" w:after="60"/>
              <w:rPr>
                <w:rFonts w:eastAsia="Times New Roman" w:cs="Times New Roman"/>
                <w:noProof/>
              </w:rPr>
            </w:pPr>
            <w:r>
              <w:rPr>
                <w:noProof/>
              </w:rPr>
              <w:t>C.1.3 Servicii orientate către clienți</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39C515B" w14:textId="77777777" w:rsidR="00F53E3A" w:rsidRDefault="0036255F">
            <w:pPr>
              <w:pStyle w:val="P68B1DB1-Normal12"/>
              <w:spacing w:before="60" w:after="60"/>
              <w:jc w:val="center"/>
              <w:rPr>
                <w:rFonts w:eastAsia="Times New Roman" w:cs="Times New Roman"/>
                <w:noProof/>
              </w:rPr>
            </w:pPr>
            <w:r>
              <w:rPr>
                <w:noProof/>
              </w:rPr>
              <w:t>Etapă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EE9FD3B" w14:textId="77777777" w:rsidR="00F53E3A" w:rsidRDefault="0036255F">
            <w:pPr>
              <w:pStyle w:val="P68B1DB1-Normal12"/>
              <w:spacing w:before="60" w:after="60"/>
              <w:rPr>
                <w:rFonts w:eastAsia="Times New Roman" w:cs="Times New Roman"/>
                <w:noProof/>
              </w:rPr>
            </w:pPr>
            <w:r>
              <w:rPr>
                <w:noProof/>
              </w:rPr>
              <w:t>Punerea în funcțiune a unui centru de competențe pentru date deschise și transformare digitală</w:t>
            </w:r>
          </w:p>
        </w:tc>
        <w:tc>
          <w:tcPr>
            <w:tcW w:w="146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A48CDC" w14:textId="77777777" w:rsidR="00F53E3A" w:rsidRDefault="0036255F">
            <w:pPr>
              <w:pStyle w:val="P68B1DB1-Normal12"/>
              <w:spacing w:before="60" w:after="60"/>
              <w:rPr>
                <w:rFonts w:eastAsia="Times New Roman" w:cs="Times New Roman"/>
                <w:noProof/>
              </w:rPr>
            </w:pPr>
            <w:r>
              <w:rPr>
                <w:noProof/>
              </w:rPr>
              <w:t>Centrul de competențe pentru date deschise și transformarea digitală operațional</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0BCB841" w14:textId="24238490" w:rsidR="00F53E3A" w:rsidRDefault="00F53E3A">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2F55167" w14:textId="36CAFB9D" w:rsidR="00F53E3A" w:rsidRDefault="00F53E3A">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840DAAC" w14:textId="4C42B949" w:rsidR="00F53E3A" w:rsidRDefault="00F53E3A">
            <w:pPr>
              <w:spacing w:before="60" w:after="60"/>
              <w:jc w:val="center"/>
              <w:rPr>
                <w:rFonts w:ascii="Times New Roman" w:eastAsia="Times New Roman" w:hAnsi="Times New Roman" w:cs="Times New Roman"/>
                <w:noProof/>
                <w:sz w:val="20"/>
              </w:rPr>
            </w:pP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B11E042" w14:textId="682A444D" w:rsidR="00F53E3A" w:rsidRDefault="00DB2EC5">
            <w:pPr>
              <w:pStyle w:val="P68B1DB1-Normal12"/>
              <w:spacing w:before="60" w:after="60"/>
              <w:jc w:val="center"/>
              <w:rPr>
                <w:rFonts w:eastAsia="Times New Roman" w:cs="Times New Roman"/>
                <w:noProof/>
              </w:rPr>
            </w:pPr>
            <w:r>
              <w:rPr>
                <w:noProof/>
              </w:rPr>
              <w:t>T4</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D533D9" w14:textId="77777777" w:rsidR="00F53E3A" w:rsidRDefault="0036255F">
            <w:pPr>
              <w:pStyle w:val="P68B1DB1-Normal12"/>
              <w:spacing w:before="60" w:after="60"/>
              <w:jc w:val="center"/>
              <w:rPr>
                <w:rFonts w:eastAsia="Times New Roman" w:cs="Times New Roman"/>
                <w:noProof/>
              </w:rPr>
            </w:pPr>
            <w:r>
              <w:rPr>
                <w:noProof/>
              </w:rPr>
              <w:t>2021</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88BAF9" w14:textId="49555DC4" w:rsidR="00F53E3A" w:rsidRDefault="0036255F">
            <w:pPr>
              <w:pStyle w:val="P68B1DB1-Normal12"/>
              <w:spacing w:before="60" w:after="60"/>
              <w:jc w:val="both"/>
              <w:rPr>
                <w:rFonts w:eastAsia="Times New Roman" w:cs="Times New Roman"/>
                <w:noProof/>
              </w:rPr>
            </w:pPr>
            <w:r>
              <w:rPr>
                <w:noProof/>
              </w:rPr>
              <w:t>Punerea în funcțiune a unui centru de competențe pentru datele deschise și transformarea digitală printr-o rezoluție a Republicii Lituania.</w:t>
            </w:r>
          </w:p>
          <w:p w14:paraId="6688CF59" w14:textId="6AFB1166" w:rsidR="00F53E3A" w:rsidRDefault="0036255F">
            <w:pPr>
              <w:pStyle w:val="P68B1DB1-Normal12"/>
              <w:spacing w:before="60" w:after="60"/>
              <w:jc w:val="both"/>
              <w:rPr>
                <w:rFonts w:eastAsia="Times New Roman" w:cs="Times New Roman"/>
                <w:noProof/>
              </w:rPr>
            </w:pPr>
            <w:r>
              <w:rPr>
                <w:noProof/>
              </w:rPr>
              <w:t>Structura organizatorică a Centrului de competențe este alcătuită din două secțiuni: unul va monitoriza și va evalua soluțiile digitale, iar al doilea se va axa pe date și arhitectură.</w:t>
            </w:r>
          </w:p>
          <w:p w14:paraId="1933F6C7" w14:textId="3CD77728" w:rsidR="00F53E3A" w:rsidRDefault="0036255F">
            <w:pPr>
              <w:pStyle w:val="P68B1DB1-Normal12"/>
              <w:spacing w:before="60" w:after="60"/>
              <w:jc w:val="both"/>
              <w:rPr>
                <w:rFonts w:eastAsia="Times New Roman" w:cs="Times New Roman"/>
                <w:noProof/>
              </w:rPr>
            </w:pPr>
            <w:r>
              <w:rPr>
                <w:noProof/>
              </w:rPr>
              <w:t xml:space="preserve">Grupul de monitorizare și evaluare a soluțiilor digitale, după caz, analizează și monitorizează soluțiile existente prin evaluarea funcționalității și a provocărilor care trebuie abordate. Acesta evaluează noile inițiative din punctul de vedere al duplicării soluțiilor existente și al oportunității soluțiilor tehnologice. </w:t>
            </w:r>
          </w:p>
          <w:p w14:paraId="3EF46417" w14:textId="77777777" w:rsidR="00F53E3A" w:rsidRDefault="0036255F">
            <w:pPr>
              <w:pStyle w:val="P68B1DB1-Normal12"/>
              <w:spacing w:before="60" w:after="60"/>
              <w:jc w:val="both"/>
              <w:rPr>
                <w:rFonts w:eastAsia="Times New Roman" w:cs="Times New Roman"/>
                <w:noProof/>
              </w:rPr>
            </w:pPr>
            <w:r>
              <w:rPr>
                <w:noProof/>
              </w:rPr>
              <w:t>Grupul pentru date și arhitectură definește arhitectura generală a sistemelor de informații și a datelor, standardele și cerințele tehnice care urmează să fie aplicate soluțiilor nou dezvoltate.</w:t>
            </w:r>
          </w:p>
          <w:p w14:paraId="40B0993A" w14:textId="77777777" w:rsidR="00F53E3A" w:rsidRDefault="0036255F">
            <w:pPr>
              <w:pStyle w:val="P68B1DB1-Normal12"/>
              <w:spacing w:before="60" w:after="60"/>
              <w:jc w:val="both"/>
              <w:rPr>
                <w:rFonts w:eastAsia="Times New Roman" w:cs="Times New Roman"/>
                <w:noProof/>
              </w:rPr>
            </w:pPr>
            <w:r>
              <w:rPr>
                <w:noProof/>
              </w:rPr>
              <w:t>Se preconizează că fiecare nouă soluție propusă va primi o evaluare inițială a grupului de inițiative digitale și, după pregătirea acestui proces și a proiectelor de cerințe detaliate, va fi evaluată din perspectiva compatibilității arhitecturale.</w:t>
            </w:r>
          </w:p>
        </w:tc>
      </w:tr>
      <w:tr w:rsidR="00F53E3A" w14:paraId="7D0388F5" w14:textId="77777777" w:rsidTr="00CB74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680C64C" w14:textId="77777777" w:rsidR="00F53E3A" w:rsidRDefault="0036255F">
            <w:pPr>
              <w:pStyle w:val="P68B1DB1-Normal12"/>
              <w:spacing w:before="60" w:after="60"/>
              <w:jc w:val="center"/>
              <w:rPr>
                <w:rFonts w:eastAsia="Times New Roman" w:cs="Times New Roman"/>
                <w:noProof/>
              </w:rPr>
            </w:pPr>
            <w:r>
              <w:rPr>
                <w:noProof/>
              </w:rPr>
              <w:t>71</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4449B8" w14:textId="77777777" w:rsidR="00F53E3A" w:rsidRDefault="0036255F">
            <w:pPr>
              <w:pStyle w:val="P68B1DB1-Normal12"/>
              <w:spacing w:before="60" w:after="60"/>
              <w:rPr>
                <w:rFonts w:eastAsia="Times New Roman" w:cs="Times New Roman"/>
                <w:noProof/>
              </w:rPr>
            </w:pPr>
            <w:r>
              <w:rPr>
                <w:noProof/>
              </w:rPr>
              <w:t>C.1.3 Servicii orientate către clienți</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CCF846" w14:textId="77777777" w:rsidR="00F53E3A" w:rsidRDefault="0036255F">
            <w:pPr>
              <w:pStyle w:val="P68B1DB1-Normal12"/>
              <w:spacing w:before="60" w:after="60"/>
              <w:jc w:val="center"/>
              <w:rPr>
                <w:rFonts w:eastAsia="Times New Roman" w:cs="Times New Roman"/>
                <w:noProof/>
              </w:rPr>
            </w:pPr>
            <w:r>
              <w:rPr>
                <w:noProof/>
              </w:rPr>
              <w:t>Țintă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5D8CDE" w14:textId="77777777" w:rsidR="00F53E3A" w:rsidRDefault="0036255F">
            <w:pPr>
              <w:pStyle w:val="P68B1DB1-Normal12"/>
              <w:spacing w:before="60" w:after="60"/>
              <w:rPr>
                <w:rFonts w:eastAsia="Times New Roman" w:cs="Times New Roman"/>
                <w:noProof/>
              </w:rPr>
            </w:pPr>
            <w:r>
              <w:rPr>
                <w:noProof/>
              </w:rPr>
              <w:t>Punerea în funcțiune a unor soluții pentru serviciile publice digitale destinate persoanelor cu handicap</w:t>
            </w:r>
          </w:p>
        </w:tc>
        <w:tc>
          <w:tcPr>
            <w:tcW w:w="146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F1E8A8" w14:textId="77777777" w:rsidR="00F53E3A" w:rsidRDefault="00F53E3A">
            <w:pPr>
              <w:spacing w:before="60" w:after="60"/>
              <w:rPr>
                <w:rFonts w:ascii="Times New Roman" w:eastAsia="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773DDE" w14:textId="77777777" w:rsidR="00F53E3A" w:rsidRDefault="0036255F">
            <w:pPr>
              <w:pStyle w:val="P68B1DB1-Normal12"/>
              <w:spacing w:before="60" w:after="60"/>
              <w:jc w:val="center"/>
              <w:rPr>
                <w:rFonts w:eastAsia="Times New Roman"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08D100B" w14:textId="2A90C5B2" w:rsidR="00F53E3A" w:rsidRDefault="00F53E3A">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AD37C9" w14:textId="77777777" w:rsidR="00F53E3A" w:rsidRDefault="0036255F">
            <w:pPr>
              <w:pStyle w:val="P68B1DB1-Normal12"/>
              <w:spacing w:before="60" w:after="60"/>
              <w:jc w:val="center"/>
              <w:rPr>
                <w:rFonts w:eastAsia="Times New Roman" w:cs="Times New Roman"/>
                <w:noProof/>
              </w:rPr>
            </w:pPr>
            <w:r>
              <w:rPr>
                <w:noProof/>
              </w:rPr>
              <w:t>2</w:t>
            </w: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641DFEE" w14:textId="7310B1A4" w:rsidR="00F53E3A" w:rsidRDefault="00DB2EC5">
            <w:pPr>
              <w:pStyle w:val="P68B1DB1-Normal12"/>
              <w:spacing w:before="60" w:after="60"/>
              <w:jc w:val="center"/>
              <w:rPr>
                <w:rFonts w:eastAsia="Times New Roman" w:cs="Times New Roman"/>
                <w:noProof/>
              </w:rPr>
            </w:pPr>
            <w:r>
              <w:rPr>
                <w:noProof/>
              </w:rPr>
              <w:t>T1</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3872FF" w14:textId="77777777" w:rsidR="00F53E3A" w:rsidRDefault="0036255F">
            <w:pPr>
              <w:pStyle w:val="P68B1DB1-Normal12"/>
              <w:spacing w:before="60" w:after="60"/>
              <w:jc w:val="center"/>
              <w:rPr>
                <w:rFonts w:eastAsia="Times New Roman" w:cs="Times New Roman"/>
                <w:noProof/>
              </w:rPr>
            </w:pPr>
            <w:r>
              <w:rPr>
                <w:noProof/>
              </w:rPr>
              <w:t>2025</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A069B1" w14:textId="77777777" w:rsidR="00F53E3A" w:rsidRDefault="0036255F">
            <w:pPr>
              <w:pStyle w:val="P68B1DB1-Normal12"/>
              <w:spacing w:before="60" w:after="60"/>
              <w:jc w:val="both"/>
              <w:rPr>
                <w:rFonts w:eastAsia="Times New Roman" w:cs="Times New Roman"/>
                <w:noProof/>
              </w:rPr>
            </w:pPr>
            <w:r>
              <w:rPr>
                <w:noProof/>
              </w:rPr>
              <w:t>Punerea în funcțiune a două soluții pentru facilitarea accesului persoanelor cu handicap la serviciile publice digitale: o soluție informatică pentru a asigura oportunități mai bune de comunicare pentru persoanele surde și o altă soluție informatică pentru a asigura accesul la informații pentru nevăzători. Serviciile sunt furnizate de furnizori cu calificări adecvate prin intermediul achizițiilor publice.</w:t>
            </w:r>
          </w:p>
        </w:tc>
      </w:tr>
      <w:tr w:rsidR="00F53E3A" w14:paraId="6596C137" w14:textId="77777777" w:rsidTr="00CB74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485379D" w14:textId="77777777" w:rsidR="00F53E3A" w:rsidRDefault="0036255F">
            <w:pPr>
              <w:pStyle w:val="P68B1DB1-Normal12"/>
              <w:spacing w:before="60" w:after="60"/>
              <w:jc w:val="center"/>
              <w:rPr>
                <w:rFonts w:eastAsia="Times New Roman" w:cs="Times New Roman"/>
                <w:noProof/>
              </w:rPr>
            </w:pPr>
            <w:r>
              <w:rPr>
                <w:noProof/>
              </w:rPr>
              <w:t>73</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5B33E35" w14:textId="77777777" w:rsidR="00F53E3A" w:rsidRDefault="0036255F">
            <w:pPr>
              <w:pStyle w:val="P68B1DB1-Normal12"/>
              <w:spacing w:before="60" w:after="60"/>
              <w:rPr>
                <w:rFonts w:eastAsia="Times New Roman" w:cs="Times New Roman"/>
                <w:noProof/>
              </w:rPr>
            </w:pPr>
            <w:r>
              <w:rPr>
                <w:noProof/>
              </w:rPr>
              <w:t>C.1.3 Servicii orientate către clienți</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662542" w14:textId="77777777" w:rsidR="00F53E3A" w:rsidRDefault="0036255F">
            <w:pPr>
              <w:pStyle w:val="P68B1DB1-Normal12"/>
              <w:spacing w:before="60" w:after="60"/>
              <w:jc w:val="center"/>
              <w:rPr>
                <w:rFonts w:eastAsia="Times New Roman" w:cs="Times New Roman"/>
                <w:noProof/>
              </w:rPr>
            </w:pPr>
            <w:r>
              <w:rPr>
                <w:noProof/>
              </w:rPr>
              <w:t>Țintă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1B0430D" w14:textId="1EF35D6D" w:rsidR="00F53E3A" w:rsidRDefault="0036255F">
            <w:pPr>
              <w:pStyle w:val="P68B1DB1-Normal12"/>
              <w:spacing w:before="60" w:after="60"/>
              <w:rPr>
                <w:noProof/>
              </w:rPr>
            </w:pPr>
            <w:r>
              <w:rPr>
                <w:noProof/>
              </w:rPr>
              <w:t>Realizarea de proiecte de creare sau modernizare a soluțiilor digitale pentru furnizarea de servicii digitale din sectorul public</w:t>
            </w:r>
          </w:p>
        </w:tc>
        <w:tc>
          <w:tcPr>
            <w:tcW w:w="146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208F6AE" w14:textId="77777777" w:rsidR="00F53E3A" w:rsidRDefault="00F53E3A">
            <w:pPr>
              <w:spacing w:before="60" w:after="60"/>
              <w:rPr>
                <w:rFonts w:ascii="Times New Roman" w:eastAsia="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CEC4A74" w14:textId="77777777" w:rsidR="00F53E3A" w:rsidRDefault="0036255F">
            <w:pPr>
              <w:pStyle w:val="P68B1DB1-Normal12"/>
              <w:spacing w:before="60" w:after="60"/>
              <w:jc w:val="center"/>
              <w:rPr>
                <w:rFonts w:eastAsia="Times New Roman"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FF1046E" w14:textId="77777777" w:rsidR="00F53E3A" w:rsidRDefault="0036255F">
            <w:pPr>
              <w:pStyle w:val="P68B1DB1-Normal12"/>
              <w:spacing w:before="60" w:after="60"/>
              <w:jc w:val="center"/>
              <w:rPr>
                <w:rFonts w:eastAsia="Times New Roman"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C43C3F5" w14:textId="40B0F4E5" w:rsidR="00F53E3A" w:rsidRDefault="0036255F">
            <w:pPr>
              <w:pStyle w:val="P68B1DB1-Normal12"/>
              <w:spacing w:before="60" w:after="60"/>
              <w:jc w:val="center"/>
              <w:rPr>
                <w:rFonts w:eastAsia="Times New Roman" w:cs="Times New Roman"/>
                <w:noProof/>
              </w:rPr>
            </w:pPr>
            <w:r>
              <w:rPr>
                <w:noProof/>
              </w:rPr>
              <w:t>63</w:t>
            </w: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EC1593B" w14:textId="1D4785A6" w:rsidR="00F53E3A" w:rsidRDefault="00DB2EC5">
            <w:pPr>
              <w:pStyle w:val="P68B1DB1-Normal12"/>
              <w:spacing w:before="60" w:after="60"/>
              <w:jc w:val="center"/>
              <w:rPr>
                <w:rFonts w:eastAsia="Times New Roman" w:cs="Times New Roman"/>
                <w:noProof/>
              </w:rPr>
            </w:pPr>
            <w:r>
              <w:rPr>
                <w:noProof/>
              </w:rPr>
              <w:t>T2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A89145C" w14:textId="77777777" w:rsidR="00F53E3A" w:rsidRDefault="0036255F">
            <w:pPr>
              <w:pStyle w:val="P68B1DB1-Normal12"/>
              <w:spacing w:before="60" w:after="60"/>
              <w:jc w:val="center"/>
              <w:rPr>
                <w:rFonts w:eastAsia="Times New Roman" w:cs="Times New Roman"/>
                <w:noProof/>
              </w:rPr>
            </w:pPr>
            <w:r>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7DF116" w14:textId="3ECC5BC3" w:rsidR="00F53E3A" w:rsidRDefault="0036255F">
            <w:pPr>
              <w:pStyle w:val="P68B1DB1-Normal12"/>
              <w:spacing w:before="60" w:after="60"/>
              <w:jc w:val="both"/>
              <w:rPr>
                <w:rFonts w:eastAsia="Times New Roman" w:cs="Times New Roman"/>
                <w:noProof/>
              </w:rPr>
            </w:pPr>
            <w:r>
              <w:rPr>
                <w:noProof/>
              </w:rPr>
              <w:t xml:space="preserve">Realizarea a 63 proiecte de creare sau modernizare a soluțiilor digitale pentru furnizarea de servicii digitale din sectorul public. </w:t>
            </w:r>
          </w:p>
        </w:tc>
      </w:tr>
      <w:tr w:rsidR="00F53E3A" w14:paraId="16461498" w14:textId="77777777" w:rsidTr="00CB74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521451A" w14:textId="77777777" w:rsidR="00F53E3A" w:rsidRDefault="0036255F">
            <w:pPr>
              <w:pStyle w:val="P68B1DB1-Normal12"/>
              <w:spacing w:before="60" w:after="60"/>
              <w:jc w:val="center"/>
              <w:rPr>
                <w:rFonts w:eastAsia="Times New Roman" w:cs="Times New Roman"/>
                <w:noProof/>
              </w:rPr>
            </w:pPr>
            <w:r>
              <w:rPr>
                <w:noProof/>
              </w:rPr>
              <w:t>75</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864A63F" w14:textId="208FDA1D" w:rsidR="00F53E3A" w:rsidRDefault="0036255F">
            <w:pPr>
              <w:pStyle w:val="P68B1DB1-Normal12"/>
              <w:spacing w:before="60" w:after="60"/>
              <w:rPr>
                <w:rFonts w:eastAsia="Times New Roman" w:cs="Times New Roman"/>
                <w:noProof/>
              </w:rPr>
            </w:pPr>
            <w:r>
              <w:rPr>
                <w:noProof/>
              </w:rPr>
              <w:t>C.1.4 Soluții tehnologice în mediul de afaceri și în viața de zi cu zi – C.1.4.1. Resurse tehnologice în limba lituaniană</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84ABABD" w14:textId="77777777" w:rsidR="00F53E3A" w:rsidRDefault="0036255F">
            <w:pPr>
              <w:pStyle w:val="P68B1DB1-Normal12"/>
              <w:spacing w:before="60" w:after="60"/>
              <w:jc w:val="center"/>
              <w:rPr>
                <w:rFonts w:eastAsia="Times New Roman" w:cs="Times New Roman"/>
                <w:noProof/>
              </w:rPr>
            </w:pPr>
            <w:r>
              <w:rPr>
                <w:noProof/>
              </w:rPr>
              <w:t>Țintă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5EAEE87" w14:textId="389FE28C" w:rsidR="00F53E3A" w:rsidRDefault="0036255F">
            <w:pPr>
              <w:pStyle w:val="P68B1DB1-Normal12"/>
              <w:spacing w:before="60" w:after="60"/>
              <w:rPr>
                <w:rFonts w:eastAsia="Times New Roman" w:cs="Times New Roman"/>
                <w:noProof/>
              </w:rPr>
            </w:pPr>
            <w:r>
              <w:rPr>
                <w:noProof/>
              </w:rPr>
              <w:t xml:space="preserve">Furnizarea resurselor lingvistice lituaniene necesare pentru dezvoltarea soluțiilor IA </w:t>
            </w:r>
          </w:p>
        </w:tc>
        <w:tc>
          <w:tcPr>
            <w:tcW w:w="146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0CD9347" w14:textId="77777777" w:rsidR="00F53E3A" w:rsidRDefault="00F53E3A">
            <w:pPr>
              <w:spacing w:before="60" w:after="60"/>
              <w:rPr>
                <w:rFonts w:ascii="Times New Roman" w:eastAsia="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997C349" w14:textId="77777777" w:rsidR="00F53E3A" w:rsidRDefault="0036255F">
            <w:pPr>
              <w:pStyle w:val="P68B1DB1-Normal12"/>
              <w:spacing w:before="60" w:after="60"/>
              <w:jc w:val="center"/>
              <w:rPr>
                <w:rFonts w:eastAsia="Times New Roman"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2BC612" w14:textId="63EEEC29" w:rsidR="00F53E3A" w:rsidRDefault="0036255F">
            <w:pPr>
              <w:pStyle w:val="P68B1DB1-Normal13"/>
              <w:spacing w:before="60" w:after="60"/>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05AA42F" w14:textId="697EC9E9" w:rsidR="00F53E3A" w:rsidRDefault="0036255F">
            <w:pPr>
              <w:pStyle w:val="P68B1DB1-Normal12"/>
              <w:spacing w:before="60" w:after="60"/>
              <w:jc w:val="center"/>
              <w:rPr>
                <w:rFonts w:eastAsia="Times New Roman" w:cs="Times New Roman"/>
                <w:noProof/>
              </w:rPr>
            </w:pPr>
            <w:r>
              <w:rPr>
                <w:noProof/>
              </w:rPr>
              <w:t>5</w:t>
            </w: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059A4D2" w14:textId="13C75E21" w:rsidR="00F53E3A" w:rsidRDefault="00DB2EC5">
            <w:pPr>
              <w:pStyle w:val="P68B1DB1-Normal12"/>
              <w:spacing w:before="60" w:after="60"/>
              <w:jc w:val="center"/>
              <w:rPr>
                <w:rFonts w:eastAsia="Times New Roman" w:cs="Times New Roman"/>
                <w:noProof/>
              </w:rPr>
            </w:pPr>
            <w:r>
              <w:rPr>
                <w:noProof/>
              </w:rPr>
              <w:t>T2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A14EEF8" w14:textId="7E4DA8FC" w:rsidR="00F53E3A" w:rsidRDefault="0036255F">
            <w:pPr>
              <w:pStyle w:val="P68B1DB1-Normal12"/>
              <w:spacing w:before="60" w:after="60"/>
              <w:jc w:val="center"/>
              <w:rPr>
                <w:rFonts w:eastAsia="Times New Roman" w:cs="Times New Roman"/>
                <w:noProof/>
              </w:rPr>
            </w:pPr>
            <w:r>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00330A" w14:textId="68C2E7A7" w:rsidR="00F53E3A" w:rsidRDefault="0036255F">
            <w:pPr>
              <w:pStyle w:val="P68B1DB1-Normal12"/>
              <w:spacing w:before="60" w:after="60"/>
              <w:jc w:val="both"/>
              <w:rPr>
                <w:rFonts w:eastAsia="Times New Roman" w:cs="Times New Roman"/>
                <w:noProof/>
              </w:rPr>
            </w:pPr>
            <w:r>
              <w:rPr>
                <w:noProof/>
              </w:rPr>
              <w:t>Resursele lingvistice lituaniene pentru dezvoltarea de soluții IA sunt puse la dispoziția publicului în mod gratuit.</w:t>
            </w:r>
          </w:p>
        </w:tc>
      </w:tr>
      <w:tr w:rsidR="00F53E3A" w14:paraId="7EF4AEE6" w14:textId="77777777" w:rsidTr="00CB74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90C391" w14:textId="77777777" w:rsidR="00F53E3A" w:rsidRDefault="0036255F">
            <w:pPr>
              <w:pStyle w:val="P68B1DB1-Normal12"/>
              <w:spacing w:before="60" w:after="60"/>
              <w:jc w:val="center"/>
              <w:rPr>
                <w:rFonts w:eastAsia="Times New Roman" w:cs="Times New Roman"/>
                <w:noProof/>
              </w:rPr>
            </w:pPr>
            <w:r>
              <w:rPr>
                <w:noProof/>
              </w:rPr>
              <w:t>76</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AB5BEE" w14:textId="3D6FA28F" w:rsidR="00F53E3A" w:rsidRDefault="0036255F">
            <w:pPr>
              <w:pStyle w:val="P68B1DB1-Normal12"/>
              <w:spacing w:before="60" w:after="60"/>
              <w:rPr>
                <w:rFonts w:eastAsia="Times New Roman" w:cs="Times New Roman"/>
                <w:noProof/>
              </w:rPr>
            </w:pPr>
            <w:r>
              <w:rPr>
                <w:noProof/>
              </w:rPr>
              <w:t>C.1.4 Soluții tehnologice în mediul de afaceri și în viața de zi cu zi – C.1.4.2. Digitalizarea resurselor culturale</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5F29387" w14:textId="0C54C7C6" w:rsidR="00F53E3A" w:rsidRDefault="0036255F">
            <w:pPr>
              <w:pStyle w:val="P68B1DB1-Normal12"/>
              <w:spacing w:before="60" w:after="60"/>
              <w:jc w:val="center"/>
              <w:rPr>
                <w:rFonts w:eastAsia="Times New Roman" w:cs="Times New Roman"/>
                <w:noProof/>
              </w:rPr>
            </w:pPr>
            <w:r>
              <w:rPr>
                <w:noProof/>
              </w:rPr>
              <w:t>Țintă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126242" w14:textId="246362D7" w:rsidR="00F53E3A" w:rsidRDefault="0036255F">
            <w:pPr>
              <w:pStyle w:val="P68B1DB1-Normal12"/>
              <w:spacing w:before="60" w:after="60"/>
              <w:rPr>
                <w:rFonts w:eastAsia="Times New Roman" w:cs="Times New Roman"/>
                <w:noProof/>
              </w:rPr>
            </w:pPr>
            <w:r>
              <w:rPr>
                <w:noProof/>
              </w:rPr>
              <w:t xml:space="preserve">Contracte semnate cu proprietarii resurselor culturale digitale și digitalizate pentru deschiderea resurselor și punerea acestora la dispoziția utilizatorilor </w:t>
            </w:r>
          </w:p>
        </w:tc>
        <w:tc>
          <w:tcPr>
            <w:tcW w:w="146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504B01" w14:textId="07D4F21B" w:rsidR="00F53E3A" w:rsidRDefault="00F53E3A">
            <w:pPr>
              <w:spacing w:before="60" w:after="60"/>
              <w:rPr>
                <w:rFonts w:ascii="Times New Roman" w:eastAsia="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55A34B7" w14:textId="0F58BAAC" w:rsidR="00F53E3A" w:rsidRDefault="0036255F">
            <w:pPr>
              <w:pStyle w:val="P68B1DB1-Normal12"/>
              <w:spacing w:before="60" w:after="60"/>
              <w:jc w:val="center"/>
              <w:rPr>
                <w:rFonts w:eastAsia="Times New Roman"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0A511AA" w14:textId="59FE0930" w:rsidR="00F53E3A" w:rsidRDefault="0036255F">
            <w:pPr>
              <w:pStyle w:val="P68B1DB1-Normal12"/>
              <w:spacing w:before="60" w:after="60"/>
              <w:jc w:val="center"/>
              <w:rPr>
                <w:rFonts w:eastAsia="Times New Roman"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7A3A803" w14:textId="59A8030B" w:rsidR="00F53E3A" w:rsidRDefault="0036255F">
            <w:pPr>
              <w:pStyle w:val="P68B1DB1-Normal12"/>
              <w:spacing w:before="60" w:after="60"/>
              <w:jc w:val="center"/>
              <w:rPr>
                <w:rFonts w:eastAsia="Times New Roman" w:cs="Times New Roman"/>
                <w:noProof/>
              </w:rPr>
            </w:pPr>
            <w:r>
              <w:rPr>
                <w:noProof/>
              </w:rPr>
              <w:t>12</w:t>
            </w: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713B4E" w14:textId="4DBDF9F9" w:rsidR="00F53E3A" w:rsidRDefault="00DB2EC5">
            <w:pPr>
              <w:pStyle w:val="P68B1DB1-Normal12"/>
              <w:spacing w:before="60" w:after="60"/>
              <w:jc w:val="center"/>
              <w:rPr>
                <w:rFonts w:eastAsia="Times New Roman" w:cs="Times New Roman"/>
                <w:noProof/>
              </w:rPr>
            </w:pPr>
            <w:r>
              <w:rPr>
                <w:noProof/>
              </w:rPr>
              <w:t>T4</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FCEC5E" w14:textId="577D4111" w:rsidR="00F53E3A" w:rsidRDefault="0036255F">
            <w:pPr>
              <w:pStyle w:val="P68B1DB1-Normal12"/>
              <w:spacing w:before="60" w:after="60"/>
              <w:jc w:val="center"/>
              <w:rPr>
                <w:rFonts w:eastAsia="Times New Roman" w:cs="Times New Roman"/>
                <w:noProof/>
              </w:rPr>
            </w:pPr>
            <w:r>
              <w:rPr>
                <w:noProof/>
              </w:rPr>
              <w:t>2022</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8047B23" w14:textId="3F0350A4" w:rsidR="00F53E3A" w:rsidRDefault="0036255F">
            <w:pPr>
              <w:pStyle w:val="P68B1DB1-Normal12"/>
              <w:spacing w:before="60" w:after="60"/>
              <w:jc w:val="both"/>
              <w:rPr>
                <w:rFonts w:eastAsia="Times New Roman" w:cs="Times New Roman"/>
                <w:noProof/>
              </w:rPr>
            </w:pPr>
            <w:r>
              <w:rPr>
                <w:noProof/>
              </w:rPr>
              <w:t xml:space="preserve">Cel puțin 12 contracte semnate cu proprietarii resurselor culturale digitale pentru deschiderea resurselor și punerea acestora la dispoziția utilizatorilor. </w:t>
            </w:r>
          </w:p>
        </w:tc>
      </w:tr>
      <w:tr w:rsidR="00F53E3A" w14:paraId="0F202EC4" w14:textId="77777777" w:rsidTr="00CB74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E6AECF" w14:textId="77777777" w:rsidR="00F53E3A" w:rsidRDefault="0036255F">
            <w:pPr>
              <w:pStyle w:val="P68B1DB1-Normal12"/>
              <w:spacing w:before="60" w:after="60"/>
              <w:jc w:val="center"/>
              <w:rPr>
                <w:rFonts w:eastAsia="Times New Roman" w:cs="Times New Roman"/>
                <w:noProof/>
              </w:rPr>
            </w:pPr>
            <w:r>
              <w:rPr>
                <w:noProof/>
              </w:rPr>
              <w:t>77</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BCCFB6A" w14:textId="51B95797" w:rsidR="00F53E3A" w:rsidRDefault="0036255F">
            <w:pPr>
              <w:pStyle w:val="P68B1DB1-Normal12"/>
              <w:spacing w:before="60" w:after="60"/>
              <w:rPr>
                <w:rFonts w:eastAsia="Times New Roman" w:cs="Times New Roman"/>
                <w:noProof/>
              </w:rPr>
            </w:pPr>
            <w:r>
              <w:rPr>
                <w:noProof/>
              </w:rPr>
              <w:t>C.1.4 Soluții tehnologice în mediul de afaceri și în viața de zi cu zi – C.1.4.2. Digitalizarea resurselor culturale</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1D5DE88" w14:textId="0E558052" w:rsidR="00F53E3A" w:rsidRDefault="0036255F">
            <w:pPr>
              <w:pStyle w:val="P68B1DB1-Normal12"/>
              <w:spacing w:before="60" w:after="60"/>
              <w:jc w:val="center"/>
              <w:rPr>
                <w:rFonts w:eastAsia="Times New Roman" w:cs="Times New Roman"/>
                <w:noProof/>
              </w:rPr>
            </w:pPr>
            <w:r>
              <w:rPr>
                <w:noProof/>
              </w:rPr>
              <w:t>Etapă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C6FD1F" w14:textId="01288A02" w:rsidR="00F53E3A" w:rsidRDefault="0036255F">
            <w:pPr>
              <w:pStyle w:val="P68B1DB1-Normal12"/>
              <w:spacing w:before="60" w:after="60"/>
              <w:rPr>
                <w:rFonts w:eastAsia="Times New Roman" w:cs="Times New Roman"/>
                <w:noProof/>
              </w:rPr>
            </w:pPr>
            <w:r>
              <w:rPr>
                <w:noProof/>
              </w:rPr>
              <w:t xml:space="preserve">Punerea la dispoziție a resurselor culturale </w:t>
            </w:r>
          </w:p>
        </w:tc>
        <w:tc>
          <w:tcPr>
            <w:tcW w:w="146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0E94F86" w14:textId="58F12490" w:rsidR="00F53E3A" w:rsidRDefault="0036255F">
            <w:pPr>
              <w:pStyle w:val="P68B1DB1-Normal13"/>
              <w:spacing w:before="60" w:after="60"/>
              <w:rPr>
                <w:noProof/>
              </w:rPr>
            </w:pPr>
            <w:r>
              <w:rPr>
                <w:noProof/>
              </w:rPr>
              <w:t>Platformă e-cultură care oferă acces la cel puțin 12 de resurse culturale digitale</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19CA98A" w14:textId="0B431565" w:rsidR="00F53E3A" w:rsidRDefault="00F53E3A">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220CF27" w14:textId="27986CAE" w:rsidR="00F53E3A" w:rsidRDefault="00F53E3A">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FB7D19B" w14:textId="1D8E1BE7" w:rsidR="00F53E3A" w:rsidRDefault="00F53E3A">
            <w:pPr>
              <w:spacing w:before="60" w:after="60"/>
              <w:jc w:val="center"/>
              <w:rPr>
                <w:rFonts w:ascii="Times New Roman" w:eastAsia="Times New Roman" w:hAnsi="Times New Roman" w:cs="Times New Roman"/>
                <w:noProof/>
                <w:sz w:val="20"/>
              </w:rPr>
            </w:pP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F0D0E5" w14:textId="6A55F5FE" w:rsidR="00F53E3A" w:rsidRDefault="00DB2EC5">
            <w:pPr>
              <w:pStyle w:val="P68B1DB1-Normal12"/>
              <w:spacing w:before="60" w:after="60"/>
              <w:jc w:val="center"/>
              <w:rPr>
                <w:rFonts w:eastAsia="Times New Roman" w:cs="Times New Roman"/>
                <w:noProof/>
              </w:rPr>
            </w:pPr>
            <w:r>
              <w:rPr>
                <w:noProof/>
              </w:rPr>
              <w:t>T2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8AB3C3" w14:textId="171D89D6" w:rsidR="00F53E3A" w:rsidRDefault="0036255F">
            <w:pPr>
              <w:pStyle w:val="P68B1DB1-Normal12"/>
              <w:spacing w:before="60" w:after="60"/>
              <w:jc w:val="center"/>
              <w:rPr>
                <w:rFonts w:eastAsia="Times New Roman" w:cs="Times New Roman"/>
                <w:noProof/>
              </w:rPr>
            </w:pPr>
            <w:r>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21F201F" w14:textId="281C7F7D" w:rsidR="00F53E3A" w:rsidRDefault="0036255F">
            <w:pPr>
              <w:pStyle w:val="P68B1DB1-Normal12"/>
              <w:spacing w:before="60" w:after="60"/>
              <w:jc w:val="both"/>
              <w:rPr>
                <w:rFonts w:eastAsia="Times New Roman" w:cs="Times New Roman"/>
                <w:noProof/>
              </w:rPr>
            </w:pPr>
            <w:r>
              <w:rPr>
                <w:noProof/>
              </w:rPr>
              <w:t>O platformă e-cultură oferă acces la cel puțin 12 de resurse culturale digitale.</w:t>
            </w:r>
          </w:p>
        </w:tc>
      </w:tr>
      <w:tr w:rsidR="00F53E3A" w14:paraId="275F3363" w14:textId="77777777" w:rsidTr="00CB74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0AEBF16" w14:textId="77777777" w:rsidR="00F53E3A" w:rsidRDefault="0036255F">
            <w:pPr>
              <w:pStyle w:val="P68B1DB1-Normal12"/>
              <w:spacing w:before="60" w:after="60"/>
              <w:jc w:val="center"/>
              <w:rPr>
                <w:rFonts w:eastAsia="Times New Roman" w:cs="Times New Roman"/>
                <w:noProof/>
              </w:rPr>
            </w:pPr>
            <w:r>
              <w:rPr>
                <w:noProof/>
              </w:rPr>
              <w:t>78</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AE59D70" w14:textId="2337C73A" w:rsidR="00F53E3A" w:rsidRDefault="0036255F">
            <w:pPr>
              <w:pStyle w:val="P68B1DB1-Normal12"/>
              <w:spacing w:before="60" w:after="60"/>
              <w:rPr>
                <w:rFonts w:eastAsia="Times New Roman" w:cs="Times New Roman"/>
                <w:noProof/>
              </w:rPr>
            </w:pPr>
            <w:r>
              <w:rPr>
                <w:noProof/>
              </w:rPr>
              <w:t>C.1.4 Soluții tehnologice în mediul de afaceri și în viața de zi cu zi – C.1.4.2. Digitalizarea resurselor culturale</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D5A17C" w14:textId="77777777" w:rsidR="00F53E3A" w:rsidRDefault="0036255F">
            <w:pPr>
              <w:pStyle w:val="P68B1DB1-Normal12"/>
              <w:spacing w:before="60" w:after="60"/>
              <w:jc w:val="center"/>
              <w:rPr>
                <w:rFonts w:eastAsia="Times New Roman" w:cs="Times New Roman"/>
                <w:noProof/>
              </w:rPr>
            </w:pPr>
            <w:r>
              <w:rPr>
                <w:noProof/>
              </w:rPr>
              <w:t>Țintă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FA0FD0C" w14:textId="77777777" w:rsidR="00F53E3A" w:rsidRDefault="0036255F">
            <w:pPr>
              <w:pStyle w:val="P68B1DB1-Normal12"/>
              <w:spacing w:before="60" w:after="60"/>
              <w:rPr>
                <w:rFonts w:eastAsia="Times New Roman" w:cs="Times New Roman"/>
                <w:noProof/>
              </w:rPr>
            </w:pPr>
            <w:r>
              <w:rPr>
                <w:noProof/>
              </w:rPr>
              <w:t>Resurse digitale (electronice) puse la dispoziția persoanelor cu handicap</w:t>
            </w:r>
          </w:p>
        </w:tc>
        <w:tc>
          <w:tcPr>
            <w:tcW w:w="146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187785" w14:textId="44B45B03" w:rsidR="00F53E3A" w:rsidRDefault="00F53E3A">
            <w:pPr>
              <w:spacing w:before="60" w:after="60"/>
              <w:rPr>
                <w:rFonts w:ascii="Times New Roman" w:eastAsia="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BAE1212" w14:textId="56145F26" w:rsidR="00F53E3A" w:rsidRDefault="0036255F">
            <w:pPr>
              <w:pStyle w:val="P68B1DB1-Normal12"/>
              <w:spacing w:before="60" w:after="60"/>
              <w:jc w:val="center"/>
              <w:rPr>
                <w:rFonts w:eastAsia="Times New Roman" w:cs="Times New Roman"/>
                <w:noProof/>
              </w:rPr>
            </w:pPr>
            <w:r>
              <w:rPr>
                <w:noProof/>
              </w:rPr>
              <w:t>%</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FF7ED77" w14:textId="77777777" w:rsidR="00F53E3A" w:rsidRDefault="0036255F">
            <w:pPr>
              <w:pStyle w:val="P68B1DB1-Normal12"/>
              <w:spacing w:before="60" w:after="60"/>
              <w:jc w:val="center"/>
              <w:rPr>
                <w:rFonts w:eastAsia="Times New Roman" w:cs="Times New Roman"/>
                <w:noProof/>
              </w:rPr>
            </w:pPr>
            <w:r>
              <w:rPr>
                <w:noProof/>
              </w:rPr>
              <w:t>15 %</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55DDF85" w14:textId="77777777" w:rsidR="00F53E3A" w:rsidRDefault="0036255F">
            <w:pPr>
              <w:pStyle w:val="P68B1DB1-Normal12"/>
              <w:spacing w:before="60" w:after="60"/>
              <w:jc w:val="center"/>
              <w:rPr>
                <w:rFonts w:eastAsia="Times New Roman" w:cs="Times New Roman"/>
                <w:noProof/>
              </w:rPr>
            </w:pPr>
            <w:r>
              <w:rPr>
                <w:noProof/>
              </w:rPr>
              <w:t>20 %</w:t>
            </w: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54E3BB" w14:textId="7FB0821B" w:rsidR="00F53E3A" w:rsidRDefault="00DB2EC5">
            <w:pPr>
              <w:pStyle w:val="P68B1DB1-Normal12"/>
              <w:spacing w:before="60" w:after="60"/>
              <w:jc w:val="center"/>
              <w:rPr>
                <w:rFonts w:eastAsia="Times New Roman" w:cs="Times New Roman"/>
                <w:noProof/>
              </w:rPr>
            </w:pPr>
            <w:r>
              <w:rPr>
                <w:noProof/>
              </w:rPr>
              <w:t>T4</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CB164C9" w14:textId="2790DF8B" w:rsidR="00F53E3A" w:rsidRDefault="0036255F">
            <w:pPr>
              <w:pStyle w:val="P68B1DB1-Normal12"/>
              <w:spacing w:before="60" w:after="60"/>
              <w:jc w:val="center"/>
              <w:rPr>
                <w:rFonts w:eastAsia="Times New Roman" w:cs="Times New Roman"/>
                <w:noProof/>
              </w:rPr>
            </w:pPr>
            <w:r>
              <w:rPr>
                <w:noProof/>
              </w:rPr>
              <w:t>2025</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34B35E3" w14:textId="4AA09AAC" w:rsidR="00F53E3A" w:rsidRDefault="0036255F">
            <w:pPr>
              <w:pStyle w:val="P68B1DB1-Normal13"/>
              <w:spacing w:before="60" w:after="60"/>
              <w:jc w:val="both"/>
              <w:rPr>
                <w:noProof/>
              </w:rPr>
            </w:pPr>
            <w:r>
              <w:rPr>
                <w:noProof/>
              </w:rPr>
              <w:t>20 % din cărțile tipărite publicate de editorii naționali în cursul anului de raportare sunt pregătite în formate accesibile pentru persoanele cu handicap.</w:t>
            </w:r>
          </w:p>
        </w:tc>
      </w:tr>
      <w:tr w:rsidR="00F53E3A" w14:paraId="48A7C2D4" w14:textId="77777777" w:rsidTr="00CB74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43226D" w14:textId="77777777" w:rsidR="00F53E3A" w:rsidRDefault="0036255F">
            <w:pPr>
              <w:pStyle w:val="P68B1DB1-Normal12"/>
              <w:spacing w:before="60" w:after="60"/>
              <w:jc w:val="center"/>
              <w:rPr>
                <w:rFonts w:eastAsia="Times New Roman" w:cs="Times New Roman"/>
                <w:noProof/>
              </w:rPr>
            </w:pPr>
            <w:r>
              <w:rPr>
                <w:noProof/>
              </w:rPr>
              <w:t>79</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C8C71AF" w14:textId="32D4F8FC" w:rsidR="00F53E3A" w:rsidRDefault="0036255F">
            <w:pPr>
              <w:pStyle w:val="P68B1DB1-Normal12"/>
              <w:spacing w:before="60" w:after="60"/>
              <w:rPr>
                <w:rFonts w:eastAsia="Times New Roman" w:cs="Times New Roman"/>
                <w:noProof/>
              </w:rPr>
            </w:pPr>
            <w:r>
              <w:rPr>
                <w:noProof/>
              </w:rPr>
              <w:t>C.1.4 Soluții tehnologice în mediul de afaceri și în viața de zi cu zi – C.1.4.3. Producția de conținut și resurse didactice digitale</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F2285B" w14:textId="77777777" w:rsidR="00F53E3A" w:rsidRDefault="0036255F">
            <w:pPr>
              <w:pStyle w:val="P68B1DB1-Normal12"/>
              <w:spacing w:before="60" w:after="60"/>
              <w:jc w:val="center"/>
              <w:rPr>
                <w:rFonts w:eastAsia="Times New Roman" w:cs="Times New Roman"/>
                <w:noProof/>
              </w:rPr>
            </w:pPr>
            <w:r>
              <w:rPr>
                <w:noProof/>
              </w:rPr>
              <w:t>Țintă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F030678" w14:textId="77777777" w:rsidR="00F53E3A" w:rsidRDefault="0036255F">
            <w:pPr>
              <w:pStyle w:val="P68B1DB1-Normal12"/>
              <w:spacing w:before="60" w:after="60"/>
              <w:rPr>
                <w:rFonts w:eastAsia="Times New Roman" w:cs="Times New Roman"/>
                <w:noProof/>
              </w:rPr>
            </w:pPr>
            <w:r>
              <w:rPr>
                <w:noProof/>
              </w:rPr>
              <w:t>Punerea în funcțiune a facilităților de învățare digitală</w:t>
            </w:r>
          </w:p>
        </w:tc>
        <w:tc>
          <w:tcPr>
            <w:tcW w:w="146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21C1A84" w14:textId="102FA136" w:rsidR="00F53E3A" w:rsidRDefault="00F53E3A">
            <w:pPr>
              <w:spacing w:before="60" w:after="60"/>
              <w:rPr>
                <w:rFonts w:ascii="Times New Roman" w:eastAsia="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31E32A" w14:textId="77777777" w:rsidR="00F53E3A" w:rsidRDefault="0036255F">
            <w:pPr>
              <w:pStyle w:val="P68B1DB1-Normal12"/>
              <w:spacing w:before="60" w:after="60"/>
              <w:jc w:val="center"/>
              <w:rPr>
                <w:rFonts w:eastAsia="Times New Roman"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3E4985A" w14:textId="77777777" w:rsidR="00F53E3A" w:rsidRDefault="0036255F">
            <w:pPr>
              <w:pStyle w:val="P68B1DB1-Normal12"/>
              <w:spacing w:before="60" w:after="60"/>
              <w:jc w:val="center"/>
              <w:rPr>
                <w:rFonts w:eastAsia="Times New Roman"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3B58339" w14:textId="4D016C32" w:rsidR="00F53E3A" w:rsidRDefault="0036255F">
            <w:pPr>
              <w:pStyle w:val="P68B1DB1-Normal12"/>
              <w:spacing w:before="60" w:after="60"/>
              <w:jc w:val="center"/>
              <w:rPr>
                <w:rFonts w:eastAsia="Times New Roman" w:cs="Times New Roman"/>
                <w:noProof/>
              </w:rPr>
            </w:pPr>
            <w:r>
              <w:rPr>
                <w:noProof/>
              </w:rPr>
              <w:t>1 704</w:t>
            </w: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577E2F8" w14:textId="4E1FB5DD" w:rsidR="00F53E3A" w:rsidRDefault="00DB2EC5">
            <w:pPr>
              <w:pStyle w:val="P68B1DB1-Normal12"/>
              <w:spacing w:before="60" w:after="60"/>
              <w:jc w:val="center"/>
              <w:rPr>
                <w:rFonts w:eastAsia="Times New Roman" w:cs="Times New Roman"/>
                <w:noProof/>
              </w:rPr>
            </w:pPr>
            <w:r>
              <w:rPr>
                <w:noProof/>
              </w:rPr>
              <w:t>T2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34B25F3" w14:textId="77777777" w:rsidR="00F53E3A" w:rsidRDefault="0036255F">
            <w:pPr>
              <w:pStyle w:val="P68B1DB1-Normal12"/>
              <w:spacing w:before="60" w:after="60"/>
              <w:jc w:val="center"/>
              <w:rPr>
                <w:rFonts w:eastAsia="Times New Roman" w:cs="Times New Roman"/>
                <w:noProof/>
              </w:rPr>
            </w:pPr>
            <w:r>
              <w:rPr>
                <w:noProof/>
              </w:rPr>
              <w:t>2024</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4FBBDAA" w14:textId="70E303DE" w:rsidR="00F53E3A" w:rsidRDefault="0036255F">
            <w:pPr>
              <w:pStyle w:val="P68B1DB1-Normal12"/>
              <w:spacing w:before="60" w:after="60"/>
              <w:jc w:val="both"/>
              <w:rPr>
                <w:noProof/>
              </w:rPr>
            </w:pPr>
            <w:r>
              <w:rPr>
                <w:noProof/>
              </w:rPr>
              <w:t>Punerea în funcțiune a unor facilități de învățare digitală care includ: (I) o platformă de resurse digitale, (ii) au fost dezvoltate, testate și puse în aplicare 3 de prototipuri pentru învățarea la distanță/mixtă, (iii) sălile de conferințe (200 unități) și sălile de clasă (500 unități) au fost dotate cu echipamente de învățare hibride, (iv) subiecte/module/sarcini de studiu digitalizate furnizate în lituaniană și/sau engleză (1 000 unități).</w:t>
            </w:r>
          </w:p>
        </w:tc>
      </w:tr>
      <w:tr w:rsidR="00F53E3A" w14:paraId="566E9403" w14:textId="77777777" w:rsidTr="00CB74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6EA0EF6" w14:textId="77777777" w:rsidR="00F53E3A" w:rsidRDefault="0036255F">
            <w:pPr>
              <w:pStyle w:val="P68B1DB1-Normal12"/>
              <w:spacing w:before="60" w:after="60"/>
              <w:jc w:val="center"/>
              <w:rPr>
                <w:rFonts w:eastAsia="Times New Roman" w:cs="Times New Roman"/>
                <w:noProof/>
              </w:rPr>
            </w:pPr>
            <w:r>
              <w:rPr>
                <w:noProof/>
              </w:rPr>
              <w:t>80</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C4CEC4D" w14:textId="0CD57058" w:rsidR="00F53E3A" w:rsidRDefault="0036255F">
            <w:pPr>
              <w:pStyle w:val="P68B1DB1-Normal12"/>
              <w:spacing w:before="60" w:after="60"/>
              <w:rPr>
                <w:rFonts w:eastAsia="Times New Roman" w:cs="Times New Roman"/>
                <w:noProof/>
              </w:rPr>
            </w:pPr>
            <w:r>
              <w:rPr>
                <w:noProof/>
              </w:rPr>
              <w:t>C.1.4 Soluții tehnologice în mediul de afaceri și în viața de zi cu zi – C.1.4.4. Instrumente financiare pentru înființarea de întreprinderi și inovarea digitală</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E122641" w14:textId="77777777" w:rsidR="00F53E3A" w:rsidRDefault="0036255F">
            <w:pPr>
              <w:pStyle w:val="P68B1DB1-Normal12"/>
              <w:spacing w:before="60" w:after="60"/>
              <w:jc w:val="center"/>
              <w:rPr>
                <w:rFonts w:eastAsia="Times New Roman" w:cs="Times New Roman"/>
                <w:noProof/>
              </w:rPr>
            </w:pPr>
            <w:r>
              <w:rPr>
                <w:noProof/>
              </w:rPr>
              <w:t>Etapă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952751D" w14:textId="77777777" w:rsidR="00F53E3A" w:rsidRDefault="0036255F">
            <w:pPr>
              <w:pStyle w:val="P68B1DB1-Normal12"/>
              <w:spacing w:before="60" w:after="60"/>
              <w:rPr>
                <w:rFonts w:eastAsia="Times New Roman" w:cs="Times New Roman"/>
                <w:noProof/>
              </w:rPr>
            </w:pPr>
            <w:r>
              <w:rPr>
                <w:noProof/>
              </w:rPr>
              <w:t>Publicarea cererii de oferte și aprobarea condițiilor de finanțare pentru dezvoltarea și implementarea de soluții tehnologice inovatoare în întreprinderi</w:t>
            </w:r>
          </w:p>
        </w:tc>
        <w:tc>
          <w:tcPr>
            <w:tcW w:w="146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B63A9C8" w14:textId="77777777" w:rsidR="00F53E3A" w:rsidRDefault="0036255F">
            <w:pPr>
              <w:pStyle w:val="P68B1DB1-Normal12"/>
              <w:spacing w:before="60" w:after="60"/>
              <w:rPr>
                <w:rFonts w:eastAsia="Times New Roman" w:cs="Times New Roman"/>
                <w:noProof/>
              </w:rPr>
            </w:pPr>
            <w:r>
              <w:rPr>
                <w:noProof/>
              </w:rPr>
              <w:t xml:space="preserve">Publicarea invitației de participare la procedura de ofertare </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9754C1A" w14:textId="0EAB5140" w:rsidR="00F53E3A" w:rsidRDefault="00F53E3A">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3F55164" w14:textId="2BF91BC6" w:rsidR="00F53E3A" w:rsidRDefault="00F53E3A">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5406243" w14:textId="1B3DC69C" w:rsidR="00F53E3A" w:rsidRDefault="00F53E3A">
            <w:pPr>
              <w:spacing w:before="60" w:after="60"/>
              <w:jc w:val="center"/>
              <w:rPr>
                <w:rFonts w:ascii="Times New Roman" w:eastAsia="Times New Roman" w:hAnsi="Times New Roman" w:cs="Times New Roman"/>
                <w:noProof/>
                <w:sz w:val="20"/>
              </w:rPr>
            </w:pP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20684A0" w14:textId="2B9B2B7B" w:rsidR="00F53E3A" w:rsidRDefault="00DB2EC5">
            <w:pPr>
              <w:pStyle w:val="P68B1DB1-Normal12"/>
              <w:spacing w:before="60" w:after="60"/>
              <w:jc w:val="center"/>
              <w:rPr>
                <w:rFonts w:eastAsia="Times New Roman" w:cs="Times New Roman"/>
                <w:noProof/>
              </w:rPr>
            </w:pPr>
            <w:r>
              <w:rPr>
                <w:noProof/>
              </w:rPr>
              <w:t>T3</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F1AB142" w14:textId="77777777" w:rsidR="00F53E3A" w:rsidRDefault="0036255F">
            <w:pPr>
              <w:pStyle w:val="P68B1DB1-Normal12"/>
              <w:spacing w:before="60" w:after="60"/>
              <w:jc w:val="center"/>
              <w:rPr>
                <w:rFonts w:eastAsia="Times New Roman" w:cs="Times New Roman"/>
                <w:noProof/>
              </w:rPr>
            </w:pPr>
            <w:r>
              <w:rPr>
                <w:noProof/>
              </w:rPr>
              <w:t>2022</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E0F2796" w14:textId="77777777" w:rsidR="00F53E3A" w:rsidRDefault="0036255F">
            <w:pPr>
              <w:pStyle w:val="P68B1DB1-Normal12"/>
              <w:spacing w:before="60" w:after="60"/>
              <w:jc w:val="both"/>
              <w:rPr>
                <w:rFonts w:eastAsia="Times New Roman" w:cs="Times New Roman"/>
                <w:noProof/>
              </w:rPr>
            </w:pPr>
            <w:r>
              <w:rPr>
                <w:noProof/>
              </w:rPr>
              <w:t>Publicarea cererii de oferte și aprobarea condițiilor de finanțare de către Ministerul Economiei și Inovării sau un ordin al directorului Agenției pentru Știință, Inovare și Tehnologie.</w:t>
            </w:r>
          </w:p>
        </w:tc>
      </w:tr>
      <w:tr w:rsidR="00F53E3A" w14:paraId="475D16E3" w14:textId="77777777" w:rsidTr="00CB74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B310DEE" w14:textId="77777777" w:rsidR="00F53E3A" w:rsidRDefault="0036255F">
            <w:pPr>
              <w:pStyle w:val="P68B1DB1-Normal12"/>
              <w:spacing w:before="60" w:after="60"/>
              <w:jc w:val="center"/>
              <w:rPr>
                <w:rFonts w:eastAsia="Times New Roman" w:cs="Times New Roman"/>
                <w:noProof/>
              </w:rPr>
            </w:pPr>
            <w:r>
              <w:rPr>
                <w:noProof/>
              </w:rPr>
              <w:t>81</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3F0514E" w14:textId="58A27BFC" w:rsidR="00F53E3A" w:rsidRDefault="0036255F">
            <w:pPr>
              <w:pStyle w:val="P68B1DB1-Normal12"/>
              <w:spacing w:before="60" w:after="60"/>
              <w:rPr>
                <w:rFonts w:eastAsia="Times New Roman" w:cs="Times New Roman"/>
                <w:noProof/>
              </w:rPr>
            </w:pPr>
            <w:r>
              <w:rPr>
                <w:noProof/>
              </w:rPr>
              <w:t>C.1.4 Soluții tehnologice în mediul de afaceri și în viața de zi cu zi – C.1.4.4. Instrumente financiare pentru înființarea de întreprinderi și inovarea digitală</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6C0244" w14:textId="77777777" w:rsidR="00F53E3A" w:rsidRDefault="0036255F">
            <w:pPr>
              <w:pStyle w:val="P68B1DB1-Normal12"/>
              <w:spacing w:before="60" w:after="60"/>
              <w:jc w:val="center"/>
              <w:rPr>
                <w:rFonts w:eastAsia="Times New Roman" w:cs="Times New Roman"/>
                <w:noProof/>
              </w:rPr>
            </w:pPr>
            <w:r>
              <w:rPr>
                <w:noProof/>
              </w:rPr>
              <w:t>Țintă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9FB7E1" w14:textId="551B15C8" w:rsidR="00F53E3A" w:rsidRDefault="0036255F">
            <w:pPr>
              <w:pStyle w:val="P68B1DB1-Normal12"/>
              <w:spacing w:before="60" w:after="60"/>
              <w:rPr>
                <w:rFonts w:eastAsia="Times New Roman" w:cs="Times New Roman"/>
                <w:noProof/>
              </w:rPr>
            </w:pPr>
            <w:r>
              <w:rPr>
                <w:noProof/>
              </w:rPr>
              <w:t>Semnarea contractelor pentru stimulente financiare pentru înființarea de întreprinderi și inovarea digitală</w:t>
            </w:r>
          </w:p>
        </w:tc>
        <w:tc>
          <w:tcPr>
            <w:tcW w:w="146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5E1007" w14:textId="77777777" w:rsidR="00F53E3A" w:rsidRDefault="00F53E3A">
            <w:pPr>
              <w:spacing w:before="60" w:after="60"/>
              <w:rPr>
                <w:rFonts w:ascii="Times New Roman" w:eastAsia="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99957D" w14:textId="77777777" w:rsidR="00F53E3A" w:rsidRDefault="0036255F">
            <w:pPr>
              <w:pStyle w:val="P68B1DB1-Normal12"/>
              <w:spacing w:before="60" w:after="60"/>
              <w:jc w:val="center"/>
              <w:rPr>
                <w:rFonts w:eastAsia="Times New Roman"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708B80C" w14:textId="77777777" w:rsidR="00F53E3A" w:rsidRDefault="0036255F">
            <w:pPr>
              <w:pStyle w:val="P68B1DB1-Normal12"/>
              <w:spacing w:before="60" w:after="60"/>
              <w:jc w:val="center"/>
              <w:rPr>
                <w:rFonts w:eastAsia="Times New Roman"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8983D2" w14:textId="0B1F89D4" w:rsidR="00F53E3A" w:rsidRDefault="0036255F">
            <w:pPr>
              <w:pStyle w:val="P68B1DB1-Normal12"/>
              <w:spacing w:before="60" w:after="60"/>
              <w:jc w:val="center"/>
              <w:rPr>
                <w:rFonts w:eastAsia="Times New Roman" w:cs="Times New Roman"/>
                <w:noProof/>
              </w:rPr>
            </w:pPr>
            <w:r>
              <w:rPr>
                <w:noProof/>
              </w:rPr>
              <w:t>194</w:t>
            </w: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92D281" w14:textId="7812D042" w:rsidR="00F53E3A" w:rsidRDefault="00DB2EC5">
            <w:pPr>
              <w:pStyle w:val="P68B1DB1-Normal12"/>
              <w:spacing w:before="60" w:after="60"/>
              <w:jc w:val="center"/>
              <w:rPr>
                <w:rFonts w:eastAsia="Times New Roman" w:cs="Times New Roman"/>
                <w:noProof/>
              </w:rPr>
            </w:pPr>
            <w:r>
              <w:rPr>
                <w:noProof/>
              </w:rPr>
              <w:t>T3</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DA24FB8" w14:textId="77777777" w:rsidR="00F53E3A" w:rsidRDefault="0036255F">
            <w:pPr>
              <w:pStyle w:val="P68B1DB1-Normal12"/>
              <w:spacing w:before="60" w:after="60"/>
              <w:jc w:val="center"/>
              <w:rPr>
                <w:rFonts w:eastAsia="Times New Roman" w:cs="Times New Roman"/>
                <w:noProof/>
              </w:rPr>
            </w:pPr>
            <w:r>
              <w:rPr>
                <w:noProof/>
              </w:rPr>
              <w:t>2024</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224A622" w14:textId="3103122C" w:rsidR="00F53E3A" w:rsidRDefault="0036255F">
            <w:pPr>
              <w:pStyle w:val="P68B1DB1-Normal12"/>
              <w:spacing w:before="60" w:after="60"/>
              <w:jc w:val="both"/>
              <w:rPr>
                <w:rFonts w:eastAsia="Times New Roman" w:cs="Times New Roman"/>
                <w:noProof/>
              </w:rPr>
            </w:pPr>
            <w:r>
              <w:rPr>
                <w:noProof/>
              </w:rPr>
              <w:t>Semnarea contractelor pentru stimulente financiare pentru înființarea de întreprinderi și inovarea digitală:</w:t>
            </w:r>
          </w:p>
          <w:p w14:paraId="1D263390" w14:textId="5DDCF740" w:rsidR="00F53E3A" w:rsidRDefault="0036255F">
            <w:pPr>
              <w:pStyle w:val="P68B1DB1-Normal12"/>
              <w:spacing w:before="60" w:after="60"/>
              <w:jc w:val="both"/>
              <w:rPr>
                <w:rFonts w:eastAsia="Times New Roman" w:cs="Times New Roman"/>
                <w:noProof/>
              </w:rPr>
            </w:pPr>
            <w:r>
              <w:rPr>
                <w:noProof/>
              </w:rPr>
              <w:t>1) 12 contracte de stimulente financiare pentru ca centrele de servicii pentru întreprinderi să implementeze soluții de automatizare a proceselor de robotică și de inteligență artificială.</w:t>
            </w:r>
          </w:p>
          <w:p w14:paraId="68F2D833" w14:textId="0E5A9087" w:rsidR="00F53E3A" w:rsidRDefault="0036255F">
            <w:pPr>
              <w:pStyle w:val="P68B1DB1-Normal12"/>
              <w:spacing w:before="60" w:after="60"/>
              <w:jc w:val="both"/>
              <w:rPr>
                <w:rFonts w:eastAsia="Times New Roman" w:cs="Times New Roman"/>
                <w:noProof/>
              </w:rPr>
            </w:pPr>
            <w:r>
              <w:rPr>
                <w:noProof/>
              </w:rPr>
              <w:t>2) 182 contracte de stimulente financiare pentru întreprinderile nou-înființate și întreprinderile de tip spin-off în vederea dezvoltării de produse și soluții pentru inteligența artificială, tehnologiile blockchain sau automatizarea proceselor robotice.</w:t>
            </w:r>
          </w:p>
        </w:tc>
      </w:tr>
      <w:tr w:rsidR="00F53E3A" w14:paraId="3754E3C2" w14:textId="77777777" w:rsidTr="00CB74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943CDB1" w14:textId="77777777" w:rsidR="00F53E3A" w:rsidRDefault="0036255F">
            <w:pPr>
              <w:pStyle w:val="P68B1DB1-Normal12"/>
              <w:spacing w:before="60" w:after="60"/>
              <w:jc w:val="center"/>
              <w:rPr>
                <w:rFonts w:eastAsia="Times New Roman" w:cs="Times New Roman"/>
                <w:noProof/>
              </w:rPr>
            </w:pPr>
            <w:r>
              <w:rPr>
                <w:noProof/>
              </w:rPr>
              <w:t>82</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36E73B" w14:textId="4AD53CF3" w:rsidR="00F53E3A" w:rsidRDefault="0036255F">
            <w:pPr>
              <w:pStyle w:val="P68B1DB1-Normal12"/>
              <w:spacing w:before="60" w:after="60"/>
              <w:rPr>
                <w:rFonts w:eastAsia="Times New Roman" w:cs="Times New Roman"/>
                <w:noProof/>
              </w:rPr>
            </w:pPr>
            <w:r>
              <w:rPr>
                <w:noProof/>
              </w:rPr>
              <w:t>C.1.4 Soluții tehnologice în mediul de afaceri și în viața de zi cu zi – C.1.4.5. Centrul de excelență TIC</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A51736F" w14:textId="77777777" w:rsidR="00F53E3A" w:rsidRDefault="0036255F">
            <w:pPr>
              <w:pStyle w:val="P68B1DB1-Normal12"/>
              <w:spacing w:before="60" w:after="60"/>
              <w:jc w:val="center"/>
              <w:rPr>
                <w:rFonts w:eastAsia="Times New Roman" w:cs="Times New Roman"/>
                <w:noProof/>
              </w:rPr>
            </w:pPr>
            <w:r>
              <w:rPr>
                <w:noProof/>
              </w:rPr>
              <w:t>Țintă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1C66195" w14:textId="71900327" w:rsidR="00F53E3A" w:rsidRDefault="0036255F">
            <w:pPr>
              <w:pStyle w:val="P68B1DB1-Normal12"/>
              <w:spacing w:before="60" w:after="60"/>
              <w:rPr>
                <w:rFonts w:eastAsia="Times New Roman" w:cs="Times New Roman"/>
                <w:noProof/>
              </w:rPr>
            </w:pPr>
            <w:r>
              <w:rPr>
                <w:noProof/>
              </w:rPr>
              <w:t xml:space="preserve">Centrul de C &amp; D TIC a fost construit, iar echipamentele de C &amp; D au fost livrate </w:t>
            </w:r>
          </w:p>
        </w:tc>
        <w:tc>
          <w:tcPr>
            <w:tcW w:w="146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9A7F6C" w14:textId="06EE7229" w:rsidR="00F53E3A" w:rsidRDefault="00F53E3A">
            <w:pPr>
              <w:spacing w:before="60" w:after="60"/>
              <w:rPr>
                <w:rFonts w:ascii="Times New Roman" w:eastAsia="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C173A76" w14:textId="77777777" w:rsidR="00F53E3A" w:rsidRDefault="0036255F">
            <w:pPr>
              <w:pStyle w:val="P68B1DB1-Normal12"/>
              <w:spacing w:before="60" w:after="60"/>
              <w:jc w:val="center"/>
              <w:rPr>
                <w:rFonts w:eastAsia="Times New Roman"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22A8DBE" w14:textId="77777777" w:rsidR="00F53E3A" w:rsidRDefault="0036255F">
            <w:pPr>
              <w:pStyle w:val="P68B1DB1-Normal12"/>
              <w:spacing w:before="60" w:after="60"/>
              <w:jc w:val="center"/>
              <w:rPr>
                <w:rFonts w:eastAsia="Times New Roman"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58C99CD" w14:textId="77777777" w:rsidR="00F53E3A" w:rsidRDefault="0036255F">
            <w:pPr>
              <w:pStyle w:val="P68B1DB1-Normal12"/>
              <w:spacing w:before="60" w:after="60"/>
              <w:jc w:val="center"/>
              <w:rPr>
                <w:rFonts w:eastAsia="Times New Roman" w:cs="Times New Roman"/>
                <w:noProof/>
              </w:rPr>
            </w:pPr>
            <w:r>
              <w:rPr>
                <w:noProof/>
              </w:rPr>
              <w:t>1</w:t>
            </w: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DF516E7" w14:textId="1A14BB8A" w:rsidR="00F53E3A" w:rsidRDefault="00DB2EC5">
            <w:pPr>
              <w:pStyle w:val="P68B1DB1-Normal12"/>
              <w:spacing w:before="60" w:after="60"/>
              <w:jc w:val="center"/>
              <w:rPr>
                <w:rFonts w:eastAsia="Times New Roman" w:cs="Times New Roman"/>
                <w:noProof/>
              </w:rPr>
            </w:pPr>
            <w:r>
              <w:rPr>
                <w:noProof/>
              </w:rPr>
              <w:t>T2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7C760E" w14:textId="72A3CB6A" w:rsidR="00F53E3A" w:rsidRDefault="0036255F">
            <w:pPr>
              <w:pStyle w:val="P68B1DB1-Normal12"/>
              <w:spacing w:before="60" w:after="60"/>
              <w:jc w:val="center"/>
              <w:rPr>
                <w:rFonts w:eastAsia="Times New Roman" w:cs="Times New Roman"/>
                <w:noProof/>
              </w:rPr>
            </w:pPr>
            <w:r>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7C9E4A2" w14:textId="10BFA8FB" w:rsidR="00F53E3A" w:rsidRDefault="0036255F">
            <w:pPr>
              <w:pStyle w:val="P68B1DB1-Normal12"/>
              <w:spacing w:before="60" w:after="60"/>
              <w:jc w:val="both"/>
              <w:rPr>
                <w:rFonts w:eastAsia="Times New Roman" w:cs="Times New Roman"/>
                <w:noProof/>
              </w:rPr>
            </w:pPr>
            <w:r>
              <w:rPr>
                <w:noProof/>
              </w:rPr>
              <w:t xml:space="preserve">Centrul de C &amp; D TIC este construit și echipamentele de C &amp; D sunt livrate. </w:t>
            </w:r>
          </w:p>
        </w:tc>
      </w:tr>
      <w:tr w:rsidR="00F53E3A" w14:paraId="51EA5F19" w14:textId="77777777" w:rsidTr="00CB74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B25933" w14:textId="77777777" w:rsidR="00F53E3A" w:rsidRDefault="0036255F">
            <w:pPr>
              <w:pStyle w:val="P68B1DB1-Normal12"/>
              <w:spacing w:before="60" w:after="60"/>
              <w:jc w:val="center"/>
              <w:rPr>
                <w:rFonts w:eastAsia="Times New Roman" w:cs="Times New Roman"/>
                <w:noProof/>
              </w:rPr>
            </w:pPr>
            <w:r>
              <w:rPr>
                <w:noProof/>
              </w:rPr>
              <w:t>83</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B14DD8F" w14:textId="77777777" w:rsidR="00F53E3A" w:rsidRDefault="0036255F">
            <w:pPr>
              <w:pStyle w:val="P68B1DB1-Normal12"/>
              <w:spacing w:before="60" w:after="60"/>
              <w:rPr>
                <w:rFonts w:eastAsia="Times New Roman" w:cs="Times New Roman"/>
                <w:noProof/>
              </w:rPr>
            </w:pPr>
            <w:r>
              <w:rPr>
                <w:noProof/>
              </w:rPr>
              <w:t>C.1.5 Etapa către 5G – C.1.5.1. Foaia de parcurs privind 5G</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847D3B" w14:textId="77777777" w:rsidR="00F53E3A" w:rsidRDefault="0036255F">
            <w:pPr>
              <w:pStyle w:val="P68B1DB1-Normal12"/>
              <w:spacing w:before="60" w:after="60"/>
              <w:jc w:val="center"/>
              <w:rPr>
                <w:rFonts w:eastAsia="Times New Roman" w:cs="Times New Roman"/>
                <w:noProof/>
              </w:rPr>
            </w:pPr>
            <w:r>
              <w:rPr>
                <w:noProof/>
              </w:rPr>
              <w:t>Etapă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C528CF" w14:textId="77777777" w:rsidR="00F53E3A" w:rsidRDefault="0036255F">
            <w:pPr>
              <w:pStyle w:val="P68B1DB1-Normal12"/>
              <w:spacing w:before="60" w:after="60"/>
              <w:rPr>
                <w:rFonts w:eastAsia="Times New Roman" w:cs="Times New Roman"/>
                <w:noProof/>
              </w:rPr>
            </w:pPr>
            <w:r>
              <w:rPr>
                <w:noProof/>
              </w:rPr>
              <w:t>Frecvențe radio alocate pentru instalarea rețelelor 5G</w:t>
            </w:r>
          </w:p>
        </w:tc>
        <w:tc>
          <w:tcPr>
            <w:tcW w:w="146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1BB6803" w14:textId="77777777" w:rsidR="00F53E3A" w:rsidRDefault="0036255F">
            <w:pPr>
              <w:pStyle w:val="P68B1DB1-Normal12"/>
              <w:spacing w:before="60" w:after="60"/>
              <w:rPr>
                <w:rFonts w:eastAsia="Times New Roman" w:cs="Times New Roman"/>
                <w:noProof/>
              </w:rPr>
            </w:pPr>
            <w:r>
              <w:rPr>
                <w:noProof/>
              </w:rPr>
              <w:t>Frecvențe radio atribuite</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921AA0" w14:textId="4E64F783" w:rsidR="00F53E3A" w:rsidRDefault="00F53E3A">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914364F" w14:textId="46B2A4B1" w:rsidR="00F53E3A" w:rsidRDefault="00F53E3A">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74216E" w14:textId="049E4466" w:rsidR="00F53E3A" w:rsidRDefault="00F53E3A">
            <w:pPr>
              <w:spacing w:before="60" w:after="60"/>
              <w:jc w:val="center"/>
              <w:rPr>
                <w:rFonts w:ascii="Times New Roman" w:eastAsia="Times New Roman" w:hAnsi="Times New Roman" w:cs="Times New Roman"/>
                <w:noProof/>
                <w:sz w:val="20"/>
              </w:rPr>
            </w:pP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D3363A8" w14:textId="45290D4D" w:rsidR="00F53E3A" w:rsidRDefault="00DB2EC5">
            <w:pPr>
              <w:pStyle w:val="P68B1DB1-Normal12"/>
              <w:spacing w:before="60" w:after="60"/>
              <w:jc w:val="center"/>
              <w:rPr>
                <w:rFonts w:eastAsia="Times New Roman" w:cs="Times New Roman"/>
                <w:noProof/>
              </w:rPr>
            </w:pPr>
            <w:r>
              <w:rPr>
                <w:noProof/>
              </w:rPr>
              <w:t>T1</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83170B" w14:textId="77777777" w:rsidR="00F53E3A" w:rsidRDefault="0036255F">
            <w:pPr>
              <w:pStyle w:val="P68B1DB1-Normal12"/>
              <w:spacing w:before="60" w:after="60"/>
              <w:jc w:val="center"/>
              <w:rPr>
                <w:rFonts w:eastAsia="Times New Roman" w:cs="Times New Roman"/>
                <w:noProof/>
              </w:rPr>
            </w:pPr>
            <w:r>
              <w:rPr>
                <w:noProof/>
              </w:rPr>
              <w:t>2022</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B17FA4E" w14:textId="77777777" w:rsidR="00F53E3A" w:rsidRDefault="0036255F">
            <w:pPr>
              <w:pStyle w:val="P68B1DB1-Normal12"/>
              <w:spacing w:before="60" w:after="60"/>
              <w:jc w:val="both"/>
              <w:rPr>
                <w:rFonts w:eastAsia="Times New Roman" w:cs="Times New Roman"/>
                <w:noProof/>
              </w:rPr>
            </w:pPr>
            <w:r>
              <w:rPr>
                <w:noProof/>
              </w:rPr>
              <w:t>Licitațiile desfășurate și autorizațiile acordate pentru utilizarea frecvențelor radio (canale) în benzile de 3400-3 800 MHz și 694-790 MHz.</w:t>
            </w:r>
          </w:p>
        </w:tc>
      </w:tr>
      <w:tr w:rsidR="00F53E3A" w14:paraId="1C362986" w14:textId="77777777" w:rsidTr="00CB74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4F16FA" w14:textId="77777777" w:rsidR="00F53E3A" w:rsidRDefault="0036255F">
            <w:pPr>
              <w:pStyle w:val="P68B1DB1-Normal12"/>
              <w:spacing w:before="60" w:after="60"/>
              <w:jc w:val="center"/>
              <w:rPr>
                <w:rFonts w:eastAsia="Times New Roman" w:cs="Times New Roman"/>
                <w:noProof/>
              </w:rPr>
            </w:pPr>
            <w:r>
              <w:rPr>
                <w:noProof/>
              </w:rPr>
              <w:t>84</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03146F2" w14:textId="77777777" w:rsidR="00F53E3A" w:rsidRDefault="0036255F">
            <w:pPr>
              <w:pStyle w:val="P68B1DB1-Normal12"/>
              <w:spacing w:before="60" w:after="60"/>
              <w:rPr>
                <w:rFonts w:eastAsia="Times New Roman" w:cs="Times New Roman"/>
                <w:noProof/>
              </w:rPr>
            </w:pPr>
            <w:r>
              <w:rPr>
                <w:noProof/>
              </w:rPr>
              <w:t>C.1.5 Etapa către 5G – C.1.5.1. Foaia de parcurs privind 5G</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7B6864" w14:textId="77777777" w:rsidR="00F53E3A" w:rsidRDefault="0036255F">
            <w:pPr>
              <w:pStyle w:val="P68B1DB1-Normal12"/>
              <w:spacing w:before="60" w:after="60"/>
              <w:jc w:val="center"/>
              <w:rPr>
                <w:rFonts w:eastAsia="Times New Roman" w:cs="Times New Roman"/>
                <w:noProof/>
              </w:rPr>
            </w:pPr>
            <w:r>
              <w:rPr>
                <w:noProof/>
              </w:rPr>
              <w:t>Etapă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26079D4" w14:textId="0F846A5C" w:rsidR="00F53E3A" w:rsidRDefault="0036255F">
            <w:pPr>
              <w:pStyle w:val="P68B1DB1-Normal12"/>
              <w:spacing w:before="60" w:after="60"/>
              <w:rPr>
                <w:noProof/>
              </w:rPr>
            </w:pPr>
            <w:r>
              <w:rPr>
                <w:noProof/>
              </w:rPr>
              <w:t>Intrarea în vigoare a modificărilor aduse legilor relevante care permit instalarea mai rapidă a infrastructurii de comunicații electronice</w:t>
            </w:r>
          </w:p>
        </w:tc>
        <w:tc>
          <w:tcPr>
            <w:tcW w:w="146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A2E8804" w14:textId="77777777" w:rsidR="00F53E3A" w:rsidRDefault="0036255F">
            <w:pPr>
              <w:pStyle w:val="P68B1DB1-Normal12"/>
              <w:spacing w:before="60" w:after="60"/>
              <w:rPr>
                <w:rFonts w:eastAsia="Times New Roman" w:cs="Times New Roman"/>
                <w:noProof/>
              </w:rPr>
            </w:pPr>
            <w:r>
              <w:rPr>
                <w:noProof/>
              </w:rPr>
              <w:t>Legislația a intrat în vigoare</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624DEAB" w14:textId="3AF8396E" w:rsidR="00F53E3A" w:rsidRDefault="00F53E3A">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F7EF81A" w14:textId="28936E39" w:rsidR="00F53E3A" w:rsidRDefault="00F53E3A">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500B6D7" w14:textId="127834EF" w:rsidR="00F53E3A" w:rsidRDefault="00F53E3A">
            <w:pPr>
              <w:spacing w:before="60" w:after="60"/>
              <w:jc w:val="center"/>
              <w:rPr>
                <w:rFonts w:ascii="Times New Roman" w:eastAsia="Times New Roman" w:hAnsi="Times New Roman" w:cs="Times New Roman"/>
                <w:noProof/>
                <w:sz w:val="20"/>
              </w:rPr>
            </w:pP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733530" w14:textId="3878FCEA" w:rsidR="00F53E3A" w:rsidRDefault="00DB2EC5">
            <w:pPr>
              <w:pStyle w:val="P68B1DB1-Normal12"/>
              <w:spacing w:before="60" w:after="60"/>
              <w:jc w:val="center"/>
              <w:rPr>
                <w:rFonts w:eastAsia="Times New Roman" w:cs="Times New Roman"/>
                <w:noProof/>
              </w:rPr>
            </w:pPr>
            <w:r>
              <w:rPr>
                <w:noProof/>
              </w:rPr>
              <w:t>T2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9CC5F88" w14:textId="77777777" w:rsidR="00F53E3A" w:rsidRDefault="0036255F">
            <w:pPr>
              <w:pStyle w:val="P68B1DB1-Normal12"/>
              <w:spacing w:before="60" w:after="60"/>
              <w:jc w:val="center"/>
              <w:rPr>
                <w:rFonts w:eastAsia="Times New Roman" w:cs="Times New Roman"/>
                <w:noProof/>
              </w:rPr>
            </w:pPr>
            <w:r>
              <w:rPr>
                <w:noProof/>
              </w:rPr>
              <w:t>2022</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079D03A" w14:textId="77777777" w:rsidR="00F53E3A" w:rsidRDefault="0036255F">
            <w:pPr>
              <w:pStyle w:val="P68B1DB1-Normal12"/>
              <w:spacing w:before="60" w:after="60"/>
              <w:jc w:val="both"/>
              <w:rPr>
                <w:rFonts w:eastAsia="Times New Roman" w:cs="Times New Roman"/>
                <w:noProof/>
              </w:rPr>
            </w:pPr>
            <w:r>
              <w:rPr>
                <w:noProof/>
              </w:rPr>
              <w:t>Intrarea în vigoare a modificărilor privind cerințele reglementărilor tehnice de construcție și instalarea infrastructurii de comunicații electronice pentru a promova disponibilitatea serviciilor publice de comunicații mobile în toate spațiile din clădirile publice și pentru a facilita instalarea rețelelor publice de comunicații pe benzile rutiere, piețele, podurile, viaductele, tunelurile naționale și municipale.</w:t>
            </w:r>
          </w:p>
        </w:tc>
      </w:tr>
      <w:tr w:rsidR="00F53E3A" w14:paraId="773EE7A6" w14:textId="77777777" w:rsidTr="00CB74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4E3B519" w14:textId="77777777" w:rsidR="00F53E3A" w:rsidRDefault="0036255F">
            <w:pPr>
              <w:pStyle w:val="P68B1DB1-Normal12"/>
              <w:spacing w:before="60" w:after="60"/>
              <w:jc w:val="center"/>
              <w:rPr>
                <w:rFonts w:eastAsia="Times New Roman" w:cs="Times New Roman"/>
                <w:noProof/>
              </w:rPr>
            </w:pPr>
            <w:r>
              <w:rPr>
                <w:noProof/>
              </w:rPr>
              <w:t>85</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A75B7F" w14:textId="77777777" w:rsidR="00F53E3A" w:rsidRDefault="0036255F">
            <w:pPr>
              <w:pStyle w:val="P68B1DB1-Normal12"/>
              <w:spacing w:before="60" w:after="60"/>
              <w:rPr>
                <w:rFonts w:eastAsia="Times New Roman" w:cs="Times New Roman"/>
                <w:noProof/>
              </w:rPr>
            </w:pPr>
            <w:r>
              <w:rPr>
                <w:noProof/>
              </w:rPr>
              <w:t>C.1.5 Etapa către 5G – C.1.5.1. Foaia de parcurs privind 5G</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6DE1B1" w14:textId="77777777" w:rsidR="00F53E3A" w:rsidRDefault="0036255F">
            <w:pPr>
              <w:pStyle w:val="P68B1DB1-Normal12"/>
              <w:spacing w:before="60" w:after="60"/>
              <w:jc w:val="center"/>
              <w:rPr>
                <w:rFonts w:eastAsia="Times New Roman" w:cs="Times New Roman"/>
                <w:noProof/>
              </w:rPr>
            </w:pPr>
            <w:r>
              <w:rPr>
                <w:noProof/>
              </w:rPr>
              <w:t>Țintă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37812E0" w14:textId="23C2683F" w:rsidR="00F53E3A" w:rsidRDefault="0036255F">
            <w:pPr>
              <w:pStyle w:val="P68B1DB1-Normal12"/>
              <w:spacing w:before="60" w:after="60"/>
              <w:rPr>
                <w:rFonts w:eastAsia="Times New Roman" w:cs="Times New Roman"/>
                <w:noProof/>
              </w:rPr>
            </w:pPr>
            <w:r>
              <w:rPr>
                <w:noProof/>
              </w:rPr>
              <w:t>Servicii 5G în zonele urbane și alte drumuri principale și linii de cale ferată de importanță națională, aeroporturi și porturi maritime</w:t>
            </w:r>
          </w:p>
        </w:tc>
        <w:tc>
          <w:tcPr>
            <w:tcW w:w="146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078F178" w14:textId="628E2D1F" w:rsidR="00F53E3A" w:rsidRDefault="00F53E3A">
            <w:pPr>
              <w:spacing w:before="60" w:after="60"/>
              <w:rPr>
                <w:rFonts w:ascii="Times New Roman" w:eastAsia="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D4571E" w14:textId="5FBFF7B1" w:rsidR="00F53E3A" w:rsidRDefault="0036255F">
            <w:pPr>
              <w:pStyle w:val="P68B1DB1-Normal12"/>
              <w:spacing w:before="60" w:after="60"/>
              <w:jc w:val="center"/>
              <w:rPr>
                <w:rFonts w:eastAsia="Times New Roman" w:cs="Times New Roman"/>
                <w:noProof/>
              </w:rPr>
            </w:pPr>
            <w:r>
              <w:rPr>
                <w:noProof/>
              </w:rPr>
              <w:t>%</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F1F0186" w14:textId="77777777" w:rsidR="00F53E3A" w:rsidRDefault="0036255F">
            <w:pPr>
              <w:pStyle w:val="P68B1DB1-Normal12"/>
              <w:spacing w:before="60" w:after="60"/>
              <w:jc w:val="center"/>
              <w:rPr>
                <w:rFonts w:eastAsia="Times New Roman"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38A5389" w14:textId="77777777" w:rsidR="00F53E3A" w:rsidRDefault="0036255F">
            <w:pPr>
              <w:pStyle w:val="P68B1DB1-Normal12"/>
              <w:spacing w:before="60" w:after="60"/>
              <w:jc w:val="center"/>
              <w:rPr>
                <w:rFonts w:eastAsia="Times New Roman" w:cs="Times New Roman"/>
                <w:noProof/>
              </w:rPr>
            </w:pPr>
            <w:r>
              <w:rPr>
                <w:noProof/>
              </w:rPr>
              <w:t>95</w:t>
            </w: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CB39127" w14:textId="0876E8C1" w:rsidR="00F53E3A" w:rsidRDefault="00DB2EC5">
            <w:pPr>
              <w:pStyle w:val="P68B1DB1-Normal12"/>
              <w:spacing w:before="60" w:after="60"/>
              <w:jc w:val="center"/>
              <w:rPr>
                <w:rFonts w:eastAsia="Times New Roman" w:cs="Times New Roman"/>
                <w:noProof/>
              </w:rPr>
            </w:pPr>
            <w:r>
              <w:rPr>
                <w:noProof/>
              </w:rPr>
              <w:t>T4</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FD44BAD" w14:textId="77777777" w:rsidR="00F53E3A" w:rsidRDefault="0036255F">
            <w:pPr>
              <w:pStyle w:val="P68B1DB1-Normal12"/>
              <w:spacing w:before="60" w:after="60"/>
              <w:jc w:val="center"/>
              <w:rPr>
                <w:rFonts w:eastAsia="Times New Roman" w:cs="Times New Roman"/>
                <w:noProof/>
              </w:rPr>
            </w:pPr>
            <w:r>
              <w:rPr>
                <w:noProof/>
              </w:rPr>
              <w:t>2025</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6802C3" w14:textId="712DF7D2" w:rsidR="00F53E3A" w:rsidRDefault="0036255F">
            <w:pPr>
              <w:pStyle w:val="P68B1DB1-Normal12"/>
              <w:spacing w:before="60" w:after="60"/>
              <w:jc w:val="both"/>
              <w:rPr>
                <w:rFonts w:eastAsia="Times New Roman" w:cs="Times New Roman"/>
                <w:noProof/>
              </w:rPr>
            </w:pPr>
            <w:r>
              <w:rPr>
                <w:noProof/>
              </w:rPr>
              <w:t>Serviciile 5G sunt disponibile pe piață în medie în 95 % din teritoriul zonelor urbane, al coridoarelor internaționale de transport terestru (Via Baltica, Rail Baltica), al drumurilor principale și al liniilor de cale ferată de importanță națională, al aeroporturilor și al porturilor maritime.</w:t>
            </w:r>
          </w:p>
        </w:tc>
      </w:tr>
      <w:tr w:rsidR="00F53E3A" w14:paraId="2000031F" w14:textId="77777777" w:rsidTr="00CB74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F3A505" w14:textId="77777777" w:rsidR="00F53E3A" w:rsidRDefault="0036255F">
            <w:pPr>
              <w:pStyle w:val="P68B1DB1-Normal12"/>
              <w:spacing w:before="60" w:after="60"/>
              <w:jc w:val="center"/>
              <w:rPr>
                <w:rFonts w:eastAsia="Times New Roman" w:cs="Times New Roman"/>
                <w:noProof/>
              </w:rPr>
            </w:pPr>
            <w:r>
              <w:rPr>
                <w:noProof/>
              </w:rPr>
              <w:t>88</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90E6830" w14:textId="0B892928" w:rsidR="00F53E3A" w:rsidRDefault="0036255F">
            <w:pPr>
              <w:pStyle w:val="P68B1DB1-Normal12"/>
              <w:spacing w:before="60" w:after="60"/>
              <w:rPr>
                <w:rFonts w:eastAsia="Times New Roman" w:cs="Times New Roman"/>
                <w:noProof/>
              </w:rPr>
            </w:pPr>
            <w:r>
              <w:rPr>
                <w:noProof/>
              </w:rPr>
              <w:t>C.1.5 Etapa către 5G – C.1.5.2. Continuarea construcției de rețele de conexiune de mare viteză</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BFDC31" w14:textId="77777777" w:rsidR="00F53E3A" w:rsidRDefault="0036255F">
            <w:pPr>
              <w:pStyle w:val="P68B1DB1-Normal12"/>
              <w:spacing w:before="60" w:after="60"/>
              <w:jc w:val="center"/>
              <w:rPr>
                <w:rFonts w:eastAsia="Times New Roman" w:cs="Times New Roman"/>
                <w:noProof/>
              </w:rPr>
            </w:pPr>
            <w:r>
              <w:rPr>
                <w:noProof/>
              </w:rPr>
              <w:t>Țintă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6F2D14" w14:textId="4A55EEEF" w:rsidR="00F53E3A" w:rsidRDefault="0036255F">
            <w:pPr>
              <w:pStyle w:val="P68B1DB1-Normal12"/>
              <w:spacing w:before="60" w:after="60"/>
              <w:rPr>
                <w:rFonts w:eastAsia="Times New Roman" w:cs="Times New Roman"/>
                <w:noProof/>
              </w:rPr>
            </w:pPr>
            <w:r>
              <w:rPr>
                <w:noProof/>
              </w:rPr>
              <w:t>Conexiunea de mare viteză cu factorii socioeconomici</w:t>
            </w:r>
          </w:p>
        </w:tc>
        <w:tc>
          <w:tcPr>
            <w:tcW w:w="146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21139C" w14:textId="77777777" w:rsidR="00F53E3A" w:rsidRDefault="00F53E3A">
            <w:pPr>
              <w:spacing w:before="60" w:after="60"/>
              <w:rPr>
                <w:rFonts w:ascii="Times New Roman" w:eastAsia="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EFA1C1E" w14:textId="77777777" w:rsidR="00F53E3A" w:rsidRDefault="0036255F">
            <w:pPr>
              <w:pStyle w:val="P68B1DB1-Normal12"/>
              <w:spacing w:before="60" w:after="60"/>
              <w:jc w:val="center"/>
              <w:rPr>
                <w:rFonts w:eastAsia="Times New Roman"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C157992" w14:textId="77777777" w:rsidR="00F53E3A" w:rsidRDefault="0036255F">
            <w:pPr>
              <w:pStyle w:val="P68B1DB1-Normal12"/>
              <w:spacing w:before="60" w:after="60"/>
              <w:jc w:val="center"/>
              <w:rPr>
                <w:rFonts w:eastAsia="Times New Roman"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EE5CB9A" w14:textId="6D16ED1E" w:rsidR="00F53E3A" w:rsidRDefault="0036255F">
            <w:pPr>
              <w:pStyle w:val="P68B1DB1-Normal12"/>
              <w:spacing w:before="60" w:after="60"/>
              <w:jc w:val="center"/>
              <w:rPr>
                <w:rFonts w:eastAsia="Times New Roman" w:cs="Times New Roman"/>
                <w:noProof/>
              </w:rPr>
            </w:pPr>
            <w:r>
              <w:rPr>
                <w:noProof/>
              </w:rPr>
              <w:t>5 000</w:t>
            </w: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0C0ACA3" w14:textId="4258D72A" w:rsidR="00F53E3A" w:rsidRDefault="00DB2EC5">
            <w:pPr>
              <w:pStyle w:val="P68B1DB1-Normal12"/>
              <w:spacing w:before="60" w:after="60"/>
              <w:jc w:val="center"/>
              <w:rPr>
                <w:rFonts w:eastAsia="Times New Roman" w:cs="Times New Roman"/>
                <w:noProof/>
              </w:rPr>
            </w:pPr>
            <w:r>
              <w:rPr>
                <w:noProof/>
              </w:rPr>
              <w:t>T2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AABACF3" w14:textId="21C2AE8E" w:rsidR="00F53E3A" w:rsidRDefault="0036255F">
            <w:pPr>
              <w:pStyle w:val="P68B1DB1-Normal12"/>
              <w:spacing w:before="60" w:after="60"/>
              <w:jc w:val="center"/>
              <w:rPr>
                <w:rFonts w:eastAsia="Times New Roman" w:cs="Times New Roman"/>
                <w:noProof/>
              </w:rPr>
            </w:pPr>
            <w:r>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716C7E8" w14:textId="6C8449DC" w:rsidR="00F53E3A" w:rsidRDefault="0036255F">
            <w:pPr>
              <w:pStyle w:val="P68B1DB1-Normal12"/>
              <w:spacing w:before="60" w:after="60"/>
              <w:jc w:val="both"/>
              <w:rPr>
                <w:rFonts w:eastAsia="Times New Roman" w:cs="Times New Roman"/>
                <w:noProof/>
              </w:rPr>
            </w:pPr>
            <w:r>
              <w:rPr>
                <w:noProof/>
              </w:rPr>
              <w:t xml:space="preserve">Certificate de finalizare a lucrărilor de instalare a cablurilor din fibră optică de conexiune de mare viteză pentru 5 000 de factori socioeconomici din zonele rurale. </w:t>
            </w:r>
          </w:p>
        </w:tc>
      </w:tr>
      <w:tr w:rsidR="00F53E3A" w14:paraId="5E3ED121" w14:textId="77777777" w:rsidTr="00CB74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B848F0F" w14:textId="77777777" w:rsidR="00F53E3A" w:rsidRDefault="0036255F">
            <w:pPr>
              <w:pStyle w:val="P68B1DB1-Normal12"/>
              <w:spacing w:before="60" w:after="60"/>
              <w:jc w:val="center"/>
              <w:rPr>
                <w:rFonts w:eastAsia="Times New Roman" w:cs="Times New Roman"/>
                <w:noProof/>
              </w:rPr>
            </w:pPr>
            <w:r>
              <w:rPr>
                <w:noProof/>
              </w:rPr>
              <w:t>89</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710146" w14:textId="77777777" w:rsidR="00F53E3A" w:rsidRDefault="0036255F">
            <w:pPr>
              <w:pStyle w:val="P68B1DB1-Normal12"/>
              <w:spacing w:before="60" w:after="60"/>
              <w:rPr>
                <w:rFonts w:eastAsia="Times New Roman" w:cs="Times New Roman"/>
                <w:noProof/>
              </w:rPr>
            </w:pPr>
            <w:r>
              <w:rPr>
                <w:noProof/>
              </w:rPr>
              <w:t>C.1.5 Etapa către 5G – C.1.5.3. Inovarea în domeniul mobilității</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54AB790" w14:textId="77777777" w:rsidR="00F53E3A" w:rsidRDefault="0036255F">
            <w:pPr>
              <w:pStyle w:val="P68B1DB1-Normal12"/>
              <w:spacing w:before="60" w:after="60"/>
              <w:jc w:val="center"/>
              <w:rPr>
                <w:rFonts w:eastAsia="Times New Roman" w:cs="Times New Roman"/>
                <w:noProof/>
              </w:rPr>
            </w:pPr>
            <w:r>
              <w:rPr>
                <w:noProof/>
              </w:rPr>
              <w:t>Etapă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71070C" w14:textId="77777777" w:rsidR="00F53E3A" w:rsidRDefault="0036255F">
            <w:pPr>
              <w:pStyle w:val="P68B1DB1-Normal12"/>
              <w:spacing w:before="60" w:after="60"/>
              <w:rPr>
                <w:rFonts w:eastAsia="Times New Roman" w:cs="Times New Roman"/>
                <w:noProof/>
              </w:rPr>
            </w:pPr>
            <w:r>
              <w:rPr>
                <w:noProof/>
              </w:rPr>
              <w:t>Desemnează o autoritate competentă pentru administrarea măsurilor de inovare în domeniul transporturilor</w:t>
            </w:r>
          </w:p>
        </w:tc>
        <w:tc>
          <w:tcPr>
            <w:tcW w:w="146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283B63" w14:textId="3E388851" w:rsidR="00F53E3A" w:rsidRDefault="00F53E3A">
            <w:pPr>
              <w:spacing w:before="60" w:after="60"/>
              <w:rPr>
                <w:rFonts w:ascii="Times New Roman" w:eastAsia="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F7B319C" w14:textId="7FD15E74" w:rsidR="00F53E3A" w:rsidRDefault="00F53E3A">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42B160D" w14:textId="667A6068" w:rsidR="00F53E3A" w:rsidRDefault="00F53E3A">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3F9A52C" w14:textId="30B9E45C" w:rsidR="00F53E3A" w:rsidRDefault="00F53E3A">
            <w:pPr>
              <w:spacing w:before="60" w:after="60"/>
              <w:jc w:val="center"/>
              <w:rPr>
                <w:rFonts w:ascii="Times New Roman" w:eastAsia="Times New Roman" w:hAnsi="Times New Roman" w:cs="Times New Roman"/>
                <w:noProof/>
                <w:sz w:val="20"/>
              </w:rPr>
            </w:pP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B426885" w14:textId="5EB71F7F" w:rsidR="00F53E3A" w:rsidRDefault="00DB2EC5">
            <w:pPr>
              <w:pStyle w:val="P68B1DB1-Normal12"/>
              <w:spacing w:before="60" w:after="60"/>
              <w:jc w:val="center"/>
              <w:rPr>
                <w:rFonts w:eastAsia="Times New Roman" w:cs="Times New Roman"/>
                <w:noProof/>
              </w:rPr>
            </w:pPr>
            <w:r>
              <w:rPr>
                <w:noProof/>
              </w:rPr>
              <w:t>T2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DB0807F" w14:textId="77777777" w:rsidR="00F53E3A" w:rsidRDefault="0036255F">
            <w:pPr>
              <w:pStyle w:val="P68B1DB1-Normal12"/>
              <w:spacing w:before="60" w:after="60"/>
              <w:jc w:val="center"/>
              <w:rPr>
                <w:rFonts w:eastAsia="Times New Roman" w:cs="Times New Roman"/>
                <w:noProof/>
              </w:rPr>
            </w:pPr>
            <w:r>
              <w:rPr>
                <w:noProof/>
              </w:rPr>
              <w:t>2022</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3E5B3B" w14:textId="77777777" w:rsidR="00F53E3A" w:rsidRDefault="0036255F">
            <w:pPr>
              <w:pStyle w:val="P68B1DB1-Normal12"/>
              <w:spacing w:before="60" w:after="60"/>
              <w:jc w:val="both"/>
              <w:rPr>
                <w:rFonts w:eastAsia="Times New Roman" w:cs="Times New Roman"/>
                <w:noProof/>
              </w:rPr>
            </w:pPr>
            <w:r>
              <w:rPr>
                <w:noProof/>
              </w:rPr>
              <w:t>Desemnarea unei autorități competente care să elaboreze programul activităților care urmează să fie finanțate, precum și condițiile și criteriile de selecție pentru procedura competitivă pentru inovare în domeniul mobilității.</w:t>
            </w:r>
          </w:p>
        </w:tc>
      </w:tr>
      <w:tr w:rsidR="00F53E3A" w14:paraId="7B205E5B" w14:textId="77777777" w:rsidTr="00CB74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AE9D201" w14:textId="77777777" w:rsidR="00F53E3A" w:rsidRDefault="0036255F">
            <w:pPr>
              <w:pStyle w:val="P68B1DB1-Normal12"/>
              <w:spacing w:before="60" w:after="60"/>
              <w:jc w:val="center"/>
              <w:rPr>
                <w:rFonts w:eastAsia="Times New Roman" w:cs="Times New Roman"/>
                <w:noProof/>
              </w:rPr>
            </w:pPr>
            <w:r>
              <w:rPr>
                <w:noProof/>
              </w:rPr>
              <w:t>90</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2A433B" w14:textId="77777777" w:rsidR="00F53E3A" w:rsidRDefault="0036255F">
            <w:pPr>
              <w:pStyle w:val="P68B1DB1-Normal12"/>
              <w:spacing w:before="60" w:after="60"/>
              <w:rPr>
                <w:rFonts w:eastAsia="Times New Roman" w:cs="Times New Roman"/>
                <w:noProof/>
              </w:rPr>
            </w:pPr>
            <w:r>
              <w:rPr>
                <w:noProof/>
              </w:rPr>
              <w:t>C.1.5 Etapa către 5G – C.1.5.3. Inovarea în domeniul mobilității</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622A97" w14:textId="77777777" w:rsidR="00F53E3A" w:rsidRDefault="0036255F">
            <w:pPr>
              <w:pStyle w:val="P68B1DB1-Normal12"/>
              <w:spacing w:before="60" w:after="60"/>
              <w:jc w:val="center"/>
              <w:rPr>
                <w:rFonts w:eastAsia="Times New Roman" w:cs="Times New Roman"/>
                <w:noProof/>
              </w:rPr>
            </w:pPr>
            <w:r>
              <w:rPr>
                <w:noProof/>
              </w:rPr>
              <w:t>Țintă</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008BBDE" w14:textId="61ACB824" w:rsidR="00F53E3A" w:rsidRDefault="0036255F">
            <w:pPr>
              <w:pStyle w:val="P68B1DB1-Normal13"/>
              <w:spacing w:before="60" w:after="60"/>
              <w:rPr>
                <w:noProof/>
              </w:rPr>
            </w:pPr>
            <w:r>
              <w:rPr>
                <w:noProof/>
              </w:rPr>
              <w:t>Furnizarea de soluții digitale experimentale pentru inovarea în domeniul mobilității</w:t>
            </w:r>
          </w:p>
        </w:tc>
        <w:tc>
          <w:tcPr>
            <w:tcW w:w="146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1C2BC2" w14:textId="77777777" w:rsidR="00F53E3A" w:rsidRDefault="00F53E3A">
            <w:pPr>
              <w:spacing w:before="60" w:after="60"/>
              <w:rPr>
                <w:rFonts w:ascii="Times New Roman" w:eastAsia="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5C791D6" w14:textId="77777777" w:rsidR="00F53E3A" w:rsidRDefault="0036255F">
            <w:pPr>
              <w:pStyle w:val="P68B1DB1-Normal12"/>
              <w:spacing w:before="60" w:after="60"/>
              <w:jc w:val="center"/>
              <w:rPr>
                <w:rFonts w:eastAsia="Times New Roman"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43288D9" w14:textId="77777777" w:rsidR="00F53E3A" w:rsidRDefault="0036255F">
            <w:pPr>
              <w:pStyle w:val="P68B1DB1-Normal12"/>
              <w:spacing w:before="60" w:after="60"/>
              <w:jc w:val="center"/>
              <w:rPr>
                <w:rFonts w:eastAsia="Times New Roman"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B8B8F5" w14:textId="1505F74E" w:rsidR="00F53E3A" w:rsidRDefault="0036255F">
            <w:pPr>
              <w:pStyle w:val="P68B1DB1-Normal12"/>
              <w:spacing w:before="60" w:after="60"/>
              <w:jc w:val="center"/>
              <w:rPr>
                <w:rFonts w:eastAsia="Times New Roman" w:cs="Times New Roman"/>
                <w:noProof/>
              </w:rPr>
            </w:pPr>
            <w:r>
              <w:rPr>
                <w:noProof/>
              </w:rPr>
              <w:t>7</w:t>
            </w:r>
          </w:p>
        </w:tc>
        <w:tc>
          <w:tcPr>
            <w:tcW w:w="113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69C7DD4" w14:textId="63304CF9" w:rsidR="00F53E3A" w:rsidRDefault="00DB2EC5">
            <w:pPr>
              <w:pStyle w:val="P68B1DB1-Normal12"/>
              <w:spacing w:before="60" w:after="60"/>
              <w:jc w:val="center"/>
              <w:rPr>
                <w:rFonts w:eastAsia="Times New Roman" w:cs="Times New Roman"/>
                <w:noProof/>
              </w:rPr>
            </w:pPr>
            <w:r>
              <w:rPr>
                <w:noProof/>
              </w:rPr>
              <w:t>T2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C93D3EE" w14:textId="01DDD8FA" w:rsidR="00F53E3A" w:rsidRDefault="0036255F">
            <w:pPr>
              <w:pStyle w:val="P68B1DB1-Normal12"/>
              <w:spacing w:before="60" w:after="60"/>
              <w:jc w:val="center"/>
              <w:rPr>
                <w:rFonts w:eastAsia="Times New Roman" w:cs="Times New Roman"/>
                <w:noProof/>
              </w:rPr>
            </w:pPr>
            <w:r>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A3C098" w14:textId="6FA91194" w:rsidR="00F53E3A" w:rsidRDefault="0036255F">
            <w:pPr>
              <w:pStyle w:val="P68B1DB1-Normal12"/>
              <w:spacing w:before="60" w:after="60"/>
              <w:jc w:val="both"/>
              <w:rPr>
                <w:rFonts w:eastAsia="Times New Roman" w:cs="Times New Roman"/>
                <w:noProof/>
              </w:rPr>
            </w:pPr>
            <w:r>
              <w:rPr>
                <w:noProof/>
              </w:rPr>
              <w:t xml:space="preserve">Au fost dezvoltate 7 de soluții digitale experimentale pentru mobilitate, astfel cum s-a confirmat în rapoartele finale și în listele de verificare ale inspecțiilor efectuate de CPMA. </w:t>
            </w:r>
          </w:p>
        </w:tc>
      </w:tr>
    </w:tbl>
    <w:p w14:paraId="670E9415" w14:textId="77777777" w:rsidR="00F53E3A" w:rsidRDefault="00F53E3A">
      <w:pPr>
        <w:spacing w:before="120" w:after="120"/>
        <w:jc w:val="both"/>
        <w:rPr>
          <w:rFonts w:ascii="Times New Roman" w:eastAsia="Times New Roman" w:hAnsi="Times New Roman" w:cs="Times New Roman"/>
          <w:b/>
          <w:noProof/>
          <w:sz w:val="24"/>
          <w:u w:val="single"/>
        </w:rPr>
        <w:sectPr w:rsidR="00F53E3A" w:rsidSect="0074650A">
          <w:headerReference w:type="even" r:id="rId60"/>
          <w:headerReference w:type="default" r:id="rId61"/>
          <w:footerReference w:type="even" r:id="rId62"/>
          <w:footerReference w:type="default" r:id="rId63"/>
          <w:headerReference w:type="first" r:id="rId64"/>
          <w:footerReference w:type="first" r:id="rId65"/>
          <w:pgSz w:w="16839" w:h="11907" w:orient="landscape"/>
          <w:pgMar w:top="1134" w:right="1134" w:bottom="1134" w:left="1134" w:header="567" w:footer="567" w:gutter="0"/>
          <w:cols w:space="720"/>
          <w:docGrid w:linePitch="360"/>
        </w:sectPr>
      </w:pPr>
    </w:p>
    <w:p w14:paraId="464A5156" w14:textId="3374ADC8" w:rsidR="00F53E3A" w:rsidRDefault="0036255F">
      <w:pPr>
        <w:pStyle w:val="ManualHeading1"/>
        <w:tabs>
          <w:tab w:val="clear" w:pos="850"/>
        </w:tabs>
        <w:spacing w:before="0" w:after="200"/>
        <w:ind w:left="0" w:firstLine="0"/>
        <w:rPr>
          <w:noProof/>
        </w:rPr>
      </w:pPr>
      <w:r>
        <w:rPr>
          <w:noProof/>
        </w:rPr>
        <w:t>D. COMPONENTA 4: Educație de calitate și accesibilă pentru întregul ciclu de viață</w:t>
      </w:r>
      <w:bookmarkStart w:id="8" w:name="_Ref68858967"/>
      <w:bookmarkStart w:id="9" w:name="_Ref68858935"/>
      <w:bookmarkStart w:id="10" w:name="_Ref68858903"/>
      <w:bookmarkStart w:id="11" w:name="_Ref68858607"/>
      <w:bookmarkEnd w:id="8"/>
      <w:bookmarkEnd w:id="9"/>
      <w:bookmarkEnd w:id="10"/>
      <w:bookmarkEnd w:id="11"/>
    </w:p>
    <w:p w14:paraId="2C1F1F71" w14:textId="499DE92F" w:rsidR="00F53E3A" w:rsidRDefault="0036255F">
      <w:pPr>
        <w:pStyle w:val="P68B1DB1-Normal26"/>
        <w:jc w:val="both"/>
        <w:rPr>
          <w:rFonts w:eastAsiaTheme="minorEastAsia" w:cs="Times New Roman"/>
          <w:noProof/>
          <w:sz w:val="24"/>
        </w:rPr>
      </w:pPr>
      <w:r>
        <w:rPr>
          <w:noProof/>
          <w:sz w:val="24"/>
        </w:rPr>
        <w:t>Componenta planului lituanian de redresare și reziliență în domeniul educației urmărește să îmbunătățească calitatea și eficiența tuturor nivelurilor de educație și formare, inclusiv a învățării în rândul adulților, precum și să promoveze dezvoltarea competențelor. Reformele și investițiile vizează: 1. modernizarea învățământului general, 2. îmbunătățirea competențelor și a recunoașterii calificărilor pentru adulți, 3. instituirea unui sistem de orientare profesională și 4. îmbunătățirea educației și formării profesionale (EFP), inclusiv prin învățarea la locul de muncă.</w:t>
      </w:r>
      <w:r>
        <w:rPr>
          <w:noProof/>
        </w:rPr>
        <w:t xml:space="preserve"> Reformele </w:t>
      </w:r>
      <w:r>
        <w:rPr>
          <w:noProof/>
          <w:sz w:val="24"/>
        </w:rPr>
        <w:t xml:space="preserve">se axează pe îmbunătățirea accesului și a calității educației preșcolare și școlare, pe consolidarea competențelor cadrelor didactice și ale directorilor unităților de învățământ, pe actualizarea conținutului educațional și pe instituirea unui sistem de orientare profesională. Investițiile vizează îmbunătățirea și consolidarea infrastructurii școlare, îmbunătățirea ecosistemului educațional STIAM, instituirea unei platforme de tip ghișeu unic pentru învățarea pe tot parcursul vieții, sprijinirea uceniciilor și finanțarea conturilor personale de învățare, sprijinirea specialiștilor în orientarea profesională, a uceniciilor și a participării la programe EFP și la programe de mobilitate. </w:t>
      </w:r>
    </w:p>
    <w:p w14:paraId="41060BAA" w14:textId="77777777" w:rsidR="00F53E3A" w:rsidRDefault="0036255F">
      <w:pPr>
        <w:pStyle w:val="P68B1DB1-Normal4"/>
        <w:jc w:val="both"/>
        <w:rPr>
          <w:rFonts w:eastAsia="Times New Roman" w:cs="Times New Roman"/>
          <w:noProof/>
        </w:rPr>
      </w:pPr>
      <w:r>
        <w:rPr>
          <w:noProof/>
        </w:rPr>
        <w:t>Măsurile incluse în componenta „sprijin” abordează recomandările specifice fiecărei țări privind îmbunătățirea calității și a eficienței la toate nivelurile de educație și formare, inclusiv învățarea în rândul adulților și promovarea competențelor (CSR2 2019, CSR2 2020).</w:t>
      </w:r>
    </w:p>
    <w:p w14:paraId="1FFA5BE4" w14:textId="77777777" w:rsidR="00F53E3A" w:rsidRDefault="0036255F">
      <w:pPr>
        <w:pStyle w:val="P68B1DB1-Normal4"/>
        <w:jc w:val="both"/>
        <w:rPr>
          <w:rFonts w:eastAsiaTheme="minorEastAsia" w:cs="Times New Roman"/>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62A3F937" w14:textId="1675DC65" w:rsidR="00F53E3A" w:rsidRDefault="0036255F">
      <w:pPr>
        <w:pStyle w:val="P68B1DB1-Text15"/>
        <w:keepNext/>
        <w:keepLines/>
        <w:spacing w:before="0" w:after="200" w:line="276" w:lineRule="auto"/>
        <w:ind w:left="0"/>
        <w:outlineLvl w:val="1"/>
        <w:rPr>
          <w:noProof/>
        </w:rPr>
      </w:pPr>
      <w:r>
        <w:rPr>
          <w:noProof/>
        </w:rPr>
        <w:t>D.1. Descrierea reformelor și a investițiilor pentru sprijinul financiar nerambursabil</w:t>
      </w:r>
    </w:p>
    <w:p w14:paraId="479CA672" w14:textId="77777777" w:rsidR="00F53E3A" w:rsidRDefault="0036255F">
      <w:pPr>
        <w:pStyle w:val="P68B1DB1-Text127"/>
        <w:keepNext/>
        <w:keepLines/>
        <w:spacing w:before="0" w:after="200" w:line="276" w:lineRule="auto"/>
        <w:ind w:left="0"/>
        <w:rPr>
          <w:noProof/>
        </w:rPr>
      </w:pPr>
      <w:r>
        <w:rPr>
          <w:noProof/>
        </w:rPr>
        <w:t xml:space="preserve">D.1.1 Reforma 1 „Învățământul general modern – contextul competențelor competitive” </w:t>
      </w:r>
    </w:p>
    <w:p w14:paraId="5FAA39BB" w14:textId="4F2C1FC3" w:rsidR="00F53E3A" w:rsidRDefault="0036255F">
      <w:pPr>
        <w:pStyle w:val="Text1"/>
        <w:spacing w:before="0" w:after="200" w:line="276" w:lineRule="auto"/>
        <w:ind w:left="0"/>
        <w:rPr>
          <w:rFonts w:eastAsiaTheme="minorEastAsia"/>
          <w:noProof/>
        </w:rPr>
      </w:pPr>
      <w:r>
        <w:rPr>
          <w:noProof/>
        </w:rPr>
        <w:t xml:space="preserve">Obiectivul reformei este de a sprijini educația generală pentru a reduce decalajele în materie de rezultate în rândul elevilor. Reforma constă în șapte submăsuri: 1. Îmbunătățirea calității educației 2. Reorganizarea rețelei școlare 3. Programul pentru școli al mileniului, 4. Formarea personalului pedagogic 5. </w:t>
      </w:r>
      <w:r>
        <w:rPr>
          <w:rFonts w:eastAsiaTheme="minorEastAsia"/>
          <w:noProof/>
        </w:rPr>
        <w:t xml:space="preserve">Sprijinirea achiziționării de echipamente pentru centrele STIAM și laboratoarele mobile </w:t>
      </w:r>
      <w:r>
        <w:rPr>
          <w:noProof/>
        </w:rPr>
        <w:t>6. Transformarea educației digitale 7. Îmbunătățirea educației și îngrijirii copiilor preșcolari.</w:t>
      </w:r>
    </w:p>
    <w:p w14:paraId="20759E5E" w14:textId="77777777" w:rsidR="00F53E3A" w:rsidRDefault="0036255F">
      <w:pPr>
        <w:pStyle w:val="P68B1DB1-Normal6"/>
        <w:keepNext/>
        <w:keepLines/>
        <w:jc w:val="both"/>
        <w:rPr>
          <w:rFonts w:eastAsia="Times New Roman" w:cs="Times New Roman"/>
          <w:noProof/>
          <w:szCs w:val="24"/>
        </w:rPr>
      </w:pPr>
      <w:r>
        <w:rPr>
          <w:noProof/>
        </w:rPr>
        <w:t xml:space="preserve">D.1.1.1 Submăsura 1: Îmbunătățirea calității educației </w:t>
      </w:r>
    </w:p>
    <w:p w14:paraId="22A506F9" w14:textId="42E08A02" w:rsidR="00F53E3A" w:rsidRDefault="0036255F">
      <w:pPr>
        <w:pStyle w:val="P68B1DB1-Normal4"/>
        <w:jc w:val="both"/>
        <w:rPr>
          <w:rFonts w:eastAsia="Times New Roman" w:cs="Times New Roman"/>
          <w:noProof/>
          <w:szCs w:val="24"/>
        </w:rPr>
      </w:pPr>
      <w:r>
        <w:rPr>
          <w:noProof/>
        </w:rPr>
        <w:t>Obiectivul submăsurii este de a îmbunătăți calitatea educației. Conținutul programelor-cadru pentru învățământul preșcolar, primar, secundar inferior și secundar se actualizează până la 30 septembrie 2022 pentru a ține seama de cele mai recente cunoștințe științifice și evoluții. Se adoptă indicatori minimi pentru monitorizarea calității educației școlare, iar procedura de organizare și desfășurare a evaluării externe a școlilor care desfășoară programe de educație școlară se modifică până la 30</w:t>
      </w:r>
      <w:r w:rsidR="00CB74C1">
        <w:rPr>
          <w:noProof/>
        </w:rPr>
        <w:t> </w:t>
      </w:r>
      <w:r>
        <w:rPr>
          <w:noProof/>
        </w:rPr>
        <w:t xml:space="preserve">iunie 2022, în vederea obținerii unor rezultate mai bune, a unei mai mari incluziuni și eficiențe și a reducerii decalajelor în materie de rezultate în rândul elevilor. Se instituie procedura de organizare și desfășurare a evaluării externe a activităților școlilor de învățământ general. </w:t>
      </w:r>
    </w:p>
    <w:p w14:paraId="30095659" w14:textId="40BD581F" w:rsidR="00F53E3A" w:rsidRDefault="0036255F">
      <w:pPr>
        <w:pStyle w:val="P68B1DB1-Normal4"/>
        <w:jc w:val="both"/>
        <w:rPr>
          <w:rFonts w:eastAsia="Times New Roman" w:cs="Times New Roman"/>
          <w:noProof/>
          <w:szCs w:val="24"/>
          <w:u w:val="single"/>
        </w:rPr>
      </w:pPr>
      <w:r>
        <w:rPr>
          <w:noProof/>
        </w:rPr>
        <w:t>Submăsura se finalizează până la 30 septembrie 2022.</w:t>
      </w:r>
      <w:r>
        <w:rPr>
          <w:noProof/>
          <w:u w:val="single"/>
        </w:rPr>
        <w:t xml:space="preserve"> </w:t>
      </w:r>
    </w:p>
    <w:p w14:paraId="620DED6B" w14:textId="6315ECD8" w:rsidR="00F53E3A" w:rsidRDefault="0036255F">
      <w:pPr>
        <w:pStyle w:val="P68B1DB1-Normal6"/>
        <w:keepNext/>
        <w:keepLines/>
        <w:jc w:val="both"/>
        <w:rPr>
          <w:rFonts w:eastAsia="Times New Roman" w:cs="Times New Roman"/>
          <w:noProof/>
          <w:szCs w:val="24"/>
        </w:rPr>
      </w:pPr>
      <w:r>
        <w:rPr>
          <w:noProof/>
        </w:rPr>
        <w:t>D.1.1.2. Submăsura 2: Reorganizarea rețelei școlare</w:t>
      </w:r>
    </w:p>
    <w:p w14:paraId="4B5A1D94" w14:textId="44620C63" w:rsidR="00F53E3A" w:rsidRDefault="0036255F">
      <w:pPr>
        <w:pStyle w:val="P68B1DB1-Normal4"/>
        <w:jc w:val="both"/>
        <w:rPr>
          <w:rFonts w:eastAsia="Times New Roman" w:cs="Times New Roman"/>
          <w:noProof/>
          <w:szCs w:val="24"/>
        </w:rPr>
      </w:pPr>
      <w:r>
        <w:rPr>
          <w:noProof/>
        </w:rPr>
        <w:t>Obiectivul submăsurii este de a modifica normele privind crearea rețelei de școli care desfășoară programe de educație formală în vederea stabilirii de noi cerințe pentru municipalități în ceea ce privește dimensiunea școlii, normele pentru clasele comune și procedurile suplimentare de reorganizare și cerințele de finanțare. Criteriile includ eliminarea posibilității de a fuziona gradele</w:t>
      </w:r>
      <w:r w:rsidR="00CB74C1">
        <w:rPr>
          <w:noProof/>
        </w:rPr>
        <w:t> </w:t>
      </w:r>
      <w:r>
        <w:rPr>
          <w:noProof/>
        </w:rPr>
        <w:t>5</w:t>
      </w:r>
      <w:r w:rsidR="00CB74C1">
        <w:rPr>
          <w:rFonts w:cs="Times New Roman"/>
          <w:noProof/>
        </w:rPr>
        <w:t>­</w:t>
      </w:r>
      <w:r>
        <w:rPr>
          <w:noProof/>
        </w:rPr>
        <w:t xml:space="preserve">8 și cerința de a reorganiza școlile de stat cu 60 sau mai puțini elevi. Noile norme vor avea ca rezultat reducerea numărului de clase comune; numărul de săli de sport mici și numărul de școli mici (cu mai puțin de 200 de elevi). </w:t>
      </w:r>
    </w:p>
    <w:p w14:paraId="5B2D8C55" w14:textId="377431E5" w:rsidR="00F53E3A" w:rsidRDefault="0036255F">
      <w:pPr>
        <w:pStyle w:val="P68B1DB1-Normal4"/>
        <w:jc w:val="both"/>
        <w:rPr>
          <w:rFonts w:eastAsia="Times New Roman" w:cs="Times New Roman"/>
          <w:noProof/>
          <w:szCs w:val="24"/>
        </w:rPr>
      </w:pPr>
      <w:r>
        <w:rPr>
          <w:noProof/>
        </w:rPr>
        <w:t>Submăsura va fi finalizată până la 31 decembrie 2021.</w:t>
      </w:r>
    </w:p>
    <w:p w14:paraId="7D6D8359" w14:textId="77777777" w:rsidR="00F53E3A" w:rsidRDefault="0036255F">
      <w:pPr>
        <w:pStyle w:val="P68B1DB1-Normal6"/>
        <w:keepNext/>
        <w:keepLines/>
        <w:jc w:val="both"/>
        <w:rPr>
          <w:rFonts w:eastAsia="Times New Roman" w:cs="Times New Roman"/>
          <w:noProof/>
          <w:szCs w:val="24"/>
        </w:rPr>
      </w:pPr>
      <w:r>
        <w:rPr>
          <w:noProof/>
        </w:rPr>
        <w:t>D.1.1.3: Submăsura 3: Programul Școlilor Mileniului</w:t>
      </w:r>
    </w:p>
    <w:p w14:paraId="6ECD4B11" w14:textId="6F919BB5" w:rsidR="00F53E3A" w:rsidRDefault="0036255F">
      <w:pPr>
        <w:pStyle w:val="Text1"/>
        <w:spacing w:before="0" w:after="200" w:line="276" w:lineRule="auto"/>
        <w:ind w:left="0"/>
        <w:rPr>
          <w:noProof/>
        </w:rPr>
      </w:pPr>
      <w:r>
        <w:rPr>
          <w:noProof/>
        </w:rPr>
        <w:t>Obiectivul acestei submăsuri este de a optimiza rețeaua școlară și de a asigura oportunități educaționale egale pentru copiii lituanieni. Submăsura constă în activități executate pentru școli în cadrul Programului pentru școli al mileniului.</w:t>
      </w:r>
    </w:p>
    <w:p w14:paraId="2C04C3DB" w14:textId="321677CB" w:rsidR="00F53E3A" w:rsidRDefault="0036255F">
      <w:pPr>
        <w:pStyle w:val="P68B1DB1-Normal6"/>
        <w:keepNext/>
        <w:keepLines/>
        <w:jc w:val="both"/>
        <w:rPr>
          <w:noProof/>
          <w:szCs w:val="24"/>
        </w:rPr>
      </w:pPr>
      <w:r>
        <w:rPr>
          <w:noProof/>
        </w:rPr>
        <w:t>D.1.1.4: Submăsura 4: Formarea personalului pedagogic</w:t>
      </w:r>
    </w:p>
    <w:p w14:paraId="43F59857" w14:textId="7953E866" w:rsidR="00F53E3A" w:rsidRDefault="0036255F">
      <w:pPr>
        <w:pStyle w:val="P68B1DB1-Normal4"/>
        <w:jc w:val="both"/>
        <w:rPr>
          <w:noProof/>
        </w:rPr>
      </w:pPr>
      <w:r>
        <w:rPr>
          <w:noProof/>
        </w:rPr>
        <w:t>Obiectivul submăsurii este de a sprijini formarea personalului pedagogic. Submăsura constă în intrarea în vigoare a legislației privind cerințele calitative pentru pregătirea și înregistrarea programelor naționale de dezvoltare a calificărilor pentru personalul pedagogic și formarea persoanelor.</w:t>
      </w:r>
    </w:p>
    <w:p w14:paraId="3FE21899" w14:textId="2BACFE51" w:rsidR="00F53E3A" w:rsidRDefault="0036255F">
      <w:pPr>
        <w:pStyle w:val="P68B1DB1-Normal6"/>
        <w:keepNext/>
        <w:keepLines/>
        <w:jc w:val="both"/>
        <w:rPr>
          <w:rFonts w:eastAsia="Times New Roman" w:cs="Times New Roman"/>
          <w:noProof/>
          <w:szCs w:val="24"/>
        </w:rPr>
      </w:pPr>
      <w:r>
        <w:rPr>
          <w:noProof/>
        </w:rPr>
        <w:t>D.1.1.5: Submăsura 5: Sprijinirea achiziționării de echipamente pentru centrele STIAM și laboratoarele mobile</w:t>
      </w:r>
    </w:p>
    <w:p w14:paraId="42398B89" w14:textId="510AEC08" w:rsidR="00F53E3A" w:rsidRDefault="0036255F">
      <w:pPr>
        <w:pStyle w:val="P68B1DB1-Normal4"/>
        <w:jc w:val="both"/>
        <w:rPr>
          <w:rFonts w:eastAsia="Calibri" w:cs="Times New Roman"/>
          <w:noProof/>
          <w:szCs w:val="24"/>
        </w:rPr>
      </w:pPr>
      <w:r>
        <w:rPr>
          <w:noProof/>
        </w:rPr>
        <w:t>Obiectivul submăsurii este de a sprijini reînnoirea centrelor STIAM și a laboratoarelor mobile. Submăsura constă în achiziționarea de echipamente pentru centrele STIAM și laboratoarele mobile.</w:t>
      </w:r>
    </w:p>
    <w:p w14:paraId="34AAED1F" w14:textId="77777777" w:rsidR="00F53E3A" w:rsidRDefault="0036255F">
      <w:pPr>
        <w:pStyle w:val="P68B1DB1-Normal6"/>
        <w:keepNext/>
        <w:keepLines/>
        <w:jc w:val="both"/>
        <w:rPr>
          <w:rFonts w:eastAsia="Times New Roman" w:cs="Times New Roman"/>
          <w:noProof/>
          <w:szCs w:val="24"/>
        </w:rPr>
      </w:pPr>
      <w:r>
        <w:rPr>
          <w:noProof/>
        </w:rPr>
        <w:t>D.1.1.6: Submăsura 6: Transformarea educației digitale</w:t>
      </w:r>
    </w:p>
    <w:p w14:paraId="1C579CC0" w14:textId="3C4F8577" w:rsidR="00F53E3A" w:rsidRDefault="0036255F">
      <w:pPr>
        <w:pStyle w:val="P68B1DB1-Normal4"/>
        <w:jc w:val="both"/>
        <w:rPr>
          <w:rFonts w:eastAsia="Times New Roman" w:cs="Times New Roman"/>
          <w:noProof/>
          <w:szCs w:val="24"/>
        </w:rPr>
      </w:pPr>
      <w:r>
        <w:rPr>
          <w:noProof/>
        </w:rPr>
        <w:t xml:space="preserve">Obiectivul submăsurii este de a încuraja adoptarea inovațiilor educaționale bazate pe digitalizare în școli și de a consolida competențele digitale ale tuturor cadrelor didactice. Se înființează o echipă de experți și un proiect-umbrelă EDtech pentru a sprijini dezvoltarea inovării digitale în educație și pentru a crea o platformă de testare a inovării în instituțiile de învățământ. Platforma EDtech pune în legătură întreprinderile nou-înființate și inovatorii cu școlile și cu nevoile lor de formare și permite testarea soluțiilor inovatoare. Competențele digitale la toate nivelurile de educație, de la cadrele didactice din învățământul preșcolar la cadrele didactice din învățământul superior, trebuie, de asemenea, îmbunătățite și trebuie promovată utilizarea conținutului digital și a instrumentelor tehnologice în procesul educațional pentru a îmbunătăți rezultatele educaționale. </w:t>
      </w:r>
    </w:p>
    <w:p w14:paraId="68252719" w14:textId="77777777" w:rsidR="00F53E3A" w:rsidRDefault="0036255F">
      <w:pPr>
        <w:pStyle w:val="P68B1DB1-Normal4"/>
        <w:jc w:val="both"/>
        <w:rPr>
          <w:rFonts w:eastAsia="Calibri" w:cs="Times New Roman"/>
          <w:noProof/>
          <w:szCs w:val="24"/>
        </w:rPr>
      </w:pPr>
      <w:r>
        <w:rPr>
          <w:noProof/>
        </w:rPr>
        <w:t>Submăsura se finalizează până la 30 iunie 2024.</w:t>
      </w:r>
    </w:p>
    <w:p w14:paraId="7459D082" w14:textId="77777777" w:rsidR="00F53E3A" w:rsidRDefault="0036255F">
      <w:pPr>
        <w:pStyle w:val="P68B1DB1-Normal6"/>
        <w:keepNext/>
        <w:keepLines/>
        <w:jc w:val="both"/>
        <w:rPr>
          <w:rFonts w:eastAsia="Arial" w:cs="Times New Roman"/>
          <w:noProof/>
          <w:szCs w:val="24"/>
        </w:rPr>
      </w:pPr>
      <w:r>
        <w:rPr>
          <w:noProof/>
        </w:rPr>
        <w:t>D.1.1.7: Submăsura 7: Îmbunătățirea educației și îngrijirii copiilor preșcolari</w:t>
      </w:r>
    </w:p>
    <w:p w14:paraId="34A0F0AE" w14:textId="1A12DDF3" w:rsidR="00F53E3A" w:rsidRDefault="0036255F">
      <w:pPr>
        <w:pStyle w:val="P68B1DB1-Normal4"/>
        <w:jc w:val="both"/>
        <w:rPr>
          <w:rFonts w:eastAsia="Arial" w:cs="Times New Roman"/>
          <w:noProof/>
          <w:szCs w:val="24"/>
        </w:rPr>
      </w:pPr>
      <w:r>
        <w:rPr>
          <w:noProof/>
        </w:rPr>
        <w:t>Submăsura urmărește să îmbunătățească accesul și calitatea educației și îngrijirii copiilor preșcolari prin revizuirea criteriilor pentru programele de învățământ preșcolar pentru a se asigura că conținutul este actualizat, răspunzând celor mai recente cunoștințe științifice cu privire la caracteristicile copiilor de vârstă preșcolară, identificarea abilităților și preferințelor sau nevoilor acestora, precum și furnizarea de educație bazată pe dezvoltarea individuală a copiilor. În plus, până la 30 iunie 2022 se efectuează un studiu pentru a cartografia nevoile în materie de infrastructură pentru educația și îngrijirea copiilor preșcolari, pentru a se asigura că toți copiii au acces egal la aceasta pe întregul teritoriu.</w:t>
      </w:r>
    </w:p>
    <w:p w14:paraId="1D3E1AF4" w14:textId="77777777" w:rsidR="00F53E3A" w:rsidRDefault="0036255F">
      <w:pPr>
        <w:pStyle w:val="Text1"/>
        <w:spacing w:before="0" w:after="200" w:line="276" w:lineRule="auto"/>
        <w:ind w:left="0"/>
        <w:rPr>
          <w:noProof/>
        </w:rPr>
      </w:pPr>
      <w:bookmarkStart w:id="12" w:name="_Ref70075874"/>
      <w:bookmarkStart w:id="13" w:name="_Ref70075911"/>
      <w:r>
        <w:rPr>
          <w:noProof/>
        </w:rPr>
        <w:t xml:space="preserve">Submăsura se finalizează la 30 septembrie 2023. </w:t>
      </w:r>
    </w:p>
    <w:p w14:paraId="729CD103" w14:textId="7AB3C6A2" w:rsidR="00F53E3A" w:rsidRDefault="0036255F">
      <w:pPr>
        <w:pStyle w:val="P68B1DB1-Normal6"/>
        <w:keepNext/>
        <w:keepLines/>
        <w:jc w:val="both"/>
        <w:rPr>
          <w:rFonts w:eastAsia="Times New Roman" w:cs="Times New Roman"/>
          <w:noProof/>
          <w:szCs w:val="24"/>
        </w:rPr>
      </w:pPr>
      <w:r>
        <w:rPr>
          <w:noProof/>
        </w:rPr>
        <w:t>D.1.2. Reforma 2 „Accesul adulților la sistemul informatic de învățare pe tot parcursul vieții</w:t>
      </w:r>
      <w:bookmarkEnd w:id="12"/>
      <w:bookmarkEnd w:id="13"/>
      <w:r>
        <w:rPr>
          <w:noProof/>
        </w:rPr>
        <w:t>”</w:t>
      </w:r>
    </w:p>
    <w:p w14:paraId="1C1F7E8D" w14:textId="311AFABD" w:rsidR="00F53E3A" w:rsidRDefault="0036255F">
      <w:pPr>
        <w:pStyle w:val="P68B1DB1-Normal4"/>
        <w:jc w:val="both"/>
        <w:rPr>
          <w:rFonts w:eastAsiaTheme="minorEastAsia" w:cs="Times New Roman"/>
          <w:noProof/>
          <w:szCs w:val="24"/>
        </w:rPr>
      </w:pPr>
      <w:r>
        <w:rPr>
          <w:noProof/>
        </w:rPr>
        <w:t>Obiectivul măsurii este de a institui un model unificat pentru funcționarea și guvernanța cadrului de învățare pe tot parcursul vieții (LLL). Măsura constă în intrarea în vigoare a legislației privind modelul de învățare pe tot parcursul vieții care stabilește elementele de coordonare, funcționare și finanțare, punerea în funcțiune a sistemului de informare de tip ghișeu unic pentru învățarea pe tot parcursul vieții și formarea persoanelor care utilizează sistemul informatic de învățare pe tot parcursul vieții.</w:t>
      </w:r>
    </w:p>
    <w:p w14:paraId="7F46BA64" w14:textId="77777777" w:rsidR="00F53E3A" w:rsidRDefault="0036255F">
      <w:pPr>
        <w:pStyle w:val="P68B1DB1-Normal6"/>
        <w:keepNext/>
        <w:keepLines/>
        <w:jc w:val="both"/>
        <w:rPr>
          <w:rFonts w:eastAsia="Times New Roman" w:cs="Times New Roman"/>
          <w:noProof/>
          <w:szCs w:val="24"/>
        </w:rPr>
      </w:pPr>
      <w:r>
        <w:rPr>
          <w:noProof/>
        </w:rPr>
        <w:t>D.1.3. Reforma 3 „Sistemul de orientare profesională pentru a echilibra cererea și oferta pe piața forței de muncă”</w:t>
      </w:r>
    </w:p>
    <w:p w14:paraId="57697FFE" w14:textId="77777777" w:rsidR="00F53E3A" w:rsidRDefault="0036255F">
      <w:pPr>
        <w:pStyle w:val="P68B1DB1-Normal4"/>
        <w:jc w:val="both"/>
        <w:rPr>
          <w:rFonts w:eastAsia="Calibri" w:cs="Times New Roman"/>
          <w:noProof/>
          <w:szCs w:val="24"/>
        </w:rPr>
      </w:pPr>
      <w:r>
        <w:rPr>
          <w:noProof/>
        </w:rPr>
        <w:t>Obiectivul măsurii este de a institui un sistem de dezvoltare a carierei și de orientare profesională care să înceapă de la o vârstă fragedă (începând cu gradul 1). Un sistem de consiliere și planificare a carierei îi ajută pe studenți să identifice domeniile de interes și să decidă cu privire la posibilele parcursuri profesionale la o vârstă fragedă. Copiii trebuie să dobândească cunoștințe despre competențele dobândite în instituțiile de învățământ pentru a învăța despre tranziția de la un nivel de educație la altul. Școlile și municipalitățile devin responsabile de carierele educaționale și de planificarea carierei în temeiul cadrului juridic modificat. Serviciile de orientare profesională în școli sunt furnizate de profesioniști în domeniul carierei. Unul dintre elementele-cheie ale sistemului este furnizarea de informații de calitate privind oportunitățile de continuare a învățării sau a carierei. Aceste informații se bazează pe datele din Sistemul național de monitorizare a resurselor umane. Orientarea profesională devine, de asemenea, parte integrantă a sistemului de învățare pe tot parcursul vieții, permițând persoanelor cu calificare și/sau experiență profesională să beneficieze de orientare profesională, care este furnizată nu numai prin intermediul sistemului de informare privind învățarea pe tot parcursul vieții, ci și prin intermediul Rețelei centrelor regionale pentru cariere. Legislația intră în vigoare până la 31 martie 2022. Cel puțin 380 de specialiști în carieră oferă servicii de orientare profesională în școli.</w:t>
      </w:r>
    </w:p>
    <w:p w14:paraId="0560223F" w14:textId="77777777" w:rsidR="00F53E3A" w:rsidRDefault="0036255F">
      <w:pPr>
        <w:pStyle w:val="P68B1DB1-Normal4"/>
        <w:jc w:val="both"/>
        <w:rPr>
          <w:rFonts w:cs="Times New Roman"/>
          <w:noProof/>
          <w:szCs w:val="24"/>
        </w:rPr>
      </w:pPr>
      <w:r>
        <w:rPr>
          <w:noProof/>
        </w:rPr>
        <w:t>Submăsura se finalizează până la 31 decembrie 2024.</w:t>
      </w:r>
    </w:p>
    <w:p w14:paraId="4B20E6CF" w14:textId="1E2FBA11" w:rsidR="00F53E3A" w:rsidRDefault="0036255F">
      <w:pPr>
        <w:pStyle w:val="P68B1DB1-Normal6"/>
        <w:keepNext/>
        <w:keepLines/>
        <w:jc w:val="both"/>
        <w:rPr>
          <w:rFonts w:eastAsia="Times New Roman" w:cs="Times New Roman"/>
          <w:noProof/>
        </w:rPr>
      </w:pPr>
      <w:r>
        <w:rPr>
          <w:noProof/>
        </w:rPr>
        <w:t>D.1.4. Reforma 4 „Competențe pentru transformarea digitală dobândite în educație și formare profesională”</w:t>
      </w:r>
    </w:p>
    <w:p w14:paraId="2195AC66" w14:textId="5214D165" w:rsidR="00F53E3A" w:rsidRDefault="0036255F">
      <w:pPr>
        <w:pStyle w:val="P68B1DB1-Normal4"/>
        <w:keepNext/>
        <w:keepLines/>
        <w:jc w:val="both"/>
        <w:rPr>
          <w:noProof/>
          <w:szCs w:val="24"/>
        </w:rPr>
      </w:pPr>
      <w:r>
        <w:rPr>
          <w:noProof/>
        </w:rPr>
        <w:t xml:space="preserve">Obiectivul măsurii este de a sprijini competențele pentru transformarea digitală dobândite prin educație și formare profesională. Măsura constă în patru submăsuri: 1. Platforma națională pentru progresul educației și formării profesionale 2. Evaluarea competențelor 3. Ucenicii și cursuri de formare 5. Mai multe oportunități de a studia în module EFP pentru elevii din învățământul general </w:t>
      </w:r>
    </w:p>
    <w:p w14:paraId="6052EC6E" w14:textId="4FA5AAC8" w:rsidR="00F53E3A" w:rsidRDefault="0036255F">
      <w:pPr>
        <w:pStyle w:val="P68B1DB1-Normal6"/>
        <w:keepNext/>
        <w:keepLines/>
        <w:jc w:val="both"/>
        <w:rPr>
          <w:rFonts w:eastAsiaTheme="minorEastAsia" w:cs="Times New Roman"/>
          <w:noProof/>
          <w:szCs w:val="24"/>
        </w:rPr>
      </w:pPr>
      <w:r>
        <w:rPr>
          <w:noProof/>
        </w:rPr>
        <w:t>D.1.4.1: Submăsura 1: Platforma națională pentru progresul educației și formării profesionale</w:t>
      </w:r>
    </w:p>
    <w:p w14:paraId="3DC88BA3" w14:textId="141A4868" w:rsidR="00F53E3A" w:rsidRDefault="0036255F">
      <w:pPr>
        <w:pStyle w:val="P68B1DB1-ListParagraph18"/>
        <w:spacing w:after="200" w:line="276" w:lineRule="auto"/>
        <w:ind w:left="0"/>
        <w:jc w:val="both"/>
        <w:rPr>
          <w:rFonts w:eastAsiaTheme="minorEastAsia" w:cs="Times New Roman"/>
          <w:noProof/>
        </w:rPr>
      </w:pPr>
      <w:r>
        <w:rPr>
          <w:noProof/>
        </w:rPr>
        <w:t xml:space="preserve">Obiectivul submăsurii este de a institui un consiliu consultativ – Platforma națională pentru progresul educației și formării profesionale. Submăsura constă în intrarea în vigoare a legislației privind instituirea Platformei pentru progresul în domeniul formării profesionale, actualizarea programelor de educație și formare profesională și participarea la cursuri de formare. </w:t>
      </w:r>
    </w:p>
    <w:p w14:paraId="51A1B019" w14:textId="77777777" w:rsidR="00F53E3A" w:rsidRDefault="0036255F">
      <w:pPr>
        <w:pStyle w:val="P68B1DB1-Normal6"/>
        <w:keepNext/>
        <w:keepLines/>
        <w:jc w:val="both"/>
        <w:rPr>
          <w:rFonts w:eastAsia="Times New Roman" w:cs="Times New Roman"/>
          <w:noProof/>
          <w:szCs w:val="24"/>
        </w:rPr>
      </w:pPr>
      <w:r>
        <w:rPr>
          <w:noProof/>
        </w:rPr>
        <w:t xml:space="preserve">D.1.4.2: Submăsura 2: Evaluarea competențelor </w:t>
      </w:r>
    </w:p>
    <w:p w14:paraId="36C14EB4" w14:textId="2A125F01" w:rsidR="00F53E3A" w:rsidRDefault="0036255F">
      <w:pPr>
        <w:pStyle w:val="P68B1DB1-Normal4"/>
        <w:jc w:val="both"/>
        <w:rPr>
          <w:rFonts w:eastAsiaTheme="minorEastAsia" w:cs="Times New Roman"/>
          <w:noProof/>
          <w:szCs w:val="24"/>
        </w:rPr>
      </w:pPr>
      <w:r>
        <w:rPr>
          <w:noProof/>
        </w:rPr>
        <w:t xml:space="preserve">Obiectivul submăsurii este de a îmbunătăți recunoașterea competențelor formale și non-formale dobândite. În acest scop, intră în vigoare modificările aduse Legii privind formarea profesională și legislației de punere în aplicare și desemnează 18 centre de evaluare a competențelor, care vor deveni în cele din urmă centre metodologice în domeniul educației pentru a pune în comun cunoștințele prin crearea de rețele cu centrele de formare sectoriale din același domeniu. </w:t>
      </w:r>
    </w:p>
    <w:p w14:paraId="30EC31E7" w14:textId="66A07D6B" w:rsidR="00F53E3A" w:rsidRDefault="0036255F">
      <w:pPr>
        <w:pStyle w:val="P68B1DB1-Normal4"/>
        <w:jc w:val="both"/>
        <w:rPr>
          <w:rFonts w:eastAsiaTheme="minorEastAsia" w:cs="Times New Roman"/>
          <w:noProof/>
          <w:szCs w:val="24"/>
        </w:rPr>
      </w:pPr>
      <w:r>
        <w:rPr>
          <w:noProof/>
        </w:rPr>
        <w:t>Submăsura se finalizează până la 31 decembrie 2022.</w:t>
      </w:r>
    </w:p>
    <w:p w14:paraId="70433E76" w14:textId="13089418" w:rsidR="00F53E3A" w:rsidRDefault="0036255F">
      <w:pPr>
        <w:pStyle w:val="P68B1DB1-Normal6"/>
        <w:keepNext/>
        <w:keepLines/>
        <w:jc w:val="both"/>
        <w:rPr>
          <w:rFonts w:eastAsia="Times New Roman" w:cs="Times New Roman"/>
          <w:noProof/>
          <w:szCs w:val="24"/>
        </w:rPr>
      </w:pPr>
      <w:r>
        <w:rPr>
          <w:noProof/>
        </w:rPr>
        <w:t>D.1.4.3: Submăsura 3: Ucenicii și cursuri de formare</w:t>
      </w:r>
    </w:p>
    <w:p w14:paraId="0C0C0488" w14:textId="03B1F05A" w:rsidR="00F53E3A" w:rsidRDefault="0036255F">
      <w:pPr>
        <w:pStyle w:val="P68B1DB1-Normal4"/>
        <w:jc w:val="both"/>
        <w:rPr>
          <w:rFonts w:eastAsiaTheme="minorEastAsia" w:cs="Times New Roman"/>
          <w:noProof/>
          <w:szCs w:val="24"/>
        </w:rPr>
      </w:pPr>
      <w:r>
        <w:rPr>
          <w:noProof/>
        </w:rPr>
        <w:t>Obiectivul submăsurii este de a spori competențele practice ale studenților. Submăsura constă în intrarea în vigoare a legislației de instituire a unei scheme de sprijin pentru ucenicii și a unor cursuri de formare.</w:t>
      </w:r>
    </w:p>
    <w:p w14:paraId="457F00F4" w14:textId="659630A1" w:rsidR="00F53E3A" w:rsidRDefault="0036255F">
      <w:pPr>
        <w:pStyle w:val="P68B1DB1-Normal6"/>
        <w:keepNext/>
        <w:keepLines/>
        <w:jc w:val="both"/>
        <w:rPr>
          <w:rFonts w:eastAsia="Times New Roman" w:cs="Times New Roman"/>
          <w:noProof/>
          <w:szCs w:val="24"/>
        </w:rPr>
      </w:pPr>
      <w:r>
        <w:rPr>
          <w:noProof/>
        </w:rPr>
        <w:t>D.1.4.5. Submăsura 5: Mai multe oportunități de a studia în module EFP pentru elevii din învățământul general</w:t>
      </w:r>
    </w:p>
    <w:p w14:paraId="669531AE" w14:textId="63E420F2" w:rsidR="00F53E3A" w:rsidRDefault="0036255F">
      <w:pPr>
        <w:pStyle w:val="Text1"/>
        <w:spacing w:before="0" w:after="200" w:line="276" w:lineRule="auto"/>
        <w:ind w:left="0"/>
        <w:rPr>
          <w:noProof/>
        </w:rPr>
      </w:pPr>
      <w:r>
        <w:rPr>
          <w:noProof/>
        </w:rPr>
        <w:t>Obiectivul submăsurii este de a crește rata de înscriere a elevilor în învățământul profesional și tehnic (EFP). Submăsura constă în elevi înscriși pentru a studia în module EFP și în programe de formare profesională începând cu clasa a 9-a.</w:t>
      </w:r>
    </w:p>
    <w:p w14:paraId="67E6C334" w14:textId="77777777" w:rsidR="00F53E3A" w:rsidRDefault="00F53E3A">
      <w:pPr>
        <w:pStyle w:val="Text1"/>
        <w:ind w:left="709"/>
        <w:rPr>
          <w:noProof/>
          <w:sz w:val="22"/>
        </w:rPr>
        <w:sectPr w:rsidR="00F53E3A" w:rsidSect="0074650A">
          <w:headerReference w:type="even" r:id="rId66"/>
          <w:headerReference w:type="default" r:id="rId67"/>
          <w:footerReference w:type="even" r:id="rId68"/>
          <w:footerReference w:type="default" r:id="rId69"/>
          <w:headerReference w:type="first" r:id="rId70"/>
          <w:footerReference w:type="first" r:id="rId71"/>
          <w:pgSz w:w="11907" w:h="16839"/>
          <w:pgMar w:top="1134" w:right="1134" w:bottom="1134" w:left="1134" w:header="567" w:footer="567" w:gutter="0"/>
          <w:cols w:space="720"/>
          <w:docGrid w:linePitch="360"/>
        </w:sectPr>
      </w:pPr>
    </w:p>
    <w:p w14:paraId="1ADB8BB1" w14:textId="4294C0F8" w:rsidR="00F53E3A" w:rsidRDefault="0036255F">
      <w:pPr>
        <w:pStyle w:val="P68B1DB1-Text15"/>
        <w:keepNext/>
        <w:keepLines/>
        <w:spacing w:before="0" w:after="200" w:line="276" w:lineRule="auto"/>
        <w:ind w:left="0"/>
        <w:jc w:val="center"/>
        <w:outlineLvl w:val="1"/>
        <w:rPr>
          <w:noProof/>
        </w:rPr>
      </w:pPr>
      <w:r>
        <w:rPr>
          <w:noProof/>
        </w:rPr>
        <w:t>D.2. Jaloane, ținte, indicatori și calendarul de monitorizare și implementare aplicabile sprijinului financiar nerambursabil</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ayout w:type="fixed"/>
        <w:tblCellMar>
          <w:left w:w="70" w:type="dxa"/>
          <w:right w:w="70" w:type="dxa"/>
        </w:tblCellMar>
        <w:tblLook w:val="04A0" w:firstRow="1" w:lastRow="0" w:firstColumn="1" w:lastColumn="0" w:noHBand="0" w:noVBand="1"/>
      </w:tblPr>
      <w:tblGrid>
        <w:gridCol w:w="496"/>
        <w:gridCol w:w="1701"/>
        <w:gridCol w:w="993"/>
        <w:gridCol w:w="1560"/>
        <w:gridCol w:w="1274"/>
        <w:gridCol w:w="992"/>
        <w:gridCol w:w="992"/>
        <w:gridCol w:w="993"/>
        <w:gridCol w:w="1134"/>
        <w:gridCol w:w="708"/>
        <w:gridCol w:w="3868"/>
      </w:tblGrid>
      <w:tr w:rsidR="00F53E3A" w14:paraId="0EFBF3B2" w14:textId="77777777" w:rsidTr="00CB74C1">
        <w:trPr>
          <w:tblHeader/>
          <w:jc w:val="center"/>
        </w:trPr>
        <w:tc>
          <w:tcPr>
            <w:tcW w:w="496"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38ACB0E" w14:textId="589DB113" w:rsidR="00F53E3A" w:rsidRDefault="0035684C">
            <w:pPr>
              <w:pStyle w:val="P68B1DB1-Normal9"/>
              <w:spacing w:before="60" w:after="60"/>
              <w:jc w:val="center"/>
              <w:rPr>
                <w:rFonts w:cs="Times New Roman"/>
                <w:noProof/>
              </w:rPr>
            </w:pPr>
            <w:r>
              <w:rPr>
                <w:noProof/>
              </w:rPr>
              <w:t>Nr.</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E9CDC69" w14:textId="77777777" w:rsidR="00F53E3A" w:rsidRDefault="0036255F">
            <w:pPr>
              <w:pStyle w:val="P68B1DB1-Normal9"/>
              <w:spacing w:before="60" w:after="60"/>
              <w:rPr>
                <w:rFonts w:cs="Times New Roman"/>
                <w:noProof/>
              </w:rPr>
            </w:pPr>
            <w:r>
              <w:rPr>
                <w:noProof/>
              </w:rPr>
              <w:t>Măsură conexă (reformă sau investiții)</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D0580B4" w14:textId="0082043E" w:rsidR="00F53E3A" w:rsidRDefault="0036255F">
            <w:pPr>
              <w:pStyle w:val="P68B1DB1-Normal9"/>
              <w:spacing w:before="60" w:after="60"/>
              <w:jc w:val="center"/>
              <w:rPr>
                <w:rFonts w:cs="Times New Roman"/>
                <w:noProof/>
              </w:rPr>
            </w:pPr>
            <w:r>
              <w:rPr>
                <w:noProof/>
              </w:rPr>
              <w:t>Etapă/</w:t>
            </w:r>
            <w:r w:rsidR="00CB74C1">
              <w:rPr>
                <w:noProof/>
              </w:rPr>
              <w:t xml:space="preserve"> </w:t>
            </w:r>
            <w:r>
              <w:rPr>
                <w:noProof/>
              </w:rPr>
              <w:t>Obiectiv</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72753FB" w14:textId="77777777" w:rsidR="00F53E3A" w:rsidRDefault="0036255F">
            <w:pPr>
              <w:pStyle w:val="P68B1DB1-Normal9"/>
              <w:spacing w:before="60" w:after="60"/>
              <w:jc w:val="center"/>
              <w:rPr>
                <w:rFonts w:cs="Times New Roman"/>
                <w:noProof/>
              </w:rPr>
            </w:pPr>
            <w:r>
              <w:rPr>
                <w:noProof/>
              </w:rPr>
              <w:t>Titlu</w:t>
            </w:r>
          </w:p>
        </w:tc>
        <w:tc>
          <w:tcPr>
            <w:tcW w:w="127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ACD8ED0" w14:textId="4BC3E744" w:rsidR="00F53E3A" w:rsidRDefault="0036255F">
            <w:pPr>
              <w:pStyle w:val="P68B1DB1-Normal10"/>
              <w:spacing w:before="60" w:after="60"/>
              <w:jc w:val="center"/>
              <w:rPr>
                <w:rFonts w:ascii="Times New Roman" w:hAnsi="Times New Roman" w:cs="Times New Roman"/>
                <w:b/>
                <w:noProof/>
              </w:rPr>
            </w:pPr>
            <w:r>
              <w:rPr>
                <w:rFonts w:ascii="Times New Roman" w:hAnsi="Times New Roman"/>
                <w:b/>
                <w:noProof/>
              </w:rPr>
              <w:t>Indicatori calitativi</w:t>
            </w:r>
            <w:r>
              <w:rPr>
                <w:noProof/>
              </w:rPr>
              <w:t xml:space="preserve"> </w:t>
            </w:r>
            <w:r>
              <w:rPr>
                <w:noProof/>
              </w:rPr>
              <w:br/>
            </w:r>
            <w:r>
              <w:rPr>
                <w:rFonts w:ascii="Times New Roman" w:hAnsi="Times New Roman"/>
                <w:b/>
                <w:noProof/>
              </w:rPr>
              <w:t>(pentru jaloane)</w:t>
            </w:r>
          </w:p>
        </w:tc>
        <w:tc>
          <w:tcPr>
            <w:tcW w:w="2977"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AEC981B" w14:textId="77777777" w:rsidR="00F53E3A" w:rsidRDefault="0036255F">
            <w:pPr>
              <w:pStyle w:val="P68B1DB1-Normal10"/>
              <w:spacing w:before="60" w:after="60"/>
              <w:jc w:val="center"/>
              <w:rPr>
                <w:rFonts w:ascii="Times New Roman" w:hAnsi="Times New Roman" w:cs="Times New Roman"/>
                <w:b/>
                <w:noProof/>
              </w:rPr>
            </w:pPr>
            <w:r>
              <w:rPr>
                <w:rFonts w:ascii="Times New Roman" w:hAnsi="Times New Roman"/>
                <w:b/>
                <w:noProof/>
              </w:rPr>
              <w:t>Indicatori cantitativi</w:t>
            </w:r>
            <w:r>
              <w:rPr>
                <w:noProof/>
              </w:rPr>
              <w:t xml:space="preserve"> </w:t>
            </w:r>
            <w:r>
              <w:rPr>
                <w:noProof/>
              </w:rPr>
              <w:br/>
            </w:r>
            <w:r>
              <w:rPr>
                <w:rFonts w:ascii="Times New Roman" w:hAnsi="Times New Roman"/>
                <w:b/>
                <w:noProof/>
              </w:rPr>
              <w:t>(pentru obiective)</w:t>
            </w:r>
          </w:p>
        </w:tc>
        <w:tc>
          <w:tcPr>
            <w:tcW w:w="1842"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19415C9" w14:textId="68B3FD7D" w:rsidR="00F53E3A" w:rsidRDefault="0036255F">
            <w:pPr>
              <w:pStyle w:val="P68B1DB1-Normal9"/>
              <w:spacing w:before="60" w:after="60"/>
              <w:jc w:val="center"/>
              <w:rPr>
                <w:rFonts w:cs="Times New Roman"/>
                <w:noProof/>
              </w:rPr>
            </w:pPr>
            <w:r>
              <w:rPr>
                <w:noProof/>
              </w:rPr>
              <w:t>Calendar orientativ pentru finalizare</w:t>
            </w:r>
          </w:p>
        </w:tc>
        <w:tc>
          <w:tcPr>
            <w:tcW w:w="3868"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914688F" w14:textId="77777777" w:rsidR="00F53E3A" w:rsidRDefault="0036255F">
            <w:pPr>
              <w:pStyle w:val="P68B1DB1-Normal9"/>
              <w:spacing w:before="60" w:after="60"/>
              <w:jc w:val="center"/>
              <w:rPr>
                <w:rFonts w:cs="Times New Roman"/>
                <w:noProof/>
              </w:rPr>
            </w:pPr>
            <w:r>
              <w:rPr>
                <w:noProof/>
              </w:rPr>
              <w:t>Descrierea și definiția clară a fiecărui obiectiv de etapă și a fiecărei ținte</w:t>
            </w:r>
          </w:p>
        </w:tc>
      </w:tr>
      <w:tr w:rsidR="00F53E3A" w14:paraId="384600DA" w14:textId="77777777" w:rsidTr="00CB74C1">
        <w:trPr>
          <w:tblHeader/>
          <w:jc w:val="center"/>
        </w:trPr>
        <w:tc>
          <w:tcPr>
            <w:tcW w:w="496" w:type="dxa"/>
            <w:vMerge/>
            <w:vAlign w:val="center"/>
          </w:tcPr>
          <w:p w14:paraId="72C0A60D" w14:textId="77777777" w:rsidR="00F53E3A" w:rsidRDefault="00F53E3A">
            <w:pPr>
              <w:spacing w:before="60" w:after="60"/>
              <w:jc w:val="center"/>
              <w:rPr>
                <w:rFonts w:ascii="Times New Roman" w:hAnsi="Times New Roman" w:cs="Times New Roman"/>
                <w:b/>
                <w:noProof/>
                <w:sz w:val="20"/>
              </w:rPr>
            </w:pPr>
          </w:p>
        </w:tc>
        <w:tc>
          <w:tcPr>
            <w:tcW w:w="1701" w:type="dxa"/>
            <w:vMerge/>
            <w:vAlign w:val="center"/>
          </w:tcPr>
          <w:p w14:paraId="63AF33A0" w14:textId="77777777" w:rsidR="00F53E3A" w:rsidRDefault="00F53E3A">
            <w:pPr>
              <w:spacing w:before="60" w:after="60"/>
              <w:rPr>
                <w:rFonts w:ascii="Times New Roman" w:hAnsi="Times New Roman" w:cs="Times New Roman"/>
                <w:b/>
                <w:noProof/>
                <w:sz w:val="20"/>
              </w:rPr>
            </w:pPr>
          </w:p>
        </w:tc>
        <w:tc>
          <w:tcPr>
            <w:tcW w:w="993" w:type="dxa"/>
            <w:vMerge/>
            <w:vAlign w:val="center"/>
          </w:tcPr>
          <w:p w14:paraId="535C5CC3" w14:textId="77777777" w:rsidR="00F53E3A" w:rsidRDefault="00F53E3A">
            <w:pPr>
              <w:spacing w:before="60" w:after="60"/>
              <w:jc w:val="center"/>
              <w:rPr>
                <w:rFonts w:ascii="Times New Roman" w:hAnsi="Times New Roman" w:cs="Times New Roman"/>
                <w:b/>
                <w:noProof/>
                <w:sz w:val="20"/>
              </w:rPr>
            </w:pPr>
          </w:p>
        </w:tc>
        <w:tc>
          <w:tcPr>
            <w:tcW w:w="1560" w:type="dxa"/>
            <w:vMerge/>
            <w:vAlign w:val="center"/>
          </w:tcPr>
          <w:p w14:paraId="195F844D" w14:textId="77777777" w:rsidR="00F53E3A" w:rsidRDefault="00F53E3A">
            <w:pPr>
              <w:spacing w:before="60" w:after="60"/>
              <w:rPr>
                <w:rFonts w:ascii="Times New Roman" w:hAnsi="Times New Roman" w:cs="Times New Roman"/>
                <w:b/>
                <w:noProof/>
                <w:sz w:val="20"/>
              </w:rPr>
            </w:pPr>
          </w:p>
        </w:tc>
        <w:tc>
          <w:tcPr>
            <w:tcW w:w="1274" w:type="dxa"/>
            <w:vMerge/>
            <w:vAlign w:val="center"/>
          </w:tcPr>
          <w:p w14:paraId="00634130" w14:textId="77777777" w:rsidR="00F53E3A" w:rsidRDefault="00F53E3A">
            <w:pPr>
              <w:spacing w:before="60" w:after="60"/>
              <w:rPr>
                <w:rFonts w:ascii="Times New Roman" w:hAnsi="Times New Roman" w:cs="Times New Roman"/>
                <w:b/>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AC87F4A" w14:textId="77777777" w:rsidR="00F53E3A" w:rsidRDefault="0036255F">
            <w:pPr>
              <w:pStyle w:val="P68B1DB1-Normal9"/>
              <w:spacing w:before="60" w:after="60"/>
              <w:jc w:val="center"/>
              <w:rPr>
                <w:rFonts w:cs="Times New Roman"/>
                <w:noProof/>
              </w:rPr>
            </w:pPr>
            <w:r>
              <w:rPr>
                <w:noProof/>
              </w:rPr>
              <w:t>Unitate</w:t>
            </w:r>
          </w:p>
        </w:tc>
        <w:tc>
          <w:tcPr>
            <w:tcW w:w="992"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8C82434" w14:textId="77777777" w:rsidR="00F53E3A" w:rsidRDefault="0036255F">
            <w:pPr>
              <w:pStyle w:val="P68B1DB1-Normal9"/>
              <w:spacing w:before="60" w:after="60"/>
              <w:jc w:val="center"/>
              <w:rPr>
                <w:rFonts w:cs="Times New Roman"/>
                <w:noProof/>
              </w:rPr>
            </w:pPr>
            <w:r>
              <w:rPr>
                <w:noProof/>
              </w:rPr>
              <w:t>Situația de referință</w:t>
            </w:r>
          </w:p>
        </w:tc>
        <w:tc>
          <w:tcPr>
            <w:tcW w:w="993"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121E3E4" w14:textId="77777777" w:rsidR="00F53E3A" w:rsidRDefault="0036255F">
            <w:pPr>
              <w:pStyle w:val="P68B1DB1-Normal9"/>
              <w:spacing w:before="60" w:after="60"/>
              <w:jc w:val="center"/>
              <w:rPr>
                <w:rFonts w:cs="Times New Roman"/>
                <w:noProof/>
              </w:rPr>
            </w:pPr>
            <w:r>
              <w:rPr>
                <w:noProof/>
              </w:rPr>
              <w:t>Obiectiv</w:t>
            </w:r>
          </w:p>
        </w:tc>
        <w:tc>
          <w:tcPr>
            <w:tcW w:w="1134"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C30652F" w14:textId="77777777" w:rsidR="00F53E3A" w:rsidRDefault="0036255F">
            <w:pPr>
              <w:pStyle w:val="P68B1DB1-Normal9"/>
              <w:spacing w:before="60" w:after="60"/>
              <w:jc w:val="center"/>
              <w:rPr>
                <w:rFonts w:cs="Times New Roman"/>
                <w:noProof/>
              </w:rPr>
            </w:pPr>
            <w:r>
              <w:rPr>
                <w:noProof/>
              </w:rPr>
              <w:t>Trimestru</w:t>
            </w:r>
          </w:p>
        </w:tc>
        <w:tc>
          <w:tcPr>
            <w:tcW w:w="708"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7A6C797" w14:textId="77777777" w:rsidR="00F53E3A" w:rsidRDefault="0036255F">
            <w:pPr>
              <w:pStyle w:val="P68B1DB1-Normal9"/>
              <w:spacing w:before="60" w:after="60"/>
              <w:jc w:val="center"/>
              <w:rPr>
                <w:rFonts w:cs="Times New Roman"/>
                <w:noProof/>
              </w:rPr>
            </w:pPr>
            <w:r>
              <w:rPr>
                <w:noProof/>
              </w:rPr>
              <w:t>Anul</w:t>
            </w:r>
          </w:p>
        </w:tc>
        <w:tc>
          <w:tcPr>
            <w:tcW w:w="3868" w:type="dxa"/>
            <w:vMerge/>
            <w:vAlign w:val="center"/>
          </w:tcPr>
          <w:p w14:paraId="0443CE17" w14:textId="77777777" w:rsidR="00F53E3A" w:rsidRDefault="00F53E3A">
            <w:pPr>
              <w:spacing w:before="60" w:after="60"/>
              <w:rPr>
                <w:rFonts w:ascii="Times New Roman" w:hAnsi="Times New Roman" w:cs="Times New Roman"/>
                <w:b/>
                <w:noProof/>
                <w:sz w:val="20"/>
              </w:rPr>
            </w:pPr>
          </w:p>
        </w:tc>
      </w:tr>
      <w:tr w:rsidR="00F53E3A" w14:paraId="1030E31E" w14:textId="77777777" w:rsidTr="00CB74C1">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09B8362" w14:textId="77777777" w:rsidR="00F53E3A" w:rsidRDefault="0036255F">
            <w:pPr>
              <w:pStyle w:val="P68B1DB1-Normal12"/>
              <w:spacing w:before="60" w:after="60"/>
              <w:jc w:val="center"/>
              <w:rPr>
                <w:rFonts w:cs="Times New Roman"/>
                <w:noProof/>
              </w:rPr>
            </w:pPr>
            <w:r>
              <w:rPr>
                <w:noProof/>
              </w:rPr>
              <w:t>91</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5CB0942" w14:textId="161FD713" w:rsidR="00F53E3A" w:rsidRDefault="0036255F">
            <w:pPr>
              <w:pStyle w:val="P68B1DB1-Normal12"/>
              <w:spacing w:before="60" w:after="60"/>
              <w:rPr>
                <w:rFonts w:eastAsia="Times New Roman" w:cs="Times New Roman"/>
                <w:noProof/>
              </w:rPr>
            </w:pPr>
            <w:r>
              <w:rPr>
                <w:noProof/>
              </w:rPr>
              <w:t>D.1.1. Educația generală modernă – Contextul competențelor de bază</w:t>
            </w:r>
          </w:p>
          <w:p w14:paraId="0DA007EE" w14:textId="5D33C02E" w:rsidR="00F53E3A" w:rsidRDefault="0036255F">
            <w:pPr>
              <w:pStyle w:val="P68B1DB1-Normal12"/>
              <w:spacing w:before="60" w:after="60"/>
              <w:rPr>
                <w:rFonts w:cs="Times New Roman"/>
                <w:noProof/>
              </w:rPr>
            </w:pPr>
            <w:r>
              <w:rPr>
                <w:noProof/>
              </w:rPr>
              <w:t>D.1.1.1: Îmbunătățirea calității educației</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F5CFA65" w14:textId="77777777"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6E701D7" w14:textId="5C5E6C4F" w:rsidR="00F53E3A" w:rsidRDefault="0036255F">
            <w:pPr>
              <w:pStyle w:val="P68B1DB1-Normal12"/>
              <w:spacing w:before="60" w:after="60"/>
              <w:rPr>
                <w:rFonts w:cs="Times New Roman"/>
                <w:noProof/>
              </w:rPr>
            </w:pPr>
            <w:r>
              <w:rPr>
                <w:noProof/>
              </w:rPr>
              <w:t>Intrarea în vigoare a legislației privind metodologia procedurii de evaluare externă a calității activităților instituțiilor de învățământ care pun în aplicare programe de educație școlară</w:t>
            </w:r>
          </w:p>
        </w:tc>
        <w:tc>
          <w:tcPr>
            <w:tcW w:w="127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73E4788" w14:textId="77777777" w:rsidR="00F53E3A" w:rsidRDefault="0036255F">
            <w:pPr>
              <w:pStyle w:val="P68B1DB1-Normal12"/>
              <w:spacing w:before="60" w:after="60"/>
              <w:rPr>
                <w:rFonts w:cs="Times New Roman"/>
                <w:noProof/>
              </w:rPr>
            </w:pPr>
            <w:r>
              <w:rPr>
                <w:noProof/>
              </w:rPr>
              <w:t xml:space="preserve">Legislația a intrat în vigoare </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B4B0F9C" w14:textId="77777777"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9A2C065" w14:textId="61420AEC" w:rsidR="00F53E3A" w:rsidRDefault="00F53E3A">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3BBABBF" w14:textId="3E190783" w:rsidR="00F53E3A" w:rsidRDefault="00F53E3A">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1B89C0C" w14:textId="7AF56AAF" w:rsidR="00F53E3A" w:rsidRDefault="00DB2EC5">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2475425" w14:textId="77777777" w:rsidR="00F53E3A" w:rsidRDefault="0036255F">
            <w:pPr>
              <w:pStyle w:val="P68B1DB1-Normal12"/>
              <w:spacing w:before="60" w:after="60"/>
              <w:jc w:val="center"/>
              <w:rPr>
                <w:rFonts w:cs="Times New Roman"/>
                <w:noProof/>
              </w:rPr>
            </w:pPr>
            <w:r>
              <w:rPr>
                <w:noProof/>
              </w:rPr>
              <w:t>2022</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573FCD6" w14:textId="77777777" w:rsidR="00F53E3A" w:rsidRDefault="0036255F">
            <w:pPr>
              <w:pStyle w:val="P68B1DB1-Normal12"/>
              <w:spacing w:before="60" w:after="60"/>
              <w:jc w:val="both"/>
              <w:rPr>
                <w:rFonts w:eastAsia="Times New Roman" w:cs="Times New Roman"/>
                <w:noProof/>
              </w:rPr>
            </w:pPr>
            <w:r>
              <w:rPr>
                <w:noProof/>
              </w:rPr>
              <w:t xml:space="preserve">Intrarea în vigoare a legislației privind metodologia care </w:t>
            </w:r>
          </w:p>
          <w:p w14:paraId="2DB77F13" w14:textId="77777777" w:rsidR="00F53E3A" w:rsidRDefault="0036255F">
            <w:pPr>
              <w:pStyle w:val="P68B1DB1-ListParagraph23"/>
              <w:numPr>
                <w:ilvl w:val="0"/>
                <w:numId w:val="25"/>
              </w:numPr>
              <w:spacing w:before="60" w:after="60" w:line="276" w:lineRule="auto"/>
              <w:ind w:left="357" w:hanging="357"/>
              <w:jc w:val="both"/>
              <w:rPr>
                <w:rFonts w:eastAsiaTheme="minorEastAsia" w:cs="Times New Roman"/>
                <w:noProof/>
              </w:rPr>
            </w:pPr>
            <w:r>
              <w:rPr>
                <w:noProof/>
              </w:rPr>
              <w:t>furnizarea de indicatori de performanță pentru școli, organizarea proceselor educaționale, sprijin pentru elevi, management și conducere, mediul școlar;</w:t>
            </w:r>
          </w:p>
          <w:p w14:paraId="7392D3DE" w14:textId="77777777" w:rsidR="00F53E3A" w:rsidRDefault="0036255F">
            <w:pPr>
              <w:pStyle w:val="P68B1DB1-ListParagraph23"/>
              <w:numPr>
                <w:ilvl w:val="0"/>
                <w:numId w:val="25"/>
              </w:numPr>
              <w:spacing w:before="60" w:after="60" w:line="276" w:lineRule="auto"/>
              <w:ind w:left="357" w:hanging="357"/>
              <w:jc w:val="both"/>
              <w:rPr>
                <w:rFonts w:cs="Times New Roman"/>
                <w:noProof/>
              </w:rPr>
            </w:pPr>
            <w:r>
              <w:rPr>
                <w:noProof/>
              </w:rPr>
              <w:t xml:space="preserve">să stabilească procedurile de autoevaluare și de evaluare externă a școlilor; </w:t>
            </w:r>
          </w:p>
          <w:p w14:paraId="62D6CEED" w14:textId="77777777" w:rsidR="00F53E3A" w:rsidRDefault="0036255F">
            <w:pPr>
              <w:pStyle w:val="P68B1DB1-ListParagraph23"/>
              <w:numPr>
                <w:ilvl w:val="0"/>
                <w:numId w:val="25"/>
              </w:numPr>
              <w:spacing w:before="60" w:after="60" w:line="276" w:lineRule="auto"/>
              <w:ind w:left="357" w:hanging="357"/>
              <w:jc w:val="both"/>
              <w:rPr>
                <w:rFonts w:eastAsiaTheme="minorEastAsia" w:cs="Times New Roman"/>
                <w:noProof/>
              </w:rPr>
            </w:pPr>
            <w:r>
              <w:rPr>
                <w:noProof/>
              </w:rPr>
              <w:t xml:space="preserve">să autorizeze Agenția Națională pentru Educație să efectueze evaluarea externă a centrelor de îngrijire a copiilor și a școlilor; </w:t>
            </w:r>
          </w:p>
          <w:p w14:paraId="65CD4DDC" w14:textId="7311E027" w:rsidR="00F53E3A" w:rsidRDefault="0036255F">
            <w:pPr>
              <w:pStyle w:val="P68B1DB1-ListParagraph23"/>
              <w:numPr>
                <w:ilvl w:val="0"/>
                <w:numId w:val="25"/>
              </w:numPr>
              <w:spacing w:before="60" w:after="60" w:line="276" w:lineRule="auto"/>
              <w:ind w:left="357" w:hanging="357"/>
              <w:jc w:val="both"/>
              <w:rPr>
                <w:rFonts w:cs="Times New Roman"/>
                <w:noProof/>
              </w:rPr>
            </w:pPr>
            <w:r>
              <w:rPr>
                <w:noProof/>
              </w:rPr>
              <w:t xml:space="preserve">să stabilească obligațiile școlilor de a îmbunătăți activitățile școlare pe baza datelor furnizate în evaluarea externă. </w:t>
            </w:r>
          </w:p>
        </w:tc>
      </w:tr>
      <w:tr w:rsidR="00F53E3A" w14:paraId="25DB5768" w14:textId="77777777" w:rsidTr="00CB74C1">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E85A27B" w14:textId="77777777" w:rsidR="00F53E3A" w:rsidRDefault="0036255F">
            <w:pPr>
              <w:pStyle w:val="P68B1DB1-Normal12"/>
              <w:spacing w:before="60" w:after="60"/>
              <w:jc w:val="center"/>
              <w:rPr>
                <w:rFonts w:cs="Times New Roman"/>
                <w:noProof/>
              </w:rPr>
            </w:pPr>
            <w:r>
              <w:rPr>
                <w:noProof/>
              </w:rPr>
              <w:t>92</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ED66311" w14:textId="77777777" w:rsidR="00F53E3A" w:rsidRDefault="0036255F">
            <w:pPr>
              <w:pStyle w:val="P68B1DB1-Normal12"/>
              <w:spacing w:before="60" w:after="60"/>
              <w:rPr>
                <w:rFonts w:cs="Times New Roman"/>
                <w:noProof/>
              </w:rPr>
            </w:pPr>
            <w:r>
              <w:rPr>
                <w:noProof/>
              </w:rPr>
              <w:t>D.1.1. Educația generală modernă – Contextul competențelor de bază</w:t>
            </w:r>
          </w:p>
          <w:p w14:paraId="6CCBD01F" w14:textId="0AECEAB0" w:rsidR="00F53E3A" w:rsidRDefault="0036255F">
            <w:pPr>
              <w:pStyle w:val="P68B1DB1-Normal12"/>
              <w:spacing w:before="60" w:after="60"/>
              <w:rPr>
                <w:rFonts w:cs="Times New Roman"/>
                <w:noProof/>
              </w:rPr>
            </w:pPr>
            <w:r>
              <w:rPr>
                <w:noProof/>
              </w:rPr>
              <w:t>D.1.1.1: Îmbunătățirea calității educației</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1FC377C" w14:textId="77777777"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3E98490" w14:textId="77777777" w:rsidR="00F53E3A" w:rsidRDefault="0036255F">
            <w:pPr>
              <w:pStyle w:val="P68B1DB1-Normal12"/>
              <w:spacing w:before="60" w:after="60"/>
              <w:rPr>
                <w:rFonts w:cs="Times New Roman"/>
                <w:noProof/>
              </w:rPr>
            </w:pPr>
            <w:r>
              <w:rPr>
                <w:noProof/>
              </w:rPr>
              <w:t>Intrarea în vigoare a programelor revizuite de învățământ preșcolar, primar, secundar inferior și secundar (programa de învățământ)</w:t>
            </w:r>
            <w:r>
              <w:rPr>
                <w:noProof/>
                <w:shd w:val="clear" w:color="auto" w:fill="E6E6E6"/>
              </w:rPr>
              <w:t xml:space="preserve"> </w:t>
            </w:r>
          </w:p>
        </w:tc>
        <w:tc>
          <w:tcPr>
            <w:tcW w:w="127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08F4D19" w14:textId="77777777" w:rsidR="00F53E3A" w:rsidRDefault="0036255F">
            <w:pPr>
              <w:pStyle w:val="P68B1DB1-Normal12"/>
              <w:spacing w:before="60" w:after="60"/>
              <w:rPr>
                <w:rFonts w:cs="Times New Roman"/>
                <w:noProof/>
              </w:rPr>
            </w:pPr>
            <w:r>
              <w:rPr>
                <w:noProof/>
              </w:rPr>
              <w:t>Legislația a intrat în vigoare</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48D882F" w14:textId="0C0A17EB"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4AE2D37" w14:textId="3BFDA0AE" w:rsidR="00F53E3A" w:rsidRDefault="00F53E3A">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9099563" w14:textId="3DA9F3E0" w:rsidR="00F53E3A" w:rsidRDefault="00F53E3A">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FB4BAD9" w14:textId="30A370B4" w:rsidR="00F53E3A" w:rsidRDefault="00DB2EC5">
            <w:pPr>
              <w:pStyle w:val="P68B1DB1-Normal12"/>
              <w:spacing w:before="60" w:after="60"/>
              <w:jc w:val="center"/>
              <w:rPr>
                <w:rFonts w:cs="Times New Roman"/>
                <w:noProof/>
              </w:rPr>
            </w:pPr>
            <w:r>
              <w:rPr>
                <w:noProof/>
              </w:rPr>
              <w:t>T3</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3710666" w14:textId="77777777" w:rsidR="00F53E3A" w:rsidRDefault="0036255F">
            <w:pPr>
              <w:pStyle w:val="P68B1DB1-Normal12"/>
              <w:spacing w:before="60" w:after="60"/>
              <w:jc w:val="center"/>
              <w:rPr>
                <w:rFonts w:cs="Times New Roman"/>
                <w:noProof/>
              </w:rPr>
            </w:pPr>
            <w:r>
              <w:rPr>
                <w:noProof/>
              </w:rPr>
              <w:t>2022</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20F62A8" w14:textId="4181E52D" w:rsidR="00F53E3A" w:rsidRDefault="0036255F">
            <w:pPr>
              <w:pStyle w:val="P68B1DB1-Normal12"/>
              <w:spacing w:before="60" w:after="0"/>
              <w:jc w:val="both"/>
              <w:rPr>
                <w:rFonts w:eastAsia="Times New Roman" w:cs="Times New Roman"/>
                <w:noProof/>
              </w:rPr>
            </w:pPr>
            <w:r>
              <w:rPr>
                <w:noProof/>
              </w:rPr>
              <w:t>Intrarea în vigoare a programelor de învățământ preșcolar, primar, secundar inferior și secundar (curriculum), care sunt documentele ce reglementează conținutul la nivel național. Pentru a ține seama de cele mai recente cunoștințe științifice și evoluții, programele educaționale (programa de învățământ) sunt revizuite. Intrarea în vigoare a legislației privind revizuirea programei de învățământ care acoperă:</w:t>
            </w:r>
          </w:p>
          <w:p w14:paraId="23487437" w14:textId="79738021" w:rsidR="00F53E3A" w:rsidRDefault="0036255F">
            <w:pPr>
              <w:pStyle w:val="P68B1DB1-Normal12"/>
              <w:spacing w:before="60" w:after="60"/>
              <w:jc w:val="both"/>
              <w:rPr>
                <w:rFonts w:eastAsia="Times New Roman" w:cs="Times New Roman"/>
                <w:noProof/>
              </w:rPr>
            </w:pPr>
            <w:r>
              <w:rPr>
                <w:noProof/>
              </w:rPr>
              <w:t xml:space="preserve">— obiectivele învățământului preșcolar, primar, secundar inferior și secundar; </w:t>
            </w:r>
          </w:p>
          <w:p w14:paraId="2D9F29C4" w14:textId="2F41C36B" w:rsidR="00F53E3A" w:rsidRDefault="0036255F">
            <w:pPr>
              <w:pStyle w:val="P68B1DB1-Normal12"/>
              <w:spacing w:before="60" w:after="0"/>
              <w:jc w:val="both"/>
              <w:rPr>
                <w:rFonts w:eastAsia="Times New Roman" w:cs="Times New Roman"/>
                <w:noProof/>
              </w:rPr>
            </w:pPr>
            <w:r>
              <w:rPr>
                <w:noProof/>
              </w:rPr>
              <w:t>— conținutul;</w:t>
            </w:r>
          </w:p>
          <w:p w14:paraId="4E120F22" w14:textId="4E4447AE" w:rsidR="00F53E3A" w:rsidRDefault="0036255F">
            <w:pPr>
              <w:pStyle w:val="P68B1DB1-Normal12"/>
              <w:spacing w:before="60" w:after="60"/>
              <w:jc w:val="both"/>
              <w:rPr>
                <w:rFonts w:eastAsia="Times New Roman" w:cs="Times New Roman"/>
                <w:noProof/>
              </w:rPr>
            </w:pPr>
            <w:r>
              <w:rPr>
                <w:noProof/>
              </w:rPr>
              <w:t>— nivelurile de realizare a rezultatelor învățării.</w:t>
            </w:r>
          </w:p>
        </w:tc>
      </w:tr>
      <w:tr w:rsidR="00F53E3A" w14:paraId="41EC2C7E" w14:textId="77777777" w:rsidTr="00CB74C1">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AB4F244" w14:textId="77777777" w:rsidR="00F53E3A" w:rsidRDefault="0036255F">
            <w:pPr>
              <w:pStyle w:val="P68B1DB1-Normal12"/>
              <w:spacing w:before="60" w:after="60"/>
              <w:jc w:val="center"/>
              <w:rPr>
                <w:rFonts w:cs="Times New Roman"/>
                <w:noProof/>
              </w:rPr>
            </w:pPr>
            <w:r>
              <w:rPr>
                <w:noProof/>
              </w:rPr>
              <w:t>93</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ABF1177" w14:textId="77777777" w:rsidR="00F53E3A" w:rsidRDefault="0036255F">
            <w:pPr>
              <w:pStyle w:val="P68B1DB1-Normal12"/>
              <w:spacing w:before="60" w:after="60"/>
              <w:rPr>
                <w:rFonts w:eastAsia="Times New Roman" w:cs="Times New Roman"/>
                <w:noProof/>
              </w:rPr>
            </w:pPr>
            <w:r>
              <w:rPr>
                <w:noProof/>
              </w:rPr>
              <w:t>D.1.1. Educația generală modernă – Contextul competențelor de bază</w:t>
            </w:r>
          </w:p>
          <w:p w14:paraId="48029D9C" w14:textId="35519861" w:rsidR="00F53E3A" w:rsidRDefault="0036255F">
            <w:pPr>
              <w:pStyle w:val="P68B1DB1-Normal12"/>
              <w:spacing w:before="60" w:after="60"/>
              <w:rPr>
                <w:rFonts w:cs="Times New Roman"/>
                <w:noProof/>
              </w:rPr>
            </w:pPr>
            <w:r>
              <w:rPr>
                <w:noProof/>
              </w:rPr>
              <w:t>D.1.1.2. Reorganizarea rețelei școlare</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7654F94" w14:textId="77777777"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4AA9570" w14:textId="77777777" w:rsidR="00F53E3A" w:rsidRDefault="0036255F">
            <w:pPr>
              <w:pStyle w:val="P68B1DB1-Normal12"/>
              <w:spacing w:before="60" w:after="60"/>
              <w:rPr>
                <w:rFonts w:cs="Times New Roman"/>
                <w:noProof/>
              </w:rPr>
            </w:pPr>
            <w:r>
              <w:rPr>
                <w:noProof/>
              </w:rPr>
              <w:t>Intrarea în vigoare a modificărilor aduse Normelor privind crearea unei rețele de școli care desfășoară programe de educație formală</w:t>
            </w:r>
          </w:p>
        </w:tc>
        <w:tc>
          <w:tcPr>
            <w:tcW w:w="127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F33DE20" w14:textId="77777777" w:rsidR="00F53E3A" w:rsidRDefault="0036255F">
            <w:pPr>
              <w:pStyle w:val="P68B1DB1-Normal12"/>
              <w:spacing w:before="60" w:after="60"/>
              <w:rPr>
                <w:rFonts w:cs="Times New Roman"/>
                <w:noProof/>
              </w:rPr>
            </w:pPr>
            <w:r>
              <w:rPr>
                <w:noProof/>
              </w:rPr>
              <w:t xml:space="preserve">Legislația a intrat în vigoare </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3DD55F5" w14:textId="1BF91DCE"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D3753CC" w14:textId="36FCD160" w:rsidR="00F53E3A" w:rsidRDefault="00F53E3A">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E969100" w14:textId="01911C71" w:rsidR="00F53E3A" w:rsidRDefault="00F53E3A">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1458950" w14:textId="191848D0" w:rsidR="00F53E3A" w:rsidRDefault="00DB2EC5">
            <w:pPr>
              <w:pStyle w:val="P68B1DB1-Normal12"/>
              <w:spacing w:before="60" w:after="60"/>
              <w:jc w:val="center"/>
              <w:rPr>
                <w:rFonts w:cs="Times New Roman"/>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3B19382" w14:textId="77777777" w:rsidR="00F53E3A" w:rsidRDefault="0036255F">
            <w:pPr>
              <w:pStyle w:val="P68B1DB1-Normal12"/>
              <w:spacing w:before="60" w:after="60"/>
              <w:jc w:val="center"/>
              <w:rPr>
                <w:rFonts w:cs="Times New Roman"/>
                <w:noProof/>
              </w:rPr>
            </w:pPr>
            <w:r>
              <w:rPr>
                <w:noProof/>
              </w:rPr>
              <w:t>2021</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E74CD13" w14:textId="77777777" w:rsidR="00F53E3A" w:rsidRDefault="0036255F">
            <w:pPr>
              <w:spacing w:before="60" w:after="60"/>
              <w:jc w:val="both"/>
              <w:rPr>
                <w:rFonts w:ascii="Times New Roman" w:hAnsi="Times New Roman" w:cs="Times New Roman"/>
                <w:noProof/>
                <w:sz w:val="20"/>
              </w:rPr>
            </w:pPr>
            <w:r>
              <w:rPr>
                <w:rStyle w:val="jlqj4b"/>
                <w:rFonts w:ascii="Times New Roman" w:hAnsi="Times New Roman"/>
                <w:noProof/>
                <w:sz w:val="20"/>
              </w:rPr>
              <w:t>Intrarea în vigoare a modificărilor aduse Normelor privind înființarea unei rețele de școli care desfășoară programe de educație formală, care stabilesc noi cerințe pentru municipalități în ceea ce privește dimensiunea școlii, normele privind clasele comune și procedurile suplimentare de reorganizare, cerințele de finanțare: clasele mai mici decât cele specificate în norme nu ar fi finanțate. Criteriile includ eliminarea posibilității de a fuziona gradele 5-8 și cerința de a reorganiza școlile de stat cu 60 sau mai puțini elevi. Noile norme vor avea ca rezultat reducerea numărului de clase comune; numărul de săli de sport mici și numărul de școli mici (cu mai puțin de 200 de elevi).</w:t>
            </w:r>
          </w:p>
        </w:tc>
      </w:tr>
      <w:tr w:rsidR="00F53E3A" w14:paraId="722F76BA" w14:textId="77777777" w:rsidTr="00CB74C1">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C73A868" w14:textId="77777777" w:rsidR="00F53E3A" w:rsidRDefault="0036255F">
            <w:pPr>
              <w:pStyle w:val="P68B1DB1-Normal12"/>
              <w:spacing w:before="60" w:after="60"/>
              <w:jc w:val="center"/>
              <w:rPr>
                <w:rFonts w:cs="Times New Roman"/>
                <w:noProof/>
              </w:rPr>
            </w:pPr>
            <w:r>
              <w:rPr>
                <w:noProof/>
              </w:rPr>
              <w:t>94</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C104DF6" w14:textId="77777777" w:rsidR="00F53E3A" w:rsidRDefault="0036255F">
            <w:pPr>
              <w:pStyle w:val="P68B1DB1-Normal12"/>
              <w:spacing w:before="60" w:after="60"/>
              <w:rPr>
                <w:rFonts w:eastAsia="Times New Roman" w:cs="Times New Roman"/>
                <w:noProof/>
              </w:rPr>
            </w:pPr>
            <w:r>
              <w:rPr>
                <w:noProof/>
              </w:rPr>
              <w:t>D.1.1. Educația generală modernă – Contextul competențelor de bază</w:t>
            </w:r>
          </w:p>
          <w:p w14:paraId="60C5E081" w14:textId="3A041B89" w:rsidR="00F53E3A" w:rsidRDefault="0036255F">
            <w:pPr>
              <w:pStyle w:val="P68B1DB1-Normal12"/>
              <w:spacing w:before="60" w:after="60"/>
              <w:rPr>
                <w:rFonts w:cs="Times New Roman"/>
                <w:noProof/>
              </w:rPr>
            </w:pPr>
            <w:r>
              <w:rPr>
                <w:noProof/>
              </w:rPr>
              <w:t>D.1.1.2. Reorganizarea rețelei școlare</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24298F8" w14:textId="77777777"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FF32F58" w14:textId="77777777" w:rsidR="00F53E3A" w:rsidRDefault="0036255F">
            <w:pPr>
              <w:pStyle w:val="P68B1DB1-Normal12"/>
              <w:spacing w:before="60" w:after="60"/>
              <w:rPr>
                <w:rFonts w:cs="Times New Roman"/>
                <w:noProof/>
              </w:rPr>
            </w:pPr>
            <w:r>
              <w:rPr>
                <w:noProof/>
              </w:rPr>
              <w:t>Planuri de transformare a rețelei de școli de învățământ general elaborate și aprobate de municipalități în conformitate cu normele nou aprobate pentru dezvoltarea rețelei de școli care pun în aplicare programe de educație formală</w:t>
            </w:r>
          </w:p>
        </w:tc>
        <w:tc>
          <w:tcPr>
            <w:tcW w:w="127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F6C2739" w14:textId="77777777" w:rsidR="00F53E3A" w:rsidRDefault="0036255F">
            <w:pPr>
              <w:pStyle w:val="P68B1DB1-Normal12"/>
              <w:spacing w:before="60" w:after="60"/>
              <w:rPr>
                <w:rFonts w:cs="Times New Roman"/>
                <w:noProof/>
              </w:rPr>
            </w:pPr>
            <w:r>
              <w:rPr>
                <w:noProof/>
              </w:rPr>
              <w:t>Decizia municipalităților de aprobare a planurilor de către municipalități</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329910B" w14:textId="2EC87603"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CAE3CF1" w14:textId="0BF77176" w:rsidR="00F53E3A" w:rsidRDefault="00F53E3A">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364E39C" w14:textId="43B4D90C" w:rsidR="00F53E3A" w:rsidRDefault="00F53E3A">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07CAD78" w14:textId="18AAABDF" w:rsidR="00F53E3A" w:rsidRDefault="00DB2EC5">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A17873F" w14:textId="77777777" w:rsidR="00F53E3A" w:rsidRDefault="0036255F">
            <w:pPr>
              <w:pStyle w:val="P68B1DB1-Normal12"/>
              <w:spacing w:before="60" w:after="60"/>
              <w:jc w:val="center"/>
              <w:rPr>
                <w:rFonts w:cs="Times New Roman"/>
                <w:noProof/>
              </w:rPr>
            </w:pPr>
            <w:r>
              <w:rPr>
                <w:noProof/>
              </w:rPr>
              <w:t>2022</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42B2035" w14:textId="01064738" w:rsidR="00F53E3A" w:rsidRDefault="0036255F">
            <w:pPr>
              <w:pStyle w:val="P68B1DB1-Normal12"/>
              <w:spacing w:before="60" w:after="60"/>
              <w:jc w:val="both"/>
              <w:rPr>
                <w:rFonts w:eastAsia="Times New Roman" w:cs="Times New Roman"/>
                <w:noProof/>
              </w:rPr>
            </w:pPr>
            <w:r>
              <w:rPr>
                <w:noProof/>
              </w:rPr>
              <w:t>Planurile municipale de transformare pe 5 ani acoperă transformarea rețelei școlare, în special obiectivul strategic, obiectivele, prioritățile, indicatorii-cheie de performanță referitori la reducerea excluziunii sociale, calitatea educației și/sau îmbunătățirea rezultatelor școlare ale elevilor, utilizarea mai eficientă a fondurilor, evaluarea transformării rețelei școlare, precum și un mecanism pentru înființarea, reorganizarea și lichidarea școlilor.</w:t>
            </w:r>
          </w:p>
          <w:p w14:paraId="57A06255" w14:textId="68E6D136" w:rsidR="00F53E3A" w:rsidRDefault="0036255F">
            <w:pPr>
              <w:pStyle w:val="P68B1DB1-Normal12"/>
              <w:spacing w:before="60" w:after="60"/>
              <w:jc w:val="both"/>
              <w:rPr>
                <w:rFonts w:eastAsia="Times New Roman" w:cs="Times New Roman"/>
                <w:noProof/>
              </w:rPr>
            </w:pPr>
            <w:r>
              <w:rPr>
                <w:noProof/>
              </w:rPr>
              <w:t>Planurile pe 5 ani sunt elaborate de administrația municipală și sunt aprobate de consiliul municipal. Deciziile consiliilor municipale sunt supravegheate de un reprezentant al guvernului. Punerea în aplicare a planurilor este monitorizată de Departamentul pentru calitatea educației și politică regională din cadrul Ministerului Educației și Științei.</w:t>
            </w:r>
          </w:p>
          <w:p w14:paraId="6048292B" w14:textId="79F4E25A" w:rsidR="00F53E3A" w:rsidRDefault="0036255F">
            <w:pPr>
              <w:pStyle w:val="P68B1DB1-Normal12"/>
              <w:spacing w:before="60" w:after="60"/>
              <w:jc w:val="both"/>
              <w:rPr>
                <w:rFonts w:eastAsia="Times New Roman" w:cs="Times New Roman"/>
                <w:noProof/>
              </w:rPr>
            </w:pPr>
            <w:r>
              <w:rPr>
                <w:noProof/>
              </w:rPr>
              <w:t xml:space="preserve">Deciziile privind restructurarea școlilor se iau până la data de 30 aprilie a fiecărui an. </w:t>
            </w:r>
          </w:p>
          <w:p w14:paraId="1623B04F" w14:textId="4D00D397" w:rsidR="00F53E3A" w:rsidRDefault="0036255F">
            <w:pPr>
              <w:pStyle w:val="P68B1DB1-Normal12"/>
              <w:spacing w:before="60" w:after="60"/>
              <w:jc w:val="both"/>
              <w:rPr>
                <w:rFonts w:eastAsia="Times New Roman" w:cs="Times New Roman"/>
                <w:noProof/>
              </w:rPr>
            </w:pPr>
            <w:r>
              <w:rPr>
                <w:noProof/>
              </w:rPr>
              <w:t>Cel puțin 80 % dintre municipalități elaborează și adoptă planuri de transformare. Cel puțin 80 % dintre municipalități elaborează și adoptă planuri de transformare a rețelei lor de școli până în 2025 inclusiv, în conformitate cu normele relevante.</w:t>
            </w:r>
          </w:p>
        </w:tc>
      </w:tr>
      <w:tr w:rsidR="00F53E3A" w14:paraId="29BA2965" w14:textId="77777777" w:rsidTr="00CB74C1">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1EAA7F8" w14:textId="77777777" w:rsidR="00F53E3A" w:rsidRDefault="0036255F">
            <w:pPr>
              <w:pStyle w:val="P68B1DB1-Normal12"/>
              <w:spacing w:before="60" w:after="60"/>
              <w:jc w:val="center"/>
              <w:rPr>
                <w:rFonts w:cs="Times New Roman"/>
                <w:noProof/>
              </w:rPr>
            </w:pPr>
            <w:r>
              <w:rPr>
                <w:noProof/>
              </w:rPr>
              <w:t>95</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23AAC3C" w14:textId="1F4C1D9D" w:rsidR="00F53E3A" w:rsidRDefault="0036255F">
            <w:pPr>
              <w:pStyle w:val="P68B1DB1-Normal12"/>
              <w:spacing w:before="60" w:after="60"/>
              <w:rPr>
                <w:rFonts w:eastAsia="Times New Roman" w:cs="Times New Roman"/>
                <w:noProof/>
              </w:rPr>
            </w:pPr>
            <w:r>
              <w:rPr>
                <w:noProof/>
              </w:rPr>
              <w:t>D.1.1. Educația generală modernă – Contextul competențelor de bază</w:t>
            </w:r>
          </w:p>
          <w:p w14:paraId="1D60FF8A" w14:textId="6FEDC563" w:rsidR="00F53E3A" w:rsidRDefault="0036255F">
            <w:pPr>
              <w:pStyle w:val="P68B1DB1-Text128"/>
              <w:spacing w:before="60" w:after="60" w:line="276" w:lineRule="auto"/>
              <w:ind w:left="0"/>
              <w:jc w:val="left"/>
              <w:rPr>
                <w:noProof/>
              </w:rPr>
            </w:pPr>
            <w:r>
              <w:rPr>
                <w:noProof/>
              </w:rPr>
              <w:t>D.1.1.3: Programul Școlilor Mileniului</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D3803A3" w14:textId="77777777"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8F04806" w14:textId="77777777" w:rsidR="00F53E3A" w:rsidRDefault="0036255F">
            <w:pPr>
              <w:pStyle w:val="P68B1DB1-Normal12"/>
              <w:spacing w:before="60" w:after="60"/>
              <w:rPr>
                <w:rFonts w:cs="Times New Roman"/>
                <w:noProof/>
              </w:rPr>
            </w:pPr>
            <w:r>
              <w:rPr>
                <w:noProof/>
              </w:rPr>
              <w:t xml:space="preserve">Intrarea în vigoare a legislației privind Programul de progres școlar al mileniului </w:t>
            </w:r>
          </w:p>
        </w:tc>
        <w:tc>
          <w:tcPr>
            <w:tcW w:w="127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D932002" w14:textId="6EA8B412" w:rsidR="00F53E3A" w:rsidRDefault="0036255F">
            <w:pPr>
              <w:pStyle w:val="P68B1DB1-Normal12"/>
              <w:spacing w:before="60" w:after="60"/>
              <w:rPr>
                <w:rFonts w:cs="Times New Roman"/>
                <w:noProof/>
              </w:rPr>
            </w:pPr>
            <w:r>
              <w:rPr>
                <w:noProof/>
              </w:rPr>
              <w:t>Legislația a intrat în vigoare</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03FE643" w14:textId="459D9CA3"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E7163CA" w14:textId="4A8EEDE2" w:rsidR="00F53E3A" w:rsidRDefault="00F53E3A">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F0E3937" w14:textId="6848DAAE" w:rsidR="00F53E3A" w:rsidRDefault="00F53E3A">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FB5BE23" w14:textId="56147F05" w:rsidR="00F53E3A" w:rsidRDefault="00DB2EC5">
            <w:pPr>
              <w:pStyle w:val="P68B1DB1-Normal12"/>
              <w:spacing w:before="60" w:after="60"/>
              <w:jc w:val="center"/>
              <w:rPr>
                <w:rFonts w:cs="Times New Roman"/>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A4BFF4E" w14:textId="77777777" w:rsidR="00F53E3A" w:rsidRDefault="0036255F">
            <w:pPr>
              <w:pStyle w:val="P68B1DB1-Normal12"/>
              <w:spacing w:before="60" w:after="60"/>
              <w:jc w:val="center"/>
              <w:rPr>
                <w:rFonts w:cs="Times New Roman"/>
                <w:noProof/>
              </w:rPr>
            </w:pPr>
            <w:r>
              <w:rPr>
                <w:noProof/>
              </w:rPr>
              <w:t>2021</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08E5531" w14:textId="77777777" w:rsidR="00F53E3A" w:rsidRDefault="0036255F">
            <w:pPr>
              <w:pStyle w:val="P68B1DB1-Normal12"/>
              <w:spacing w:before="60" w:after="60"/>
              <w:jc w:val="both"/>
              <w:rPr>
                <w:rFonts w:eastAsiaTheme="minorEastAsia" w:cs="Times New Roman"/>
                <w:noProof/>
              </w:rPr>
            </w:pPr>
            <w:r>
              <w:rPr>
                <w:noProof/>
              </w:rPr>
              <w:t>Intrarea în vigoare a legislației privind Programul de progres școlar al mileniului, care include următoarele:</w:t>
            </w:r>
          </w:p>
          <w:p w14:paraId="6F66E3F5" w14:textId="77777777" w:rsidR="00F53E3A" w:rsidRDefault="0036255F">
            <w:pPr>
              <w:pStyle w:val="P68B1DB1-Normal12"/>
              <w:spacing w:before="60" w:after="60"/>
              <w:jc w:val="both"/>
              <w:rPr>
                <w:rFonts w:eastAsia="Times New Roman" w:cs="Times New Roman"/>
                <w:noProof/>
              </w:rPr>
            </w:pPr>
            <w:r>
              <w:rPr>
                <w:noProof/>
              </w:rPr>
              <w:t xml:space="preserve">1) listele indicatorilor de monitorizare a calității educaționale a municipalităților și școlilor (se aprobă prin ordin al ministrului educației, științei și sportului) </w:t>
            </w:r>
          </w:p>
          <w:p w14:paraId="59441FD2" w14:textId="77777777" w:rsidR="00F53E3A" w:rsidRDefault="0036255F">
            <w:pPr>
              <w:pStyle w:val="P68B1DB1-Normal12"/>
              <w:spacing w:before="60" w:after="60"/>
              <w:jc w:val="both"/>
              <w:rPr>
                <w:rFonts w:eastAsia="Times New Roman" w:cs="Times New Roman"/>
                <w:noProof/>
              </w:rPr>
            </w:pPr>
            <w:r>
              <w:rPr>
                <w:noProof/>
              </w:rPr>
              <w:t>2) modificări ale normelor de dezvoltare a rețelei școlare (aprobate prin Rezoluția Guvernului Republicii Lituania)</w:t>
            </w:r>
          </w:p>
          <w:p w14:paraId="25859D5F" w14:textId="77777777" w:rsidR="00F53E3A" w:rsidRDefault="0036255F">
            <w:pPr>
              <w:pStyle w:val="P68B1DB1-Normal12"/>
              <w:spacing w:before="60" w:after="60"/>
              <w:jc w:val="both"/>
              <w:rPr>
                <w:rFonts w:eastAsia="Times New Roman" w:cs="Times New Roman"/>
                <w:noProof/>
              </w:rPr>
            </w:pPr>
            <w:r>
              <w:rPr>
                <w:noProof/>
              </w:rPr>
              <w:t>3) programul de progres școlar al mileniului (aprobat prin ordin al ministrului educației, științei și sportului)</w:t>
            </w:r>
          </w:p>
          <w:p w14:paraId="11F31670" w14:textId="77777777" w:rsidR="00F53E3A" w:rsidRDefault="0036255F">
            <w:pPr>
              <w:pStyle w:val="P68B1DB1-Normal12"/>
              <w:spacing w:before="60" w:after="60"/>
              <w:jc w:val="both"/>
              <w:rPr>
                <w:rFonts w:eastAsia="Times New Roman" w:cs="Times New Roman"/>
                <w:noProof/>
              </w:rPr>
            </w:pPr>
            <w:r>
              <w:rPr>
                <w:noProof/>
              </w:rPr>
              <w:t xml:space="preserve">4) cerințe pentru cererile de propuneri pentru municipalități (obiective, indicatori, pachete de sprijin pentru municipalități și școli) </w:t>
            </w:r>
          </w:p>
          <w:p w14:paraId="35B080C2" w14:textId="77777777" w:rsidR="00F53E3A" w:rsidRDefault="0036255F">
            <w:pPr>
              <w:pStyle w:val="P68B1DB1-Normal12"/>
              <w:spacing w:before="60" w:after="60"/>
              <w:jc w:val="both"/>
              <w:rPr>
                <w:rFonts w:eastAsia="Times New Roman" w:cs="Times New Roman"/>
                <w:noProof/>
              </w:rPr>
            </w:pPr>
            <w:r>
              <w:rPr>
                <w:noProof/>
              </w:rPr>
              <w:t xml:space="preserve">5) un mecanism de monitorizare. </w:t>
            </w:r>
          </w:p>
          <w:p w14:paraId="4F48638C" w14:textId="77777777" w:rsidR="00F53E3A" w:rsidRDefault="0036255F">
            <w:pPr>
              <w:pStyle w:val="P68B1DB1-Normal12"/>
              <w:spacing w:before="60" w:after="60"/>
              <w:jc w:val="both"/>
              <w:rPr>
                <w:rFonts w:eastAsia="Times New Roman" w:cs="Times New Roman"/>
                <w:noProof/>
              </w:rPr>
            </w:pPr>
            <w:r>
              <w:rPr>
                <w:noProof/>
              </w:rPr>
              <w:t>Candidații municipali trebuie să îndeplinească criteriile de selecție necesare:</w:t>
            </w:r>
          </w:p>
          <w:p w14:paraId="271FE03B" w14:textId="77777777" w:rsidR="00F53E3A" w:rsidRDefault="0036255F">
            <w:pPr>
              <w:pStyle w:val="P68B1DB1-Normal12"/>
              <w:spacing w:before="60" w:after="60"/>
              <w:jc w:val="both"/>
              <w:rPr>
                <w:rFonts w:eastAsia="Times New Roman" w:cs="Times New Roman"/>
                <w:noProof/>
              </w:rPr>
            </w:pPr>
            <w:r>
              <w:rPr>
                <w:noProof/>
              </w:rPr>
              <w:t>1. poate solicita:</w:t>
            </w:r>
          </w:p>
          <w:p w14:paraId="0CEA0044" w14:textId="5A80E62F" w:rsidR="00F53E3A" w:rsidRDefault="0036255F">
            <w:pPr>
              <w:pStyle w:val="P68B1DB1-Normal12"/>
              <w:spacing w:before="60" w:after="60"/>
              <w:jc w:val="both"/>
              <w:rPr>
                <w:rFonts w:eastAsia="Times New Roman" w:cs="Times New Roman"/>
                <w:noProof/>
              </w:rPr>
            </w:pPr>
            <w:r>
              <w:rPr>
                <w:noProof/>
              </w:rPr>
              <w:t>1.1. o municipalitate cu cel puțin 1 000 de elevi înscriși în învățământul preșcolar, primar, primar și secundar;</w:t>
            </w:r>
          </w:p>
          <w:p w14:paraId="0818F976" w14:textId="69B16065" w:rsidR="00F53E3A" w:rsidRDefault="0036255F">
            <w:pPr>
              <w:pStyle w:val="P68B1DB1-Normal12"/>
              <w:spacing w:before="60" w:after="60"/>
              <w:jc w:val="both"/>
              <w:rPr>
                <w:rFonts w:eastAsia="Times New Roman" w:cs="Times New Roman"/>
                <w:noProof/>
              </w:rPr>
            </w:pPr>
            <w:r>
              <w:rPr>
                <w:noProof/>
              </w:rPr>
              <w:t xml:space="preserve">1.2. două sau mai multe municipalități învecinate (învecinate din punct de vedere teritorial) care corespund criteriului 1; </w:t>
            </w:r>
          </w:p>
          <w:p w14:paraId="4126E5A8" w14:textId="77777777" w:rsidR="00F53E3A" w:rsidRDefault="0036255F">
            <w:pPr>
              <w:pStyle w:val="P68B1DB1-Normal12"/>
              <w:spacing w:before="60" w:after="60"/>
              <w:jc w:val="both"/>
              <w:rPr>
                <w:rFonts w:eastAsia="Times New Roman" w:cs="Times New Roman"/>
                <w:noProof/>
              </w:rPr>
            </w:pPr>
            <w:r>
              <w:rPr>
                <w:noProof/>
              </w:rPr>
              <w:t>1.3. două sau mai multe municipalități adiacente (adiacente din punct de vedere teritorial), atunci când una dintre acestea nu îndeplinește criteriul 1.1.</w:t>
            </w:r>
          </w:p>
          <w:p w14:paraId="0C4523F1" w14:textId="77777777" w:rsidR="00F53E3A" w:rsidRDefault="0036255F">
            <w:pPr>
              <w:pStyle w:val="P68B1DB1-Normal12"/>
              <w:spacing w:before="60" w:after="60"/>
              <w:jc w:val="both"/>
              <w:rPr>
                <w:rFonts w:eastAsia="Times New Roman" w:cs="Times New Roman"/>
                <w:noProof/>
              </w:rPr>
            </w:pPr>
            <w:r>
              <w:rPr>
                <w:noProof/>
              </w:rPr>
              <w:t>2. Condiții prealabile:</w:t>
            </w:r>
          </w:p>
          <w:p w14:paraId="53809A15" w14:textId="77777777" w:rsidR="00F53E3A" w:rsidRDefault="0036255F">
            <w:pPr>
              <w:pStyle w:val="P68B1DB1-Normal12"/>
              <w:spacing w:before="60" w:after="60"/>
              <w:jc w:val="both"/>
              <w:rPr>
                <w:rFonts w:eastAsia="Times New Roman" w:cs="Times New Roman"/>
                <w:noProof/>
              </w:rPr>
            </w:pPr>
            <w:r>
              <w:rPr>
                <w:noProof/>
              </w:rPr>
              <w:t xml:space="preserve">2.1. a fost elaborată o viziune pentru dezvoltarea unei rețele de școli ale mileniului progresiste: vor fi identificate investițiile și inovațiile planificate, care vor atinge standardul de calitate al Școlilor Mileniului, vor consolida exprimarea caracteristicilor Școlii bune, vor pune în aplicare angajamentele în conformitate cu indicatorii de progres; </w:t>
            </w:r>
          </w:p>
          <w:p w14:paraId="07A4070D" w14:textId="77777777" w:rsidR="00F53E3A" w:rsidRDefault="0036255F">
            <w:pPr>
              <w:pStyle w:val="P68B1DB1-Normal12"/>
              <w:spacing w:before="60" w:after="60"/>
              <w:jc w:val="both"/>
              <w:rPr>
                <w:rFonts w:eastAsia="Times New Roman" w:cs="Times New Roman"/>
                <w:noProof/>
              </w:rPr>
            </w:pPr>
            <w:r>
              <w:rPr>
                <w:noProof/>
              </w:rPr>
              <w:t>2.2. planul general de reorganizare a rețelei școlare de învățământ general pentru perioada 2021-2025 aprobat de consiliul municipal, care respectă dispozițiile normelor de dezvoltare a rețelei de școli care pun în aplicare programe de educație formală (de exemplu, nu există grade comune 5-8; în clasele 1-4, pot fi combinate numai clasele 1 și 2 sau 3 și 4 două clase adiacente.);</w:t>
            </w:r>
          </w:p>
          <w:p w14:paraId="3AAF3505" w14:textId="33D0CE33" w:rsidR="00F53E3A" w:rsidRDefault="0036255F">
            <w:pPr>
              <w:pStyle w:val="P68B1DB1-Normal12"/>
              <w:spacing w:before="60" w:after="60"/>
              <w:jc w:val="both"/>
              <w:rPr>
                <w:rFonts w:eastAsia="Times New Roman" w:cs="Times New Roman"/>
                <w:noProof/>
              </w:rPr>
            </w:pPr>
            <w:r>
              <w:rPr>
                <w:noProof/>
              </w:rPr>
              <w:t>2.3. lista școlilor care formează rețeaua „Millennium Schools” din municipalitate și care îndeplinesc criteriile de la punctul 3, aprobată de consiliul municipal.</w:t>
            </w:r>
          </w:p>
          <w:p w14:paraId="6E91DC9A" w14:textId="77777777" w:rsidR="00F53E3A" w:rsidRDefault="0036255F">
            <w:pPr>
              <w:pStyle w:val="P68B1DB1-Normal12"/>
              <w:spacing w:before="60" w:after="60"/>
              <w:jc w:val="both"/>
              <w:rPr>
                <w:rFonts w:eastAsia="Times New Roman" w:cs="Times New Roman"/>
                <w:noProof/>
              </w:rPr>
            </w:pPr>
            <w:r>
              <w:rPr>
                <w:noProof/>
              </w:rPr>
              <w:t>3. Criterii pentru școli (nu se aplică școlilor a căror înființare este planificată):</w:t>
            </w:r>
          </w:p>
          <w:p w14:paraId="6CC8ED57" w14:textId="77777777" w:rsidR="00F53E3A" w:rsidRDefault="0036255F">
            <w:pPr>
              <w:pStyle w:val="P68B1DB1-Normal12"/>
              <w:spacing w:before="60" w:after="60"/>
              <w:jc w:val="both"/>
              <w:rPr>
                <w:rFonts w:eastAsia="Times New Roman" w:cs="Times New Roman"/>
                <w:noProof/>
              </w:rPr>
            </w:pPr>
            <w:r>
              <w:rPr>
                <w:noProof/>
              </w:rPr>
              <w:t>3.1. școala nu organizează selecția elevilor în timpul admiterii;</w:t>
            </w:r>
          </w:p>
          <w:p w14:paraId="734603EF" w14:textId="550A02D2" w:rsidR="00F53E3A" w:rsidRDefault="0036255F">
            <w:pPr>
              <w:pStyle w:val="P68B1DB1-Normal12"/>
              <w:spacing w:before="60" w:after="60"/>
              <w:jc w:val="both"/>
              <w:rPr>
                <w:rFonts w:eastAsia="Times New Roman" w:cs="Times New Roman"/>
                <w:noProof/>
              </w:rPr>
            </w:pPr>
            <w:r>
              <w:rPr>
                <w:noProof/>
              </w:rPr>
              <w:t>3.2. numărul de elevi la data de 1 septembrie a anului școlar în curs. Există cel puțin 200 de elevi.</w:t>
            </w:r>
          </w:p>
          <w:p w14:paraId="6011E63A" w14:textId="77777777" w:rsidR="00F53E3A" w:rsidRDefault="0036255F">
            <w:pPr>
              <w:pStyle w:val="P68B1DB1-Normal12"/>
              <w:spacing w:before="60" w:after="60"/>
              <w:jc w:val="both"/>
              <w:rPr>
                <w:rFonts w:cs="Times New Roman"/>
                <w:noProof/>
              </w:rPr>
            </w:pPr>
            <w:r>
              <w:rPr>
                <w:noProof/>
              </w:rPr>
              <w:t>Punerea în aplicare a programului este monitorizată de Ministerul Educației, Științei și Sportului (a fost înființat un grup de monitorizare).</w:t>
            </w:r>
          </w:p>
        </w:tc>
      </w:tr>
      <w:tr w:rsidR="00F53E3A" w14:paraId="7ACD24FF" w14:textId="77777777" w:rsidTr="00CB74C1">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5D2D7DD" w14:textId="4DD47AF6" w:rsidR="00F53E3A" w:rsidRDefault="0036255F">
            <w:pPr>
              <w:pStyle w:val="P68B1DB1-Normal12"/>
              <w:spacing w:before="60" w:after="60"/>
              <w:jc w:val="center"/>
              <w:rPr>
                <w:rFonts w:cs="Times New Roman"/>
                <w:noProof/>
              </w:rPr>
            </w:pPr>
            <w:r>
              <w:rPr>
                <w:noProof/>
              </w:rPr>
              <w:t>96</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4B020C2" w14:textId="28D27B7D" w:rsidR="00F53E3A" w:rsidRDefault="0036255F">
            <w:pPr>
              <w:pStyle w:val="P68B1DB1-Normal12"/>
              <w:spacing w:before="60" w:after="60"/>
              <w:rPr>
                <w:rFonts w:cs="Times New Roman"/>
                <w:noProof/>
              </w:rPr>
            </w:pPr>
            <w:r>
              <w:rPr>
                <w:noProof/>
              </w:rPr>
              <w:t>D.1.1 Învățământ general modern – Contextul competențelor de bază</w:t>
            </w:r>
          </w:p>
          <w:p w14:paraId="561EE8FB" w14:textId="6F54BE0B" w:rsidR="00F53E3A" w:rsidRDefault="0036255F">
            <w:pPr>
              <w:pStyle w:val="P68B1DB1-Text128"/>
              <w:spacing w:before="60" w:after="60" w:line="276" w:lineRule="auto"/>
              <w:ind w:left="0"/>
              <w:jc w:val="left"/>
              <w:rPr>
                <w:noProof/>
              </w:rPr>
            </w:pPr>
            <w:r>
              <w:rPr>
                <w:noProof/>
              </w:rPr>
              <w:t>D.1.1.3: Programul Școlilor Mileniului</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ADCBAAC" w14:textId="77777777" w:rsidR="00F53E3A" w:rsidRDefault="0036255F">
            <w:pPr>
              <w:pStyle w:val="P68B1DB1-Normal12"/>
              <w:spacing w:before="60" w:after="60"/>
              <w:jc w:val="center"/>
              <w:rPr>
                <w:rFonts w:cs="Times New Roman"/>
                <w:noProof/>
              </w:rPr>
            </w:pPr>
            <w:r>
              <w:rPr>
                <w:noProof/>
              </w:rPr>
              <w:t>Țintă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0F2625B" w14:textId="4D1FBEEF" w:rsidR="00F53E3A" w:rsidRDefault="0036255F">
            <w:pPr>
              <w:pStyle w:val="P68B1DB1-Normal12"/>
              <w:spacing w:before="60" w:after="60"/>
              <w:rPr>
                <w:noProof/>
              </w:rPr>
            </w:pPr>
            <w:r>
              <w:rPr>
                <w:noProof/>
              </w:rPr>
              <w:t>Activități executate</w:t>
            </w:r>
          </w:p>
        </w:tc>
        <w:tc>
          <w:tcPr>
            <w:tcW w:w="127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DB3F8ED" w14:textId="700297B9" w:rsidR="00F53E3A" w:rsidRDefault="00F53E3A">
            <w:pPr>
              <w:spacing w:before="60" w:after="60"/>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C617AF6" w14:textId="55ECBBC0" w:rsidR="00F53E3A" w:rsidRDefault="0036255F">
            <w:pPr>
              <w:pStyle w:val="P68B1DB1-Normal12"/>
              <w:spacing w:before="60" w:after="60"/>
              <w:rPr>
                <w:noProof/>
              </w:rPr>
            </w:pPr>
            <w:r>
              <w:rPr>
                <w:noProof/>
              </w:rPr>
              <w:t>Numărul de activități executate</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2B6ECBC" w14:textId="77777777" w:rsidR="00F53E3A" w:rsidRDefault="0036255F">
            <w:pPr>
              <w:pStyle w:val="P68B1DB1-Normal12"/>
              <w:spacing w:before="60" w:after="60"/>
              <w:jc w:val="center"/>
              <w:rPr>
                <w:rFonts w:cs="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EA4B912" w14:textId="75EBA849" w:rsidR="00F53E3A" w:rsidRDefault="0036255F">
            <w:pPr>
              <w:pStyle w:val="P68B1DB1-Normal12"/>
              <w:spacing w:before="60" w:after="60"/>
              <w:jc w:val="center"/>
              <w:rPr>
                <w:rFonts w:cs="Times New Roman"/>
                <w:noProof/>
              </w:rPr>
            </w:pPr>
            <w:r>
              <w:rPr>
                <w:noProof/>
              </w:rPr>
              <w:t>150</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05CBA0A" w14:textId="4B25A172" w:rsidR="00F53E3A" w:rsidRDefault="00DB2EC5">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059C497" w14:textId="00DE11E9" w:rsidR="00F53E3A" w:rsidRDefault="0036255F">
            <w:pPr>
              <w:pStyle w:val="P68B1DB1-Normal12"/>
              <w:spacing w:before="60" w:after="60"/>
              <w:jc w:val="center"/>
              <w:rPr>
                <w:rFonts w:cs="Times New Roman"/>
                <w:noProof/>
              </w:rPr>
            </w:pPr>
            <w:r>
              <w:rPr>
                <w:noProof/>
              </w:rPr>
              <w:t>2026</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D775C1" w14:textId="50184C1D" w:rsidR="00F53E3A" w:rsidRDefault="0036255F">
            <w:pPr>
              <w:pStyle w:val="P68B1DB1-Normal13"/>
              <w:spacing w:after="0"/>
              <w:jc w:val="both"/>
              <w:rPr>
                <w:noProof/>
              </w:rPr>
            </w:pPr>
            <w:r>
              <w:rPr>
                <w:noProof/>
              </w:rPr>
              <w:t>Cel puțin o activitate desfășurată în cel puțin 150 școli enumerate în acordurile semnate între Agenția FSE și CPMA cu privire la Programul pentru școli Millenium.</w:t>
            </w:r>
          </w:p>
        </w:tc>
      </w:tr>
      <w:tr w:rsidR="00F53E3A" w14:paraId="1F33300E" w14:textId="77777777" w:rsidTr="00CB74C1">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E0F6B8D" w14:textId="77777777" w:rsidR="00F53E3A" w:rsidRDefault="0036255F">
            <w:pPr>
              <w:pStyle w:val="P68B1DB1-Normal12"/>
              <w:spacing w:before="60" w:after="60"/>
              <w:jc w:val="center"/>
              <w:rPr>
                <w:rFonts w:cs="Times New Roman"/>
                <w:noProof/>
              </w:rPr>
            </w:pPr>
            <w:r>
              <w:rPr>
                <w:noProof/>
              </w:rPr>
              <w:t>98</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09E0BF7" w14:textId="77777777" w:rsidR="00F53E3A" w:rsidRDefault="0036255F">
            <w:pPr>
              <w:pStyle w:val="P68B1DB1-Normal12"/>
              <w:spacing w:before="60" w:after="60"/>
              <w:rPr>
                <w:rFonts w:cs="Times New Roman"/>
                <w:noProof/>
              </w:rPr>
            </w:pPr>
            <w:r>
              <w:rPr>
                <w:noProof/>
              </w:rPr>
              <w:t>D.1.1. Educația generală modernă – Contextul competențelor de bază</w:t>
            </w:r>
          </w:p>
          <w:p w14:paraId="730CD5A8" w14:textId="4C873506" w:rsidR="00F53E3A" w:rsidRDefault="0036255F">
            <w:pPr>
              <w:pStyle w:val="P68B1DB1-Normal12"/>
              <w:spacing w:before="60" w:after="60"/>
              <w:rPr>
                <w:rFonts w:cs="Times New Roman"/>
                <w:noProof/>
              </w:rPr>
            </w:pPr>
            <w:r>
              <w:rPr>
                <w:noProof/>
              </w:rPr>
              <w:t>D.1.1.4: Formarea personalului pedagogic</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E6D79DA" w14:textId="77777777" w:rsidR="00F53E3A" w:rsidRDefault="0036255F">
            <w:pPr>
              <w:pStyle w:val="P68B1DB1-Normal12"/>
              <w:spacing w:before="60" w:after="60"/>
              <w:jc w:val="center"/>
              <w:rPr>
                <w:rFonts w:cs="Times New Roman"/>
                <w:noProof/>
              </w:rPr>
            </w:pPr>
            <w:r>
              <w:rPr>
                <w:noProof/>
              </w:rPr>
              <w:t>Țintă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8E888B8" w14:textId="6E5FBCC5" w:rsidR="00F53E3A" w:rsidRDefault="0036255F">
            <w:pPr>
              <w:pStyle w:val="P68B1DB1-Normal12"/>
              <w:spacing w:before="60" w:after="60"/>
              <w:rPr>
                <w:noProof/>
              </w:rPr>
            </w:pPr>
            <w:r>
              <w:rPr>
                <w:noProof/>
              </w:rPr>
              <w:t>Numărul de persoane care au urmat cursuri de formare sau au obținut o diplomă de masterat</w:t>
            </w:r>
          </w:p>
        </w:tc>
        <w:tc>
          <w:tcPr>
            <w:tcW w:w="127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BD1E397" w14:textId="09C7478D" w:rsidR="00F53E3A" w:rsidRDefault="00F53E3A">
            <w:pPr>
              <w:spacing w:before="60" w:after="60"/>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E151582" w14:textId="77777777" w:rsidR="00F53E3A" w:rsidRDefault="0036255F">
            <w:pPr>
              <w:pStyle w:val="P68B1DB1-Normal12"/>
              <w:spacing w:before="60" w:after="60"/>
              <w:jc w:val="center"/>
              <w:rPr>
                <w:rFonts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9E70D98" w14:textId="77777777" w:rsidR="00F53E3A" w:rsidRDefault="0036255F">
            <w:pPr>
              <w:pStyle w:val="P68B1DB1-Normal12"/>
              <w:spacing w:before="60" w:after="60"/>
              <w:jc w:val="center"/>
              <w:rPr>
                <w:rFonts w:cs="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0015350" w14:textId="138A9C80" w:rsidR="00F53E3A" w:rsidRDefault="0036255F">
            <w:pPr>
              <w:pStyle w:val="P68B1DB1-Normal12"/>
              <w:spacing w:before="60" w:after="60"/>
              <w:jc w:val="center"/>
              <w:rPr>
                <w:noProof/>
              </w:rPr>
            </w:pPr>
            <w:r>
              <w:rPr>
                <w:noProof/>
              </w:rPr>
              <w:t>4 900</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DE60EC2" w14:textId="4F629991" w:rsidR="00F53E3A" w:rsidRDefault="00DB2EC5">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DD11B7D" w14:textId="77777777" w:rsidR="00F53E3A" w:rsidRDefault="0036255F">
            <w:pPr>
              <w:pStyle w:val="P68B1DB1-Normal12"/>
              <w:spacing w:before="60" w:after="60"/>
              <w:jc w:val="center"/>
              <w:rPr>
                <w:rFonts w:cs="Times New Roman"/>
                <w:noProof/>
              </w:rPr>
            </w:pPr>
            <w:r>
              <w:rPr>
                <w:noProof/>
              </w:rPr>
              <w:t>2026</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C471D14" w14:textId="61A619FB" w:rsidR="00F53E3A" w:rsidRDefault="0036255F">
            <w:pPr>
              <w:pStyle w:val="P68B1DB1-Normal12"/>
              <w:spacing w:before="60" w:after="60"/>
              <w:jc w:val="both"/>
              <w:rPr>
                <w:rFonts w:eastAsia="Times New Roman" w:cs="Times New Roman"/>
                <w:noProof/>
              </w:rPr>
            </w:pPr>
            <w:r>
              <w:rPr>
                <w:noProof/>
              </w:rPr>
              <w:t>4 000 de persoane au fost instruite și 900 au obținut o diplomă de masterat.</w:t>
            </w:r>
          </w:p>
        </w:tc>
      </w:tr>
      <w:tr w:rsidR="00F53E3A" w14:paraId="548AAE91" w14:textId="77777777" w:rsidTr="00CB74C1">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9C74DE0" w14:textId="77777777" w:rsidR="00F53E3A" w:rsidRDefault="0036255F">
            <w:pPr>
              <w:pStyle w:val="P68B1DB1-Normal12"/>
              <w:spacing w:before="60" w:after="60"/>
              <w:jc w:val="center"/>
              <w:rPr>
                <w:rFonts w:cs="Times New Roman"/>
                <w:noProof/>
              </w:rPr>
            </w:pPr>
            <w:r>
              <w:rPr>
                <w:noProof/>
              </w:rPr>
              <w:t>99</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E03341C" w14:textId="77777777" w:rsidR="00F53E3A" w:rsidRDefault="0036255F">
            <w:pPr>
              <w:pStyle w:val="P68B1DB1-Normal12"/>
              <w:spacing w:before="60" w:after="60"/>
              <w:rPr>
                <w:rFonts w:cs="Times New Roman"/>
                <w:noProof/>
              </w:rPr>
            </w:pPr>
            <w:r>
              <w:rPr>
                <w:noProof/>
              </w:rPr>
              <w:t>D.1.1. Educația generală modernă – Contextul competențelor de bază</w:t>
            </w:r>
          </w:p>
          <w:p w14:paraId="1BF2F6AF" w14:textId="20B2AD3C" w:rsidR="00F53E3A" w:rsidRDefault="0036255F">
            <w:pPr>
              <w:pStyle w:val="P68B1DB1-Normal12"/>
              <w:spacing w:before="60" w:after="60"/>
              <w:rPr>
                <w:rFonts w:cs="Times New Roman"/>
                <w:noProof/>
              </w:rPr>
            </w:pPr>
            <w:r>
              <w:rPr>
                <w:noProof/>
              </w:rPr>
              <w:t>D.1.1.4: Formarea personalului pedagogic</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2EE4940" w14:textId="77777777"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96F25B4" w14:textId="09FF6454" w:rsidR="00F53E3A" w:rsidRDefault="0036255F">
            <w:pPr>
              <w:pStyle w:val="P68B1DB1-Normal12"/>
              <w:spacing w:before="60" w:after="60"/>
              <w:rPr>
                <w:rFonts w:cs="Times New Roman"/>
                <w:noProof/>
              </w:rPr>
            </w:pPr>
            <w:r>
              <w:rPr>
                <w:noProof/>
              </w:rPr>
              <w:t>Intrarea în vigoare a legislației care stabilește cerințele pentru pregătirea și punerea în aplicare a programelor naționale de dezvoltare a calificărilor pentru personalul pedagogic.</w:t>
            </w:r>
          </w:p>
        </w:tc>
        <w:tc>
          <w:tcPr>
            <w:tcW w:w="127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0655FD" w14:textId="77777777" w:rsidR="00F53E3A" w:rsidRDefault="0036255F">
            <w:pPr>
              <w:pStyle w:val="P68B1DB1-Normal12"/>
              <w:spacing w:before="60" w:after="60"/>
              <w:rPr>
                <w:rFonts w:cs="Times New Roman"/>
                <w:noProof/>
              </w:rPr>
            </w:pPr>
            <w:r>
              <w:rPr>
                <w:noProof/>
              </w:rPr>
              <w:t xml:space="preserve">Legislația a intrat în vigoare </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1D9E75" w14:textId="098E4327"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954B649" w14:textId="71209202" w:rsidR="00F53E3A" w:rsidRDefault="00F53E3A">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1E1E8CF" w14:textId="78D07B8C" w:rsidR="00F53E3A" w:rsidRDefault="00F53E3A">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2AD2251" w14:textId="6E0E9A89" w:rsidR="00F53E3A" w:rsidRDefault="00DB2EC5">
            <w:pPr>
              <w:pStyle w:val="P68B1DB1-Normal12"/>
              <w:spacing w:before="60" w:after="60"/>
              <w:jc w:val="center"/>
              <w:rPr>
                <w:rFonts w:cs="Times New Roman"/>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70A6475" w14:textId="77777777" w:rsidR="00F53E3A" w:rsidRDefault="0036255F">
            <w:pPr>
              <w:pStyle w:val="P68B1DB1-Normal12"/>
              <w:spacing w:before="60" w:after="60"/>
              <w:jc w:val="center"/>
              <w:rPr>
                <w:rFonts w:cs="Times New Roman"/>
                <w:noProof/>
              </w:rPr>
            </w:pPr>
            <w:r>
              <w:rPr>
                <w:noProof/>
              </w:rPr>
              <w:t>2022</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1F5FA29" w14:textId="302331DA" w:rsidR="00F53E3A" w:rsidRDefault="0036255F">
            <w:pPr>
              <w:pStyle w:val="P68B1DB1-Normal12"/>
              <w:spacing w:before="60" w:after="60"/>
              <w:jc w:val="both"/>
              <w:rPr>
                <w:rFonts w:eastAsia="Cambria" w:cs="Times New Roman"/>
                <w:noProof/>
              </w:rPr>
            </w:pPr>
            <w:r>
              <w:rPr>
                <w:noProof/>
              </w:rPr>
              <w:t>Intrarea în vigoare a legislației privind cerințele calitative pentru pregătirea și punerea în aplicare a programelor naționale de dezvoltare a calificărilor pentru personalul pedagogic, care vor fi elaborate și validate. Acestea stabilesc conținutul, subiectele, formularele de punere în aplicare, cerințele pentru furnizorii de punere în aplicare a programelor naționale de dezvoltare a calificărilor pentru personalul pedagogic.</w:t>
            </w:r>
          </w:p>
        </w:tc>
      </w:tr>
      <w:tr w:rsidR="00F53E3A" w14:paraId="7E73CEA2" w14:textId="77777777" w:rsidTr="00CB74C1">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757C8F1" w14:textId="6B7E0D7A" w:rsidR="00F53E3A" w:rsidRDefault="0036255F">
            <w:pPr>
              <w:pStyle w:val="P68B1DB1-Normal12"/>
              <w:spacing w:before="60" w:after="60"/>
              <w:jc w:val="center"/>
              <w:rPr>
                <w:rFonts w:cs="Times New Roman"/>
                <w:noProof/>
              </w:rPr>
            </w:pPr>
            <w:r>
              <w:rPr>
                <w:noProof/>
              </w:rPr>
              <w:t>100</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DC4B558" w14:textId="77777777" w:rsidR="00F53E3A" w:rsidRDefault="0036255F">
            <w:pPr>
              <w:pStyle w:val="P68B1DB1-Normal12"/>
              <w:spacing w:before="60" w:after="60"/>
              <w:rPr>
                <w:rFonts w:cs="Times New Roman"/>
                <w:noProof/>
              </w:rPr>
            </w:pPr>
            <w:r>
              <w:rPr>
                <w:noProof/>
              </w:rPr>
              <w:t>D.1.1. Educația generală modernă – Contextul competențelor de bază</w:t>
            </w:r>
          </w:p>
          <w:p w14:paraId="0515B85C" w14:textId="3C3F89ED" w:rsidR="00F53E3A" w:rsidRDefault="0036255F">
            <w:pPr>
              <w:pStyle w:val="P68B1DB1-Text128"/>
              <w:spacing w:before="60" w:after="60" w:line="276" w:lineRule="auto"/>
              <w:ind w:left="0"/>
              <w:jc w:val="left"/>
              <w:rPr>
                <w:noProof/>
              </w:rPr>
            </w:pPr>
            <w:r>
              <w:rPr>
                <w:noProof/>
              </w:rPr>
              <w:t xml:space="preserve">D.1.1.5: Sprijinirea achiziționării de echipamente pentru centrele STIAM și laboratoarele mobile </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D4E441D" w14:textId="54722364"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E97EA32" w14:textId="39C4A440" w:rsidR="00F53E3A" w:rsidRDefault="0036255F">
            <w:pPr>
              <w:pStyle w:val="P68B1DB1-Normal12"/>
              <w:spacing w:before="60" w:after="60"/>
              <w:rPr>
                <w:rFonts w:cs="Times New Roman"/>
                <w:noProof/>
              </w:rPr>
            </w:pPr>
            <w:r>
              <w:rPr>
                <w:noProof/>
              </w:rPr>
              <w:t xml:space="preserve">Echipamente achiziționate pentru centrele STIAM și laboratoarele mobile </w:t>
            </w:r>
          </w:p>
        </w:tc>
        <w:tc>
          <w:tcPr>
            <w:tcW w:w="127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5005BF4" w14:textId="42BA22B6" w:rsidR="00F53E3A" w:rsidRDefault="0036255F">
            <w:pPr>
              <w:pStyle w:val="P68B1DB1-Normal29"/>
              <w:spacing w:before="60" w:after="60"/>
              <w:rPr>
                <w:noProof/>
              </w:rPr>
            </w:pPr>
            <w:r>
              <w:rPr>
                <w:noProof/>
              </w:rPr>
              <w:t>Facturi plătite</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9D466AC" w14:textId="47DDEB77"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473B5D0" w14:textId="279F0142" w:rsidR="00F53E3A" w:rsidRDefault="00F53E3A">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612EAE5" w14:textId="1A001054" w:rsidR="00F53E3A" w:rsidRDefault="00F53E3A">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ECA1041" w14:textId="6099EC85" w:rsidR="00F53E3A" w:rsidRDefault="00DB2EC5">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8DE8F3D" w14:textId="77777777" w:rsidR="00F53E3A" w:rsidRDefault="0036255F">
            <w:pPr>
              <w:pStyle w:val="P68B1DB1-Normal12"/>
              <w:spacing w:before="60" w:after="60"/>
              <w:jc w:val="center"/>
              <w:rPr>
                <w:rFonts w:cs="Times New Roman"/>
                <w:noProof/>
              </w:rPr>
            </w:pPr>
            <w:r>
              <w:rPr>
                <w:noProof/>
              </w:rPr>
              <w:t>2026</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D29FA4A" w14:textId="1AF0C12F" w:rsidR="00F53E3A" w:rsidRDefault="0036255F">
            <w:pPr>
              <w:pStyle w:val="CommentText"/>
              <w:spacing w:before="60" w:after="60" w:line="276" w:lineRule="auto"/>
              <w:rPr>
                <w:noProof/>
              </w:rPr>
            </w:pPr>
            <w:r>
              <w:rPr>
                <w:noProof/>
              </w:rPr>
              <w:t>Facturi plătite pentru echipamente pentru 10 centre STIAM și 40 laboratoare mobile.</w:t>
            </w:r>
          </w:p>
        </w:tc>
      </w:tr>
      <w:tr w:rsidR="00F53E3A" w14:paraId="113AEBD4" w14:textId="77777777" w:rsidTr="00CB74C1">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31A8B6E" w14:textId="77777777" w:rsidR="00F53E3A" w:rsidRDefault="0036255F">
            <w:pPr>
              <w:pStyle w:val="P68B1DB1-Normal12"/>
              <w:spacing w:before="60" w:after="60"/>
              <w:jc w:val="center"/>
              <w:rPr>
                <w:rFonts w:cs="Times New Roman"/>
                <w:noProof/>
              </w:rPr>
            </w:pPr>
            <w:r>
              <w:rPr>
                <w:noProof/>
              </w:rPr>
              <w:t>102</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C63EB35" w14:textId="419E1151" w:rsidR="00F53E3A" w:rsidRDefault="0036255F">
            <w:pPr>
              <w:pStyle w:val="P68B1DB1-Normal12"/>
              <w:spacing w:before="60" w:after="60"/>
              <w:rPr>
                <w:rFonts w:eastAsia="Times New Roman" w:cs="Times New Roman"/>
                <w:noProof/>
              </w:rPr>
            </w:pPr>
            <w:r>
              <w:rPr>
                <w:noProof/>
              </w:rPr>
              <w:t>D.1.1. Educația generală modernă – Contextul competențelor de bază</w:t>
            </w:r>
          </w:p>
          <w:p w14:paraId="5E6F1064" w14:textId="0F103473" w:rsidR="00F53E3A" w:rsidRDefault="0036255F">
            <w:pPr>
              <w:pStyle w:val="P68B1DB1-Normal12"/>
              <w:spacing w:before="60" w:after="60"/>
              <w:rPr>
                <w:rFonts w:cs="Times New Roman"/>
                <w:noProof/>
              </w:rPr>
            </w:pPr>
            <w:r>
              <w:rPr>
                <w:noProof/>
              </w:rPr>
              <w:t>D.1.1.6: Transformarea educației digitale</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5D4A7F7" w14:textId="77777777" w:rsidR="00F53E3A" w:rsidRDefault="0036255F">
            <w:pPr>
              <w:pStyle w:val="P68B1DB1-Normal12"/>
              <w:spacing w:before="60" w:after="60"/>
              <w:jc w:val="center"/>
              <w:rPr>
                <w:rFonts w:cs="Times New Roman"/>
                <w:noProof/>
              </w:rPr>
            </w:pPr>
            <w:r>
              <w:rPr>
                <w:noProof/>
              </w:rPr>
              <w:t>Țintă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027B102" w14:textId="43C664DE" w:rsidR="00F53E3A" w:rsidRDefault="0036255F">
            <w:pPr>
              <w:pStyle w:val="P68B1DB1-Normal12"/>
              <w:spacing w:before="60" w:after="60"/>
              <w:rPr>
                <w:rFonts w:cs="Times New Roman"/>
                <w:noProof/>
              </w:rPr>
            </w:pPr>
            <w:r>
              <w:rPr>
                <w:noProof/>
              </w:rPr>
              <w:t>Numărul de membri ai personalului pedagogic care au absolvit cursul de îmbunătățire a competențelor digitale</w:t>
            </w:r>
          </w:p>
        </w:tc>
        <w:tc>
          <w:tcPr>
            <w:tcW w:w="127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BE974F" w14:textId="39264056" w:rsidR="00F53E3A" w:rsidRDefault="00F53E3A">
            <w:pPr>
              <w:spacing w:before="60" w:after="60"/>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3BF75A9" w14:textId="77777777" w:rsidR="00F53E3A" w:rsidRDefault="0036255F">
            <w:pPr>
              <w:pStyle w:val="P68B1DB1-Normal12"/>
              <w:spacing w:before="60" w:after="60"/>
              <w:jc w:val="center"/>
              <w:rPr>
                <w:rFonts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311A491" w14:textId="77777777" w:rsidR="00F53E3A" w:rsidRDefault="0036255F">
            <w:pPr>
              <w:pStyle w:val="P68B1DB1-Normal12"/>
              <w:spacing w:before="60" w:after="60"/>
              <w:jc w:val="center"/>
              <w:rPr>
                <w:rFonts w:cs="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6E33628" w14:textId="0E53267D" w:rsidR="00F53E3A" w:rsidRDefault="0036255F">
            <w:pPr>
              <w:pStyle w:val="P68B1DB1-Normal12"/>
              <w:spacing w:before="60" w:after="60"/>
              <w:jc w:val="center"/>
              <w:rPr>
                <w:rFonts w:cs="Times New Roman"/>
                <w:noProof/>
              </w:rPr>
            </w:pPr>
            <w:r>
              <w:rPr>
                <w:noProof/>
              </w:rPr>
              <w:t>2 200</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5A14A29" w14:textId="050F342D" w:rsidR="00F53E3A" w:rsidRDefault="00DB2EC5">
            <w:pPr>
              <w:pStyle w:val="P68B1DB1-Normal12"/>
              <w:spacing w:before="60" w:after="60"/>
              <w:jc w:val="center"/>
              <w:rPr>
                <w:rFonts w:cs="Times New Roman"/>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7A6F87D" w14:textId="77777777" w:rsidR="00F53E3A" w:rsidRDefault="0036255F">
            <w:pPr>
              <w:pStyle w:val="P68B1DB1-Normal12"/>
              <w:spacing w:before="60" w:after="60"/>
              <w:jc w:val="center"/>
              <w:rPr>
                <w:rFonts w:cs="Times New Roman"/>
                <w:noProof/>
              </w:rPr>
            </w:pPr>
            <w:r>
              <w:rPr>
                <w:noProof/>
              </w:rPr>
              <w:t>2024</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B9794F9" w14:textId="2E78F9E5" w:rsidR="00F53E3A" w:rsidRDefault="0036255F">
            <w:pPr>
              <w:pStyle w:val="CommentText"/>
              <w:spacing w:before="60" w:after="60" w:line="276" w:lineRule="auto"/>
              <w:rPr>
                <w:noProof/>
              </w:rPr>
            </w:pPr>
            <w:r>
              <w:rPr>
                <w:noProof/>
              </w:rPr>
              <w:t xml:space="preserve">Cel puțin 2 200 de membri ai personalului pedagogic (din învățământul preșcolar, primar, secundar inferior și superior) trebuie să finalizeze cursul privind competențele informatice și inovarea educațională bazată pe digitalizare în școli. </w:t>
            </w:r>
          </w:p>
        </w:tc>
      </w:tr>
      <w:tr w:rsidR="00F53E3A" w14:paraId="7F39D42B" w14:textId="77777777" w:rsidTr="00CB74C1">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C75CF8D" w14:textId="77777777" w:rsidR="00F53E3A" w:rsidRDefault="0036255F">
            <w:pPr>
              <w:pStyle w:val="P68B1DB1-Normal12"/>
              <w:spacing w:before="60" w:after="60"/>
              <w:jc w:val="center"/>
              <w:rPr>
                <w:rFonts w:cs="Times New Roman"/>
                <w:noProof/>
              </w:rPr>
            </w:pPr>
            <w:r>
              <w:rPr>
                <w:noProof/>
              </w:rPr>
              <w:t>103</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EA81C27" w14:textId="77777777" w:rsidR="00F53E3A" w:rsidRDefault="0036255F">
            <w:pPr>
              <w:pStyle w:val="P68B1DB1-Normal12"/>
              <w:spacing w:before="60" w:after="60"/>
              <w:rPr>
                <w:rFonts w:cs="Times New Roman"/>
                <w:noProof/>
              </w:rPr>
            </w:pPr>
            <w:r>
              <w:rPr>
                <w:noProof/>
              </w:rPr>
              <w:t>D.1.1. Educația generală modernă – Contextul competențelor de bază</w:t>
            </w:r>
          </w:p>
          <w:p w14:paraId="1C15ABA5" w14:textId="462074EA" w:rsidR="00F53E3A" w:rsidRDefault="0036255F">
            <w:pPr>
              <w:pStyle w:val="P68B1DB1-Normal12"/>
              <w:spacing w:before="60" w:after="60"/>
              <w:rPr>
                <w:rFonts w:cs="Times New Roman"/>
                <w:noProof/>
              </w:rPr>
            </w:pPr>
            <w:r>
              <w:rPr>
                <w:noProof/>
              </w:rPr>
              <w:t>D.1.1.6: Transformarea educației digitale</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666A153" w14:textId="77777777" w:rsidR="00F53E3A" w:rsidRDefault="0036255F">
            <w:pPr>
              <w:pStyle w:val="P68B1DB1-Normal12"/>
              <w:spacing w:before="60" w:after="60"/>
              <w:jc w:val="center"/>
              <w:rPr>
                <w:rFonts w:cs="Times New Roman"/>
                <w:noProof/>
              </w:rPr>
            </w:pPr>
            <w:r>
              <w:rPr>
                <w:noProof/>
              </w:rPr>
              <w:t>Țintă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A47B276" w14:textId="6FC86F92" w:rsidR="00F53E3A" w:rsidRDefault="0036255F">
            <w:pPr>
              <w:pStyle w:val="P68B1DB1-Normal12"/>
              <w:spacing w:before="60" w:after="60"/>
              <w:rPr>
                <w:rFonts w:cs="Times New Roman"/>
                <w:noProof/>
              </w:rPr>
            </w:pPr>
            <w:r>
              <w:rPr>
                <w:noProof/>
              </w:rPr>
              <w:t>Numărul de membri ai personalului universităților sau colegiilor care au absolvit cursul de îmbunătățire a competențelor digitale</w:t>
            </w:r>
          </w:p>
        </w:tc>
        <w:tc>
          <w:tcPr>
            <w:tcW w:w="127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B963362" w14:textId="0B7EF36B" w:rsidR="00F53E3A" w:rsidRDefault="00F53E3A">
            <w:pPr>
              <w:spacing w:before="60" w:after="60"/>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C3DFA42" w14:textId="77777777" w:rsidR="00F53E3A" w:rsidRDefault="0036255F">
            <w:pPr>
              <w:pStyle w:val="P68B1DB1-Normal12"/>
              <w:spacing w:before="60" w:after="60"/>
              <w:jc w:val="center"/>
              <w:rPr>
                <w:rFonts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0B6B701" w14:textId="77777777" w:rsidR="00F53E3A" w:rsidRDefault="0036255F">
            <w:pPr>
              <w:pStyle w:val="P68B1DB1-Normal12"/>
              <w:spacing w:before="60" w:after="60"/>
              <w:jc w:val="center"/>
              <w:rPr>
                <w:rFonts w:cs="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C97731D" w14:textId="77777777" w:rsidR="00F53E3A" w:rsidRDefault="0036255F">
            <w:pPr>
              <w:pStyle w:val="P68B1DB1-Normal12"/>
              <w:spacing w:before="60" w:after="60"/>
              <w:jc w:val="center"/>
              <w:rPr>
                <w:rFonts w:cs="Times New Roman"/>
                <w:noProof/>
              </w:rPr>
            </w:pPr>
            <w:r>
              <w:rPr>
                <w:noProof/>
              </w:rPr>
              <w:t>800</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927D987" w14:textId="63770790" w:rsidR="00F53E3A" w:rsidRDefault="00DB2EC5">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8D10084" w14:textId="77777777" w:rsidR="00F53E3A" w:rsidRDefault="0036255F">
            <w:pPr>
              <w:pStyle w:val="P68B1DB1-Normal12"/>
              <w:spacing w:before="60" w:after="60"/>
              <w:jc w:val="center"/>
              <w:rPr>
                <w:rFonts w:cs="Times New Roman"/>
                <w:noProof/>
              </w:rPr>
            </w:pPr>
            <w:r>
              <w:rPr>
                <w:noProof/>
              </w:rPr>
              <w:t>2024</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50D6DCA" w14:textId="09D3B59D" w:rsidR="00F53E3A" w:rsidRDefault="0036255F">
            <w:pPr>
              <w:pStyle w:val="P68B1DB1-Normal12"/>
              <w:spacing w:before="60" w:after="60"/>
              <w:jc w:val="both"/>
              <w:rPr>
                <w:rFonts w:cs="Times New Roman"/>
                <w:noProof/>
              </w:rPr>
            </w:pPr>
            <w:r>
              <w:rPr>
                <w:noProof/>
              </w:rPr>
              <w:t>Cel puțin 800 membri ai personalului unei universități sau al unui colegiu trebuie să fi absolvit cursul privind competențele informatice.</w:t>
            </w:r>
          </w:p>
        </w:tc>
      </w:tr>
      <w:tr w:rsidR="00F53E3A" w14:paraId="68587F20" w14:textId="77777777" w:rsidTr="00CB74C1">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88D6423" w14:textId="77777777" w:rsidR="00F53E3A" w:rsidRDefault="0036255F">
            <w:pPr>
              <w:pStyle w:val="P68B1DB1-Normal12"/>
              <w:spacing w:before="60" w:after="60"/>
              <w:jc w:val="center"/>
              <w:rPr>
                <w:rFonts w:cs="Times New Roman"/>
                <w:noProof/>
              </w:rPr>
            </w:pPr>
            <w:r>
              <w:rPr>
                <w:noProof/>
              </w:rPr>
              <w:t>104</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3478FEC" w14:textId="6C833D23" w:rsidR="00F53E3A" w:rsidRDefault="0036255F">
            <w:pPr>
              <w:pStyle w:val="P68B1DB1-Normal12"/>
              <w:spacing w:before="60" w:after="60"/>
              <w:rPr>
                <w:rFonts w:cs="Times New Roman"/>
                <w:noProof/>
              </w:rPr>
            </w:pPr>
            <w:r>
              <w:rPr>
                <w:noProof/>
              </w:rPr>
              <w:t>D.1.1. Educația generală modernă – Contextul competențelor de bază</w:t>
            </w:r>
          </w:p>
          <w:p w14:paraId="49D2DAC2" w14:textId="28D745CA" w:rsidR="00F53E3A" w:rsidRDefault="0036255F">
            <w:pPr>
              <w:pStyle w:val="P68B1DB1-Normal12"/>
              <w:spacing w:before="60" w:after="60"/>
              <w:rPr>
                <w:rFonts w:cs="Times New Roman"/>
                <w:noProof/>
              </w:rPr>
            </w:pPr>
            <w:r>
              <w:rPr>
                <w:noProof/>
              </w:rPr>
              <w:t>D.1.1.6: Transformarea educației digitale</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91F2A14" w14:textId="77777777" w:rsidR="00F53E3A" w:rsidRDefault="0036255F">
            <w:pPr>
              <w:pStyle w:val="P68B1DB1-Normal12"/>
              <w:spacing w:before="60" w:after="60"/>
              <w:jc w:val="center"/>
              <w:rPr>
                <w:rFonts w:cs="Times New Roman"/>
                <w:noProof/>
              </w:rPr>
            </w:pPr>
            <w:r>
              <w:rPr>
                <w:noProof/>
              </w:rPr>
              <w:t>Țintă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D43184D" w14:textId="52E8ED68" w:rsidR="00F53E3A" w:rsidRDefault="0036255F">
            <w:pPr>
              <w:pStyle w:val="P68B1DB1-Normal12"/>
              <w:spacing w:before="60" w:after="60"/>
              <w:rPr>
                <w:rFonts w:cs="Times New Roman"/>
                <w:noProof/>
              </w:rPr>
            </w:pPr>
            <w:r>
              <w:rPr>
                <w:noProof/>
              </w:rPr>
              <w:t>Numărul de membri ai personalului didactic calificați ca profesori de informatică sau absolvenți de masterat în informatică</w:t>
            </w:r>
          </w:p>
        </w:tc>
        <w:tc>
          <w:tcPr>
            <w:tcW w:w="127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2084B2B" w14:textId="2D0BF7E4" w:rsidR="00F53E3A" w:rsidRDefault="00F53E3A">
            <w:pPr>
              <w:spacing w:before="60" w:after="60"/>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3387A93" w14:textId="77777777" w:rsidR="00F53E3A" w:rsidRDefault="0036255F">
            <w:pPr>
              <w:pStyle w:val="P68B1DB1-Normal12"/>
              <w:spacing w:before="60" w:after="60"/>
              <w:jc w:val="center"/>
              <w:rPr>
                <w:rFonts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8C33DF6" w14:textId="77777777" w:rsidR="00F53E3A" w:rsidRDefault="0036255F">
            <w:pPr>
              <w:pStyle w:val="P68B1DB1-Normal12"/>
              <w:spacing w:before="60" w:after="60"/>
              <w:jc w:val="center"/>
              <w:rPr>
                <w:rFonts w:cs="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52CB0B4" w14:textId="77777777" w:rsidR="00F53E3A" w:rsidRDefault="0036255F">
            <w:pPr>
              <w:pStyle w:val="P68B1DB1-Normal12"/>
              <w:spacing w:before="60" w:after="60"/>
              <w:jc w:val="center"/>
              <w:rPr>
                <w:rFonts w:cs="Times New Roman"/>
                <w:noProof/>
              </w:rPr>
            </w:pPr>
            <w:r>
              <w:rPr>
                <w:noProof/>
              </w:rPr>
              <w:t>500</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E83B4EB" w14:textId="4905EB1C" w:rsidR="00F53E3A" w:rsidRDefault="00DB2EC5">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DC078CE" w14:textId="77777777" w:rsidR="00F53E3A" w:rsidRDefault="0036255F">
            <w:pPr>
              <w:pStyle w:val="P68B1DB1-Normal12"/>
              <w:spacing w:before="60" w:after="60"/>
              <w:jc w:val="center"/>
              <w:rPr>
                <w:rFonts w:cs="Times New Roman"/>
                <w:noProof/>
              </w:rPr>
            </w:pPr>
            <w:r>
              <w:rPr>
                <w:noProof/>
              </w:rPr>
              <w:t>2024</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6F74D2C" w14:textId="158AFFA9" w:rsidR="00F53E3A" w:rsidRDefault="0036255F">
            <w:pPr>
              <w:pStyle w:val="P68B1DB1-Normal12"/>
              <w:spacing w:before="60" w:after="60"/>
              <w:jc w:val="both"/>
              <w:rPr>
                <w:rFonts w:cs="Times New Roman"/>
                <w:noProof/>
              </w:rPr>
            </w:pPr>
            <w:r>
              <w:rPr>
                <w:noProof/>
              </w:rPr>
              <w:t>Cel puțin 500 de membri ai personalului pedagogic trebuie să fi dobândit o calificare suplimentară în calitate de profesor de informatică sau o diplomă de master în informatică.</w:t>
            </w:r>
          </w:p>
        </w:tc>
      </w:tr>
      <w:tr w:rsidR="00F53E3A" w14:paraId="655A12B8" w14:textId="77777777" w:rsidTr="00CB74C1">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611EF47" w14:textId="77777777" w:rsidR="00F53E3A" w:rsidRDefault="0036255F">
            <w:pPr>
              <w:pStyle w:val="P68B1DB1-Normal12"/>
              <w:spacing w:before="60" w:after="60"/>
              <w:jc w:val="center"/>
              <w:rPr>
                <w:rFonts w:cs="Times New Roman"/>
                <w:noProof/>
              </w:rPr>
            </w:pPr>
            <w:r>
              <w:rPr>
                <w:noProof/>
              </w:rPr>
              <w:t>105</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154BEA" w14:textId="77777777" w:rsidR="00F53E3A" w:rsidRDefault="0036255F">
            <w:pPr>
              <w:pStyle w:val="P68B1DB1-Normal12"/>
              <w:spacing w:before="60" w:after="60"/>
              <w:rPr>
                <w:rFonts w:eastAsia="Times New Roman" w:cs="Times New Roman"/>
                <w:noProof/>
              </w:rPr>
            </w:pPr>
            <w:r>
              <w:rPr>
                <w:noProof/>
              </w:rPr>
              <w:t>D.1.1. Educația generală modernă – Contextul competențelor de bază</w:t>
            </w:r>
          </w:p>
          <w:p w14:paraId="21D750C9" w14:textId="29556F7B" w:rsidR="00F53E3A" w:rsidRDefault="0036255F">
            <w:pPr>
              <w:pStyle w:val="P68B1DB1-Normal12"/>
              <w:spacing w:before="60" w:after="60"/>
              <w:rPr>
                <w:rFonts w:cs="Times New Roman"/>
                <w:noProof/>
              </w:rPr>
            </w:pPr>
            <w:r>
              <w:rPr>
                <w:noProof/>
              </w:rPr>
              <w:t>D.1.1.7: Îmbunătățirea educației și îngrijirii copiilor preșcolari</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C42FBBF" w14:textId="77777777"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0C0A83B" w14:textId="77777777" w:rsidR="00F53E3A" w:rsidRDefault="0036255F">
            <w:pPr>
              <w:pStyle w:val="P68B1DB1-Normal12"/>
              <w:spacing w:before="60" w:after="60"/>
              <w:rPr>
                <w:rFonts w:cs="Times New Roman"/>
                <w:noProof/>
              </w:rPr>
            </w:pPr>
            <w:r>
              <w:rPr>
                <w:noProof/>
              </w:rPr>
              <w:t>Studiu privind fezabilitatea dezvoltării infrastructurii de educație timpurie în municipalități</w:t>
            </w:r>
          </w:p>
        </w:tc>
        <w:tc>
          <w:tcPr>
            <w:tcW w:w="127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E917469" w14:textId="08D7BB62" w:rsidR="00F53E3A" w:rsidRDefault="0036255F">
            <w:pPr>
              <w:pStyle w:val="P68B1DB1-Normal12"/>
              <w:spacing w:before="60" w:after="60"/>
              <w:rPr>
                <w:rFonts w:cs="Times New Roman"/>
                <w:noProof/>
              </w:rPr>
            </w:pPr>
            <w:r>
              <w:rPr>
                <w:noProof/>
              </w:rPr>
              <w:t>Publicarea studiului privind fezabilitatea dezvoltării infrastructurii de educație timpurie în municipalități</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D2BD4BD" w14:textId="6B0DC247"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58CFC0C" w14:textId="030ED4FE" w:rsidR="00F53E3A" w:rsidRDefault="00F53E3A">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CAE4AB3" w14:textId="40010AF9" w:rsidR="00F53E3A" w:rsidRDefault="00F53E3A">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57495E8" w14:textId="0147E279" w:rsidR="00F53E3A" w:rsidRDefault="00DB2EC5">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75260DA" w14:textId="0D91A6BF" w:rsidR="00F53E3A" w:rsidRDefault="0036255F">
            <w:pPr>
              <w:pStyle w:val="P68B1DB1-Normal12"/>
              <w:spacing w:before="60" w:after="60"/>
              <w:jc w:val="center"/>
              <w:rPr>
                <w:rFonts w:cs="Times New Roman"/>
                <w:noProof/>
              </w:rPr>
            </w:pPr>
            <w:r>
              <w:rPr>
                <w:noProof/>
              </w:rPr>
              <w:t>2022</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5A32C1" w14:textId="6C9B1778" w:rsidR="00F53E3A" w:rsidRDefault="0036255F">
            <w:pPr>
              <w:spacing w:before="60" w:after="60"/>
              <w:jc w:val="both"/>
              <w:rPr>
                <w:rFonts w:ascii="Times New Roman" w:hAnsi="Times New Roman" w:cs="Times New Roman"/>
                <w:noProof/>
                <w:sz w:val="20"/>
              </w:rPr>
            </w:pPr>
            <w:r>
              <w:rPr>
                <w:rStyle w:val="jlqj4b"/>
                <w:rFonts w:ascii="Times New Roman" w:hAnsi="Times New Roman"/>
                <w:noProof/>
                <w:sz w:val="20"/>
              </w:rPr>
              <w:t>Publicarea studiului privind fezabilitatea dezvoltării infrastructurii de educație timpurie în municipalități. Studiul acoperă atât modernizarea structurii existente, cât și dezvoltarea de noi infrastructuri (cum ar fi transportul), oferind condiții de educație timpurie pentru toți copiii, de la naștere până la vârsta de școlarizare obligatorie. Studiul va oferi o bază pentru deciziile ulterioare ale guvernului privind modernizarea infrastructurii și crearea de noi infrastructuri în municipalități.</w:t>
            </w:r>
          </w:p>
        </w:tc>
      </w:tr>
      <w:tr w:rsidR="00F53E3A" w14:paraId="189D9C52" w14:textId="77777777" w:rsidTr="00CB74C1">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B8CF961" w14:textId="77777777" w:rsidR="00F53E3A" w:rsidRDefault="0036255F">
            <w:pPr>
              <w:pStyle w:val="P68B1DB1-Normal12"/>
              <w:spacing w:before="60" w:after="60"/>
              <w:jc w:val="center"/>
              <w:rPr>
                <w:rFonts w:cs="Times New Roman"/>
                <w:noProof/>
              </w:rPr>
            </w:pPr>
            <w:r>
              <w:rPr>
                <w:noProof/>
              </w:rPr>
              <w:t>106</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A47E496" w14:textId="77777777" w:rsidR="00F53E3A" w:rsidRDefault="0036255F">
            <w:pPr>
              <w:pStyle w:val="P68B1DB1-Normal12"/>
              <w:spacing w:before="60" w:after="60"/>
              <w:rPr>
                <w:rFonts w:eastAsia="Times New Roman" w:cs="Times New Roman"/>
                <w:noProof/>
              </w:rPr>
            </w:pPr>
            <w:r>
              <w:rPr>
                <w:noProof/>
              </w:rPr>
              <w:t>D.1.1. Educația generală modernă – Contextul competențelor de bază</w:t>
            </w:r>
          </w:p>
          <w:p w14:paraId="09AB45BA" w14:textId="195D8CCB" w:rsidR="00F53E3A" w:rsidRDefault="0036255F">
            <w:pPr>
              <w:pStyle w:val="P68B1DB1-Normal12"/>
              <w:spacing w:before="60" w:after="60"/>
              <w:rPr>
                <w:rFonts w:cs="Times New Roman"/>
                <w:noProof/>
              </w:rPr>
            </w:pPr>
            <w:r>
              <w:rPr>
                <w:noProof/>
              </w:rPr>
              <w:t>D.1.1.7: Îmbunătățirea educației și îngrijirii copiilor preșcolari</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A9EAB8B" w14:textId="77777777"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FF5935C" w14:textId="16DF1DB9" w:rsidR="00F53E3A" w:rsidRDefault="0036255F">
            <w:pPr>
              <w:pStyle w:val="P68B1DB1-Normal12"/>
              <w:spacing w:before="60" w:after="60"/>
              <w:rPr>
                <w:rFonts w:cs="Times New Roman"/>
                <w:noProof/>
              </w:rPr>
            </w:pPr>
            <w:r>
              <w:rPr>
                <w:noProof/>
              </w:rPr>
              <w:t>Intrarea în vigoare a legislației privind criteriile (orientările) pentru programa de învățământ preșcolar</w:t>
            </w:r>
          </w:p>
        </w:tc>
        <w:tc>
          <w:tcPr>
            <w:tcW w:w="127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23241D" w14:textId="77777777" w:rsidR="00F53E3A" w:rsidRDefault="0036255F">
            <w:pPr>
              <w:pStyle w:val="P68B1DB1-Normal12"/>
              <w:spacing w:before="60" w:after="60"/>
              <w:rPr>
                <w:rFonts w:cs="Times New Roman"/>
                <w:noProof/>
              </w:rPr>
            </w:pPr>
            <w:r>
              <w:rPr>
                <w:noProof/>
              </w:rPr>
              <w:t xml:space="preserve">Legislația a intrat în vigoare </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E2D3165" w14:textId="77777777"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6CCC6C3" w14:textId="1A4879CF" w:rsidR="00F53E3A" w:rsidRDefault="00F53E3A">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8F1DCDC" w14:textId="268A14B0" w:rsidR="00F53E3A" w:rsidRDefault="00F53E3A">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1B2E2B3" w14:textId="49D9F783" w:rsidR="00F53E3A" w:rsidRDefault="00DB2EC5">
            <w:pPr>
              <w:pStyle w:val="P68B1DB1-Normal12"/>
              <w:spacing w:before="60" w:after="60"/>
              <w:jc w:val="center"/>
              <w:rPr>
                <w:rFonts w:cs="Times New Roman"/>
                <w:noProof/>
              </w:rPr>
            </w:pPr>
            <w:r>
              <w:rPr>
                <w:noProof/>
              </w:rPr>
              <w:t>T3</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6AFD3C0" w14:textId="77777777" w:rsidR="00F53E3A" w:rsidRDefault="0036255F">
            <w:pPr>
              <w:pStyle w:val="P68B1DB1-Normal12"/>
              <w:spacing w:before="60" w:after="60"/>
              <w:jc w:val="center"/>
              <w:rPr>
                <w:rFonts w:cs="Times New Roman"/>
                <w:noProof/>
              </w:rPr>
            </w:pPr>
            <w:r>
              <w:rPr>
                <w:noProof/>
              </w:rPr>
              <w:t>2023</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25B6E26" w14:textId="77777777" w:rsidR="00F53E3A" w:rsidRDefault="0036255F">
            <w:pPr>
              <w:spacing w:before="60" w:after="60"/>
              <w:jc w:val="both"/>
              <w:rPr>
                <w:rFonts w:ascii="Times New Roman" w:eastAsia="Times New Roman" w:hAnsi="Times New Roman" w:cs="Times New Roman"/>
                <w:noProof/>
                <w:sz w:val="20"/>
              </w:rPr>
            </w:pPr>
            <w:r>
              <w:rPr>
                <w:rStyle w:val="jlqj4b"/>
                <w:rFonts w:ascii="Times New Roman" w:hAnsi="Times New Roman"/>
                <w:noProof/>
                <w:sz w:val="20"/>
              </w:rPr>
              <w:t>Elaborarea programei de învățământ preșcolar este descentralizată și trebuie realizată în conformitate cu criteriile (orientările) pentru programa de învățământ preșcolar aprobate de Ministerul Educației, Științei și Sportului. Intrarea în vigoare a criteriilor (orientărilor) actualizate pentru programa de învățământ preșcolar determină competențele care trebuie dobândite de copii înainte de vârsta de școlarizare obligatorie; să răspundă celor mai recente cunoștințe științifice cu privire la educația copiilor de vârsta adecvată; încurajați copiii să citească (dezvoltați o cultură a lecturii în cărți).</w:t>
            </w:r>
          </w:p>
        </w:tc>
      </w:tr>
      <w:tr w:rsidR="00F53E3A" w14:paraId="18D324EE" w14:textId="77777777" w:rsidTr="00CB74C1">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182BA92" w14:textId="77777777" w:rsidR="00F53E3A" w:rsidRDefault="0036255F">
            <w:pPr>
              <w:pStyle w:val="P68B1DB1-Normal12"/>
              <w:spacing w:before="60" w:after="60"/>
              <w:jc w:val="center"/>
              <w:rPr>
                <w:rFonts w:cs="Times New Roman"/>
                <w:noProof/>
              </w:rPr>
            </w:pPr>
            <w:r>
              <w:rPr>
                <w:noProof/>
              </w:rPr>
              <w:t>107</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F3C6980" w14:textId="3749045B" w:rsidR="00F53E3A" w:rsidRDefault="0036255F">
            <w:pPr>
              <w:pStyle w:val="P68B1DB1-Normal12"/>
              <w:spacing w:before="60" w:after="60"/>
              <w:rPr>
                <w:noProof/>
                <w:sz w:val="24"/>
                <w:szCs w:val="24"/>
                <w:u w:val="single"/>
              </w:rPr>
            </w:pPr>
            <w:r>
              <w:rPr>
                <w:noProof/>
              </w:rPr>
              <w:t>D.1.2. Accesul adulților la sistemul informatic de învățare pe tot parcursul vieții</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BA83416" w14:textId="77777777"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EE2E8A3" w14:textId="77777777" w:rsidR="00F53E3A" w:rsidRDefault="0036255F">
            <w:pPr>
              <w:pStyle w:val="P68B1DB1-Normal12"/>
              <w:spacing w:before="60" w:after="60"/>
              <w:rPr>
                <w:rFonts w:cs="Times New Roman"/>
                <w:noProof/>
              </w:rPr>
            </w:pPr>
            <w:r>
              <w:rPr>
                <w:noProof/>
              </w:rPr>
              <w:t xml:space="preserve">Intrarea în vigoare a Legii privind educația adulților de stabilire a unui model coordonat de sistem de învățare pe tot parcursul vieții (LLL) și de stabilire a principiilor de funcționare </w:t>
            </w:r>
          </w:p>
        </w:tc>
        <w:tc>
          <w:tcPr>
            <w:tcW w:w="127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2039B57" w14:textId="12E846C8" w:rsidR="00F53E3A" w:rsidRDefault="0036255F">
            <w:pPr>
              <w:pStyle w:val="P68B1DB1-Normal12"/>
              <w:spacing w:before="60" w:after="60"/>
              <w:rPr>
                <w:rFonts w:cs="Times New Roman"/>
                <w:noProof/>
              </w:rPr>
            </w:pPr>
            <w:r>
              <w:rPr>
                <w:noProof/>
              </w:rPr>
              <w:t>Dispoziție din legislație care indică data de intrare în vigoare a legislației</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F6B488D" w14:textId="4C138DBD"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1CB0B16" w14:textId="63804CEA" w:rsidR="00F53E3A" w:rsidRDefault="00F53E3A">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57517DF" w14:textId="6975B3D1" w:rsidR="00F53E3A" w:rsidRDefault="00F53E3A">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821876C" w14:textId="7B252F0C" w:rsidR="00F53E3A" w:rsidRDefault="00DB2EC5">
            <w:pPr>
              <w:pStyle w:val="P68B1DB1-Normal12"/>
              <w:spacing w:before="60" w:after="60"/>
              <w:jc w:val="center"/>
              <w:rPr>
                <w:rFonts w:cs="Times New Roman"/>
                <w:noProof/>
              </w:rPr>
            </w:pPr>
            <w:r>
              <w:rPr>
                <w:noProof/>
              </w:rPr>
              <w:t>T3</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9552A07" w14:textId="77777777" w:rsidR="00F53E3A" w:rsidRDefault="0036255F">
            <w:pPr>
              <w:pStyle w:val="P68B1DB1-Normal12"/>
              <w:spacing w:before="60" w:after="60"/>
              <w:jc w:val="center"/>
              <w:rPr>
                <w:rFonts w:cs="Times New Roman"/>
                <w:noProof/>
              </w:rPr>
            </w:pPr>
            <w:r>
              <w:rPr>
                <w:noProof/>
              </w:rPr>
              <w:t>2022</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33A28AF" w14:textId="3DAC12EB" w:rsidR="00F53E3A" w:rsidRDefault="0036255F">
            <w:pPr>
              <w:pStyle w:val="P68B1DB1-Normal12"/>
              <w:spacing w:before="60" w:after="60"/>
              <w:jc w:val="both"/>
              <w:rPr>
                <w:rFonts w:eastAsia="Times New Roman" w:cs="Times New Roman"/>
                <w:noProof/>
              </w:rPr>
            </w:pPr>
            <w:r>
              <w:rPr>
                <w:noProof/>
              </w:rPr>
              <w:t>Intrarea în vigoare a legislației privind modelul de învățare pe tot parcursul vieții, care va fi consacrată în legislație, și intrarea în vigoare a modificărilor aduse Legii privind educația adulților, care consacră funcționarea modelului de învățare pe tot parcursul vieții:</w:t>
            </w:r>
          </w:p>
          <w:p w14:paraId="393788C2" w14:textId="77777777" w:rsidR="00F53E3A" w:rsidRDefault="0036255F">
            <w:pPr>
              <w:pStyle w:val="P68B1DB1-Normal12"/>
              <w:spacing w:before="60" w:after="60"/>
              <w:jc w:val="both"/>
              <w:rPr>
                <w:rFonts w:eastAsia="Times New Roman" w:cs="Times New Roman"/>
                <w:noProof/>
              </w:rPr>
            </w:pPr>
            <w:r>
              <w:rPr>
                <w:noProof/>
              </w:rPr>
              <w:t>Elementele de guvernanță și monitorizare ale sistemului LLL, inclusiv:</w:t>
            </w:r>
          </w:p>
          <w:p w14:paraId="22864362" w14:textId="77777777" w:rsidR="00F53E3A" w:rsidRDefault="0036255F">
            <w:pPr>
              <w:pStyle w:val="P68B1DB1-Normal12"/>
              <w:spacing w:before="60" w:after="60"/>
              <w:jc w:val="both"/>
              <w:rPr>
                <w:rFonts w:eastAsia="Times New Roman" w:cs="Times New Roman"/>
                <w:noProof/>
              </w:rPr>
            </w:pPr>
            <w:r>
              <w:rPr>
                <w:noProof/>
              </w:rPr>
              <w:t xml:space="preserve">— Comisia de monitorizare a resurselor umane și funcțiile acesteia; </w:t>
            </w:r>
          </w:p>
          <w:p w14:paraId="13D3D654" w14:textId="25B8997F" w:rsidR="00F53E3A" w:rsidRDefault="0036255F">
            <w:pPr>
              <w:pStyle w:val="P68B1DB1-Normal12"/>
              <w:spacing w:before="60" w:after="60"/>
              <w:jc w:val="both"/>
              <w:rPr>
                <w:rFonts w:eastAsia="Times New Roman" w:cs="Times New Roman"/>
                <w:noProof/>
              </w:rPr>
            </w:pPr>
            <w:r>
              <w:rPr>
                <w:noProof/>
              </w:rPr>
              <w:t xml:space="preserve">un grup de lucru permanent la nivel tehnic privind coordonarea generală a activităților desfășurate de ministere; </w:t>
            </w:r>
          </w:p>
          <w:p w14:paraId="40D2122F" w14:textId="35E572B5" w:rsidR="00F53E3A" w:rsidRDefault="0036255F">
            <w:pPr>
              <w:pStyle w:val="P68B1DB1-Normal12"/>
              <w:spacing w:before="60" w:after="60"/>
              <w:jc w:val="both"/>
              <w:rPr>
                <w:rFonts w:eastAsia="Times New Roman" w:cs="Times New Roman"/>
                <w:noProof/>
              </w:rPr>
            </w:pPr>
            <w:r>
              <w:rPr>
                <w:noProof/>
              </w:rPr>
              <w:t xml:space="preserve">principiile sistemului informatic LLL (bazat pe modelul conturilor personale de învățare); </w:t>
            </w:r>
          </w:p>
          <w:p w14:paraId="56105B5B" w14:textId="3E6E4DDD" w:rsidR="00F53E3A" w:rsidRDefault="0036255F">
            <w:pPr>
              <w:pStyle w:val="P68B1DB1-Normal12"/>
              <w:spacing w:before="60" w:after="60"/>
              <w:jc w:val="both"/>
              <w:rPr>
                <w:rFonts w:eastAsia="Times New Roman" w:cs="Times New Roman"/>
                <w:noProof/>
              </w:rPr>
            </w:pPr>
            <w:r>
              <w:rPr>
                <w:noProof/>
              </w:rPr>
              <w:t xml:space="preserve">— elementele de finanțare; </w:t>
            </w:r>
          </w:p>
          <w:p w14:paraId="4C8D9A6F" w14:textId="28ADF566" w:rsidR="00F53E3A" w:rsidRDefault="0036255F">
            <w:pPr>
              <w:pStyle w:val="P68B1DB1-Normal12"/>
              <w:spacing w:before="60" w:after="60"/>
              <w:jc w:val="both"/>
              <w:rPr>
                <w:rFonts w:eastAsia="Times New Roman" w:cs="Times New Roman"/>
                <w:noProof/>
              </w:rPr>
            </w:pPr>
            <w:r>
              <w:rPr>
                <w:noProof/>
              </w:rPr>
              <w:t>principiile de identificare a grupurilor-țintă și a programelor;</w:t>
            </w:r>
          </w:p>
          <w:p w14:paraId="6F6A6F22" w14:textId="34AC02ED" w:rsidR="00F53E3A" w:rsidRDefault="0036255F">
            <w:pPr>
              <w:pStyle w:val="P68B1DB1-Normal12"/>
              <w:spacing w:before="60" w:after="60"/>
              <w:jc w:val="both"/>
              <w:rPr>
                <w:rFonts w:eastAsia="Times New Roman" w:cs="Times New Roman"/>
                <w:noProof/>
              </w:rPr>
            </w:pPr>
            <w:r>
              <w:rPr>
                <w:noProof/>
              </w:rPr>
              <w:t xml:space="preserve">mecanismul de identificare a competențelor cu valoare adăugată ridicată; </w:t>
            </w:r>
          </w:p>
          <w:p w14:paraId="6136713F" w14:textId="45F912C4" w:rsidR="00F53E3A" w:rsidRDefault="0036255F">
            <w:pPr>
              <w:pStyle w:val="P68B1DB1-Normal12"/>
              <w:spacing w:before="60" w:after="60"/>
              <w:jc w:val="both"/>
              <w:rPr>
                <w:rFonts w:eastAsia="Times New Roman" w:cs="Times New Roman"/>
                <w:noProof/>
              </w:rPr>
            </w:pPr>
            <w:r>
              <w:rPr>
                <w:noProof/>
              </w:rPr>
              <w:t xml:space="preserve">asigurarea calității și </w:t>
            </w:r>
          </w:p>
          <w:p w14:paraId="00A36E82" w14:textId="0029FDDC" w:rsidR="00F53E3A" w:rsidRDefault="0036255F">
            <w:pPr>
              <w:pStyle w:val="P68B1DB1-Normal12"/>
              <w:spacing w:before="60" w:after="60"/>
              <w:jc w:val="both"/>
              <w:rPr>
                <w:rFonts w:eastAsia="Times New Roman" w:cs="Times New Roman"/>
                <w:noProof/>
              </w:rPr>
            </w:pPr>
            <w:r>
              <w:rPr>
                <w:noProof/>
              </w:rPr>
              <w:t>— elementele sistemului de recunoaștere a competențelor.</w:t>
            </w:r>
          </w:p>
        </w:tc>
      </w:tr>
      <w:tr w:rsidR="00F53E3A" w14:paraId="42FEC926" w14:textId="77777777" w:rsidTr="00CB74C1">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73C7EAC" w14:textId="77777777" w:rsidR="00F53E3A" w:rsidRDefault="0036255F">
            <w:pPr>
              <w:pStyle w:val="P68B1DB1-Normal12"/>
              <w:spacing w:before="60" w:after="60"/>
              <w:jc w:val="center"/>
              <w:rPr>
                <w:rFonts w:cs="Times New Roman"/>
                <w:noProof/>
              </w:rPr>
            </w:pPr>
            <w:r>
              <w:rPr>
                <w:noProof/>
              </w:rPr>
              <w:t>108</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6D48B60" w14:textId="3A6AB922" w:rsidR="00F53E3A" w:rsidRDefault="0036255F">
            <w:pPr>
              <w:spacing w:before="60" w:after="60"/>
              <w:rPr>
                <w:rFonts w:ascii="Times New Roman" w:hAnsi="Times New Roman"/>
                <w:noProof/>
                <w:sz w:val="24"/>
                <w:szCs w:val="24"/>
                <w:u w:val="single"/>
              </w:rPr>
            </w:pPr>
            <w:r>
              <w:rPr>
                <w:rFonts w:ascii="Times New Roman" w:hAnsi="Times New Roman"/>
                <w:noProof/>
                <w:sz w:val="20"/>
              </w:rPr>
              <w:t xml:space="preserve">D.1.2. Accesul </w:t>
            </w:r>
            <w:r>
              <w:rPr>
                <w:rFonts w:ascii="Times New Roman" w:eastAsiaTheme="minorEastAsia" w:hAnsi="Times New Roman" w:cs="Times New Roman"/>
                <w:noProof/>
                <w:sz w:val="20"/>
              </w:rPr>
              <w:t>adulților</w:t>
            </w:r>
            <w:r>
              <w:rPr>
                <w:rFonts w:ascii="Times New Roman" w:hAnsi="Times New Roman"/>
                <w:noProof/>
                <w:sz w:val="20"/>
              </w:rPr>
              <w:t xml:space="preserve"> la </w:t>
            </w:r>
            <w:r>
              <w:rPr>
                <w:rFonts w:ascii="Times New Roman" w:eastAsiaTheme="minorEastAsia" w:hAnsi="Times New Roman" w:cs="Times New Roman"/>
                <w:noProof/>
                <w:sz w:val="20"/>
              </w:rPr>
              <w:t>sistemul informatic de învățare</w:t>
            </w:r>
            <w:r>
              <w:rPr>
                <w:rFonts w:ascii="Times New Roman" w:hAnsi="Times New Roman"/>
                <w:noProof/>
                <w:sz w:val="20"/>
              </w:rPr>
              <w:t xml:space="preserve"> pe tot parcursul vieții</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2F3BFEA" w14:textId="77777777"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8B93470" w14:textId="6C4F485A" w:rsidR="00F53E3A" w:rsidRDefault="0036255F">
            <w:pPr>
              <w:pStyle w:val="P68B1DB1-Normal12"/>
              <w:spacing w:before="60" w:after="60"/>
              <w:rPr>
                <w:rFonts w:cs="Times New Roman"/>
                <w:noProof/>
              </w:rPr>
            </w:pPr>
            <w:r>
              <w:rPr>
                <w:noProof/>
              </w:rPr>
              <w:t>Punerea în funcțiune a sistemului de informații de tip ghișeu unic pentru învățarea pe tot parcursul vieții</w:t>
            </w:r>
          </w:p>
        </w:tc>
        <w:tc>
          <w:tcPr>
            <w:tcW w:w="127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41D8088" w14:textId="59E6602D" w:rsidR="00F53E3A" w:rsidRDefault="0036255F">
            <w:pPr>
              <w:pStyle w:val="P68B1DB1-Normal12"/>
              <w:spacing w:before="60" w:after="60"/>
              <w:rPr>
                <w:rFonts w:cs="Times New Roman"/>
                <w:noProof/>
              </w:rPr>
            </w:pPr>
            <w:r>
              <w:rPr>
                <w:noProof/>
              </w:rPr>
              <w:t>Punerea în funcțiune a unui sistem informatic de tip ghișeu unic pentru învățarea pe tot parcursul vieții (LLL) care funcționează pe baza principiului „contului personal de învățare”</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AD8C510" w14:textId="0CD3A0D1"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90CC09E" w14:textId="27F2131A" w:rsidR="00F53E3A" w:rsidRDefault="00F53E3A">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9464404" w14:textId="389785BA" w:rsidR="00F53E3A" w:rsidRDefault="00F53E3A">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7AC2664" w14:textId="560ECC94" w:rsidR="00F53E3A" w:rsidRDefault="00DB2EC5">
            <w:pPr>
              <w:pStyle w:val="P68B1DB1-Normal12"/>
              <w:spacing w:before="60" w:after="60"/>
              <w:jc w:val="center"/>
              <w:rPr>
                <w:rFonts w:cs="Times New Roman"/>
                <w:noProof/>
              </w:rPr>
            </w:pPr>
            <w:r>
              <w:rPr>
                <w:noProof/>
              </w:rPr>
              <w:t>T1</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249BB79" w14:textId="77777777" w:rsidR="00F53E3A" w:rsidRDefault="0036255F">
            <w:pPr>
              <w:pStyle w:val="P68B1DB1-Normal12"/>
              <w:spacing w:before="60" w:after="60"/>
              <w:jc w:val="center"/>
              <w:rPr>
                <w:rFonts w:cs="Times New Roman"/>
                <w:noProof/>
              </w:rPr>
            </w:pPr>
            <w:r>
              <w:rPr>
                <w:noProof/>
              </w:rPr>
              <w:t>2023</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1A9CF12" w14:textId="77777777" w:rsidR="00F53E3A" w:rsidRDefault="0036255F">
            <w:pPr>
              <w:pStyle w:val="P68B1DB1-Normal12"/>
              <w:spacing w:before="60" w:after="60"/>
              <w:jc w:val="both"/>
              <w:rPr>
                <w:rFonts w:eastAsia="Times New Roman" w:cs="Times New Roman"/>
                <w:noProof/>
              </w:rPr>
            </w:pPr>
            <w:r>
              <w:rPr>
                <w:noProof/>
              </w:rPr>
              <w:t xml:space="preserve">Punerea în funcțiune a sistemului informatic de învățare de-a lungul vieții (LLL), care va fi pe deplin operațional și va reprezenta toate ofertele de învățare legate de punerea în aplicare a cadrului LLL, inclusiv programele cu valoare adăugată ridicată. </w:t>
            </w:r>
          </w:p>
          <w:p w14:paraId="4A79D5A2" w14:textId="06837CEE" w:rsidR="00F53E3A" w:rsidRDefault="0036255F">
            <w:pPr>
              <w:pStyle w:val="P68B1DB1-Normal12"/>
              <w:spacing w:before="60" w:after="60"/>
              <w:jc w:val="both"/>
              <w:rPr>
                <w:rFonts w:eastAsia="Times New Roman" w:cs="Times New Roman"/>
                <w:noProof/>
              </w:rPr>
            </w:pPr>
            <w:r>
              <w:rPr>
                <w:noProof/>
              </w:rPr>
              <w:t>Persoanele care îndeplinesc criteriile de prioritate definite în etapa de punere în aplicare a programului trebuie să poată primi o ofertă de învățare și să se înregistreze prin intermediul sistemului informatic LLL.</w:t>
            </w:r>
          </w:p>
          <w:p w14:paraId="3F058E81" w14:textId="0B28E48E" w:rsidR="00F53E3A" w:rsidRDefault="0036255F">
            <w:pPr>
              <w:pStyle w:val="P68B1DB1-Normal12"/>
              <w:spacing w:before="60" w:after="60"/>
              <w:jc w:val="both"/>
              <w:rPr>
                <w:noProof/>
              </w:rPr>
            </w:pPr>
            <w:r>
              <w:rPr>
                <w:noProof/>
              </w:rPr>
              <w:t>Abordarea contului personal de învățare cuprinde atât serviciul informatic de acces la formare, cât și finanțarea învățării în rândul adulților.</w:t>
            </w:r>
          </w:p>
          <w:p w14:paraId="5338BEDB" w14:textId="77777777" w:rsidR="00F53E3A" w:rsidRDefault="0036255F">
            <w:pPr>
              <w:pStyle w:val="P68B1DB1-Normal12"/>
              <w:spacing w:before="60" w:after="60"/>
              <w:jc w:val="both"/>
              <w:rPr>
                <w:rFonts w:eastAsia="Times New Roman" w:cs="Times New Roman"/>
                <w:noProof/>
              </w:rPr>
            </w:pPr>
            <w:r>
              <w:rPr>
                <w:noProof/>
              </w:rPr>
              <w:t>Sistemul oferă acces la orientare profesională, colectează informații cu privire la competențele dobândite în timpul formării, precum și acces la procesele de recunoaștere a competențelor/calificărilor.</w:t>
            </w:r>
          </w:p>
        </w:tc>
      </w:tr>
      <w:tr w:rsidR="00F53E3A" w14:paraId="242EB181" w14:textId="77777777" w:rsidTr="00CB74C1">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3779EBB" w14:textId="7864968C" w:rsidR="00F53E3A" w:rsidRDefault="0036255F">
            <w:pPr>
              <w:pStyle w:val="P68B1DB1-Normal12"/>
              <w:spacing w:before="60" w:after="60"/>
              <w:jc w:val="center"/>
              <w:rPr>
                <w:rFonts w:cs="Times New Roman"/>
                <w:noProof/>
              </w:rPr>
            </w:pPr>
            <w:r>
              <w:rPr>
                <w:noProof/>
              </w:rPr>
              <w:t>109</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F11434C" w14:textId="54BE4C63" w:rsidR="00F53E3A" w:rsidRDefault="0036255F">
            <w:pPr>
              <w:pStyle w:val="P68B1DB1-Normal12"/>
              <w:spacing w:before="60" w:after="60"/>
              <w:rPr>
                <w:noProof/>
                <w:sz w:val="24"/>
                <w:szCs w:val="24"/>
                <w:u w:val="single"/>
              </w:rPr>
            </w:pPr>
            <w:r>
              <w:rPr>
                <w:noProof/>
              </w:rPr>
              <w:t>D.1.2. Accesul adulților la sistemul informatic de învățare pe tot parcursul vieții</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44FB2DF" w14:textId="2BF3076C" w:rsidR="00F53E3A" w:rsidRDefault="0036255F">
            <w:pPr>
              <w:pStyle w:val="P68B1DB1-Normal12"/>
              <w:spacing w:before="60" w:after="60"/>
              <w:jc w:val="center"/>
              <w:rPr>
                <w:rFonts w:cs="Times New Roman"/>
                <w:noProof/>
              </w:rPr>
            </w:pPr>
            <w:r>
              <w:rPr>
                <w:noProof/>
              </w:rPr>
              <w:t>Țintă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08DDCF1" w14:textId="0E3428A1" w:rsidR="00F53E3A" w:rsidRDefault="0036255F">
            <w:pPr>
              <w:pStyle w:val="P68B1DB1-Normal12"/>
              <w:spacing w:before="60" w:after="60"/>
              <w:rPr>
                <w:rFonts w:cs="Times New Roman"/>
                <w:noProof/>
              </w:rPr>
            </w:pPr>
            <w:r>
              <w:rPr>
                <w:noProof/>
              </w:rPr>
              <w:t>Persoane instruite utilizând sistemul informatic LLL</w:t>
            </w:r>
          </w:p>
        </w:tc>
        <w:tc>
          <w:tcPr>
            <w:tcW w:w="127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D61F1C8" w14:textId="3AB1D10F" w:rsidR="00F53E3A" w:rsidRDefault="00F53E3A">
            <w:pPr>
              <w:spacing w:before="60" w:after="60"/>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1852C40" w14:textId="60A50D9A" w:rsidR="00F53E3A" w:rsidRDefault="0036255F">
            <w:pPr>
              <w:pStyle w:val="P68B1DB1-Normal12"/>
              <w:spacing w:before="60" w:after="60"/>
              <w:jc w:val="center"/>
              <w:rPr>
                <w:rFonts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CFF3544" w14:textId="55331643" w:rsidR="00F53E3A" w:rsidRDefault="0036255F">
            <w:pPr>
              <w:pStyle w:val="P68B1DB1-Normal29"/>
              <w:spacing w:before="60" w:after="60"/>
              <w:jc w:val="center"/>
              <w:rPr>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5AB5D61" w14:textId="369D214F" w:rsidR="00F53E3A" w:rsidRDefault="0036255F">
            <w:pPr>
              <w:pStyle w:val="P68B1DB1-Normal12"/>
              <w:spacing w:before="60" w:after="60"/>
              <w:jc w:val="center"/>
              <w:rPr>
                <w:rFonts w:cs="Times New Roman"/>
                <w:noProof/>
              </w:rPr>
            </w:pPr>
            <w:r>
              <w:rPr>
                <w:noProof/>
              </w:rPr>
              <w:t>21 600</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A2A1200" w14:textId="39BAE3AF" w:rsidR="00F53E3A" w:rsidRDefault="00DB2EC5">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B0179F1" w14:textId="76003800" w:rsidR="00F53E3A" w:rsidRDefault="0036255F">
            <w:pPr>
              <w:pStyle w:val="P68B1DB1-Normal12"/>
              <w:spacing w:before="60" w:after="60"/>
              <w:jc w:val="center"/>
              <w:rPr>
                <w:rFonts w:cs="Times New Roman"/>
                <w:noProof/>
              </w:rPr>
            </w:pPr>
            <w:r>
              <w:rPr>
                <w:noProof/>
              </w:rPr>
              <w:t>2026</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2AFFAA1" w14:textId="107EBA0F" w:rsidR="00F53E3A" w:rsidRDefault="0036255F">
            <w:pPr>
              <w:pStyle w:val="P68B1DB1-Normal12"/>
              <w:spacing w:before="60" w:after="60"/>
              <w:jc w:val="both"/>
              <w:rPr>
                <w:rFonts w:ascii="Aptos" w:eastAsia="Aptos" w:hAnsi="Aptos" w:cs="Aptos"/>
                <w:i/>
                <w:noProof/>
              </w:rPr>
            </w:pPr>
            <w:r>
              <w:rPr>
                <w:noProof/>
              </w:rPr>
              <w:t>Cel puțin 21 600 de persoane instruite (dintre care cel puțin 40 % aveau legătură cu competențele digitale) utilizând sistemul informatic LLL. Actul juridic care reglementează sistemul conturilor personale de învățare (ILA) stabilește că persoanele cu un nivel scăzut de calificare care au obținut un nivel mai scăzut de educație și/sau calificare se numără printre grupurile prioritare.</w:t>
            </w:r>
          </w:p>
        </w:tc>
      </w:tr>
      <w:tr w:rsidR="00F53E3A" w14:paraId="58B1FC1E" w14:textId="77777777" w:rsidTr="00CB74C1">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E5C727D" w14:textId="77777777" w:rsidR="00F53E3A" w:rsidRDefault="0036255F">
            <w:pPr>
              <w:pStyle w:val="P68B1DB1-Normal12"/>
              <w:spacing w:before="60" w:after="60"/>
              <w:jc w:val="center"/>
              <w:rPr>
                <w:rFonts w:cs="Times New Roman"/>
                <w:noProof/>
              </w:rPr>
            </w:pPr>
            <w:r>
              <w:rPr>
                <w:noProof/>
              </w:rPr>
              <w:t>110</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73CB0A6" w14:textId="63ECD3DA" w:rsidR="00F53E3A" w:rsidRDefault="0036255F">
            <w:pPr>
              <w:pStyle w:val="P68B1DB1-Normal12"/>
              <w:spacing w:before="60" w:after="60"/>
              <w:rPr>
                <w:rFonts w:cs="Times New Roman"/>
                <w:noProof/>
              </w:rPr>
            </w:pPr>
            <w:r>
              <w:rPr>
                <w:noProof/>
              </w:rPr>
              <w:t>D.1.3. Sistem de orientare profesională pentru echilibrarea cererii și ofertei pe piața forței de muncă</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E51BD2D" w14:textId="77777777"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0D33E44" w14:textId="0F88303C" w:rsidR="00F53E3A" w:rsidRDefault="0036255F">
            <w:pPr>
              <w:pStyle w:val="P68B1DB1-Normal12"/>
              <w:spacing w:before="60" w:after="60"/>
              <w:rPr>
                <w:rFonts w:cs="Times New Roman"/>
                <w:noProof/>
              </w:rPr>
            </w:pPr>
            <w:r>
              <w:rPr>
                <w:noProof/>
              </w:rPr>
              <w:t>Intrarea în vigoare a Rezoluției Guvernului privind procedurile care reglementează sistemul de orientare profesională (orientare profesională)</w:t>
            </w:r>
          </w:p>
        </w:tc>
        <w:tc>
          <w:tcPr>
            <w:tcW w:w="127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3088527" w14:textId="4CA25AA5" w:rsidR="00F53E3A" w:rsidRDefault="0036255F">
            <w:pPr>
              <w:pStyle w:val="P68B1DB1-Normal12"/>
              <w:spacing w:before="60" w:after="60"/>
              <w:rPr>
                <w:rFonts w:cs="Times New Roman"/>
                <w:noProof/>
              </w:rPr>
            </w:pPr>
            <w:r>
              <w:rPr>
                <w:noProof/>
              </w:rPr>
              <w:t xml:space="preserve">Legislația a intrat în vigoare </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8E909D3" w14:textId="77777777"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F2AC9A1" w14:textId="77777777" w:rsidR="00F53E3A" w:rsidRDefault="00F53E3A">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786077F" w14:textId="77777777" w:rsidR="00F53E3A" w:rsidRDefault="00F53E3A">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BDA5D18" w14:textId="5FEA7765" w:rsidR="00F53E3A" w:rsidRDefault="00DB2EC5">
            <w:pPr>
              <w:pStyle w:val="P68B1DB1-Normal12"/>
              <w:spacing w:before="60" w:after="60"/>
              <w:jc w:val="center"/>
              <w:rPr>
                <w:rFonts w:cs="Times New Roman"/>
                <w:noProof/>
              </w:rPr>
            </w:pPr>
            <w:r>
              <w:rPr>
                <w:noProof/>
              </w:rPr>
              <w:t>T1</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3321FE8" w14:textId="69382B9E" w:rsidR="00F53E3A" w:rsidRDefault="0036255F">
            <w:pPr>
              <w:pStyle w:val="P68B1DB1-Normal12"/>
              <w:spacing w:before="60" w:after="60"/>
              <w:jc w:val="center"/>
              <w:rPr>
                <w:rFonts w:cs="Times New Roman"/>
                <w:noProof/>
              </w:rPr>
            </w:pPr>
            <w:r>
              <w:rPr>
                <w:noProof/>
              </w:rPr>
              <w:t>2022</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4FEFE57" w14:textId="1F2AEBBC" w:rsidR="00F53E3A" w:rsidRDefault="0036255F">
            <w:pPr>
              <w:pStyle w:val="P68B1DB1-Normal12"/>
              <w:spacing w:before="60" w:after="60"/>
              <w:jc w:val="both"/>
              <w:rPr>
                <w:rFonts w:eastAsia="Times New Roman" w:cs="Times New Roman"/>
                <w:noProof/>
              </w:rPr>
            </w:pPr>
            <w:r>
              <w:rPr>
                <w:noProof/>
              </w:rPr>
              <w:t>Intrarea în vigoare a procedurilor prevăzute de Rezoluția Guvernului privind orientarea profesională (orientarea profesională), care stabilește</w:t>
            </w:r>
          </w:p>
          <w:p w14:paraId="25704193" w14:textId="77777777" w:rsidR="00F53E3A" w:rsidRDefault="0036255F">
            <w:pPr>
              <w:pStyle w:val="P68B1DB1-ListParagraph23"/>
              <w:numPr>
                <w:ilvl w:val="0"/>
                <w:numId w:val="26"/>
              </w:numPr>
              <w:spacing w:before="60" w:after="60" w:line="276" w:lineRule="auto"/>
              <w:ind w:left="356" w:hanging="284"/>
              <w:jc w:val="both"/>
              <w:rPr>
                <w:rFonts w:eastAsia="Times New Roman" w:cs="Times New Roman"/>
                <w:noProof/>
              </w:rPr>
            </w:pPr>
            <w:r>
              <w:rPr>
                <w:noProof/>
              </w:rPr>
              <w:t xml:space="preserve">cadrul, gestionarea și asigurarea calității sistemului de consiliere profesională și de planificare pe tot parcursul vieții, începând cu școala primară și furnizarea de servicii adulților care sunt integrate în sistemul de învățare pe tot parcursul vieții (LLL), precum și </w:t>
            </w:r>
          </w:p>
          <w:p w14:paraId="5E906271" w14:textId="77777777" w:rsidR="00F53E3A" w:rsidRDefault="0036255F">
            <w:pPr>
              <w:pStyle w:val="P68B1DB1-ListParagraph23"/>
              <w:numPr>
                <w:ilvl w:val="0"/>
                <w:numId w:val="26"/>
              </w:numPr>
              <w:spacing w:before="60" w:after="60" w:line="276" w:lineRule="auto"/>
              <w:ind w:left="356" w:hanging="284"/>
              <w:jc w:val="both"/>
              <w:rPr>
                <w:rFonts w:eastAsia="Times New Roman" w:cs="Times New Roman"/>
                <w:noProof/>
              </w:rPr>
            </w:pPr>
            <w:r>
              <w:rPr>
                <w:noProof/>
              </w:rPr>
              <w:t>stabilirea funcțiilor și a cerințelor de bază în materie de competențe ale profesioniștilor din domeniul carierei în școli, a modelului de finanțare pentru serviciile furnizate elevilor și adulților, a sferei instituțiilor implicate și a implicării partenerilor sociali</w:t>
            </w:r>
          </w:p>
          <w:p w14:paraId="641D722C" w14:textId="77777777" w:rsidR="00F53E3A" w:rsidRDefault="0036255F">
            <w:pPr>
              <w:pStyle w:val="P68B1DB1-ListParagraph23"/>
              <w:numPr>
                <w:ilvl w:val="0"/>
                <w:numId w:val="26"/>
              </w:numPr>
              <w:spacing w:before="60" w:after="60" w:line="276" w:lineRule="auto"/>
              <w:ind w:left="356" w:hanging="284"/>
              <w:jc w:val="both"/>
              <w:rPr>
                <w:rFonts w:eastAsia="Times New Roman" w:cs="Times New Roman"/>
                <w:noProof/>
              </w:rPr>
            </w:pPr>
            <w:r>
              <w:rPr>
                <w:noProof/>
              </w:rPr>
              <w:t>stabilirea standardului de bază pentru utilizarea informațiilor din Sistemul național de monitorizare a resurselor umane și stabilirea principiilor de monitorizare a sistemului de orientare profesională (orientare profesională).</w:t>
            </w:r>
          </w:p>
        </w:tc>
      </w:tr>
      <w:tr w:rsidR="00F53E3A" w14:paraId="6F5C0536" w14:textId="77777777" w:rsidTr="00CB74C1">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F21E796" w14:textId="77777777" w:rsidR="00F53E3A" w:rsidRDefault="0036255F">
            <w:pPr>
              <w:pStyle w:val="P68B1DB1-Normal12"/>
              <w:spacing w:before="60" w:after="60"/>
              <w:jc w:val="center"/>
              <w:rPr>
                <w:rFonts w:cs="Times New Roman"/>
                <w:noProof/>
              </w:rPr>
            </w:pPr>
            <w:r>
              <w:rPr>
                <w:noProof/>
              </w:rPr>
              <w:t>111</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5C7661E" w14:textId="3D0AF728" w:rsidR="00F53E3A" w:rsidRDefault="0036255F">
            <w:pPr>
              <w:pStyle w:val="P68B1DB1-Normal12"/>
              <w:spacing w:before="60" w:after="60"/>
              <w:rPr>
                <w:rFonts w:cs="Times New Roman"/>
                <w:noProof/>
              </w:rPr>
            </w:pPr>
            <w:r>
              <w:rPr>
                <w:noProof/>
              </w:rPr>
              <w:t>D.1.3. Sistem de orientare profesională pentru echilibrarea cererii și ofertei pe piața forței de muncă</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DA542FF" w14:textId="77777777" w:rsidR="00F53E3A" w:rsidRDefault="0036255F">
            <w:pPr>
              <w:pStyle w:val="P68B1DB1-Normal12"/>
              <w:spacing w:before="60" w:after="60"/>
              <w:jc w:val="center"/>
              <w:rPr>
                <w:rFonts w:cs="Times New Roman"/>
                <w:noProof/>
              </w:rPr>
            </w:pPr>
            <w:r>
              <w:rPr>
                <w:noProof/>
              </w:rPr>
              <w:t>Țintă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8081004" w14:textId="77777777" w:rsidR="00F53E3A" w:rsidRDefault="0036255F">
            <w:pPr>
              <w:pStyle w:val="P68B1DB1-Normal12"/>
              <w:spacing w:before="60" w:after="60"/>
              <w:rPr>
                <w:rFonts w:cs="Times New Roman"/>
                <w:noProof/>
              </w:rPr>
            </w:pPr>
            <w:r>
              <w:rPr>
                <w:noProof/>
              </w:rPr>
              <w:t xml:space="preserve">Numărul de specialiști în carieră care prestează servicii în școli </w:t>
            </w:r>
          </w:p>
        </w:tc>
        <w:tc>
          <w:tcPr>
            <w:tcW w:w="127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85B727F" w14:textId="4EE42081" w:rsidR="00F53E3A" w:rsidRDefault="00F53E3A">
            <w:pPr>
              <w:spacing w:before="60" w:after="60"/>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7445485" w14:textId="77777777" w:rsidR="00F53E3A" w:rsidRDefault="0036255F">
            <w:pPr>
              <w:pStyle w:val="P68B1DB1-Normal12"/>
              <w:spacing w:before="60" w:after="60"/>
              <w:jc w:val="center"/>
              <w:rPr>
                <w:rFonts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36B38C0" w14:textId="77777777" w:rsidR="00F53E3A" w:rsidRDefault="0036255F">
            <w:pPr>
              <w:pStyle w:val="P68B1DB1-Normal12"/>
              <w:spacing w:before="60" w:after="60"/>
              <w:jc w:val="center"/>
              <w:rPr>
                <w:rFonts w:cs="Times New Roman"/>
                <w:noProof/>
              </w:rPr>
            </w:pPr>
            <w:r>
              <w:rPr>
                <w:noProof/>
              </w:rPr>
              <w:t>80</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36CEDB3" w14:textId="77777777" w:rsidR="00F53E3A" w:rsidRDefault="0036255F">
            <w:pPr>
              <w:pStyle w:val="P68B1DB1-Normal12"/>
              <w:spacing w:before="60" w:after="60"/>
              <w:jc w:val="center"/>
              <w:rPr>
                <w:rFonts w:cs="Times New Roman"/>
                <w:noProof/>
              </w:rPr>
            </w:pPr>
            <w:r>
              <w:rPr>
                <w:noProof/>
              </w:rPr>
              <w:t>380</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4E7BE98" w14:textId="53AC61EF" w:rsidR="00F53E3A" w:rsidRDefault="00DB2EC5">
            <w:pPr>
              <w:pStyle w:val="P68B1DB1-Normal12"/>
              <w:spacing w:before="60" w:after="60"/>
              <w:jc w:val="center"/>
              <w:rPr>
                <w:rFonts w:cs="Times New Roman"/>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987D3DD" w14:textId="77777777" w:rsidR="00F53E3A" w:rsidRDefault="0036255F">
            <w:pPr>
              <w:pStyle w:val="P68B1DB1-Normal12"/>
              <w:spacing w:before="60" w:after="60"/>
              <w:jc w:val="center"/>
              <w:rPr>
                <w:rFonts w:cs="Times New Roman"/>
                <w:noProof/>
              </w:rPr>
            </w:pPr>
            <w:r>
              <w:rPr>
                <w:noProof/>
              </w:rPr>
              <w:t>2024</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AD7AEDB" w14:textId="77777777" w:rsidR="00F53E3A" w:rsidRDefault="0036255F">
            <w:pPr>
              <w:pStyle w:val="P68B1DB1-Normal12"/>
              <w:spacing w:before="60" w:after="60"/>
              <w:jc w:val="both"/>
              <w:rPr>
                <w:rFonts w:eastAsia="Times New Roman" w:cs="Times New Roman"/>
                <w:noProof/>
              </w:rPr>
            </w:pPr>
            <w:r>
              <w:rPr>
                <w:noProof/>
              </w:rPr>
              <w:t xml:space="preserve">Serviciile de orientare profesională sunt furnizate în școli de cel puțin 380 de specialiști în carieră. </w:t>
            </w:r>
          </w:p>
        </w:tc>
      </w:tr>
      <w:tr w:rsidR="00F53E3A" w14:paraId="02E82987" w14:textId="77777777" w:rsidTr="00CB74C1">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840D9FC" w14:textId="77777777" w:rsidR="00F53E3A" w:rsidRDefault="0036255F">
            <w:pPr>
              <w:pStyle w:val="P68B1DB1-Normal12"/>
              <w:spacing w:before="60" w:after="60"/>
              <w:jc w:val="center"/>
              <w:rPr>
                <w:rFonts w:cs="Times New Roman"/>
                <w:noProof/>
              </w:rPr>
            </w:pPr>
            <w:r>
              <w:rPr>
                <w:noProof/>
              </w:rPr>
              <w:t>112</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AF76BA5" w14:textId="4D1CBBDA" w:rsidR="00F53E3A" w:rsidRDefault="0036255F">
            <w:pPr>
              <w:pStyle w:val="P68B1DB1-Normal12"/>
              <w:spacing w:before="60" w:after="60"/>
              <w:rPr>
                <w:rFonts w:cs="Times New Roman"/>
                <w:noProof/>
              </w:rPr>
            </w:pPr>
            <w:r>
              <w:rPr>
                <w:noProof/>
              </w:rPr>
              <w:t>D.1.4. Competențe pentru transformarea digitală dobândite în educația și formarea profesională</w:t>
            </w:r>
            <w:r>
              <w:rPr>
                <w:noProof/>
                <w:shd w:val="clear" w:color="auto" w:fill="E6E6E6"/>
              </w:rPr>
              <w:t xml:space="preserve"> </w:t>
            </w:r>
          </w:p>
          <w:p w14:paraId="43AC3972" w14:textId="77777777" w:rsidR="00F53E3A" w:rsidRDefault="0036255F">
            <w:pPr>
              <w:pStyle w:val="P68B1DB1-Normal12"/>
              <w:spacing w:before="60" w:after="60"/>
              <w:rPr>
                <w:rFonts w:cs="Times New Roman"/>
                <w:noProof/>
              </w:rPr>
            </w:pPr>
            <w:r>
              <w:rPr>
                <w:noProof/>
              </w:rPr>
              <w:t>D.1.4.1 Platforma națională pentru progresul educației și formării profesionale</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1249D5C" w14:textId="77777777"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4B5AF2F" w14:textId="77777777" w:rsidR="00F53E3A" w:rsidRDefault="0036255F">
            <w:pPr>
              <w:pStyle w:val="P68B1DB1-Normal12"/>
              <w:spacing w:before="60" w:after="60"/>
              <w:rPr>
                <w:rFonts w:cs="Times New Roman"/>
                <w:noProof/>
              </w:rPr>
            </w:pPr>
            <w:r>
              <w:rPr>
                <w:noProof/>
              </w:rPr>
              <w:t>Intrarea în vigoare a legislației privind instituirea Platformei naționale pentru progresul educației și formării profesionale</w:t>
            </w:r>
          </w:p>
        </w:tc>
        <w:tc>
          <w:tcPr>
            <w:tcW w:w="127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90E72F8" w14:textId="77777777" w:rsidR="00F53E3A" w:rsidRDefault="0036255F">
            <w:pPr>
              <w:pStyle w:val="P68B1DB1-Normal12"/>
              <w:spacing w:before="60" w:after="60"/>
              <w:rPr>
                <w:rFonts w:cs="Times New Roman"/>
                <w:noProof/>
              </w:rPr>
            </w:pPr>
            <w:r>
              <w:rPr>
                <w:noProof/>
              </w:rPr>
              <w:t xml:space="preserve">Legislația a intrat în vigoare </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A5D6636" w14:textId="2D4C0649"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C2728D0" w14:textId="32F2F273" w:rsidR="00F53E3A" w:rsidRDefault="00F53E3A">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555B5DD" w14:textId="6A009221" w:rsidR="00F53E3A" w:rsidRDefault="00F53E3A">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42EB454" w14:textId="6F571778" w:rsidR="00F53E3A" w:rsidRDefault="00DB2EC5">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EC8DA92" w14:textId="77777777" w:rsidR="00F53E3A" w:rsidRDefault="0036255F">
            <w:pPr>
              <w:pStyle w:val="P68B1DB1-Normal12"/>
              <w:spacing w:before="60" w:after="60"/>
              <w:jc w:val="center"/>
              <w:rPr>
                <w:rFonts w:cs="Times New Roman"/>
                <w:noProof/>
              </w:rPr>
            </w:pPr>
            <w:r>
              <w:rPr>
                <w:noProof/>
              </w:rPr>
              <w:t>2022</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E03CC53" w14:textId="776D1751" w:rsidR="00F53E3A" w:rsidRDefault="0036255F">
            <w:pPr>
              <w:pStyle w:val="P68B1DB1-Normal12"/>
              <w:spacing w:before="60" w:after="60"/>
              <w:jc w:val="both"/>
              <w:rPr>
                <w:rFonts w:cs="Times New Roman"/>
                <w:noProof/>
              </w:rPr>
            </w:pPr>
            <w:r>
              <w:rPr>
                <w:noProof/>
              </w:rPr>
              <w:t>Intrarea în vigoare a legislației privind instituirea Platformei pentru progresul în formarea profesională, care asigură un model de formare profesională durabil și pe termen lung în fiecare regiune, rolurile și responsabilitățile platformei, rolurile actorilor și implicarea partenerilor sociali în cauză cu privire la competențele necesare pe piața forței de muncă.</w:t>
            </w:r>
          </w:p>
          <w:p w14:paraId="45096761" w14:textId="2F247231" w:rsidR="00F53E3A" w:rsidRDefault="0036255F">
            <w:pPr>
              <w:pStyle w:val="P68B1DB1-Normal12"/>
              <w:spacing w:before="60" w:after="60"/>
              <w:jc w:val="both"/>
              <w:rPr>
                <w:rFonts w:eastAsia="Times New Roman" w:cs="Times New Roman"/>
                <w:noProof/>
              </w:rPr>
            </w:pPr>
            <w:r>
              <w:rPr>
                <w:noProof/>
              </w:rPr>
              <w:t>Platforma include parteneri sociali care reprezintă interesele întreprinderilor, ale industriei, ale comunității educaționale și ale autorităților publice.</w:t>
            </w:r>
          </w:p>
          <w:p w14:paraId="14CFCC95" w14:textId="77777777" w:rsidR="00F53E3A" w:rsidRDefault="0036255F">
            <w:pPr>
              <w:pStyle w:val="P68B1DB1-Normal12"/>
              <w:spacing w:before="60" w:after="60"/>
              <w:jc w:val="both"/>
              <w:rPr>
                <w:rFonts w:cs="Times New Roman"/>
                <w:noProof/>
              </w:rPr>
            </w:pPr>
            <w:r>
              <w:rPr>
                <w:noProof/>
              </w:rPr>
              <w:t>În formatul platformei, se iau decizii cu privire la principiile obiective pentru guvernanța formării profesionale, la punerea în practică a consolidării rețelei existente de formare profesională, la actualizarea noilor standarde profesionale, la formarea profesională și la programele non-formale de educație a adulților, precum și la formarea formatorilor și dezvoltarea profesională.</w:t>
            </w:r>
          </w:p>
        </w:tc>
      </w:tr>
      <w:tr w:rsidR="00F53E3A" w14:paraId="6DA4D622" w14:textId="77777777" w:rsidTr="00CB74C1">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F8DD8C4" w14:textId="77777777" w:rsidR="00F53E3A" w:rsidRDefault="0036255F">
            <w:pPr>
              <w:pStyle w:val="P68B1DB1-Normal12"/>
              <w:spacing w:before="60" w:after="60"/>
              <w:jc w:val="center"/>
              <w:rPr>
                <w:rFonts w:cs="Times New Roman"/>
                <w:noProof/>
              </w:rPr>
            </w:pPr>
            <w:r>
              <w:rPr>
                <w:noProof/>
              </w:rPr>
              <w:t>113</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FC19DF1" w14:textId="625F8019" w:rsidR="00F53E3A" w:rsidRDefault="0036255F">
            <w:pPr>
              <w:pStyle w:val="P68B1DB1-Normal12"/>
              <w:spacing w:before="60" w:after="60"/>
              <w:rPr>
                <w:rFonts w:cs="Times New Roman"/>
                <w:noProof/>
              </w:rPr>
            </w:pPr>
            <w:r>
              <w:rPr>
                <w:noProof/>
              </w:rPr>
              <w:t>D.1.4. Competențe pentru transformarea digitală dobândite în educația și formarea profesională</w:t>
            </w:r>
          </w:p>
          <w:p w14:paraId="3E21ABB0" w14:textId="161D892F" w:rsidR="00F53E3A" w:rsidRDefault="0036255F">
            <w:pPr>
              <w:pStyle w:val="P68B1DB1-Normal12"/>
              <w:spacing w:before="60" w:after="60"/>
              <w:rPr>
                <w:rFonts w:cs="Times New Roman"/>
                <w:noProof/>
              </w:rPr>
            </w:pPr>
            <w:r>
              <w:rPr>
                <w:noProof/>
              </w:rPr>
              <w:t>D.1.4.1 Platforma națională pentru progresul educației și formării profesionale</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CC4618B" w14:textId="77777777" w:rsidR="00F53E3A" w:rsidRDefault="0036255F">
            <w:pPr>
              <w:pStyle w:val="P68B1DB1-Normal12"/>
              <w:spacing w:before="60" w:after="60"/>
              <w:jc w:val="center"/>
              <w:rPr>
                <w:rFonts w:cs="Times New Roman"/>
                <w:noProof/>
              </w:rPr>
            </w:pPr>
            <w:r>
              <w:rPr>
                <w:noProof/>
              </w:rPr>
              <w:t>Țintă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4DEECD6" w14:textId="04C21A20" w:rsidR="00F53E3A" w:rsidRDefault="0036255F">
            <w:pPr>
              <w:pStyle w:val="P68B1DB1-Normal12"/>
              <w:spacing w:before="60" w:after="60"/>
              <w:rPr>
                <w:rFonts w:cs="Times New Roman"/>
                <w:noProof/>
              </w:rPr>
            </w:pPr>
            <w:r>
              <w:rPr>
                <w:noProof/>
              </w:rPr>
              <w:t>Programe de formare profesională noi/actualizate înregistrate</w:t>
            </w:r>
          </w:p>
        </w:tc>
        <w:tc>
          <w:tcPr>
            <w:tcW w:w="127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7309153" w14:textId="5BA7035B" w:rsidR="00F53E3A" w:rsidRDefault="00F53E3A">
            <w:pPr>
              <w:spacing w:before="60" w:after="60"/>
              <w:rPr>
                <w:rFonts w:ascii="Times New Roman" w:hAnsi="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D441737" w14:textId="77777777" w:rsidR="00F53E3A" w:rsidRDefault="0036255F">
            <w:pPr>
              <w:pStyle w:val="P68B1DB1-Normal12"/>
              <w:spacing w:before="60" w:after="60"/>
              <w:jc w:val="center"/>
              <w:rPr>
                <w:rFonts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83B4869" w14:textId="77777777" w:rsidR="00F53E3A" w:rsidRDefault="0036255F">
            <w:pPr>
              <w:pStyle w:val="P68B1DB1-Normal12"/>
              <w:spacing w:before="60" w:after="60"/>
              <w:jc w:val="center"/>
              <w:rPr>
                <w:rFonts w:cs="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555BD28" w14:textId="77777777" w:rsidR="00F53E3A" w:rsidRDefault="0036255F">
            <w:pPr>
              <w:pStyle w:val="P68B1DB1-Normal12"/>
              <w:spacing w:before="60" w:after="60"/>
              <w:jc w:val="center"/>
              <w:rPr>
                <w:rFonts w:cs="Times New Roman"/>
                <w:noProof/>
              </w:rPr>
            </w:pPr>
            <w:r>
              <w:rPr>
                <w:noProof/>
              </w:rPr>
              <w:t>95</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5469FA3" w14:textId="6F669DB7" w:rsidR="00F53E3A" w:rsidRDefault="00DB2EC5">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1673703" w14:textId="77777777" w:rsidR="00F53E3A" w:rsidRDefault="0036255F">
            <w:pPr>
              <w:pStyle w:val="P68B1DB1-Normal12"/>
              <w:spacing w:before="60" w:after="60"/>
              <w:jc w:val="center"/>
              <w:rPr>
                <w:rFonts w:cs="Times New Roman"/>
                <w:noProof/>
              </w:rPr>
            </w:pPr>
            <w:r>
              <w:rPr>
                <w:noProof/>
              </w:rPr>
              <w:t>2026</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FB63F3C" w14:textId="574EEB7D" w:rsidR="00F53E3A" w:rsidRDefault="0036255F">
            <w:pPr>
              <w:pStyle w:val="P68B1DB1-Normal12"/>
              <w:spacing w:before="60" w:after="60"/>
              <w:jc w:val="both"/>
              <w:rPr>
                <w:rFonts w:eastAsia="Times New Roman" w:cs="Times New Roman"/>
                <w:noProof/>
              </w:rPr>
            </w:pPr>
            <w:r>
              <w:rPr>
                <w:noProof/>
              </w:rPr>
              <w:t xml:space="preserve">Se înregistrează în total 95 de programe noi sau actualizate de educație și formare profesională. </w:t>
            </w:r>
          </w:p>
        </w:tc>
      </w:tr>
      <w:tr w:rsidR="00F53E3A" w14:paraId="2957BF04" w14:textId="77777777" w:rsidTr="00CB74C1">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7B7C16C" w14:textId="77777777" w:rsidR="00F53E3A" w:rsidRDefault="0036255F">
            <w:pPr>
              <w:pStyle w:val="P68B1DB1-Normal12"/>
              <w:spacing w:before="60" w:after="60"/>
              <w:jc w:val="center"/>
              <w:rPr>
                <w:rFonts w:cs="Times New Roman"/>
                <w:noProof/>
              </w:rPr>
            </w:pPr>
            <w:r>
              <w:rPr>
                <w:noProof/>
              </w:rPr>
              <w:t>114</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F843BCE" w14:textId="245FAF15" w:rsidR="00F53E3A" w:rsidRDefault="0036255F">
            <w:pPr>
              <w:pStyle w:val="P68B1DB1-Normal12"/>
              <w:spacing w:before="60" w:after="60"/>
              <w:rPr>
                <w:rFonts w:cs="Times New Roman"/>
                <w:noProof/>
              </w:rPr>
            </w:pPr>
            <w:r>
              <w:rPr>
                <w:noProof/>
              </w:rPr>
              <w:t>D.1.4. Competențe pentru transformarea digitală dobândite în educația și formarea profesională</w:t>
            </w:r>
          </w:p>
          <w:p w14:paraId="5EF71311" w14:textId="77777777" w:rsidR="00F53E3A" w:rsidRDefault="0036255F">
            <w:pPr>
              <w:pStyle w:val="P68B1DB1-Normal12"/>
              <w:spacing w:before="60" w:after="60"/>
              <w:rPr>
                <w:rFonts w:cs="Times New Roman"/>
                <w:noProof/>
              </w:rPr>
            </w:pPr>
            <w:r>
              <w:rPr>
                <w:noProof/>
              </w:rPr>
              <w:t>D.1.4.1 Platforma națională pentru progresul educației și formării profesionale</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7A36D15" w14:textId="77777777" w:rsidR="00F53E3A" w:rsidRDefault="0036255F">
            <w:pPr>
              <w:pStyle w:val="P68B1DB1-Normal12"/>
              <w:spacing w:before="60" w:after="60"/>
              <w:jc w:val="center"/>
              <w:rPr>
                <w:rFonts w:cs="Times New Roman"/>
                <w:noProof/>
              </w:rPr>
            </w:pPr>
            <w:r>
              <w:rPr>
                <w:noProof/>
              </w:rPr>
              <w:t>Țintă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39CACC6" w14:textId="0F970D50" w:rsidR="00F53E3A" w:rsidRDefault="0036255F">
            <w:pPr>
              <w:pStyle w:val="P68B1DB1-Normal12"/>
              <w:spacing w:before="60" w:after="60"/>
              <w:rPr>
                <w:rFonts w:eastAsia="Times New Roman" w:cs="Times New Roman"/>
                <w:noProof/>
              </w:rPr>
            </w:pPr>
            <w:r>
              <w:rPr>
                <w:noProof/>
              </w:rPr>
              <w:t xml:space="preserve">Numărul de certificate de participare la formare eliberate </w:t>
            </w:r>
          </w:p>
        </w:tc>
        <w:tc>
          <w:tcPr>
            <w:tcW w:w="127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C9D0239" w14:textId="5BB62E70" w:rsidR="00F53E3A" w:rsidRDefault="00F53E3A">
            <w:pPr>
              <w:spacing w:before="60" w:after="60"/>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E6AF375" w14:textId="1CEF238F" w:rsidR="00F53E3A" w:rsidRDefault="0036255F">
            <w:pPr>
              <w:pStyle w:val="P68B1DB1-Normal12"/>
              <w:spacing w:before="60" w:after="60"/>
              <w:jc w:val="center"/>
              <w:rPr>
                <w:rFonts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80ADCE4" w14:textId="09A75F19" w:rsidR="00F53E3A" w:rsidRDefault="0036255F">
            <w:pPr>
              <w:pStyle w:val="P68B1DB1-Normal12"/>
              <w:spacing w:before="60" w:after="60"/>
              <w:jc w:val="center"/>
              <w:rPr>
                <w:rFonts w:cs="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3C90DBE" w14:textId="68B485BF" w:rsidR="00F53E3A" w:rsidRDefault="0036255F">
            <w:pPr>
              <w:pStyle w:val="P68B1DB1-Normal12"/>
              <w:spacing w:before="60" w:after="60"/>
              <w:jc w:val="center"/>
              <w:rPr>
                <w:rFonts w:cs="Times New Roman"/>
                <w:noProof/>
              </w:rPr>
            </w:pPr>
            <w:r>
              <w:rPr>
                <w:noProof/>
              </w:rPr>
              <w:t>1 000</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320EF9D" w14:textId="53D19DE9" w:rsidR="00F53E3A" w:rsidRDefault="00DB2EC5">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1953FB7" w14:textId="6B5944F2" w:rsidR="00F53E3A" w:rsidRDefault="0036255F">
            <w:pPr>
              <w:pStyle w:val="P68B1DB1-Normal12"/>
              <w:spacing w:before="60" w:after="60"/>
              <w:jc w:val="center"/>
              <w:rPr>
                <w:rFonts w:cs="Times New Roman"/>
                <w:noProof/>
              </w:rPr>
            </w:pPr>
            <w:r>
              <w:rPr>
                <w:noProof/>
              </w:rPr>
              <w:t>2026</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DC027A" w14:textId="65FC954B" w:rsidR="00F53E3A" w:rsidRDefault="0036255F">
            <w:pPr>
              <w:pStyle w:val="P68B1DB1-Normal12"/>
              <w:spacing w:before="60" w:after="60"/>
              <w:jc w:val="both"/>
              <w:rPr>
                <w:rFonts w:eastAsia="Times New Roman" w:cs="Times New Roman"/>
                <w:noProof/>
              </w:rPr>
            </w:pPr>
            <w:r>
              <w:rPr>
                <w:noProof/>
              </w:rPr>
              <w:t>1 000 se eliberează certificate de participare la cursuri de formare care includ competențe pedagogice și andragogice sau competențe tehnice sau digitale.</w:t>
            </w:r>
          </w:p>
        </w:tc>
      </w:tr>
      <w:tr w:rsidR="00F53E3A" w14:paraId="71F7D28D" w14:textId="77777777" w:rsidTr="00CB74C1">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647B4E0" w14:textId="77777777" w:rsidR="00F53E3A" w:rsidRDefault="0036255F">
            <w:pPr>
              <w:pStyle w:val="P68B1DB1-Normal12"/>
              <w:spacing w:before="60" w:after="60"/>
              <w:jc w:val="center"/>
              <w:rPr>
                <w:rFonts w:cs="Times New Roman"/>
                <w:noProof/>
              </w:rPr>
            </w:pPr>
            <w:r>
              <w:rPr>
                <w:noProof/>
              </w:rPr>
              <w:t>115</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F2C699" w14:textId="6D3BF0BA" w:rsidR="00F53E3A" w:rsidRDefault="0036255F">
            <w:pPr>
              <w:pStyle w:val="P68B1DB1-Normal12"/>
              <w:spacing w:before="60" w:after="60"/>
              <w:rPr>
                <w:rFonts w:cs="Times New Roman"/>
                <w:noProof/>
              </w:rPr>
            </w:pPr>
            <w:r>
              <w:rPr>
                <w:noProof/>
              </w:rPr>
              <w:t>D.1.4. Competențe pentru transformarea digitală dobândite în educația și formarea profesională</w:t>
            </w:r>
          </w:p>
          <w:p w14:paraId="27B9B187" w14:textId="77777777" w:rsidR="00F53E3A" w:rsidRDefault="0036255F">
            <w:pPr>
              <w:pStyle w:val="P68B1DB1-Normal12"/>
              <w:spacing w:before="60" w:after="60"/>
              <w:rPr>
                <w:rFonts w:cs="Times New Roman"/>
                <w:noProof/>
              </w:rPr>
            </w:pPr>
            <w:r>
              <w:rPr>
                <w:noProof/>
              </w:rPr>
              <w:t>D.1.4.2: Evaluarea competențelor</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9DC48A2" w14:textId="77777777"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2DB385B" w14:textId="77777777" w:rsidR="00F53E3A" w:rsidRDefault="0036255F">
            <w:pPr>
              <w:pStyle w:val="P68B1DB1-Normal12"/>
              <w:spacing w:before="60" w:after="60"/>
              <w:rPr>
                <w:rFonts w:eastAsia="Times New Roman" w:cs="Times New Roman"/>
                <w:noProof/>
              </w:rPr>
            </w:pPr>
            <w:r>
              <w:rPr>
                <w:noProof/>
              </w:rPr>
              <w:t>Intrarea în vigoare a modificării Legii privind formarea profesională referitoare la centrele de excelență în educație și formare profesională</w:t>
            </w:r>
          </w:p>
        </w:tc>
        <w:tc>
          <w:tcPr>
            <w:tcW w:w="127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F0DDC2B" w14:textId="77777777" w:rsidR="00F53E3A" w:rsidRDefault="0036255F">
            <w:pPr>
              <w:pStyle w:val="P68B1DB1-Normal12"/>
              <w:spacing w:before="60" w:after="60"/>
              <w:rPr>
                <w:rFonts w:eastAsia="Times New Roman" w:cs="Times New Roman"/>
                <w:noProof/>
              </w:rPr>
            </w:pPr>
            <w:r>
              <w:rPr>
                <w:noProof/>
              </w:rPr>
              <w:t>Intrarea în vigoare a legislației</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1C420AE" w14:textId="4D8ECFF2"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C26A2DC" w14:textId="7540AF37" w:rsidR="00F53E3A" w:rsidRDefault="00F53E3A">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14277E9" w14:textId="2F1289E4" w:rsidR="00F53E3A" w:rsidRDefault="00F53E3A">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DFF0302" w14:textId="0B3308DB" w:rsidR="00F53E3A" w:rsidRDefault="00DB2EC5">
            <w:pPr>
              <w:pStyle w:val="P68B1DB1-Normal12"/>
              <w:spacing w:before="60" w:after="60"/>
              <w:jc w:val="center"/>
              <w:rPr>
                <w:rFonts w:cs="Times New Roman"/>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B2323A4" w14:textId="77777777" w:rsidR="00F53E3A" w:rsidRDefault="0036255F">
            <w:pPr>
              <w:pStyle w:val="P68B1DB1-Normal12"/>
              <w:spacing w:before="60" w:after="60"/>
              <w:jc w:val="center"/>
              <w:rPr>
                <w:rFonts w:cs="Times New Roman"/>
                <w:noProof/>
              </w:rPr>
            </w:pPr>
            <w:r>
              <w:rPr>
                <w:noProof/>
              </w:rPr>
              <w:t>2022</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1B2217" w14:textId="6365DE10" w:rsidR="00F53E3A" w:rsidRDefault="0036255F">
            <w:pPr>
              <w:pStyle w:val="P68B1DB1-Normal12"/>
              <w:spacing w:before="60" w:after="60"/>
              <w:jc w:val="both"/>
              <w:rPr>
                <w:rFonts w:eastAsia="Times New Roman" w:cs="Times New Roman"/>
                <w:noProof/>
              </w:rPr>
            </w:pPr>
            <w:r>
              <w:rPr>
                <w:noProof/>
              </w:rPr>
              <w:t xml:space="preserve">Intrarea în vigoare a modificărilor aduse Legii privind formarea profesională, care stabilesc competența ministrului educației, științei și sportului de a numi furnizori de formare profesională pentru a pune în aplicare evaluarea și recunoașterea competențelor dobândite în mod formal, neformal sau informal la nivelul 4 din Cadrul european al calificărilor. Actele juridice de punere în aplicare stabilesc cerințele de acreditare și procedura de acreditare pentru astfel de centre de evaluare a competențelor, precum și o metodologie unificată de evaluare a competențelor care trebuie aplicată de astfel de centre. </w:t>
            </w:r>
          </w:p>
        </w:tc>
      </w:tr>
      <w:tr w:rsidR="00F53E3A" w14:paraId="511D2F42" w14:textId="77777777" w:rsidTr="00CB74C1">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B555159" w14:textId="77777777" w:rsidR="00F53E3A" w:rsidRDefault="0036255F">
            <w:pPr>
              <w:pStyle w:val="P68B1DB1-Normal12"/>
              <w:spacing w:before="60" w:after="60"/>
              <w:jc w:val="center"/>
              <w:rPr>
                <w:rFonts w:cs="Times New Roman"/>
                <w:noProof/>
              </w:rPr>
            </w:pPr>
            <w:r>
              <w:rPr>
                <w:noProof/>
              </w:rPr>
              <w:t>116</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31EB35A" w14:textId="2F8EF34D" w:rsidR="00F53E3A" w:rsidRDefault="0036255F">
            <w:pPr>
              <w:pStyle w:val="P68B1DB1-Normal12"/>
              <w:spacing w:before="60" w:after="60"/>
              <w:rPr>
                <w:rFonts w:eastAsia="Times New Roman" w:cs="Times New Roman"/>
                <w:noProof/>
              </w:rPr>
            </w:pPr>
            <w:r>
              <w:rPr>
                <w:noProof/>
              </w:rPr>
              <w:t xml:space="preserve">D.1.4. Competențe pentru transformarea digitală dobândite în educația și formarea profesională </w:t>
            </w:r>
          </w:p>
          <w:p w14:paraId="2425E00F" w14:textId="1A18A1D3" w:rsidR="00F53E3A" w:rsidRDefault="0036255F">
            <w:pPr>
              <w:pStyle w:val="P68B1DB1-Normal12"/>
              <w:spacing w:before="60" w:after="60"/>
              <w:rPr>
                <w:rFonts w:cs="Times New Roman"/>
                <w:noProof/>
              </w:rPr>
            </w:pPr>
            <w:r>
              <w:rPr>
                <w:noProof/>
              </w:rPr>
              <w:t>D.1.4.3: Ucenicii și cursuri de formare</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C11698D" w14:textId="77777777"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30B38B7" w14:textId="77777777" w:rsidR="00F53E3A" w:rsidRDefault="0036255F">
            <w:pPr>
              <w:pStyle w:val="P68B1DB1-Normal12"/>
              <w:spacing w:before="60" w:after="60"/>
              <w:rPr>
                <w:rFonts w:eastAsia="Times New Roman" w:cs="Times New Roman"/>
                <w:noProof/>
              </w:rPr>
            </w:pPr>
            <w:r>
              <w:rPr>
                <w:noProof/>
              </w:rPr>
              <w:t>Intrarea în vigoare a legislației de instituire a unui sistem de sprijin pentru ucenicie și învățarea la locul de muncă</w:t>
            </w:r>
          </w:p>
        </w:tc>
        <w:tc>
          <w:tcPr>
            <w:tcW w:w="127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08B8CF1" w14:textId="77777777" w:rsidR="00F53E3A" w:rsidRDefault="0036255F">
            <w:pPr>
              <w:pStyle w:val="P68B1DB1-Normal12"/>
              <w:spacing w:before="60" w:after="60"/>
              <w:rPr>
                <w:rFonts w:eastAsia="Times New Roman" w:cs="Times New Roman"/>
                <w:noProof/>
              </w:rPr>
            </w:pPr>
            <w:r>
              <w:rPr>
                <w:noProof/>
              </w:rPr>
              <w:t xml:space="preserve">Legislația a intrat în vigoare </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4AA9F78" w14:textId="52FD0CB2"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0B46EA0" w14:textId="4D6912A4" w:rsidR="00F53E3A" w:rsidRDefault="00F53E3A">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504BFA8" w14:textId="2DDB3410" w:rsidR="00F53E3A" w:rsidRDefault="00F53E3A">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2396E2D" w14:textId="44CA0E55" w:rsidR="00F53E3A" w:rsidRDefault="00DB2EC5">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044AA49" w14:textId="77777777" w:rsidR="00F53E3A" w:rsidRDefault="0036255F">
            <w:pPr>
              <w:pStyle w:val="P68B1DB1-Normal12"/>
              <w:spacing w:before="60" w:after="60"/>
              <w:jc w:val="center"/>
              <w:rPr>
                <w:rFonts w:cs="Times New Roman"/>
                <w:noProof/>
              </w:rPr>
            </w:pPr>
            <w:r>
              <w:rPr>
                <w:noProof/>
              </w:rPr>
              <w:t>2022</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796BD90" w14:textId="243D8DB5" w:rsidR="00F53E3A" w:rsidRDefault="0036255F">
            <w:pPr>
              <w:pStyle w:val="P68B1DB1-Normal12"/>
              <w:spacing w:before="60" w:after="60"/>
              <w:jc w:val="both"/>
              <w:rPr>
                <w:rFonts w:cs="Times New Roman"/>
                <w:noProof/>
              </w:rPr>
            </w:pPr>
            <w:r>
              <w:rPr>
                <w:noProof/>
              </w:rPr>
              <w:t>Pregătirea, coordonarea și aprobarea proiectelor de decrete ale ministrului educației, științei și sportului de stabilire a procedurii de punere în aplicare a schemei de sprijin pentru ucenicii.</w:t>
            </w:r>
          </w:p>
          <w:p w14:paraId="3CF2FE93" w14:textId="77777777" w:rsidR="00F53E3A" w:rsidRDefault="0036255F">
            <w:pPr>
              <w:pStyle w:val="P68B1DB1-Normal12"/>
              <w:spacing w:before="60" w:after="60"/>
              <w:jc w:val="both"/>
              <w:rPr>
                <w:rFonts w:eastAsia="Times New Roman" w:cs="Times New Roman"/>
                <w:noProof/>
              </w:rPr>
            </w:pPr>
            <w:r>
              <w:rPr>
                <w:noProof/>
              </w:rPr>
              <w:t>Legislația stabilește, în special, criteriile, grupurile-țintă, ariile de intervenție, formele de sprijin acordat, costurile eligibile pentru ucenicii și învățarea la locul de muncă.</w:t>
            </w:r>
          </w:p>
        </w:tc>
      </w:tr>
      <w:tr w:rsidR="00F53E3A" w14:paraId="3F1A1FE6" w14:textId="77777777" w:rsidTr="00CB74C1">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7AAD95B" w14:textId="5DD7E08D" w:rsidR="00F53E3A" w:rsidRDefault="0036255F">
            <w:pPr>
              <w:pStyle w:val="P68B1DB1-Normal12"/>
              <w:spacing w:before="60" w:after="60"/>
              <w:jc w:val="center"/>
              <w:rPr>
                <w:rFonts w:cs="Times New Roman"/>
                <w:noProof/>
              </w:rPr>
            </w:pPr>
            <w:r>
              <w:rPr>
                <w:noProof/>
              </w:rPr>
              <w:t>117</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06164DB" w14:textId="3E04CEC1" w:rsidR="00F53E3A" w:rsidRDefault="0036255F">
            <w:pPr>
              <w:pStyle w:val="P68B1DB1-Normal12"/>
              <w:spacing w:before="60" w:after="60"/>
              <w:rPr>
                <w:rFonts w:cs="Times New Roman"/>
                <w:noProof/>
              </w:rPr>
            </w:pPr>
            <w:r>
              <w:rPr>
                <w:noProof/>
              </w:rPr>
              <w:t>D.1.4. Competențe pentru transformarea digitală dobândite în educația și formarea profesională</w:t>
            </w:r>
          </w:p>
          <w:p w14:paraId="5366F582" w14:textId="01CC7E3C" w:rsidR="00F53E3A" w:rsidRDefault="0036255F">
            <w:pPr>
              <w:pStyle w:val="P68B1DB1-Normal12"/>
              <w:spacing w:before="60" w:after="60"/>
              <w:rPr>
                <w:rFonts w:cs="Times New Roman"/>
                <w:noProof/>
              </w:rPr>
            </w:pPr>
            <w:r>
              <w:rPr>
                <w:noProof/>
              </w:rPr>
              <w:t xml:space="preserve">D.1.4.3: Ucenicii și cursuri de formare </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FE54ECD" w14:textId="77777777" w:rsidR="00F53E3A" w:rsidRDefault="0036255F">
            <w:pPr>
              <w:pStyle w:val="P68B1DB1-Normal12"/>
              <w:spacing w:before="60" w:after="60"/>
              <w:jc w:val="center"/>
              <w:rPr>
                <w:rFonts w:cs="Times New Roman"/>
                <w:noProof/>
              </w:rPr>
            </w:pPr>
            <w:r>
              <w:rPr>
                <w:noProof/>
              </w:rPr>
              <w:t>Țintă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B0CC865" w14:textId="0F5AA407" w:rsidR="00F53E3A" w:rsidRDefault="0036255F">
            <w:pPr>
              <w:pStyle w:val="P68B1DB1-Normal12"/>
              <w:spacing w:before="60" w:after="60"/>
              <w:rPr>
                <w:rFonts w:cs="Times New Roman"/>
                <w:noProof/>
              </w:rPr>
            </w:pPr>
            <w:r>
              <w:rPr>
                <w:noProof/>
              </w:rPr>
              <w:t>Numărul de certificate de formare profesională eliberate</w:t>
            </w:r>
          </w:p>
        </w:tc>
        <w:tc>
          <w:tcPr>
            <w:tcW w:w="127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4708DD5" w14:textId="18AA6D01" w:rsidR="00F53E3A" w:rsidRDefault="00F53E3A">
            <w:pPr>
              <w:spacing w:before="60" w:after="60"/>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CFDCE43" w14:textId="4DFA2E69" w:rsidR="00F53E3A" w:rsidRDefault="0036255F">
            <w:pPr>
              <w:pStyle w:val="P68B1DB1-Normal12"/>
              <w:spacing w:before="60" w:after="60"/>
              <w:jc w:val="center"/>
              <w:rPr>
                <w:rFonts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FDECEC8" w14:textId="4B34F7F6" w:rsidR="00F53E3A" w:rsidRDefault="0036255F">
            <w:pPr>
              <w:pStyle w:val="P68B1DB1-Normal12"/>
              <w:spacing w:before="60" w:after="60"/>
              <w:jc w:val="center"/>
              <w:rPr>
                <w:rFonts w:cs="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1AFC4F9" w14:textId="7E7302C9" w:rsidR="00F53E3A" w:rsidRDefault="0036255F">
            <w:pPr>
              <w:pStyle w:val="P68B1DB1-Normal12"/>
              <w:spacing w:before="60" w:after="60"/>
              <w:jc w:val="center"/>
              <w:rPr>
                <w:rFonts w:cs="Times New Roman"/>
                <w:noProof/>
              </w:rPr>
            </w:pPr>
            <w:r>
              <w:rPr>
                <w:noProof/>
              </w:rPr>
              <w:t>13 966</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F2430AA" w14:textId="616DB81C" w:rsidR="00F53E3A" w:rsidRDefault="00DB2EC5">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A6BCA0B" w14:textId="77777777" w:rsidR="00F53E3A" w:rsidRDefault="0036255F">
            <w:pPr>
              <w:pStyle w:val="P68B1DB1-Normal12"/>
              <w:spacing w:before="60" w:after="60"/>
              <w:jc w:val="center"/>
              <w:rPr>
                <w:rFonts w:cs="Times New Roman"/>
                <w:noProof/>
              </w:rPr>
            </w:pPr>
            <w:r>
              <w:rPr>
                <w:noProof/>
              </w:rPr>
              <w:t>2026</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432E222" w14:textId="5973698C" w:rsidR="00F53E3A" w:rsidRDefault="0036255F">
            <w:pPr>
              <w:pStyle w:val="P68B1DB1-Normal12"/>
              <w:spacing w:before="60" w:after="60"/>
              <w:jc w:val="both"/>
              <w:rPr>
                <w:rFonts w:eastAsia="Times New Roman" w:cs="Times New Roman"/>
                <w:noProof/>
              </w:rPr>
            </w:pPr>
            <w:r>
              <w:rPr>
                <w:noProof/>
              </w:rPr>
              <w:t>Cel puțin 13 966 certificate de formare, din care cel puțin 3 200 certificate de ucenicie. 40 % din certificate menționează competențele digitale individuale îmbunătățite.</w:t>
            </w:r>
          </w:p>
        </w:tc>
      </w:tr>
      <w:tr w:rsidR="00F53E3A" w14:paraId="13150277" w14:textId="77777777" w:rsidTr="00CB74C1">
        <w:trPr>
          <w:trHeight w:val="300"/>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51F5CE0" w14:textId="392483E4" w:rsidR="00F53E3A" w:rsidRDefault="0036255F">
            <w:pPr>
              <w:pStyle w:val="P68B1DB1-Normal12"/>
              <w:spacing w:before="60" w:after="60"/>
              <w:jc w:val="center"/>
              <w:rPr>
                <w:rFonts w:cs="Times New Roman"/>
                <w:noProof/>
              </w:rPr>
            </w:pPr>
            <w:r>
              <w:rPr>
                <w:noProof/>
              </w:rPr>
              <w:t>119</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F3ADDF4" w14:textId="2CAB560E" w:rsidR="00F53E3A" w:rsidRDefault="0036255F">
            <w:pPr>
              <w:pStyle w:val="P68B1DB1-Normal12"/>
              <w:spacing w:before="60" w:after="60"/>
              <w:rPr>
                <w:rFonts w:cs="Times New Roman"/>
                <w:noProof/>
              </w:rPr>
            </w:pPr>
            <w:r>
              <w:rPr>
                <w:noProof/>
              </w:rPr>
              <w:t xml:space="preserve">D.1.4. Competențe pentru transformarea digitală dobândite în educația și formarea profesională </w:t>
            </w:r>
          </w:p>
          <w:p w14:paraId="15B55C38" w14:textId="48E49CF1" w:rsidR="00F53E3A" w:rsidRDefault="0036255F">
            <w:pPr>
              <w:pStyle w:val="P68B1DB1-Text128"/>
              <w:spacing w:before="60" w:after="60" w:line="276" w:lineRule="auto"/>
              <w:ind w:left="0"/>
              <w:jc w:val="left"/>
              <w:rPr>
                <w:noProof/>
              </w:rPr>
            </w:pPr>
            <w:r>
              <w:rPr>
                <w:noProof/>
              </w:rPr>
              <w:t>D.1.4.5. Mai multe oportunități de a studia în module EFP pentru elevii din învățământul general</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99F99EC" w14:textId="2D48B216" w:rsidR="00F53E3A" w:rsidRDefault="0036255F">
            <w:pPr>
              <w:pStyle w:val="P68B1DB1-Normal12"/>
              <w:spacing w:before="60" w:after="60"/>
              <w:jc w:val="center"/>
              <w:rPr>
                <w:rFonts w:cs="Times New Roman"/>
                <w:noProof/>
              </w:rPr>
            </w:pPr>
            <w:r>
              <w:rPr>
                <w:noProof/>
              </w:rPr>
              <w:t>Țintă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AE0DAD0" w14:textId="1A12D45C" w:rsidR="00F53E3A" w:rsidRDefault="0036255F">
            <w:pPr>
              <w:pStyle w:val="P68B1DB1-Normal12"/>
              <w:spacing w:before="60" w:after="60"/>
              <w:rPr>
                <w:rFonts w:eastAsia="Times New Roman" w:cs="Times New Roman"/>
                <w:noProof/>
              </w:rPr>
            </w:pPr>
            <w:r>
              <w:rPr>
                <w:noProof/>
              </w:rPr>
              <w:t>Elevi înscriși pentru a studia în module EFP sau în programe de formare profesională începând cu clasa</w:t>
            </w:r>
            <w:r>
              <w:rPr>
                <w:noProof/>
                <w:vertAlign w:val="superscript"/>
              </w:rPr>
              <w:t xml:space="preserve"> a</w:t>
            </w:r>
            <w:r>
              <w:rPr>
                <w:noProof/>
              </w:rPr>
              <w:t xml:space="preserve"> 9-a</w:t>
            </w:r>
          </w:p>
        </w:tc>
        <w:tc>
          <w:tcPr>
            <w:tcW w:w="127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F371C81" w14:textId="58154DAA" w:rsidR="00F53E3A" w:rsidRDefault="00F53E3A">
            <w:pPr>
              <w:spacing w:before="60" w:after="60"/>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04D4A84" w14:textId="77777777" w:rsidR="00F53E3A" w:rsidRDefault="0036255F">
            <w:pPr>
              <w:pStyle w:val="P68B1DB1-Normal12"/>
              <w:spacing w:before="60" w:after="60"/>
              <w:jc w:val="center"/>
              <w:rPr>
                <w:rFonts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03098FF" w14:textId="77777777" w:rsidR="00F53E3A" w:rsidRDefault="0036255F">
            <w:pPr>
              <w:pStyle w:val="P68B1DB1-Normal12"/>
              <w:spacing w:before="60" w:after="60"/>
              <w:jc w:val="center"/>
              <w:rPr>
                <w:rFonts w:cs="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36A4FD2" w14:textId="7776D816" w:rsidR="00F53E3A" w:rsidRDefault="0036255F">
            <w:pPr>
              <w:pStyle w:val="P68B1DB1-Normal12"/>
              <w:spacing w:before="60" w:after="60"/>
              <w:jc w:val="center"/>
              <w:rPr>
                <w:rFonts w:cs="Times New Roman"/>
                <w:noProof/>
              </w:rPr>
            </w:pPr>
            <w:r>
              <w:rPr>
                <w:noProof/>
              </w:rPr>
              <w:t>7 250</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084F552" w14:textId="400CB860" w:rsidR="00F53E3A" w:rsidRDefault="00DB2EC5">
            <w:pPr>
              <w:pStyle w:val="P68B1DB1-Normal12"/>
              <w:spacing w:before="60" w:after="60"/>
              <w:jc w:val="center"/>
              <w:rPr>
                <w:rFonts w:cs="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7C40FF3" w14:textId="77777777" w:rsidR="00F53E3A" w:rsidRDefault="0036255F">
            <w:pPr>
              <w:pStyle w:val="P68B1DB1-Normal12"/>
              <w:spacing w:before="60" w:after="60"/>
              <w:jc w:val="center"/>
              <w:rPr>
                <w:rFonts w:cs="Times New Roman"/>
                <w:noProof/>
              </w:rPr>
            </w:pPr>
            <w:r>
              <w:rPr>
                <w:noProof/>
              </w:rPr>
              <w:t>2026</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A0C55BF" w14:textId="254CB61C" w:rsidR="00F53E3A" w:rsidRDefault="0036255F">
            <w:pPr>
              <w:pStyle w:val="P68B1DB1-Normal12"/>
              <w:spacing w:before="60" w:after="60"/>
              <w:jc w:val="both"/>
              <w:rPr>
                <w:rFonts w:cs="Times New Roman"/>
                <w:noProof/>
              </w:rPr>
            </w:pPr>
            <w:r>
              <w:rPr>
                <w:noProof/>
              </w:rPr>
              <w:t>Cel puțin 4 900 de elevi din învățământul general începând cu clasa a 9-a înscriși în module EFP.</w:t>
            </w:r>
          </w:p>
          <w:p w14:paraId="47A4A9DB" w14:textId="0AF31C3A" w:rsidR="00F53E3A" w:rsidRDefault="0036255F">
            <w:pPr>
              <w:pStyle w:val="P68B1DB1-Normal12"/>
              <w:spacing w:before="60" w:after="60"/>
              <w:jc w:val="both"/>
              <w:rPr>
                <w:rFonts w:eastAsia="Segoe UI" w:cs="Times New Roman"/>
                <w:noProof/>
                <w:color w:val="333333"/>
              </w:rPr>
            </w:pPr>
            <w:r>
              <w:rPr>
                <w:noProof/>
              </w:rPr>
              <w:t>În plus, cel puțin 2 350 de elevi s-au înscris în programe de formare profesională începând cu clasa a 9-a.</w:t>
            </w:r>
          </w:p>
        </w:tc>
      </w:tr>
    </w:tbl>
    <w:p w14:paraId="2A078396" w14:textId="77777777" w:rsidR="00F53E3A" w:rsidRDefault="00F53E3A">
      <w:pPr>
        <w:jc w:val="both"/>
        <w:rPr>
          <w:rFonts w:ascii="Times New Roman" w:eastAsia="Calibri" w:hAnsi="Times New Roman" w:cs="Times New Roman"/>
          <w:noProof/>
        </w:rPr>
        <w:sectPr w:rsidR="00F53E3A" w:rsidSect="0074650A">
          <w:headerReference w:type="even" r:id="rId72"/>
          <w:headerReference w:type="default" r:id="rId73"/>
          <w:footerReference w:type="even" r:id="rId74"/>
          <w:footerReference w:type="default" r:id="rId75"/>
          <w:headerReference w:type="first" r:id="rId76"/>
          <w:footerReference w:type="first" r:id="rId77"/>
          <w:pgSz w:w="16839" w:h="11907" w:orient="landscape"/>
          <w:pgMar w:top="1134" w:right="1134" w:bottom="1134" w:left="1134" w:header="567" w:footer="567" w:gutter="0"/>
          <w:cols w:space="720"/>
          <w:docGrid w:linePitch="360"/>
        </w:sectPr>
      </w:pPr>
    </w:p>
    <w:p w14:paraId="7D4FD287" w14:textId="77777777" w:rsidR="00F53E3A" w:rsidRDefault="0036255F">
      <w:pPr>
        <w:pStyle w:val="ManualHeading1"/>
        <w:tabs>
          <w:tab w:val="clear" w:pos="850"/>
        </w:tabs>
        <w:spacing w:before="0" w:after="200"/>
        <w:ind w:left="0" w:firstLine="0"/>
        <w:rPr>
          <w:noProof/>
        </w:rPr>
      </w:pPr>
      <w:r>
        <w:rPr>
          <w:noProof/>
        </w:rPr>
        <w:t>E. COMPONENTA 5: Învățământul superior, un cadru coerent pentru stimularea cercetării și inovării și a întreprinderilor cu valoare adăugată ridicată</w:t>
      </w:r>
    </w:p>
    <w:p w14:paraId="7A4C785B" w14:textId="77777777" w:rsidR="00F53E3A" w:rsidRDefault="0036255F">
      <w:pPr>
        <w:pStyle w:val="P68B1DB1-Normal4"/>
        <w:jc w:val="both"/>
        <w:rPr>
          <w:rFonts w:eastAsia="Times New Roman" w:cs="Times New Roman"/>
          <w:noProof/>
        </w:rPr>
      </w:pPr>
      <w:r>
        <w:rPr>
          <w:noProof/>
        </w:rPr>
        <w:t xml:space="preserve">Componenta planului lituanian de redresare și reziliență abordează principalele provocări din sistemul de învățământ superior și din cadrul de sprijin pentru cercetare și inovare. Principalele provocări legate de învățământul superior sunt existența unui număr mare de instituții care nu reflectă evoluțiile demografice și nevoile pieței forței de muncă, lipsa resurselor și a unei mase critice pentru a oferi o educație de bună calitate și C &amp; D. Sistemul actual de finanțare a învățământului superior stimulează instituțiile de învățământ superior să se concentreze asupra unui număr mai mare de studenți, în loc să asigure calitatea și relevanța studiilor pentru piața forței de muncă. În plus, există o lipsă de oportunități atractive de carieră academică, ceea ce limitează resursele umane pentru educație, cercetare și inovare. Principalele provocări legate de inovare sunt investițiile private scăzute în C &amp; D, fragmentarea potențialului de C &amp; D și guvernanța sistemului de inovare, precum și slaba cooperare dintre mediul științific și mediul de afaceri. </w:t>
      </w:r>
    </w:p>
    <w:p w14:paraId="62B229E0" w14:textId="428B8BA9" w:rsidR="00F53E3A" w:rsidRDefault="0036255F">
      <w:pPr>
        <w:pStyle w:val="P68B1DB1-Normal4"/>
        <w:jc w:val="both"/>
        <w:rPr>
          <w:rFonts w:eastAsia="Times New Roman" w:cs="Times New Roman"/>
          <w:noProof/>
        </w:rPr>
      </w:pPr>
      <w:r>
        <w:rPr>
          <w:noProof/>
        </w:rPr>
        <w:t>Obiectivele componentei sunt reformarea sistemului de finanțare a învățământului superior și a sistemului de admitere a studenților, ceea ce ar crea stimulente pentru ca instituțiile de învățământ superior să sporească calitatea și relevanța studiilor pentru piața forței de muncă, să promoveze C</w:t>
      </w:r>
      <w:r w:rsidR="00CB74C1">
        <w:rPr>
          <w:noProof/>
        </w:rPr>
        <w:t> </w:t>
      </w:r>
      <w:r>
        <w:rPr>
          <w:noProof/>
        </w:rPr>
        <w:t>&amp;</w:t>
      </w:r>
      <w:r w:rsidR="00CB74C1">
        <w:rPr>
          <w:noProof/>
        </w:rPr>
        <w:t> </w:t>
      </w:r>
      <w:r>
        <w:rPr>
          <w:noProof/>
        </w:rPr>
        <w:t xml:space="preserve">D de calitate, cooperarea și consolidarea în acest sector. Se preconizează că reforma va consolida standardele calitative pentru colegii și universități. Componenta include, de asemenea, o reformă a guvernanței sprijinului pentru inovare și a cadrului acesteia, în temeiul căreia funcțiile actuale fragmentate ale sprijinului pentru inovare sunt consolidate în cadrul unei singure agenții pentru inovare. Reforma vizează, de asemenea, revizuirea sistemului existent de sprijinire a inovării și a cooperării dintre mediul științific și mediul de afaceri, pentru a-l face mai coerent. Pe parcursul punerii în aplicare a planului, sprijinul sectorial pentru conceperea, punerea în aplicare și evaluarea reformelor politicilor de cercetare și inovare este disponibil prin intermediul mecanismului de sprijin al politicilor din cadrul programului Orizont. </w:t>
      </w:r>
    </w:p>
    <w:p w14:paraId="67FD6917" w14:textId="77777777" w:rsidR="00F53E3A" w:rsidRDefault="0036255F">
      <w:pPr>
        <w:pStyle w:val="P68B1DB1-Normal4"/>
        <w:jc w:val="both"/>
        <w:rPr>
          <w:rFonts w:eastAsia="Times New Roman" w:cs="Times New Roman"/>
          <w:noProof/>
        </w:rPr>
      </w:pPr>
      <w:r>
        <w:rPr>
          <w:noProof/>
        </w:rPr>
        <w:t xml:space="preserve">Componenta abordează recomandările specifice fiecărei țări de a concentra politica economică legată de investiții asupra inovării, de a dezvolta un cadru de politică coerent pentru a sprijini cooperarea dintre știință și întreprinderi și de a consolida agențiile de punere în aplicare a cercetării și inovării (Recomandarea specifică fiecărei țări 3 2019), de a promova inovarea tehnologică în întreprinderile mici și mijlocii (Recomandarea specifică fiecărei țări 3 2020) și de a îmbunătăți calitatea și eficiența la toate nivelurile de educație și formare, inclusiv învățarea în rândul adulților (Recomandarea specifică fiecărei țări 2 2019). </w:t>
      </w:r>
    </w:p>
    <w:p w14:paraId="7FB574B6" w14:textId="77777777" w:rsidR="00F53E3A" w:rsidRDefault="0036255F">
      <w:pPr>
        <w:pStyle w:val="P68B1DB1-Normal4"/>
        <w:jc w:val="both"/>
        <w:rPr>
          <w:rFonts w:eastAsia="Times New Roman" w:cs="Times New Roman"/>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6F4B76C1" w14:textId="5FBBBF5C" w:rsidR="00F53E3A" w:rsidRDefault="0036255F">
      <w:pPr>
        <w:pStyle w:val="P68B1DB1-Text15"/>
        <w:keepNext/>
        <w:keepLines/>
        <w:spacing w:before="0" w:after="200" w:line="276" w:lineRule="auto"/>
        <w:ind w:left="0"/>
        <w:outlineLvl w:val="1"/>
        <w:rPr>
          <w:noProof/>
        </w:rPr>
      </w:pPr>
      <w:r>
        <w:rPr>
          <w:noProof/>
        </w:rPr>
        <w:t>E.1. Descrierea reformelor și a investițiilor pentru sprijinul financiar nerambursabil</w:t>
      </w:r>
    </w:p>
    <w:p w14:paraId="3D17C811" w14:textId="77777777" w:rsidR="00F53E3A" w:rsidRDefault="0036255F">
      <w:pPr>
        <w:pStyle w:val="P68B1DB1-Text127"/>
        <w:keepNext/>
        <w:keepLines/>
        <w:spacing w:before="0" w:after="200" w:line="276" w:lineRule="auto"/>
        <w:ind w:left="0"/>
        <w:rPr>
          <w:noProof/>
        </w:rPr>
      </w:pPr>
      <w:r>
        <w:rPr>
          <w:noProof/>
        </w:rPr>
        <w:t>E.1.1. Reforma 1 „Învățământ superior de calitate și instituții de învățământ superior puternice”</w:t>
      </w:r>
    </w:p>
    <w:p w14:paraId="54631B0D" w14:textId="1A16CAE6" w:rsidR="00F53E3A" w:rsidRDefault="0036255F">
      <w:pPr>
        <w:pStyle w:val="Text1"/>
        <w:spacing w:before="0" w:after="200" w:line="276" w:lineRule="auto"/>
        <w:ind w:left="0"/>
        <w:rPr>
          <w:noProof/>
        </w:rPr>
      </w:pPr>
      <w:r>
        <w:rPr>
          <w:noProof/>
        </w:rPr>
        <w:t>Obiectivul reformei este de a spori calitatea, eficiența și competitivitatea internațională a sistemului lituanian de învățământ superior și științific. Această măsură constă în 4 submăsuri: (1)</w:t>
      </w:r>
      <w:r w:rsidR="00CB74C1">
        <w:rPr>
          <w:noProof/>
        </w:rPr>
        <w:t> </w:t>
      </w:r>
      <w:r>
        <w:rPr>
          <w:noProof/>
        </w:rPr>
        <w:t>îmbunătățirea finanțării învățământului superior și a sistemelor de admitere a studenților (submăsura 1); (2) o rețea eficientă de învățământ superior prin perfecționarea misiunilor universităților și colegiilor (submăsura 2); (3) consolidarea competitivității internaționale a instituțiilor de învățământ superior (submăsura 3); (4) promovarea sistematică a C &amp; D în instituțiile de învățământ superior și analiza cercetării (submăsura 4).</w:t>
      </w:r>
    </w:p>
    <w:p w14:paraId="7911AA9E" w14:textId="77777777" w:rsidR="00F53E3A" w:rsidRDefault="0036255F">
      <w:pPr>
        <w:pStyle w:val="P68B1DB1-Text127"/>
        <w:keepNext/>
        <w:keepLines/>
        <w:spacing w:before="0" w:after="200" w:line="276" w:lineRule="auto"/>
        <w:ind w:left="0"/>
        <w:rPr>
          <w:noProof/>
        </w:rPr>
      </w:pPr>
      <w:r>
        <w:rPr>
          <w:noProof/>
        </w:rPr>
        <w:t>E.1.1.1. Submăsura 1: Îmbunătățirea finanțării învățământului superior și a sistemelor de admitere a studenților</w:t>
      </w:r>
    </w:p>
    <w:p w14:paraId="4BC30065" w14:textId="5B157DEB" w:rsidR="00F53E3A" w:rsidRDefault="0036255F">
      <w:pPr>
        <w:pStyle w:val="Text1"/>
        <w:spacing w:before="0" w:after="200" w:line="276" w:lineRule="auto"/>
        <w:ind w:left="0"/>
        <w:rPr>
          <w:noProof/>
        </w:rPr>
      </w:pPr>
      <w:r>
        <w:rPr>
          <w:noProof/>
        </w:rPr>
        <w:t xml:space="preserve">Obiectivul submăsurii este de a revizui sistemul de admitere a studenților pentru a se asigura că toți studenții care intră atât în învățământul superior finanțat de stat, cât și în cel nefinanțat îndeplinesc criterii la fel de ridicate. Submăsura vizează, de asemenea, îmbunătățirea sistemului de finanțare a învățământului superior și alinierea acestuia la obiectivele strategice ale țării. Prin urmare, Legea privind știința și studiile va fi modificată pentru a armoniza în sens ascendent cerințele minime pentru admiterea studenților. Legea va fi, de asemenea, modificată pentru a introduce un nou sistem de finanțare a învățământului superior, care se va baza pe indicatori calitativi și pe acorduri între instituțiile de învățământ superior și stat. Se creează un model de contract pentru punerea în aplicare a măsurilor de progres strategic: pentru dezvoltarea instituțiilor, pentru fuziunea instituțiilor, pentru îmbunătățirea calității activităților, pentru investiții în infrastructură și pentru punerea în aplicare a altor obiective definite. Submăsura se finalizează până la 31 martie 2023. </w:t>
      </w:r>
    </w:p>
    <w:p w14:paraId="5A3A2509" w14:textId="208018BB" w:rsidR="00F53E3A" w:rsidRDefault="0036255F">
      <w:pPr>
        <w:pStyle w:val="P68B1DB1-Text127"/>
        <w:keepNext/>
        <w:keepLines/>
        <w:spacing w:after="200" w:line="276" w:lineRule="auto"/>
        <w:ind w:left="0"/>
        <w:rPr>
          <w:noProof/>
        </w:rPr>
      </w:pPr>
      <w:r>
        <w:rPr>
          <w:noProof/>
        </w:rPr>
        <w:t>E.1.1.2. Submăsura 2: O rețea eficientă de învățământ superior prin perfecționarea misiunilor universităților și colegiilor</w:t>
      </w:r>
    </w:p>
    <w:p w14:paraId="2A5D84E3" w14:textId="3FC72F0C" w:rsidR="00F53E3A" w:rsidRDefault="0036255F">
      <w:pPr>
        <w:pStyle w:val="Text1"/>
        <w:spacing w:before="0" w:after="200" w:line="276" w:lineRule="auto"/>
        <w:ind w:left="0"/>
        <w:rPr>
          <w:noProof/>
        </w:rPr>
      </w:pPr>
      <w:r>
        <w:rPr>
          <w:noProof/>
        </w:rPr>
        <w:t xml:space="preserve">Obiectivul acestei submăsuri este de a defini misiunile universităților și ale colegiilor. Submăsura constă în modificarea legislației privind colegiile și universitățile și în reorganizarea rețelei de colegii prin fuziuni. </w:t>
      </w:r>
    </w:p>
    <w:p w14:paraId="69DAC251" w14:textId="77777777" w:rsidR="00F53E3A" w:rsidRDefault="0036255F">
      <w:pPr>
        <w:pStyle w:val="P68B1DB1-Text127"/>
        <w:keepNext/>
        <w:keepLines/>
        <w:spacing w:before="0" w:after="200" w:line="276" w:lineRule="auto"/>
        <w:ind w:left="0"/>
        <w:rPr>
          <w:noProof/>
        </w:rPr>
      </w:pPr>
      <w:r>
        <w:rPr>
          <w:noProof/>
        </w:rPr>
        <w:t>E.1.1.3. Submăsura 3: Consolidarea competitivității internaționale a instituțiilor de învățământ superior</w:t>
      </w:r>
    </w:p>
    <w:p w14:paraId="085D91B8" w14:textId="01233760" w:rsidR="00F53E3A" w:rsidRDefault="0036255F">
      <w:pPr>
        <w:pStyle w:val="Text1"/>
        <w:spacing w:before="0" w:after="200" w:line="276" w:lineRule="auto"/>
        <w:ind w:left="0"/>
        <w:rPr>
          <w:noProof/>
        </w:rPr>
      </w:pPr>
      <w:r>
        <w:rPr>
          <w:noProof/>
        </w:rPr>
        <w:t>Obiectivul acestei submăsuri este de a consolida competitivitatea internațională a instituțiilor de învățământ superior. Pentru a realiza acest lucru, cinci proiecte de internaționalizare, care acoperă atragerea studenților, a lectorilor și a oamenilor de știință străini, dezvoltând elaborarea și punerea în aplicare a unor programe de diplome comune și duble; dezvoltarea furnizării de servicii virtuale și a altor activități de promovare a integrării universităților lituaniene în rețelele europene de universități este pusă în aplicare de instituțiile de învățământ superior. În plus, 250 de studenți străini care vin să studieze în Lituania primesc burse pentru integrarea lor în Lituania până la 31</w:t>
      </w:r>
      <w:r w:rsidR="00CB74C1">
        <w:rPr>
          <w:noProof/>
        </w:rPr>
        <w:t> </w:t>
      </w:r>
      <w:r>
        <w:rPr>
          <w:noProof/>
        </w:rPr>
        <w:t>decembrie 2024.</w:t>
      </w:r>
    </w:p>
    <w:p w14:paraId="08ABEFBA" w14:textId="77777777" w:rsidR="00F53E3A" w:rsidRDefault="0036255F">
      <w:pPr>
        <w:pStyle w:val="P68B1DB1-Text127"/>
        <w:keepNext/>
        <w:keepLines/>
        <w:spacing w:before="0" w:after="200" w:line="276" w:lineRule="auto"/>
        <w:ind w:left="0"/>
        <w:rPr>
          <w:noProof/>
        </w:rPr>
      </w:pPr>
      <w:r>
        <w:rPr>
          <w:noProof/>
        </w:rPr>
        <w:t>E.1.1.4. Submăsura 4: Promovarea sistematică a C &amp; D în instituțiile de învățământ superior și analiza cercetării</w:t>
      </w:r>
    </w:p>
    <w:p w14:paraId="471868AB" w14:textId="33D4E34D" w:rsidR="00F53E3A" w:rsidRDefault="0036255F">
      <w:pPr>
        <w:pStyle w:val="Text1"/>
        <w:spacing w:before="0" w:after="200" w:line="276" w:lineRule="auto"/>
        <w:ind w:left="0"/>
        <w:rPr>
          <w:noProof/>
        </w:rPr>
      </w:pPr>
      <w:r>
        <w:rPr>
          <w:noProof/>
        </w:rPr>
        <w:t>Obiectivul acestei submăsuri este de a crea un mecanism coerent de punere în aplicare a politicii științifice prin crearea agenției de punere în aplicare a politicii științifice. Legea privind știința și studiile se modifică, iar infrastructura relevantă se instituie până la 30 iunie 2022 pentru a crea agenția de punere în aplicare a politicii în domeniul științei din cadrul Ministerului Educației, Științei și Sportului</w:t>
      </w:r>
      <w:r>
        <w:rPr>
          <w:rFonts w:ascii="Calibri" w:hAnsi="Calibri"/>
          <w:noProof/>
          <w:sz w:val="23"/>
        </w:rPr>
        <w:t xml:space="preserve"> </w:t>
      </w:r>
      <w:r>
        <w:rPr>
          <w:noProof/>
        </w:rPr>
        <w:t xml:space="preserve">sau al Guvernului Republicii Lituania, care se înființează în urma reorganizării Agenției pentru Știință, Inovare și Tehnologie (MITA), a Consiliului de Cercetare din Lituania (LMT) și a altor organisme relevante. Noul organism promovează participarea solicitanților lituanieni la programele europene și internaționale de C &amp; D &amp; I, dezvoltă excelența științifică în sectorul public și elaborează o analiză a științei și a proceselor de studiu. </w:t>
      </w:r>
    </w:p>
    <w:p w14:paraId="0E744782" w14:textId="5F507435" w:rsidR="00F53E3A" w:rsidRDefault="0036255F">
      <w:pPr>
        <w:pStyle w:val="P68B1DB1-Text127"/>
        <w:keepNext/>
        <w:keepLines/>
        <w:spacing w:before="0" w:after="200" w:line="276" w:lineRule="auto"/>
        <w:ind w:left="0"/>
        <w:rPr>
          <w:noProof/>
        </w:rPr>
      </w:pPr>
      <w:r>
        <w:rPr>
          <w:noProof/>
        </w:rPr>
        <w:t>E.1.2. Reforma 2 „Punerea în aplicare eficace a politicii de inovare, creșterea cererii de inovare, sprijinirea ecosistemului de start-upuri și inovarea ecologică”</w:t>
      </w:r>
    </w:p>
    <w:p w14:paraId="1DE80279" w14:textId="76B92651" w:rsidR="00F53E3A" w:rsidRDefault="0036255F">
      <w:pPr>
        <w:pStyle w:val="Text1"/>
        <w:spacing w:before="0" w:after="200" w:line="276" w:lineRule="auto"/>
        <w:ind w:left="0"/>
        <w:rPr>
          <w:noProof/>
        </w:rPr>
      </w:pPr>
      <w:r>
        <w:rPr>
          <w:noProof/>
        </w:rPr>
        <w:t>Obiectivul reformei este de a spori eficiența politicilor de inovare din Lituania. Această măsură constă în 3 submăsuri: (1) punerea în aplicare eficace a politicii de inovare prin crearea unei agenții unice de promovare a inovării și optimizarea rețelei de agenții existente (submăsura 1); (2) creșterea cererii de inovare și sprijinirea inovării verzi în Lituania prin exploatarea potențialului achizițiilor publice (submăsura 2); (3) sprijinirea ecosistemului întreprinderilor nou-înființate (submăsura 3).</w:t>
      </w:r>
    </w:p>
    <w:p w14:paraId="68B390EE" w14:textId="2B8E9E8F" w:rsidR="00F53E3A" w:rsidRDefault="0036255F">
      <w:pPr>
        <w:pStyle w:val="P68B1DB1-Text127"/>
        <w:keepNext/>
        <w:keepLines/>
        <w:spacing w:before="0" w:after="200" w:line="276" w:lineRule="auto"/>
        <w:ind w:left="0"/>
        <w:rPr>
          <w:noProof/>
        </w:rPr>
      </w:pPr>
      <w:r>
        <w:rPr>
          <w:noProof/>
        </w:rPr>
        <w:t>E.1.2.1. Submăsura 1: Punerea în aplicare eficientă a politicii de inovare prin crearea unei agenții unice de promovare a inovării și optimizarea rețelei de agenții existente</w:t>
      </w:r>
    </w:p>
    <w:p w14:paraId="4BCBE469" w14:textId="68341834" w:rsidR="00F53E3A" w:rsidRDefault="0036255F">
      <w:pPr>
        <w:pStyle w:val="Text1"/>
        <w:spacing w:before="0" w:after="200" w:line="276" w:lineRule="auto"/>
        <w:ind w:left="0"/>
        <w:rPr>
          <w:noProof/>
        </w:rPr>
      </w:pPr>
      <w:r>
        <w:rPr>
          <w:noProof/>
        </w:rPr>
        <w:t>Obiectivul submăsurii este de a institui o singură agenție pentru inovare prin consolidarea funcțiilor de promovare a inovării care sunt în prezent repartizate între mai multe instituții. Submăsura vizează, de asemenea, stabilirea unui cadru coerent de cooperare între mediul științific și mediul de afaceri. Agenția pentru inovare se înființează la intrarea în vigoare a rezoluției guvernului. Enterprise Lithuania (Versli Lietuva) acționează ca bază pentru Agenția pentru Inovare, iar funcțiile și activitățile legate de inovare ale Agenției pentru Știință, Inovare și Tehnologie (MITA) și ale Agenției Lituaniene de Sprijin pentru Întreprinderi (LVPA) sunt transferate Agenției pentru Inovare. INVEGA își coordonează activitățile legate de finanțarea inovării cu Agenția pentru Inovare. Agenția pentru inovare integrează pe deplin Centrul lituanian pentru inovare (LIC) sau LIC este reorganizată prin retragerea drepturilor de proprietate ale organismelor publice. Noua agenție contribuie la un cadru coerent de sprijinire a inovării. Noua agenție se înființează până la 31</w:t>
      </w:r>
      <w:r w:rsidR="00CB74C1">
        <w:rPr>
          <w:noProof/>
        </w:rPr>
        <w:t> </w:t>
      </w:r>
      <w:r>
        <w:rPr>
          <w:noProof/>
        </w:rPr>
        <w:t>martie</w:t>
      </w:r>
      <w:r w:rsidR="00CB74C1">
        <w:rPr>
          <w:noProof/>
        </w:rPr>
        <w:t> </w:t>
      </w:r>
      <w:r>
        <w:rPr>
          <w:noProof/>
        </w:rPr>
        <w:t>2022. În paralel, actele juridice, în special Legea privind tehnologia și inovarea, vor fi revizuite în vederea eliminării lacunelor și suprapunerilor existente în cadrul politicii de inovare și a clarificării responsabilităților instituționale. Actele juridice revizuite intră în vigoare până la 31</w:t>
      </w:r>
      <w:r w:rsidR="00CB74C1">
        <w:rPr>
          <w:noProof/>
        </w:rPr>
        <w:t> </w:t>
      </w:r>
      <w:r>
        <w:rPr>
          <w:noProof/>
        </w:rPr>
        <w:t xml:space="preserve">decembrie 2021. De asemenea, se efectuează un studiu privind coerența stimulentelor pentru C &amp; I, pe baza căruia se revizuiesc alte acte juridice până la 31 decembrie 2022, în vederea creării unui set coerent de măsuri de sprijin pentru C &amp; I. </w:t>
      </w:r>
    </w:p>
    <w:p w14:paraId="680663D6" w14:textId="6DA6C4AF" w:rsidR="00F53E3A" w:rsidRDefault="0036255F">
      <w:pPr>
        <w:pStyle w:val="P68B1DB1-Text127"/>
        <w:keepNext/>
        <w:keepLines/>
        <w:spacing w:before="0" w:after="200" w:line="276" w:lineRule="auto"/>
        <w:ind w:left="0"/>
        <w:rPr>
          <w:noProof/>
        </w:rPr>
      </w:pPr>
      <w:r>
        <w:rPr>
          <w:noProof/>
        </w:rPr>
        <w:t xml:space="preserve">E.1.2.2. Submăsura 2: Creșterea cererii de inovare și sprijinirea inovării ecologice în Lituania </w:t>
      </w:r>
    </w:p>
    <w:p w14:paraId="67DB5EF0" w14:textId="6B5EC059" w:rsidR="00F53E3A" w:rsidRDefault="0036255F">
      <w:pPr>
        <w:pStyle w:val="Text1"/>
        <w:keepNext/>
        <w:keepLines/>
        <w:spacing w:before="0" w:after="200" w:line="276" w:lineRule="auto"/>
        <w:ind w:left="0"/>
        <w:rPr>
          <w:noProof/>
        </w:rPr>
      </w:pPr>
      <w:r>
        <w:rPr>
          <w:noProof/>
        </w:rPr>
        <w:t xml:space="preserve">Obiectivul submăsurii este de a crește cererea de inovare și de a sprijini inovarea verde. Această submăsură constă în achiziții publice de bunuri sau servicii inovatoare și în sprijinirea produselor sau a proiectelor tehnologice ecologice și a proiectelor din cadrul laboratorului industrial 4.0. MRR sprijină o parte din costul investiției. Proiectele din cadrul laboratorului industrial 4.0 pot primi, de asemenea, finanțare din partea altor programe sau instrumente ale Uniunii pentru costuri care nu sunt sprijinite de MRR. </w:t>
      </w:r>
    </w:p>
    <w:p w14:paraId="7D5C7CE4" w14:textId="08AA9FDF" w:rsidR="00F53E3A" w:rsidRDefault="0036255F">
      <w:pPr>
        <w:pStyle w:val="P68B1DB1-Text127"/>
        <w:keepNext/>
        <w:keepLines/>
        <w:spacing w:before="0" w:after="200" w:line="276" w:lineRule="auto"/>
        <w:ind w:left="0"/>
        <w:rPr>
          <w:noProof/>
        </w:rPr>
      </w:pPr>
      <w:r>
        <w:rPr>
          <w:noProof/>
        </w:rPr>
        <w:t>E.1.2.3. Submăsura 3: Sprijinirea ecosistemului întreprinderilor nou-înființate</w:t>
      </w:r>
    </w:p>
    <w:p w14:paraId="54AD86BD" w14:textId="3B71F9B5" w:rsidR="00F53E3A" w:rsidRDefault="0036255F">
      <w:pPr>
        <w:rPr>
          <w:noProof/>
        </w:rPr>
      </w:pPr>
      <w:r>
        <w:rPr>
          <w:rFonts w:ascii="Times New Roman" w:hAnsi="Times New Roman" w:cs="Times New Roman"/>
          <w:noProof/>
          <w:sz w:val="24"/>
        </w:rPr>
        <w:t>Obiectivul submăsurii este de a sprijini ecosistemul întreprinderilor nou-înființate din Lituania. Submăsura constă în furnizarea de sprijin persoanelor fizice sau juridice prin intermediul Fondului de promovare a inovării, al incubatorului Agenției Spațiale Europene, al programelor de preincubare sau</w:t>
      </w:r>
      <w:r>
        <w:rPr>
          <w:noProof/>
        </w:rPr>
        <w:t xml:space="preserve"> accelerare</w:t>
      </w:r>
      <w:r>
        <w:rPr>
          <w:rFonts w:ascii="Times New Roman" w:hAnsi="Times New Roman" w:cs="Times New Roman"/>
          <w:noProof/>
          <w:sz w:val="24"/>
        </w:rPr>
        <w:t>.</w:t>
      </w:r>
    </w:p>
    <w:p w14:paraId="0E29F151" w14:textId="77777777" w:rsidR="00F53E3A" w:rsidRDefault="0036255F">
      <w:pPr>
        <w:pStyle w:val="P68B1DB1-Text127"/>
        <w:keepNext/>
        <w:keepLines/>
        <w:spacing w:before="0" w:after="200" w:line="276" w:lineRule="auto"/>
        <w:ind w:left="0"/>
        <w:rPr>
          <w:noProof/>
        </w:rPr>
      </w:pPr>
      <w:r>
        <w:rPr>
          <w:noProof/>
        </w:rPr>
        <w:t>E.1.3. Reforma 3 „Misiuni comune în domeniul științei și inovării în specializarea inteligentă”</w:t>
      </w:r>
    </w:p>
    <w:p w14:paraId="7A1B762E" w14:textId="36959EEF" w:rsidR="00F53E3A" w:rsidRDefault="0036255F">
      <w:pPr>
        <w:pStyle w:val="Text1"/>
        <w:spacing w:before="0" w:after="200" w:line="276" w:lineRule="auto"/>
        <w:ind w:left="0"/>
        <w:rPr>
          <w:noProof/>
        </w:rPr>
      </w:pPr>
      <w:r>
        <w:rPr>
          <w:noProof/>
        </w:rPr>
        <w:t>Obiectivul reformei este de a spori cooperarea dintre știință și întreprinderi în domeniul specializării inteligente, sprijinind misiunile comune în domeniul științei și inovării. Măsura constă în 3</w:t>
      </w:r>
      <w:r w:rsidR="00CB74C1">
        <w:rPr>
          <w:noProof/>
        </w:rPr>
        <w:t> </w:t>
      </w:r>
      <w:r>
        <w:rPr>
          <w:noProof/>
        </w:rPr>
        <w:t>submăsuri: (1) definirea priorităților de specializare inteligentă (submăsura 1); (2) sprijinirea programelor științifice și de inovare bazate pe misiuni în domeniul specializării inteligente (submăsura 2); (3) încurajarea științei și a întreprinderilor să participe la programul UE pentru cercetare și inovare Orizont Europa și la alte programe internaționale de finanțare (submăsura 3).</w:t>
      </w:r>
    </w:p>
    <w:p w14:paraId="0A91C70A" w14:textId="3CC7A663" w:rsidR="00F53E3A" w:rsidRDefault="0036255F">
      <w:pPr>
        <w:pStyle w:val="P68B1DB1-Text127"/>
        <w:keepNext/>
        <w:keepLines/>
        <w:spacing w:before="0" w:after="200" w:line="276" w:lineRule="auto"/>
        <w:ind w:left="0"/>
        <w:rPr>
          <w:noProof/>
        </w:rPr>
      </w:pPr>
      <w:r>
        <w:rPr>
          <w:noProof/>
        </w:rPr>
        <w:t>E.1.3.1. Submăsura 1: Definirea priorităților de specializare inteligentă</w:t>
      </w:r>
    </w:p>
    <w:p w14:paraId="158D75B8" w14:textId="67E17EEB" w:rsidR="00F53E3A" w:rsidRDefault="0036255F">
      <w:pPr>
        <w:pStyle w:val="Text1"/>
        <w:spacing w:before="0" w:after="200" w:line="276" w:lineRule="auto"/>
        <w:ind w:left="0"/>
        <w:rPr>
          <w:noProof/>
        </w:rPr>
      </w:pPr>
      <w:r>
        <w:rPr>
          <w:noProof/>
        </w:rPr>
        <w:t>Obiectivul acestei submăsuri este de a revizui prioritățile de specializare inteligentă și de a reduce numărul acestora. Conceptul revizuit de specializare inteligentă pentru o perioadă care se încheie la 31 decembrie 2027, care va restrânge domeniile prioritare la trei, este aprobat de guvern până la 31</w:t>
      </w:r>
      <w:r w:rsidR="00CB74C1">
        <w:rPr>
          <w:noProof/>
        </w:rPr>
        <w:t> </w:t>
      </w:r>
      <w:r>
        <w:rPr>
          <w:noProof/>
        </w:rPr>
        <w:t>decembrie 2021.</w:t>
      </w:r>
    </w:p>
    <w:p w14:paraId="6EE9D853" w14:textId="1D35B159" w:rsidR="00F53E3A" w:rsidRDefault="0036255F">
      <w:pPr>
        <w:pStyle w:val="P68B1DB1-Text127"/>
        <w:keepNext/>
        <w:keepLines/>
        <w:spacing w:before="0" w:after="200" w:line="276" w:lineRule="auto"/>
        <w:ind w:left="0"/>
        <w:rPr>
          <w:noProof/>
        </w:rPr>
      </w:pPr>
      <w:r>
        <w:rPr>
          <w:noProof/>
        </w:rPr>
        <w:t xml:space="preserve">E.1.3.2. Submăsura 2: Sprijinirea cercetării și dezvoltării </w:t>
      </w:r>
    </w:p>
    <w:p w14:paraId="1C1CE91B" w14:textId="106F089A" w:rsidR="00F53E3A" w:rsidRDefault="0036255F">
      <w:pPr>
        <w:pStyle w:val="Text1"/>
        <w:spacing w:before="0" w:after="200" w:line="276" w:lineRule="auto"/>
        <w:ind w:left="0"/>
        <w:rPr>
          <w:noProof/>
        </w:rPr>
      </w:pPr>
      <w:r>
        <w:rPr>
          <w:noProof/>
        </w:rPr>
        <w:t xml:space="preserve">Obiectivul acestei submăsuri este de a oferi sprijin pentru cercetare și dezvoltare. Această submăsură constă în echipamente livrate și lucrări de construcție efectuate pentru infrastructuri de cercetare și sprijin pentru proiecte de C &amp; D. </w:t>
      </w:r>
    </w:p>
    <w:p w14:paraId="1C277B84" w14:textId="77777777" w:rsidR="00F53E3A" w:rsidRDefault="0036255F">
      <w:pPr>
        <w:pStyle w:val="P68B1DB1-Text127"/>
        <w:keepNext/>
        <w:keepLines/>
        <w:spacing w:before="0" w:after="200" w:line="276" w:lineRule="auto"/>
        <w:ind w:left="0"/>
        <w:rPr>
          <w:noProof/>
        </w:rPr>
      </w:pPr>
      <w:r>
        <w:rPr>
          <w:noProof/>
        </w:rPr>
        <w:t xml:space="preserve">E.1.3.3. Submăsura 3: Încurajarea științei și a întreprinderilor să participe la programul UE pentru cercetare și inovare Orizont Europa și la alte programe internaționale de finanțare </w:t>
      </w:r>
    </w:p>
    <w:p w14:paraId="3BDF57E2" w14:textId="30E6B5EA" w:rsidR="00F53E3A" w:rsidRDefault="0036255F">
      <w:pPr>
        <w:pStyle w:val="Text1"/>
        <w:ind w:left="0"/>
        <w:rPr>
          <w:noProof/>
        </w:rPr>
      </w:pPr>
      <w:r>
        <w:rPr>
          <w:noProof/>
        </w:rPr>
        <w:t xml:space="preserve">Obiectivul acestei submăsuri este de a sprijini participarea științei și a întreprinderilor lituaniene la programele internaționale de C &amp; D. Această submăsură constă în acordarea de sprijin financiar pentru proiecte sau servicii de consiliere. </w:t>
      </w:r>
    </w:p>
    <w:p w14:paraId="023B59B0" w14:textId="77777777" w:rsidR="00F53E3A" w:rsidRDefault="00F53E3A">
      <w:pPr>
        <w:pStyle w:val="Text1"/>
        <w:ind w:left="709"/>
        <w:rPr>
          <w:noProof/>
        </w:rPr>
        <w:sectPr w:rsidR="00F53E3A" w:rsidSect="0074650A">
          <w:headerReference w:type="even" r:id="rId78"/>
          <w:headerReference w:type="default" r:id="rId79"/>
          <w:footerReference w:type="even" r:id="rId80"/>
          <w:footerReference w:type="default" r:id="rId81"/>
          <w:headerReference w:type="first" r:id="rId82"/>
          <w:footerReference w:type="first" r:id="rId83"/>
          <w:pgSz w:w="11907" w:h="16839"/>
          <w:pgMar w:top="1134" w:right="1134" w:bottom="1134" w:left="1134" w:header="567" w:footer="567" w:gutter="0"/>
          <w:cols w:space="720"/>
          <w:docGrid w:linePitch="360"/>
        </w:sectPr>
      </w:pPr>
    </w:p>
    <w:p w14:paraId="39EC6D96" w14:textId="415BACB1" w:rsidR="00F53E3A" w:rsidRDefault="0036255F">
      <w:pPr>
        <w:pStyle w:val="P68B1DB1-Text15"/>
        <w:keepNext/>
        <w:keepLines/>
        <w:spacing w:before="0" w:after="200" w:line="276" w:lineRule="auto"/>
        <w:ind w:left="0"/>
        <w:jc w:val="center"/>
        <w:outlineLvl w:val="1"/>
        <w:rPr>
          <w:noProof/>
        </w:rPr>
      </w:pPr>
      <w:r>
        <w:rPr>
          <w:noProof/>
        </w:rPr>
        <w:t>E.2. Jaloane, ținte, indicatori și calendarul de monitorizare și implementare aplicabile sprijinului financiar nerambursabil</w:t>
      </w:r>
    </w:p>
    <w:tbl>
      <w:tblPr>
        <w:tblW w:w="5098" w:type="pct"/>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ayout w:type="fixed"/>
        <w:tblLook w:val="04A0" w:firstRow="1" w:lastRow="0" w:firstColumn="1" w:lastColumn="0" w:noHBand="0" w:noVBand="1"/>
      </w:tblPr>
      <w:tblGrid>
        <w:gridCol w:w="570"/>
        <w:gridCol w:w="1652"/>
        <w:gridCol w:w="1077"/>
        <w:gridCol w:w="1701"/>
        <w:gridCol w:w="1276"/>
        <w:gridCol w:w="992"/>
        <w:gridCol w:w="992"/>
        <w:gridCol w:w="993"/>
        <w:gridCol w:w="1178"/>
        <w:gridCol w:w="697"/>
        <w:gridCol w:w="3949"/>
      </w:tblGrid>
      <w:tr w:rsidR="00F53E3A" w14:paraId="16319DE0" w14:textId="77777777" w:rsidTr="0035684C">
        <w:trPr>
          <w:tblHeader/>
        </w:trPr>
        <w:tc>
          <w:tcPr>
            <w:tcW w:w="570"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E34D342" w14:textId="519DDB04" w:rsidR="00F53E3A" w:rsidRDefault="0035684C">
            <w:pPr>
              <w:pStyle w:val="P68B1DB1-Normal9"/>
              <w:spacing w:before="60" w:after="60"/>
              <w:jc w:val="center"/>
              <w:rPr>
                <w:rFonts w:cs="Times New Roman"/>
                <w:noProof/>
              </w:rPr>
            </w:pPr>
            <w:r>
              <w:rPr>
                <w:noProof/>
              </w:rPr>
              <w:t>Nr.</w:t>
            </w:r>
          </w:p>
        </w:tc>
        <w:tc>
          <w:tcPr>
            <w:tcW w:w="1652"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B996B90" w14:textId="77777777" w:rsidR="00F53E3A" w:rsidRDefault="0036255F">
            <w:pPr>
              <w:pStyle w:val="P68B1DB1-Normal9"/>
              <w:spacing w:before="60" w:after="60"/>
              <w:jc w:val="center"/>
              <w:rPr>
                <w:rFonts w:cs="Times New Roman"/>
                <w:noProof/>
              </w:rPr>
            </w:pPr>
            <w:r>
              <w:rPr>
                <w:noProof/>
              </w:rPr>
              <w:t>Măsură conexă (reformă sau investiții)</w:t>
            </w:r>
          </w:p>
        </w:tc>
        <w:tc>
          <w:tcPr>
            <w:tcW w:w="1077"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2633C22" w14:textId="7976077E" w:rsidR="00F53E3A" w:rsidRDefault="0036255F">
            <w:pPr>
              <w:pStyle w:val="P68B1DB1-Normal9"/>
              <w:spacing w:before="60" w:after="60"/>
              <w:jc w:val="center"/>
              <w:rPr>
                <w:rFonts w:cs="Times New Roman"/>
                <w:noProof/>
              </w:rPr>
            </w:pPr>
            <w:r>
              <w:rPr>
                <w:noProof/>
              </w:rPr>
              <w:t>Etapă/</w:t>
            </w:r>
            <w:r w:rsidR="0035684C">
              <w:rPr>
                <w:noProof/>
              </w:rPr>
              <w:t xml:space="preserve"> </w:t>
            </w:r>
            <w:r>
              <w:rPr>
                <w:noProof/>
              </w:rPr>
              <w:t>Obiectiv</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406ADEE" w14:textId="77777777" w:rsidR="00F53E3A" w:rsidRDefault="0036255F">
            <w:pPr>
              <w:pStyle w:val="P68B1DB1-Normal9"/>
              <w:spacing w:before="60" w:after="60"/>
              <w:jc w:val="center"/>
              <w:rPr>
                <w:rFonts w:cs="Times New Roman"/>
                <w:noProof/>
              </w:rPr>
            </w:pPr>
            <w:r>
              <w:rPr>
                <w:noProof/>
              </w:rPr>
              <w:t>Titlu</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F4B6B89" w14:textId="5EF073C5" w:rsidR="00F53E3A" w:rsidRDefault="0036255F">
            <w:pPr>
              <w:pStyle w:val="P68B1DB1-Normal10"/>
              <w:spacing w:before="60" w:after="60"/>
              <w:jc w:val="center"/>
              <w:rPr>
                <w:rFonts w:ascii="Times New Roman" w:hAnsi="Times New Roman" w:cs="Times New Roman"/>
                <w:b/>
                <w:noProof/>
              </w:rPr>
            </w:pPr>
            <w:r>
              <w:rPr>
                <w:rFonts w:ascii="Times New Roman" w:hAnsi="Times New Roman"/>
                <w:b/>
                <w:noProof/>
              </w:rPr>
              <w:t>Indicatori calitativi</w:t>
            </w:r>
            <w:r>
              <w:rPr>
                <w:noProof/>
              </w:rPr>
              <w:t xml:space="preserve"> </w:t>
            </w:r>
            <w:r>
              <w:rPr>
                <w:noProof/>
              </w:rPr>
              <w:br/>
            </w:r>
            <w:r>
              <w:rPr>
                <w:rFonts w:ascii="Times New Roman" w:hAnsi="Times New Roman"/>
                <w:b/>
                <w:noProof/>
              </w:rPr>
              <w:t>(pentru jaloane)</w:t>
            </w:r>
          </w:p>
        </w:tc>
        <w:tc>
          <w:tcPr>
            <w:tcW w:w="2977"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B694C26" w14:textId="77777777" w:rsidR="00F53E3A" w:rsidRDefault="0036255F">
            <w:pPr>
              <w:pStyle w:val="P68B1DB1-Normal10"/>
              <w:spacing w:before="60" w:after="60"/>
              <w:jc w:val="center"/>
              <w:rPr>
                <w:rFonts w:ascii="Times New Roman" w:hAnsi="Times New Roman" w:cs="Times New Roman"/>
                <w:b/>
                <w:noProof/>
              </w:rPr>
            </w:pPr>
            <w:r>
              <w:rPr>
                <w:rFonts w:ascii="Times New Roman" w:hAnsi="Times New Roman"/>
                <w:b/>
                <w:noProof/>
              </w:rPr>
              <w:t>Indicatori cantitativi</w:t>
            </w:r>
            <w:r>
              <w:rPr>
                <w:noProof/>
              </w:rPr>
              <w:t xml:space="preserve"> </w:t>
            </w:r>
            <w:r>
              <w:rPr>
                <w:noProof/>
              </w:rPr>
              <w:br/>
            </w:r>
            <w:r>
              <w:rPr>
                <w:rFonts w:ascii="Times New Roman" w:hAnsi="Times New Roman"/>
                <w:b/>
                <w:noProof/>
              </w:rPr>
              <w:t>(pentru obiective)</w:t>
            </w:r>
          </w:p>
        </w:tc>
        <w:tc>
          <w:tcPr>
            <w:tcW w:w="1875"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19B1E6E" w14:textId="2F0E1F73" w:rsidR="00F53E3A" w:rsidRDefault="0036255F">
            <w:pPr>
              <w:pStyle w:val="P68B1DB1-Normal9"/>
              <w:spacing w:before="60" w:after="60"/>
              <w:jc w:val="center"/>
              <w:rPr>
                <w:rFonts w:cs="Times New Roman"/>
                <w:noProof/>
              </w:rPr>
            </w:pPr>
            <w:r>
              <w:rPr>
                <w:noProof/>
              </w:rPr>
              <w:t>Calendar orientativ pentru finalizare</w:t>
            </w:r>
          </w:p>
        </w:tc>
        <w:tc>
          <w:tcPr>
            <w:tcW w:w="3949"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6EB2685" w14:textId="77777777" w:rsidR="00F53E3A" w:rsidRDefault="0036255F">
            <w:pPr>
              <w:pStyle w:val="P68B1DB1-Normal9"/>
              <w:spacing w:before="60" w:after="60"/>
              <w:jc w:val="center"/>
              <w:rPr>
                <w:rFonts w:cs="Times New Roman"/>
                <w:noProof/>
              </w:rPr>
            </w:pPr>
            <w:r>
              <w:rPr>
                <w:noProof/>
              </w:rPr>
              <w:t>Descrierea și definiția clară a fiecărui obiectiv de etapă și a fiecărei ținte</w:t>
            </w:r>
          </w:p>
        </w:tc>
      </w:tr>
      <w:tr w:rsidR="00F53E3A" w14:paraId="73DACA50" w14:textId="77777777" w:rsidTr="0035684C">
        <w:trPr>
          <w:tblHeader/>
        </w:trPr>
        <w:tc>
          <w:tcPr>
            <w:tcW w:w="570" w:type="dxa"/>
            <w:vMerge/>
            <w:vAlign w:val="center"/>
          </w:tcPr>
          <w:p w14:paraId="088260E3" w14:textId="77777777" w:rsidR="00F53E3A" w:rsidRDefault="00F53E3A">
            <w:pPr>
              <w:spacing w:before="60" w:after="60"/>
              <w:jc w:val="center"/>
              <w:rPr>
                <w:rFonts w:ascii="Times New Roman" w:hAnsi="Times New Roman" w:cs="Times New Roman"/>
                <w:b/>
                <w:noProof/>
                <w:sz w:val="20"/>
              </w:rPr>
            </w:pPr>
          </w:p>
        </w:tc>
        <w:tc>
          <w:tcPr>
            <w:tcW w:w="1652" w:type="dxa"/>
            <w:vMerge/>
            <w:vAlign w:val="center"/>
          </w:tcPr>
          <w:p w14:paraId="0CCB9506" w14:textId="77777777" w:rsidR="00F53E3A" w:rsidRDefault="00F53E3A">
            <w:pPr>
              <w:spacing w:before="60" w:after="60"/>
              <w:rPr>
                <w:rFonts w:ascii="Times New Roman" w:hAnsi="Times New Roman" w:cs="Times New Roman"/>
                <w:b/>
                <w:noProof/>
                <w:sz w:val="20"/>
              </w:rPr>
            </w:pPr>
          </w:p>
        </w:tc>
        <w:tc>
          <w:tcPr>
            <w:tcW w:w="1077" w:type="dxa"/>
            <w:vMerge/>
            <w:vAlign w:val="center"/>
          </w:tcPr>
          <w:p w14:paraId="7920AF43" w14:textId="77777777" w:rsidR="00F53E3A" w:rsidRDefault="00F53E3A">
            <w:pPr>
              <w:spacing w:before="60" w:after="60"/>
              <w:jc w:val="center"/>
              <w:rPr>
                <w:rFonts w:ascii="Times New Roman" w:hAnsi="Times New Roman" w:cs="Times New Roman"/>
                <w:b/>
                <w:noProof/>
                <w:sz w:val="20"/>
              </w:rPr>
            </w:pPr>
          </w:p>
        </w:tc>
        <w:tc>
          <w:tcPr>
            <w:tcW w:w="1701" w:type="dxa"/>
            <w:vMerge/>
            <w:vAlign w:val="center"/>
          </w:tcPr>
          <w:p w14:paraId="75F0A45C" w14:textId="77777777" w:rsidR="00F53E3A" w:rsidRDefault="00F53E3A">
            <w:pPr>
              <w:spacing w:before="60" w:after="60"/>
              <w:rPr>
                <w:rFonts w:ascii="Times New Roman" w:hAnsi="Times New Roman" w:cs="Times New Roman"/>
                <w:b/>
                <w:noProof/>
                <w:sz w:val="20"/>
              </w:rPr>
            </w:pPr>
          </w:p>
        </w:tc>
        <w:tc>
          <w:tcPr>
            <w:tcW w:w="1276" w:type="dxa"/>
            <w:vMerge/>
            <w:vAlign w:val="center"/>
          </w:tcPr>
          <w:p w14:paraId="2BDE438D" w14:textId="77777777" w:rsidR="00F53E3A" w:rsidRDefault="00F53E3A">
            <w:pPr>
              <w:spacing w:before="60" w:after="60"/>
              <w:rPr>
                <w:rFonts w:ascii="Times New Roman" w:hAnsi="Times New Roman" w:cs="Times New Roman"/>
                <w:b/>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8D241E2" w14:textId="77777777" w:rsidR="00F53E3A" w:rsidRDefault="0036255F">
            <w:pPr>
              <w:pStyle w:val="P68B1DB1-Normal9"/>
              <w:spacing w:before="60" w:after="60"/>
              <w:jc w:val="center"/>
              <w:rPr>
                <w:rFonts w:cs="Times New Roman"/>
                <w:noProof/>
              </w:rPr>
            </w:pPr>
            <w:r>
              <w:rPr>
                <w:noProof/>
              </w:rPr>
              <w:t>Unitate</w:t>
            </w:r>
          </w:p>
        </w:tc>
        <w:tc>
          <w:tcPr>
            <w:tcW w:w="992"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5361D6C" w14:textId="77777777" w:rsidR="00F53E3A" w:rsidRDefault="0036255F">
            <w:pPr>
              <w:pStyle w:val="P68B1DB1-Normal9"/>
              <w:spacing w:before="60" w:after="60"/>
              <w:jc w:val="center"/>
              <w:rPr>
                <w:rFonts w:cs="Times New Roman"/>
                <w:noProof/>
              </w:rPr>
            </w:pPr>
            <w:r>
              <w:rPr>
                <w:noProof/>
              </w:rPr>
              <w:t>Situația de referință</w:t>
            </w:r>
          </w:p>
        </w:tc>
        <w:tc>
          <w:tcPr>
            <w:tcW w:w="993"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813730F" w14:textId="77777777" w:rsidR="00F53E3A" w:rsidRDefault="0036255F">
            <w:pPr>
              <w:pStyle w:val="P68B1DB1-Normal9"/>
              <w:spacing w:before="60" w:after="60"/>
              <w:jc w:val="center"/>
              <w:rPr>
                <w:rFonts w:cs="Times New Roman"/>
                <w:noProof/>
              </w:rPr>
            </w:pPr>
            <w:r>
              <w:rPr>
                <w:noProof/>
              </w:rPr>
              <w:t>Obiectiv</w:t>
            </w:r>
          </w:p>
        </w:tc>
        <w:tc>
          <w:tcPr>
            <w:tcW w:w="1178"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D31AA1D" w14:textId="77777777" w:rsidR="00F53E3A" w:rsidRDefault="0036255F">
            <w:pPr>
              <w:pStyle w:val="P68B1DB1-Normal9"/>
              <w:spacing w:before="60" w:after="60"/>
              <w:jc w:val="center"/>
              <w:rPr>
                <w:rFonts w:cs="Times New Roman"/>
                <w:noProof/>
              </w:rPr>
            </w:pPr>
            <w:r>
              <w:rPr>
                <w:noProof/>
              </w:rPr>
              <w:t>Trimestru</w:t>
            </w:r>
          </w:p>
        </w:tc>
        <w:tc>
          <w:tcPr>
            <w:tcW w:w="697"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558060F" w14:textId="77777777" w:rsidR="00F53E3A" w:rsidRDefault="0036255F">
            <w:pPr>
              <w:pStyle w:val="P68B1DB1-Normal9"/>
              <w:spacing w:before="60" w:after="60"/>
              <w:jc w:val="center"/>
              <w:rPr>
                <w:rFonts w:cs="Times New Roman"/>
                <w:noProof/>
              </w:rPr>
            </w:pPr>
            <w:r>
              <w:rPr>
                <w:noProof/>
              </w:rPr>
              <w:t>Anul</w:t>
            </w:r>
          </w:p>
        </w:tc>
        <w:tc>
          <w:tcPr>
            <w:tcW w:w="3949" w:type="dxa"/>
            <w:vMerge/>
            <w:vAlign w:val="center"/>
          </w:tcPr>
          <w:p w14:paraId="3CED3A1A" w14:textId="77777777" w:rsidR="00F53E3A" w:rsidRDefault="00F53E3A">
            <w:pPr>
              <w:spacing w:before="60" w:after="60"/>
              <w:rPr>
                <w:rFonts w:ascii="Times New Roman" w:hAnsi="Times New Roman" w:cs="Times New Roman"/>
                <w:b/>
                <w:noProof/>
                <w:sz w:val="20"/>
              </w:rPr>
            </w:pPr>
          </w:p>
        </w:tc>
      </w:tr>
      <w:tr w:rsidR="00F53E3A" w14:paraId="7693C5D0" w14:textId="77777777" w:rsidTr="0035684C">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B905B38" w14:textId="77777777" w:rsidR="00F53E3A" w:rsidRDefault="0036255F">
            <w:pPr>
              <w:pStyle w:val="P68B1DB1-Normal12"/>
              <w:spacing w:before="60" w:after="60"/>
              <w:jc w:val="center"/>
              <w:rPr>
                <w:rFonts w:cs="Times New Roman"/>
                <w:noProof/>
              </w:rPr>
            </w:pPr>
            <w:r>
              <w:rPr>
                <w:noProof/>
              </w:rPr>
              <w:t>121</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B5E7E0" w14:textId="420B6CCE" w:rsidR="00F53E3A" w:rsidRDefault="0036255F">
            <w:pPr>
              <w:pStyle w:val="P68B1DB1-Normal12"/>
              <w:spacing w:before="60" w:after="60"/>
              <w:rPr>
                <w:noProof/>
              </w:rPr>
            </w:pPr>
            <w:r>
              <w:rPr>
                <w:noProof/>
              </w:rPr>
              <w:t xml:space="preserve">E.1.1. Învățământ superior de calitate și instituții de învățământ superior puternice — </w:t>
            </w:r>
          </w:p>
          <w:p w14:paraId="5C084C6F" w14:textId="441B6409" w:rsidR="00F53E3A" w:rsidRDefault="0036255F">
            <w:pPr>
              <w:pStyle w:val="P68B1DB1-Normal12"/>
              <w:spacing w:before="60" w:after="60"/>
              <w:rPr>
                <w:rFonts w:cs="Times New Roman"/>
                <w:noProof/>
              </w:rPr>
            </w:pPr>
            <w:r>
              <w:rPr>
                <w:noProof/>
              </w:rPr>
              <w:t>E.1.1.1. Îmbunătățirea finanțării învățământului superior și a sistemelor de admitere a studenților</w:t>
            </w:r>
          </w:p>
        </w:tc>
        <w:tc>
          <w:tcPr>
            <w:tcW w:w="107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69170A" w14:textId="77777777" w:rsidR="00F53E3A" w:rsidRDefault="0036255F">
            <w:pPr>
              <w:pStyle w:val="P68B1DB1-Normal12"/>
              <w:spacing w:before="60" w:after="60"/>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BA5B6DE" w14:textId="77777777" w:rsidR="00F53E3A" w:rsidRDefault="0036255F">
            <w:pPr>
              <w:pStyle w:val="P68B1DB1-Normal12"/>
              <w:spacing w:before="60" w:after="60"/>
              <w:rPr>
                <w:rFonts w:eastAsia="Times New Roman" w:cs="Times New Roman"/>
                <w:noProof/>
              </w:rPr>
            </w:pPr>
            <w:r>
              <w:rPr>
                <w:noProof/>
              </w:rPr>
              <w:t xml:space="preserve">Intrarea în vigoare a actelor juridice de instituire a unui sistem de contracte cu instituțiile de învățământ superior </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AB31032" w14:textId="4B7B7E0B" w:rsidR="00F53E3A" w:rsidRDefault="0036255F">
            <w:pPr>
              <w:pStyle w:val="P68B1DB1-Normal12"/>
              <w:spacing w:before="60" w:after="60"/>
              <w:rPr>
                <w:rFonts w:eastAsia="Times New Roman" w:cs="Times New Roman"/>
                <w:noProof/>
              </w:rPr>
            </w:pPr>
            <w:r>
              <w:rPr>
                <w:noProof/>
              </w:rPr>
              <w:t>Intrarea în vigoare a actelor juridice</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281143A" w14:textId="664E2CBE"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F1A22E" w14:textId="3723750C" w:rsidR="00F53E3A" w:rsidRDefault="00F53E3A">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CE77F87" w14:textId="7E05949E" w:rsidR="00F53E3A" w:rsidRDefault="00F53E3A">
            <w:pPr>
              <w:spacing w:before="60" w:after="60"/>
              <w:jc w:val="center"/>
              <w:rPr>
                <w:rFonts w:ascii="Times New Roman" w:hAnsi="Times New Roman" w:cs="Times New Roman"/>
                <w:noProof/>
                <w:sz w:val="20"/>
              </w:rPr>
            </w:pPr>
          </w:p>
        </w:tc>
        <w:tc>
          <w:tcPr>
            <w:tcW w:w="117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8142D17" w14:textId="5AB9915B" w:rsidR="00F53E3A" w:rsidRDefault="00DB2EC5">
            <w:pPr>
              <w:pStyle w:val="P68B1DB1-Normal12"/>
              <w:spacing w:before="60" w:after="60"/>
              <w:jc w:val="center"/>
              <w:rPr>
                <w:rFonts w:cs="Times New Roman"/>
                <w:noProof/>
              </w:rPr>
            </w:pPr>
            <w:r>
              <w:rPr>
                <w:noProof/>
              </w:rPr>
              <w:t>T1</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912BD65" w14:textId="77777777" w:rsidR="00F53E3A" w:rsidRDefault="0036255F">
            <w:pPr>
              <w:pStyle w:val="P68B1DB1-Normal12"/>
              <w:spacing w:before="60" w:after="60"/>
              <w:jc w:val="center"/>
              <w:rPr>
                <w:rFonts w:cs="Times New Roman"/>
                <w:noProof/>
              </w:rPr>
            </w:pPr>
            <w:r>
              <w:rPr>
                <w:noProof/>
              </w:rPr>
              <w:t>2023</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791749" w14:textId="77777777" w:rsidR="00F53E3A" w:rsidRDefault="0036255F">
            <w:pPr>
              <w:pStyle w:val="P68B1DB1-Normal12"/>
              <w:spacing w:before="60" w:after="60"/>
              <w:jc w:val="both"/>
              <w:rPr>
                <w:noProof/>
              </w:rPr>
            </w:pPr>
            <w:r>
              <w:rPr>
                <w:noProof/>
              </w:rPr>
              <w:t>Intrarea în vigoare a Legii privind învățământul superior care stabilește un model de încheiere a contractelor cu instituțiile de învățământ superior, care prevede finanțare suplimentară pentru fuzionarea instituțiilor de învățământ superior, precum și pentru alte obiective strategice (extinderea instituțiilor, îmbunătățirea calității studiilor, investiții în infrastructură și alte schimbări operaționale care necesită investiții publice). Fuziunile potențiale trebuie să fie în conformitate cu planul elaborat de un organism independent sau de experți independenți.</w:t>
            </w:r>
          </w:p>
          <w:p w14:paraId="0EF8B711" w14:textId="47C48D02" w:rsidR="00F53E3A" w:rsidRDefault="0036255F">
            <w:pPr>
              <w:pStyle w:val="P68B1DB1-Normal12"/>
              <w:spacing w:before="60" w:after="60"/>
              <w:jc w:val="both"/>
              <w:rPr>
                <w:rFonts w:eastAsia="Times New Roman" w:cs="Times New Roman"/>
                <w:noProof/>
              </w:rPr>
            </w:pPr>
            <w:r>
              <w:rPr>
                <w:noProof/>
              </w:rPr>
              <w:t>Atribuirea contractelor este formalizată în Legea privind știința și studiile, care este urmată de elaborarea unor contracte prin statut pentru încheierea de contracte cu instituțiile de învățământ superior.</w:t>
            </w:r>
          </w:p>
        </w:tc>
      </w:tr>
      <w:tr w:rsidR="00F53E3A" w14:paraId="32E08080" w14:textId="77777777" w:rsidTr="0035684C">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E18B713" w14:textId="77777777" w:rsidR="00F53E3A" w:rsidRDefault="0036255F">
            <w:pPr>
              <w:pStyle w:val="P68B1DB1-Normal12"/>
              <w:spacing w:before="60" w:after="60"/>
              <w:jc w:val="center"/>
              <w:rPr>
                <w:rFonts w:cs="Times New Roman"/>
                <w:noProof/>
              </w:rPr>
            </w:pPr>
            <w:r>
              <w:rPr>
                <w:noProof/>
              </w:rPr>
              <w:t>122</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20AE6BB" w14:textId="567504E6" w:rsidR="00F53E3A" w:rsidRDefault="0036255F">
            <w:pPr>
              <w:pStyle w:val="P68B1DB1-Normal12"/>
              <w:spacing w:before="60" w:after="60"/>
              <w:rPr>
                <w:noProof/>
              </w:rPr>
            </w:pPr>
            <w:r>
              <w:rPr>
                <w:noProof/>
              </w:rPr>
              <w:t xml:space="preserve">E.1.1. Învățământ superior de calitate și instituții de învățământ superior puternice — </w:t>
            </w:r>
          </w:p>
          <w:p w14:paraId="174D3098" w14:textId="69D97B31" w:rsidR="00F53E3A" w:rsidRDefault="0036255F">
            <w:pPr>
              <w:pStyle w:val="P68B1DB1-Normal12"/>
              <w:spacing w:before="60" w:after="60"/>
              <w:rPr>
                <w:noProof/>
              </w:rPr>
            </w:pPr>
            <w:r>
              <w:rPr>
                <w:noProof/>
              </w:rPr>
              <w:t>E.1.1.1. Îmbunătățirea finanțării învățământului superior și a sistemelor de admitere a studenților —</w:t>
            </w:r>
          </w:p>
          <w:p w14:paraId="353406C8" w14:textId="1DDDA508" w:rsidR="00F53E3A" w:rsidRDefault="0036255F">
            <w:pPr>
              <w:pStyle w:val="P68B1DB1-Normal12"/>
              <w:spacing w:before="60" w:after="60"/>
              <w:rPr>
                <w:rFonts w:cs="Times New Roman"/>
                <w:noProof/>
              </w:rPr>
            </w:pPr>
            <w:r>
              <w:rPr>
                <w:noProof/>
              </w:rPr>
              <w:t>E.1.1.2. O rețea eficientă de învățământ superior prin perfecționarea misiunilor universităților și colegiilor</w:t>
            </w:r>
          </w:p>
        </w:tc>
        <w:tc>
          <w:tcPr>
            <w:tcW w:w="107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F4E6F2" w14:textId="77777777" w:rsidR="00F53E3A" w:rsidRDefault="0036255F">
            <w:pPr>
              <w:pStyle w:val="P68B1DB1-Normal12"/>
              <w:spacing w:before="60" w:after="60"/>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94CA5E8" w14:textId="77777777" w:rsidR="00F53E3A" w:rsidRDefault="0036255F">
            <w:pPr>
              <w:pStyle w:val="P68B1DB1-Normal12"/>
              <w:spacing w:before="60" w:after="60"/>
              <w:rPr>
                <w:rFonts w:cs="Times New Roman"/>
                <w:noProof/>
              </w:rPr>
            </w:pPr>
            <w:r>
              <w:rPr>
                <w:noProof/>
              </w:rPr>
              <w:t>Intrarea în vigoare a Legii modificate privind cercetarea și studiile, care modifică sistemul de finanțare și de înscriere în învățământul superior</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C85A6E0" w14:textId="77777777" w:rsidR="00F53E3A" w:rsidRDefault="0036255F">
            <w:pPr>
              <w:pStyle w:val="P68B1DB1-Normal12"/>
              <w:spacing w:before="60" w:after="60"/>
              <w:rPr>
                <w:rFonts w:eastAsia="Times New Roman" w:cs="Times New Roman"/>
                <w:noProof/>
              </w:rPr>
            </w:pPr>
            <w:r>
              <w:rPr>
                <w:noProof/>
              </w:rPr>
              <w:t>Intrarea în vigoare a legislației</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5FA0EF" w14:textId="496AAFBC"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5ADEE8E" w14:textId="3808ECA1" w:rsidR="00F53E3A" w:rsidRDefault="00F53E3A">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CA58FA1" w14:textId="771D3F0E" w:rsidR="00F53E3A" w:rsidRDefault="00F53E3A">
            <w:pPr>
              <w:spacing w:before="60" w:after="60"/>
              <w:jc w:val="center"/>
              <w:rPr>
                <w:rFonts w:ascii="Times New Roman" w:hAnsi="Times New Roman" w:cs="Times New Roman"/>
                <w:noProof/>
                <w:sz w:val="20"/>
              </w:rPr>
            </w:pPr>
          </w:p>
        </w:tc>
        <w:tc>
          <w:tcPr>
            <w:tcW w:w="117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6840FB9" w14:textId="4E40BF5A" w:rsidR="00F53E3A" w:rsidRDefault="00DB2EC5">
            <w:pPr>
              <w:pStyle w:val="P68B1DB1-Normal12"/>
              <w:spacing w:before="60" w:after="60"/>
              <w:jc w:val="center"/>
              <w:rPr>
                <w:rFonts w:cs="Times New Roman"/>
                <w:noProof/>
              </w:rPr>
            </w:pPr>
            <w:r>
              <w:rPr>
                <w:noProof/>
              </w:rPr>
              <w:t>T1</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35BE5FA" w14:textId="77777777" w:rsidR="00F53E3A" w:rsidRDefault="0036255F">
            <w:pPr>
              <w:pStyle w:val="P68B1DB1-Normal12"/>
              <w:spacing w:before="60" w:after="60"/>
              <w:jc w:val="center"/>
              <w:rPr>
                <w:rFonts w:cs="Times New Roman"/>
                <w:noProof/>
              </w:rPr>
            </w:pPr>
            <w:r>
              <w:rPr>
                <w:noProof/>
              </w:rPr>
              <w:t>2023</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092553" w14:textId="05E59EC8" w:rsidR="00F53E3A" w:rsidRDefault="0036255F">
            <w:pPr>
              <w:pStyle w:val="P68B1DB1-Normal12"/>
              <w:spacing w:before="60" w:after="60"/>
              <w:jc w:val="both"/>
              <w:rPr>
                <w:rFonts w:cs="Times New Roman"/>
                <w:noProof/>
              </w:rPr>
            </w:pPr>
            <w:r>
              <w:rPr>
                <w:noProof/>
              </w:rPr>
              <w:t>Intrarea în vigoare a Legii modificate privind cercetarea și studiile, care:</w:t>
            </w:r>
          </w:p>
          <w:p w14:paraId="7AC71F17" w14:textId="77777777" w:rsidR="00F53E3A" w:rsidRDefault="0036255F">
            <w:pPr>
              <w:pStyle w:val="P68B1DB1-Normal12"/>
              <w:spacing w:before="60" w:after="60"/>
              <w:jc w:val="both"/>
              <w:rPr>
                <w:rFonts w:cs="Times New Roman"/>
                <w:noProof/>
              </w:rPr>
            </w:pPr>
            <w:r>
              <w:rPr>
                <w:noProof/>
              </w:rPr>
              <w:t xml:space="preserve">— stabilirea unei armonizări ascendente a cerințelor minime pentru accesul la locurile de studiu finanțate și nefinanțate din fonduri publice; </w:t>
            </w:r>
          </w:p>
          <w:p w14:paraId="4400A30D" w14:textId="77777777" w:rsidR="00F53E3A" w:rsidRDefault="0036255F">
            <w:pPr>
              <w:pStyle w:val="P68B1DB1-Normal12"/>
              <w:spacing w:before="60" w:after="60"/>
              <w:jc w:val="both"/>
              <w:rPr>
                <w:rFonts w:cs="Times New Roman"/>
                <w:noProof/>
              </w:rPr>
            </w:pPr>
            <w:r>
              <w:rPr>
                <w:noProof/>
              </w:rPr>
              <w:t>introduce o nouă structură de finanțare pentru activitățile din învățământul superior (finanțare de bază, finanțare pentru obiective strategice, finanțare suplimentară pentru indicatori calitativi);</w:t>
            </w:r>
          </w:p>
          <w:p w14:paraId="677C0090" w14:textId="77777777" w:rsidR="00F53E3A" w:rsidRDefault="0036255F">
            <w:pPr>
              <w:pStyle w:val="P68B1DB1-Normal12"/>
              <w:spacing w:before="60" w:after="60"/>
              <w:jc w:val="both"/>
              <w:rPr>
                <w:rFonts w:cs="Times New Roman"/>
                <w:noProof/>
              </w:rPr>
            </w:pPr>
            <w:r>
              <w:rPr>
                <w:noProof/>
              </w:rPr>
              <w:t xml:space="preserve">definirea misiunilor universităților și colegiilor (ce cerințe calitative trebuie îndeplinite de ambele tipuri de instituții, ceea ce diferențiază colegiile de universități); </w:t>
            </w:r>
          </w:p>
          <w:p w14:paraId="1B2E8229" w14:textId="77777777" w:rsidR="00F53E3A" w:rsidRDefault="0036255F">
            <w:pPr>
              <w:pStyle w:val="P68B1DB1-Normal12"/>
              <w:spacing w:before="60" w:after="60"/>
              <w:jc w:val="both"/>
              <w:rPr>
                <w:rFonts w:cs="Times New Roman"/>
                <w:noProof/>
              </w:rPr>
            </w:pPr>
            <w:r>
              <w:rPr>
                <w:noProof/>
              </w:rPr>
              <w:t>— stimularea cooperării dintre instituțiile de învățământ superior;</w:t>
            </w:r>
          </w:p>
          <w:p w14:paraId="3EAC477F" w14:textId="55091308" w:rsidR="00F53E3A" w:rsidRDefault="0036255F">
            <w:pPr>
              <w:pStyle w:val="P68B1DB1-Normal12"/>
              <w:spacing w:before="60" w:after="60"/>
              <w:jc w:val="both"/>
              <w:rPr>
                <w:rFonts w:cs="Times New Roman"/>
                <w:noProof/>
              </w:rPr>
            </w:pPr>
            <w:r>
              <w:rPr>
                <w:noProof/>
              </w:rPr>
              <w:t xml:space="preserve">— creșterea componentei de finanțare a activităților de C &amp; D în structura de finanțare a învățământului superior. </w:t>
            </w:r>
          </w:p>
          <w:p w14:paraId="6A25454D" w14:textId="77777777" w:rsidR="00F53E3A" w:rsidRDefault="0036255F">
            <w:pPr>
              <w:pStyle w:val="P68B1DB1-Normal12"/>
              <w:spacing w:before="60" w:after="60"/>
              <w:jc w:val="both"/>
              <w:rPr>
                <w:rFonts w:eastAsia="Times New Roman" w:cs="Times New Roman"/>
                <w:noProof/>
              </w:rPr>
            </w:pPr>
            <w:r>
              <w:rPr>
                <w:noProof/>
              </w:rPr>
              <w:t>Cerințele minime de admitere a studenților sunt armonizate în sens ascendent și nu sunt diminuate ca urmare a modificării. Noile criterii pentru colegii și universități sunt stabilite în mod obiectiv, independent și la un nivel suficient de ridicat. Rolul evaluărilor externe este consolidat. Modificările legislative promovează cooperarea și consolidarea resurselor în sectorul învățământului superior.</w:t>
            </w:r>
          </w:p>
        </w:tc>
      </w:tr>
      <w:tr w:rsidR="00F53E3A" w14:paraId="7EDF23B1" w14:textId="77777777" w:rsidTr="0035684C">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9AE8D0F" w14:textId="77777777" w:rsidR="00F53E3A" w:rsidRDefault="0036255F">
            <w:pPr>
              <w:pStyle w:val="P68B1DB1-Normal12"/>
              <w:spacing w:before="60" w:after="60"/>
              <w:jc w:val="center"/>
              <w:rPr>
                <w:rFonts w:cs="Times New Roman"/>
                <w:noProof/>
              </w:rPr>
            </w:pPr>
            <w:r>
              <w:rPr>
                <w:noProof/>
              </w:rPr>
              <w:t>123</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BC7A490" w14:textId="32DC026B" w:rsidR="00F53E3A" w:rsidRDefault="0036255F">
            <w:pPr>
              <w:pStyle w:val="P68B1DB1-Normal12"/>
              <w:spacing w:before="60" w:after="60"/>
              <w:rPr>
                <w:noProof/>
              </w:rPr>
            </w:pPr>
            <w:r>
              <w:rPr>
                <w:noProof/>
              </w:rPr>
              <w:t xml:space="preserve">E.1.1. Învățământ superior de calitate și instituții de învățământ superior puternice — </w:t>
            </w:r>
          </w:p>
          <w:p w14:paraId="68665B21" w14:textId="40AA7F5D" w:rsidR="00F53E3A" w:rsidRDefault="0036255F">
            <w:pPr>
              <w:pStyle w:val="P68B1DB1-Normal12"/>
              <w:spacing w:before="60" w:after="60"/>
              <w:rPr>
                <w:rFonts w:cs="Times New Roman"/>
                <w:noProof/>
              </w:rPr>
            </w:pPr>
            <w:r>
              <w:rPr>
                <w:noProof/>
              </w:rPr>
              <w:t>E.1.1.2. O rețea eficientă de învățământ superior prin perfecționarea misiunilor universităților și colegiilor</w:t>
            </w:r>
          </w:p>
        </w:tc>
        <w:tc>
          <w:tcPr>
            <w:tcW w:w="107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9C2E34B" w14:textId="77777777" w:rsidR="00F53E3A" w:rsidRDefault="0036255F">
            <w:pPr>
              <w:pStyle w:val="P68B1DB1-Normal12"/>
              <w:spacing w:before="60" w:after="60"/>
              <w:jc w:val="center"/>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4969A14" w14:textId="48677265" w:rsidR="00F53E3A" w:rsidRDefault="0036255F">
            <w:pPr>
              <w:pStyle w:val="P68B1DB1-Normal12"/>
              <w:spacing w:before="60" w:after="60"/>
              <w:rPr>
                <w:rFonts w:cs="Times New Roman"/>
                <w:noProof/>
              </w:rPr>
            </w:pPr>
            <w:r>
              <w:rPr>
                <w:noProof/>
              </w:rPr>
              <w:t>Fuziuni ale colegiilor</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0A19EF9" w14:textId="06C9E567" w:rsidR="00F53E3A" w:rsidRDefault="00F53E3A">
            <w:pPr>
              <w:spacing w:before="60" w:after="60"/>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35C88A7" w14:textId="77777777" w:rsidR="00F53E3A" w:rsidRDefault="0036255F">
            <w:pPr>
              <w:pStyle w:val="P68B1DB1-Normal12"/>
              <w:spacing w:before="60" w:after="60"/>
              <w:jc w:val="center"/>
              <w:rPr>
                <w:rFonts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FF35279" w14:textId="77777777" w:rsidR="00F53E3A" w:rsidRDefault="0036255F">
            <w:pPr>
              <w:pStyle w:val="P68B1DB1-Normal12"/>
              <w:spacing w:before="60" w:after="60"/>
              <w:jc w:val="center"/>
              <w:rPr>
                <w:rFonts w:cs="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4AFC3B2" w14:textId="3D7D9C63" w:rsidR="00F53E3A" w:rsidRDefault="0036255F">
            <w:pPr>
              <w:pStyle w:val="P68B1DB1-Normal12"/>
              <w:spacing w:before="60" w:after="60"/>
              <w:jc w:val="center"/>
              <w:rPr>
                <w:rFonts w:cs="Times New Roman"/>
                <w:noProof/>
              </w:rPr>
            </w:pPr>
            <w:r>
              <w:rPr>
                <w:noProof/>
              </w:rPr>
              <w:t>4</w:t>
            </w:r>
          </w:p>
        </w:tc>
        <w:tc>
          <w:tcPr>
            <w:tcW w:w="117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5F37868" w14:textId="6087A95A" w:rsidR="00F53E3A" w:rsidRDefault="00DB2EC5">
            <w:pPr>
              <w:pStyle w:val="P68B1DB1-Normal12"/>
              <w:spacing w:before="60" w:after="60"/>
              <w:jc w:val="center"/>
              <w:rPr>
                <w:rFonts w:cs="Times New Roman"/>
                <w:noProof/>
              </w:rPr>
            </w:pPr>
            <w:r>
              <w:rPr>
                <w:noProof/>
              </w:rPr>
              <w:t>T2</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5EE142" w14:textId="715D9FD4" w:rsidR="00F53E3A" w:rsidRDefault="0036255F">
            <w:pPr>
              <w:pStyle w:val="P68B1DB1-Normal12"/>
              <w:spacing w:before="60" w:after="60"/>
              <w:jc w:val="center"/>
              <w:rPr>
                <w:rFonts w:cs="Times New Roman"/>
                <w:noProof/>
              </w:rPr>
            </w:pPr>
            <w:r>
              <w:rPr>
                <w:noProof/>
              </w:rPr>
              <w:t>2026</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AF472A6" w14:textId="596CB39C" w:rsidR="00F53E3A" w:rsidRDefault="0036255F">
            <w:pPr>
              <w:pStyle w:val="P68B1DB1-Normal12"/>
              <w:spacing w:before="60" w:after="60"/>
              <w:jc w:val="both"/>
              <w:rPr>
                <w:rFonts w:eastAsia="Times New Roman" w:cs="Times New Roman"/>
                <w:noProof/>
              </w:rPr>
            </w:pPr>
            <w:r>
              <w:rPr>
                <w:noProof/>
              </w:rPr>
              <w:t xml:space="preserve">Au loc patru fuziuni între colegii care implică cel puțin două entități. Acestea trebuie: consolidarea programelor de studiu existente, integrarea funcțiilor și proceselor de sprijin administrativ și academic și optimizarea infrastructurii utilizate. </w:t>
            </w:r>
          </w:p>
        </w:tc>
      </w:tr>
      <w:tr w:rsidR="00F53E3A" w14:paraId="25A0EA9E" w14:textId="77777777" w:rsidTr="0035684C">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16931E3" w14:textId="77777777" w:rsidR="00F53E3A" w:rsidRDefault="0036255F">
            <w:pPr>
              <w:pStyle w:val="P68B1DB1-Normal12"/>
              <w:spacing w:before="60" w:after="60"/>
              <w:jc w:val="center"/>
              <w:rPr>
                <w:rFonts w:cs="Times New Roman"/>
                <w:noProof/>
              </w:rPr>
            </w:pPr>
            <w:r>
              <w:rPr>
                <w:noProof/>
              </w:rPr>
              <w:t>124</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038A162" w14:textId="422A2CDB" w:rsidR="00F53E3A" w:rsidRDefault="0036255F">
            <w:pPr>
              <w:pStyle w:val="P68B1DB1-Normal12"/>
              <w:spacing w:before="60" w:after="60"/>
              <w:rPr>
                <w:noProof/>
              </w:rPr>
            </w:pPr>
            <w:r>
              <w:rPr>
                <w:noProof/>
              </w:rPr>
              <w:t xml:space="preserve">E.1.1. Învățământ superior de calitate și instituții de învățământ superior puternice — </w:t>
            </w:r>
          </w:p>
          <w:p w14:paraId="4BABC395" w14:textId="67E4EC19" w:rsidR="00F53E3A" w:rsidRDefault="0036255F">
            <w:pPr>
              <w:pStyle w:val="P68B1DB1-Normal12"/>
              <w:spacing w:before="60" w:after="60"/>
              <w:rPr>
                <w:rFonts w:cs="Times New Roman"/>
                <w:noProof/>
              </w:rPr>
            </w:pPr>
            <w:r>
              <w:rPr>
                <w:noProof/>
              </w:rPr>
              <w:t>E.1.1.3. Consolidarea competitivității internaționale a instituțiilor de învățământ superior</w:t>
            </w:r>
          </w:p>
        </w:tc>
        <w:tc>
          <w:tcPr>
            <w:tcW w:w="107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77AF71C" w14:textId="77777777" w:rsidR="00F53E3A" w:rsidRDefault="0036255F">
            <w:pPr>
              <w:pStyle w:val="P68B1DB1-Normal12"/>
              <w:spacing w:before="60" w:after="60"/>
              <w:jc w:val="center"/>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366A7B0" w14:textId="77777777" w:rsidR="00F53E3A" w:rsidRDefault="0036255F">
            <w:pPr>
              <w:pStyle w:val="P68B1DB1-Normal12"/>
              <w:spacing w:before="60" w:after="60"/>
              <w:rPr>
                <w:rFonts w:cs="Times New Roman"/>
                <w:noProof/>
              </w:rPr>
            </w:pPr>
            <w:r>
              <w:rPr>
                <w:noProof/>
              </w:rPr>
              <w:t>Numărul de proiecte de internaționalizare finalizate de instituțiile de învățământ superior</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43C05D1" w14:textId="2A305B9B" w:rsidR="00F53E3A" w:rsidRDefault="00F53E3A">
            <w:pPr>
              <w:spacing w:before="60" w:after="60"/>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B81EEF" w14:textId="77777777" w:rsidR="00F53E3A" w:rsidRDefault="0036255F">
            <w:pPr>
              <w:pStyle w:val="P68B1DB1-Normal12"/>
              <w:spacing w:before="60" w:after="60"/>
              <w:jc w:val="center"/>
              <w:rPr>
                <w:rFonts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8781FA" w14:textId="77777777" w:rsidR="00F53E3A" w:rsidRDefault="0036255F">
            <w:pPr>
              <w:pStyle w:val="P68B1DB1-Normal12"/>
              <w:spacing w:before="60" w:after="60"/>
              <w:jc w:val="center"/>
              <w:rPr>
                <w:rFonts w:cs="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89234C6" w14:textId="389BD831" w:rsidR="00F53E3A" w:rsidRDefault="0036255F">
            <w:pPr>
              <w:pStyle w:val="P68B1DB1-Normal12"/>
              <w:spacing w:before="60" w:after="60"/>
              <w:jc w:val="center"/>
              <w:rPr>
                <w:rFonts w:cs="Times New Roman"/>
                <w:noProof/>
              </w:rPr>
            </w:pPr>
            <w:r>
              <w:rPr>
                <w:noProof/>
              </w:rPr>
              <w:t>5</w:t>
            </w:r>
          </w:p>
        </w:tc>
        <w:tc>
          <w:tcPr>
            <w:tcW w:w="117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BFF91C8" w14:textId="1EF5C46A" w:rsidR="00F53E3A" w:rsidRDefault="00DB2EC5">
            <w:pPr>
              <w:pStyle w:val="P68B1DB1-Normal12"/>
              <w:spacing w:before="60" w:after="60"/>
              <w:jc w:val="center"/>
              <w:rPr>
                <w:rFonts w:cs="Times New Roman"/>
                <w:noProof/>
              </w:rPr>
            </w:pPr>
            <w:r>
              <w:rPr>
                <w:noProof/>
              </w:rPr>
              <w:t>T1</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887741" w14:textId="77777777" w:rsidR="00F53E3A" w:rsidRDefault="0036255F">
            <w:pPr>
              <w:pStyle w:val="P68B1DB1-Normal12"/>
              <w:spacing w:before="60" w:after="60"/>
              <w:jc w:val="center"/>
              <w:rPr>
                <w:rFonts w:cs="Times New Roman"/>
                <w:noProof/>
              </w:rPr>
            </w:pPr>
            <w:r>
              <w:rPr>
                <w:noProof/>
              </w:rPr>
              <w:t>2024</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53CB09" w14:textId="158DD8AE" w:rsidR="00F53E3A" w:rsidRDefault="0036255F">
            <w:pPr>
              <w:pStyle w:val="P68B1DB1-Normal12"/>
              <w:spacing w:before="60" w:after="60"/>
              <w:jc w:val="both"/>
              <w:rPr>
                <w:rFonts w:eastAsia="Times New Roman" w:cs="Times New Roman"/>
                <w:noProof/>
              </w:rPr>
            </w:pPr>
            <w:r>
              <w:rPr>
                <w:noProof/>
              </w:rPr>
              <w:t>Cinci proiecte vor fi finalizate de instituții de învățământ superior concepute pentru a oferi studenților mai multe activități internaționale, atrăgând mai mulți studenți, atrăgând studenți străini și conferențiari/oameni de știință; dezvoltarea conceperii și a punerii în aplicare a programelor pentru diplome comune și duble; dezvoltarea furnizării de servicii virtuale; îmbunătățirea calității studiilor și extinderea ofertei. Beneficiarii sunt aleși printr-o procedură de cerere de propuneri.</w:t>
            </w:r>
          </w:p>
        </w:tc>
      </w:tr>
      <w:tr w:rsidR="00F53E3A" w14:paraId="26FC523F" w14:textId="77777777" w:rsidTr="0035684C">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9557AC7" w14:textId="77777777" w:rsidR="00F53E3A" w:rsidRDefault="0036255F">
            <w:pPr>
              <w:pStyle w:val="P68B1DB1-Normal12"/>
              <w:spacing w:before="60" w:after="60"/>
              <w:jc w:val="center"/>
              <w:rPr>
                <w:rFonts w:cs="Times New Roman"/>
                <w:noProof/>
              </w:rPr>
            </w:pPr>
            <w:r>
              <w:rPr>
                <w:noProof/>
              </w:rPr>
              <w:t>125</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7D1E2E3" w14:textId="21146F6C" w:rsidR="00F53E3A" w:rsidRDefault="0036255F">
            <w:pPr>
              <w:pStyle w:val="P68B1DB1-Normal12"/>
              <w:spacing w:before="60" w:after="60"/>
              <w:rPr>
                <w:noProof/>
              </w:rPr>
            </w:pPr>
            <w:r>
              <w:rPr>
                <w:noProof/>
              </w:rPr>
              <w:t xml:space="preserve">E.1.1. Învățământ superior de calitate și instituții de învățământ superior puternice — </w:t>
            </w:r>
          </w:p>
          <w:p w14:paraId="4F53F3CB" w14:textId="544268B4" w:rsidR="00F53E3A" w:rsidRDefault="0036255F">
            <w:pPr>
              <w:pStyle w:val="P68B1DB1-Normal12"/>
              <w:spacing w:before="60" w:after="60"/>
              <w:rPr>
                <w:rFonts w:cs="Times New Roman"/>
                <w:noProof/>
              </w:rPr>
            </w:pPr>
            <w:r>
              <w:rPr>
                <w:noProof/>
              </w:rPr>
              <w:t>E.1.1.3. Consolidarea competitivității internaționale a instituțiilor de învățământ superior</w:t>
            </w:r>
          </w:p>
        </w:tc>
        <w:tc>
          <w:tcPr>
            <w:tcW w:w="107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2BC81DE" w14:textId="77777777" w:rsidR="00F53E3A" w:rsidRDefault="0036255F">
            <w:pPr>
              <w:pStyle w:val="P68B1DB1-Normal12"/>
              <w:spacing w:before="60" w:after="60"/>
              <w:jc w:val="center"/>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4CF1AA8" w14:textId="77777777" w:rsidR="00F53E3A" w:rsidRDefault="0036255F">
            <w:pPr>
              <w:pStyle w:val="P68B1DB1-Normal12"/>
              <w:spacing w:before="60" w:after="60"/>
              <w:rPr>
                <w:rFonts w:cs="Times New Roman"/>
                <w:noProof/>
              </w:rPr>
            </w:pPr>
            <w:r>
              <w:rPr>
                <w:noProof/>
              </w:rPr>
              <w:t>Numărul de persoane care au beneficiat de sprijin pentru integrarea studenților străini</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3E8648" w14:textId="77777777" w:rsidR="00F53E3A" w:rsidRDefault="00F53E3A">
            <w:pPr>
              <w:spacing w:before="60" w:after="60"/>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1B25DB0" w14:textId="77777777" w:rsidR="00F53E3A" w:rsidRDefault="0036255F">
            <w:pPr>
              <w:pStyle w:val="P68B1DB1-Normal12"/>
              <w:spacing w:before="60" w:after="60"/>
              <w:jc w:val="center"/>
              <w:rPr>
                <w:rFonts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2C0E122" w14:textId="77777777" w:rsidR="00F53E3A" w:rsidRDefault="0036255F">
            <w:pPr>
              <w:pStyle w:val="P68B1DB1-Normal12"/>
              <w:spacing w:before="60" w:after="60"/>
              <w:jc w:val="center"/>
              <w:rPr>
                <w:rFonts w:cs="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C89B808" w14:textId="7DBE53E3" w:rsidR="00F53E3A" w:rsidRDefault="0036255F">
            <w:pPr>
              <w:pStyle w:val="P68B1DB1-Normal12"/>
              <w:spacing w:before="60" w:after="60"/>
              <w:jc w:val="center"/>
              <w:rPr>
                <w:rFonts w:cs="Times New Roman"/>
                <w:noProof/>
              </w:rPr>
            </w:pPr>
            <w:r>
              <w:rPr>
                <w:noProof/>
              </w:rPr>
              <w:t>250</w:t>
            </w:r>
          </w:p>
        </w:tc>
        <w:tc>
          <w:tcPr>
            <w:tcW w:w="117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65ED36" w14:textId="3C479147" w:rsidR="00F53E3A" w:rsidRDefault="00DB2EC5">
            <w:pPr>
              <w:pStyle w:val="P68B1DB1-Normal12"/>
              <w:spacing w:before="60" w:after="60"/>
              <w:jc w:val="center"/>
              <w:rPr>
                <w:rFonts w:cs="Times New Roman"/>
                <w:noProof/>
              </w:rPr>
            </w:pPr>
            <w:r>
              <w:rPr>
                <w:noProof/>
              </w:rPr>
              <w:t>T4</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34A1673" w14:textId="21A2C432" w:rsidR="00F53E3A" w:rsidRDefault="0036255F">
            <w:pPr>
              <w:pStyle w:val="P68B1DB1-Normal12"/>
              <w:spacing w:before="60" w:after="60"/>
              <w:jc w:val="center"/>
              <w:rPr>
                <w:rFonts w:cs="Times New Roman"/>
                <w:noProof/>
              </w:rPr>
            </w:pPr>
            <w:r>
              <w:rPr>
                <w:noProof/>
              </w:rPr>
              <w:t>2024</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C4BE77C" w14:textId="1448831E" w:rsidR="00F53E3A" w:rsidRDefault="0036255F">
            <w:pPr>
              <w:pStyle w:val="P68B1DB1-Normal12"/>
              <w:spacing w:before="60" w:after="60"/>
              <w:jc w:val="both"/>
              <w:rPr>
                <w:rFonts w:eastAsia="Times New Roman" w:cs="Times New Roman"/>
                <w:noProof/>
              </w:rPr>
            </w:pPr>
            <w:r>
              <w:rPr>
                <w:noProof/>
              </w:rPr>
              <w:t>250 de studenți străini au primit burse pentru integrarea lor. Se oferă burse pentru studenții din primul și al doilea ciclu și pentru studenții integrați care vin să studieze în Lituania.</w:t>
            </w:r>
          </w:p>
        </w:tc>
      </w:tr>
      <w:tr w:rsidR="00F53E3A" w14:paraId="3A6D0204" w14:textId="77777777" w:rsidTr="0035684C">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8EBF854" w14:textId="77777777" w:rsidR="00F53E3A" w:rsidRDefault="0036255F">
            <w:pPr>
              <w:pStyle w:val="P68B1DB1-Normal12"/>
              <w:spacing w:before="60" w:after="60"/>
              <w:jc w:val="center"/>
              <w:rPr>
                <w:rFonts w:cs="Times New Roman"/>
                <w:noProof/>
              </w:rPr>
            </w:pPr>
            <w:r>
              <w:rPr>
                <w:noProof/>
              </w:rPr>
              <w:t>126</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6877F9" w14:textId="1F5265E5" w:rsidR="00F53E3A" w:rsidRDefault="0036255F">
            <w:pPr>
              <w:pStyle w:val="P68B1DB1-Normal12"/>
              <w:spacing w:before="60" w:after="60"/>
              <w:rPr>
                <w:noProof/>
              </w:rPr>
            </w:pPr>
            <w:r>
              <w:rPr>
                <w:noProof/>
              </w:rPr>
              <w:t xml:space="preserve">E.1.1. Învățământ superior de calitate și instituții de învățământ superior puternice </w:t>
            </w:r>
          </w:p>
          <w:p w14:paraId="4FA28642" w14:textId="274CA94F" w:rsidR="00F53E3A" w:rsidRDefault="0036255F">
            <w:pPr>
              <w:pStyle w:val="P68B1DB1-Normal12"/>
              <w:spacing w:before="60" w:after="60"/>
              <w:rPr>
                <w:rFonts w:cs="Times New Roman"/>
                <w:noProof/>
              </w:rPr>
            </w:pPr>
            <w:r>
              <w:rPr>
                <w:noProof/>
              </w:rPr>
              <w:t>E.1.1.4. Promovarea sistematică a C &amp; D în instituțiile de învățământ superior și analiza cercetării</w:t>
            </w:r>
          </w:p>
        </w:tc>
        <w:tc>
          <w:tcPr>
            <w:tcW w:w="107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905605A" w14:textId="77777777" w:rsidR="00F53E3A" w:rsidRDefault="0036255F">
            <w:pPr>
              <w:pStyle w:val="P68B1DB1-Normal12"/>
              <w:spacing w:before="60" w:after="60"/>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4E3662" w14:textId="77777777" w:rsidR="00F53E3A" w:rsidRDefault="0036255F">
            <w:pPr>
              <w:pStyle w:val="P68B1DB1-Normal12"/>
              <w:spacing w:before="60" w:after="60"/>
              <w:rPr>
                <w:rFonts w:cs="Times New Roman"/>
                <w:noProof/>
              </w:rPr>
            </w:pPr>
            <w:r>
              <w:rPr>
                <w:noProof/>
              </w:rPr>
              <w:t>Intrarea în vigoare a actului juridic de instituire a agenției de punere în aplicare a politicii științifice</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98937B4" w14:textId="77777777" w:rsidR="00F53E3A" w:rsidRDefault="0036255F">
            <w:pPr>
              <w:pStyle w:val="P68B1DB1-Normal12"/>
              <w:spacing w:before="60" w:after="60"/>
              <w:rPr>
                <w:rFonts w:eastAsia="Times New Roman" w:cs="Times New Roman"/>
                <w:noProof/>
              </w:rPr>
            </w:pPr>
            <w:r>
              <w:rPr>
                <w:noProof/>
              </w:rPr>
              <w:t xml:space="preserve">Legislația a intrat în vigoare </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02AAFAA" w14:textId="1AA7ED7B"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0A1B3DF" w14:textId="758F6F26" w:rsidR="00F53E3A" w:rsidRDefault="00F53E3A">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67E44CE" w14:textId="5C990631" w:rsidR="00F53E3A" w:rsidRDefault="00F53E3A">
            <w:pPr>
              <w:spacing w:before="60" w:after="60"/>
              <w:jc w:val="center"/>
              <w:rPr>
                <w:rFonts w:ascii="Times New Roman" w:hAnsi="Times New Roman" w:cs="Times New Roman"/>
                <w:noProof/>
                <w:sz w:val="20"/>
              </w:rPr>
            </w:pPr>
          </w:p>
        </w:tc>
        <w:tc>
          <w:tcPr>
            <w:tcW w:w="117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5228807" w14:textId="66FE5A16" w:rsidR="00F53E3A" w:rsidRDefault="00DB2EC5">
            <w:pPr>
              <w:pStyle w:val="P68B1DB1-Normal12"/>
              <w:spacing w:before="60" w:after="60"/>
              <w:jc w:val="center"/>
              <w:rPr>
                <w:rFonts w:cs="Times New Roman"/>
                <w:noProof/>
              </w:rPr>
            </w:pPr>
            <w:r>
              <w:rPr>
                <w:noProof/>
              </w:rPr>
              <w:t>T2</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8C92B50" w14:textId="77777777" w:rsidR="00F53E3A" w:rsidRDefault="0036255F">
            <w:pPr>
              <w:pStyle w:val="P68B1DB1-Normal12"/>
              <w:spacing w:before="60" w:after="60"/>
              <w:jc w:val="center"/>
              <w:rPr>
                <w:rFonts w:cs="Times New Roman"/>
                <w:noProof/>
              </w:rPr>
            </w:pPr>
            <w:r>
              <w:rPr>
                <w:noProof/>
              </w:rPr>
              <w:t>2022</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725DCFE" w14:textId="582BF278" w:rsidR="00F53E3A" w:rsidRDefault="0036255F">
            <w:pPr>
              <w:pStyle w:val="P68B1DB1-Normal12"/>
              <w:spacing w:before="60" w:after="60"/>
              <w:jc w:val="both"/>
              <w:rPr>
                <w:rFonts w:eastAsia="Times New Roman" w:cs="Times New Roman"/>
                <w:noProof/>
              </w:rPr>
            </w:pPr>
            <w:r>
              <w:rPr>
                <w:noProof/>
              </w:rPr>
              <w:t>Intrarea în vigoare a actului juridic privind responsabilitățile, funcțiile și activitățile agenției de punere în aplicare a politicii științifice (din cadrul Ministerului Educației, Științei și Sportului sau al Guvernului Republicii Lituania), care conține dispoziții privind agenția și data de începere.</w:t>
            </w:r>
          </w:p>
          <w:p w14:paraId="529BB49E" w14:textId="77777777" w:rsidR="00F53E3A" w:rsidRDefault="0036255F">
            <w:pPr>
              <w:pStyle w:val="P68B1DB1-Normal12"/>
              <w:spacing w:before="60" w:after="60"/>
              <w:jc w:val="both"/>
              <w:rPr>
                <w:rFonts w:eastAsia="Times New Roman" w:cs="Times New Roman"/>
                <w:noProof/>
              </w:rPr>
            </w:pPr>
            <w:r>
              <w:rPr>
                <w:noProof/>
              </w:rPr>
              <w:t>Se creează întreaga infrastructură necesară pentru funcționarea agenției de punere în aplicare a politicii științifice. Se preconizează că agenția de punere în aplicare a politicii științifice va promova o participare mai activă a solicitanților lituanieni la programele europene și internaționale de C &amp; D &amp; I, va dezvolta competențe științifice în sectorul public și va dezvolta analiza pe termen lung a proceselor de cercetare și de studiu.</w:t>
            </w:r>
          </w:p>
        </w:tc>
      </w:tr>
      <w:tr w:rsidR="00F53E3A" w14:paraId="63DBA359" w14:textId="77777777" w:rsidTr="0035684C">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2F32D85" w14:textId="77777777" w:rsidR="00F53E3A" w:rsidRDefault="0036255F">
            <w:pPr>
              <w:pStyle w:val="P68B1DB1-Normal12"/>
              <w:spacing w:before="60" w:after="60"/>
              <w:jc w:val="center"/>
              <w:rPr>
                <w:rFonts w:cs="Times New Roman"/>
                <w:noProof/>
              </w:rPr>
            </w:pPr>
            <w:r>
              <w:rPr>
                <w:noProof/>
              </w:rPr>
              <w:t>127</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3F765AB" w14:textId="4307F9BD" w:rsidR="00F53E3A" w:rsidRDefault="0036255F">
            <w:pPr>
              <w:pStyle w:val="P68B1DB1-Normal12"/>
              <w:spacing w:before="60" w:after="60"/>
              <w:rPr>
                <w:noProof/>
              </w:rPr>
            </w:pPr>
            <w:r>
              <w:rPr>
                <w:noProof/>
              </w:rPr>
              <w:t xml:space="preserve">E.1.2. Punerea în aplicare eficace a politicii de inovare, creșterea cererii de inovare, sprijinirea ecosistemului de start-upuri și inovarea ecologică — </w:t>
            </w:r>
          </w:p>
          <w:p w14:paraId="46260788" w14:textId="6D30CB62" w:rsidR="00F53E3A" w:rsidRDefault="0036255F">
            <w:pPr>
              <w:pStyle w:val="P68B1DB1-Normal12"/>
              <w:spacing w:before="60" w:after="60"/>
              <w:rPr>
                <w:rFonts w:cs="Times New Roman"/>
                <w:noProof/>
              </w:rPr>
            </w:pPr>
            <w:r>
              <w:rPr>
                <w:noProof/>
              </w:rPr>
              <w:t>E.1.2.1. Punerea în aplicare eficientă a politicii de inovare prin crearea unei agenții unice de promovare a inovării și optimizarea rețelei de agenții existente</w:t>
            </w:r>
          </w:p>
        </w:tc>
        <w:tc>
          <w:tcPr>
            <w:tcW w:w="107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BFBB96F" w14:textId="77777777" w:rsidR="00F53E3A" w:rsidRDefault="0036255F">
            <w:pPr>
              <w:pStyle w:val="P68B1DB1-Normal12"/>
              <w:spacing w:before="60" w:after="60"/>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305BDAD" w14:textId="77777777" w:rsidR="00F53E3A" w:rsidRDefault="0036255F">
            <w:pPr>
              <w:pStyle w:val="P68B1DB1-Normal12"/>
              <w:spacing w:before="60" w:after="60"/>
              <w:rPr>
                <w:rFonts w:cs="Times New Roman"/>
                <w:noProof/>
              </w:rPr>
            </w:pPr>
            <w:r>
              <w:rPr>
                <w:noProof/>
              </w:rPr>
              <w:t>Intrarea în vigoare a rezoluției guvernului de înființare a Agenției pentru Inovare și de transfer al funcțiilor de promovare a inovării de la alte agenții</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95DBC98" w14:textId="202D4C8B" w:rsidR="00F53E3A" w:rsidRDefault="0036255F">
            <w:pPr>
              <w:pStyle w:val="P68B1DB1-Normal12"/>
              <w:spacing w:before="60" w:after="60"/>
              <w:rPr>
                <w:rFonts w:cs="Times New Roman"/>
                <w:noProof/>
              </w:rPr>
            </w:pPr>
            <w:r>
              <w:rPr>
                <w:noProof/>
              </w:rPr>
              <w:t>Legislația a intrat în vigoare</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C18D348" w14:textId="63B3BC34"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F6E569D" w14:textId="5DA024E1" w:rsidR="00F53E3A" w:rsidRDefault="00F53E3A">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6FD7643" w14:textId="04DE423F" w:rsidR="00F53E3A" w:rsidRDefault="00F53E3A">
            <w:pPr>
              <w:spacing w:before="60" w:after="60"/>
              <w:jc w:val="center"/>
              <w:rPr>
                <w:rFonts w:ascii="Times New Roman" w:hAnsi="Times New Roman" w:cs="Times New Roman"/>
                <w:noProof/>
                <w:sz w:val="20"/>
              </w:rPr>
            </w:pPr>
          </w:p>
        </w:tc>
        <w:tc>
          <w:tcPr>
            <w:tcW w:w="117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4AECF25" w14:textId="2FCDB52D" w:rsidR="00F53E3A" w:rsidRDefault="00DB2EC5">
            <w:pPr>
              <w:pStyle w:val="P68B1DB1-Normal12"/>
              <w:spacing w:before="60" w:after="60"/>
              <w:jc w:val="center"/>
              <w:rPr>
                <w:rFonts w:cs="Times New Roman"/>
                <w:noProof/>
              </w:rPr>
            </w:pPr>
            <w:r>
              <w:rPr>
                <w:noProof/>
              </w:rPr>
              <w:t>T1</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14D7A02" w14:textId="77777777" w:rsidR="00F53E3A" w:rsidRDefault="0036255F">
            <w:pPr>
              <w:pStyle w:val="P68B1DB1-Normal12"/>
              <w:spacing w:before="60" w:after="60"/>
              <w:jc w:val="center"/>
              <w:rPr>
                <w:rFonts w:cs="Times New Roman"/>
                <w:noProof/>
              </w:rPr>
            </w:pPr>
            <w:r>
              <w:rPr>
                <w:noProof/>
              </w:rPr>
              <w:t>2022</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44E8813" w14:textId="77777777" w:rsidR="00F53E3A" w:rsidRDefault="0036255F">
            <w:pPr>
              <w:pStyle w:val="P68B1DB1-Normal12"/>
              <w:spacing w:before="60" w:after="60"/>
              <w:jc w:val="both"/>
              <w:rPr>
                <w:noProof/>
              </w:rPr>
            </w:pPr>
            <w:r>
              <w:rPr>
                <w:noProof/>
              </w:rPr>
              <w:t>Agenția pentru inovare se înființează la intrarea în vigoare a rezoluției guvernului. Versli Lietuva acționează ca bază pentru Agenția pentru inovare, iar funcțiile și activitățile legate de inovare ale MITA și LVPA sunt transferate Agenției pentru inovare.</w:t>
            </w:r>
          </w:p>
          <w:p w14:paraId="03C72995" w14:textId="77777777" w:rsidR="00F53E3A" w:rsidRDefault="0036255F">
            <w:pPr>
              <w:pStyle w:val="P68B1DB1-Normal12"/>
              <w:spacing w:before="60" w:after="60"/>
              <w:jc w:val="both"/>
              <w:rPr>
                <w:noProof/>
              </w:rPr>
            </w:pPr>
            <w:r>
              <w:rPr>
                <w:noProof/>
              </w:rPr>
              <w:t>INVEGA își coordonează activitățile legate de finanțarea inovării cu Agenția pentru Inovare.</w:t>
            </w:r>
          </w:p>
          <w:p w14:paraId="0A92E32B" w14:textId="5AC59F59" w:rsidR="00F53E3A" w:rsidRDefault="0036255F">
            <w:pPr>
              <w:pStyle w:val="P68B1DB1-Normal12"/>
              <w:spacing w:before="60" w:after="60"/>
              <w:jc w:val="both"/>
              <w:rPr>
                <w:noProof/>
              </w:rPr>
            </w:pPr>
            <w:r>
              <w:rPr>
                <w:noProof/>
              </w:rPr>
              <w:t xml:space="preserve">Agenția pentru inovare integrează pe deplin Centrul lituanian pentru inovare (LIC) sau LIC este reorganizată prin retragerea drepturilor de proprietate ale organismelor publice. </w:t>
            </w:r>
          </w:p>
          <w:p w14:paraId="40219847" w14:textId="5030FE3E" w:rsidR="00F53E3A" w:rsidRDefault="0036255F">
            <w:pPr>
              <w:pStyle w:val="P68B1DB1-Normal12"/>
              <w:spacing w:before="60" w:after="60"/>
              <w:jc w:val="both"/>
              <w:rPr>
                <w:rFonts w:eastAsia="Times New Roman" w:cs="Times New Roman"/>
                <w:noProof/>
              </w:rPr>
            </w:pPr>
            <w:r>
              <w:rPr>
                <w:noProof/>
              </w:rPr>
              <w:t>Toate infrastructurile agenției se înființează până la 31 martie 2022.</w:t>
            </w:r>
          </w:p>
        </w:tc>
      </w:tr>
      <w:tr w:rsidR="00F53E3A" w14:paraId="64EAA9F0" w14:textId="77777777" w:rsidTr="0035684C">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C167913" w14:textId="77777777" w:rsidR="00F53E3A" w:rsidRDefault="0036255F">
            <w:pPr>
              <w:pStyle w:val="P68B1DB1-Normal12"/>
              <w:spacing w:before="60" w:after="60"/>
              <w:jc w:val="center"/>
              <w:rPr>
                <w:rFonts w:cs="Times New Roman"/>
                <w:noProof/>
              </w:rPr>
            </w:pPr>
            <w:r>
              <w:rPr>
                <w:noProof/>
              </w:rPr>
              <w:t>128</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D5D8253" w14:textId="1C9F8E36" w:rsidR="00F53E3A" w:rsidRDefault="0036255F">
            <w:pPr>
              <w:pStyle w:val="P68B1DB1-Normal12"/>
              <w:spacing w:before="60" w:after="60"/>
              <w:rPr>
                <w:noProof/>
              </w:rPr>
            </w:pPr>
            <w:r>
              <w:rPr>
                <w:noProof/>
              </w:rPr>
              <w:t>E.1.2 Punerea în aplicare eficace a politicii de inovare, creșterea cererii de inovare, sprijinirea ecosistemului de întreprinderi nou-înființate și inovarea ecologică —</w:t>
            </w:r>
          </w:p>
          <w:p w14:paraId="052FD5C0" w14:textId="5357762D" w:rsidR="00F53E3A" w:rsidRDefault="0036255F">
            <w:pPr>
              <w:pStyle w:val="P68B1DB1-Normal12"/>
              <w:spacing w:before="60" w:after="60"/>
              <w:rPr>
                <w:rFonts w:cs="Times New Roman"/>
                <w:noProof/>
              </w:rPr>
            </w:pPr>
            <w:r>
              <w:rPr>
                <w:noProof/>
              </w:rPr>
              <w:t>E.1.2.1. Punerea în aplicare eficientă a politicii de inovare prin crearea unei agenții unice de promovare a inovării și optimizarea rețelei de agenții existente</w:t>
            </w:r>
          </w:p>
        </w:tc>
        <w:tc>
          <w:tcPr>
            <w:tcW w:w="107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727E65E" w14:textId="77777777" w:rsidR="00F53E3A" w:rsidRDefault="0036255F">
            <w:pPr>
              <w:pStyle w:val="P68B1DB1-Normal12"/>
              <w:spacing w:before="60" w:after="60"/>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0BD5FCA" w14:textId="77777777" w:rsidR="00F53E3A" w:rsidRDefault="0036255F">
            <w:pPr>
              <w:pStyle w:val="P68B1DB1-Normal12"/>
              <w:spacing w:before="60" w:after="60"/>
              <w:rPr>
                <w:rFonts w:cs="Times New Roman"/>
                <w:noProof/>
              </w:rPr>
            </w:pPr>
            <w:r>
              <w:rPr>
                <w:noProof/>
              </w:rPr>
              <w:t>Intrarea în vigoare a legislației revizuite privind activitățile inovatoare</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88A8FA9" w14:textId="331437A0" w:rsidR="00F53E3A" w:rsidRDefault="0036255F">
            <w:pPr>
              <w:pStyle w:val="P68B1DB1-Normal12"/>
              <w:spacing w:before="60" w:after="60"/>
              <w:rPr>
                <w:rFonts w:cs="Times New Roman"/>
                <w:noProof/>
              </w:rPr>
            </w:pPr>
            <w:r>
              <w:rPr>
                <w:noProof/>
              </w:rPr>
              <w:t>Intrarea în vigoare a legislației</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6B5F7B3" w14:textId="562CCBA1"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EC556F" w14:textId="5C30C61A" w:rsidR="00F53E3A" w:rsidRDefault="00F53E3A">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966122" w14:textId="546FB2F2" w:rsidR="00F53E3A" w:rsidRDefault="00F53E3A">
            <w:pPr>
              <w:spacing w:before="60" w:after="60"/>
              <w:jc w:val="center"/>
              <w:rPr>
                <w:rFonts w:ascii="Times New Roman" w:hAnsi="Times New Roman" w:cs="Times New Roman"/>
                <w:noProof/>
                <w:sz w:val="20"/>
              </w:rPr>
            </w:pPr>
          </w:p>
        </w:tc>
        <w:tc>
          <w:tcPr>
            <w:tcW w:w="117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A193F12" w14:textId="47F2409A" w:rsidR="00F53E3A" w:rsidRDefault="00DB2EC5">
            <w:pPr>
              <w:pStyle w:val="P68B1DB1-Normal12"/>
              <w:spacing w:before="60" w:after="60"/>
              <w:jc w:val="center"/>
              <w:rPr>
                <w:rFonts w:cs="Times New Roman"/>
                <w:noProof/>
              </w:rPr>
            </w:pPr>
            <w:r>
              <w:rPr>
                <w:noProof/>
              </w:rPr>
              <w:t>T4</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595A10E" w14:textId="77777777" w:rsidR="00F53E3A" w:rsidRDefault="0036255F">
            <w:pPr>
              <w:pStyle w:val="P68B1DB1-Normal12"/>
              <w:spacing w:before="60" w:after="60"/>
              <w:jc w:val="center"/>
              <w:rPr>
                <w:rFonts w:cs="Times New Roman"/>
                <w:noProof/>
              </w:rPr>
            </w:pPr>
            <w:r>
              <w:rPr>
                <w:noProof/>
              </w:rPr>
              <w:t>2021</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551B8FE" w14:textId="12365CC7" w:rsidR="00F53E3A" w:rsidRDefault="0036255F">
            <w:pPr>
              <w:pStyle w:val="P68B1DB1-Normal12"/>
              <w:spacing w:before="60" w:after="60"/>
              <w:jc w:val="both"/>
              <w:rPr>
                <w:noProof/>
              </w:rPr>
            </w:pPr>
            <w:r>
              <w:rPr>
                <w:noProof/>
              </w:rPr>
              <w:t>Intrarea în vigoare a legislației revizuite și modificate privind activitățile inovatoare, inclusiv a Legii privind tehnologia și inovarea și modificarea Rezoluției nr. 982 din 3</w:t>
            </w:r>
            <w:r w:rsidR="0035684C">
              <w:rPr>
                <w:noProof/>
              </w:rPr>
              <w:t> </w:t>
            </w:r>
            <w:r>
              <w:rPr>
                <w:noProof/>
              </w:rPr>
              <w:t>octombrie 2018 privind acordarea de competențe pentru punerea în aplicare a Legii privind tehnologia și inovarea a Republicii Lituania. Actele juridice sunt aprobate de Seimas, de guvernul lituanian, de ministrul economiei și inovării, în funcție de tipul de act juridic. Aceasta intră în vigoare la data</w:t>
            </w:r>
            <w:r w:rsidR="0035684C">
              <w:rPr>
                <w:noProof/>
              </w:rPr>
              <w:t xml:space="preserve"> </w:t>
            </w:r>
            <w:r>
              <w:rPr>
                <w:noProof/>
              </w:rPr>
              <w:t>publicării Registrului actelor juridice (E</w:t>
            </w:r>
            <w:r w:rsidR="0035684C">
              <w:rPr>
                <w:rFonts w:cs="Times New Roman"/>
                <w:noProof/>
              </w:rPr>
              <w:t>­</w:t>
            </w:r>
            <w:r>
              <w:rPr>
                <w:noProof/>
              </w:rPr>
              <w:t>TAR).</w:t>
            </w:r>
          </w:p>
          <w:p w14:paraId="52249A49" w14:textId="77777777" w:rsidR="00F53E3A" w:rsidRDefault="0036255F">
            <w:pPr>
              <w:pStyle w:val="P68B1DB1-Normal12"/>
              <w:spacing w:before="60" w:after="60"/>
              <w:jc w:val="both"/>
              <w:rPr>
                <w:noProof/>
              </w:rPr>
            </w:pPr>
            <w:r>
              <w:rPr>
                <w:noProof/>
              </w:rPr>
              <w:t>Actele juridice revizuite reduc lacunele și suprapunerile din cadrul de politici privind cercetarea și inovarea, armonizează mixul de măsuri de sprijin și specifică responsabilitățile instituționale.</w:t>
            </w:r>
          </w:p>
          <w:p w14:paraId="613FBAB5" w14:textId="77777777" w:rsidR="00F53E3A" w:rsidRDefault="0036255F">
            <w:pPr>
              <w:pStyle w:val="P68B1DB1-Normal12"/>
              <w:spacing w:before="60" w:after="60"/>
              <w:jc w:val="both"/>
              <w:rPr>
                <w:rFonts w:eastAsia="Times New Roman" w:cs="Times New Roman"/>
                <w:noProof/>
              </w:rPr>
            </w:pPr>
            <w:r>
              <w:rPr>
                <w:noProof/>
              </w:rPr>
              <w:t>Legea revizuită privind tehnologia și inovarea identifică instituțiile responsabile cu elaborarea și punerea în aplicare a politicii de inovare, precum și principiile de promovare a activităților legate de inovare.</w:t>
            </w:r>
          </w:p>
        </w:tc>
      </w:tr>
      <w:tr w:rsidR="00F53E3A" w14:paraId="6330C852" w14:textId="77777777" w:rsidTr="0035684C">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9864384" w14:textId="77777777" w:rsidR="00F53E3A" w:rsidRDefault="0036255F">
            <w:pPr>
              <w:pStyle w:val="P68B1DB1-Normal12"/>
              <w:spacing w:before="60" w:after="60"/>
              <w:jc w:val="center"/>
              <w:rPr>
                <w:rFonts w:cs="Times New Roman"/>
                <w:noProof/>
              </w:rPr>
            </w:pPr>
            <w:r>
              <w:rPr>
                <w:noProof/>
              </w:rPr>
              <w:t>129</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6505410" w14:textId="78058179" w:rsidR="00F53E3A" w:rsidRDefault="0036255F">
            <w:pPr>
              <w:pStyle w:val="P68B1DB1-Normal12"/>
              <w:spacing w:before="60" w:after="60"/>
              <w:rPr>
                <w:noProof/>
              </w:rPr>
            </w:pPr>
            <w:r>
              <w:rPr>
                <w:noProof/>
              </w:rPr>
              <w:t xml:space="preserve">E.1.2. Punerea în aplicare eficace a politicii de inovare, creșterea cererii de inovare, sprijinirea ecosistemului de întreprinderi nou-înființate și inovarea ecologică </w:t>
            </w:r>
          </w:p>
          <w:p w14:paraId="4ED8E4F0" w14:textId="104586C8" w:rsidR="00F53E3A" w:rsidRDefault="0036255F">
            <w:pPr>
              <w:pStyle w:val="P68B1DB1-Normal12"/>
              <w:spacing w:before="60" w:after="60"/>
              <w:rPr>
                <w:rFonts w:cs="Times New Roman"/>
                <w:noProof/>
              </w:rPr>
            </w:pPr>
            <w:r>
              <w:rPr>
                <w:noProof/>
              </w:rPr>
              <w:t>E.1.2.1. Punerea în aplicare eficientă a politicii de inovare prin crearea unei agenții unice de promovare a inovării și optimizarea rețelei de agenții existente</w:t>
            </w:r>
          </w:p>
        </w:tc>
        <w:tc>
          <w:tcPr>
            <w:tcW w:w="107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1D397B0" w14:textId="77777777" w:rsidR="00F53E3A" w:rsidRDefault="0036255F">
            <w:pPr>
              <w:pStyle w:val="P68B1DB1-Normal12"/>
              <w:spacing w:before="60" w:after="60"/>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D6F263C" w14:textId="77777777" w:rsidR="00F53E3A" w:rsidRDefault="0036255F">
            <w:pPr>
              <w:pStyle w:val="P68B1DB1-Normal12"/>
              <w:spacing w:before="60" w:after="60"/>
              <w:rPr>
                <w:rFonts w:cs="Times New Roman"/>
                <w:noProof/>
              </w:rPr>
            </w:pPr>
            <w:r>
              <w:rPr>
                <w:noProof/>
              </w:rPr>
              <w:t>Intrarea în vigoare a cadrului reînnoit de stimulente pentru ca întreprinderile să investească în C &amp; D</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5F228A4" w14:textId="0DC2FB81" w:rsidR="00F53E3A" w:rsidRDefault="0036255F">
            <w:pPr>
              <w:pStyle w:val="P68B1DB1-Normal12"/>
              <w:spacing w:before="60" w:after="60"/>
              <w:rPr>
                <w:rFonts w:cs="Times New Roman"/>
                <w:noProof/>
              </w:rPr>
            </w:pPr>
            <w:r>
              <w:rPr>
                <w:noProof/>
              </w:rPr>
              <w:t>Legislația a intrat în vigoare</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60E1ABB" w14:textId="580BD9A2"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245B37" w14:textId="738F35B2" w:rsidR="00F53E3A" w:rsidRDefault="00F53E3A">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BCC1A4E" w14:textId="310A4F41" w:rsidR="00F53E3A" w:rsidRDefault="00F53E3A">
            <w:pPr>
              <w:spacing w:before="60" w:after="60"/>
              <w:jc w:val="center"/>
              <w:rPr>
                <w:rFonts w:ascii="Times New Roman" w:hAnsi="Times New Roman" w:cs="Times New Roman"/>
                <w:noProof/>
                <w:sz w:val="20"/>
              </w:rPr>
            </w:pPr>
          </w:p>
        </w:tc>
        <w:tc>
          <w:tcPr>
            <w:tcW w:w="117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01A0D8F" w14:textId="6310E73B" w:rsidR="00F53E3A" w:rsidRDefault="00DB2EC5">
            <w:pPr>
              <w:pStyle w:val="P68B1DB1-Normal12"/>
              <w:spacing w:before="60" w:after="60"/>
              <w:jc w:val="center"/>
              <w:rPr>
                <w:rFonts w:cs="Times New Roman"/>
                <w:noProof/>
              </w:rPr>
            </w:pPr>
            <w:r>
              <w:rPr>
                <w:noProof/>
              </w:rPr>
              <w:t>T4</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286FE17" w14:textId="77777777" w:rsidR="00F53E3A" w:rsidRDefault="0036255F">
            <w:pPr>
              <w:pStyle w:val="P68B1DB1-Normal12"/>
              <w:spacing w:before="60" w:after="60"/>
              <w:jc w:val="center"/>
              <w:rPr>
                <w:rFonts w:cs="Times New Roman"/>
                <w:noProof/>
              </w:rPr>
            </w:pPr>
            <w:r>
              <w:rPr>
                <w:noProof/>
              </w:rPr>
              <w:t>2022</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1372A43" w14:textId="230A2DD8" w:rsidR="00F53E3A" w:rsidRDefault="0036255F">
            <w:pPr>
              <w:pStyle w:val="P68B1DB1-Normal12"/>
              <w:spacing w:before="60" w:after="60"/>
              <w:jc w:val="both"/>
              <w:rPr>
                <w:rFonts w:cs="Times New Roman"/>
                <w:noProof/>
              </w:rPr>
            </w:pPr>
            <w:r>
              <w:rPr>
                <w:noProof/>
              </w:rPr>
              <w:t>Intrarea în vigoare a normelor revizuite privind sprijinul pentru măsurile de C &amp; D (aproximativ 20 de acte juridice, cum ar fi ordinele ministeriale). Sistemul existent de stimulente pentru C &amp; D a fost revizuit, prin punerea în aplicare a recomandărilor studiului realizat privind stimulentele pentru C &amp; D destinate întreprinderilor. Normele intră în vigoare după publicarea lor în Registrul actelor juridice (E-TAR).</w:t>
            </w:r>
          </w:p>
          <w:p w14:paraId="64386969" w14:textId="77777777" w:rsidR="00F53E3A" w:rsidRDefault="0036255F">
            <w:pPr>
              <w:pStyle w:val="P68B1DB1-Normal12"/>
              <w:spacing w:before="60" w:after="60"/>
              <w:jc w:val="both"/>
              <w:rPr>
                <w:rFonts w:cs="Times New Roman"/>
                <w:noProof/>
              </w:rPr>
            </w:pPr>
            <w:r>
              <w:rPr>
                <w:noProof/>
              </w:rPr>
              <w:t>Normele revizuite: reducerea lacunelor și a suprapunerilor dintre diferitele măsuri de sprijin pentru C &amp; D armonizează mixul de măsuri de sprijin prin stabilirea unor legături logice clare între diferitele instrumente de finanțare, precum și între instrumentele de finanțare și diferitele servicii de sprijinire a inovării.</w:t>
            </w:r>
          </w:p>
        </w:tc>
      </w:tr>
      <w:tr w:rsidR="00F53E3A" w14:paraId="26688BD0" w14:textId="77777777" w:rsidTr="0035684C">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181D032" w14:textId="77777777" w:rsidR="00F53E3A" w:rsidRDefault="0036255F">
            <w:pPr>
              <w:pStyle w:val="P68B1DB1-Normal29"/>
              <w:spacing w:before="60" w:after="60"/>
              <w:jc w:val="center"/>
              <w:rPr>
                <w:noProof/>
              </w:rPr>
            </w:pPr>
            <w:r>
              <w:rPr>
                <w:noProof/>
              </w:rPr>
              <w:t>130</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4B412EE" w14:textId="656B63C4" w:rsidR="00F53E3A" w:rsidRDefault="0036255F">
            <w:pPr>
              <w:pStyle w:val="P68B1DB1-Normal29"/>
              <w:spacing w:before="60" w:after="60"/>
              <w:rPr>
                <w:noProof/>
              </w:rPr>
            </w:pPr>
            <w:r>
              <w:rPr>
                <w:noProof/>
              </w:rPr>
              <w:t xml:space="preserve">E.1.2. Punerea în aplicare eficace a politicii de inovare, creșterea cererii de inovare, sprijinirea ecosistemului de start-upuri și inovarea ecologică — </w:t>
            </w:r>
          </w:p>
          <w:p w14:paraId="4C1D0945" w14:textId="37885245" w:rsidR="00F53E3A" w:rsidRDefault="0036255F">
            <w:pPr>
              <w:pStyle w:val="P68B1DB1-Normal29"/>
              <w:spacing w:before="60" w:after="60"/>
              <w:rPr>
                <w:noProof/>
              </w:rPr>
            </w:pPr>
            <w:r>
              <w:rPr>
                <w:noProof/>
              </w:rPr>
              <w:t xml:space="preserve">E.1.2.2. Creșterea cererii de inovare și sprijinirea inovării ecologice în Lituania </w:t>
            </w:r>
          </w:p>
        </w:tc>
        <w:tc>
          <w:tcPr>
            <w:tcW w:w="107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0F9869E" w14:textId="2F765CD4" w:rsidR="00F53E3A" w:rsidRDefault="0036255F">
            <w:pPr>
              <w:pStyle w:val="P68B1DB1-Normal29"/>
              <w:spacing w:before="60" w:after="60"/>
              <w:jc w:val="center"/>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FAE1A1D" w14:textId="37B55F25" w:rsidR="00F53E3A" w:rsidRDefault="0036255F">
            <w:pPr>
              <w:pStyle w:val="P68B1DB1-Normal29"/>
              <w:spacing w:before="60" w:after="60"/>
              <w:rPr>
                <w:noProof/>
              </w:rPr>
            </w:pPr>
            <w:r>
              <w:rPr>
                <w:noProof/>
              </w:rPr>
              <w:t>Bunuri sau servicii inovatoare achiziționate și produse sau proiecte tehnologice ecologice și proiecte sprijinite în cadrul laboratorului industrial 4.0</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52CA5A5" w14:textId="440FEB6D" w:rsidR="00F53E3A" w:rsidRDefault="0036255F">
            <w:pPr>
              <w:pStyle w:val="P68B1DB1-Normal29"/>
              <w:spacing w:before="60" w:after="60"/>
              <w:rPr>
                <w:noProof/>
              </w:rPr>
            </w:pPr>
            <w:r>
              <w:rPr>
                <w:noProof/>
              </w:rPr>
              <w:t>Bunuri sau servicii inovatoare achiziționate și produse sau proiecte tehnologice ecologice și proiecte sprijinite în cadrul laboratorului industrial 4.0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CDBA658" w14:textId="0E2BD921"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1898465" w14:textId="4335779E" w:rsidR="00F53E3A" w:rsidRDefault="00F53E3A">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3A8C512" w14:textId="753ABDD0" w:rsidR="00F53E3A" w:rsidRDefault="00F53E3A">
            <w:pPr>
              <w:spacing w:before="60" w:after="60"/>
              <w:jc w:val="center"/>
              <w:rPr>
                <w:rFonts w:ascii="Times New Roman" w:hAnsi="Times New Roman" w:cs="Times New Roman"/>
                <w:noProof/>
                <w:sz w:val="20"/>
              </w:rPr>
            </w:pPr>
          </w:p>
        </w:tc>
        <w:tc>
          <w:tcPr>
            <w:tcW w:w="117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C9D2E16" w14:textId="4ABE456E" w:rsidR="00F53E3A" w:rsidRDefault="00DB2EC5">
            <w:pPr>
              <w:pStyle w:val="P68B1DB1-Normal29"/>
              <w:spacing w:before="60" w:after="60"/>
              <w:jc w:val="center"/>
              <w:rPr>
                <w:noProof/>
              </w:rPr>
            </w:pPr>
            <w:r>
              <w:rPr>
                <w:noProof/>
              </w:rPr>
              <w:t>T1</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4FDE713" w14:textId="77777777" w:rsidR="00F53E3A" w:rsidRDefault="0036255F">
            <w:pPr>
              <w:pStyle w:val="P68B1DB1-Normal29"/>
              <w:spacing w:before="60" w:after="60"/>
              <w:jc w:val="center"/>
              <w:rPr>
                <w:noProof/>
              </w:rPr>
            </w:pPr>
            <w:r>
              <w:rPr>
                <w:noProof/>
              </w:rPr>
              <w:t>2026</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0E3420" w14:textId="1861D9CF" w:rsidR="00F53E3A" w:rsidRDefault="0036255F">
            <w:pPr>
              <w:pStyle w:val="P68B1DB1-Normal29"/>
              <w:spacing w:before="60" w:after="60"/>
              <w:jc w:val="both"/>
              <w:rPr>
                <w:noProof/>
              </w:rPr>
            </w:pPr>
            <w:r>
              <w:rPr>
                <w:noProof/>
              </w:rPr>
              <w:t>Bunurile sau serviciile sunt furnizate prin intermediul a 55 de achiziții publice inovatoare.</w:t>
            </w:r>
          </w:p>
          <w:p w14:paraId="5E91C307" w14:textId="687F2F6C" w:rsidR="00F53E3A" w:rsidRDefault="0036255F">
            <w:pPr>
              <w:pStyle w:val="P68B1DB1-Normal29"/>
              <w:spacing w:before="60" w:after="60"/>
              <w:jc w:val="both"/>
              <w:rPr>
                <w:noProof/>
              </w:rPr>
            </w:pPr>
            <w:r>
              <w:rPr>
                <w:noProof/>
              </w:rPr>
              <w:t>97 produsele sau proiectele tehnologice ecologice beneficiază de sprijin financiar.</w:t>
            </w:r>
          </w:p>
          <w:p w14:paraId="2E26ED40" w14:textId="0D9A7794" w:rsidR="00F53E3A" w:rsidRDefault="0036255F">
            <w:pPr>
              <w:pStyle w:val="P68B1DB1-Normal29"/>
              <w:spacing w:before="60" w:after="60"/>
              <w:jc w:val="both"/>
              <w:rPr>
                <w:rFonts w:eastAsia="Times New Roman"/>
                <w:noProof/>
              </w:rPr>
            </w:pPr>
            <w:r>
              <w:rPr>
                <w:noProof/>
              </w:rPr>
              <w:t>Cel puțin 2 500 000 EUR se plătesc pentru 3 proiecte Industry Lab 4.0. Eventualele cuantumuri furnizate de alte programe sau instrumente ale Uniunii nu sunt luate în considerare la calcularea acestei sume.</w:t>
            </w:r>
          </w:p>
        </w:tc>
      </w:tr>
      <w:tr w:rsidR="00F53E3A" w14:paraId="4663E512" w14:textId="77777777" w:rsidTr="0035684C">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3C8830E" w14:textId="5E2937D0" w:rsidR="00F53E3A" w:rsidRDefault="0036255F">
            <w:pPr>
              <w:pStyle w:val="P68B1DB1-Normal12"/>
              <w:spacing w:before="60" w:after="60"/>
              <w:jc w:val="center"/>
              <w:rPr>
                <w:rFonts w:cs="Times New Roman"/>
                <w:noProof/>
              </w:rPr>
            </w:pPr>
            <w:r>
              <w:rPr>
                <w:noProof/>
              </w:rPr>
              <w:t>131</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7E2994A" w14:textId="40D65BBF" w:rsidR="00F53E3A" w:rsidRDefault="0036255F">
            <w:pPr>
              <w:pStyle w:val="P68B1DB1-Normal12"/>
              <w:spacing w:before="60" w:after="60"/>
              <w:rPr>
                <w:noProof/>
              </w:rPr>
            </w:pPr>
            <w:r>
              <w:rPr>
                <w:noProof/>
              </w:rPr>
              <w:t xml:space="preserve">E.1.2. Punerea în aplicare eficace a politicii de inovare, creșterea cererii de inovare, sprijinirea ecosistemului de start-upuri și inovarea ecologică — </w:t>
            </w:r>
          </w:p>
          <w:p w14:paraId="0E58776C" w14:textId="20340AF7" w:rsidR="00F53E3A" w:rsidRDefault="0036255F">
            <w:pPr>
              <w:pStyle w:val="P68B1DB1-Normal12"/>
              <w:spacing w:before="60" w:after="60"/>
              <w:rPr>
                <w:rFonts w:cs="Times New Roman"/>
                <w:noProof/>
              </w:rPr>
            </w:pPr>
            <w:r>
              <w:rPr>
                <w:noProof/>
              </w:rPr>
              <w:t>E.1.2.3. Sprijinirea ecosistemului întreprinderilor nou-înființate</w:t>
            </w:r>
          </w:p>
        </w:tc>
        <w:tc>
          <w:tcPr>
            <w:tcW w:w="107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2EA1AB6" w14:textId="6D60D3F7" w:rsidR="00F53E3A" w:rsidRDefault="0036255F">
            <w:pPr>
              <w:pStyle w:val="P68B1DB1-Normal12"/>
              <w:spacing w:before="60" w:after="60"/>
              <w:jc w:val="center"/>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A0FA5F7" w14:textId="703F60CD" w:rsidR="00F53E3A" w:rsidRDefault="0036255F">
            <w:pPr>
              <w:pStyle w:val="P68B1DB1-Normal12"/>
              <w:spacing w:before="60" w:after="60"/>
              <w:rPr>
                <w:rFonts w:cs="Times New Roman"/>
                <w:noProof/>
              </w:rPr>
            </w:pPr>
            <w:r>
              <w:rPr>
                <w:noProof/>
              </w:rPr>
              <w:t>Numărul de persoane fizice sau juridice care au primit sprijin</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55EB34B" w14:textId="21837BAD" w:rsidR="00F53E3A" w:rsidRDefault="00F53E3A">
            <w:pPr>
              <w:spacing w:before="60" w:after="60"/>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D1137C8" w14:textId="7F25ADD6" w:rsidR="00F53E3A" w:rsidRDefault="0036255F">
            <w:pPr>
              <w:pStyle w:val="P68B1DB1-Normal12"/>
              <w:spacing w:before="60" w:after="60"/>
              <w:jc w:val="center"/>
              <w:rPr>
                <w:rFonts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895F74F" w14:textId="77777777" w:rsidR="00F53E3A" w:rsidRDefault="0036255F">
            <w:pPr>
              <w:pStyle w:val="P68B1DB1-Normal12"/>
              <w:spacing w:before="60" w:after="60"/>
              <w:jc w:val="center"/>
              <w:rPr>
                <w:rFonts w:cs="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C3D4AB8" w14:textId="36C2238B" w:rsidR="00F53E3A" w:rsidRDefault="0036255F">
            <w:pPr>
              <w:pStyle w:val="P68B1DB1-Normal12"/>
              <w:spacing w:before="60" w:after="60"/>
              <w:jc w:val="center"/>
              <w:rPr>
                <w:rFonts w:cs="Times New Roman"/>
                <w:noProof/>
              </w:rPr>
            </w:pPr>
            <w:r>
              <w:rPr>
                <w:noProof/>
              </w:rPr>
              <w:t>193</w:t>
            </w:r>
          </w:p>
        </w:tc>
        <w:tc>
          <w:tcPr>
            <w:tcW w:w="117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6685773" w14:textId="73144BA7" w:rsidR="00F53E3A" w:rsidRDefault="00DB2EC5">
            <w:pPr>
              <w:pStyle w:val="P68B1DB1-Normal12"/>
              <w:spacing w:before="60" w:after="60"/>
              <w:jc w:val="center"/>
              <w:rPr>
                <w:rFonts w:cs="Times New Roman"/>
                <w:noProof/>
              </w:rPr>
            </w:pPr>
            <w:r>
              <w:rPr>
                <w:noProof/>
              </w:rPr>
              <w:t>T1</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BEFB21D" w14:textId="71F303CC" w:rsidR="00F53E3A" w:rsidRDefault="0036255F">
            <w:pPr>
              <w:pStyle w:val="P68B1DB1-Normal12"/>
              <w:spacing w:before="60" w:after="60"/>
              <w:jc w:val="center"/>
              <w:rPr>
                <w:rFonts w:cs="Times New Roman"/>
                <w:noProof/>
              </w:rPr>
            </w:pPr>
            <w:r>
              <w:rPr>
                <w:noProof/>
              </w:rPr>
              <w:t>2026</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00762BE" w14:textId="65B506F5" w:rsidR="00F53E3A" w:rsidRDefault="0036255F">
            <w:pPr>
              <w:pStyle w:val="P68B1DB1-Normal12"/>
              <w:spacing w:before="60" w:after="60"/>
              <w:jc w:val="both"/>
              <w:rPr>
                <w:noProof/>
              </w:rPr>
            </w:pPr>
            <w:r>
              <w:rPr>
                <w:noProof/>
              </w:rPr>
              <w:t>193 de persoane fizice sau juridice au primit sprijin din Fondul de promovare a inovării, dintr-un program specializat de accelerare, dintr-un program internațional de accelerare, din incubatorul Agenției Spațiale Europene sau din programe de preincubare sau accelerare în domeniul spațial.</w:t>
            </w:r>
          </w:p>
        </w:tc>
      </w:tr>
      <w:tr w:rsidR="00F53E3A" w14:paraId="026DCB4A" w14:textId="77777777" w:rsidTr="0035684C">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157B969" w14:textId="77777777" w:rsidR="00F53E3A" w:rsidRDefault="0036255F">
            <w:pPr>
              <w:pStyle w:val="P68B1DB1-Normal12"/>
              <w:spacing w:before="60" w:after="60"/>
              <w:jc w:val="center"/>
              <w:rPr>
                <w:rFonts w:cs="Times New Roman"/>
                <w:noProof/>
              </w:rPr>
            </w:pPr>
            <w:r>
              <w:rPr>
                <w:noProof/>
              </w:rPr>
              <w:t>132</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237CA2D" w14:textId="51580B14" w:rsidR="00F53E3A" w:rsidRDefault="0036255F">
            <w:pPr>
              <w:pStyle w:val="P68B1DB1-Normal12"/>
              <w:spacing w:before="60" w:after="60"/>
              <w:rPr>
                <w:noProof/>
              </w:rPr>
            </w:pPr>
            <w:r>
              <w:rPr>
                <w:noProof/>
              </w:rPr>
              <w:t xml:space="preserve">E.1.3. Misiuni comune pentru știință și inovare în domeniul specializării inteligente — </w:t>
            </w:r>
          </w:p>
          <w:p w14:paraId="1D70AAC4" w14:textId="4CA5B938" w:rsidR="00F53E3A" w:rsidRDefault="0036255F">
            <w:pPr>
              <w:pStyle w:val="P68B1DB1-Normal12"/>
              <w:spacing w:before="60" w:after="60"/>
              <w:rPr>
                <w:rFonts w:cs="Times New Roman"/>
                <w:noProof/>
              </w:rPr>
            </w:pPr>
            <w:r>
              <w:rPr>
                <w:noProof/>
              </w:rPr>
              <w:t>E.1.3.1. Definirea priorităților de specializare inteligentă</w:t>
            </w:r>
          </w:p>
        </w:tc>
        <w:tc>
          <w:tcPr>
            <w:tcW w:w="107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653EED5" w14:textId="77777777" w:rsidR="00F53E3A" w:rsidRDefault="0036255F">
            <w:pPr>
              <w:pStyle w:val="P68B1DB1-Normal12"/>
              <w:spacing w:before="60" w:after="60"/>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CFE2740" w14:textId="77777777" w:rsidR="00F53E3A" w:rsidRDefault="0036255F">
            <w:pPr>
              <w:pStyle w:val="P68B1DB1-Normal12"/>
              <w:spacing w:before="60" w:after="60"/>
              <w:rPr>
                <w:rFonts w:eastAsia="Times New Roman" w:cs="Times New Roman"/>
                <w:noProof/>
              </w:rPr>
            </w:pPr>
            <w:r>
              <w:rPr>
                <w:noProof/>
              </w:rPr>
              <w:t>Intrarea în vigoare a conceptului revizuit de specializare inteligentă</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34977C" w14:textId="29355417" w:rsidR="00F53E3A" w:rsidRDefault="0036255F">
            <w:pPr>
              <w:pStyle w:val="P68B1DB1-Normal12"/>
              <w:spacing w:before="60" w:after="60"/>
              <w:rPr>
                <w:rFonts w:eastAsia="Times New Roman" w:cs="Times New Roman"/>
                <w:noProof/>
              </w:rPr>
            </w:pPr>
            <w:r>
              <w:rPr>
                <w:noProof/>
              </w:rPr>
              <w:t>Legislația a intrat în vigoare</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5A427F3" w14:textId="77C3ACF0"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59D35BA" w14:textId="68AE35F3" w:rsidR="00F53E3A" w:rsidRDefault="00F53E3A">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B22C6A1" w14:textId="6272C9A2" w:rsidR="00F53E3A" w:rsidRDefault="00F53E3A">
            <w:pPr>
              <w:spacing w:before="60" w:after="60"/>
              <w:jc w:val="center"/>
              <w:rPr>
                <w:rFonts w:ascii="Times New Roman" w:hAnsi="Times New Roman" w:cs="Times New Roman"/>
                <w:noProof/>
                <w:sz w:val="20"/>
              </w:rPr>
            </w:pPr>
          </w:p>
        </w:tc>
        <w:tc>
          <w:tcPr>
            <w:tcW w:w="117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02B192F" w14:textId="4B811C61" w:rsidR="00F53E3A" w:rsidRDefault="00DB2EC5">
            <w:pPr>
              <w:pStyle w:val="P68B1DB1-Normal12"/>
              <w:spacing w:before="60" w:after="60"/>
              <w:jc w:val="center"/>
              <w:rPr>
                <w:rFonts w:cs="Times New Roman"/>
                <w:noProof/>
              </w:rPr>
            </w:pPr>
            <w:r>
              <w:rPr>
                <w:noProof/>
              </w:rPr>
              <w:t>T4</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071DBF2" w14:textId="77777777" w:rsidR="00F53E3A" w:rsidRDefault="0036255F">
            <w:pPr>
              <w:pStyle w:val="P68B1DB1-Normal12"/>
              <w:spacing w:before="60" w:after="60"/>
              <w:jc w:val="center"/>
              <w:rPr>
                <w:rFonts w:cs="Times New Roman"/>
                <w:noProof/>
              </w:rPr>
            </w:pPr>
            <w:r>
              <w:rPr>
                <w:noProof/>
              </w:rPr>
              <w:t>2021</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E6421B4" w14:textId="17BA5B81" w:rsidR="00F53E3A" w:rsidRDefault="0036255F">
            <w:pPr>
              <w:pStyle w:val="P68B1DB1-Normal12"/>
              <w:spacing w:before="60" w:after="60"/>
              <w:jc w:val="both"/>
              <w:rPr>
                <w:rFonts w:eastAsia="Times New Roman" w:cs="Times New Roman"/>
                <w:noProof/>
              </w:rPr>
            </w:pPr>
            <w:r>
              <w:rPr>
                <w:noProof/>
              </w:rPr>
              <w:t>Aprobarea unui nou concept de specializare inteligentă printr-o rezoluție a guvernului lituanian pentru perioada de până la 31 decembrie 2027. Conceptul identifică trei priorități pentru specializarea inteligentă și domeniile tematice din cadrul acestor priorități, precum și un model de coordonare și monitorizare a punerii în aplicare.</w:t>
            </w:r>
          </w:p>
        </w:tc>
      </w:tr>
      <w:tr w:rsidR="00F53E3A" w14:paraId="21504D49" w14:textId="77777777" w:rsidTr="0035684C">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91C81A4" w14:textId="77777777" w:rsidR="00F53E3A" w:rsidRDefault="0036255F">
            <w:pPr>
              <w:pStyle w:val="P68B1DB1-Normal12"/>
              <w:spacing w:before="60" w:after="60"/>
              <w:jc w:val="center"/>
              <w:rPr>
                <w:rFonts w:cs="Times New Roman"/>
                <w:noProof/>
              </w:rPr>
            </w:pPr>
            <w:r>
              <w:rPr>
                <w:noProof/>
              </w:rPr>
              <w:t>133</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B8706F" w14:textId="2A48C409" w:rsidR="00F53E3A" w:rsidRDefault="0036255F">
            <w:pPr>
              <w:pStyle w:val="P68B1DB1-Normal12"/>
              <w:spacing w:before="60" w:after="60"/>
              <w:rPr>
                <w:noProof/>
              </w:rPr>
            </w:pPr>
            <w:r>
              <w:rPr>
                <w:noProof/>
              </w:rPr>
              <w:t xml:space="preserve">E.1.3. Misiuni comune pentru știință și inovare în domeniul specializării inteligente — </w:t>
            </w:r>
          </w:p>
          <w:p w14:paraId="65A64D6A" w14:textId="42C2DD81" w:rsidR="00F53E3A" w:rsidRDefault="0036255F">
            <w:pPr>
              <w:pStyle w:val="P68B1DB1-Normal12"/>
              <w:spacing w:before="60" w:after="60"/>
              <w:rPr>
                <w:rFonts w:cs="Times New Roman"/>
                <w:noProof/>
              </w:rPr>
            </w:pPr>
            <w:r>
              <w:rPr>
                <w:noProof/>
              </w:rPr>
              <w:t xml:space="preserve">E.1.3.2. Sprijinirea cercetării și dezvoltării </w:t>
            </w:r>
          </w:p>
        </w:tc>
        <w:tc>
          <w:tcPr>
            <w:tcW w:w="107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7F4CE60" w14:textId="036BF90E" w:rsidR="00F53E3A" w:rsidRDefault="0036255F">
            <w:pPr>
              <w:pStyle w:val="P68B1DB1-Normal12"/>
              <w:spacing w:before="60" w:after="60"/>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9DFDCF" w14:textId="6CD8C98E" w:rsidR="00F53E3A" w:rsidRDefault="0036255F">
            <w:pPr>
              <w:pStyle w:val="P68B1DB1-Normal12"/>
              <w:spacing w:before="60" w:after="60"/>
              <w:rPr>
                <w:rFonts w:eastAsia="Times New Roman" w:cs="Times New Roman"/>
                <w:noProof/>
              </w:rPr>
            </w:pPr>
            <w:r>
              <w:rPr>
                <w:noProof/>
              </w:rPr>
              <w:t>Lucrări de construcții și echipamente</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91ECC3C" w14:textId="788E882C" w:rsidR="00F53E3A" w:rsidRDefault="0036255F">
            <w:pPr>
              <w:pStyle w:val="P68B1DB1-Normal29"/>
              <w:spacing w:before="60" w:after="60"/>
              <w:rPr>
                <w:noProof/>
              </w:rPr>
            </w:pPr>
            <w:r>
              <w:rPr>
                <w:noProof/>
              </w:rPr>
              <w:t>Certificate de predare (definitive sau provizorii) acceptate de autorități sau acte de acceptare a transferului</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D8DF211" w14:textId="7350FBBF"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98C289B" w14:textId="04D6D616" w:rsidR="00F53E3A" w:rsidRDefault="00F53E3A">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0FE7F27" w14:textId="40DFBBAC" w:rsidR="00F53E3A" w:rsidRDefault="00F53E3A">
            <w:pPr>
              <w:spacing w:before="60" w:after="60"/>
              <w:jc w:val="center"/>
              <w:rPr>
                <w:rFonts w:ascii="Times New Roman" w:hAnsi="Times New Roman" w:cs="Times New Roman"/>
                <w:noProof/>
                <w:sz w:val="20"/>
              </w:rPr>
            </w:pPr>
          </w:p>
        </w:tc>
        <w:tc>
          <w:tcPr>
            <w:tcW w:w="117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E60C187" w14:textId="220DB3C9" w:rsidR="00F53E3A" w:rsidRDefault="00DB2EC5">
            <w:pPr>
              <w:pStyle w:val="P68B1DB1-Normal12"/>
              <w:spacing w:before="60" w:after="60"/>
              <w:jc w:val="center"/>
              <w:rPr>
                <w:rFonts w:cs="Times New Roman"/>
                <w:noProof/>
              </w:rPr>
            </w:pPr>
            <w:r>
              <w:rPr>
                <w:noProof/>
              </w:rPr>
              <w:t>T2</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0ED2106" w14:textId="7BC6D123" w:rsidR="00F53E3A" w:rsidRDefault="0036255F">
            <w:pPr>
              <w:pStyle w:val="P68B1DB1-Normal12"/>
              <w:spacing w:before="60" w:after="60"/>
              <w:jc w:val="center"/>
              <w:rPr>
                <w:rFonts w:cs="Times New Roman"/>
                <w:noProof/>
              </w:rPr>
            </w:pPr>
            <w:r>
              <w:rPr>
                <w:noProof/>
              </w:rPr>
              <w:t>2026</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AEEAC2F" w14:textId="67E5CB84" w:rsidR="00F53E3A" w:rsidRDefault="0036255F">
            <w:pPr>
              <w:pStyle w:val="P68B1DB1-Normal12"/>
              <w:jc w:val="both"/>
              <w:rPr>
                <w:rFonts w:cs="Times New Roman"/>
                <w:noProof/>
              </w:rPr>
            </w:pPr>
            <w:r>
              <w:rPr>
                <w:noProof/>
              </w:rPr>
              <w:t>Cel puțin 28 milioane EUR de echipamente livrate și lucrări de construcție efectuate pentru un centru de C &amp; D și un centru de învățământ superior și cercetare, confirmate prin certificate de predare (definitive sau interimare) acceptate de autorități sau prin acte de acceptare a transferului.</w:t>
            </w:r>
          </w:p>
        </w:tc>
      </w:tr>
      <w:tr w:rsidR="00F53E3A" w14:paraId="31EB842A" w14:textId="77777777" w:rsidTr="0035684C">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0B1A491" w14:textId="77777777" w:rsidR="00F53E3A" w:rsidRDefault="0036255F">
            <w:pPr>
              <w:pStyle w:val="P68B1DB1-Normal12"/>
              <w:spacing w:before="60" w:after="60"/>
              <w:jc w:val="center"/>
              <w:rPr>
                <w:rFonts w:cs="Times New Roman"/>
                <w:noProof/>
              </w:rPr>
            </w:pPr>
            <w:r>
              <w:rPr>
                <w:noProof/>
              </w:rPr>
              <w:t>134</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2EF0B5A" w14:textId="0AC694A0" w:rsidR="00F53E3A" w:rsidRDefault="0036255F">
            <w:pPr>
              <w:pStyle w:val="P68B1DB1-Normal12"/>
              <w:spacing w:before="60" w:after="60"/>
              <w:rPr>
                <w:noProof/>
              </w:rPr>
            </w:pPr>
            <w:r>
              <w:rPr>
                <w:noProof/>
              </w:rPr>
              <w:t xml:space="preserve">E.1.3. Misiuni comune pentru știință și inovare în domeniul specializării inteligente — </w:t>
            </w:r>
          </w:p>
          <w:p w14:paraId="5A03073F" w14:textId="3B106DB4" w:rsidR="00F53E3A" w:rsidRDefault="0036255F">
            <w:pPr>
              <w:pStyle w:val="P68B1DB1-Normal12"/>
              <w:spacing w:before="60" w:after="60"/>
              <w:rPr>
                <w:rFonts w:cs="Times New Roman"/>
                <w:noProof/>
              </w:rPr>
            </w:pPr>
            <w:r>
              <w:rPr>
                <w:noProof/>
              </w:rPr>
              <w:t xml:space="preserve">E.1.3.2. Sprijinirea cercetării și dezvoltării </w:t>
            </w:r>
          </w:p>
        </w:tc>
        <w:tc>
          <w:tcPr>
            <w:tcW w:w="107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39DB0C" w14:textId="77777777" w:rsidR="00F53E3A" w:rsidRDefault="0036255F">
            <w:pPr>
              <w:pStyle w:val="P68B1DB1-Normal12"/>
              <w:spacing w:before="60" w:after="60"/>
              <w:jc w:val="center"/>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395290F" w14:textId="004D5A67" w:rsidR="00F53E3A" w:rsidRDefault="0036255F">
            <w:pPr>
              <w:pStyle w:val="P68B1DB1-Normal12"/>
              <w:spacing w:before="60" w:after="60"/>
              <w:rPr>
                <w:rFonts w:eastAsia="Times New Roman" w:cs="Times New Roman"/>
                <w:noProof/>
              </w:rPr>
            </w:pPr>
            <w:r>
              <w:rPr>
                <w:noProof/>
              </w:rPr>
              <w:t>Proiecte de C &amp; D care au beneficiat de sprijin financiar.</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C550C26" w14:textId="071EE1BD" w:rsidR="00F53E3A" w:rsidRDefault="00F53E3A">
            <w:pPr>
              <w:spacing w:before="60" w:after="60"/>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5BFF6A2" w14:textId="77777777" w:rsidR="00F53E3A" w:rsidRDefault="0036255F">
            <w:pPr>
              <w:pStyle w:val="P68B1DB1-Normal12"/>
              <w:spacing w:before="60" w:after="60"/>
              <w:jc w:val="center"/>
              <w:rPr>
                <w:rFonts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0655CD4" w14:textId="77777777" w:rsidR="00F53E3A" w:rsidRDefault="0036255F">
            <w:pPr>
              <w:pStyle w:val="P68B1DB1-Normal12"/>
              <w:spacing w:before="60" w:after="60"/>
              <w:jc w:val="center"/>
              <w:rPr>
                <w:rFonts w:cs="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BA6D86D" w14:textId="77777777" w:rsidR="00F53E3A" w:rsidRDefault="0036255F">
            <w:pPr>
              <w:pStyle w:val="P68B1DB1-Normal12"/>
              <w:spacing w:before="60" w:after="60"/>
              <w:jc w:val="center"/>
              <w:rPr>
                <w:rFonts w:cs="Times New Roman"/>
                <w:noProof/>
              </w:rPr>
            </w:pPr>
            <w:r>
              <w:rPr>
                <w:noProof/>
              </w:rPr>
              <w:t>21</w:t>
            </w:r>
          </w:p>
        </w:tc>
        <w:tc>
          <w:tcPr>
            <w:tcW w:w="117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AC9BC44" w14:textId="3E4F3174" w:rsidR="00F53E3A" w:rsidRDefault="00DB2EC5">
            <w:pPr>
              <w:pStyle w:val="P68B1DB1-Normal12"/>
              <w:spacing w:before="60" w:after="60"/>
              <w:jc w:val="center"/>
              <w:rPr>
                <w:rFonts w:cs="Times New Roman"/>
                <w:noProof/>
              </w:rPr>
            </w:pPr>
            <w:r>
              <w:rPr>
                <w:noProof/>
              </w:rPr>
              <w:t>T2</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8486FCC" w14:textId="77777777" w:rsidR="00F53E3A" w:rsidRDefault="0036255F">
            <w:pPr>
              <w:pStyle w:val="P68B1DB1-Normal12"/>
              <w:spacing w:before="60" w:after="60"/>
              <w:jc w:val="center"/>
              <w:rPr>
                <w:rFonts w:cs="Times New Roman"/>
                <w:noProof/>
              </w:rPr>
            </w:pPr>
            <w:r>
              <w:rPr>
                <w:noProof/>
              </w:rPr>
              <w:t>2026</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F59895" w14:textId="45E5DD48" w:rsidR="00F53E3A" w:rsidRDefault="0036255F">
            <w:pPr>
              <w:pStyle w:val="P68B1DB1-Normal12"/>
              <w:spacing w:before="60" w:after="60"/>
              <w:jc w:val="both"/>
              <w:rPr>
                <w:rFonts w:eastAsia="Times New Roman" w:cs="Times New Roman"/>
                <w:noProof/>
              </w:rPr>
            </w:pPr>
            <w:r>
              <w:rPr>
                <w:noProof/>
              </w:rPr>
              <w:t xml:space="preserve">21 proiectele de C &amp; D beneficiază de sprijin financiar. </w:t>
            </w:r>
          </w:p>
        </w:tc>
      </w:tr>
      <w:tr w:rsidR="00F53E3A" w14:paraId="5CEA4689" w14:textId="77777777" w:rsidTr="0035684C">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33A18A6" w14:textId="77777777" w:rsidR="00F53E3A" w:rsidRDefault="0036255F">
            <w:pPr>
              <w:pStyle w:val="P68B1DB1-Normal12"/>
              <w:spacing w:before="60" w:after="60"/>
              <w:jc w:val="center"/>
              <w:rPr>
                <w:rFonts w:cs="Times New Roman"/>
                <w:noProof/>
              </w:rPr>
            </w:pPr>
            <w:r>
              <w:rPr>
                <w:noProof/>
              </w:rPr>
              <w:t>135</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EED1E3A" w14:textId="5BCEE377" w:rsidR="00F53E3A" w:rsidRDefault="0036255F">
            <w:pPr>
              <w:pStyle w:val="P68B1DB1-Normal12"/>
              <w:spacing w:before="60" w:after="60"/>
              <w:rPr>
                <w:noProof/>
              </w:rPr>
            </w:pPr>
            <w:r>
              <w:rPr>
                <w:noProof/>
              </w:rPr>
              <w:t xml:space="preserve">E.1.3. Misiuni comune pentru știință și inovare în domeniul specializării inteligente — </w:t>
            </w:r>
          </w:p>
          <w:p w14:paraId="01BC5FE0" w14:textId="67360866" w:rsidR="00F53E3A" w:rsidRDefault="0036255F">
            <w:pPr>
              <w:pStyle w:val="P68B1DB1-Normal12"/>
              <w:spacing w:before="60" w:after="60"/>
              <w:rPr>
                <w:rFonts w:cs="Times New Roman"/>
                <w:noProof/>
              </w:rPr>
            </w:pPr>
            <w:r>
              <w:rPr>
                <w:noProof/>
              </w:rPr>
              <w:t>E.1.3.3. Încurajarea științei și a întreprinderilor să participe la programul UE pentru cercetare și inovare Orizont Europa și la alte programe internaționale de finanțare</w:t>
            </w:r>
          </w:p>
        </w:tc>
        <w:tc>
          <w:tcPr>
            <w:tcW w:w="107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2B6CEE5" w14:textId="106FC96C" w:rsidR="00F53E3A" w:rsidRDefault="0036255F">
            <w:pPr>
              <w:pStyle w:val="P68B1DB1-Normal12"/>
              <w:spacing w:before="60" w:after="60"/>
              <w:jc w:val="center"/>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46461C3" w14:textId="7759ED83" w:rsidR="00F53E3A" w:rsidRDefault="0036255F">
            <w:pPr>
              <w:pStyle w:val="P68B1DB1-Normal12"/>
              <w:spacing w:before="60" w:after="60"/>
              <w:rPr>
                <w:rFonts w:eastAsia="Times New Roman" w:cs="Times New Roman"/>
                <w:noProof/>
              </w:rPr>
            </w:pPr>
            <w:r>
              <w:rPr>
                <w:noProof/>
              </w:rPr>
              <w:t>Proiecte și servicii de consiliere pentru potențialii solicitanți ai programului Orizont Europa din partea instituțiilor de învățământ superior și a IMM-urilor cărora li s-a acordat sprijin financiar</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075E37" w14:textId="77777777" w:rsidR="00F53E3A" w:rsidRDefault="00F53E3A">
            <w:pPr>
              <w:spacing w:before="60" w:after="60"/>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7B63EDF" w14:textId="77777777" w:rsidR="00F53E3A" w:rsidRDefault="0036255F">
            <w:pPr>
              <w:pStyle w:val="P68B1DB1-Normal12"/>
              <w:spacing w:before="60" w:after="60"/>
              <w:jc w:val="center"/>
              <w:rPr>
                <w:rFonts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596B126" w14:textId="77777777" w:rsidR="00F53E3A" w:rsidRDefault="0036255F">
            <w:pPr>
              <w:pStyle w:val="P68B1DB1-Normal12"/>
              <w:spacing w:before="60" w:after="60"/>
              <w:jc w:val="center"/>
              <w:rPr>
                <w:rFonts w:cs="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116EB3A" w14:textId="77777777" w:rsidR="00F53E3A" w:rsidRDefault="0036255F">
            <w:pPr>
              <w:pStyle w:val="P68B1DB1-Normal12"/>
              <w:spacing w:before="60" w:after="60"/>
              <w:jc w:val="center"/>
              <w:rPr>
                <w:rFonts w:cs="Times New Roman"/>
                <w:noProof/>
              </w:rPr>
            </w:pPr>
            <w:r>
              <w:rPr>
                <w:noProof/>
              </w:rPr>
              <w:t>200</w:t>
            </w:r>
          </w:p>
        </w:tc>
        <w:tc>
          <w:tcPr>
            <w:tcW w:w="117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74AE38B" w14:textId="6755E320" w:rsidR="00F53E3A" w:rsidRDefault="00DB2EC5">
            <w:pPr>
              <w:pStyle w:val="P68B1DB1-Normal12"/>
              <w:spacing w:before="60" w:after="60"/>
              <w:jc w:val="center"/>
              <w:rPr>
                <w:rFonts w:cs="Times New Roman"/>
                <w:noProof/>
              </w:rPr>
            </w:pPr>
            <w:r>
              <w:rPr>
                <w:noProof/>
              </w:rPr>
              <w:t>T1</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F080C4E" w14:textId="77777777" w:rsidR="00F53E3A" w:rsidRDefault="0036255F">
            <w:pPr>
              <w:pStyle w:val="P68B1DB1-Normal12"/>
              <w:spacing w:before="60" w:after="60"/>
              <w:jc w:val="center"/>
              <w:rPr>
                <w:rFonts w:cs="Times New Roman"/>
                <w:noProof/>
              </w:rPr>
            </w:pPr>
            <w:r>
              <w:rPr>
                <w:noProof/>
              </w:rPr>
              <w:t>2025</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2CD111B" w14:textId="387786FA" w:rsidR="00F53E3A" w:rsidRDefault="0036255F">
            <w:pPr>
              <w:pStyle w:val="P68B1DB1-Normal12"/>
              <w:spacing w:before="60" w:after="60"/>
              <w:jc w:val="both"/>
              <w:rPr>
                <w:rFonts w:eastAsia="Times New Roman" w:cs="Times New Roman"/>
                <w:noProof/>
              </w:rPr>
            </w:pPr>
            <w:r>
              <w:rPr>
                <w:noProof/>
              </w:rPr>
              <w:t xml:space="preserve">Se acordă sprijin financiar pentru cel puțin 200 proiecte sau servicii de consiliere pentru instituții de învățământ superior și IMM-uri: </w:t>
            </w:r>
          </w:p>
          <w:p w14:paraId="401633EB" w14:textId="3D92EB6D" w:rsidR="00F53E3A" w:rsidRDefault="0036255F">
            <w:pPr>
              <w:pStyle w:val="P68B1DB1-Normal12"/>
              <w:spacing w:before="60" w:after="60"/>
              <w:jc w:val="both"/>
              <w:rPr>
                <w:rFonts w:eastAsia="Times New Roman" w:cs="Times New Roman"/>
                <w:noProof/>
              </w:rPr>
            </w:pPr>
            <w:r>
              <w:rPr>
                <w:noProof/>
              </w:rPr>
              <w:t xml:space="preserve">a) 150 proiecte de sprijinire a pregătirii studiilor de fezabilitate pentru ca potențialii beneficiari să participe la acțiunile programului Orizont Europa; </w:t>
            </w:r>
          </w:p>
          <w:p w14:paraId="2E856BA7" w14:textId="2611F61A" w:rsidR="00F53E3A" w:rsidRDefault="0036255F">
            <w:pPr>
              <w:pStyle w:val="P68B1DB1-Normal12"/>
              <w:spacing w:before="60" w:after="60"/>
              <w:jc w:val="both"/>
              <w:rPr>
                <w:noProof/>
              </w:rPr>
            </w:pPr>
            <w:r>
              <w:rPr>
                <w:noProof/>
              </w:rPr>
              <w:t>b) 10 servicii de consiliere/expertiză pentru a sprijini competențele de participare la programele internaționale de C &amp; D &amp; I.</w:t>
            </w:r>
          </w:p>
          <w:p w14:paraId="2ED282A2" w14:textId="3ABB9965" w:rsidR="00F53E3A" w:rsidRDefault="0036255F">
            <w:pPr>
              <w:pStyle w:val="P68B1DB1-Normal12"/>
              <w:spacing w:before="60" w:after="60"/>
              <w:jc w:val="both"/>
              <w:rPr>
                <w:rFonts w:eastAsia="Times New Roman" w:cs="Times New Roman"/>
                <w:noProof/>
              </w:rPr>
            </w:pPr>
            <w:r>
              <w:rPr>
                <w:noProof/>
              </w:rPr>
              <w:t>c) 40 de aderări la rețele internaționale.</w:t>
            </w:r>
          </w:p>
        </w:tc>
      </w:tr>
      <w:tr w:rsidR="00F53E3A" w14:paraId="50189135" w14:textId="77777777" w:rsidTr="0035684C">
        <w:trPr>
          <w:trHeight w:val="300"/>
        </w:trPr>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2A0CCC3" w14:textId="77777777" w:rsidR="00F53E3A" w:rsidRDefault="0036255F">
            <w:pPr>
              <w:pStyle w:val="P68B1DB1-Normal12"/>
              <w:spacing w:before="60" w:after="60"/>
              <w:jc w:val="center"/>
              <w:rPr>
                <w:rFonts w:cs="Times New Roman"/>
                <w:noProof/>
              </w:rPr>
            </w:pPr>
            <w:r>
              <w:rPr>
                <w:noProof/>
              </w:rPr>
              <w:t>136</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7563DB" w14:textId="79B5D075" w:rsidR="00F53E3A" w:rsidRDefault="0036255F">
            <w:pPr>
              <w:pStyle w:val="P68B1DB1-Normal12"/>
              <w:spacing w:before="60" w:after="60"/>
              <w:rPr>
                <w:noProof/>
              </w:rPr>
            </w:pPr>
            <w:r>
              <w:rPr>
                <w:noProof/>
              </w:rPr>
              <w:t xml:space="preserve">E.1.3. Misiuni comune pentru știință și inovare în domeniul specializării inteligente — </w:t>
            </w:r>
          </w:p>
          <w:p w14:paraId="0DDC2A43" w14:textId="79EA1472" w:rsidR="00F53E3A" w:rsidRDefault="0036255F">
            <w:pPr>
              <w:pStyle w:val="P68B1DB1-Normal12"/>
              <w:spacing w:before="60" w:after="60"/>
              <w:rPr>
                <w:rFonts w:cs="Times New Roman"/>
                <w:noProof/>
              </w:rPr>
            </w:pPr>
            <w:r>
              <w:rPr>
                <w:noProof/>
              </w:rPr>
              <w:t>E.1.3.3. Încurajarea științei și a întreprinderilor să participe la programul UE pentru cercetare și inovare Orizont Europa și la alte programe internaționale de finanțare</w:t>
            </w:r>
          </w:p>
        </w:tc>
        <w:tc>
          <w:tcPr>
            <w:tcW w:w="107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24E0283" w14:textId="1E66F41E" w:rsidR="00F53E3A" w:rsidRDefault="0036255F">
            <w:pPr>
              <w:pStyle w:val="P68B1DB1-Normal12"/>
              <w:spacing w:before="60" w:after="60"/>
              <w:jc w:val="center"/>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5C341F2" w14:textId="61522A13" w:rsidR="00F53E3A" w:rsidRDefault="0036255F">
            <w:pPr>
              <w:pStyle w:val="P68B1DB1-Normal12"/>
              <w:spacing w:before="60" w:after="60"/>
              <w:rPr>
                <w:rFonts w:eastAsia="Times New Roman" w:cs="Times New Roman"/>
                <w:noProof/>
              </w:rPr>
            </w:pPr>
            <w:r>
              <w:rPr>
                <w:noProof/>
              </w:rPr>
              <w:t>Proiecte sau servicii de consiliere cărora li s-a acordat sprijin financiar.</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C59908" w14:textId="4AF85510" w:rsidR="00F53E3A" w:rsidRDefault="00F53E3A">
            <w:pPr>
              <w:spacing w:before="60" w:after="60"/>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D8CC9FA" w14:textId="0560820B" w:rsidR="00F53E3A" w:rsidRDefault="0036255F">
            <w:pPr>
              <w:pStyle w:val="P68B1DB1-Normal29"/>
              <w:spacing w:before="60" w:after="60"/>
              <w:jc w:val="center"/>
              <w:rPr>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D2D889D" w14:textId="2CD1EC22" w:rsidR="00F53E3A" w:rsidRDefault="0036255F">
            <w:pPr>
              <w:pStyle w:val="P68B1DB1-Normal29"/>
              <w:spacing w:before="60" w:after="60"/>
              <w:jc w:val="center"/>
              <w:rPr>
                <w:noProof/>
              </w:rPr>
            </w:pPr>
            <w:r>
              <w:rPr>
                <w:noProof/>
              </w:rPr>
              <w:t>200</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6DEAE32" w14:textId="638310A0" w:rsidR="00F53E3A" w:rsidRDefault="0036255F">
            <w:pPr>
              <w:pStyle w:val="P68B1DB1-Normal29"/>
              <w:spacing w:before="60" w:after="60"/>
              <w:jc w:val="center"/>
              <w:rPr>
                <w:noProof/>
              </w:rPr>
            </w:pPr>
            <w:r>
              <w:rPr>
                <w:noProof/>
              </w:rPr>
              <w:t>480</w:t>
            </w:r>
          </w:p>
        </w:tc>
        <w:tc>
          <w:tcPr>
            <w:tcW w:w="117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7CDB916" w14:textId="6202E81C" w:rsidR="00F53E3A" w:rsidRDefault="00DB2EC5">
            <w:pPr>
              <w:pStyle w:val="P68B1DB1-Normal12"/>
              <w:spacing w:before="60" w:after="60"/>
              <w:jc w:val="center"/>
              <w:rPr>
                <w:rFonts w:cs="Times New Roman"/>
                <w:noProof/>
              </w:rPr>
            </w:pPr>
            <w:r>
              <w:rPr>
                <w:noProof/>
              </w:rPr>
              <w:t>T2</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A4263D4" w14:textId="04B1C25A" w:rsidR="00F53E3A" w:rsidRDefault="0036255F">
            <w:pPr>
              <w:pStyle w:val="P68B1DB1-Normal12"/>
              <w:spacing w:before="60" w:after="60"/>
              <w:jc w:val="center"/>
              <w:rPr>
                <w:rFonts w:cs="Times New Roman"/>
                <w:noProof/>
              </w:rPr>
            </w:pPr>
            <w:r>
              <w:rPr>
                <w:noProof/>
              </w:rPr>
              <w:t>2026</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F9C73F0" w14:textId="5002BDD1" w:rsidR="00F53E3A" w:rsidRDefault="0036255F">
            <w:pPr>
              <w:pStyle w:val="P68B1DB1-Normal12"/>
              <w:spacing w:before="60" w:after="60"/>
              <w:jc w:val="both"/>
              <w:rPr>
                <w:rFonts w:eastAsia="Times New Roman" w:cs="Times New Roman"/>
                <w:noProof/>
              </w:rPr>
            </w:pPr>
            <w:r>
              <w:rPr>
                <w:noProof/>
              </w:rPr>
              <w:t>Se acordă sprijin financiar pentru cel puțin 480 de proiecte sau servicii de consiliere, dintre care 67 proiecte de modernizare a echipamentelor din laboratoare și infrastructuri de C &amp; D.</w:t>
            </w:r>
          </w:p>
        </w:tc>
      </w:tr>
    </w:tbl>
    <w:p w14:paraId="54FA5050" w14:textId="77777777" w:rsidR="00F53E3A" w:rsidRDefault="00F53E3A">
      <w:pPr>
        <w:jc w:val="both"/>
        <w:rPr>
          <w:rFonts w:ascii="Times New Roman" w:hAnsi="Times New Roman" w:cs="Times New Roman"/>
          <w:noProof/>
        </w:rPr>
      </w:pPr>
    </w:p>
    <w:p w14:paraId="5C1B74DA" w14:textId="77777777" w:rsidR="00F53E3A" w:rsidRDefault="00F53E3A">
      <w:pPr>
        <w:ind w:left="709"/>
        <w:jc w:val="both"/>
        <w:rPr>
          <w:rFonts w:ascii="Times New Roman" w:hAnsi="Times New Roman" w:cs="Times New Roman"/>
          <w:noProof/>
        </w:rPr>
        <w:sectPr w:rsidR="00F53E3A" w:rsidSect="0074650A">
          <w:headerReference w:type="even" r:id="rId84"/>
          <w:headerReference w:type="default" r:id="rId85"/>
          <w:footerReference w:type="even" r:id="rId86"/>
          <w:footerReference w:type="default" r:id="rId87"/>
          <w:headerReference w:type="first" r:id="rId88"/>
          <w:footerReference w:type="first" r:id="rId89"/>
          <w:pgSz w:w="16839" w:h="11907" w:orient="landscape"/>
          <w:pgMar w:top="1134" w:right="1134" w:bottom="1134" w:left="1134" w:header="567" w:footer="567" w:gutter="0"/>
          <w:cols w:space="720"/>
          <w:docGrid w:linePitch="360"/>
        </w:sectPr>
      </w:pPr>
    </w:p>
    <w:p w14:paraId="075822BD" w14:textId="33729B32" w:rsidR="00F53E3A" w:rsidRDefault="0036255F">
      <w:pPr>
        <w:pStyle w:val="P68B1DB1-Text15"/>
        <w:keepNext/>
        <w:keepLines/>
        <w:spacing w:before="0" w:after="200" w:line="276" w:lineRule="auto"/>
        <w:ind w:left="0"/>
        <w:outlineLvl w:val="1"/>
        <w:rPr>
          <w:noProof/>
        </w:rPr>
      </w:pPr>
      <w:r>
        <w:rPr>
          <w:noProof/>
        </w:rPr>
        <w:t>E.3. Descrierea reformelor și a investițiilor pentru care se acordă sprijin sub formă de împrumut</w:t>
      </w:r>
    </w:p>
    <w:p w14:paraId="714C6903" w14:textId="543D47C3" w:rsidR="00F53E3A" w:rsidRDefault="0036255F">
      <w:pPr>
        <w:pStyle w:val="P68B1DB1-Text127"/>
        <w:spacing w:after="200"/>
        <w:ind w:left="0"/>
        <w:rPr>
          <w:noProof/>
        </w:rPr>
      </w:pPr>
      <w:r>
        <w:rPr>
          <w:noProof/>
        </w:rPr>
        <w:t>E.3.1.</w:t>
      </w:r>
      <w:r>
        <w:rPr>
          <w:b/>
          <w:noProof/>
        </w:rPr>
        <w:t xml:space="preserve"> </w:t>
      </w:r>
      <w:r>
        <w:rPr>
          <w:noProof/>
        </w:rPr>
        <w:t>Investiția 1 „Împrumuturi pentru întreprinderi în vederea dezvoltării de tehnologii verzi și cu valoare adăugată ridicată pentru dezvoltarea industrială”</w:t>
      </w:r>
    </w:p>
    <w:p w14:paraId="04A37279" w14:textId="1370E100" w:rsidR="00F53E3A" w:rsidRDefault="0036255F">
      <w:pPr>
        <w:pStyle w:val="P68B1DB1-Normal4"/>
        <w:spacing w:line="240" w:lineRule="auto"/>
        <w:jc w:val="both"/>
        <w:rPr>
          <w:rFonts w:eastAsia="Calibri" w:cs="Times New Roman"/>
          <w:noProof/>
        </w:rPr>
      </w:pPr>
      <w:r>
        <w:rPr>
          <w:noProof/>
        </w:rPr>
        <w:t xml:space="preserve">Această măsură vizează îmbunătățirea accesului la finanțare al întreprinderilor pentru dezvoltarea de tehnologii verzi și cu valoare adăugată ridicată și pentru competitivitatea industriei lituaniene de apărare și securitate. </w:t>
      </w:r>
    </w:p>
    <w:p w14:paraId="0D6B3DA3" w14:textId="77777777" w:rsidR="00F53E3A" w:rsidRDefault="0036255F">
      <w:pPr>
        <w:pStyle w:val="P68B1DB1-Normal4"/>
        <w:spacing w:line="240" w:lineRule="auto"/>
        <w:jc w:val="both"/>
        <w:rPr>
          <w:rFonts w:eastAsia="Calibri" w:cs="Times New Roman"/>
          <w:noProof/>
        </w:rPr>
      </w:pPr>
      <w:r>
        <w:rPr>
          <w:noProof/>
        </w:rPr>
        <w:t>Ministerul Economiei și Inovării din Republica Lituania adoptă Orientările pentru dezvoltarea industriei de apărare și securitate 2023-2027 prin ordin ministerial pentru a îmbunătăți competitivitatea industriei lituaniene de apărare și securitate.</w:t>
      </w:r>
    </w:p>
    <w:p w14:paraId="66285A19" w14:textId="6B355E78" w:rsidR="00F53E3A" w:rsidRDefault="0036255F">
      <w:pPr>
        <w:pStyle w:val="P68B1DB1-Normal26"/>
        <w:spacing w:line="240" w:lineRule="auto"/>
        <w:jc w:val="both"/>
        <w:rPr>
          <w:rFonts w:eastAsia="Calibri" w:cs="Times New Roman"/>
          <w:noProof/>
          <w:sz w:val="24"/>
          <w:szCs w:val="24"/>
        </w:rPr>
      </w:pPr>
      <w:r>
        <w:rPr>
          <w:noProof/>
          <w:sz w:val="24"/>
        </w:rPr>
        <w:t>În plus, această măsură constă într-o investiție publică într-un mecanism pentru a stimula investițiile private și a îmbunătăți accesul la finanțare în domeniul tehnologiilor verzi și cu valoare adăugată ridicată, precum și competitivitatea industriei lituaniene de apărare și securitate. Mecanismul funcționează prin acordarea de împrumuturi subordonate, sindicalizate și directe direct sectorului privat. Pe baza investițiilor MRR, mecanismul urmărește să ofere inițial o finanțare de cel puțin</w:t>
      </w:r>
      <w:r>
        <w:rPr>
          <w:noProof/>
          <w:sz w:val="20"/>
        </w:rPr>
        <w:t xml:space="preserve"> </w:t>
      </w:r>
      <w:r>
        <w:rPr>
          <w:noProof/>
          <w:sz w:val="24"/>
        </w:rPr>
        <w:t>850</w:t>
      </w:r>
      <w:r w:rsidR="0035684C">
        <w:rPr>
          <w:noProof/>
          <w:sz w:val="20"/>
        </w:rPr>
        <w:t> </w:t>
      </w:r>
      <w:r>
        <w:rPr>
          <w:noProof/>
          <w:sz w:val="24"/>
        </w:rPr>
        <w:t>000 000 EUR.</w:t>
      </w:r>
    </w:p>
    <w:p w14:paraId="0F44D207" w14:textId="1A252674" w:rsidR="00F53E3A" w:rsidRDefault="0036255F">
      <w:pPr>
        <w:spacing w:line="240" w:lineRule="auto"/>
        <w:jc w:val="both"/>
        <w:rPr>
          <w:rFonts w:ascii="Times New Roman" w:eastAsia="Calibri" w:hAnsi="Times New Roman" w:cs="Times New Roman"/>
          <w:noProof/>
          <w:sz w:val="24"/>
          <w:szCs w:val="24"/>
        </w:rPr>
      </w:pPr>
      <w:r>
        <w:rPr>
          <w:rFonts w:ascii="Times New Roman" w:hAnsi="Times New Roman"/>
          <w:noProof/>
          <w:sz w:val="24"/>
        </w:rPr>
        <w:t>Facilitatea este gestionată de INVEGA în calitate de partener de implementare. INVEGA oferă finanțare prin îndatorare [cofinanțează proiecte de afaceri împreună cu instituții financiare private (în principal sub formă de împrumuturi subordonate) sau, în cazul în care un studiu de piață a arătat că acest lucru este necesar,</w:t>
      </w:r>
      <w:r>
        <w:rPr>
          <w:rFonts w:ascii="Segoe UI" w:hAnsi="Segoe UI"/>
          <w:noProof/>
          <w:sz w:val="18"/>
        </w:rPr>
        <w:t xml:space="preserve"> </w:t>
      </w:r>
      <w:r>
        <w:rPr>
          <w:rFonts w:ascii="Times New Roman" w:hAnsi="Times New Roman"/>
          <w:noProof/>
          <w:sz w:val="24"/>
        </w:rPr>
        <w:t>finanțează direct proiecte de afaceri] pentru:</w:t>
      </w:r>
    </w:p>
    <w:p w14:paraId="29B49077" w14:textId="76245156" w:rsidR="00F53E3A" w:rsidRDefault="0036255F">
      <w:pPr>
        <w:pStyle w:val="P68B1DB1-ListParagraph18"/>
        <w:numPr>
          <w:ilvl w:val="0"/>
          <w:numId w:val="46"/>
        </w:numPr>
        <w:spacing w:line="240" w:lineRule="auto"/>
        <w:jc w:val="both"/>
        <w:rPr>
          <w:rFonts w:eastAsia="Calibri" w:cs="Times New Roman"/>
          <w:noProof/>
          <w:szCs w:val="24"/>
        </w:rPr>
      </w:pPr>
      <w:r>
        <w:rPr>
          <w:noProof/>
        </w:rPr>
        <w:t xml:space="preserve">proiecte care contribuie la cel puțin unul dintre următoarele obiective: dezvoltarea circularității, a decarbonizării, a eficienței energetice, a tehnologiilor ecologice, cu deșeuri reduse, avansate, inovatoare și digitale, a capacității de producție pentru produse cu valoare adăugată ridicată sau a proiectelor din industria apărării și securității. </w:t>
      </w:r>
    </w:p>
    <w:p w14:paraId="0F16ED04" w14:textId="1E8E7F46" w:rsidR="00F53E3A" w:rsidRDefault="0036255F">
      <w:pPr>
        <w:pStyle w:val="P68B1DB1-Normal4"/>
        <w:spacing w:line="240" w:lineRule="auto"/>
        <w:jc w:val="both"/>
        <w:rPr>
          <w:rFonts w:eastAsia="Calibri" w:cs="Times New Roman"/>
          <w:noProof/>
        </w:rPr>
      </w:pPr>
      <w:r>
        <w:rPr>
          <w:noProof/>
        </w:rPr>
        <w:t>Pentru a implementa investiția în facilitate, Lituania și INVEGA semnează un acord de finanțare (sau o modificare a unui acord existent privind fondul de fonduri) care include următorul conținut:</w:t>
      </w:r>
    </w:p>
    <w:p w14:paraId="7D8F6660" w14:textId="1B24732E" w:rsidR="00F53E3A" w:rsidRDefault="0036255F">
      <w:pPr>
        <w:pStyle w:val="P68B1DB1-ListParagraph18"/>
        <w:numPr>
          <w:ilvl w:val="0"/>
          <w:numId w:val="34"/>
        </w:numPr>
        <w:spacing w:line="256" w:lineRule="auto"/>
        <w:jc w:val="both"/>
        <w:rPr>
          <w:rFonts w:eastAsia="Times New Roman" w:cs="Times New Roman"/>
          <w:noProof/>
        </w:rPr>
      </w:pPr>
      <w:r>
        <w:rPr>
          <w:noProof/>
        </w:rPr>
        <w:t>Descrierea procesului decizional al instrumentului: Decizia finală de investiții a facilității este luată de un comitet de credit, de Consiliul de administrație al INVEGA sau de un alt organ de conducere echivalent relevant și este aprobată cu o majoritate de voturi de către membri independenți de guvern.</w:t>
      </w:r>
    </w:p>
    <w:p w14:paraId="01576C5C" w14:textId="59F44052" w:rsidR="00F53E3A" w:rsidRDefault="0036255F">
      <w:pPr>
        <w:pStyle w:val="P68B1DB1-ListParagraph18"/>
        <w:numPr>
          <w:ilvl w:val="0"/>
          <w:numId w:val="34"/>
        </w:numPr>
        <w:spacing w:line="256" w:lineRule="auto"/>
        <w:jc w:val="both"/>
        <w:rPr>
          <w:rFonts w:eastAsia="Calibri" w:cs="Times New Roman"/>
          <w:noProof/>
        </w:rPr>
      </w:pPr>
      <w:r>
        <w:rPr>
          <w:noProof/>
        </w:rPr>
        <w:t>Cerințele-cheie ale strategiei de investiții asociate,</w:t>
      </w:r>
      <w:r>
        <w:rPr>
          <w:b/>
          <w:noProof/>
        </w:rPr>
        <w:t xml:space="preserve"> </w:t>
      </w:r>
      <w:r>
        <w:rPr>
          <w:noProof/>
        </w:rPr>
        <w:t>care includ:</w:t>
      </w:r>
    </w:p>
    <w:p w14:paraId="11E4C617" w14:textId="6D9CC710" w:rsidR="00F53E3A" w:rsidRDefault="0036255F">
      <w:pPr>
        <w:pStyle w:val="ListParagraph"/>
        <w:numPr>
          <w:ilvl w:val="0"/>
          <w:numId w:val="35"/>
        </w:numPr>
        <w:spacing w:line="256" w:lineRule="auto"/>
        <w:ind w:left="1134"/>
        <w:jc w:val="both"/>
        <w:rPr>
          <w:rFonts w:ascii="Calibri" w:eastAsia="Calibri" w:hAnsi="Calibri" w:cs="Times New Roman"/>
          <w:noProof/>
        </w:rPr>
      </w:pPr>
      <w:r>
        <w:rPr>
          <w:rFonts w:ascii="Times New Roman" w:hAnsi="Times New Roman"/>
          <w:noProof/>
          <w:sz w:val="24"/>
        </w:rPr>
        <w:t>Descrierea produselor financiare și a beneficiarilor finali eligibili</w:t>
      </w:r>
      <w:r>
        <w:rPr>
          <w:rFonts w:ascii="Calibri" w:hAnsi="Calibri"/>
          <w:noProof/>
          <w:sz w:val="24"/>
        </w:rPr>
        <w:t xml:space="preserve">. </w:t>
      </w:r>
      <w:r>
        <w:rPr>
          <w:rFonts w:ascii="Times New Roman" w:hAnsi="Times New Roman"/>
          <w:noProof/>
          <w:sz w:val="24"/>
        </w:rPr>
        <w:t>Pentru investiții strategice (și anume, cele în tehnologii de apărare; investiții spațiale în ceasuri atomice, lansatoare strategice; produse spațiale; și investiții axate exclusiv pe dezvoltarea și implementarea de instrumente și soluții de securitate cibernetică, inclusiv atunci când acestea fac parte din implementarea sau modernizarea rețelelor digitale și a infrastructurii de date) beneficiarii finali nu sunt controlați de o țară terță sau de entități din țări terțe și au conducerea executivă în Uniune, cu excepția investițiilor mai mici de</w:t>
      </w:r>
      <w:r>
        <w:rPr>
          <w:rFonts w:ascii="Times New Roman" w:hAnsi="Times New Roman"/>
          <w:noProof/>
          <w:sz w:val="20"/>
        </w:rPr>
        <w:t xml:space="preserve"> </w:t>
      </w:r>
      <w:r>
        <w:rPr>
          <w:rFonts w:ascii="Times New Roman" w:hAnsi="Times New Roman"/>
          <w:noProof/>
          <w:sz w:val="24"/>
        </w:rPr>
        <w:t>10</w:t>
      </w:r>
      <w:r>
        <w:rPr>
          <w:rFonts w:ascii="Times New Roman" w:hAnsi="Times New Roman"/>
          <w:noProof/>
          <w:sz w:val="20"/>
        </w:rPr>
        <w:t xml:space="preserve"> </w:t>
      </w:r>
      <w:r>
        <w:rPr>
          <w:rFonts w:ascii="Times New Roman" w:hAnsi="Times New Roman"/>
          <w:noProof/>
          <w:sz w:val="24"/>
        </w:rPr>
        <w:t>000</w:t>
      </w:r>
      <w:r>
        <w:rPr>
          <w:rFonts w:ascii="Times New Roman" w:hAnsi="Times New Roman"/>
          <w:noProof/>
          <w:sz w:val="20"/>
        </w:rPr>
        <w:t xml:space="preserve"> </w:t>
      </w:r>
      <w:r>
        <w:rPr>
          <w:rFonts w:ascii="Times New Roman" w:hAnsi="Times New Roman"/>
          <w:noProof/>
          <w:sz w:val="24"/>
        </w:rPr>
        <w:t>000 EUR. În cazul în care beneficiarul final este implicat într-o investiție strategică în domeniul conectivității 5G, măsurile și planurile de atenuare a riscurilor, în temeiul setului de instrumente pentru securitatea cibernetică a rețelelor 5G, se aplică și furnizorilor săi. Printre acești furnizori se numără, în special, vânzătorii și producătorii de echipamente de telecomunicații și alți furnizori terți, cum ar fi furnizorii de infrastructură cloud, furnizorii de servicii gestionate, integratorii de sisteme, contractanții din domeniul securității și întreținerii și producătorii de echipamente de transmisie. În cazul în care beneficiarul final este implicat într-o investiție strategică în domeniul apărării, această limitare se aplică, de asemenea, furnizorilor și subcontractanților săi. Limitările privind absența controlului din partea unei țări terțe sau a unei entități dintr-o țară terță prevăzute mai sus nu se aplică unei anumite operațiuni de finanțare și de investiții în cazul în care beneficiarul final poate demonstra că este o entitate juridică pentru care statul membru în care este stabilit a aprobat o garanție, astfel cum se prevede în dispozițiile relevante din Regulamentul privind Fondul european de apărare („FEA”), sau derogarea acordată de Comisie în conformitate cu principiile privind entitățile eligibile prevăzute în dispozițiile relevante din Regulamentul privind spațiul. Partenerul de implementare trebuie să notifice guvernului orice derogare acordată cu privire la limitări.</w:t>
      </w:r>
    </w:p>
    <w:p w14:paraId="10900A78" w14:textId="455FE763" w:rsidR="00F53E3A" w:rsidRDefault="0036255F">
      <w:pPr>
        <w:pStyle w:val="P68B1DB1-ListParagraph18"/>
        <w:numPr>
          <w:ilvl w:val="0"/>
          <w:numId w:val="35"/>
        </w:numPr>
        <w:spacing w:line="256" w:lineRule="auto"/>
        <w:ind w:left="1134"/>
        <w:jc w:val="both"/>
        <w:rPr>
          <w:rFonts w:eastAsia="Calibri" w:cs="Times New Roman"/>
          <w:noProof/>
        </w:rPr>
      </w:pPr>
      <w:r>
        <w:rPr>
          <w:noProof/>
        </w:rPr>
        <w:t>Cerința ca toate investițiile sprijinite să fie viabile din punct de vedere financiar.</w:t>
      </w:r>
    </w:p>
    <w:p w14:paraId="00EE5FB9" w14:textId="2BA4F475" w:rsidR="00F53E3A" w:rsidRDefault="0036255F">
      <w:pPr>
        <w:pStyle w:val="ListParagraph"/>
        <w:numPr>
          <w:ilvl w:val="0"/>
          <w:numId w:val="35"/>
        </w:numPr>
        <w:spacing w:line="256" w:lineRule="auto"/>
        <w:ind w:left="1134"/>
        <w:jc w:val="both"/>
        <w:rPr>
          <w:rFonts w:ascii="Times New Roman" w:eastAsia="Calibri" w:hAnsi="Times New Roman" w:cs="Times New Roman"/>
          <w:noProof/>
          <w:sz w:val="24"/>
        </w:rPr>
      </w:pPr>
      <w:r>
        <w:rPr>
          <w:noProof/>
        </w:rPr>
        <w:t xml:space="preserve">Cerința </w:t>
      </w:r>
      <w:r>
        <w:rPr>
          <w:rFonts w:ascii="Times New Roman" w:hAnsi="Times New Roman"/>
          <w:noProof/>
          <w:sz w:val="24"/>
        </w:rPr>
        <w:t>de a respecta principiul de „a nu prejudicia în mod semnificativ”, astfel cum este prevăzută în Orientările tehnice privind principiul de „a nu prejudicia în mod semnificativ” (2021/C58/01). În special, strategia de investiții exclude de la eligibilitate următoarele activități și active: (I) activitățile și activele legate de combustibilii fosili, inclusiv utilizarea în aval</w:t>
      </w:r>
      <w:r>
        <w:rPr>
          <w:noProof/>
        </w:rPr>
        <w:footnoteReference w:id="3"/>
      </w:r>
      <w:r>
        <w:rPr>
          <w:rFonts w:ascii="Times New Roman" w:hAnsi="Times New Roman"/>
          <w:noProof/>
          <w:sz w:val="24"/>
        </w:rPr>
        <w:t>, (ii) activitățile și activele din cadrul schemei UE de comercializare a certificatelor de emisii (ETS) care realizează emisii preconizate de gaze cu efect de seră care nu sunt mai mici decât valorile de referință relevante</w:t>
      </w:r>
      <w:r>
        <w:rPr>
          <w:noProof/>
        </w:rPr>
        <w:footnoteReference w:id="4"/>
      </w:r>
      <w:r>
        <w:rPr>
          <w:rFonts w:ascii="Times New Roman" w:hAnsi="Times New Roman"/>
          <w:noProof/>
          <w:sz w:val="24"/>
        </w:rPr>
        <w:t>, (iii)</w:t>
      </w:r>
      <w:r w:rsidR="0035684C">
        <w:rPr>
          <w:rFonts w:ascii="Times New Roman" w:hAnsi="Times New Roman"/>
          <w:noProof/>
          <w:sz w:val="24"/>
        </w:rPr>
        <w:t> </w:t>
      </w:r>
      <w:r>
        <w:rPr>
          <w:rFonts w:ascii="Times New Roman" w:hAnsi="Times New Roman"/>
          <w:noProof/>
          <w:sz w:val="24"/>
        </w:rPr>
        <w:t>activitățile și activele legate de depozitele de deșeuri, incineratoare</w:t>
      </w:r>
      <w:r>
        <w:rPr>
          <w:rStyle w:val="FootnoteReference"/>
          <w:rFonts w:ascii="Times New Roman" w:eastAsia="Calibri" w:hAnsi="Times New Roman" w:cs="Times New Roman"/>
          <w:noProof/>
          <w:sz w:val="24"/>
        </w:rPr>
        <w:footnoteReference w:id="5"/>
      </w:r>
      <w:r>
        <w:rPr>
          <w:rFonts w:ascii="Times New Roman" w:hAnsi="Times New Roman"/>
          <w:noProof/>
          <w:sz w:val="24"/>
        </w:rPr>
        <w:t xml:space="preserve"> și stațiile de tratare mecano-biologică</w:t>
      </w:r>
      <w:r>
        <w:rPr>
          <w:rStyle w:val="FootnoteReference"/>
          <w:rFonts w:ascii="Times New Roman" w:eastAsia="Calibri" w:hAnsi="Times New Roman" w:cs="Times New Roman"/>
          <w:noProof/>
          <w:sz w:val="24"/>
        </w:rPr>
        <w:footnoteReference w:id="6"/>
      </w:r>
      <w:r>
        <w:rPr>
          <w:rFonts w:ascii="Times New Roman" w:hAnsi="Times New Roman"/>
          <w:noProof/>
          <w:sz w:val="24"/>
        </w:rPr>
        <w:t>. În plus, strategia de investiții impune</w:t>
      </w:r>
      <w:r>
        <w:rPr>
          <w:rFonts w:ascii="Times New Roman" w:hAnsi="Times New Roman"/>
          <w:b/>
          <w:noProof/>
          <w:sz w:val="24"/>
        </w:rPr>
        <w:t xml:space="preserve"> </w:t>
      </w:r>
      <w:r>
        <w:rPr>
          <w:rFonts w:ascii="Times New Roman" w:hAnsi="Times New Roman"/>
          <w:noProof/>
          <w:sz w:val="24"/>
        </w:rPr>
        <w:t>respectarea legislației UE și naționale relevante în materie de mediu de către beneficiarii finali ai facilității.</w:t>
      </w:r>
    </w:p>
    <w:p w14:paraId="10005BA3" w14:textId="77777777" w:rsidR="00F53E3A" w:rsidRDefault="0036255F">
      <w:pPr>
        <w:pStyle w:val="P68B1DB1-ListParagraph18"/>
        <w:numPr>
          <w:ilvl w:val="0"/>
          <w:numId w:val="35"/>
        </w:numPr>
        <w:spacing w:line="256" w:lineRule="auto"/>
        <w:ind w:left="1134"/>
        <w:jc w:val="both"/>
        <w:rPr>
          <w:rFonts w:eastAsia="Calibri" w:cs="Times New Roman"/>
          <w:noProof/>
        </w:rPr>
      </w:pPr>
      <w:r>
        <w:rPr>
          <w:noProof/>
        </w:rPr>
        <w:t>Cerința ca beneficiarii finali ai mecanismului să nu primească sprijin din partea altor instrumente ale Uniunii pentru a acoperi aceleași costuri.</w:t>
      </w:r>
    </w:p>
    <w:p w14:paraId="78C82C17" w14:textId="5E04D56B" w:rsidR="00F53E3A" w:rsidRDefault="0036255F">
      <w:pPr>
        <w:pStyle w:val="P68B1DB1-ListParagraph18"/>
        <w:numPr>
          <w:ilvl w:val="0"/>
          <w:numId w:val="34"/>
        </w:numPr>
        <w:spacing w:line="256" w:lineRule="auto"/>
        <w:jc w:val="both"/>
        <w:rPr>
          <w:rFonts w:eastAsia="Calibri" w:cs="Times New Roman"/>
          <w:noProof/>
        </w:rPr>
      </w:pPr>
      <w:r>
        <w:rPr>
          <w:noProof/>
        </w:rPr>
        <w:t xml:space="preserve">Suma acoperită de acordul de finanțare (sau de o modificare a unui acord existent privind fondul de fonduri), structura comisioanelor pentru partenerul de implementare și cerința de a reinvesti orice restituiri în conformitate cu strategia de investiții a mecanismului, cu excepția cazului în care acestea sunt utilizate pentru a asigura rambursarea împrumuturilor din cadrul Mecanismului de redresare și reziliență. </w:t>
      </w:r>
    </w:p>
    <w:p w14:paraId="3250712E" w14:textId="00A56932" w:rsidR="00F53E3A" w:rsidRDefault="0036255F">
      <w:pPr>
        <w:pStyle w:val="P68B1DB1-ListParagraph18"/>
        <w:numPr>
          <w:ilvl w:val="0"/>
          <w:numId w:val="34"/>
        </w:numPr>
        <w:spacing w:line="256" w:lineRule="auto"/>
        <w:jc w:val="both"/>
        <w:rPr>
          <w:rFonts w:eastAsia="Calibri" w:cs="Times New Roman"/>
          <w:noProof/>
        </w:rPr>
      </w:pPr>
      <w:r>
        <w:rPr>
          <w:noProof/>
        </w:rPr>
        <w:t>Cerințe de monitorizare, audit și control, inclusiv:</w:t>
      </w:r>
    </w:p>
    <w:p w14:paraId="5312D13E" w14:textId="4EFD561A" w:rsidR="00F53E3A" w:rsidRDefault="0036255F">
      <w:pPr>
        <w:pStyle w:val="P68B1DB1-ListParagraph18"/>
        <w:numPr>
          <w:ilvl w:val="0"/>
          <w:numId w:val="38"/>
        </w:numPr>
        <w:spacing w:line="256" w:lineRule="auto"/>
        <w:ind w:left="1134"/>
        <w:jc w:val="both"/>
        <w:rPr>
          <w:rFonts w:eastAsia="Calibri" w:cs="Times New Roman"/>
          <w:noProof/>
        </w:rPr>
      </w:pPr>
      <w:r>
        <w:rPr>
          <w:noProof/>
        </w:rPr>
        <w:t>Descrierea principiilor de bază ale sistemului de monitorizare al partenerului de implementare pentru raportarea cu privire la investițiile mobilizate.</w:t>
      </w:r>
    </w:p>
    <w:p w14:paraId="13F22812" w14:textId="2216FAFA" w:rsidR="00F53E3A" w:rsidRDefault="0036255F">
      <w:pPr>
        <w:pStyle w:val="P68B1DB1-ListParagraph18"/>
        <w:numPr>
          <w:ilvl w:val="0"/>
          <w:numId w:val="38"/>
        </w:numPr>
        <w:spacing w:line="256" w:lineRule="auto"/>
        <w:ind w:left="1134"/>
        <w:jc w:val="both"/>
        <w:rPr>
          <w:rFonts w:eastAsia="Calibri" w:cs="Times New Roman"/>
          <w:noProof/>
        </w:rPr>
      </w:pPr>
      <w:r>
        <w:rPr>
          <w:noProof/>
        </w:rPr>
        <w:t xml:space="preserve">Descrierea principiilor de bază ale procedurilor partenerului de implementare care vizează asigurarea prevenirii, detectării și corectării fraudei, corupției și conflictelor de interese în activitățile partenerului de implementare. </w:t>
      </w:r>
    </w:p>
    <w:p w14:paraId="4BF7E745" w14:textId="16305E51" w:rsidR="00F53E3A" w:rsidRDefault="0036255F">
      <w:pPr>
        <w:pStyle w:val="P68B1DB1-ListParagraph18"/>
        <w:numPr>
          <w:ilvl w:val="0"/>
          <w:numId w:val="38"/>
        </w:numPr>
        <w:spacing w:line="256" w:lineRule="auto"/>
        <w:ind w:left="1134"/>
        <w:jc w:val="both"/>
        <w:rPr>
          <w:rFonts w:eastAsia="Calibri" w:cs="Times New Roman"/>
          <w:noProof/>
          <w:szCs w:val="24"/>
        </w:rPr>
      </w:pPr>
      <w:r>
        <w:rPr>
          <w:noProof/>
        </w:rPr>
        <w:t>Obligația de a verifica eligibilitatea fiecărei operațiuni în conformitate cu cerințele prevăzute în acordul de finanțare (sau într-o modificare a unui acord existent privind fondul de fonduri) înainte de a se angaja să finanțeze o operațiune.</w:t>
      </w:r>
    </w:p>
    <w:p w14:paraId="6A7227DA" w14:textId="7BC7A4B8" w:rsidR="00F53E3A" w:rsidRDefault="0036255F">
      <w:pPr>
        <w:pStyle w:val="P68B1DB1-ListParagraph18"/>
        <w:numPr>
          <w:ilvl w:val="0"/>
          <w:numId w:val="38"/>
        </w:numPr>
        <w:spacing w:line="256" w:lineRule="auto"/>
        <w:ind w:left="1134"/>
        <w:jc w:val="both"/>
        <w:rPr>
          <w:rFonts w:eastAsia="Calibri" w:cs="Times New Roman"/>
          <w:noProof/>
        </w:rPr>
      </w:pPr>
      <w:r>
        <w:rPr>
          <w:noProof/>
        </w:rPr>
        <w:t xml:space="preserve">Obligația de a efectua controale ex post bazate pe riscuri, în conformitate cu un plan de controale interne al INVEGA. Aceste verificări verifică i) dacă sistemele de control ale INVEGA sunt eficace, inclusiv detectarea fraudei, a corupției și a conflictelor de interese; respectarea principiului DNSH și a normelor privind ajutoarele de stat; și iii) respectarea cerinței ca beneficiarii finali ai mecanismului să nu fi primit sprijin din partea altor instrumente ale Uniunii pentru a acoperi aceleași costuri. Auditurile verifică, de asemenea, legalitatea tranzacțiilor și dacă sunt respectate condițiile acordului de finanțare aplicabil (sau ale unei modificări a unui acord existent privind fondul de fonduri). </w:t>
      </w:r>
    </w:p>
    <w:p w14:paraId="318A8D95" w14:textId="1ECEB27A" w:rsidR="00F53E3A" w:rsidRDefault="00F53E3A">
      <w:pPr>
        <w:pStyle w:val="Text1"/>
        <w:spacing w:after="200"/>
        <w:ind w:left="0"/>
        <w:rPr>
          <w:noProof/>
        </w:rPr>
        <w:sectPr w:rsidR="00F53E3A" w:rsidSect="0074650A">
          <w:headerReference w:type="even" r:id="rId90"/>
          <w:headerReference w:type="default" r:id="rId91"/>
          <w:footerReference w:type="even" r:id="rId92"/>
          <w:footerReference w:type="default" r:id="rId93"/>
          <w:headerReference w:type="first" r:id="rId94"/>
          <w:footerReference w:type="first" r:id="rId95"/>
          <w:pgSz w:w="11907" w:h="16839"/>
          <w:pgMar w:top="1134" w:right="1134" w:bottom="1134" w:left="1134" w:header="567" w:footer="567" w:gutter="0"/>
          <w:cols w:space="720"/>
          <w:docGrid w:linePitch="360"/>
        </w:sectPr>
      </w:pPr>
    </w:p>
    <w:p w14:paraId="7DE99F3D" w14:textId="4EB8AAE6" w:rsidR="00F53E3A" w:rsidRDefault="0036255F">
      <w:pPr>
        <w:pStyle w:val="P68B1DB1-Text15"/>
        <w:keepNext/>
        <w:keepLines/>
        <w:spacing w:before="0" w:after="200" w:line="276" w:lineRule="auto"/>
        <w:ind w:left="0"/>
        <w:jc w:val="center"/>
        <w:outlineLvl w:val="1"/>
        <w:rPr>
          <w:noProof/>
        </w:rPr>
      </w:pPr>
      <w:r>
        <w:rPr>
          <w:noProof/>
        </w:rPr>
        <w:t>E.4. Jaloane, ținte, indicatori și calendarul de monitorizare și punere în aplicare pentru sprijinul sub formă de împrumut</w:t>
      </w:r>
    </w:p>
    <w:tbl>
      <w:tblPr>
        <w:tblW w:w="14870" w:type="dxa"/>
        <w:tblInd w:w="-269" w:type="dxa"/>
        <w:tblLayout w:type="fixed"/>
        <w:tblLook w:val="04A0" w:firstRow="1" w:lastRow="0" w:firstColumn="1" w:lastColumn="0" w:noHBand="0" w:noVBand="1"/>
      </w:tblPr>
      <w:tblGrid>
        <w:gridCol w:w="655"/>
        <w:gridCol w:w="1849"/>
        <w:gridCol w:w="1417"/>
        <w:gridCol w:w="1134"/>
        <w:gridCol w:w="1418"/>
        <w:gridCol w:w="850"/>
        <w:gridCol w:w="1134"/>
        <w:gridCol w:w="971"/>
        <w:gridCol w:w="1155"/>
        <w:gridCol w:w="736"/>
        <w:gridCol w:w="3551"/>
      </w:tblGrid>
      <w:tr w:rsidR="00F53E3A" w14:paraId="771F9F50" w14:textId="77777777" w:rsidTr="0035684C">
        <w:trPr>
          <w:trHeight w:val="300"/>
          <w:tblHeader/>
        </w:trPr>
        <w:tc>
          <w:tcPr>
            <w:tcW w:w="655"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07613C9" w14:textId="72FA656C" w:rsidR="00F53E3A" w:rsidRDefault="0035684C">
            <w:pPr>
              <w:pStyle w:val="P68B1DB1-Normal9"/>
              <w:spacing w:before="60" w:after="60"/>
              <w:jc w:val="center"/>
              <w:rPr>
                <w:rFonts w:eastAsia="Times New Roman" w:cs="Times New Roman"/>
                <w:noProof/>
              </w:rPr>
            </w:pPr>
            <w:r>
              <w:rPr>
                <w:noProof/>
              </w:rPr>
              <w:t>Nr.</w:t>
            </w:r>
          </w:p>
        </w:tc>
        <w:tc>
          <w:tcPr>
            <w:tcW w:w="1849"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CE1D30D" w14:textId="3E7C337D" w:rsidR="00F53E3A" w:rsidRDefault="0036255F">
            <w:pPr>
              <w:pStyle w:val="P68B1DB1-Normal9"/>
              <w:spacing w:before="60" w:after="60"/>
              <w:jc w:val="center"/>
              <w:rPr>
                <w:rFonts w:eastAsia="Times New Roman" w:cs="Times New Roman"/>
                <w:noProof/>
              </w:rPr>
            </w:pPr>
            <w:r>
              <w:rPr>
                <w:noProof/>
              </w:rPr>
              <w:t>Măsură conexă (reformă sau investiții)</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E6A42B5" w14:textId="548C5F9D" w:rsidR="00F53E3A" w:rsidRDefault="0036255F">
            <w:pPr>
              <w:pStyle w:val="P68B1DB1-Normal9"/>
              <w:spacing w:before="60" w:after="60"/>
              <w:jc w:val="center"/>
              <w:rPr>
                <w:rFonts w:eastAsia="Times New Roman" w:cs="Times New Roman"/>
                <w:noProof/>
              </w:rPr>
            </w:pPr>
            <w:r>
              <w:rPr>
                <w:noProof/>
              </w:rPr>
              <w:t>Kilometraje/</w:t>
            </w:r>
            <w:r>
              <w:rPr>
                <w:noProof/>
              </w:rPr>
              <w:br/>
              <w:t>Țintă</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D8E014E" w14:textId="79499C9C" w:rsidR="00F53E3A" w:rsidRDefault="0036255F">
            <w:pPr>
              <w:pStyle w:val="P68B1DB1-Normal9"/>
              <w:spacing w:before="60" w:after="60"/>
              <w:jc w:val="center"/>
              <w:rPr>
                <w:rFonts w:eastAsia="Times New Roman" w:cs="Times New Roman"/>
                <w:noProof/>
              </w:rPr>
            </w:pPr>
            <w:r>
              <w:rPr>
                <w:noProof/>
              </w:rPr>
              <w:t>Titlu</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BD4E83A" w14:textId="6AFD9D62" w:rsidR="00F53E3A" w:rsidRDefault="0036255F">
            <w:pPr>
              <w:pStyle w:val="P68B1DB1-Normal10"/>
              <w:spacing w:before="60" w:after="60"/>
              <w:jc w:val="center"/>
              <w:rPr>
                <w:rFonts w:ascii="Times New Roman" w:eastAsia="Times New Roman" w:hAnsi="Times New Roman" w:cs="Times New Roman"/>
                <w:noProof/>
              </w:rPr>
            </w:pPr>
            <w:r>
              <w:rPr>
                <w:rFonts w:ascii="Times New Roman" w:hAnsi="Times New Roman"/>
                <w:b/>
                <w:noProof/>
              </w:rPr>
              <w:t>Indicatori calitativi</w:t>
            </w:r>
            <w:r>
              <w:rPr>
                <w:noProof/>
              </w:rPr>
              <w:br/>
            </w:r>
            <w:r>
              <w:rPr>
                <w:rFonts w:ascii="Times New Roman" w:hAnsi="Times New Roman"/>
                <w:b/>
                <w:noProof/>
              </w:rPr>
              <w:t>(pentru jaloane)</w:t>
            </w:r>
          </w:p>
        </w:tc>
        <w:tc>
          <w:tcPr>
            <w:tcW w:w="2955"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1DDB936" w14:textId="1E5FA91E" w:rsidR="00F53E3A" w:rsidRDefault="0036255F">
            <w:pPr>
              <w:pStyle w:val="P68B1DB1-Normal10"/>
              <w:spacing w:before="60" w:after="60"/>
              <w:jc w:val="center"/>
              <w:rPr>
                <w:rFonts w:ascii="Times New Roman" w:eastAsia="Times New Roman" w:hAnsi="Times New Roman" w:cs="Times New Roman"/>
                <w:noProof/>
              </w:rPr>
            </w:pPr>
            <w:r>
              <w:rPr>
                <w:rFonts w:ascii="Times New Roman" w:hAnsi="Times New Roman"/>
                <w:b/>
                <w:noProof/>
              </w:rPr>
              <w:t>Indicatori cantitativi</w:t>
            </w:r>
            <w:r>
              <w:rPr>
                <w:noProof/>
              </w:rPr>
              <w:t xml:space="preserve"> </w:t>
            </w:r>
            <w:r>
              <w:rPr>
                <w:noProof/>
              </w:rPr>
              <w:br/>
            </w:r>
            <w:r>
              <w:rPr>
                <w:rFonts w:ascii="Times New Roman" w:hAnsi="Times New Roman"/>
                <w:b/>
                <w:noProof/>
              </w:rPr>
              <w:t>(pentru obiective)</w:t>
            </w:r>
          </w:p>
        </w:tc>
        <w:tc>
          <w:tcPr>
            <w:tcW w:w="1891"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21712AD" w14:textId="105A5084" w:rsidR="00F53E3A" w:rsidRDefault="0036255F">
            <w:pPr>
              <w:pStyle w:val="P68B1DB1-Normal9"/>
              <w:spacing w:before="60" w:after="60"/>
              <w:jc w:val="center"/>
              <w:rPr>
                <w:rFonts w:eastAsia="Times New Roman" w:cs="Times New Roman"/>
                <w:noProof/>
              </w:rPr>
            </w:pPr>
            <w:r>
              <w:rPr>
                <w:noProof/>
              </w:rPr>
              <w:t>Calendar orientativ pentru finalizare</w:t>
            </w:r>
          </w:p>
        </w:tc>
        <w:tc>
          <w:tcPr>
            <w:tcW w:w="3551"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A344A51" w14:textId="7687E4D2" w:rsidR="00F53E3A" w:rsidRDefault="0036255F">
            <w:pPr>
              <w:pStyle w:val="P68B1DB1-Normal9"/>
              <w:spacing w:before="60" w:after="60"/>
              <w:jc w:val="center"/>
              <w:rPr>
                <w:rFonts w:eastAsia="Times New Roman" w:cs="Times New Roman"/>
                <w:noProof/>
              </w:rPr>
            </w:pPr>
            <w:r>
              <w:rPr>
                <w:noProof/>
              </w:rPr>
              <w:t>Descrierea și definiția clară a fiecărui obiectiv de etapă și a fiecărei ținte</w:t>
            </w:r>
          </w:p>
        </w:tc>
      </w:tr>
      <w:tr w:rsidR="00F53E3A" w14:paraId="0D69DFD1" w14:textId="77777777" w:rsidTr="0035684C">
        <w:trPr>
          <w:trHeight w:val="505"/>
          <w:tblHeader/>
        </w:trPr>
        <w:tc>
          <w:tcPr>
            <w:tcW w:w="655" w:type="dxa"/>
            <w:vMerge/>
            <w:tcBorders>
              <w:top w:val="single" w:sz="4" w:space="0" w:color="auto"/>
              <w:left w:val="single" w:sz="4" w:space="0" w:color="auto"/>
              <w:bottom w:val="single" w:sz="4" w:space="0" w:color="auto"/>
              <w:right w:val="single" w:sz="4" w:space="0" w:color="auto"/>
            </w:tcBorders>
          </w:tcPr>
          <w:p w14:paraId="4E68AE5B" w14:textId="77777777" w:rsidR="00F53E3A" w:rsidRDefault="00F53E3A">
            <w:pPr>
              <w:spacing w:before="60" w:after="60"/>
              <w:jc w:val="center"/>
              <w:rPr>
                <w:rFonts w:ascii="Times New Roman" w:eastAsia="Times New Roman" w:hAnsi="Times New Roman" w:cs="Times New Roman"/>
                <w:noProof/>
                <w:sz w:val="20"/>
              </w:rPr>
            </w:pPr>
          </w:p>
        </w:tc>
        <w:tc>
          <w:tcPr>
            <w:tcW w:w="1849" w:type="dxa"/>
            <w:vMerge/>
            <w:tcBorders>
              <w:top w:val="single" w:sz="4" w:space="0" w:color="auto"/>
              <w:left w:val="single" w:sz="4" w:space="0" w:color="auto"/>
              <w:bottom w:val="single" w:sz="4" w:space="0" w:color="auto"/>
              <w:right w:val="single" w:sz="4" w:space="0" w:color="auto"/>
            </w:tcBorders>
          </w:tcPr>
          <w:p w14:paraId="20F5ADCE" w14:textId="77777777" w:rsidR="00F53E3A" w:rsidRDefault="00F53E3A">
            <w:pPr>
              <w:spacing w:before="60" w:after="60"/>
              <w:rPr>
                <w:rFonts w:ascii="Times New Roman" w:eastAsia="Times New Roman" w:hAnsi="Times New Roman" w:cs="Times New Roman"/>
                <w:noProof/>
                <w:sz w:val="20"/>
              </w:rPr>
            </w:pPr>
          </w:p>
        </w:tc>
        <w:tc>
          <w:tcPr>
            <w:tcW w:w="1417" w:type="dxa"/>
            <w:vMerge/>
            <w:tcBorders>
              <w:top w:val="single" w:sz="4" w:space="0" w:color="auto"/>
              <w:left w:val="single" w:sz="4" w:space="0" w:color="auto"/>
              <w:bottom w:val="single" w:sz="4" w:space="0" w:color="auto"/>
              <w:right w:val="single" w:sz="4" w:space="0" w:color="auto"/>
            </w:tcBorders>
          </w:tcPr>
          <w:p w14:paraId="0C197C06" w14:textId="77777777" w:rsidR="00F53E3A" w:rsidRDefault="00F53E3A">
            <w:pPr>
              <w:spacing w:before="60" w:after="60"/>
              <w:jc w:val="center"/>
              <w:rPr>
                <w:rFonts w:ascii="Times New Roman" w:eastAsia="Times New Roman" w:hAnsi="Times New Roman" w:cs="Times New Roman"/>
                <w:noProof/>
                <w:sz w:val="20"/>
              </w:rPr>
            </w:pPr>
          </w:p>
        </w:tc>
        <w:tc>
          <w:tcPr>
            <w:tcW w:w="1134" w:type="dxa"/>
            <w:vMerge/>
            <w:tcBorders>
              <w:top w:val="single" w:sz="4" w:space="0" w:color="auto"/>
              <w:left w:val="single" w:sz="4" w:space="0" w:color="auto"/>
              <w:bottom w:val="single" w:sz="4" w:space="0" w:color="auto"/>
              <w:right w:val="single" w:sz="4" w:space="0" w:color="auto"/>
            </w:tcBorders>
          </w:tcPr>
          <w:p w14:paraId="48B7B0E5" w14:textId="77777777" w:rsidR="00F53E3A" w:rsidRDefault="00F53E3A">
            <w:pPr>
              <w:spacing w:before="60" w:after="60"/>
              <w:rPr>
                <w:rFonts w:ascii="Times New Roman" w:eastAsia="Times New Roman" w:hAnsi="Times New Roman" w:cs="Times New Roman"/>
                <w:noProof/>
                <w:sz w:val="20"/>
              </w:rPr>
            </w:pPr>
          </w:p>
        </w:tc>
        <w:tc>
          <w:tcPr>
            <w:tcW w:w="1418" w:type="dxa"/>
            <w:vMerge/>
            <w:tcBorders>
              <w:top w:val="single" w:sz="4" w:space="0" w:color="auto"/>
              <w:left w:val="single" w:sz="4" w:space="0" w:color="auto"/>
              <w:bottom w:val="single" w:sz="4" w:space="0" w:color="auto"/>
              <w:right w:val="single" w:sz="4" w:space="0" w:color="auto"/>
            </w:tcBorders>
          </w:tcPr>
          <w:p w14:paraId="4A0A1C4E" w14:textId="77777777" w:rsidR="00F53E3A" w:rsidRDefault="00F53E3A">
            <w:pPr>
              <w:spacing w:before="60" w:after="60"/>
              <w:rPr>
                <w:rFonts w:ascii="Times New Roman" w:eastAsia="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0ECB162" w14:textId="11108328" w:rsidR="00F53E3A" w:rsidRDefault="0036255F">
            <w:pPr>
              <w:pStyle w:val="P68B1DB1-Normal9"/>
              <w:spacing w:before="60" w:after="60"/>
              <w:jc w:val="center"/>
              <w:rPr>
                <w:rFonts w:eastAsia="Times New Roman" w:cs="Times New Roman"/>
                <w:noProof/>
              </w:rPr>
            </w:pPr>
            <w:r>
              <w:rPr>
                <w:noProof/>
              </w:rPr>
              <w:t>Unitate</w:t>
            </w:r>
          </w:p>
        </w:tc>
        <w:tc>
          <w:tcPr>
            <w:tcW w:w="113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135DB64D" w14:textId="0ADD844F" w:rsidR="00F53E3A" w:rsidRDefault="0036255F">
            <w:pPr>
              <w:pStyle w:val="P68B1DB1-Normal9"/>
              <w:spacing w:before="60" w:after="60"/>
              <w:jc w:val="center"/>
              <w:rPr>
                <w:rFonts w:eastAsia="Times New Roman" w:cs="Times New Roman"/>
                <w:noProof/>
              </w:rPr>
            </w:pPr>
            <w:r>
              <w:rPr>
                <w:noProof/>
              </w:rPr>
              <w:t>Situația de referință</w:t>
            </w:r>
          </w:p>
        </w:tc>
        <w:tc>
          <w:tcPr>
            <w:tcW w:w="971"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D275635" w14:textId="245C0739" w:rsidR="00F53E3A" w:rsidRDefault="0036255F">
            <w:pPr>
              <w:pStyle w:val="P68B1DB1-Normal9"/>
              <w:spacing w:before="60" w:after="60"/>
              <w:jc w:val="center"/>
              <w:rPr>
                <w:rFonts w:eastAsia="Times New Roman" w:cs="Times New Roman"/>
                <w:noProof/>
              </w:rPr>
            </w:pPr>
            <w:r>
              <w:rPr>
                <w:noProof/>
              </w:rPr>
              <w:t>Obiectiv</w:t>
            </w:r>
          </w:p>
        </w:tc>
        <w:tc>
          <w:tcPr>
            <w:tcW w:w="115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922F101" w14:textId="51040F62" w:rsidR="00F53E3A" w:rsidRDefault="0036255F">
            <w:pPr>
              <w:pStyle w:val="P68B1DB1-Normal9"/>
              <w:spacing w:before="60" w:after="60"/>
              <w:jc w:val="center"/>
              <w:rPr>
                <w:rFonts w:eastAsia="Times New Roman" w:cs="Times New Roman"/>
                <w:noProof/>
              </w:rPr>
            </w:pPr>
            <w:r>
              <w:rPr>
                <w:noProof/>
              </w:rPr>
              <w:t>Trimestru</w:t>
            </w:r>
          </w:p>
        </w:tc>
        <w:tc>
          <w:tcPr>
            <w:tcW w:w="73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C8488F9" w14:textId="55305E4F" w:rsidR="00F53E3A" w:rsidRDefault="0036255F">
            <w:pPr>
              <w:pStyle w:val="P68B1DB1-Normal9"/>
              <w:spacing w:before="60" w:after="60"/>
              <w:jc w:val="center"/>
              <w:rPr>
                <w:rFonts w:eastAsia="Times New Roman" w:cs="Times New Roman"/>
                <w:noProof/>
              </w:rPr>
            </w:pPr>
            <w:r>
              <w:rPr>
                <w:noProof/>
              </w:rPr>
              <w:t>Anul</w:t>
            </w:r>
          </w:p>
        </w:tc>
        <w:tc>
          <w:tcPr>
            <w:tcW w:w="3551" w:type="dxa"/>
            <w:vMerge/>
            <w:tcBorders>
              <w:top w:val="single" w:sz="4" w:space="0" w:color="auto"/>
              <w:left w:val="single" w:sz="4" w:space="0" w:color="auto"/>
              <w:bottom w:val="single" w:sz="4" w:space="0" w:color="auto"/>
              <w:right w:val="single" w:sz="4" w:space="0" w:color="auto"/>
            </w:tcBorders>
            <w:vAlign w:val="center"/>
          </w:tcPr>
          <w:p w14:paraId="53876CE8" w14:textId="77777777" w:rsidR="00F53E3A" w:rsidRDefault="00F53E3A">
            <w:pPr>
              <w:spacing w:before="60" w:after="60"/>
              <w:rPr>
                <w:rFonts w:ascii="Times New Roman" w:eastAsia="Times New Roman" w:hAnsi="Times New Roman" w:cs="Times New Roman"/>
                <w:noProof/>
                <w:sz w:val="20"/>
              </w:rPr>
            </w:pPr>
          </w:p>
        </w:tc>
      </w:tr>
      <w:tr w:rsidR="00F53E3A" w14:paraId="50194E31" w14:textId="77777777" w:rsidTr="0035684C">
        <w:trPr>
          <w:trHeight w:val="739"/>
        </w:trPr>
        <w:tc>
          <w:tcPr>
            <w:tcW w:w="65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1BC1F1B" w14:textId="77777777" w:rsidR="00F53E3A" w:rsidRDefault="0036255F">
            <w:pPr>
              <w:pStyle w:val="P68B1DB1-Normal12"/>
              <w:spacing w:before="60" w:after="60"/>
              <w:jc w:val="center"/>
              <w:rPr>
                <w:rFonts w:cs="Times New Roman"/>
                <w:noProof/>
              </w:rPr>
            </w:pPr>
            <w:r>
              <w:rPr>
                <w:noProof/>
              </w:rPr>
              <w:t>137a</w:t>
            </w:r>
          </w:p>
        </w:tc>
        <w:tc>
          <w:tcPr>
            <w:tcW w:w="18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0221E8" w14:textId="5C765944" w:rsidR="00F53E3A" w:rsidRDefault="0036255F">
            <w:pPr>
              <w:pStyle w:val="P68B1DB1-Normal12"/>
              <w:spacing w:before="60" w:after="60"/>
              <w:rPr>
                <w:rFonts w:cs="Times New Roman"/>
                <w:noProof/>
              </w:rPr>
            </w:pPr>
            <w:r>
              <w:rPr>
                <w:noProof/>
              </w:rPr>
              <w:t>E.3.1. Împrumuturi acordate întreprinderilor pentru dezvoltarea de tehnologii ecologice și cu valoare adăugată ridicată pentru dezvoltarea industrială</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1DB859F" w14:textId="5A24A045" w:rsidR="00F53E3A" w:rsidRDefault="0036255F">
            <w:pPr>
              <w:pStyle w:val="P68B1DB1-Normal12"/>
              <w:spacing w:before="60" w:after="60"/>
              <w:jc w:val="center"/>
              <w:rPr>
                <w:rFonts w:eastAsia="Times New Roman" w:cs="Times New Roman"/>
                <w:noProof/>
              </w:rPr>
            </w:pPr>
            <w:r>
              <w:rPr>
                <w:noProof/>
              </w:rPr>
              <w:t>Etapă</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A1CB0C" w14:textId="1126150C" w:rsidR="00F53E3A" w:rsidRDefault="0036255F">
            <w:pPr>
              <w:pStyle w:val="P68B1DB1-Normal12"/>
              <w:spacing w:before="60" w:after="60"/>
              <w:rPr>
                <w:rFonts w:eastAsia="Times New Roman" w:cs="Times New Roman"/>
                <w:noProof/>
              </w:rPr>
            </w:pPr>
            <w:r>
              <w:rPr>
                <w:noProof/>
              </w:rPr>
              <w:t>Orientări pentru dezvoltarea industriei de apărare și securitate 2023-2027</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2F78499" w14:textId="0BB120FA" w:rsidR="00F53E3A" w:rsidRDefault="0036255F">
            <w:pPr>
              <w:pStyle w:val="P68B1DB1-Normal12"/>
              <w:spacing w:before="60" w:after="60"/>
              <w:rPr>
                <w:rFonts w:eastAsia="Times New Roman" w:cs="Times New Roman"/>
                <w:noProof/>
              </w:rPr>
            </w:pPr>
            <w:r>
              <w:rPr>
                <w:noProof/>
              </w:rPr>
              <w:t>Intrarea în vigoare a Orientărilor pentru dezvoltarea industriei de apărare și securitate 2023-2027</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CA6A805" w14:textId="080C699E" w:rsidR="00F53E3A" w:rsidRDefault="00F53E3A">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0887166" w14:textId="2906E1AD" w:rsidR="00F53E3A" w:rsidRDefault="00F53E3A">
            <w:pPr>
              <w:spacing w:before="60" w:after="60"/>
              <w:jc w:val="center"/>
              <w:rPr>
                <w:rFonts w:ascii="Times New Roman" w:eastAsia="Times New Roman" w:hAnsi="Times New Roman" w:cs="Times New Roman"/>
                <w:noProof/>
                <w:sz w:val="20"/>
              </w:rPr>
            </w:pPr>
          </w:p>
        </w:tc>
        <w:tc>
          <w:tcPr>
            <w:tcW w:w="97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734EFD" w14:textId="29FB4EB3" w:rsidR="00F53E3A" w:rsidRDefault="00F53E3A">
            <w:pPr>
              <w:spacing w:before="60" w:after="60"/>
              <w:jc w:val="center"/>
              <w:rPr>
                <w:rFonts w:ascii="Times New Roman" w:eastAsia="Times New Roman" w:hAnsi="Times New Roman" w:cs="Times New Roman"/>
                <w:noProof/>
                <w:sz w:val="20"/>
              </w:rPr>
            </w:pPr>
          </w:p>
        </w:tc>
        <w:tc>
          <w:tcPr>
            <w:tcW w:w="115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AA2059" w14:textId="47D434D6" w:rsidR="00F53E3A" w:rsidRDefault="00DB2EC5">
            <w:pPr>
              <w:pStyle w:val="P68B1DB1-Normal12"/>
              <w:spacing w:before="60" w:after="60"/>
              <w:jc w:val="center"/>
              <w:rPr>
                <w:rFonts w:eastAsia="Times New Roman" w:cs="Times New Roman"/>
                <w:noProof/>
              </w:rPr>
            </w:pPr>
            <w:r>
              <w:rPr>
                <w:noProof/>
              </w:rPr>
              <w:t>T2</w:t>
            </w:r>
          </w:p>
        </w:tc>
        <w:tc>
          <w:tcPr>
            <w:tcW w:w="73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8A7A10B" w14:textId="461D3163" w:rsidR="00F53E3A" w:rsidRDefault="0036255F">
            <w:pPr>
              <w:pStyle w:val="P68B1DB1-Normal12"/>
              <w:spacing w:before="60" w:after="60"/>
              <w:jc w:val="center"/>
              <w:rPr>
                <w:rFonts w:eastAsia="Times New Roman" w:cs="Times New Roman"/>
                <w:noProof/>
              </w:rPr>
            </w:pPr>
            <w:r>
              <w:rPr>
                <w:noProof/>
              </w:rPr>
              <w:t>2023</w:t>
            </w:r>
          </w:p>
        </w:tc>
        <w:tc>
          <w:tcPr>
            <w:tcW w:w="35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1D9EB00" w14:textId="25F3BB39" w:rsidR="00F53E3A" w:rsidRDefault="0036255F">
            <w:pPr>
              <w:pStyle w:val="P68B1DB1-Normal12"/>
              <w:spacing w:before="60" w:after="60"/>
              <w:jc w:val="both"/>
              <w:rPr>
                <w:rFonts w:eastAsia="Times New Roman" w:cs="Times New Roman"/>
                <w:noProof/>
              </w:rPr>
            </w:pPr>
            <w:r>
              <w:rPr>
                <w:noProof/>
              </w:rPr>
              <w:t>Adoptarea și intrarea în vigoare a Orientărilor pentru dezvoltarea industriei de apărare și securitate 2023-2027, prin ordinul Ministerului Economiei și Inovării din Republica Lituania, pentru a îmbunătăți competitivitatea industriei lituaniene de apărare și securitate.</w:t>
            </w:r>
          </w:p>
        </w:tc>
      </w:tr>
      <w:tr w:rsidR="00F53E3A" w14:paraId="0A0F291D" w14:textId="77777777" w:rsidTr="0035684C">
        <w:trPr>
          <w:trHeight w:val="739"/>
        </w:trPr>
        <w:tc>
          <w:tcPr>
            <w:tcW w:w="65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5D99CEB" w14:textId="5165C9EF" w:rsidR="00F53E3A" w:rsidRDefault="0036255F">
            <w:pPr>
              <w:pStyle w:val="P68B1DB1-Normal12"/>
              <w:spacing w:before="60" w:after="60"/>
              <w:jc w:val="center"/>
              <w:rPr>
                <w:rFonts w:eastAsia="Times New Roman" w:cs="Times New Roman"/>
                <w:noProof/>
              </w:rPr>
            </w:pPr>
            <w:r>
              <w:rPr>
                <w:noProof/>
              </w:rPr>
              <w:t>137b</w:t>
            </w:r>
          </w:p>
        </w:tc>
        <w:tc>
          <w:tcPr>
            <w:tcW w:w="18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65CB86" w14:textId="3E845BD2" w:rsidR="00F53E3A" w:rsidRDefault="0036255F">
            <w:pPr>
              <w:pStyle w:val="P68B1DB1-Normal12"/>
              <w:spacing w:before="60" w:after="60"/>
              <w:rPr>
                <w:rFonts w:eastAsia="Times New Roman" w:cs="Times New Roman"/>
                <w:noProof/>
              </w:rPr>
            </w:pPr>
            <w:r>
              <w:rPr>
                <w:noProof/>
              </w:rPr>
              <w:t>E.3.1. Împrumuturi acordate întreprinderilor pentru dezvoltarea de tehnologii ecologice și cu valoare adăugată ridicată pentru dezvoltarea industrială</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3D99BD" w14:textId="42BCFC2A" w:rsidR="00F53E3A" w:rsidRDefault="0036255F">
            <w:pPr>
              <w:pStyle w:val="P68B1DB1-Normal12"/>
              <w:spacing w:before="60" w:after="60"/>
              <w:jc w:val="center"/>
              <w:rPr>
                <w:rFonts w:eastAsia="Times New Roman" w:cs="Times New Roman"/>
                <w:noProof/>
              </w:rPr>
            </w:pPr>
            <w:r>
              <w:rPr>
                <w:noProof/>
              </w:rPr>
              <w:t>Etapă</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A3FBB22" w14:textId="4FF16814" w:rsidR="00F53E3A" w:rsidRDefault="0036255F">
            <w:pPr>
              <w:pStyle w:val="P68B1DB1-Normal12"/>
              <w:spacing w:before="60" w:after="60"/>
              <w:rPr>
                <w:rFonts w:eastAsia="Times New Roman" w:cs="Times New Roman"/>
                <w:noProof/>
              </w:rPr>
            </w:pPr>
            <w:r>
              <w:rPr>
                <w:noProof/>
              </w:rPr>
              <w:t>Acord de finanțare (sau o modificare a unui acord existent privind fondul de fonduri)</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9FAC82A" w14:textId="0225CA6C" w:rsidR="00F53E3A" w:rsidRDefault="0036255F">
            <w:pPr>
              <w:pStyle w:val="P68B1DB1-Normal12"/>
              <w:spacing w:before="60" w:after="60"/>
              <w:rPr>
                <w:rFonts w:eastAsia="Times New Roman" w:cs="Times New Roman"/>
                <w:noProof/>
              </w:rPr>
            </w:pPr>
            <w:r>
              <w:rPr>
                <w:noProof/>
              </w:rPr>
              <w:t>Intrarea în vigoare a acordului de finanțare (sau a unei modificări a unui acord existent privind fondul de fonduri)</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4DDD1AA" w14:textId="13A0477A" w:rsidR="00F53E3A" w:rsidRDefault="00F53E3A">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C161DE" w14:textId="2D78F01D" w:rsidR="00F53E3A" w:rsidRDefault="00F53E3A">
            <w:pPr>
              <w:spacing w:before="60" w:after="60"/>
              <w:jc w:val="center"/>
              <w:rPr>
                <w:rFonts w:ascii="Times New Roman" w:eastAsia="Times New Roman" w:hAnsi="Times New Roman" w:cs="Times New Roman"/>
                <w:noProof/>
                <w:sz w:val="20"/>
              </w:rPr>
            </w:pPr>
          </w:p>
        </w:tc>
        <w:tc>
          <w:tcPr>
            <w:tcW w:w="97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1D445D6" w14:textId="5F3C759D" w:rsidR="00F53E3A" w:rsidRDefault="00F53E3A">
            <w:pPr>
              <w:spacing w:before="60" w:after="60"/>
              <w:jc w:val="center"/>
              <w:rPr>
                <w:rFonts w:ascii="Times New Roman" w:eastAsia="Times New Roman" w:hAnsi="Times New Roman" w:cs="Times New Roman"/>
                <w:noProof/>
                <w:sz w:val="20"/>
              </w:rPr>
            </w:pPr>
          </w:p>
        </w:tc>
        <w:tc>
          <w:tcPr>
            <w:tcW w:w="115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787E176" w14:textId="351A5124" w:rsidR="00F53E3A" w:rsidRDefault="00DB2EC5">
            <w:pPr>
              <w:pStyle w:val="P68B1DB1-Normal12"/>
              <w:spacing w:before="60" w:after="60"/>
              <w:jc w:val="center"/>
              <w:rPr>
                <w:rFonts w:eastAsia="Times New Roman" w:cs="Times New Roman"/>
                <w:noProof/>
              </w:rPr>
            </w:pPr>
            <w:r>
              <w:rPr>
                <w:noProof/>
              </w:rPr>
              <w:t>T4</w:t>
            </w:r>
          </w:p>
        </w:tc>
        <w:tc>
          <w:tcPr>
            <w:tcW w:w="73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2E1209E" w14:textId="7ED33B0A" w:rsidR="00F53E3A" w:rsidRDefault="0036255F">
            <w:pPr>
              <w:pStyle w:val="P68B1DB1-Normal12"/>
              <w:spacing w:before="60" w:after="60"/>
              <w:jc w:val="center"/>
              <w:rPr>
                <w:rFonts w:eastAsia="Times New Roman" w:cs="Times New Roman"/>
                <w:noProof/>
              </w:rPr>
            </w:pPr>
            <w:r>
              <w:rPr>
                <w:noProof/>
              </w:rPr>
              <w:t>2024</w:t>
            </w:r>
          </w:p>
        </w:tc>
        <w:tc>
          <w:tcPr>
            <w:tcW w:w="35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1AD2272" w14:textId="03C8EE3F" w:rsidR="00F53E3A" w:rsidRDefault="0036255F">
            <w:pPr>
              <w:pStyle w:val="P68B1DB1-Normal12"/>
              <w:spacing w:before="60" w:after="60"/>
              <w:jc w:val="both"/>
              <w:rPr>
                <w:rFonts w:eastAsia="Times New Roman" w:cs="Times New Roman"/>
                <w:noProof/>
              </w:rPr>
            </w:pPr>
            <w:r>
              <w:rPr>
                <w:noProof/>
              </w:rPr>
              <w:t>Intrarea în vigoare a acordului de finanțare (sau a unei modificări a unui acord existent privind fondul de fonduri).</w:t>
            </w:r>
          </w:p>
        </w:tc>
      </w:tr>
      <w:tr w:rsidR="00F53E3A" w14:paraId="75A36960" w14:textId="77777777" w:rsidTr="0035684C">
        <w:trPr>
          <w:trHeight w:val="739"/>
        </w:trPr>
        <w:tc>
          <w:tcPr>
            <w:tcW w:w="65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2A8EBC5" w14:textId="4A23B2C8" w:rsidR="00F53E3A" w:rsidRDefault="0036255F">
            <w:pPr>
              <w:pStyle w:val="P68B1DB1-Normal12"/>
              <w:spacing w:before="60" w:after="60"/>
              <w:jc w:val="center"/>
              <w:rPr>
                <w:rFonts w:cs="Times New Roman"/>
                <w:noProof/>
              </w:rPr>
            </w:pPr>
            <w:r>
              <w:rPr>
                <w:noProof/>
              </w:rPr>
              <w:t>137c</w:t>
            </w:r>
          </w:p>
        </w:tc>
        <w:tc>
          <w:tcPr>
            <w:tcW w:w="18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5699AD1" w14:textId="78B3E037" w:rsidR="00F53E3A" w:rsidRDefault="0036255F">
            <w:pPr>
              <w:pStyle w:val="P68B1DB1-Normal12"/>
              <w:spacing w:before="60" w:after="60"/>
              <w:rPr>
                <w:rFonts w:cs="Times New Roman"/>
                <w:noProof/>
              </w:rPr>
            </w:pPr>
            <w:r>
              <w:rPr>
                <w:noProof/>
              </w:rPr>
              <w:t>E.3.1. Împrumuturi acordate întreprinderilor pentru dezvoltarea de tehnologii ecologice și cu valoare adăugată ridicată pentru dezvoltarea industrială</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F650AE2" w14:textId="3C1A2683" w:rsidR="00F53E3A" w:rsidRDefault="0036255F">
            <w:pPr>
              <w:pStyle w:val="P68B1DB1-Normal12"/>
              <w:spacing w:before="60" w:after="60"/>
              <w:jc w:val="center"/>
              <w:rPr>
                <w:rFonts w:eastAsia="Times New Roman" w:cs="Times New Roman"/>
                <w:noProof/>
              </w:rPr>
            </w:pPr>
            <w:r>
              <w:rPr>
                <w:noProof/>
              </w:rPr>
              <w:t>Etapă</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5F7178" w14:textId="406A9B14" w:rsidR="00F53E3A" w:rsidRDefault="0036255F">
            <w:pPr>
              <w:pStyle w:val="P68B1DB1-Normal12"/>
              <w:spacing w:before="60" w:after="60"/>
              <w:rPr>
                <w:rFonts w:eastAsia="Times New Roman" w:cs="Times New Roman"/>
                <w:noProof/>
              </w:rPr>
            </w:pPr>
            <w:r>
              <w:rPr>
                <w:noProof/>
              </w:rPr>
              <w:t>Publicarea cererii de candidaturi de către INVEGA</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290DB9D" w14:textId="516D238C" w:rsidR="00F53E3A" w:rsidRDefault="0036255F">
            <w:pPr>
              <w:pStyle w:val="P68B1DB1-Normal12"/>
              <w:spacing w:before="60" w:after="60"/>
              <w:rPr>
                <w:rFonts w:eastAsia="Times New Roman" w:cs="Times New Roman"/>
                <w:noProof/>
              </w:rPr>
            </w:pPr>
            <w:r>
              <w:rPr>
                <w:noProof/>
              </w:rPr>
              <w:t>Publicarea cererii de propuneri</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A45F9C3" w14:textId="568E8569" w:rsidR="00F53E3A" w:rsidRDefault="00F53E3A">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8BA4FA" w14:textId="34A0F66B" w:rsidR="00F53E3A" w:rsidRDefault="00F53E3A">
            <w:pPr>
              <w:spacing w:before="60" w:after="60"/>
              <w:jc w:val="center"/>
              <w:rPr>
                <w:rFonts w:ascii="Times New Roman" w:eastAsia="Times New Roman" w:hAnsi="Times New Roman" w:cs="Times New Roman"/>
                <w:noProof/>
                <w:sz w:val="20"/>
              </w:rPr>
            </w:pPr>
          </w:p>
        </w:tc>
        <w:tc>
          <w:tcPr>
            <w:tcW w:w="97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44DD52" w14:textId="1E1A4894" w:rsidR="00F53E3A" w:rsidRDefault="00F53E3A">
            <w:pPr>
              <w:spacing w:before="60" w:after="60"/>
              <w:jc w:val="center"/>
              <w:rPr>
                <w:rFonts w:ascii="Times New Roman" w:eastAsia="Times New Roman" w:hAnsi="Times New Roman" w:cs="Times New Roman"/>
                <w:noProof/>
                <w:sz w:val="20"/>
              </w:rPr>
            </w:pPr>
          </w:p>
        </w:tc>
        <w:tc>
          <w:tcPr>
            <w:tcW w:w="115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5EB45BD" w14:textId="7C4E686D" w:rsidR="00F53E3A" w:rsidRDefault="00DB2EC5">
            <w:pPr>
              <w:pStyle w:val="P68B1DB1-Normal12"/>
              <w:spacing w:before="60" w:after="60"/>
              <w:jc w:val="center"/>
              <w:rPr>
                <w:rFonts w:eastAsia="Times New Roman" w:cs="Times New Roman"/>
                <w:noProof/>
              </w:rPr>
            </w:pPr>
            <w:r>
              <w:rPr>
                <w:noProof/>
              </w:rPr>
              <w:t>T1</w:t>
            </w:r>
          </w:p>
        </w:tc>
        <w:tc>
          <w:tcPr>
            <w:tcW w:w="73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DF5147" w14:textId="715F2A35" w:rsidR="00F53E3A" w:rsidRDefault="0036255F">
            <w:pPr>
              <w:pStyle w:val="P68B1DB1-Normal12"/>
              <w:spacing w:before="60" w:after="60"/>
              <w:jc w:val="center"/>
              <w:rPr>
                <w:rFonts w:eastAsia="Times New Roman" w:cs="Times New Roman"/>
                <w:noProof/>
              </w:rPr>
            </w:pPr>
            <w:r>
              <w:rPr>
                <w:noProof/>
              </w:rPr>
              <w:t>2025</w:t>
            </w:r>
          </w:p>
        </w:tc>
        <w:tc>
          <w:tcPr>
            <w:tcW w:w="35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3E071A" w14:textId="005E6E76" w:rsidR="00F53E3A" w:rsidRDefault="0036255F">
            <w:pPr>
              <w:pStyle w:val="P68B1DB1-Normal12"/>
              <w:spacing w:before="60" w:after="60"/>
              <w:jc w:val="both"/>
              <w:rPr>
                <w:rFonts w:eastAsia="Times New Roman" w:cs="Times New Roman"/>
                <w:noProof/>
              </w:rPr>
            </w:pPr>
            <w:r>
              <w:rPr>
                <w:noProof/>
              </w:rPr>
              <w:t>INVEGA lansează o cerere de propuneri pentru ca întreprinderile să depună cereri de împrumuturi în conformitate cu cerințele specificate în descrierea măsurii.</w:t>
            </w:r>
          </w:p>
        </w:tc>
      </w:tr>
      <w:tr w:rsidR="00F53E3A" w14:paraId="39B6E489" w14:textId="77777777" w:rsidTr="0035684C">
        <w:trPr>
          <w:trHeight w:val="300"/>
        </w:trPr>
        <w:tc>
          <w:tcPr>
            <w:tcW w:w="65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0E8E86" w14:textId="24232363" w:rsidR="00F53E3A" w:rsidRDefault="0036255F">
            <w:pPr>
              <w:pStyle w:val="P68B1DB1-Normal12"/>
              <w:spacing w:before="60" w:after="60"/>
              <w:jc w:val="center"/>
              <w:rPr>
                <w:rFonts w:cs="Times New Roman"/>
                <w:noProof/>
              </w:rPr>
            </w:pPr>
            <w:r>
              <w:rPr>
                <w:noProof/>
              </w:rPr>
              <w:t>137d</w:t>
            </w:r>
          </w:p>
        </w:tc>
        <w:tc>
          <w:tcPr>
            <w:tcW w:w="18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E7E6DE4" w14:textId="3267E32A" w:rsidR="00F53E3A" w:rsidRDefault="0036255F">
            <w:pPr>
              <w:pStyle w:val="P68B1DB1-Normal12"/>
              <w:spacing w:before="60" w:after="60"/>
              <w:rPr>
                <w:rFonts w:cs="Times New Roman"/>
                <w:noProof/>
              </w:rPr>
            </w:pPr>
            <w:r>
              <w:rPr>
                <w:noProof/>
              </w:rPr>
              <w:t>E.3.1. Împrumuturi acordate întreprinderilor pentru dezvoltarea de tehnologii ecologice și cu valoare adăugată ridicată pentru dezvoltarea industrială</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34A9B0C" w14:textId="0CE42A82" w:rsidR="00F53E3A" w:rsidRDefault="0036255F">
            <w:pPr>
              <w:pStyle w:val="P68B1DB1-Normal12"/>
              <w:spacing w:before="60" w:after="60"/>
              <w:jc w:val="center"/>
              <w:rPr>
                <w:rFonts w:eastAsia="Times New Roman" w:cs="Times New Roman"/>
                <w:noProof/>
              </w:rPr>
            </w:pPr>
            <w:r>
              <w:rPr>
                <w:noProof/>
              </w:rPr>
              <w:t>Țintă</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02ADF52" w14:textId="7C4660AA" w:rsidR="00F53E3A" w:rsidRDefault="0036255F">
            <w:pPr>
              <w:pStyle w:val="P68B1DB1-Normal12"/>
              <w:spacing w:before="60" w:after="60"/>
              <w:rPr>
                <w:rFonts w:eastAsia="Times New Roman" w:cs="Times New Roman"/>
                <w:noProof/>
              </w:rPr>
            </w:pPr>
            <w:r>
              <w:rPr>
                <w:noProof/>
              </w:rPr>
              <w:t>Acorduri juridice semnate cu beneficiarii finali</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7C61CF7" w14:textId="12BC2BA5" w:rsidR="00F53E3A" w:rsidRDefault="00F53E3A">
            <w:pPr>
              <w:spacing w:before="60" w:after="60"/>
              <w:rPr>
                <w:rFonts w:ascii="Times New Roman" w:eastAsia="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651F0D8" w14:textId="14D9D5E2" w:rsidR="00F53E3A" w:rsidRDefault="0036255F">
            <w:pPr>
              <w:pStyle w:val="P68B1DB1-Normal12"/>
              <w:spacing w:before="60" w:after="60"/>
              <w:jc w:val="center"/>
              <w:rPr>
                <w:rFonts w:eastAsia="Times New Roman" w:cs="Times New Roman"/>
                <w:noProof/>
              </w:rPr>
            </w:pPr>
            <w:r>
              <w:rPr>
                <w:noProof/>
              </w:rPr>
              <w:t>%</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0916264" w14:textId="6F0988D1" w:rsidR="00F53E3A" w:rsidRDefault="0036255F">
            <w:pPr>
              <w:pStyle w:val="P68B1DB1-Normal12"/>
              <w:spacing w:before="60" w:after="60"/>
              <w:jc w:val="center"/>
              <w:rPr>
                <w:rFonts w:eastAsia="Times New Roman" w:cs="Times New Roman"/>
                <w:noProof/>
              </w:rPr>
            </w:pPr>
            <w:r>
              <w:rPr>
                <w:noProof/>
              </w:rPr>
              <w:t>0 %</w:t>
            </w:r>
          </w:p>
        </w:tc>
        <w:tc>
          <w:tcPr>
            <w:tcW w:w="97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4785A96" w14:textId="4924C3D3" w:rsidR="00F53E3A" w:rsidRDefault="0036255F">
            <w:pPr>
              <w:pStyle w:val="P68B1DB1-Normal12"/>
              <w:spacing w:before="60" w:after="60"/>
              <w:jc w:val="center"/>
              <w:rPr>
                <w:rFonts w:eastAsia="Times New Roman" w:cs="Times New Roman"/>
                <w:noProof/>
              </w:rPr>
            </w:pPr>
            <w:r>
              <w:rPr>
                <w:noProof/>
              </w:rPr>
              <w:t>20 %</w:t>
            </w:r>
          </w:p>
        </w:tc>
        <w:tc>
          <w:tcPr>
            <w:tcW w:w="115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838188A" w14:textId="581C78B5" w:rsidR="00F53E3A" w:rsidRDefault="00DB2EC5">
            <w:pPr>
              <w:pStyle w:val="P68B1DB1-Normal12"/>
              <w:spacing w:before="60" w:after="60"/>
              <w:jc w:val="center"/>
              <w:rPr>
                <w:rFonts w:eastAsia="Times New Roman" w:cs="Times New Roman"/>
                <w:noProof/>
              </w:rPr>
            </w:pPr>
            <w:r>
              <w:rPr>
                <w:noProof/>
              </w:rPr>
              <w:t>T3</w:t>
            </w:r>
          </w:p>
        </w:tc>
        <w:tc>
          <w:tcPr>
            <w:tcW w:w="73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123D21" w14:textId="6AE3284A" w:rsidR="00F53E3A" w:rsidRDefault="0036255F">
            <w:pPr>
              <w:pStyle w:val="P68B1DB1-Normal12"/>
              <w:spacing w:before="60" w:after="60"/>
              <w:jc w:val="center"/>
              <w:rPr>
                <w:rFonts w:eastAsia="Times New Roman" w:cs="Times New Roman"/>
                <w:noProof/>
              </w:rPr>
            </w:pPr>
            <w:r>
              <w:rPr>
                <w:noProof/>
              </w:rPr>
              <w:t>2025</w:t>
            </w:r>
          </w:p>
        </w:tc>
        <w:tc>
          <w:tcPr>
            <w:tcW w:w="35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5BFCA0B" w14:textId="005E6E76" w:rsidR="00F53E3A" w:rsidRDefault="0036255F">
            <w:pPr>
              <w:pStyle w:val="P68B1DB1-Normal12"/>
              <w:spacing w:before="60" w:after="60"/>
              <w:jc w:val="both"/>
              <w:rPr>
                <w:rFonts w:eastAsia="Times New Roman" w:cs="Times New Roman"/>
                <w:noProof/>
              </w:rPr>
            </w:pPr>
            <w:r>
              <w:rPr>
                <w:noProof/>
              </w:rPr>
              <w:t>INVEGA trebuie să fi încheiat acorduri juridice de finanțare cu beneficiarii finali pentru o sumă necesară pentru a utiliza cel puțin 20 % din investițiile MRR în mecanism (ținând seama de comisioanele de gestionare).</w:t>
            </w:r>
          </w:p>
        </w:tc>
      </w:tr>
      <w:tr w:rsidR="00F53E3A" w14:paraId="7378FD84" w14:textId="77777777" w:rsidTr="0035684C">
        <w:trPr>
          <w:trHeight w:val="300"/>
        </w:trPr>
        <w:tc>
          <w:tcPr>
            <w:tcW w:w="65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6A1BC2" w14:textId="29B19FBA" w:rsidR="00F53E3A" w:rsidRDefault="0036255F">
            <w:pPr>
              <w:pStyle w:val="P68B1DB1-Normal12"/>
              <w:spacing w:before="60" w:after="60"/>
              <w:jc w:val="center"/>
              <w:rPr>
                <w:rFonts w:cs="Times New Roman"/>
                <w:noProof/>
              </w:rPr>
            </w:pPr>
            <w:r>
              <w:rPr>
                <w:noProof/>
              </w:rPr>
              <w:t>137e</w:t>
            </w:r>
          </w:p>
        </w:tc>
        <w:tc>
          <w:tcPr>
            <w:tcW w:w="18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9B7BFF6" w14:textId="700E2B2B" w:rsidR="00F53E3A" w:rsidRDefault="0036255F">
            <w:pPr>
              <w:pStyle w:val="P68B1DB1-Normal12"/>
              <w:spacing w:before="60" w:after="60"/>
              <w:rPr>
                <w:rFonts w:cs="Times New Roman"/>
                <w:noProof/>
              </w:rPr>
            </w:pPr>
            <w:r>
              <w:rPr>
                <w:noProof/>
              </w:rPr>
              <w:t>E.3.1. Împrumuturi acordate întreprinderilor pentru dezvoltarea de tehnologii ecologice și cu valoare adăugată ridicată pentru dezvoltarea industrială</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94C1C14" w14:textId="596C7F71" w:rsidR="00F53E3A" w:rsidRDefault="0036255F">
            <w:pPr>
              <w:pStyle w:val="P68B1DB1-Normal12"/>
              <w:spacing w:before="60" w:after="60"/>
              <w:jc w:val="center"/>
              <w:rPr>
                <w:rFonts w:eastAsia="Times New Roman" w:cs="Times New Roman"/>
                <w:noProof/>
              </w:rPr>
            </w:pPr>
            <w:r>
              <w:rPr>
                <w:noProof/>
              </w:rPr>
              <w:t>Țintă</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7DE11B1" w14:textId="35DCD17C" w:rsidR="00F53E3A" w:rsidRDefault="0036255F">
            <w:pPr>
              <w:pStyle w:val="P68B1DB1-Normal12"/>
              <w:spacing w:before="60" w:after="60"/>
              <w:rPr>
                <w:rFonts w:eastAsia="Times New Roman" w:cs="Times New Roman"/>
                <w:noProof/>
              </w:rPr>
            </w:pPr>
            <w:r>
              <w:rPr>
                <w:noProof/>
              </w:rPr>
              <w:t>Acorduri juridice semnate cu beneficiarii finali</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5998D5" w14:textId="0106D483" w:rsidR="00F53E3A" w:rsidRDefault="00F53E3A">
            <w:pPr>
              <w:spacing w:before="60" w:after="60"/>
              <w:rPr>
                <w:rFonts w:ascii="Times New Roman" w:hAnsi="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148DBA7" w14:textId="0816D5F2" w:rsidR="00F53E3A" w:rsidRDefault="0036255F">
            <w:pPr>
              <w:pStyle w:val="P68B1DB1-Normal12"/>
              <w:spacing w:before="60" w:after="60"/>
              <w:jc w:val="center"/>
              <w:rPr>
                <w:rFonts w:eastAsia="Times New Roman" w:cs="Times New Roman"/>
                <w:noProof/>
              </w:rPr>
            </w:pPr>
            <w:r>
              <w:rPr>
                <w:noProof/>
              </w:rPr>
              <w:t>%</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31F58F4" w14:textId="514074F2" w:rsidR="00F53E3A" w:rsidRDefault="0036255F">
            <w:pPr>
              <w:pStyle w:val="P68B1DB1-Normal12"/>
              <w:spacing w:before="60" w:after="60"/>
              <w:jc w:val="center"/>
              <w:rPr>
                <w:rFonts w:eastAsia="Times New Roman" w:cs="Times New Roman"/>
                <w:noProof/>
              </w:rPr>
            </w:pPr>
            <w:r>
              <w:rPr>
                <w:noProof/>
              </w:rPr>
              <w:t>20 %</w:t>
            </w:r>
          </w:p>
        </w:tc>
        <w:tc>
          <w:tcPr>
            <w:tcW w:w="97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4A466D3" w14:textId="1643425A" w:rsidR="00F53E3A" w:rsidRDefault="0036255F">
            <w:pPr>
              <w:pStyle w:val="P68B1DB1-Normal12"/>
              <w:spacing w:before="60" w:after="60"/>
              <w:jc w:val="center"/>
              <w:rPr>
                <w:rFonts w:eastAsia="Times New Roman" w:cs="Times New Roman"/>
                <w:noProof/>
              </w:rPr>
            </w:pPr>
            <w:r>
              <w:rPr>
                <w:noProof/>
              </w:rPr>
              <w:t>100 %</w:t>
            </w:r>
          </w:p>
        </w:tc>
        <w:tc>
          <w:tcPr>
            <w:tcW w:w="115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0992DB" w14:textId="02C18882" w:rsidR="00F53E3A" w:rsidRDefault="00DB2EC5">
            <w:pPr>
              <w:pStyle w:val="P68B1DB1-Normal12"/>
              <w:spacing w:before="60" w:after="60"/>
              <w:jc w:val="center"/>
              <w:rPr>
                <w:rFonts w:eastAsia="Times New Roman" w:cs="Times New Roman"/>
                <w:noProof/>
              </w:rPr>
            </w:pPr>
            <w:r>
              <w:rPr>
                <w:noProof/>
              </w:rPr>
              <w:t>T2</w:t>
            </w:r>
          </w:p>
        </w:tc>
        <w:tc>
          <w:tcPr>
            <w:tcW w:w="73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453AC1C" w14:textId="08001BCE" w:rsidR="00F53E3A" w:rsidRDefault="0036255F">
            <w:pPr>
              <w:pStyle w:val="P68B1DB1-Normal12"/>
              <w:spacing w:before="60" w:after="60"/>
              <w:jc w:val="center"/>
              <w:rPr>
                <w:rFonts w:eastAsia="Times New Roman" w:cs="Times New Roman"/>
                <w:noProof/>
              </w:rPr>
            </w:pPr>
            <w:r>
              <w:rPr>
                <w:noProof/>
              </w:rPr>
              <w:t>2026</w:t>
            </w:r>
          </w:p>
        </w:tc>
        <w:tc>
          <w:tcPr>
            <w:tcW w:w="35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8FE6BC4" w14:textId="2E4BC12E" w:rsidR="00F53E3A" w:rsidRDefault="0036255F">
            <w:pPr>
              <w:pStyle w:val="P68B1DB1-Normal12"/>
              <w:spacing w:before="60" w:after="60"/>
              <w:jc w:val="both"/>
              <w:rPr>
                <w:rFonts w:eastAsia="Times New Roman" w:cs="Times New Roman"/>
                <w:noProof/>
              </w:rPr>
            </w:pPr>
            <w:r>
              <w:rPr>
                <w:noProof/>
              </w:rPr>
              <w:t>INVEGA trebuie să fi încheiat acorduri juridice de finanțare cu beneficiarii finali pentru o sumă necesară pentru a utiliza cel puțin 100 % din investițiile MRR în mecanism (ținând seama de comisioanele de gestionare).</w:t>
            </w:r>
          </w:p>
        </w:tc>
      </w:tr>
      <w:tr w:rsidR="00F53E3A" w14:paraId="41F384E4" w14:textId="77777777" w:rsidTr="0035684C">
        <w:trPr>
          <w:trHeight w:val="300"/>
        </w:trPr>
        <w:tc>
          <w:tcPr>
            <w:tcW w:w="65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A29D74" w14:textId="7C7153D8" w:rsidR="00F53E3A" w:rsidRDefault="0036255F">
            <w:pPr>
              <w:pStyle w:val="P68B1DB1-Normal12"/>
              <w:spacing w:before="60" w:after="60"/>
              <w:jc w:val="center"/>
              <w:rPr>
                <w:rFonts w:eastAsia="Times New Roman" w:cs="Times New Roman"/>
                <w:noProof/>
              </w:rPr>
            </w:pPr>
            <w:r>
              <w:rPr>
                <w:noProof/>
              </w:rPr>
              <w:t>137f</w:t>
            </w:r>
          </w:p>
        </w:tc>
        <w:tc>
          <w:tcPr>
            <w:tcW w:w="18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07F1F38" w14:textId="5CEC6903" w:rsidR="00F53E3A" w:rsidRDefault="0036255F">
            <w:pPr>
              <w:pStyle w:val="P68B1DB1-Normal12"/>
              <w:spacing w:before="60" w:after="60"/>
              <w:rPr>
                <w:rFonts w:eastAsia="Times New Roman" w:cs="Times New Roman"/>
                <w:noProof/>
              </w:rPr>
            </w:pPr>
            <w:r>
              <w:rPr>
                <w:noProof/>
              </w:rPr>
              <w:t>E.3.1. Împrumuturi acordate întreprinderilor pentru dezvoltarea de tehnologii ecologice și cu valoare adăugată ridicată pentru dezvoltarea industrială</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7DD6408" w14:textId="5299245B" w:rsidR="00F53E3A" w:rsidRDefault="0036255F">
            <w:pPr>
              <w:pStyle w:val="P68B1DB1-Normal12"/>
              <w:spacing w:before="60" w:after="60"/>
              <w:jc w:val="center"/>
              <w:rPr>
                <w:rFonts w:eastAsia="Times New Roman" w:cs="Times New Roman"/>
                <w:noProof/>
              </w:rPr>
            </w:pPr>
            <w:r>
              <w:rPr>
                <w:noProof/>
              </w:rPr>
              <w:t>Etapă</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538C0F" w14:textId="0F63F294" w:rsidR="00F53E3A" w:rsidRDefault="0036255F">
            <w:pPr>
              <w:pStyle w:val="P68B1DB1-Normal12"/>
              <w:spacing w:before="60" w:after="60"/>
              <w:rPr>
                <w:noProof/>
              </w:rPr>
            </w:pPr>
            <w:r>
              <w:rPr>
                <w:noProof/>
              </w:rPr>
              <w:t>Transferul investițiilor MRR către mecanism</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730C662" w14:textId="01AFCF56" w:rsidR="00F53E3A" w:rsidRDefault="0036255F">
            <w:pPr>
              <w:pStyle w:val="P68B1DB1-Normal12"/>
              <w:spacing w:before="60" w:after="60"/>
              <w:rPr>
                <w:rFonts w:eastAsia="Times New Roman" w:cs="Times New Roman"/>
                <w:noProof/>
              </w:rPr>
            </w:pPr>
            <w:r>
              <w:rPr>
                <w:noProof/>
              </w:rPr>
              <w:t>Certificat sau altă dovadă echivalentă a transferului</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5377A83" w14:textId="7D87C7BA" w:rsidR="00F53E3A" w:rsidRDefault="00F53E3A">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C63ED6D" w14:textId="1021D8D3" w:rsidR="00F53E3A" w:rsidRDefault="00F53E3A">
            <w:pPr>
              <w:spacing w:before="60" w:after="60"/>
              <w:jc w:val="center"/>
              <w:rPr>
                <w:rFonts w:ascii="Times New Roman" w:eastAsia="Times New Roman" w:hAnsi="Times New Roman" w:cs="Times New Roman"/>
                <w:noProof/>
                <w:sz w:val="20"/>
              </w:rPr>
            </w:pPr>
          </w:p>
        </w:tc>
        <w:tc>
          <w:tcPr>
            <w:tcW w:w="97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0982F69" w14:textId="761B4B3A" w:rsidR="00F53E3A" w:rsidRDefault="00F53E3A">
            <w:pPr>
              <w:spacing w:before="60" w:after="60"/>
              <w:jc w:val="center"/>
              <w:rPr>
                <w:rFonts w:ascii="Times New Roman" w:eastAsia="Times New Roman" w:hAnsi="Times New Roman" w:cs="Times New Roman"/>
                <w:noProof/>
                <w:sz w:val="20"/>
              </w:rPr>
            </w:pPr>
          </w:p>
        </w:tc>
        <w:tc>
          <w:tcPr>
            <w:tcW w:w="115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95FAD8E" w14:textId="42A32B10" w:rsidR="00F53E3A" w:rsidRDefault="00DB2EC5">
            <w:pPr>
              <w:pStyle w:val="P68B1DB1-Normal12"/>
              <w:spacing w:before="60" w:after="60"/>
              <w:jc w:val="center"/>
              <w:rPr>
                <w:rFonts w:eastAsia="Times New Roman" w:cs="Times New Roman"/>
                <w:noProof/>
              </w:rPr>
            </w:pPr>
            <w:r>
              <w:rPr>
                <w:noProof/>
              </w:rPr>
              <w:t>T2</w:t>
            </w:r>
          </w:p>
        </w:tc>
        <w:tc>
          <w:tcPr>
            <w:tcW w:w="73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691F554" w14:textId="00613A05" w:rsidR="00F53E3A" w:rsidRDefault="0036255F">
            <w:pPr>
              <w:pStyle w:val="P68B1DB1-Normal12"/>
              <w:spacing w:before="60" w:after="60"/>
              <w:jc w:val="center"/>
              <w:rPr>
                <w:rFonts w:eastAsia="Times New Roman" w:cs="Times New Roman"/>
                <w:noProof/>
              </w:rPr>
            </w:pPr>
            <w:r>
              <w:rPr>
                <w:noProof/>
              </w:rPr>
              <w:t>2026</w:t>
            </w:r>
          </w:p>
        </w:tc>
        <w:tc>
          <w:tcPr>
            <w:tcW w:w="35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7D8210" w14:textId="6C8A33BE" w:rsidR="00F53E3A" w:rsidRDefault="0036255F">
            <w:pPr>
              <w:pStyle w:val="P68B1DB1-Normal12"/>
              <w:spacing w:before="60" w:after="60"/>
              <w:jc w:val="both"/>
              <w:rPr>
                <w:rFonts w:eastAsia="Times New Roman" w:cs="Times New Roman"/>
                <w:noProof/>
              </w:rPr>
            </w:pPr>
            <w:r>
              <w:rPr>
                <w:noProof/>
              </w:rPr>
              <w:t>Lituania transferă 850 000 000 EUR către INVEGA pentru facilitate.</w:t>
            </w:r>
          </w:p>
        </w:tc>
      </w:tr>
    </w:tbl>
    <w:p w14:paraId="2B66543D" w14:textId="77777777" w:rsidR="00F53E3A" w:rsidRDefault="00F53E3A">
      <w:pPr>
        <w:pStyle w:val="ManualHeading1"/>
        <w:tabs>
          <w:tab w:val="clear" w:pos="850"/>
        </w:tabs>
        <w:ind w:left="0" w:firstLine="0"/>
        <w:rPr>
          <w:noProof/>
        </w:rPr>
        <w:sectPr w:rsidR="00F53E3A" w:rsidSect="0074650A">
          <w:headerReference w:type="even" r:id="rId96"/>
          <w:headerReference w:type="default" r:id="rId97"/>
          <w:footerReference w:type="even" r:id="rId98"/>
          <w:footerReference w:type="default" r:id="rId99"/>
          <w:headerReference w:type="first" r:id="rId100"/>
          <w:footerReference w:type="first" r:id="rId101"/>
          <w:pgSz w:w="16839" w:h="11907" w:orient="landscape"/>
          <w:pgMar w:top="1134" w:right="1134" w:bottom="1134" w:left="1134" w:header="567" w:footer="567" w:gutter="0"/>
          <w:cols w:space="720"/>
          <w:docGrid w:linePitch="360"/>
        </w:sectPr>
      </w:pPr>
    </w:p>
    <w:p w14:paraId="245EAECE" w14:textId="2620FD7A" w:rsidR="00F53E3A" w:rsidRDefault="0036255F">
      <w:pPr>
        <w:pStyle w:val="ManualHeading1"/>
        <w:tabs>
          <w:tab w:val="clear" w:pos="850"/>
        </w:tabs>
        <w:spacing w:before="0" w:after="200"/>
        <w:ind w:left="0" w:firstLine="0"/>
        <w:rPr>
          <w:noProof/>
        </w:rPr>
      </w:pPr>
      <w:r>
        <w:rPr>
          <w:noProof/>
        </w:rPr>
        <w:t>F. COMPONENTA 6: Un sector public eficient și condiții prealabile pentru redresarea după pandemie</w:t>
      </w:r>
    </w:p>
    <w:p w14:paraId="5F64E5FB" w14:textId="161EFF6A" w:rsidR="00F53E3A" w:rsidRDefault="0036255F">
      <w:pPr>
        <w:pStyle w:val="paragraph"/>
        <w:spacing w:before="0" w:beforeAutospacing="0" w:after="200" w:afterAutospacing="0" w:line="276" w:lineRule="auto"/>
        <w:jc w:val="both"/>
        <w:textAlignment w:val="baseline"/>
        <w:rPr>
          <w:rStyle w:val="normaltextrun"/>
          <w:rFonts w:eastAsiaTheme="minorEastAsia"/>
          <w:smallCaps/>
          <w:noProof/>
        </w:rPr>
      </w:pPr>
      <w:r>
        <w:rPr>
          <w:noProof/>
        </w:rPr>
        <w:t>Această componentă a planului lituanian de redresare și reziliență contribuie la abordarea provocărilor legate de sistemul fiscal, de respectarea obligațiilor fiscale, de cadrul bugetar, de gestionarea resurselor umane în sectorul public și de gestionarea insolvenței întreprinderilor.</w:t>
      </w:r>
      <w:r>
        <w:rPr>
          <w:rStyle w:val="normaltextrun"/>
          <w:b/>
          <w:noProof/>
        </w:rPr>
        <w:t xml:space="preserve"> </w:t>
      </w:r>
      <w:r>
        <w:rPr>
          <w:rStyle w:val="normaltextrun"/>
          <w:noProof/>
        </w:rPr>
        <w:t xml:space="preserve">Obiectivele componentei sunt de a îmbunătăți respectarea obligațiilor fiscale și de a echilibra sistemul fiscal; îmbunătățirea gestionării resurselor umane din sectorul public; îmbunătățirea planificării bugetare pe termen mediu și a gestionării cheltuielilor; creșterea independenței financiare a municipalităților; și să sporească varietatea instrumentelor financiare pentru a stimula investițiile publice. </w:t>
      </w:r>
    </w:p>
    <w:p w14:paraId="3CD7C386" w14:textId="66A70FB3" w:rsidR="00F53E3A" w:rsidRDefault="0036255F">
      <w:pPr>
        <w:pStyle w:val="paragraph"/>
        <w:spacing w:before="0" w:beforeAutospacing="0" w:after="200" w:afterAutospacing="0" w:line="276" w:lineRule="auto"/>
        <w:jc w:val="both"/>
        <w:textAlignment w:val="baseline"/>
        <w:rPr>
          <w:rStyle w:val="normaltextrun"/>
          <w:noProof/>
        </w:rPr>
      </w:pPr>
      <w:r>
        <w:rPr>
          <w:rStyle w:val="normaltextrun"/>
          <w:noProof/>
        </w:rPr>
        <w:t xml:space="preserve">Componenta conține măsuri care vizează extinderea bazei de impozitare la surse mai puțin dăunătoare pentru creștere, precum și măsuri juridice și tehnice de îmbunătățire a respectării obligațiilor fiscale și de îmbunătățire a conceperii sistemului fiscal și de prestații sociale pentru a contribui la reducerea inegalității veniturilor și a sărăciei. Acesta include, de asemenea, mai multe măsuri de reformă legate de cadrul bugetar: stabilirea unei planificări bugetare pe termen mediu și a unor analize ale cheltuielilor, ajustarea procedurilor de rectificare bugetară, promovarea utilizării parteneriatelor public-privat în procesul investițiilor publice, revizuirea structurii veniturilor municipale, consolidarea a patru instituții naționale de dezvoltare într-un singur organism public și dezvoltarea a patru instrumente digitale care se preconizează că vor ajuta întreprinderile să gestioneze riscurile de insolvență. În plus, componenta cuprinde o reformă privind gestionarea resurselor umane și dezvoltarea personalului din sectorul public. </w:t>
      </w:r>
    </w:p>
    <w:p w14:paraId="3C74B064" w14:textId="6BAEA8EB" w:rsidR="00F53E3A" w:rsidRDefault="0036255F">
      <w:pPr>
        <w:pStyle w:val="paragraph"/>
        <w:spacing w:before="0" w:beforeAutospacing="0" w:after="200" w:afterAutospacing="0" w:line="276" w:lineRule="auto"/>
        <w:jc w:val="both"/>
        <w:textAlignment w:val="baseline"/>
        <w:rPr>
          <w:rStyle w:val="normaltextrun"/>
          <w:noProof/>
        </w:rPr>
      </w:pPr>
      <w:r>
        <w:rPr>
          <w:rStyle w:val="normaltextrun"/>
          <w:noProof/>
        </w:rPr>
        <w:t>Componenta contribuie la punerea în aplicare a recomandării specifice fiecărei țări de a îmbunătăți respectarea obligațiilor fiscale și de a extinde baza de impozitare la surse mai puțin dăunătoare creșterii economice (Recomandarea specifică fiecărei țări 1 2019). În plus, prin venituri fiscale suplimentare și economii potențiale datorită analizelor cheltuielilor, componenta contribuie, de asemenea, la abordarea recomandărilor privind consolidarea sistemului fiscal și de prestații sociale (Recomandarea specifică fiecărei țări 1 2019 și Recomandarea specifică fiecărei țări 2 2020). O serie de măsuri legate de cadrul bugetar contribuie la eficientizarea investițiilor publice (Recomandarea specifică fiecărei țări 3 2019).</w:t>
      </w:r>
    </w:p>
    <w:p w14:paraId="639FB575" w14:textId="77777777" w:rsidR="00F53E3A" w:rsidRDefault="0036255F">
      <w:pPr>
        <w:pStyle w:val="paragraph"/>
        <w:spacing w:before="0" w:beforeAutospacing="0" w:after="200" w:afterAutospacing="0" w:line="276" w:lineRule="auto"/>
        <w:jc w:val="both"/>
        <w:textAlignment w:val="baseline"/>
        <w:rPr>
          <w:rStyle w:val="normaltextrun"/>
          <w:rFonts w:eastAsiaTheme="minorEastAsia"/>
          <w:noProof/>
        </w:rPr>
      </w:pPr>
      <w:r>
        <w:rPr>
          <w:rStyle w:val="normaltextrun"/>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01012E23" w14:textId="77777777" w:rsidR="00F53E3A" w:rsidRDefault="0036255F">
      <w:pPr>
        <w:pStyle w:val="P68B1DB1-Text15"/>
        <w:keepNext/>
        <w:keepLines/>
        <w:spacing w:before="0" w:after="200" w:line="276" w:lineRule="auto"/>
        <w:ind w:left="0"/>
        <w:outlineLvl w:val="1"/>
        <w:rPr>
          <w:noProof/>
        </w:rPr>
      </w:pPr>
      <w:r>
        <w:rPr>
          <w:noProof/>
        </w:rPr>
        <w:t>F.1. Descrierea reformelor și a investițiilor pentru sprijinul financiar nerambursabil</w:t>
      </w:r>
    </w:p>
    <w:p w14:paraId="2553A605" w14:textId="77777777" w:rsidR="00F53E3A" w:rsidRDefault="0036255F">
      <w:pPr>
        <w:pStyle w:val="P68B1DB1-paragraph30"/>
        <w:keepNext/>
        <w:keepLines/>
        <w:spacing w:before="0" w:beforeAutospacing="0" w:after="200" w:afterAutospacing="0" w:line="276" w:lineRule="auto"/>
        <w:jc w:val="both"/>
        <w:textAlignment w:val="baseline"/>
        <w:rPr>
          <w:rStyle w:val="normaltextrun"/>
          <w:rFonts w:eastAsiaTheme="minorEastAsia"/>
          <w:noProof/>
        </w:rPr>
      </w:pPr>
      <w:r>
        <w:rPr>
          <w:noProof/>
        </w:rPr>
        <w:t>F.1.1. Reforma 1 „Un sector public eficient”</w:t>
      </w:r>
    </w:p>
    <w:p w14:paraId="1514D53A" w14:textId="1A4F2AA7" w:rsidR="00F53E3A" w:rsidRDefault="0036255F">
      <w:pPr>
        <w:pStyle w:val="paragraph"/>
        <w:spacing w:before="0" w:beforeAutospacing="0" w:after="200" w:afterAutospacing="0" w:line="276" w:lineRule="auto"/>
        <w:jc w:val="both"/>
        <w:textAlignment w:val="baseline"/>
        <w:rPr>
          <w:rStyle w:val="normaltextrun"/>
          <w:noProof/>
        </w:rPr>
      </w:pPr>
      <w:r>
        <w:rPr>
          <w:rStyle w:val="normaltextrun"/>
          <w:noProof/>
        </w:rPr>
        <w:t xml:space="preserve">Obiectivul reformei este de a moderniza procesele administrative ale serviciilor publice și gestionarea resurselor umane. </w:t>
      </w:r>
    </w:p>
    <w:p w14:paraId="5B44D504" w14:textId="6A4CA605" w:rsidR="00F53E3A" w:rsidRDefault="0036255F">
      <w:pPr>
        <w:pStyle w:val="paragraph"/>
        <w:spacing w:before="0" w:beforeAutospacing="0" w:after="200" w:afterAutospacing="0" w:line="276" w:lineRule="auto"/>
        <w:jc w:val="both"/>
        <w:textAlignment w:val="baseline"/>
        <w:rPr>
          <w:rStyle w:val="normaltextrun"/>
          <w:noProof/>
        </w:rPr>
      </w:pPr>
      <w:r>
        <w:rPr>
          <w:noProof/>
        </w:rPr>
        <w:t>Această reformă constă în două submăsuri: (1) modernizarea gestionării resurselor umane în sectorul public (submăsura 1); (2) instituirea unei platforme de învățare la distanță pentru angajații din sectorul public (submăsura 2).</w:t>
      </w:r>
    </w:p>
    <w:p w14:paraId="57EC6E41" w14:textId="20A0A1BF" w:rsidR="00F53E3A" w:rsidRDefault="0036255F">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F.1.1.1 Submăsura 1: Actualizarea gestionării resurselor umane în sectorul public</w:t>
      </w:r>
    </w:p>
    <w:p w14:paraId="6137AE29" w14:textId="57B3FE14" w:rsidR="00F53E3A" w:rsidRDefault="0036255F">
      <w:pPr>
        <w:pStyle w:val="paragraph"/>
        <w:spacing w:before="0" w:beforeAutospacing="0" w:after="200" w:afterAutospacing="0" w:line="276" w:lineRule="auto"/>
        <w:jc w:val="both"/>
        <w:textAlignment w:val="baseline"/>
        <w:rPr>
          <w:rStyle w:val="normaltextrun"/>
          <w:noProof/>
        </w:rPr>
      </w:pPr>
      <w:r>
        <w:rPr>
          <w:noProof/>
        </w:rPr>
        <w:t xml:space="preserve">Obiectivul acestei submăsuri este modernizarea gestionării resurselor umane în sectorul public. Submăsura constă în actualizarea sistemului de gestionare a resurselor umane, inclusiv un nou registru al angajaților din sectorul public. </w:t>
      </w:r>
    </w:p>
    <w:p w14:paraId="5370DB7D" w14:textId="62424B27" w:rsidR="00F53E3A" w:rsidRDefault="0036255F">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F.1.1.2 Submăsura 2: Crearea unei platforme de învățare la distanță pentru angajații din sectorul public</w:t>
      </w:r>
    </w:p>
    <w:p w14:paraId="31E593D6" w14:textId="6363C214" w:rsidR="00F53E3A" w:rsidRDefault="0036255F">
      <w:pPr>
        <w:pStyle w:val="paragraph"/>
        <w:spacing w:before="0" w:beforeAutospacing="0" w:after="200" w:afterAutospacing="0" w:line="276" w:lineRule="auto"/>
        <w:jc w:val="both"/>
        <w:textAlignment w:val="baseline"/>
        <w:rPr>
          <w:rStyle w:val="normaltextrun"/>
          <w:noProof/>
        </w:rPr>
      </w:pPr>
      <w:r>
        <w:rPr>
          <w:noProof/>
        </w:rPr>
        <w:t xml:space="preserve">Obiectivul acestei submăsuri este de a institui o platformă de formare a competențelor pentru angajații din sectorul public. Submăsura constă în crearea unei platforme de învățare la distanță și a unor module de formare axate pe competențe digitale, financiar-analitice și de conducere. </w:t>
      </w:r>
    </w:p>
    <w:p w14:paraId="2436CB4C" w14:textId="77777777" w:rsidR="00F53E3A" w:rsidRDefault="0036255F">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F.1.2. Reforma 2 „Un sistem fiscal mai echitabil și mai favorabil creșterii economice”</w:t>
      </w:r>
    </w:p>
    <w:p w14:paraId="6521E5D1" w14:textId="0E5B429A" w:rsidR="00F53E3A" w:rsidRDefault="0036255F">
      <w:pPr>
        <w:pStyle w:val="paragraph"/>
        <w:spacing w:before="0" w:beforeAutospacing="0" w:after="200" w:afterAutospacing="0" w:line="276" w:lineRule="auto"/>
        <w:jc w:val="both"/>
        <w:textAlignment w:val="baseline"/>
        <w:rPr>
          <w:rStyle w:val="normaltextrun"/>
          <w:noProof/>
        </w:rPr>
      </w:pPr>
      <w:r>
        <w:rPr>
          <w:noProof/>
        </w:rPr>
        <w:t>Obiectivul reformei este de a crea condițiile pentru reechilibrarea sistemului fiscal prin asigurarea unei structuri fiscale mai echitabile din punct de vedere social și favorabile creșterii, încurajând consumatorii să își schimbe comportamentul prin impozitare pentru a se adapta la nevoile în schimbare ale societății. Această reformă constă în trei submăsuri: (1) eliminarea sau reducerea scutirilor fiscale și a regimurilor fiscale speciale care sunt ineficiente, nu mai reflectă prioritățile statului sau nu respectă Pactul verde (submăsura 1); (2) extinderea în continuare a bazei de impozitare la surse care nu împiedică creșterea economică (submăsura 2); (3) o evaluare a eficacității impozitelor și a contribuțiilor la asigurările sociale în ceea ce privește prevenirea sărăciei și reducerea inegalității veniturilor (submăsura 3).</w:t>
      </w:r>
    </w:p>
    <w:p w14:paraId="607A8081" w14:textId="4EEF19C1" w:rsidR="00F53E3A" w:rsidRDefault="0036255F">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F.1.2.1. Submăsura 1: Eliminarea sau reducerea scutirilor fiscale și a regimurilor fiscale speciale care sunt ineficiente, nu mai reflectă prioritățile statului sau nu respectă Pactul verde.</w:t>
      </w:r>
    </w:p>
    <w:p w14:paraId="56A0BF2F" w14:textId="0035CCC3" w:rsidR="00F53E3A" w:rsidRDefault="0036255F">
      <w:pPr>
        <w:pStyle w:val="paragraph"/>
        <w:spacing w:before="0" w:beforeAutospacing="0" w:after="200" w:afterAutospacing="0" w:line="276" w:lineRule="auto"/>
        <w:jc w:val="both"/>
        <w:textAlignment w:val="baseline"/>
        <w:rPr>
          <w:rStyle w:val="normaltextrun"/>
          <w:noProof/>
        </w:rPr>
      </w:pPr>
      <w:r>
        <w:rPr>
          <w:rStyle w:val="normaltextrun"/>
          <w:noProof/>
        </w:rPr>
        <w:t xml:space="preserve">Obiectivul acestei măsuri este de a identifica scutirile fiscale și regimurile fiscale speciale care sunt ineficiente, nu mai reflectă prioritățile statului sau nu respectă Pactul verde și de a modifica legislația fiscală respectivă. Ministerul Finanțelor efectuează o analiză costuri-beneficii și elaborează modificările necesare ale legislației care urmează să fie adoptată de Parlament. </w:t>
      </w:r>
    </w:p>
    <w:p w14:paraId="6FD3649C" w14:textId="1172343F" w:rsidR="00F53E3A" w:rsidRDefault="0036255F">
      <w:pPr>
        <w:pStyle w:val="paragraph"/>
        <w:spacing w:before="0" w:beforeAutospacing="0" w:after="200" w:afterAutospacing="0" w:line="276" w:lineRule="auto"/>
        <w:jc w:val="both"/>
        <w:textAlignment w:val="baseline"/>
        <w:rPr>
          <w:rStyle w:val="normaltextrun"/>
          <w:noProof/>
        </w:rPr>
      </w:pPr>
      <w:r>
        <w:rPr>
          <w:noProof/>
        </w:rPr>
        <w:t>Submăsura se finalizează până la 31 martie 2023.</w:t>
      </w:r>
    </w:p>
    <w:p w14:paraId="1BC79C26" w14:textId="77777777" w:rsidR="00F53E3A" w:rsidRDefault="0036255F">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F.1.2.2. Submăsura 2: Extinderea în continuare a bazei de impozitare la surse care nu împiedică creșterea economică</w:t>
      </w:r>
    </w:p>
    <w:p w14:paraId="53BE31CC" w14:textId="48D0161E" w:rsidR="00F53E3A" w:rsidRDefault="0036255F">
      <w:pPr>
        <w:pStyle w:val="paragraph"/>
        <w:spacing w:before="0" w:beforeAutospacing="0" w:after="200" w:afterAutospacing="0" w:line="276" w:lineRule="auto"/>
        <w:jc w:val="both"/>
        <w:textAlignment w:val="baseline"/>
        <w:rPr>
          <w:rStyle w:val="normaltextrun"/>
          <w:noProof/>
        </w:rPr>
      </w:pPr>
      <w:r>
        <w:rPr>
          <w:rStyle w:val="normaltextrun"/>
          <w:noProof/>
        </w:rPr>
        <w:t xml:space="preserve">Scopul acestei măsuri este de a extinde baza de impozitare la surse care nu împiedică creșterea economică. Ministerul Finanțelor pregătește un studiu privind posibilitățile de extindere a bazei de impozitare și elaborează modificările necesare ale legislației care urmează să fie adoptată de Parlament. Analiza se va axa pe impozitul pe bunuri imobile, accizele la produsele energetice și alte taxe ecologice. </w:t>
      </w:r>
    </w:p>
    <w:p w14:paraId="428950B3" w14:textId="597ABCA6" w:rsidR="00F53E3A" w:rsidRDefault="0036255F">
      <w:pPr>
        <w:pStyle w:val="paragraph"/>
        <w:spacing w:before="0" w:beforeAutospacing="0" w:after="200" w:afterAutospacing="0" w:line="276" w:lineRule="auto"/>
        <w:jc w:val="both"/>
        <w:textAlignment w:val="baseline"/>
        <w:rPr>
          <w:rStyle w:val="normaltextrun"/>
          <w:noProof/>
        </w:rPr>
      </w:pPr>
      <w:r>
        <w:rPr>
          <w:noProof/>
        </w:rPr>
        <w:t>Submăsura se finalizează până la 31 martie 2023.</w:t>
      </w:r>
    </w:p>
    <w:p w14:paraId="28E9CAF4" w14:textId="77777777" w:rsidR="00F53E3A" w:rsidRDefault="0036255F">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F.1.2.3. Submăsura 3: O evaluare a eficacității impozitelor și contribuțiilor la asigurările sociale în ceea ce privește prevenirea sărăciei și reducerea inegalității veniturilor</w:t>
      </w:r>
    </w:p>
    <w:p w14:paraId="2C1BCA02" w14:textId="354FDB36" w:rsidR="00F53E3A" w:rsidRDefault="0036255F">
      <w:pPr>
        <w:jc w:val="both"/>
        <w:rPr>
          <w:rFonts w:ascii="Times New Roman" w:eastAsia="Times New Roman" w:hAnsi="Times New Roman" w:cs="Times New Roman"/>
          <w:noProof/>
          <w:sz w:val="24"/>
          <w:szCs w:val="24"/>
        </w:rPr>
      </w:pPr>
      <w:r>
        <w:rPr>
          <w:rStyle w:val="normaltextrun"/>
          <w:rFonts w:ascii="Times New Roman" w:hAnsi="Times New Roman"/>
          <w:noProof/>
          <w:sz w:val="24"/>
        </w:rPr>
        <w:t xml:space="preserve">Scopul acestei măsuri este de a ajusta impozitul pe venitul persoanelor fizice și contribuțiile la asigurările sociale pentru a preveni mai bine sărăcia și a reduce inegalitatea veniturilor. Ministerul Finanțelor pregătește un studiu privind posibilele ajustări ale impozitului pe venitul persoanelor fizice și ale contribuțiilor la asigurările sociale și elaborează modificările necesare ale legislației care urmează să fie adoptată de Parlament. </w:t>
      </w:r>
    </w:p>
    <w:p w14:paraId="412180A0" w14:textId="40583767" w:rsidR="00F53E3A" w:rsidRDefault="0036255F">
      <w:pPr>
        <w:pStyle w:val="paragraph"/>
        <w:spacing w:before="0" w:beforeAutospacing="0" w:after="200" w:afterAutospacing="0" w:line="276" w:lineRule="auto"/>
        <w:jc w:val="both"/>
        <w:textAlignment w:val="baseline"/>
        <w:rPr>
          <w:rStyle w:val="normaltextrun"/>
          <w:rFonts w:eastAsiaTheme="minorEastAsia"/>
          <w:noProof/>
        </w:rPr>
      </w:pPr>
      <w:r>
        <w:rPr>
          <w:noProof/>
        </w:rPr>
        <w:t>Submăsura se finalizează până la 31 martie 2023.</w:t>
      </w:r>
    </w:p>
    <w:p w14:paraId="3D50420F" w14:textId="77777777" w:rsidR="00F53E3A" w:rsidRDefault="0036255F">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F.1.3. Reforma 3 „Sustenabilitatea și transparența pe termen lung a bugetului național”</w:t>
      </w:r>
    </w:p>
    <w:p w14:paraId="4B02FB50" w14:textId="26933011" w:rsidR="00F53E3A" w:rsidRDefault="0036255F">
      <w:pPr>
        <w:pStyle w:val="paragraph"/>
        <w:spacing w:before="0" w:beforeAutospacing="0" w:after="200" w:afterAutospacing="0" w:line="276" w:lineRule="auto"/>
        <w:jc w:val="both"/>
        <w:textAlignment w:val="baseline"/>
        <w:rPr>
          <w:rStyle w:val="normaltextrun"/>
          <w:noProof/>
        </w:rPr>
      </w:pPr>
      <w:r>
        <w:rPr>
          <w:rStyle w:val="normaltextrun"/>
          <w:noProof/>
        </w:rPr>
        <w:t>Obiectivul reformei este de a spori sustenabilitatea pe termen lung a bugetelor de stat și municipale, transparența bugetului pe termen mediu și finanțarea serviciilor de stat. Această reformă constă în cinci submăsuri: (1) cadrul bugetar pe termen mediu (submăsura 1); (2) analize ale cheltuielilor (submăsura 2); (3) consolidarea structurii veniturilor municipale (submăsura 3); (4) promovarea parteneriatelor public-privat (submăsura 4); (5) consolidarea instituțiilor naționale de promovare (submăsura 5).</w:t>
      </w:r>
    </w:p>
    <w:p w14:paraId="4C6FF8F0" w14:textId="0679E345" w:rsidR="00F53E3A" w:rsidRDefault="0036255F">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F.1.3.1. Submăsura 1: Cadrul bugetar pe termen mediu</w:t>
      </w:r>
    </w:p>
    <w:p w14:paraId="72E82B28" w14:textId="77A7B6D7" w:rsidR="00F53E3A" w:rsidRDefault="0036255F">
      <w:pPr>
        <w:pStyle w:val="paragraph"/>
        <w:spacing w:before="0" w:beforeAutospacing="0" w:after="200" w:afterAutospacing="0" w:line="276" w:lineRule="auto"/>
        <w:jc w:val="both"/>
        <w:textAlignment w:val="baseline"/>
        <w:rPr>
          <w:noProof/>
        </w:rPr>
      </w:pPr>
      <w:r>
        <w:rPr>
          <w:noProof/>
        </w:rPr>
        <w:t>Obiectivul acestei submăsuri este de a crea cadrul bugetar pe termen mediu. Submăsura constă în adoptarea metodologiilor de întocmire a bugetului pe termen mediu și de calculare a costurilor de bază, în adoptarea modificărilor la Legea privind structura bugetului pentru a clarifica normele privind modificările bugetare, în furnizarea unui instrument de întocmire a bugetului și în aprobarea de către guvern a unui buget pe termen mediu pentru perioada 1 ianuarie 2025-31 decembrie 2027.</w:t>
      </w:r>
    </w:p>
    <w:p w14:paraId="4FCC9E08" w14:textId="7B4503AE" w:rsidR="00F53E3A" w:rsidRDefault="0036255F">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F.1.3.2. Submăsura 2: Analize ale cheltuielilor</w:t>
      </w:r>
    </w:p>
    <w:p w14:paraId="77D78686" w14:textId="77777777" w:rsidR="00F53E3A" w:rsidRDefault="0036255F">
      <w:pPr>
        <w:pStyle w:val="paragraph"/>
        <w:spacing w:before="0" w:beforeAutospacing="0" w:after="200" w:afterAutospacing="0" w:line="276" w:lineRule="auto"/>
        <w:jc w:val="both"/>
        <w:textAlignment w:val="baseline"/>
        <w:rPr>
          <w:noProof/>
        </w:rPr>
      </w:pPr>
      <w:r>
        <w:rPr>
          <w:noProof/>
        </w:rPr>
        <w:t>Scopul acestei submăsuri este de a elabora un concept de analiză a cheltuielilor și de a efectua prima analiză cuprinzătoare a cheltuielilor. Rezultatele analizei cuprinzătoare a cheltuielilor sunt făcute publice și contribuie la pregătirea primelor bugete pe termen mediu pentru perioada 1 ianuarie 2025-31 decembrie 2027.</w:t>
      </w:r>
    </w:p>
    <w:p w14:paraId="2250B8EB" w14:textId="45C6EE11" w:rsidR="00F53E3A" w:rsidRDefault="0036255F">
      <w:pPr>
        <w:pStyle w:val="paragraph"/>
        <w:spacing w:before="0" w:beforeAutospacing="0" w:after="200" w:afterAutospacing="0" w:line="276" w:lineRule="auto"/>
        <w:jc w:val="both"/>
        <w:textAlignment w:val="baseline"/>
        <w:rPr>
          <w:rStyle w:val="normaltextrun"/>
          <w:noProof/>
        </w:rPr>
      </w:pPr>
      <w:r>
        <w:rPr>
          <w:noProof/>
        </w:rPr>
        <w:t>Submăsura se finalizează până la 31 martie 2024.</w:t>
      </w:r>
    </w:p>
    <w:p w14:paraId="6D2D269A" w14:textId="77777777" w:rsidR="00F53E3A" w:rsidRDefault="0036255F">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F.1.3.3. Submăsura 3: Consolidarea structurii veniturilor municipale</w:t>
      </w:r>
    </w:p>
    <w:p w14:paraId="782EC2D3" w14:textId="77777777" w:rsidR="00F53E3A" w:rsidRDefault="0036255F">
      <w:pPr>
        <w:pStyle w:val="paragraph"/>
        <w:spacing w:before="0" w:beforeAutospacing="0" w:after="200" w:afterAutospacing="0" w:line="276" w:lineRule="auto"/>
        <w:jc w:val="both"/>
        <w:textAlignment w:val="baseline"/>
        <w:rPr>
          <w:rStyle w:val="normaltextrun"/>
          <w:noProof/>
        </w:rPr>
      </w:pPr>
      <w:r>
        <w:rPr>
          <w:noProof/>
        </w:rPr>
        <w:t xml:space="preserve">Scopul acestei submăsuri este de a identifica modalități de îmbunătățire a structurii veniturilor municipale, în special prin creșterea ponderii veniturilor care sunt determinate direct de municipalități. Punerea în aplicare a acestei reforme necesită modificarea Legii privind metodologia de stabilire a veniturilor bugetare municipale și crearea unor instrumente analitice care să permită compararea indicatorilor fiscali municipali și evaluarea capacității municipalităților de a crește veniturile. </w:t>
      </w:r>
    </w:p>
    <w:p w14:paraId="34F5139C" w14:textId="77777777" w:rsidR="00F53E3A" w:rsidRDefault="0036255F">
      <w:pPr>
        <w:pStyle w:val="paragraph"/>
        <w:spacing w:before="0" w:beforeAutospacing="0" w:after="200" w:afterAutospacing="0" w:line="276" w:lineRule="auto"/>
        <w:jc w:val="both"/>
        <w:textAlignment w:val="baseline"/>
        <w:rPr>
          <w:rStyle w:val="normaltextrun"/>
          <w:noProof/>
        </w:rPr>
      </w:pPr>
      <w:r>
        <w:rPr>
          <w:noProof/>
        </w:rPr>
        <w:t>Submăsura se finalizează până la 30 iunie 2023.</w:t>
      </w:r>
    </w:p>
    <w:p w14:paraId="38FE245C" w14:textId="3FB1E8CE" w:rsidR="00F53E3A" w:rsidRDefault="0036255F">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F.1.3.4. Submăsura 4: Promovarea parteneriatelor public-privat</w:t>
      </w:r>
    </w:p>
    <w:p w14:paraId="08C5AB5A" w14:textId="77777777" w:rsidR="00F53E3A" w:rsidRDefault="0036255F">
      <w:pPr>
        <w:rPr>
          <w:rFonts w:ascii="Times New Roman" w:eastAsia="Times New Roman" w:hAnsi="Times New Roman" w:cs="Times New Roman"/>
          <w:noProof/>
          <w:sz w:val="24"/>
          <w:szCs w:val="24"/>
        </w:rPr>
      </w:pPr>
      <w:r>
        <w:rPr>
          <w:rStyle w:val="normaltextrun"/>
          <w:rFonts w:ascii="Times New Roman" w:hAnsi="Times New Roman"/>
          <w:noProof/>
          <w:sz w:val="24"/>
        </w:rPr>
        <w:t>Scopul acestei submăsuri este de a elabora și de a adopta un pachet legislativ care:</w:t>
      </w:r>
    </w:p>
    <w:p w14:paraId="224B4B94" w14:textId="77777777" w:rsidR="00F53E3A" w:rsidRDefault="0036255F">
      <w:pPr>
        <w:pStyle w:val="P68B1DB1-ListParagraph18"/>
        <w:numPr>
          <w:ilvl w:val="0"/>
          <w:numId w:val="27"/>
        </w:numPr>
        <w:spacing w:after="200" w:line="276" w:lineRule="auto"/>
        <w:jc w:val="both"/>
        <w:rPr>
          <w:rFonts w:eastAsia="Times New Roman" w:cs="Times New Roman"/>
          <w:noProof/>
          <w:szCs w:val="24"/>
        </w:rPr>
      </w:pPr>
      <w:r>
        <w:rPr>
          <w:noProof/>
        </w:rPr>
        <w:t>să permită punerea în aplicare a parteneriatelor public-privat în domeniile cele mai importante din punct de vedere strategic, cum ar fi eficiența energetică, sursele regenerabile de energie, transportul durabil și domeniile cu cele mai mari nevoi de investiții, cum ar fi justiția, ordinea publică și siguranța publică;</w:t>
      </w:r>
    </w:p>
    <w:p w14:paraId="3D9F22DD" w14:textId="77777777" w:rsidR="00F53E3A" w:rsidRDefault="0036255F">
      <w:pPr>
        <w:pStyle w:val="P68B1DB1-ListParagraph18"/>
        <w:numPr>
          <w:ilvl w:val="0"/>
          <w:numId w:val="27"/>
        </w:numPr>
        <w:spacing w:after="200" w:line="276" w:lineRule="auto"/>
        <w:jc w:val="both"/>
        <w:rPr>
          <w:rFonts w:eastAsia="Times New Roman" w:cs="Times New Roman"/>
          <w:noProof/>
          <w:szCs w:val="24"/>
        </w:rPr>
      </w:pPr>
      <w:r>
        <w:rPr>
          <w:noProof/>
        </w:rPr>
        <w:t>să contribuie la atragerea investitorilor privați în proiecte publice prin furnizarea de planuri de investiții durabile pe termen lung și prin dezvoltarea unor mecanisme echilibrate de alocare a riscurilor reciproc avantajoase;</w:t>
      </w:r>
    </w:p>
    <w:p w14:paraId="1D0957AC" w14:textId="77777777" w:rsidR="00F53E3A" w:rsidRDefault="0036255F">
      <w:pPr>
        <w:pStyle w:val="P68B1DB1-ListParagraph18"/>
        <w:numPr>
          <w:ilvl w:val="0"/>
          <w:numId w:val="27"/>
        </w:numPr>
        <w:spacing w:after="200" w:line="276" w:lineRule="auto"/>
        <w:jc w:val="both"/>
        <w:rPr>
          <w:rFonts w:eastAsia="Times New Roman" w:cs="Times New Roman"/>
          <w:noProof/>
          <w:szCs w:val="24"/>
        </w:rPr>
      </w:pPr>
      <w:r>
        <w:rPr>
          <w:noProof/>
        </w:rPr>
        <w:t>să permită gruparea proiectelor de investiții municipale, ceea ce le-ar face mai atractive pentru investitori;</w:t>
      </w:r>
    </w:p>
    <w:p w14:paraId="0A751DBB" w14:textId="77777777" w:rsidR="00F53E3A" w:rsidRDefault="0036255F">
      <w:pPr>
        <w:pStyle w:val="P68B1DB1-ListParagraph18"/>
        <w:numPr>
          <w:ilvl w:val="0"/>
          <w:numId w:val="27"/>
        </w:numPr>
        <w:spacing w:after="200" w:line="276" w:lineRule="auto"/>
        <w:jc w:val="both"/>
        <w:rPr>
          <w:rStyle w:val="normaltextrun"/>
          <w:rFonts w:eastAsia="Times New Roman" w:cs="Times New Roman"/>
          <w:noProof/>
          <w:szCs w:val="24"/>
        </w:rPr>
      </w:pPr>
      <w:r>
        <w:rPr>
          <w:noProof/>
        </w:rPr>
        <w:t>să permită municipalităților să participe la programe de parteneriat public-privat organizate de stat, ceea ce se preconizează că va reduce costurile administrative.</w:t>
      </w:r>
    </w:p>
    <w:p w14:paraId="4A0243E8" w14:textId="7BA7D68B" w:rsidR="00F53E3A" w:rsidRDefault="0036255F">
      <w:pPr>
        <w:pStyle w:val="paragraph"/>
        <w:spacing w:before="0" w:beforeAutospacing="0" w:after="200" w:afterAutospacing="0" w:line="276" w:lineRule="auto"/>
        <w:jc w:val="both"/>
        <w:textAlignment w:val="baseline"/>
        <w:rPr>
          <w:rStyle w:val="normaltextrun"/>
          <w:rFonts w:eastAsiaTheme="minorEastAsia"/>
          <w:noProof/>
        </w:rPr>
      </w:pPr>
      <w:r>
        <w:rPr>
          <w:noProof/>
        </w:rPr>
        <w:t>Submăsura se finalizează până la 31 decembrie 2023.</w:t>
      </w:r>
    </w:p>
    <w:p w14:paraId="53F4053B" w14:textId="77777777" w:rsidR="00F53E3A" w:rsidRDefault="0036255F">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F.1.3.5. Submăsura 5: Consolidarea instituțiilor naționale de dezvoltare</w:t>
      </w:r>
    </w:p>
    <w:p w14:paraId="53797C21" w14:textId="22F70E13" w:rsidR="00F53E3A" w:rsidRDefault="0036255F">
      <w:pPr>
        <w:pStyle w:val="paragraph"/>
        <w:spacing w:before="0" w:beforeAutospacing="0" w:after="200" w:afterAutospacing="0" w:line="276" w:lineRule="auto"/>
        <w:jc w:val="both"/>
        <w:textAlignment w:val="baseline"/>
        <w:rPr>
          <w:noProof/>
        </w:rPr>
      </w:pPr>
      <w:r>
        <w:rPr>
          <w:noProof/>
        </w:rPr>
        <w:t>Scopul acestei submăsuri este de a consolida patru instituții naționale de dezvoltare într-un singur organism public. Obiectivul instituției este de a concentra cunoștințele și competențele într-o singură instituție națională de dezvoltare puternică, INVEGA, pentru a unifica și optimiza practicile operaționale ale instituțiilor naționale de dezvoltare și gestionarea fondurilor, creând condiții prealabile pentru atragerea investitorilor instituționali, consolidarea parteneriatului public-privat și creșterea durabilă a ofertei de instrumente financiare pentru finanțarea proiectelor viabile din punct de vedere financiar.</w:t>
      </w:r>
    </w:p>
    <w:p w14:paraId="4F995BE3" w14:textId="0F2BCE8A" w:rsidR="00F53E3A" w:rsidRDefault="0036255F">
      <w:pPr>
        <w:pStyle w:val="FooterText"/>
        <w:jc w:val="both"/>
        <w:textAlignment w:val="baseline"/>
        <w:rPr>
          <w:noProof/>
          <w:szCs w:val="24"/>
        </w:rPr>
      </w:pPr>
      <w:r>
        <w:rPr>
          <w:noProof/>
        </w:rPr>
        <w:t>Această măsură vizează, de asemenea, sprijinirea potențialului de creștere al economiei lituaniene prin ajustarea structurală a nivelului sprijinului public disponibil pentru a remedia disfuncționalitățile pieței și ineficiențele din cadrul economiei, inclusiv în domeniul tranziției verzi.</w:t>
      </w:r>
    </w:p>
    <w:p w14:paraId="4966E4D6" w14:textId="7603C017" w:rsidR="00F53E3A" w:rsidRDefault="00F53E3A">
      <w:pPr>
        <w:spacing w:after="0" w:line="240" w:lineRule="auto"/>
        <w:textAlignment w:val="baseline"/>
        <w:rPr>
          <w:rFonts w:ascii="Times New Roman" w:eastAsia="Times New Roman" w:hAnsi="Times New Roman" w:cs="Times New Roman"/>
          <w:noProof/>
          <w:sz w:val="24"/>
          <w:szCs w:val="24"/>
        </w:rPr>
      </w:pPr>
    </w:p>
    <w:p w14:paraId="0B65C9A0" w14:textId="403D5A2C" w:rsidR="00F53E3A" w:rsidRDefault="0036255F">
      <w:pPr>
        <w:spacing w:after="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rPr>
        <w:t>Măsura constă într-o injecție de capital în valoare de 136</w:t>
      </w:r>
      <w:r>
        <w:rPr>
          <w:rFonts w:ascii="Times New Roman" w:hAnsi="Times New Roman"/>
          <w:noProof/>
          <w:sz w:val="20"/>
        </w:rPr>
        <w:t xml:space="preserve"> </w:t>
      </w:r>
      <w:r>
        <w:rPr>
          <w:rFonts w:ascii="Times New Roman" w:eastAsia="Times New Roman" w:hAnsi="Times New Roman" w:cs="Times New Roman"/>
          <w:noProof/>
          <w:sz w:val="24"/>
        </w:rPr>
        <w:t>565 646 EUR în ILTE.</w:t>
      </w:r>
    </w:p>
    <w:p w14:paraId="5AF4B778" w14:textId="77777777" w:rsidR="00F53E3A" w:rsidRDefault="00F53E3A">
      <w:pPr>
        <w:spacing w:after="0" w:line="240" w:lineRule="auto"/>
        <w:jc w:val="both"/>
        <w:rPr>
          <w:rFonts w:ascii="Times New Roman" w:eastAsia="Times New Roman" w:hAnsi="Times New Roman" w:cs="Times New Roman"/>
          <w:noProof/>
          <w:sz w:val="24"/>
          <w:szCs w:val="24"/>
        </w:rPr>
      </w:pPr>
    </w:p>
    <w:p w14:paraId="792F6735" w14:textId="61277F93" w:rsidR="00F53E3A" w:rsidRDefault="0036255F">
      <w:pPr>
        <w:pStyle w:val="FooterText"/>
        <w:jc w:val="both"/>
        <w:rPr>
          <w:noProof/>
          <w:szCs w:val="24"/>
        </w:rPr>
      </w:pPr>
      <w:r>
        <w:rPr>
          <w:noProof/>
        </w:rPr>
        <w:t>ILTE modifică politica de investiții pentru utilizarea capitalului propriu suplimentar. Politica de investiții include descrierea produsului (produselor) financiar (financiare) cu tipul preconizat de beneficiari finali eligibili pe care se preconizează că îl va sprijini inițial prin capitaluri proprii suplimentare, inclusiv calendarul preconizat pentru punerea în aplicare și valoarea preconizată a fiecărui produs financiar. ILTE utilizează pentru capitalul propriu suplimentar același sistem de audit și control care a fost evaluat pozitiv de Comisie în conformitate cu articolul 157 din Regulamentul (UE, Euratom) 2024/2509. </w:t>
      </w:r>
    </w:p>
    <w:p w14:paraId="2A975CAF" w14:textId="77777777" w:rsidR="00F53E3A" w:rsidRDefault="00F53E3A">
      <w:pPr>
        <w:spacing w:after="0" w:line="240" w:lineRule="auto"/>
        <w:jc w:val="both"/>
        <w:textAlignment w:val="baseline"/>
        <w:rPr>
          <w:rFonts w:ascii="Times New Roman" w:eastAsia="Times New Roman" w:hAnsi="Times New Roman" w:cs="Times New Roman"/>
          <w:noProof/>
          <w:sz w:val="24"/>
          <w:szCs w:val="24"/>
        </w:rPr>
      </w:pPr>
    </w:p>
    <w:p w14:paraId="0BCB65F1" w14:textId="68030CFE" w:rsidR="00F53E3A" w:rsidRDefault="0036255F">
      <w:pPr>
        <w:spacing w:after="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rPr>
        <w:t>Politica de investiții impune ca produsele financiare pe care le sprijină capitalurile proprii suplimentare să respecte principiul de „a nu prejudicia în mod semnificativ”, astfel cum este prevăzut în Orientările tehnice privind aplicarea principiului de „a nu prejudicia în mod semnificativ” (2021/C58/01). În special, politica de investiții exclude de la eligibilitate următoarea listă de activități și active: (I) activitățile și activele legate de combustibilii fosili, inclusiv utilizarea în aval</w:t>
      </w:r>
      <w:r>
        <w:rPr>
          <w:rStyle w:val="FootnoteReference"/>
          <w:rFonts w:ascii="Times New Roman" w:eastAsia="Calibri" w:hAnsi="Times New Roman" w:cs="Times New Roman"/>
          <w:noProof/>
          <w:sz w:val="24"/>
        </w:rPr>
        <w:footnoteReference w:id="7"/>
      </w:r>
      <w:r>
        <w:rPr>
          <w:rFonts w:ascii="Times New Roman" w:eastAsia="Times New Roman" w:hAnsi="Times New Roman" w:cs="Times New Roman"/>
          <w:noProof/>
          <w:sz w:val="24"/>
        </w:rPr>
        <w:t>, (ii) activitățile și activele din cadrul schemei UE de comercializare a certificatelor de emisii (ETS) care realizează emisii preconizate de gaze cu efect de seră care nu sunt mai mici decât valorile de referință relevante,</w:t>
      </w:r>
      <w:r>
        <w:rPr>
          <w:rStyle w:val="FootnoteReference"/>
          <w:rFonts w:ascii="Times New Roman" w:eastAsia="Calibri" w:hAnsi="Times New Roman" w:cs="Times New Roman"/>
          <w:noProof/>
          <w:sz w:val="24"/>
        </w:rPr>
        <w:footnoteReference w:id="8"/>
      </w:r>
      <w:r>
        <w:rPr>
          <w:rFonts w:ascii="Times New Roman" w:eastAsia="Times New Roman" w:hAnsi="Times New Roman" w:cs="Times New Roman"/>
          <w:noProof/>
          <w:sz w:val="24"/>
        </w:rPr>
        <w:t xml:space="preserve"> (iii) activitățile și activele legate de depozitele de deșeuri, incineratoare și stațiile de tratare mecano-biologică</w:t>
      </w:r>
      <w:r>
        <w:rPr>
          <w:rStyle w:val="FootnoteReference"/>
          <w:rFonts w:ascii="Times New Roman" w:eastAsia="Calibri" w:hAnsi="Times New Roman" w:cs="Times New Roman"/>
          <w:noProof/>
          <w:sz w:val="24"/>
        </w:rPr>
        <w:footnoteReference w:id="9"/>
      </w:r>
      <w:r>
        <w:rPr>
          <w:rFonts w:ascii="Times New Roman" w:eastAsia="Times New Roman" w:hAnsi="Times New Roman" w:cs="Times New Roman"/>
          <w:noProof/>
          <w:sz w:val="24"/>
        </w:rPr>
        <w:t>. În plus, în cazul sprijinului general acordat întreprinderilor, politica de investiții va exclude întreprinderile cu un accent considerabil</w:t>
      </w:r>
      <w:r>
        <w:rPr>
          <w:rStyle w:val="FootnoteReference"/>
          <w:rFonts w:ascii="Times New Roman" w:eastAsia="Calibri" w:hAnsi="Times New Roman" w:cs="Times New Roman"/>
          <w:noProof/>
          <w:sz w:val="24"/>
        </w:rPr>
        <w:footnoteReference w:id="10"/>
      </w:r>
      <w:r>
        <w:rPr>
          <w:rFonts w:ascii="Times New Roman" w:eastAsia="Times New Roman" w:hAnsi="Times New Roman" w:cs="Times New Roman"/>
          <w:noProof/>
          <w:sz w:val="24"/>
        </w:rPr>
        <w:t xml:space="preserve"> în următoarele sectoare: (I) producția de energie pe bază de combustibili fosili și activitățile conexe</w:t>
      </w:r>
      <w:r>
        <w:rPr>
          <w:rStyle w:val="FootnoteReference"/>
          <w:rFonts w:ascii="Times New Roman" w:eastAsia="Calibri" w:hAnsi="Times New Roman" w:cs="Times New Roman"/>
          <w:noProof/>
          <w:sz w:val="24"/>
        </w:rPr>
        <w:footnoteReference w:id="11"/>
      </w:r>
      <w:r>
        <w:rPr>
          <w:rFonts w:ascii="Times New Roman" w:eastAsia="Times New Roman" w:hAnsi="Times New Roman" w:cs="Times New Roman"/>
          <w:noProof/>
          <w:sz w:val="24"/>
        </w:rPr>
        <w:t xml:space="preserve"> (ii) industriile mari consumatoare de energie și/sau cu emisii ridicate de CO2</w:t>
      </w:r>
      <w:r>
        <w:rPr>
          <w:rStyle w:val="FootnoteReference"/>
          <w:rFonts w:ascii="Times New Roman" w:eastAsia="Calibri" w:hAnsi="Times New Roman" w:cs="Times New Roman"/>
          <w:noProof/>
          <w:sz w:val="24"/>
        </w:rPr>
        <w:footnoteReference w:id="12"/>
      </w:r>
      <w:r>
        <w:rPr>
          <w:rFonts w:ascii="Times New Roman" w:eastAsia="Times New Roman" w:hAnsi="Times New Roman" w:cs="Times New Roman"/>
          <w:noProof/>
          <w:sz w:val="24"/>
        </w:rPr>
        <w:t>; (III) producția, închirierea sau vânzarea de vehicule poluante</w:t>
      </w:r>
      <w:r>
        <w:rPr>
          <w:rStyle w:val="FootnoteReference"/>
          <w:rFonts w:ascii="Times New Roman" w:eastAsia="Calibri" w:hAnsi="Times New Roman" w:cs="Times New Roman"/>
          <w:noProof/>
          <w:sz w:val="24"/>
        </w:rPr>
        <w:footnoteReference w:id="13"/>
      </w:r>
      <w:r>
        <w:rPr>
          <w:rFonts w:ascii="Times New Roman" w:eastAsia="Times New Roman" w:hAnsi="Times New Roman" w:cs="Times New Roman"/>
          <w:noProof/>
          <w:sz w:val="24"/>
        </w:rPr>
        <w:t>; (IV) colectarea deșeurilor, tratarea și eliminarea deșeurilor</w:t>
      </w:r>
      <w:r>
        <w:rPr>
          <w:rStyle w:val="FootnoteReference"/>
          <w:rFonts w:ascii="Times New Roman" w:eastAsia="Calibri" w:hAnsi="Times New Roman" w:cs="Times New Roman"/>
          <w:noProof/>
          <w:sz w:val="24"/>
        </w:rPr>
        <w:footnoteReference w:id="14"/>
      </w:r>
      <w:r>
        <w:rPr>
          <w:rFonts w:ascii="Times New Roman" w:eastAsia="Times New Roman" w:hAnsi="Times New Roman" w:cs="Times New Roman"/>
          <w:noProof/>
          <w:sz w:val="24"/>
        </w:rPr>
        <w:t>, (v) prelucrarea combustibilului nuclear, producția de energie nucleară. În plus, politica în materie de investiții impune respectarea legislației UE și naționale relevante în domeniul mediului a beneficiarilor finali.</w:t>
      </w:r>
    </w:p>
    <w:p w14:paraId="238B857A" w14:textId="77777777" w:rsidR="00F53E3A" w:rsidRDefault="00F53E3A">
      <w:pPr>
        <w:pStyle w:val="paragraph"/>
        <w:spacing w:before="0" w:beforeAutospacing="0" w:after="200" w:afterAutospacing="0" w:line="276" w:lineRule="auto"/>
        <w:jc w:val="both"/>
        <w:textAlignment w:val="baseline"/>
        <w:rPr>
          <w:rStyle w:val="normaltextrun"/>
          <w:noProof/>
        </w:rPr>
      </w:pPr>
    </w:p>
    <w:p w14:paraId="531598CD" w14:textId="77777777" w:rsidR="00F53E3A" w:rsidRDefault="0036255F">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F.1.4. Reforma 4 „Îmbunătățirea respectării obligațiilor fiscale”</w:t>
      </w:r>
    </w:p>
    <w:p w14:paraId="7E93C669" w14:textId="3F8111E4" w:rsidR="00F53E3A" w:rsidRDefault="0036255F">
      <w:pPr>
        <w:pStyle w:val="paragraph"/>
        <w:spacing w:before="0" w:beforeAutospacing="0" w:after="200" w:afterAutospacing="0" w:line="276" w:lineRule="auto"/>
        <w:jc w:val="both"/>
        <w:textAlignment w:val="baseline"/>
        <w:rPr>
          <w:rStyle w:val="normaltextrun"/>
          <w:noProof/>
        </w:rPr>
      </w:pPr>
      <w:r>
        <w:rPr>
          <w:rStyle w:val="normaltextrun"/>
          <w:noProof/>
        </w:rPr>
        <w:t>Scopul acestei reforme este de a îmbunătăți respectarea obligațiilor fiscale în sectoarele cu risc ridicat și de a spori transparența tranzacțiilor. Această reformă constă în cinci submăsuri: (1) o mai mare transparență în comerțul cu vehicule rulate (submăsura 1); (2) impozitarea echitabilă a activităților economice online (submăsura 2); (3) limitarea utilizării numerarului (submăsura 3); (4)</w:t>
      </w:r>
      <w:r w:rsidR="0035684C">
        <w:rPr>
          <w:rStyle w:val="normaltextrun"/>
          <w:noProof/>
        </w:rPr>
        <w:t> </w:t>
      </w:r>
      <w:r>
        <w:rPr>
          <w:rStyle w:val="normaltextrun"/>
          <w:noProof/>
        </w:rPr>
        <w:t>alfabetizarea financiară a viitorilor contribuabili (submăsura 4); (5) o mai mare transparență în sectorul construcțiilor (submăsura 5).</w:t>
      </w:r>
    </w:p>
    <w:p w14:paraId="062FB777" w14:textId="77777777" w:rsidR="00F53E3A" w:rsidRDefault="0036255F">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F.1.4.1. Submăsura 1: Mai multă transparență în comerțul cu vehicule rulate</w:t>
      </w:r>
    </w:p>
    <w:p w14:paraId="6F9DF385" w14:textId="77777777" w:rsidR="00F53E3A" w:rsidRDefault="0036255F">
      <w:pPr>
        <w:pStyle w:val="paragraph"/>
        <w:spacing w:before="0" w:beforeAutospacing="0" w:after="200" w:afterAutospacing="0" w:line="276" w:lineRule="auto"/>
        <w:jc w:val="both"/>
        <w:textAlignment w:val="baseline"/>
        <w:rPr>
          <w:rStyle w:val="normaltextrun"/>
          <w:noProof/>
        </w:rPr>
      </w:pPr>
      <w:r>
        <w:rPr>
          <w:noProof/>
        </w:rPr>
        <w:t>Scopul acestei submăsuri este de a îmbunătăți controlul vânzărilor de vehicule rulate prin colectarea de date privind proprietarii și vânzătorii reali ai acestora. Odată cu intrarea în vigoare a modificărilor aduse Legii privind siguranța rutieră, a fost introdus un sistem de conturi ale proprietarilor de vehicule pentru a identifica vânzătorii și proprietarii reali ai vehiculelor și pentru a se asigura că obligațiile lor fiscale sunt îndeplinite. Accesul la datele din sistemul contabil al proprietarilor de vehicule a fost asigurat pentru Inspectoratul Fiscal de Stat.</w:t>
      </w:r>
    </w:p>
    <w:p w14:paraId="1994245D" w14:textId="77777777" w:rsidR="00F53E3A" w:rsidRDefault="0036255F">
      <w:pPr>
        <w:pStyle w:val="paragraph"/>
        <w:spacing w:before="0" w:beforeAutospacing="0" w:after="200" w:afterAutospacing="0" w:line="276" w:lineRule="auto"/>
        <w:jc w:val="both"/>
        <w:textAlignment w:val="baseline"/>
        <w:rPr>
          <w:noProof/>
        </w:rPr>
      </w:pPr>
      <w:r>
        <w:rPr>
          <w:noProof/>
        </w:rPr>
        <w:t>Submăsura se finalizează până la 30 iunie 2021.</w:t>
      </w:r>
    </w:p>
    <w:p w14:paraId="6343BEC0" w14:textId="77777777" w:rsidR="00F53E3A" w:rsidRDefault="0036255F">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F.1.4.2. Submăsura 2: Impozitarea echitabilă a activităților economice online</w:t>
      </w:r>
    </w:p>
    <w:p w14:paraId="38F9CA14" w14:textId="4FE1E04B" w:rsidR="00F53E3A" w:rsidRDefault="0036255F">
      <w:pPr>
        <w:pStyle w:val="paragraph"/>
        <w:spacing w:before="0" w:beforeAutospacing="0" w:after="200" w:afterAutospacing="0" w:line="276" w:lineRule="auto"/>
        <w:jc w:val="both"/>
        <w:textAlignment w:val="baseline"/>
        <w:rPr>
          <w:noProof/>
        </w:rPr>
      </w:pPr>
      <w:r>
        <w:rPr>
          <w:noProof/>
        </w:rPr>
        <w:t>Scopul acestei submăsuri este de a modifica legislația națională pentru a obliga operațiunile platformelor online să colecteze și să raporteze autorităților fiscale date privind tranzacțiile efectuate pe platformele online până la data de 31 ianuarie a anului următor anului calendaristic la care se referă informațiile. Inspecția Fiscală de Stat primește primul set de date până la 31</w:t>
      </w:r>
      <w:r w:rsidR="00744366">
        <w:rPr>
          <w:noProof/>
        </w:rPr>
        <w:t> </w:t>
      </w:r>
      <w:r>
        <w:rPr>
          <w:noProof/>
        </w:rPr>
        <w:t>martie</w:t>
      </w:r>
      <w:r w:rsidR="00744366">
        <w:rPr>
          <w:noProof/>
        </w:rPr>
        <w:t> </w:t>
      </w:r>
      <w:r>
        <w:rPr>
          <w:noProof/>
        </w:rPr>
        <w:t>2024.</w:t>
      </w:r>
    </w:p>
    <w:p w14:paraId="61CA448B" w14:textId="77777777" w:rsidR="00F53E3A" w:rsidRDefault="0036255F">
      <w:pPr>
        <w:pStyle w:val="paragraph"/>
        <w:spacing w:before="0" w:beforeAutospacing="0" w:after="200" w:afterAutospacing="0" w:line="276" w:lineRule="auto"/>
        <w:jc w:val="both"/>
        <w:textAlignment w:val="baseline"/>
        <w:rPr>
          <w:noProof/>
        </w:rPr>
      </w:pPr>
      <w:r>
        <w:rPr>
          <w:noProof/>
        </w:rPr>
        <w:t>Submăsura se finalizează până la 31 martie 2024.</w:t>
      </w:r>
    </w:p>
    <w:p w14:paraId="27B47C30" w14:textId="77777777" w:rsidR="00F53E3A" w:rsidRDefault="0036255F">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F.1.4.3. Submăsura 3: Limitarea utilizării numerarului</w:t>
      </w:r>
    </w:p>
    <w:p w14:paraId="520D024C" w14:textId="77777777" w:rsidR="00F53E3A" w:rsidRDefault="0036255F">
      <w:pPr>
        <w:pStyle w:val="paragraph"/>
        <w:spacing w:before="0" w:beforeAutospacing="0" w:after="200" w:afterAutospacing="0" w:line="276" w:lineRule="auto"/>
        <w:jc w:val="both"/>
        <w:textAlignment w:val="baseline"/>
        <w:rPr>
          <w:noProof/>
        </w:rPr>
      </w:pPr>
      <w:r>
        <w:rPr>
          <w:noProof/>
        </w:rPr>
        <w:t>Scopul acestei submăsuri este de a modifica legislația națională pentru a limita utilizarea numerarului în anumite sectoare economice și/sau pentru anumite tipuri de tranzacții, în vederea reducerii dimensiunii economiei subterane. Modificările legislative vor fi propuse pe baza analizei efectuate de Ministerul Finanțelor.</w:t>
      </w:r>
    </w:p>
    <w:p w14:paraId="581DF4AD" w14:textId="77777777" w:rsidR="00F53E3A" w:rsidRDefault="0036255F">
      <w:pPr>
        <w:pStyle w:val="paragraph"/>
        <w:spacing w:before="0" w:beforeAutospacing="0" w:after="200" w:afterAutospacing="0" w:line="276" w:lineRule="auto"/>
        <w:jc w:val="both"/>
        <w:textAlignment w:val="baseline"/>
        <w:rPr>
          <w:noProof/>
        </w:rPr>
      </w:pPr>
      <w:r>
        <w:rPr>
          <w:noProof/>
        </w:rPr>
        <w:t>Submăsura se finalizează până la 31 decembrie 2022.</w:t>
      </w:r>
    </w:p>
    <w:p w14:paraId="10406D3D" w14:textId="6E71E9FD" w:rsidR="00F53E3A" w:rsidRDefault="0036255F">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F.1.4.4. Submăsura 4: Educarea viitorilor contribuabili în domeniul fiscal</w:t>
      </w:r>
    </w:p>
    <w:p w14:paraId="0C9B8F71" w14:textId="0D5E960B" w:rsidR="00F53E3A" w:rsidRDefault="0036255F">
      <w:pPr>
        <w:pStyle w:val="paragraph"/>
        <w:spacing w:before="0" w:beforeAutospacing="0" w:after="200" w:afterAutospacing="0" w:line="276" w:lineRule="auto"/>
        <w:jc w:val="both"/>
        <w:textAlignment w:val="baseline"/>
        <w:rPr>
          <w:noProof/>
        </w:rPr>
      </w:pPr>
      <w:r>
        <w:rPr>
          <w:noProof/>
        </w:rPr>
        <w:t xml:space="preserve">Obiectivul acestei submăsuri este de a spori nivelul de alfabetizare fiscală a viitorilor contribuabili. Submăsura constă într-o campanie de sensibilizare cu privire la alfabetizarea fiscală, instalarea infrastructurii pentru plăți fără numerar în școli și emiterea de carduri electronice pentru elevi cu funcție de plată. </w:t>
      </w:r>
    </w:p>
    <w:p w14:paraId="19FB77EF" w14:textId="77777777" w:rsidR="00F53E3A" w:rsidRDefault="0036255F">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F.1.4.5. Submăsura 5: Mai multă transparență în sectorul construcțiilor</w:t>
      </w:r>
    </w:p>
    <w:p w14:paraId="62F8C2E8" w14:textId="484DC186" w:rsidR="00F53E3A" w:rsidRDefault="0036255F">
      <w:pPr>
        <w:pStyle w:val="paragraph"/>
        <w:spacing w:before="0" w:beforeAutospacing="0" w:after="200" w:afterAutospacing="0" w:line="276" w:lineRule="auto"/>
        <w:jc w:val="both"/>
        <w:textAlignment w:val="baseline"/>
        <w:rPr>
          <w:noProof/>
        </w:rPr>
      </w:pPr>
      <w:r>
        <w:rPr>
          <w:noProof/>
        </w:rPr>
        <w:t xml:space="preserve">Obiectivul submăsurii este de a asigura o mai mare transparență în sectorul construcțiilor. Submăsura constă în </w:t>
      </w:r>
      <w:r>
        <w:rPr>
          <w:rFonts w:eastAsiaTheme="minorEastAsia"/>
          <w:noProof/>
        </w:rPr>
        <w:t>furnizarea unui instrument digital care să permită înregistrarea obligatorie a persoanelor care lucrează în sectorul construcțiilor</w:t>
      </w:r>
      <w:r>
        <w:rPr>
          <w:noProof/>
        </w:rPr>
        <w:t>, precum și pentru inspecțiile planificate și neprogramate.</w:t>
      </w:r>
    </w:p>
    <w:p w14:paraId="1EFDF8B0" w14:textId="13DB2AC7" w:rsidR="00F53E3A" w:rsidRDefault="0036255F">
      <w:pPr>
        <w:pStyle w:val="paragraph"/>
        <w:keepNext/>
        <w:keepLines/>
        <w:spacing w:before="0" w:beforeAutospacing="0" w:after="200" w:afterAutospacing="0" w:line="276" w:lineRule="auto"/>
        <w:jc w:val="both"/>
        <w:textAlignment w:val="baseline"/>
        <w:rPr>
          <w:rStyle w:val="normaltextrun"/>
          <w:noProof/>
          <w:u w:val="single"/>
        </w:rPr>
      </w:pPr>
      <w:r>
        <w:rPr>
          <w:rStyle w:val="normaltextrun"/>
          <w:noProof/>
          <w:u w:val="single"/>
        </w:rPr>
        <w:t>F.1.5. Reforma 5 „Instrumente aflate la dispoziția întreprinderilor pentru gestionarea riscului de insolvență a întreprinderilor”</w:t>
      </w:r>
    </w:p>
    <w:p w14:paraId="672575E1" w14:textId="4AB5F35B" w:rsidR="00F53E3A" w:rsidRDefault="0036255F">
      <w:pPr>
        <w:pStyle w:val="paragraph"/>
        <w:spacing w:before="0" w:beforeAutospacing="0" w:after="200" w:afterAutospacing="0" w:line="276" w:lineRule="auto"/>
        <w:jc w:val="both"/>
        <w:textAlignment w:val="baseline"/>
        <w:rPr>
          <w:rStyle w:val="normaltextrun"/>
          <w:noProof/>
        </w:rPr>
      </w:pPr>
      <w:r>
        <w:rPr>
          <w:rStyle w:val="normaltextrun"/>
          <w:noProof/>
        </w:rPr>
        <w:t xml:space="preserve">Obiectivul măsurii este de a ajuta întreprinderile să gestioneze riscul de insolvență a întreprinderilor. Măsura constă în furnizarea a patru instrumente digitale pentru gestionarea riscului de insolvență a întreprinderilor. </w:t>
      </w:r>
    </w:p>
    <w:p w14:paraId="55E520B7" w14:textId="148C2706" w:rsidR="00F53E3A" w:rsidRDefault="0036255F">
      <w:pPr>
        <w:keepNext/>
        <w:keepLines/>
        <w:jc w:val="both"/>
        <w:rPr>
          <w:rFonts w:ascii="Times New Roman" w:eastAsia="Times New Roman" w:hAnsi="Times New Roman" w:cs="Times New Roman"/>
          <w:noProof/>
          <w:color w:val="000000" w:themeColor="text1"/>
          <w:sz w:val="24"/>
          <w:szCs w:val="24"/>
        </w:rPr>
      </w:pPr>
      <w:r>
        <w:rPr>
          <w:rStyle w:val="normaltextrun"/>
          <w:rFonts w:ascii="Times New Roman" w:eastAsia="Times New Roman" w:hAnsi="Times New Roman" w:cs="Times New Roman"/>
          <w:noProof/>
          <w:color w:val="000000" w:themeColor="text1"/>
          <w:sz w:val="24"/>
          <w:u w:val="single"/>
        </w:rPr>
        <w:t>F.1.6. Reforma 6 „Administrație fiscală inteligentă pentru reducerea deficitului de încasare a TVA”</w:t>
      </w:r>
    </w:p>
    <w:p w14:paraId="00AA7584" w14:textId="1DF0CA12" w:rsidR="00F53E3A" w:rsidRPr="00744366" w:rsidRDefault="0036255F">
      <w:pPr>
        <w:pStyle w:val="paragraph"/>
        <w:spacing w:before="0" w:beforeAutospacing="0" w:after="200" w:afterAutospacing="0" w:line="276" w:lineRule="auto"/>
        <w:jc w:val="both"/>
        <w:rPr>
          <w:noProof/>
          <w:color w:val="000000" w:themeColor="text1"/>
          <w:spacing w:val="-6"/>
        </w:rPr>
      </w:pPr>
      <w:r w:rsidRPr="00744366">
        <w:rPr>
          <w:noProof/>
          <w:color w:val="000000" w:themeColor="text1"/>
          <w:spacing w:val="-6"/>
        </w:rPr>
        <w:t xml:space="preserve">Scopul reformei este de a moderniza administrația fiscală și de </w:t>
      </w:r>
      <w:r w:rsidRPr="00744366">
        <w:rPr>
          <w:noProof/>
          <w:spacing w:val="-6"/>
        </w:rPr>
        <w:t xml:space="preserve">a reduce deficitul de încasare a TVA. </w:t>
      </w:r>
      <w:r w:rsidRPr="00744366">
        <w:rPr>
          <w:noProof/>
          <w:color w:val="000000" w:themeColor="text1"/>
          <w:spacing w:val="-6"/>
        </w:rPr>
        <w:t>Această reformă constă în șase submăsuri: (1) furnizarea de noi instrumente de analiză a datelor pentru Inspectoratul Fiscal de Stat (submăsura 1); (2) monitorizarea calității datelor Inspectoratului Fiscal de Stat și ale altor instituții (submăsura 2); (3) robotizarea proceselor comerciale la Inspectoratul Fiscal de Stat (submăsura 3); (4) digitalizarea timbrelor fiscale (submăsura 4); (5) noi instrumente de analiză a datelor și modernizarea sistemelor informatice ale vămilor lituaniene (submăsura 5); (6) formarea personalului Inspectoratului Fiscal de Stat și al vămilor lituaniene (submăsura 6).</w:t>
      </w:r>
    </w:p>
    <w:p w14:paraId="0B109F46" w14:textId="15453321" w:rsidR="00F53E3A" w:rsidRDefault="0036255F">
      <w:pPr>
        <w:keepNext/>
        <w:keepLines/>
        <w:jc w:val="both"/>
        <w:rPr>
          <w:rFonts w:ascii="Times New Roman" w:eastAsia="Times New Roman" w:hAnsi="Times New Roman" w:cs="Times New Roman"/>
          <w:noProof/>
          <w:color w:val="000000" w:themeColor="text1"/>
          <w:sz w:val="24"/>
          <w:szCs w:val="24"/>
        </w:rPr>
      </w:pPr>
      <w:r>
        <w:rPr>
          <w:rStyle w:val="normaltextrun"/>
          <w:rFonts w:ascii="Times New Roman" w:eastAsia="Times New Roman" w:hAnsi="Times New Roman" w:cs="Times New Roman"/>
          <w:noProof/>
          <w:color w:val="000000" w:themeColor="text1"/>
          <w:sz w:val="24"/>
          <w:u w:val="single"/>
        </w:rPr>
        <w:t xml:space="preserve">F.1.6.1. </w:t>
      </w:r>
      <w:r w:rsidRPr="00744366">
        <w:rPr>
          <w:rStyle w:val="normaltextrun"/>
          <w:rFonts w:ascii="Times New Roman" w:eastAsia="Times New Roman" w:hAnsi="Times New Roman" w:cs="Times New Roman"/>
          <w:noProof/>
          <w:color w:val="000000" w:themeColor="text1"/>
          <w:spacing w:val="-8"/>
          <w:sz w:val="24"/>
          <w:u w:val="single"/>
        </w:rPr>
        <w:t>Submăsura 1: Furnizarea de noi instrumente de analiză a datelor pentru Inspectoratul Fiscal de Stat</w:t>
      </w:r>
    </w:p>
    <w:p w14:paraId="06EAF03C" w14:textId="53B943A5" w:rsidR="00F53E3A" w:rsidRDefault="0036255F">
      <w:pPr>
        <w:pStyle w:val="paragraph"/>
        <w:spacing w:before="0" w:beforeAutospacing="0" w:after="200" w:afterAutospacing="0" w:line="276" w:lineRule="auto"/>
        <w:jc w:val="both"/>
        <w:rPr>
          <w:noProof/>
        </w:rPr>
      </w:pPr>
      <w:r>
        <w:rPr>
          <w:rStyle w:val="normaltextrun"/>
          <w:noProof/>
        </w:rPr>
        <w:t>Obiectivul acestei submăsuri este de a furniza noi instrumente pentru analiza datelor efectuată de Inspectoratul Fiscal de Stat. Submăsura constă în furnizarea de modele analitice și șase noi funcționalități sistemelor de informații existente ale Inspectoratului Fiscal de Stat.</w:t>
      </w:r>
    </w:p>
    <w:p w14:paraId="762A5C79" w14:textId="1F707593" w:rsidR="00F53E3A" w:rsidRPr="00744366" w:rsidRDefault="0036255F">
      <w:pPr>
        <w:keepNext/>
        <w:keepLines/>
        <w:jc w:val="both"/>
        <w:rPr>
          <w:rFonts w:ascii="Times New Roman" w:eastAsia="Times New Roman" w:hAnsi="Times New Roman" w:cs="Times New Roman"/>
          <w:noProof/>
          <w:color w:val="000000" w:themeColor="text1"/>
          <w:spacing w:val="-6"/>
          <w:sz w:val="24"/>
          <w:szCs w:val="24"/>
        </w:rPr>
      </w:pPr>
      <w:r>
        <w:rPr>
          <w:rStyle w:val="normaltextrun"/>
          <w:rFonts w:ascii="Times New Roman" w:eastAsia="Times New Roman" w:hAnsi="Times New Roman" w:cs="Times New Roman"/>
          <w:noProof/>
          <w:color w:val="000000" w:themeColor="text1"/>
          <w:sz w:val="24"/>
          <w:u w:val="single"/>
        </w:rPr>
        <w:t xml:space="preserve">F.1.6.2. </w:t>
      </w:r>
      <w:r w:rsidRPr="00744366">
        <w:rPr>
          <w:rStyle w:val="normaltextrun"/>
          <w:rFonts w:ascii="Times New Roman" w:eastAsia="Times New Roman" w:hAnsi="Times New Roman" w:cs="Times New Roman"/>
          <w:noProof/>
          <w:color w:val="000000" w:themeColor="text1"/>
          <w:spacing w:val="-6"/>
          <w:sz w:val="24"/>
          <w:u w:val="single"/>
        </w:rPr>
        <w:t>Submăsura 2: Monitorizarea calității datelor Inspectoratului Fiscal de Stat și ale altor instituții</w:t>
      </w:r>
    </w:p>
    <w:p w14:paraId="4B30471A" w14:textId="2B7424AB" w:rsidR="00F53E3A" w:rsidRDefault="0036255F">
      <w:pPr>
        <w:pStyle w:val="paragraph"/>
        <w:spacing w:before="0" w:beforeAutospacing="0" w:after="200" w:afterAutospacing="0" w:line="276" w:lineRule="auto"/>
        <w:jc w:val="both"/>
        <w:rPr>
          <w:noProof/>
        </w:rPr>
      </w:pPr>
      <w:r>
        <w:rPr>
          <w:noProof/>
        </w:rPr>
        <w:t xml:space="preserve">Obiectivul acestei submăsuri este de a monitoriza calitatea datelor Inspectoratului Fiscal de Stat și ale altor instituții. Submăsura constă în aprobarea unei metodologii pentru crearea unei baze de date de metadate și a unor recomandări privind gestionarea datelor, precum și în adoptarea de ordine privind utilizarea bazei de date de metadate pentru construirea și integrarea logică a bazei de metadate a Inspectoratului Fiscal de Stat. </w:t>
      </w:r>
    </w:p>
    <w:p w14:paraId="7ECB00C6" w14:textId="50D36443" w:rsidR="00F53E3A" w:rsidRDefault="0036255F">
      <w:pPr>
        <w:keepNext/>
        <w:keepLines/>
        <w:jc w:val="both"/>
        <w:rPr>
          <w:rFonts w:ascii="Times New Roman" w:eastAsia="Times New Roman" w:hAnsi="Times New Roman" w:cs="Times New Roman"/>
          <w:noProof/>
          <w:color w:val="0078D4"/>
          <w:sz w:val="24"/>
          <w:szCs w:val="24"/>
        </w:rPr>
      </w:pPr>
      <w:r>
        <w:rPr>
          <w:rStyle w:val="normaltextrun"/>
          <w:rFonts w:ascii="Times New Roman" w:eastAsia="Times New Roman" w:hAnsi="Times New Roman" w:cs="Times New Roman"/>
          <w:noProof/>
          <w:color w:val="000000" w:themeColor="text1"/>
          <w:sz w:val="24"/>
          <w:u w:val="single"/>
        </w:rPr>
        <w:t>F.1.6.3. Submăsura 3: Robotizarea proceselor comerciale în cadrul Inspectoratului Fiscal de Stat</w:t>
      </w:r>
    </w:p>
    <w:p w14:paraId="04F4A84F" w14:textId="70D22BBC" w:rsidR="00F53E3A" w:rsidRDefault="0036255F">
      <w:pPr>
        <w:jc w:val="both"/>
        <w:rPr>
          <w:rFonts w:ascii="Times New Roman" w:eastAsia="Times New Roman" w:hAnsi="Times New Roman" w:cs="Times New Roman"/>
          <w:noProof/>
          <w:sz w:val="24"/>
          <w:szCs w:val="24"/>
        </w:rPr>
      </w:pPr>
      <w:r w:rsidRPr="00744366">
        <w:rPr>
          <w:rStyle w:val="normaltextrun"/>
          <w:rFonts w:ascii="Times New Roman" w:eastAsia="Times New Roman" w:hAnsi="Times New Roman" w:cs="Times New Roman"/>
          <w:noProof/>
          <w:color w:val="000000" w:themeColor="text1"/>
          <w:spacing w:val="-6"/>
          <w:sz w:val="24"/>
        </w:rPr>
        <w:t xml:space="preserve">Scopul acestei submăsuri este de a obține licențe pentru software-ul de automatizare a proceselor robotice și </w:t>
      </w:r>
      <w:r w:rsidRPr="00744366">
        <w:rPr>
          <w:rStyle w:val="normaltextrun"/>
          <w:rFonts w:ascii="Times New Roman" w:eastAsia="Times New Roman" w:hAnsi="Times New Roman" w:cs="Times New Roman"/>
          <w:noProof/>
          <w:spacing w:val="-6"/>
          <w:sz w:val="24"/>
        </w:rPr>
        <w:t>de a-l utiliza pentru automatizarea a două procese comerciale ale Inspectoratului Fiscal de Stat</w:t>
      </w:r>
      <w:r>
        <w:rPr>
          <w:rStyle w:val="normaltextrun"/>
          <w:rFonts w:ascii="Times New Roman" w:eastAsia="Times New Roman" w:hAnsi="Times New Roman" w:cs="Times New Roman"/>
          <w:noProof/>
          <w:sz w:val="24"/>
        </w:rPr>
        <w:t>:</w:t>
      </w:r>
    </w:p>
    <w:p w14:paraId="18AD8098" w14:textId="3046CEEF" w:rsidR="00F53E3A" w:rsidRDefault="0036255F">
      <w:pPr>
        <w:pStyle w:val="P68B1DB1-ListParagraph31"/>
        <w:numPr>
          <w:ilvl w:val="0"/>
          <w:numId w:val="44"/>
        </w:numPr>
        <w:spacing w:after="200" w:line="276" w:lineRule="auto"/>
        <w:rPr>
          <w:noProof/>
          <w:szCs w:val="24"/>
        </w:rPr>
      </w:pPr>
      <w:r>
        <w:rPr>
          <w:noProof/>
        </w:rPr>
        <w:t>emiterea de decizii și protocoale pentru încălcări ale dreptului administrativ;</w:t>
      </w:r>
    </w:p>
    <w:p w14:paraId="03EAA8DC" w14:textId="26E8CA8A" w:rsidR="00F53E3A" w:rsidRDefault="0036255F">
      <w:pPr>
        <w:pStyle w:val="paragraph"/>
        <w:numPr>
          <w:ilvl w:val="0"/>
          <w:numId w:val="44"/>
        </w:numPr>
        <w:spacing w:before="0" w:beforeAutospacing="0" w:after="200" w:afterAutospacing="0" w:line="276" w:lineRule="auto"/>
        <w:jc w:val="both"/>
        <w:rPr>
          <w:noProof/>
          <w:szCs w:val="24"/>
        </w:rPr>
      </w:pPr>
      <w:r>
        <w:rPr>
          <w:noProof/>
        </w:rPr>
        <w:t>revizuirea vechilor arierate și amenzi fiscale.</w:t>
      </w:r>
    </w:p>
    <w:p w14:paraId="2771FA6B" w14:textId="2AF496A3" w:rsidR="00F53E3A" w:rsidRDefault="0036255F">
      <w:pPr>
        <w:jc w:val="both"/>
        <w:rPr>
          <w:rFonts w:ascii="Times New Roman" w:eastAsia="Times New Roman" w:hAnsi="Times New Roman" w:cs="Times New Roman"/>
          <w:noProof/>
          <w:sz w:val="24"/>
          <w:szCs w:val="24"/>
        </w:rPr>
      </w:pPr>
      <w:r>
        <w:rPr>
          <w:rStyle w:val="normaltextrun"/>
          <w:rFonts w:ascii="Times New Roman" w:eastAsia="Times New Roman" w:hAnsi="Times New Roman" w:cs="Times New Roman"/>
          <w:noProof/>
          <w:sz w:val="24"/>
        </w:rPr>
        <w:t>Această submăsură se finalizează până la 31 Ma</w:t>
      </w:r>
      <w:r>
        <w:rPr>
          <w:rStyle w:val="normaltextrun"/>
          <w:rFonts w:ascii="Times New Roman" w:eastAsia="Times New Roman" w:hAnsi="Times New Roman" w:cs="Times New Roman"/>
          <w:noProof/>
          <w:sz w:val="24"/>
          <w:u w:val="single"/>
        </w:rPr>
        <w:t xml:space="preserve"> r</w:t>
      </w:r>
      <w:r>
        <w:rPr>
          <w:rStyle w:val="normaltextrun"/>
          <w:rFonts w:ascii="Times New Roman" w:eastAsia="Times New Roman" w:hAnsi="Times New Roman" w:cs="Times New Roman"/>
          <w:noProof/>
          <w:sz w:val="24"/>
        </w:rPr>
        <w:t>ch 2022.</w:t>
      </w:r>
    </w:p>
    <w:p w14:paraId="64A2B870" w14:textId="66B384D0" w:rsidR="00F53E3A" w:rsidRDefault="0036255F">
      <w:pPr>
        <w:keepNext/>
        <w:keepLines/>
        <w:jc w:val="both"/>
        <w:rPr>
          <w:rFonts w:ascii="Times New Roman" w:eastAsia="Times New Roman" w:hAnsi="Times New Roman" w:cs="Times New Roman"/>
          <w:noProof/>
          <w:color w:val="0078D4"/>
          <w:sz w:val="24"/>
          <w:szCs w:val="24"/>
        </w:rPr>
      </w:pPr>
      <w:r>
        <w:rPr>
          <w:rStyle w:val="normaltextrun"/>
          <w:rFonts w:ascii="Times New Roman" w:eastAsia="Times New Roman" w:hAnsi="Times New Roman" w:cs="Times New Roman"/>
          <w:noProof/>
          <w:sz w:val="24"/>
          <w:u w:val="single"/>
        </w:rPr>
        <w:t xml:space="preserve">F.1.6.4. Submăsura </w:t>
      </w:r>
      <w:r>
        <w:rPr>
          <w:rStyle w:val="normaltextrun"/>
          <w:rFonts w:ascii="Times New Roman" w:eastAsia="Times New Roman" w:hAnsi="Times New Roman" w:cs="Times New Roman"/>
          <w:noProof/>
          <w:color w:val="000000" w:themeColor="text1"/>
          <w:sz w:val="24"/>
          <w:u w:val="single"/>
        </w:rPr>
        <w:t>4: Digitalizarea timbrelor fiscale</w:t>
      </w:r>
    </w:p>
    <w:p w14:paraId="5B5BE058" w14:textId="2FCD98A5" w:rsidR="00F53E3A" w:rsidRDefault="0036255F">
      <w:pPr>
        <w:jc w:val="both"/>
        <w:rPr>
          <w:rFonts w:ascii="Times New Roman" w:eastAsia="Times New Roman" w:hAnsi="Times New Roman" w:cs="Times New Roman"/>
          <w:noProof/>
          <w:color w:val="0078D4"/>
          <w:sz w:val="24"/>
          <w:szCs w:val="24"/>
        </w:rPr>
      </w:pPr>
      <w:r>
        <w:rPr>
          <w:rStyle w:val="normaltextrun"/>
          <w:rFonts w:ascii="Times New Roman" w:eastAsia="Times New Roman" w:hAnsi="Times New Roman" w:cs="Times New Roman"/>
          <w:noProof/>
          <w:color w:val="000000" w:themeColor="text1"/>
          <w:sz w:val="24"/>
        </w:rPr>
        <w:t>Scopul acestei submăsuri este de a explora posibilitățile de înlocuire a timbrelor fiscale pe suport de hârtie utilizate în prezent pentru a proteja piața împotriva băuturilor alcoolice ilegale cu soluții digitale pentru etichetarea acestor produse prin desfășurarea unui proiect-pilot. Pe baza rezultatelor proiectului-pilot, Inspectoratul Fiscal de Stat decide dacă să dezvolte un modul specific care să permită etichetarea electronică a băuturilor alcoolice.</w:t>
      </w:r>
    </w:p>
    <w:p w14:paraId="3EE33446" w14:textId="3A712466" w:rsidR="00F53E3A" w:rsidRDefault="0036255F">
      <w:pPr>
        <w:jc w:val="both"/>
        <w:rPr>
          <w:rFonts w:ascii="Times New Roman" w:eastAsia="Times New Roman" w:hAnsi="Times New Roman" w:cs="Times New Roman"/>
          <w:noProof/>
          <w:color w:val="0078D4"/>
          <w:sz w:val="24"/>
          <w:szCs w:val="24"/>
        </w:rPr>
      </w:pPr>
      <w:r>
        <w:rPr>
          <w:rStyle w:val="normaltextrun"/>
          <w:rFonts w:ascii="Times New Roman" w:eastAsia="Times New Roman" w:hAnsi="Times New Roman" w:cs="Times New Roman"/>
          <w:noProof/>
          <w:color w:val="000000" w:themeColor="text1"/>
          <w:sz w:val="24"/>
        </w:rPr>
        <w:t>Această submăsură se finalizează până la 31 Ma</w:t>
      </w:r>
      <w:r>
        <w:rPr>
          <w:rStyle w:val="normaltextrun"/>
          <w:rFonts w:ascii="Times New Roman" w:eastAsia="Times New Roman" w:hAnsi="Times New Roman" w:cs="Times New Roman"/>
          <w:noProof/>
          <w:color w:val="8E562E"/>
          <w:sz w:val="24"/>
          <w:u w:val="single"/>
        </w:rPr>
        <w:t xml:space="preserve"> r</w:t>
      </w:r>
      <w:r>
        <w:rPr>
          <w:rStyle w:val="normaltextrun"/>
          <w:rFonts w:ascii="Times New Roman" w:eastAsia="Times New Roman" w:hAnsi="Times New Roman" w:cs="Times New Roman"/>
          <w:noProof/>
          <w:color w:val="000000" w:themeColor="text1"/>
          <w:sz w:val="24"/>
        </w:rPr>
        <w:t>ch 2024.</w:t>
      </w:r>
    </w:p>
    <w:p w14:paraId="168B3598" w14:textId="7BBFD35F" w:rsidR="00F53E3A" w:rsidRDefault="0036255F">
      <w:pPr>
        <w:keepNext/>
        <w:keepLines/>
        <w:jc w:val="both"/>
        <w:rPr>
          <w:rFonts w:ascii="Times New Roman" w:eastAsia="Times New Roman" w:hAnsi="Times New Roman" w:cs="Times New Roman"/>
          <w:noProof/>
          <w:color w:val="000000" w:themeColor="text1"/>
          <w:sz w:val="24"/>
          <w:szCs w:val="24"/>
        </w:rPr>
      </w:pPr>
      <w:r>
        <w:rPr>
          <w:rStyle w:val="normaltextrun"/>
          <w:rFonts w:ascii="Times New Roman" w:eastAsia="Times New Roman" w:hAnsi="Times New Roman" w:cs="Times New Roman"/>
          <w:noProof/>
          <w:color w:val="000000" w:themeColor="text1"/>
          <w:sz w:val="24"/>
          <w:u w:val="single"/>
        </w:rPr>
        <w:t>F.1.6.5. Submăsura 5: Noi instrumente de analiză a datelor și modernizarea sistemelor informatice ale autorităților vamale lituaniene</w:t>
      </w:r>
    </w:p>
    <w:p w14:paraId="387E42F9" w14:textId="390C89F5" w:rsidR="00F53E3A" w:rsidRDefault="0036255F">
      <w:pPr>
        <w:jc w:val="both"/>
        <w:rPr>
          <w:rFonts w:ascii="Times New Roman" w:eastAsia="Times New Roman" w:hAnsi="Times New Roman" w:cs="Times New Roman"/>
          <w:noProof/>
          <w:color w:val="0B6A0B"/>
          <w:sz w:val="24"/>
          <w:szCs w:val="24"/>
        </w:rPr>
      </w:pPr>
      <w:r>
        <w:rPr>
          <w:rStyle w:val="normaltextrun"/>
          <w:rFonts w:ascii="Times New Roman" w:eastAsia="Times New Roman" w:hAnsi="Times New Roman" w:cs="Times New Roman"/>
          <w:noProof/>
          <w:color w:val="000000" w:themeColor="text1"/>
          <w:sz w:val="24"/>
        </w:rPr>
        <w:t>Scopul acestei submăsuri este de</w:t>
      </w:r>
      <w:r>
        <w:rPr>
          <w:rStyle w:val="normaltextrun"/>
          <w:rFonts w:ascii="Times New Roman" w:eastAsia="Times New Roman" w:hAnsi="Times New Roman" w:cs="Times New Roman"/>
          <w:noProof/>
          <w:sz w:val="24"/>
        </w:rPr>
        <w:t xml:space="preserve"> a furniza noi instrumente pentru analiza datelor de către autoritățile vamale lituaniene. Această submăsură constă în furnizarea de instrumente de analiză a datelor și de interfețe între aplicațiile informatice.</w:t>
      </w:r>
      <w:r>
        <w:rPr>
          <w:rFonts w:ascii="Times New Roman" w:eastAsia="Times New Roman" w:hAnsi="Times New Roman" w:cs="Times New Roman"/>
          <w:noProof/>
          <w:sz w:val="24"/>
          <w:u w:val="single"/>
        </w:rPr>
        <w:t xml:space="preserve"> </w:t>
      </w:r>
    </w:p>
    <w:p w14:paraId="338728B2" w14:textId="3984DA99" w:rsidR="00F53E3A" w:rsidRDefault="0036255F">
      <w:pPr>
        <w:keepNext/>
        <w:keepLines/>
        <w:jc w:val="both"/>
        <w:rPr>
          <w:rFonts w:ascii="Times New Roman" w:eastAsia="Times New Roman" w:hAnsi="Times New Roman" w:cs="Times New Roman"/>
          <w:noProof/>
          <w:color w:val="000000" w:themeColor="text1"/>
          <w:sz w:val="24"/>
          <w:szCs w:val="24"/>
        </w:rPr>
      </w:pPr>
      <w:r>
        <w:rPr>
          <w:rStyle w:val="normaltextrun"/>
          <w:rFonts w:ascii="Times New Roman" w:eastAsia="Times New Roman" w:hAnsi="Times New Roman" w:cs="Times New Roman"/>
          <w:noProof/>
          <w:color w:val="000000" w:themeColor="text1"/>
          <w:sz w:val="24"/>
          <w:u w:val="single"/>
        </w:rPr>
        <w:t>F.1.6.6. Submăsura 6: Formarea personalului Inspectoratului fiscal de stat și al vămilor lituaniene</w:t>
      </w:r>
    </w:p>
    <w:p w14:paraId="6DFF7345" w14:textId="1AB5AAA9" w:rsidR="00F53E3A" w:rsidRDefault="0036255F">
      <w:pPr>
        <w:jc w:val="both"/>
        <w:rPr>
          <w:rFonts w:ascii="Times New Roman" w:eastAsia="Times New Roman" w:hAnsi="Times New Roman" w:cs="Times New Roman"/>
          <w:noProof/>
          <w:color w:val="0B6A0B"/>
          <w:sz w:val="24"/>
          <w:szCs w:val="24"/>
        </w:rPr>
      </w:pPr>
      <w:r>
        <w:rPr>
          <w:rStyle w:val="normaltextrun"/>
          <w:rFonts w:ascii="Times New Roman" w:eastAsia="Times New Roman" w:hAnsi="Times New Roman" w:cs="Times New Roman"/>
          <w:noProof/>
          <w:color w:val="000000" w:themeColor="text1"/>
          <w:sz w:val="24"/>
        </w:rPr>
        <w:t xml:space="preserve">Obiectivul </w:t>
      </w:r>
      <w:r>
        <w:rPr>
          <w:rStyle w:val="normaltextrun"/>
          <w:rFonts w:ascii="Times New Roman" w:eastAsia="Times New Roman" w:hAnsi="Times New Roman" w:cs="Times New Roman"/>
          <w:noProof/>
          <w:sz w:val="24"/>
        </w:rPr>
        <w:t>acestei submăsuri este de a forma personalul din cadrul Inspectoratului Fiscal de Stat și al vămilor lituaniene. Submăsura constă în furnizarea de instrumente de formare digitală și de cursuri de formare pentru Inspectoratul Fiscal de Stat și autoritățile vamale lituaniene.</w:t>
      </w:r>
    </w:p>
    <w:p w14:paraId="0DFF2BDE" w14:textId="5FC1D357" w:rsidR="00F53E3A" w:rsidRDefault="0036255F">
      <w:pPr>
        <w:keepNext/>
        <w:keepLines/>
        <w:jc w:val="both"/>
        <w:rPr>
          <w:rFonts w:ascii="Times New Roman" w:eastAsia="Times New Roman" w:hAnsi="Times New Roman" w:cs="Times New Roman"/>
          <w:noProof/>
          <w:color w:val="000000" w:themeColor="text1"/>
          <w:sz w:val="24"/>
          <w:szCs w:val="24"/>
        </w:rPr>
      </w:pPr>
      <w:r>
        <w:rPr>
          <w:rStyle w:val="normaltextrun"/>
          <w:rFonts w:ascii="Times New Roman" w:eastAsia="Times New Roman" w:hAnsi="Times New Roman" w:cs="Times New Roman"/>
          <w:noProof/>
          <w:color w:val="000000" w:themeColor="text1"/>
          <w:sz w:val="24"/>
          <w:u w:val="single"/>
        </w:rPr>
        <w:t>F.1.7. Reforma 7 „Furnizarea unui ecosistem de documente electronice”</w:t>
      </w:r>
    </w:p>
    <w:p w14:paraId="10A2C1A6" w14:textId="22A72652" w:rsidR="00F53E3A" w:rsidRDefault="0036255F">
      <w:pPr>
        <w:pStyle w:val="paragraph"/>
        <w:spacing w:before="0" w:beforeAutospacing="0" w:after="200" w:afterAutospacing="0" w:line="276" w:lineRule="auto"/>
        <w:jc w:val="both"/>
        <w:rPr>
          <w:noProof/>
          <w:szCs w:val="24"/>
        </w:rPr>
      </w:pPr>
      <w:r>
        <w:rPr>
          <w:noProof/>
        </w:rPr>
        <w:t>Obiectivul reformei este de a permite întreprinderilor să facă schimb de informații și date electronice cu autoritățile publice în mod automat. Reforma constă în intrarea în vigoare a legislației privind prelucrarea documentelor electronice de decontare și a datelor fiscale ale acestora. Această reformă are, de asemenea, două submăsuri: (1) crearea unei soluții care să permită încasările electronice (submăsura 1); (2) livrarea unui prototip al porții eFTI.</w:t>
      </w:r>
    </w:p>
    <w:p w14:paraId="5BAFBD21" w14:textId="7F38D370" w:rsidR="00F53E3A" w:rsidRDefault="0036255F">
      <w:pPr>
        <w:keepNext/>
        <w:keepLines/>
        <w:jc w:val="both"/>
        <w:rPr>
          <w:rFonts w:ascii="Times New Roman" w:eastAsia="Times New Roman" w:hAnsi="Times New Roman" w:cs="Times New Roman"/>
          <w:noProof/>
          <w:color w:val="0B6A0B"/>
          <w:sz w:val="24"/>
          <w:szCs w:val="24"/>
        </w:rPr>
      </w:pPr>
      <w:r>
        <w:rPr>
          <w:rStyle w:val="normaltextrun"/>
          <w:rFonts w:ascii="Times New Roman" w:eastAsia="Times New Roman" w:hAnsi="Times New Roman" w:cs="Times New Roman"/>
          <w:noProof/>
          <w:color w:val="000000" w:themeColor="text1"/>
          <w:sz w:val="24"/>
          <w:u w:val="single"/>
        </w:rPr>
        <w:t>F.1.7.1. Submăsura 1: Crearea unei soluții care să permită încasările electronice</w:t>
      </w:r>
    </w:p>
    <w:p w14:paraId="214554E7" w14:textId="77D158D4" w:rsidR="00F53E3A" w:rsidRDefault="0036255F">
      <w:pPr>
        <w:pStyle w:val="P68B1DB1-paragraph32"/>
        <w:spacing w:before="0" w:beforeAutospacing="0" w:after="200" w:afterAutospacing="0" w:line="276" w:lineRule="auto"/>
        <w:jc w:val="both"/>
        <w:rPr>
          <w:noProof/>
          <w:color w:val="0B6A0B"/>
          <w:szCs w:val="24"/>
        </w:rPr>
      </w:pPr>
      <w:r>
        <w:rPr>
          <w:noProof/>
        </w:rPr>
        <w:t>Scopul acestei submăsuri este de a crea un prototip de chitanță electronică și de a-l implementa în sistemele informatice ale Inspectoratului Fiscal de Stat. Inspectoratul fiscal de stat îl pune, de asemenea, la dispoziția întreprinderilor.</w:t>
      </w:r>
    </w:p>
    <w:p w14:paraId="097888D7" w14:textId="05102725" w:rsidR="00F53E3A" w:rsidRDefault="0036255F">
      <w:pPr>
        <w:keepNext/>
        <w:keepLines/>
        <w:jc w:val="both"/>
        <w:rPr>
          <w:rFonts w:ascii="Times New Roman" w:eastAsia="Times New Roman" w:hAnsi="Times New Roman" w:cs="Times New Roman"/>
          <w:noProof/>
          <w:color w:val="0B6A0B"/>
          <w:sz w:val="24"/>
          <w:szCs w:val="24"/>
        </w:rPr>
      </w:pPr>
      <w:r>
        <w:rPr>
          <w:rStyle w:val="normaltextrun"/>
          <w:rFonts w:ascii="Times New Roman" w:eastAsia="Times New Roman" w:hAnsi="Times New Roman" w:cs="Times New Roman"/>
          <w:noProof/>
          <w:color w:val="000000" w:themeColor="text1"/>
          <w:sz w:val="24"/>
          <w:u w:val="single"/>
        </w:rPr>
        <w:t xml:space="preserve">F.1.7.2. Submăsura 2: </w:t>
      </w:r>
      <w:r>
        <w:rPr>
          <w:rStyle w:val="normaltextrun"/>
          <w:rFonts w:ascii="Times New Roman" w:eastAsia="Times New Roman" w:hAnsi="Times New Roman" w:cs="Times New Roman"/>
          <w:noProof/>
          <w:sz w:val="24"/>
          <w:u w:val="single"/>
        </w:rPr>
        <w:t>Livrarea unui prototip de poartă eFTI</w:t>
      </w:r>
    </w:p>
    <w:p w14:paraId="35E4AAFF" w14:textId="36090A79" w:rsidR="00F53E3A" w:rsidRDefault="0036255F">
      <w:pPr>
        <w:pStyle w:val="paragraph"/>
        <w:spacing w:before="0" w:beforeAutospacing="0" w:after="200" w:afterAutospacing="0" w:line="276" w:lineRule="auto"/>
        <w:jc w:val="both"/>
        <w:rPr>
          <w:noProof/>
        </w:rPr>
      </w:pPr>
      <w:r>
        <w:rPr>
          <w:noProof/>
        </w:rPr>
        <w:t>Obiectivul acestei submăsuri este de a oferi autorităților de control acces</w:t>
      </w:r>
      <w:r>
        <w:rPr>
          <w:i/>
          <w:noProof/>
        </w:rPr>
        <w:t xml:space="preserve"> </w:t>
      </w:r>
      <w:r>
        <w:rPr>
          <w:noProof/>
        </w:rPr>
        <w:t>la informațiile privind transportul de mărfuri gestionate de întreprinderi sub formă de date eFTI. Submăsura constă în furnizarea unui prototip al funcționalităților subsistemului i.VAZ al Inspectoratului fiscal inteligent.</w:t>
      </w:r>
    </w:p>
    <w:p w14:paraId="352EA37B" w14:textId="29D5995B" w:rsidR="00F53E3A" w:rsidRDefault="0036255F">
      <w:pPr>
        <w:keepNext/>
        <w:keepLines/>
        <w:jc w:val="both"/>
        <w:rPr>
          <w:rFonts w:ascii="Times New Roman" w:eastAsia="Times New Roman" w:hAnsi="Times New Roman" w:cs="Times New Roman"/>
          <w:noProof/>
          <w:color w:val="000000" w:themeColor="text1"/>
          <w:sz w:val="24"/>
          <w:szCs w:val="24"/>
        </w:rPr>
      </w:pPr>
      <w:r>
        <w:rPr>
          <w:rStyle w:val="normaltextrun"/>
          <w:rFonts w:ascii="Times New Roman" w:eastAsia="Times New Roman" w:hAnsi="Times New Roman" w:cs="Times New Roman"/>
          <w:noProof/>
          <w:color w:val="000000" w:themeColor="text1"/>
          <w:sz w:val="24"/>
          <w:u w:val="single"/>
        </w:rPr>
        <w:t>F.1.8. Reforma 8 „Un ghișeu unic pentru plata amenzilor”</w:t>
      </w:r>
    </w:p>
    <w:p w14:paraId="5DE7B5A4" w14:textId="07B0082D" w:rsidR="00F53E3A" w:rsidRDefault="0036255F">
      <w:pPr>
        <w:jc w:val="both"/>
        <w:rPr>
          <w:rFonts w:ascii="Times New Roman" w:eastAsia="Times New Roman" w:hAnsi="Times New Roman" w:cs="Times New Roman"/>
          <w:noProof/>
          <w:sz w:val="24"/>
          <w:szCs w:val="24"/>
        </w:rPr>
      </w:pPr>
      <w:r>
        <w:rPr>
          <w:rStyle w:val="normaltextrun"/>
          <w:rFonts w:ascii="Times New Roman" w:eastAsia="Times New Roman" w:hAnsi="Times New Roman" w:cs="Times New Roman"/>
          <w:noProof/>
          <w:sz w:val="24"/>
        </w:rPr>
        <w:t xml:space="preserve">Obiectivul este de a reforma administrarea amenzilor. Măsura constă în adoptarea unei legislații care să permită Inspectoratului Fiscal de Stat să administreze majoritatea amenzilor și sancțiunilor economice emise de stat și furnizarea de interfețe informatice. </w:t>
      </w:r>
    </w:p>
    <w:p w14:paraId="647D6D5F" w14:textId="02690F5B" w:rsidR="00F53E3A" w:rsidRDefault="0036255F">
      <w:pPr>
        <w:keepNext/>
        <w:keepLines/>
        <w:jc w:val="both"/>
        <w:rPr>
          <w:rFonts w:ascii="Times New Roman" w:eastAsia="Times New Roman" w:hAnsi="Times New Roman" w:cs="Times New Roman"/>
          <w:noProof/>
          <w:color w:val="0078D4"/>
          <w:sz w:val="24"/>
          <w:szCs w:val="24"/>
        </w:rPr>
      </w:pPr>
      <w:r>
        <w:rPr>
          <w:rStyle w:val="normaltextrun"/>
          <w:rFonts w:ascii="Times New Roman" w:eastAsia="Times New Roman" w:hAnsi="Times New Roman" w:cs="Times New Roman"/>
          <w:noProof/>
          <w:color w:val="000000" w:themeColor="text1"/>
          <w:sz w:val="24"/>
          <w:u w:val="single"/>
        </w:rPr>
        <w:t>F.1.9. Reforma 9 „Sistemul de repertorii pentru audit și controale”</w:t>
      </w:r>
    </w:p>
    <w:p w14:paraId="7FDCD3CD" w14:textId="402C77A6" w:rsidR="00F53E3A" w:rsidRDefault="0036255F">
      <w:pPr>
        <w:jc w:val="both"/>
        <w:rPr>
          <w:rFonts w:ascii="Times New Roman" w:eastAsia="Times New Roman" w:hAnsi="Times New Roman" w:cs="Times New Roman"/>
          <w:noProof/>
          <w:color w:val="0078D4"/>
          <w:sz w:val="24"/>
          <w:szCs w:val="24"/>
        </w:rPr>
      </w:pPr>
      <w:r>
        <w:rPr>
          <w:rStyle w:val="normaltextrun"/>
          <w:rFonts w:ascii="Times New Roman" w:eastAsia="Times New Roman" w:hAnsi="Times New Roman" w:cs="Times New Roman"/>
          <w:noProof/>
          <w:color w:val="000000" w:themeColor="text1"/>
          <w:sz w:val="24"/>
        </w:rPr>
        <w:t>Obiectivul investiției într-un sistem de repertorii pentru audit și controale este de a se asigura că cerințele planului de redresare și reziliență în ceea ce privește colectarea și monitorizarea datelor sunt îndeplinite până la momentul primei cereri de plată. În special, este vorba despre colectarea de date și monitorizarea atingerii jaloanelor și a țintelor, precum și despre colectarea, stocarea și asigurarea accesului la date în conformitate cu articolul 22 alineatul (2) litera (d) punctele (i)-(iii) din Regulamentul privind MRR. Funcționalitățile respective ale sistemului de repertorii sunt confirmate printr-un raport de audit. Domeniul de aplicare al raportului de audit acoperă măsurile temporare și, în măsura în care există deja, noul sistem unic de informații pentru gestionarea fondurilor UE și planul de redresare și reziliență pentru perioada de finanțare 2021-2027 (IS2021).</w:t>
      </w:r>
    </w:p>
    <w:p w14:paraId="1AAF0A67" w14:textId="614B960D" w:rsidR="00F53E3A" w:rsidRDefault="0036255F">
      <w:pPr>
        <w:jc w:val="both"/>
        <w:rPr>
          <w:rFonts w:ascii="Times New Roman" w:eastAsia="Times New Roman" w:hAnsi="Times New Roman" w:cs="Times New Roman"/>
          <w:noProof/>
          <w:color w:val="0078D4"/>
          <w:sz w:val="24"/>
          <w:szCs w:val="24"/>
        </w:rPr>
      </w:pPr>
      <w:r>
        <w:rPr>
          <w:rStyle w:val="normaltextrun"/>
          <w:rFonts w:ascii="Times New Roman" w:eastAsia="Times New Roman" w:hAnsi="Times New Roman" w:cs="Times New Roman"/>
          <w:noProof/>
          <w:color w:val="000000" w:themeColor="text1"/>
          <w:sz w:val="24"/>
        </w:rPr>
        <w:t>Reforma se finalizează până la 30 iunie 2022.</w:t>
      </w:r>
    </w:p>
    <w:p w14:paraId="55262555" w14:textId="15158768" w:rsidR="00F53E3A" w:rsidRDefault="00F53E3A">
      <w:pPr>
        <w:pStyle w:val="paragraph"/>
        <w:rPr>
          <w:rFonts w:ascii="Calibri" w:eastAsia="Calibri" w:hAnsi="Calibri" w:cs="Calibri"/>
          <w:noProof/>
          <w:color w:val="000000" w:themeColor="text1"/>
          <w:sz w:val="22"/>
          <w:szCs w:val="22"/>
        </w:rPr>
        <w:sectPr w:rsidR="00F53E3A" w:rsidSect="0074650A">
          <w:headerReference w:type="even" r:id="rId102"/>
          <w:headerReference w:type="default" r:id="rId103"/>
          <w:footerReference w:type="even" r:id="rId104"/>
          <w:footerReference w:type="default" r:id="rId105"/>
          <w:headerReference w:type="first" r:id="rId106"/>
          <w:footerReference w:type="first" r:id="rId107"/>
          <w:pgSz w:w="11907" w:h="16839"/>
          <w:pgMar w:top="1134" w:right="1134" w:bottom="1134" w:left="1134" w:header="567" w:footer="567" w:gutter="0"/>
          <w:cols w:space="720"/>
          <w:docGrid w:linePitch="360"/>
        </w:sectPr>
      </w:pPr>
    </w:p>
    <w:p w14:paraId="45719F4A" w14:textId="1D811C50" w:rsidR="00F53E3A" w:rsidRDefault="0036255F">
      <w:pPr>
        <w:pStyle w:val="P68B1DB1-Text15"/>
        <w:keepNext/>
        <w:keepLines/>
        <w:spacing w:before="0" w:after="200" w:line="276" w:lineRule="auto"/>
        <w:ind w:left="0"/>
        <w:jc w:val="center"/>
        <w:outlineLvl w:val="1"/>
        <w:rPr>
          <w:noProof/>
        </w:rPr>
      </w:pPr>
      <w:r>
        <w:rPr>
          <w:noProof/>
        </w:rPr>
        <w:t>F.2. Jaloane, ținte, indicatori și calendarul de monitorizare și implementare aplicabile sprijinului financiar nerambursabil</w:t>
      </w:r>
    </w:p>
    <w:tbl>
      <w:tblPr>
        <w:tblW w:w="15452" w:type="dxa"/>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ayout w:type="fixed"/>
        <w:tblCellMar>
          <w:left w:w="70" w:type="dxa"/>
          <w:right w:w="70" w:type="dxa"/>
        </w:tblCellMar>
        <w:tblLook w:val="04A0" w:firstRow="1" w:lastRow="0" w:firstColumn="1" w:lastColumn="0" w:noHBand="0" w:noVBand="1"/>
      </w:tblPr>
      <w:tblGrid>
        <w:gridCol w:w="568"/>
        <w:gridCol w:w="1842"/>
        <w:gridCol w:w="992"/>
        <w:gridCol w:w="1560"/>
        <w:gridCol w:w="1417"/>
        <w:gridCol w:w="851"/>
        <w:gridCol w:w="992"/>
        <w:gridCol w:w="992"/>
        <w:gridCol w:w="1276"/>
        <w:gridCol w:w="850"/>
        <w:gridCol w:w="4112"/>
      </w:tblGrid>
      <w:tr w:rsidR="00F53E3A" w14:paraId="6FB14491" w14:textId="77777777" w:rsidTr="00744366">
        <w:trPr>
          <w:trHeight w:val="300"/>
          <w:tblHeader/>
        </w:trPr>
        <w:tc>
          <w:tcPr>
            <w:tcW w:w="568"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2F8C33C" w14:textId="28DF5AED" w:rsidR="00F53E3A" w:rsidRDefault="0035684C">
            <w:pPr>
              <w:pStyle w:val="P68B1DB1-Normal9"/>
              <w:spacing w:before="60" w:after="60"/>
              <w:jc w:val="center"/>
              <w:rPr>
                <w:rFonts w:cs="Times New Roman"/>
                <w:noProof/>
              </w:rPr>
            </w:pPr>
            <w:r>
              <w:rPr>
                <w:noProof/>
              </w:rPr>
              <w:t>Nr.</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C66971D" w14:textId="77777777" w:rsidR="00F53E3A" w:rsidRDefault="0036255F">
            <w:pPr>
              <w:pStyle w:val="P68B1DB1-Normal9"/>
              <w:spacing w:before="60" w:after="60"/>
              <w:jc w:val="center"/>
              <w:rPr>
                <w:rFonts w:cs="Times New Roman"/>
                <w:noProof/>
              </w:rPr>
            </w:pPr>
            <w:r>
              <w:rPr>
                <w:noProof/>
              </w:rPr>
              <w:t>Măsură conexă (reformă sau investiții)</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9A12030" w14:textId="0B11E3D0" w:rsidR="00F53E3A" w:rsidRDefault="0036255F">
            <w:pPr>
              <w:pStyle w:val="P68B1DB1-Normal9"/>
              <w:spacing w:before="60" w:after="60"/>
              <w:jc w:val="center"/>
              <w:rPr>
                <w:rFonts w:cs="Times New Roman"/>
                <w:noProof/>
              </w:rPr>
            </w:pPr>
            <w:r>
              <w:rPr>
                <w:noProof/>
              </w:rPr>
              <w:t>Etapă/</w:t>
            </w:r>
            <w:r w:rsidR="0035684C">
              <w:rPr>
                <w:noProof/>
              </w:rPr>
              <w:t xml:space="preserve"> </w:t>
            </w:r>
            <w:r>
              <w:rPr>
                <w:noProof/>
              </w:rPr>
              <w:t>Obiectiv</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55C9D1D" w14:textId="77777777" w:rsidR="00F53E3A" w:rsidRDefault="0036255F">
            <w:pPr>
              <w:pStyle w:val="P68B1DB1-Normal9"/>
              <w:spacing w:before="60" w:after="60"/>
              <w:jc w:val="center"/>
              <w:rPr>
                <w:rFonts w:cs="Times New Roman"/>
                <w:noProof/>
              </w:rPr>
            </w:pPr>
            <w:r>
              <w:rPr>
                <w:noProof/>
              </w:rPr>
              <w:t>Titlu</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D044CE8" w14:textId="452C98F5" w:rsidR="00F53E3A" w:rsidRDefault="0036255F">
            <w:pPr>
              <w:pStyle w:val="P68B1DB1-Normal10"/>
              <w:spacing w:before="60" w:after="60"/>
              <w:jc w:val="center"/>
              <w:rPr>
                <w:rFonts w:ascii="Times New Roman" w:hAnsi="Times New Roman" w:cs="Times New Roman"/>
                <w:b/>
                <w:noProof/>
              </w:rPr>
            </w:pPr>
            <w:r>
              <w:rPr>
                <w:rFonts w:ascii="Times New Roman" w:hAnsi="Times New Roman"/>
                <w:b/>
                <w:noProof/>
              </w:rPr>
              <w:t>Indicatori calitativi</w:t>
            </w:r>
            <w:r>
              <w:rPr>
                <w:noProof/>
              </w:rPr>
              <w:t xml:space="preserve"> </w:t>
            </w:r>
            <w:r>
              <w:rPr>
                <w:noProof/>
              </w:rPr>
              <w:br/>
            </w:r>
            <w:r>
              <w:rPr>
                <w:rFonts w:ascii="Times New Roman" w:hAnsi="Times New Roman"/>
                <w:b/>
                <w:noProof/>
              </w:rPr>
              <w:t>(pentru jaloane)</w:t>
            </w:r>
          </w:p>
        </w:tc>
        <w:tc>
          <w:tcPr>
            <w:tcW w:w="2835"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907454A" w14:textId="5C5FE681" w:rsidR="00F53E3A" w:rsidRDefault="0036255F">
            <w:pPr>
              <w:spacing w:before="60" w:after="60"/>
              <w:jc w:val="center"/>
              <w:rPr>
                <w:rFonts w:ascii="Times New Roman" w:hAnsi="Times New Roman" w:cs="Times New Roman"/>
                <w:b/>
                <w:noProof/>
                <w:sz w:val="20"/>
              </w:rPr>
            </w:pPr>
            <w:r>
              <w:rPr>
                <w:rFonts w:ascii="Times New Roman" w:hAnsi="Times New Roman"/>
                <w:b/>
                <w:noProof/>
                <w:sz w:val="20"/>
              </w:rPr>
              <w:t>Indicatori cantitativi</w:t>
            </w:r>
            <w:r w:rsidR="00CB74C1">
              <w:rPr>
                <w:noProof/>
              </w:rPr>
              <w:t xml:space="preserve"> </w:t>
            </w:r>
            <w:r>
              <w:rPr>
                <w:noProof/>
              </w:rPr>
              <w:br/>
            </w:r>
            <w:r>
              <w:rPr>
                <w:rFonts w:ascii="Times New Roman" w:hAnsi="Times New Roman"/>
                <w:b/>
                <w:noProof/>
                <w:sz w:val="20"/>
              </w:rPr>
              <w:t>(pentru obiective)</w:t>
            </w:r>
          </w:p>
        </w:tc>
        <w:tc>
          <w:tcPr>
            <w:tcW w:w="2126"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6F9D5A9" w14:textId="73CF9E28" w:rsidR="00F53E3A" w:rsidRDefault="0036255F">
            <w:pPr>
              <w:pStyle w:val="P68B1DB1-Normal9"/>
              <w:spacing w:before="60" w:after="60"/>
              <w:jc w:val="center"/>
              <w:rPr>
                <w:rFonts w:cs="Times New Roman"/>
                <w:noProof/>
              </w:rPr>
            </w:pPr>
            <w:r>
              <w:rPr>
                <w:noProof/>
              </w:rPr>
              <w:t>Calendar orientativ pentru finalizare</w:t>
            </w:r>
          </w:p>
        </w:tc>
        <w:tc>
          <w:tcPr>
            <w:tcW w:w="4112"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986B3EC" w14:textId="77777777" w:rsidR="00F53E3A" w:rsidRDefault="0036255F">
            <w:pPr>
              <w:pStyle w:val="P68B1DB1-Normal9"/>
              <w:spacing w:before="60" w:after="60"/>
              <w:jc w:val="center"/>
              <w:rPr>
                <w:rFonts w:cs="Times New Roman"/>
                <w:noProof/>
              </w:rPr>
            </w:pPr>
            <w:r>
              <w:rPr>
                <w:noProof/>
              </w:rPr>
              <w:t>Descrierea și definiția clară a fiecărui obiectiv de etapă și a fiecărei ținte</w:t>
            </w:r>
          </w:p>
        </w:tc>
      </w:tr>
      <w:tr w:rsidR="00F53E3A" w14:paraId="591D49E9" w14:textId="77777777" w:rsidTr="00744366">
        <w:trPr>
          <w:trHeight w:val="300"/>
          <w:tblHeader/>
        </w:trPr>
        <w:tc>
          <w:tcPr>
            <w:tcW w:w="568" w:type="dxa"/>
            <w:vMerge/>
            <w:vAlign w:val="center"/>
          </w:tcPr>
          <w:p w14:paraId="7EA054BA" w14:textId="77777777" w:rsidR="00F53E3A" w:rsidRDefault="00F53E3A">
            <w:pPr>
              <w:spacing w:before="60" w:after="60"/>
              <w:jc w:val="center"/>
              <w:rPr>
                <w:rFonts w:ascii="Times New Roman" w:hAnsi="Times New Roman" w:cs="Times New Roman"/>
                <w:b/>
                <w:noProof/>
                <w:sz w:val="20"/>
              </w:rPr>
            </w:pPr>
          </w:p>
        </w:tc>
        <w:tc>
          <w:tcPr>
            <w:tcW w:w="1842" w:type="dxa"/>
            <w:vMerge/>
            <w:vAlign w:val="center"/>
          </w:tcPr>
          <w:p w14:paraId="67DF4CB1" w14:textId="77777777" w:rsidR="00F53E3A" w:rsidRDefault="00F53E3A">
            <w:pPr>
              <w:spacing w:before="60" w:after="60"/>
              <w:rPr>
                <w:rFonts w:ascii="Times New Roman" w:hAnsi="Times New Roman" w:cs="Times New Roman"/>
                <w:b/>
                <w:noProof/>
                <w:sz w:val="20"/>
              </w:rPr>
            </w:pPr>
          </w:p>
        </w:tc>
        <w:tc>
          <w:tcPr>
            <w:tcW w:w="992" w:type="dxa"/>
            <w:vMerge/>
            <w:vAlign w:val="center"/>
          </w:tcPr>
          <w:p w14:paraId="7C8E1C81" w14:textId="77777777" w:rsidR="00F53E3A" w:rsidRDefault="00F53E3A">
            <w:pPr>
              <w:spacing w:before="60" w:after="60"/>
              <w:jc w:val="center"/>
              <w:rPr>
                <w:rFonts w:ascii="Times New Roman" w:hAnsi="Times New Roman" w:cs="Times New Roman"/>
                <w:b/>
                <w:noProof/>
                <w:sz w:val="20"/>
              </w:rPr>
            </w:pPr>
          </w:p>
        </w:tc>
        <w:tc>
          <w:tcPr>
            <w:tcW w:w="1560" w:type="dxa"/>
            <w:vMerge/>
            <w:vAlign w:val="center"/>
          </w:tcPr>
          <w:p w14:paraId="72E88AE1" w14:textId="77777777" w:rsidR="00F53E3A" w:rsidRDefault="00F53E3A">
            <w:pPr>
              <w:spacing w:before="60" w:after="60"/>
              <w:rPr>
                <w:rFonts w:ascii="Times New Roman" w:hAnsi="Times New Roman" w:cs="Times New Roman"/>
                <w:b/>
                <w:noProof/>
                <w:sz w:val="20"/>
              </w:rPr>
            </w:pPr>
          </w:p>
        </w:tc>
        <w:tc>
          <w:tcPr>
            <w:tcW w:w="1417" w:type="dxa"/>
            <w:vMerge/>
            <w:vAlign w:val="center"/>
          </w:tcPr>
          <w:p w14:paraId="5E24CA0E" w14:textId="77777777" w:rsidR="00F53E3A" w:rsidRDefault="00F53E3A">
            <w:pPr>
              <w:spacing w:before="60" w:after="60"/>
              <w:rPr>
                <w:rFonts w:ascii="Times New Roman" w:hAnsi="Times New Roman" w:cs="Times New Roman"/>
                <w:b/>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4685FB7" w14:textId="77777777" w:rsidR="00F53E3A" w:rsidRDefault="0036255F">
            <w:pPr>
              <w:pStyle w:val="P68B1DB1-Normal9"/>
              <w:spacing w:before="60" w:after="60"/>
              <w:jc w:val="center"/>
              <w:rPr>
                <w:rFonts w:cs="Times New Roman"/>
                <w:noProof/>
              </w:rPr>
            </w:pPr>
            <w:r>
              <w:rPr>
                <w:noProof/>
              </w:rPr>
              <w:t>Unitate</w:t>
            </w:r>
          </w:p>
        </w:tc>
        <w:tc>
          <w:tcPr>
            <w:tcW w:w="992"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32CC725" w14:textId="77777777" w:rsidR="00F53E3A" w:rsidRDefault="0036255F">
            <w:pPr>
              <w:pStyle w:val="P68B1DB1-Normal9"/>
              <w:spacing w:before="60" w:after="60"/>
              <w:jc w:val="center"/>
              <w:rPr>
                <w:rFonts w:cs="Times New Roman"/>
                <w:noProof/>
              </w:rPr>
            </w:pPr>
            <w:r>
              <w:rPr>
                <w:noProof/>
              </w:rPr>
              <w:t>Situația de referință</w:t>
            </w:r>
          </w:p>
        </w:tc>
        <w:tc>
          <w:tcPr>
            <w:tcW w:w="992"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7E0C437" w14:textId="77777777" w:rsidR="00F53E3A" w:rsidRDefault="0036255F">
            <w:pPr>
              <w:pStyle w:val="P68B1DB1-Normal9"/>
              <w:spacing w:before="60" w:after="60"/>
              <w:jc w:val="center"/>
              <w:rPr>
                <w:rFonts w:cs="Times New Roman"/>
                <w:noProof/>
              </w:rPr>
            </w:pPr>
            <w:r>
              <w:rPr>
                <w:noProof/>
              </w:rPr>
              <w:t>Obiectiv</w:t>
            </w:r>
          </w:p>
        </w:tc>
        <w:tc>
          <w:tcPr>
            <w:tcW w:w="1276"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4D42981" w14:textId="77777777" w:rsidR="00F53E3A" w:rsidRDefault="0036255F">
            <w:pPr>
              <w:pStyle w:val="P68B1DB1-Normal9"/>
              <w:spacing w:before="60" w:after="60"/>
              <w:jc w:val="center"/>
              <w:rPr>
                <w:rFonts w:cs="Times New Roman"/>
                <w:noProof/>
              </w:rPr>
            </w:pPr>
            <w:r>
              <w:rPr>
                <w:noProof/>
              </w:rPr>
              <w:t>Trimestru</w:t>
            </w:r>
          </w:p>
        </w:tc>
        <w:tc>
          <w:tcPr>
            <w:tcW w:w="85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A490430" w14:textId="77777777" w:rsidR="00F53E3A" w:rsidRDefault="0036255F">
            <w:pPr>
              <w:pStyle w:val="P68B1DB1-Normal9"/>
              <w:spacing w:before="60" w:after="60"/>
              <w:jc w:val="center"/>
              <w:rPr>
                <w:rFonts w:cs="Times New Roman"/>
                <w:noProof/>
              </w:rPr>
            </w:pPr>
            <w:r>
              <w:rPr>
                <w:noProof/>
              </w:rPr>
              <w:t>Anul</w:t>
            </w:r>
          </w:p>
        </w:tc>
        <w:tc>
          <w:tcPr>
            <w:tcW w:w="4112" w:type="dxa"/>
            <w:vMerge/>
            <w:vAlign w:val="center"/>
          </w:tcPr>
          <w:p w14:paraId="5E32ACD5" w14:textId="77777777" w:rsidR="00F53E3A" w:rsidRDefault="00F53E3A">
            <w:pPr>
              <w:spacing w:before="60" w:after="60"/>
              <w:rPr>
                <w:rFonts w:ascii="Times New Roman" w:hAnsi="Times New Roman" w:cs="Times New Roman"/>
                <w:b/>
                <w:noProof/>
                <w:sz w:val="20"/>
              </w:rPr>
            </w:pPr>
          </w:p>
        </w:tc>
      </w:tr>
      <w:tr w:rsidR="00F53E3A" w14:paraId="17DB55FC" w14:textId="77777777" w:rsidTr="00744366">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3A94403" w14:textId="6A3016C6" w:rsidR="00F53E3A" w:rsidRDefault="0036255F">
            <w:pPr>
              <w:pStyle w:val="P68B1DB1-Normal12"/>
              <w:spacing w:before="60" w:after="60"/>
              <w:jc w:val="center"/>
              <w:rPr>
                <w:rFonts w:cs="Times New Roman"/>
                <w:noProof/>
              </w:rPr>
            </w:pPr>
            <w:r>
              <w:rPr>
                <w:noProof/>
              </w:rPr>
              <w:t>138</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585322E" w14:textId="3B112319" w:rsidR="00F53E3A" w:rsidRDefault="0036255F">
            <w:pPr>
              <w:pStyle w:val="P68B1DB1-Normal12"/>
              <w:spacing w:before="60" w:after="60"/>
              <w:rPr>
                <w:noProof/>
              </w:rPr>
            </w:pPr>
            <w:r>
              <w:rPr>
                <w:noProof/>
              </w:rPr>
              <w:t xml:space="preserve">F.1.1. Un sector public eficient — </w:t>
            </w:r>
          </w:p>
          <w:p w14:paraId="1FA31529" w14:textId="13E3A7B1" w:rsidR="00F53E3A" w:rsidRDefault="0036255F">
            <w:pPr>
              <w:pStyle w:val="P68B1DB1-Normal12"/>
              <w:spacing w:before="60" w:after="60"/>
              <w:rPr>
                <w:rFonts w:cs="Times New Roman"/>
                <w:noProof/>
              </w:rPr>
            </w:pPr>
            <w:r>
              <w:rPr>
                <w:noProof/>
              </w:rPr>
              <w:t>F.1.1.1 Actualizarea managementului resurselor umane în sectorul public</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E6F9937" w14:textId="77777777"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A55AC39" w14:textId="128DA79E" w:rsidR="00F53E3A" w:rsidRDefault="0036255F">
            <w:pPr>
              <w:pStyle w:val="P68B1DB1-Normal12"/>
              <w:spacing w:before="60" w:after="60"/>
              <w:rPr>
                <w:rFonts w:eastAsia="Times New Roman" w:cs="Times New Roman"/>
                <w:noProof/>
              </w:rPr>
            </w:pPr>
            <w:r>
              <w:rPr>
                <w:noProof/>
              </w:rPr>
              <w:t xml:space="preserve">Actualizarea gestionării resurselor umane </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3BCC6FF" w14:textId="5F640B59" w:rsidR="00F53E3A" w:rsidRDefault="0036255F">
            <w:pPr>
              <w:pStyle w:val="P68B1DB1-Normal12"/>
              <w:spacing w:before="60" w:after="60"/>
              <w:rPr>
                <w:rFonts w:cs="Times New Roman"/>
                <w:noProof/>
              </w:rPr>
            </w:pPr>
            <w:r>
              <w:rPr>
                <w:noProof/>
              </w:rPr>
              <w:t>Certificat de predare și acceptare a serviciului pentru sistemul actualizat de gestionare a resurselor umane</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C2AF8A1" w14:textId="3C250401"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7912A14" w14:textId="278533E8"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082931" w14:textId="43517869" w:rsidR="00F53E3A" w:rsidRDefault="00F53E3A">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F21142A" w14:textId="574B089C" w:rsidR="00F53E3A" w:rsidRDefault="00DB2EC5">
            <w:pPr>
              <w:pStyle w:val="P68B1DB1-Normal12"/>
              <w:spacing w:before="60" w:after="60"/>
              <w:jc w:val="center"/>
              <w:rPr>
                <w:rFonts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30F8785" w14:textId="3D21AA17" w:rsidR="00F53E3A" w:rsidRDefault="0036255F">
            <w:pPr>
              <w:pStyle w:val="P68B1DB1-Normal12"/>
              <w:spacing w:before="60" w:after="60"/>
              <w:jc w:val="center"/>
              <w:rPr>
                <w:rFonts w:cs="Times New Roman"/>
                <w:noProof/>
              </w:rPr>
            </w:pPr>
            <w:r>
              <w:rPr>
                <w:noProof/>
              </w:rPr>
              <w:t>2026</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5CEC152" w14:textId="5B2FBCB3" w:rsidR="00F53E3A" w:rsidRDefault="0036255F">
            <w:pPr>
              <w:spacing w:before="60" w:after="60"/>
              <w:jc w:val="both"/>
              <w:rPr>
                <w:rFonts w:ascii="Times New Roman" w:hAnsi="Times New Roman" w:cs="Times New Roman"/>
                <w:noProof/>
                <w:sz w:val="20"/>
              </w:rPr>
            </w:pPr>
            <w:r>
              <w:rPr>
                <w:rFonts w:ascii="Times New Roman" w:hAnsi="Times New Roman"/>
                <w:noProof/>
                <w:sz w:val="20"/>
              </w:rPr>
              <w:t>Certificate de predare și acceptare a serviciilor eliberate pentru</w:t>
            </w:r>
            <w:r>
              <w:rPr>
                <w:noProof/>
              </w:rPr>
              <w:t xml:space="preserve"> </w:t>
            </w:r>
            <w:r>
              <w:rPr>
                <w:rFonts w:ascii="Times New Roman" w:hAnsi="Times New Roman"/>
                <w:noProof/>
                <w:sz w:val="20"/>
              </w:rPr>
              <w:t xml:space="preserve">furnizarea unui sistem actualizat de gestionare a resurselor umane și a unui nou registru al angajaților din sectorul public. </w:t>
            </w:r>
          </w:p>
        </w:tc>
      </w:tr>
      <w:tr w:rsidR="00F53E3A" w14:paraId="4EBED452" w14:textId="77777777" w:rsidTr="00744366">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47E6D4D" w14:textId="51E69F91" w:rsidR="00F53E3A" w:rsidRDefault="0036255F">
            <w:pPr>
              <w:pStyle w:val="P68B1DB1-Normal12"/>
              <w:spacing w:before="60" w:after="60"/>
              <w:jc w:val="center"/>
              <w:rPr>
                <w:rFonts w:cs="Times New Roman"/>
                <w:noProof/>
              </w:rPr>
            </w:pPr>
            <w:r>
              <w:rPr>
                <w:noProof/>
              </w:rPr>
              <w:t>139</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C5A93AB" w14:textId="658AE253" w:rsidR="00F53E3A" w:rsidRDefault="0036255F">
            <w:pPr>
              <w:pStyle w:val="P68B1DB1-Normal12"/>
              <w:spacing w:before="60" w:after="60"/>
              <w:rPr>
                <w:noProof/>
              </w:rPr>
            </w:pPr>
            <w:r>
              <w:rPr>
                <w:noProof/>
              </w:rPr>
              <w:t xml:space="preserve">F.1.1. Un sector public eficient — </w:t>
            </w:r>
          </w:p>
          <w:p w14:paraId="11340B20" w14:textId="1B7C5877" w:rsidR="00F53E3A" w:rsidRDefault="0036255F">
            <w:pPr>
              <w:pStyle w:val="P68B1DB1-Normal12"/>
              <w:spacing w:before="60" w:after="60"/>
              <w:rPr>
                <w:rFonts w:cs="Times New Roman"/>
                <w:noProof/>
              </w:rPr>
            </w:pPr>
            <w:r>
              <w:rPr>
                <w:noProof/>
              </w:rPr>
              <w:t>F.1.1.2 Crearea unei platforme de învățare la distanță pentru angajații din sectorul public</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49B9089" w14:textId="77777777"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F049D4E" w14:textId="50732A42" w:rsidR="00F53E3A" w:rsidRDefault="0036255F">
            <w:pPr>
              <w:pStyle w:val="P68B1DB1-Normal12"/>
              <w:spacing w:before="60" w:after="60"/>
              <w:rPr>
                <w:rFonts w:eastAsia="Times New Roman" w:cs="Times New Roman"/>
                <w:noProof/>
              </w:rPr>
            </w:pPr>
            <w:r>
              <w:rPr>
                <w:noProof/>
              </w:rPr>
              <w:t>Orientări strategice și module de formare</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F138264" w14:textId="40856B38" w:rsidR="00F53E3A" w:rsidRDefault="0036255F">
            <w:pPr>
              <w:pStyle w:val="P68B1DB1-Normal12"/>
              <w:spacing w:before="60" w:after="60"/>
              <w:rPr>
                <w:rFonts w:eastAsia="Times New Roman" w:cs="Times New Roman"/>
                <w:noProof/>
              </w:rPr>
            </w:pPr>
            <w:r>
              <w:rPr>
                <w:noProof/>
              </w:rPr>
              <w:t>Orientări adoptate și module de formare elaborate</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7E13FE" w14:textId="62B1B3A8"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1D1ACB3" w14:textId="62F4C18A"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DB1610" w14:textId="73176118" w:rsidR="00F53E3A" w:rsidRDefault="00F53E3A">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6EA1EC9" w14:textId="26A4B6F2" w:rsidR="00F53E3A" w:rsidRDefault="00DB2EC5">
            <w:pPr>
              <w:pStyle w:val="P68B1DB1-Normal12"/>
              <w:spacing w:before="60" w:after="60"/>
              <w:jc w:val="center"/>
              <w:rPr>
                <w:rFonts w:cs="Times New Roman"/>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EABB69F" w14:textId="77777777" w:rsidR="00F53E3A" w:rsidRDefault="0036255F">
            <w:pPr>
              <w:pStyle w:val="P68B1DB1-Normal12"/>
              <w:spacing w:before="60" w:after="60"/>
              <w:jc w:val="center"/>
              <w:rPr>
                <w:rFonts w:cs="Times New Roman"/>
                <w:noProof/>
              </w:rPr>
            </w:pPr>
            <w:r>
              <w:rPr>
                <w:noProof/>
              </w:rPr>
              <w:t>2024</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7EB4902" w14:textId="2E02E974" w:rsidR="00F53E3A" w:rsidRDefault="0036255F">
            <w:pPr>
              <w:pStyle w:val="P68B1DB1-Normal12"/>
              <w:spacing w:before="60" w:after="60"/>
              <w:jc w:val="both"/>
              <w:rPr>
                <w:rFonts w:eastAsia="Times New Roman" w:cs="Times New Roman"/>
                <w:noProof/>
              </w:rPr>
            </w:pPr>
            <w:r>
              <w:rPr>
                <w:noProof/>
              </w:rPr>
              <w:t>Guvernul Lituaniei adoptă orientări strategice pentru formarea pe termen lung și dezvoltarea competențelor angajaților din sectorul public, precum și planul de punere în aplicare a orientărilor strategice.</w:t>
            </w:r>
          </w:p>
          <w:p w14:paraId="7C89D50A" w14:textId="6D7655CD" w:rsidR="00F53E3A" w:rsidRDefault="0036255F">
            <w:pPr>
              <w:pStyle w:val="P68B1DB1-Normal12"/>
              <w:spacing w:before="60" w:after="60"/>
              <w:jc w:val="both"/>
              <w:rPr>
                <w:rFonts w:cs="Times New Roman"/>
                <w:noProof/>
              </w:rPr>
            </w:pPr>
            <w:r>
              <w:rPr>
                <w:noProof/>
              </w:rPr>
              <w:t>Agenția de Administrație Publică elaborează module de formare pentru consolidarea competențelor angajaților din sectorul public. Se elaborează următoarele module de formare: 1) competențe digitale; 2) competențe financiar-analitice; 3) competențe de conducere.</w:t>
            </w:r>
          </w:p>
        </w:tc>
      </w:tr>
      <w:tr w:rsidR="00F53E3A" w14:paraId="2305CB46" w14:textId="77777777" w:rsidTr="00744366">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5012A0E" w14:textId="4C20E8FC" w:rsidR="00F53E3A" w:rsidRDefault="0036255F">
            <w:pPr>
              <w:pStyle w:val="P68B1DB1-Normal12"/>
              <w:spacing w:before="60" w:after="60"/>
              <w:jc w:val="center"/>
              <w:rPr>
                <w:rFonts w:cs="Times New Roman"/>
                <w:noProof/>
              </w:rPr>
            </w:pPr>
            <w:r>
              <w:rPr>
                <w:noProof/>
              </w:rPr>
              <w:t>141</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6150DD3" w14:textId="26C79100" w:rsidR="00F53E3A" w:rsidRDefault="0036255F">
            <w:pPr>
              <w:pStyle w:val="P68B1DB1-Normal12"/>
              <w:spacing w:before="60" w:after="60"/>
              <w:rPr>
                <w:noProof/>
              </w:rPr>
            </w:pPr>
            <w:r>
              <w:rPr>
                <w:noProof/>
              </w:rPr>
              <w:t xml:space="preserve">F.1.1. Un sector public eficient — </w:t>
            </w:r>
          </w:p>
          <w:p w14:paraId="63BBE4B4" w14:textId="1C196A70" w:rsidR="00F53E3A" w:rsidRDefault="0036255F">
            <w:pPr>
              <w:pStyle w:val="P68B1DB1-Normal12"/>
              <w:spacing w:before="60" w:after="60"/>
              <w:rPr>
                <w:rFonts w:cs="Times New Roman"/>
                <w:noProof/>
              </w:rPr>
            </w:pPr>
            <w:r>
              <w:rPr>
                <w:noProof/>
              </w:rPr>
              <w:t>F.1.1.2 Crearea unei platforme de învățare la distanță pentru angajații din sectorul public</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A41C042" w14:textId="17A91BB9"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77968EA" w14:textId="6369BEC9" w:rsidR="00F53E3A" w:rsidRDefault="0036255F">
            <w:pPr>
              <w:pStyle w:val="P68B1DB1-Normal12"/>
              <w:spacing w:before="60" w:after="60"/>
              <w:rPr>
                <w:rFonts w:cs="Times New Roman"/>
                <w:noProof/>
              </w:rPr>
            </w:pPr>
            <w:r>
              <w:rPr>
                <w:noProof/>
              </w:rPr>
              <w:t xml:space="preserve">Furnizarea de platforme de învățare la distanță pentru competențe digitale, financiar-analitice și de conducere </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7BA90AE" w14:textId="448E11B3" w:rsidR="00F53E3A" w:rsidRDefault="0036255F">
            <w:pPr>
              <w:pStyle w:val="P68B1DB1-Normal29"/>
              <w:rPr>
                <w:noProof/>
              </w:rPr>
            </w:pPr>
            <w:r>
              <w:rPr>
                <w:noProof/>
              </w:rPr>
              <w:t>Certificat de predare și acceptare a serviciului pentru furnizarea unei platforme de învățare la distanță</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B4D3B7A" w14:textId="0E2870FF"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CEF901C" w14:textId="40838F66"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D786561" w14:textId="736C192B" w:rsidR="00F53E3A" w:rsidRDefault="00F53E3A">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ED60099" w14:textId="1DCD1A87" w:rsidR="00F53E3A" w:rsidRDefault="00DB2EC5">
            <w:pPr>
              <w:pStyle w:val="P68B1DB1-Normal12"/>
              <w:spacing w:before="60" w:after="60"/>
              <w:jc w:val="center"/>
              <w:rPr>
                <w:rFonts w:cs="Times New Roman"/>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2E1B68F" w14:textId="07772B91" w:rsidR="00F53E3A" w:rsidRDefault="0036255F">
            <w:pPr>
              <w:pStyle w:val="P68B1DB1-Normal12"/>
              <w:spacing w:before="60" w:after="60"/>
              <w:jc w:val="center"/>
              <w:rPr>
                <w:rFonts w:cs="Times New Roman"/>
                <w:noProof/>
              </w:rPr>
            </w:pPr>
            <w:r>
              <w:rPr>
                <w:noProof/>
              </w:rPr>
              <w:t>2026</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8258902" w14:textId="00BE9EC5" w:rsidR="00F53E3A" w:rsidRDefault="0036255F">
            <w:pPr>
              <w:pStyle w:val="P68B1DB1-Normal12"/>
              <w:spacing w:before="60" w:after="60"/>
              <w:jc w:val="both"/>
              <w:rPr>
                <w:rFonts w:cs="Times New Roman"/>
                <w:noProof/>
              </w:rPr>
            </w:pPr>
            <w:r>
              <w:rPr>
                <w:noProof/>
              </w:rPr>
              <w:t xml:space="preserve">Certificat de predare și acceptare a serviciului eliberat pentru o platformă de învățare la distanță, inclusiv cursuri de formare privind i) competențele digitale; II) competențe financiar-analitice; și iii) competențe de conducere. </w:t>
            </w:r>
          </w:p>
        </w:tc>
      </w:tr>
      <w:tr w:rsidR="00F53E3A" w14:paraId="144DA01C" w14:textId="77777777" w:rsidTr="00744366">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0540317" w14:textId="77777777" w:rsidR="00F53E3A" w:rsidRDefault="0036255F">
            <w:pPr>
              <w:pStyle w:val="P68B1DB1-Normal12"/>
              <w:spacing w:before="60" w:after="60"/>
              <w:jc w:val="center"/>
              <w:rPr>
                <w:rFonts w:cs="Times New Roman"/>
                <w:noProof/>
              </w:rPr>
            </w:pPr>
            <w:r>
              <w:rPr>
                <w:noProof/>
              </w:rPr>
              <w:t>142</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D4A891B" w14:textId="6224DAA0" w:rsidR="00F53E3A" w:rsidRDefault="0036255F">
            <w:pPr>
              <w:spacing w:before="60" w:after="60"/>
              <w:rPr>
                <w:rFonts w:ascii="Times New Roman" w:hAnsi="Times New Roman"/>
                <w:noProof/>
                <w:sz w:val="20"/>
              </w:rPr>
            </w:pPr>
            <w:r>
              <w:rPr>
                <w:rStyle w:val="normaltextrun"/>
                <w:rFonts w:ascii="Times New Roman" w:hAnsi="Times New Roman"/>
                <w:noProof/>
                <w:sz w:val="20"/>
              </w:rPr>
              <w:t xml:space="preserve">F.1.2. Un sistem fiscal mai echitabil și mai favorabil creșterii economice. — </w:t>
            </w:r>
          </w:p>
          <w:p w14:paraId="220747D9" w14:textId="51127CCC" w:rsidR="00F53E3A" w:rsidRDefault="0036255F">
            <w:pPr>
              <w:spacing w:before="60" w:after="60"/>
              <w:rPr>
                <w:rFonts w:ascii="Times New Roman" w:hAnsi="Times New Roman" w:cs="Times New Roman"/>
                <w:noProof/>
                <w:sz w:val="20"/>
              </w:rPr>
            </w:pPr>
            <w:r>
              <w:rPr>
                <w:rStyle w:val="normaltextrun"/>
                <w:rFonts w:ascii="Times New Roman" w:hAnsi="Times New Roman"/>
                <w:noProof/>
                <w:sz w:val="20"/>
              </w:rPr>
              <w:t>F.1.2.1. Eliminarea sau reducerea scutirilor fiscale și a regimurilor fiscale speciale care sunt ineficiente, nu mai reflectă prioritățile statului sau nu respectă Pactul verde</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C5C160B" w14:textId="77777777"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3C65F0A" w14:textId="5F3E1530" w:rsidR="00F53E3A" w:rsidRDefault="0036255F">
            <w:pPr>
              <w:pStyle w:val="P68B1DB1-Normal12"/>
              <w:spacing w:before="60" w:after="60"/>
              <w:rPr>
                <w:rFonts w:cs="Times New Roman"/>
                <w:noProof/>
              </w:rPr>
            </w:pPr>
            <w:r>
              <w:rPr>
                <w:noProof/>
              </w:rPr>
              <w:t>Prezentarea către Parlament a propunerilor făcute pe baza unei analize aprofundate privind retragerea scutirilor fiscale și a regimurilor fiscale speciale</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C38E192" w14:textId="77777777" w:rsidR="00F53E3A" w:rsidRDefault="0036255F">
            <w:pPr>
              <w:pStyle w:val="P68B1DB1-Normal12"/>
              <w:spacing w:before="60" w:after="60"/>
              <w:rPr>
                <w:rFonts w:cs="Times New Roman"/>
                <w:noProof/>
              </w:rPr>
            </w:pPr>
            <w:r>
              <w:rPr>
                <w:noProof/>
              </w:rPr>
              <w:t>Înregistrarea proiectelor de modificare a legislației fiscale în sistemul actelor juridice</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3256D6" w14:textId="1A612290"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F3A1D72" w14:textId="2BBA0511"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3885FC0" w14:textId="3927176A" w:rsidR="00F53E3A" w:rsidRDefault="00F53E3A">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1CE3194" w14:textId="3DC27841" w:rsidR="00F53E3A" w:rsidRDefault="00DB2EC5">
            <w:pPr>
              <w:pStyle w:val="P68B1DB1-Normal12"/>
              <w:spacing w:before="60" w:after="60"/>
              <w:jc w:val="center"/>
              <w:rPr>
                <w:rFonts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E50B2A9" w14:textId="77777777" w:rsidR="00F53E3A" w:rsidRDefault="0036255F">
            <w:pPr>
              <w:pStyle w:val="P68B1DB1-Normal12"/>
              <w:spacing w:before="60" w:after="60"/>
              <w:jc w:val="center"/>
              <w:rPr>
                <w:rFonts w:cs="Times New Roman"/>
                <w:noProof/>
              </w:rPr>
            </w:pPr>
            <w:r>
              <w:rPr>
                <w:noProof/>
              </w:rPr>
              <w:t>2022</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8E2EA91" w14:textId="502A43EF" w:rsidR="00F53E3A" w:rsidRDefault="0036255F">
            <w:pPr>
              <w:pStyle w:val="P68B1DB1-Normal12"/>
              <w:spacing w:before="60" w:after="60"/>
              <w:jc w:val="both"/>
              <w:rPr>
                <w:rFonts w:eastAsia="Times New Roman" w:cs="Times New Roman"/>
                <w:noProof/>
              </w:rPr>
            </w:pPr>
            <w:r>
              <w:rPr>
                <w:noProof/>
              </w:rPr>
              <w:t xml:space="preserve">Pe baza publicării analizei cost-beneficiu a scutirilor fiscale existente și a regimurilor fiscale speciale care nu sunt eficace și (sau) nu mai reflectă prioritățile statului, proiectele de modificare a legilor fiscale relevante sunt elaborate și prezentate parlamentului. </w:t>
            </w:r>
          </w:p>
        </w:tc>
      </w:tr>
      <w:tr w:rsidR="00F53E3A" w14:paraId="2839FFCD" w14:textId="77777777" w:rsidTr="00744366">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1040713" w14:textId="2AC2436E" w:rsidR="00F53E3A" w:rsidRDefault="0036255F">
            <w:pPr>
              <w:pStyle w:val="P68B1DB1-Normal12"/>
              <w:spacing w:before="60" w:after="60"/>
              <w:jc w:val="center"/>
              <w:rPr>
                <w:rFonts w:cs="Times New Roman"/>
                <w:noProof/>
              </w:rPr>
            </w:pPr>
            <w:r>
              <w:rPr>
                <w:noProof/>
              </w:rPr>
              <w:t>143</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E23A895" w14:textId="485D1259" w:rsidR="00F53E3A" w:rsidRDefault="0036255F">
            <w:pPr>
              <w:spacing w:before="60" w:after="60"/>
              <w:rPr>
                <w:rFonts w:ascii="Times New Roman" w:hAnsi="Times New Roman"/>
                <w:noProof/>
                <w:sz w:val="20"/>
              </w:rPr>
            </w:pPr>
            <w:r>
              <w:rPr>
                <w:rStyle w:val="normaltextrun"/>
                <w:rFonts w:ascii="Times New Roman" w:hAnsi="Times New Roman"/>
                <w:noProof/>
                <w:sz w:val="20"/>
              </w:rPr>
              <w:t xml:space="preserve">F.1.2. Un sistem fiscal mai echitabil și mai favorabil creșterii economice — </w:t>
            </w:r>
          </w:p>
          <w:p w14:paraId="12902086" w14:textId="3AE429C8" w:rsidR="00F53E3A" w:rsidRDefault="0036255F">
            <w:pPr>
              <w:spacing w:before="60" w:after="60"/>
              <w:rPr>
                <w:rFonts w:ascii="Times New Roman" w:hAnsi="Times New Roman" w:cs="Times New Roman"/>
                <w:noProof/>
                <w:sz w:val="20"/>
              </w:rPr>
            </w:pPr>
            <w:r>
              <w:rPr>
                <w:rStyle w:val="normaltextrun"/>
                <w:rFonts w:ascii="Times New Roman" w:hAnsi="Times New Roman"/>
                <w:noProof/>
                <w:sz w:val="20"/>
              </w:rPr>
              <w:t>F.1.2.1. Eliminarea sau reducerea scutirilor fiscale și a regimurilor fiscale speciale care sunt ineficiente, nu mai reflectă prioritățile statului sau nu respectă Pactul verde</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E3C6622" w14:textId="77777777"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E270733" w14:textId="5166F2CC" w:rsidR="00F53E3A" w:rsidRDefault="0036255F">
            <w:pPr>
              <w:pStyle w:val="P68B1DB1-Normal12"/>
              <w:spacing w:before="60" w:after="60"/>
              <w:rPr>
                <w:rFonts w:cs="Times New Roman"/>
                <w:noProof/>
              </w:rPr>
            </w:pPr>
            <w:r>
              <w:rPr>
                <w:noProof/>
              </w:rPr>
              <w:t>Intrarea în vigoare a modificărilor aduse legislației fiscale prin care se elimină sau se reduc scutirile fiscale și regimurile fiscale speciale</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A4BED6B" w14:textId="233D81A6" w:rsidR="00F53E3A" w:rsidRDefault="0036255F">
            <w:pPr>
              <w:pStyle w:val="P68B1DB1-Normal12"/>
              <w:spacing w:before="60" w:after="60"/>
              <w:rPr>
                <w:rFonts w:cs="Times New Roman"/>
                <w:noProof/>
              </w:rPr>
            </w:pPr>
            <w:r>
              <w:rPr>
                <w:noProof/>
              </w:rPr>
              <w:t xml:space="preserve">Dispoziții care indică intrarea în vigoare a modificărilor legislației fiscale </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DFFD0F" w14:textId="50F8E753"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4FC0476" w14:textId="58ABC6DD"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343FECD" w14:textId="1B77A96F" w:rsidR="00F53E3A" w:rsidRDefault="00F53E3A">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292F9CE" w14:textId="110E46D9" w:rsidR="00F53E3A" w:rsidRDefault="00DB2EC5">
            <w:pPr>
              <w:pStyle w:val="P68B1DB1-Normal12"/>
              <w:spacing w:before="60" w:after="60"/>
              <w:jc w:val="center"/>
              <w:rPr>
                <w:rFonts w:cs="Times New Roman"/>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B862CEE" w14:textId="2BB5CF1A" w:rsidR="00F53E3A" w:rsidRDefault="0036255F">
            <w:pPr>
              <w:pStyle w:val="P68B1DB1-Normal12"/>
              <w:spacing w:before="60" w:after="60"/>
              <w:jc w:val="center"/>
              <w:rPr>
                <w:rFonts w:cs="Times New Roman"/>
                <w:noProof/>
              </w:rPr>
            </w:pPr>
            <w:r>
              <w:rPr>
                <w:noProof/>
              </w:rPr>
              <w:t>2023</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57658D1" w14:textId="2FC4230C" w:rsidR="00F53E3A" w:rsidRDefault="0036255F">
            <w:pPr>
              <w:pStyle w:val="P68B1DB1-Normal12"/>
              <w:spacing w:before="60" w:after="60"/>
              <w:jc w:val="both"/>
              <w:rPr>
                <w:rFonts w:eastAsia="Times New Roman" w:cs="Times New Roman"/>
                <w:noProof/>
              </w:rPr>
            </w:pPr>
            <w:r>
              <w:rPr>
                <w:noProof/>
              </w:rPr>
              <w:t>Intrarea în vigoare a modificărilor aduse legilor care elimină sau reduc scutirile fiscale și regimurile fiscale speciale. Aceasta include reducerea diferențelor dintre ratele impozitului pe venitul persoanelor fizice care se aplică diferitelor surse de venit.</w:t>
            </w:r>
          </w:p>
        </w:tc>
      </w:tr>
      <w:tr w:rsidR="00F53E3A" w14:paraId="00A819E1" w14:textId="77777777" w:rsidTr="00744366">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41725F3" w14:textId="77777777" w:rsidR="00F53E3A" w:rsidRDefault="0036255F">
            <w:pPr>
              <w:pStyle w:val="P68B1DB1-Normal12"/>
              <w:spacing w:before="60" w:after="60"/>
              <w:jc w:val="center"/>
              <w:rPr>
                <w:rFonts w:cs="Times New Roman"/>
                <w:noProof/>
              </w:rPr>
            </w:pPr>
            <w:r>
              <w:rPr>
                <w:noProof/>
              </w:rPr>
              <w:t>144</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800563D" w14:textId="49DB4283" w:rsidR="00F53E3A" w:rsidRDefault="0036255F">
            <w:pPr>
              <w:pStyle w:val="P68B1DB1-Normal12"/>
              <w:spacing w:before="60" w:after="60"/>
              <w:rPr>
                <w:noProof/>
              </w:rPr>
            </w:pPr>
            <w:r>
              <w:rPr>
                <w:noProof/>
              </w:rPr>
              <w:t xml:space="preserve">F. 1.2. Un sistem fiscal mai echitabil și mai favorabil creșterii economice — </w:t>
            </w:r>
          </w:p>
          <w:p w14:paraId="1717CA40" w14:textId="6D296479" w:rsidR="00F53E3A" w:rsidRDefault="0036255F">
            <w:pPr>
              <w:spacing w:before="60" w:after="60"/>
              <w:rPr>
                <w:rFonts w:ascii="Times New Roman" w:hAnsi="Times New Roman" w:cs="Times New Roman"/>
                <w:noProof/>
                <w:sz w:val="20"/>
              </w:rPr>
            </w:pPr>
            <w:r>
              <w:rPr>
                <w:rStyle w:val="normaltextrun"/>
                <w:rFonts w:ascii="Times New Roman" w:hAnsi="Times New Roman"/>
                <w:noProof/>
                <w:sz w:val="20"/>
              </w:rPr>
              <w:t>F.1.2.2. Submăsura 2: Extinderea în continuare a bazei de impozitare la surse care nu împiedică creșterea economică</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6B6AD1B" w14:textId="77777777"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91B8C99" w14:textId="77777777" w:rsidR="00F53E3A" w:rsidRDefault="0036255F">
            <w:pPr>
              <w:pStyle w:val="P68B1DB1-Normal12"/>
              <w:spacing w:before="60" w:after="60"/>
              <w:rPr>
                <w:rFonts w:cs="Times New Roman"/>
                <w:noProof/>
              </w:rPr>
            </w:pPr>
            <w:r>
              <w:rPr>
                <w:noProof/>
              </w:rPr>
              <w:t>Prezentarea propunerilor de extindere a taxelor de mediu și a impozitării altor surse mai puțin dăunătoare pentru creșterea economică, pe baza unei analize aprofundate în fața parlamentului</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0ED8E5E" w14:textId="77777777" w:rsidR="00F53E3A" w:rsidRDefault="0036255F">
            <w:pPr>
              <w:pStyle w:val="P68B1DB1-Normal12"/>
              <w:spacing w:before="60" w:after="60"/>
              <w:rPr>
                <w:rFonts w:cs="Times New Roman"/>
                <w:noProof/>
              </w:rPr>
            </w:pPr>
            <w:r>
              <w:rPr>
                <w:noProof/>
              </w:rPr>
              <w:t xml:space="preserve">Înregistrarea proiectelor de modificare a legislației fiscale în sistemul actelor juridice </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47B7C3F" w14:textId="292B3595"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05A5D66" w14:textId="60B8B601"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BDC3BB" w14:textId="7D6D2F33" w:rsidR="00F53E3A" w:rsidRDefault="00F53E3A">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C0AC72F" w14:textId="65B77ECB" w:rsidR="00F53E3A" w:rsidRDefault="00DB2EC5">
            <w:pPr>
              <w:pStyle w:val="P68B1DB1-Normal12"/>
              <w:spacing w:before="60" w:after="60"/>
              <w:jc w:val="center"/>
              <w:rPr>
                <w:rFonts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4881F47" w14:textId="77777777" w:rsidR="00F53E3A" w:rsidRDefault="0036255F">
            <w:pPr>
              <w:pStyle w:val="P68B1DB1-Normal12"/>
              <w:spacing w:before="60" w:after="60"/>
              <w:jc w:val="center"/>
              <w:rPr>
                <w:rFonts w:cs="Times New Roman"/>
                <w:noProof/>
              </w:rPr>
            </w:pPr>
            <w:r>
              <w:rPr>
                <w:noProof/>
              </w:rPr>
              <w:t>2022</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524D264" w14:textId="77777777" w:rsidR="00F53E3A" w:rsidRDefault="0036255F">
            <w:pPr>
              <w:pStyle w:val="P68B1DB1-Normal12"/>
              <w:spacing w:before="60" w:after="60"/>
              <w:jc w:val="both"/>
              <w:rPr>
                <w:rFonts w:eastAsia="Times New Roman" w:cs="Times New Roman"/>
                <w:noProof/>
              </w:rPr>
            </w:pPr>
            <w:r>
              <w:rPr>
                <w:noProof/>
              </w:rPr>
              <w:t>Pe baza unui studiu care analizează opțiunile de extindere a taxelor de mediu și a impozitării altor surse care dăunează mai puțin creșterii economice, se elaborează și se prezintă parlamentului proiecte de modificare a legilor fiscale relevante.</w:t>
            </w:r>
          </w:p>
        </w:tc>
      </w:tr>
      <w:tr w:rsidR="00F53E3A" w14:paraId="6C7C6793" w14:textId="77777777" w:rsidTr="00744366">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BF56E28" w14:textId="79A194AB" w:rsidR="00F53E3A" w:rsidRDefault="0036255F">
            <w:pPr>
              <w:pStyle w:val="P68B1DB1-Normal12"/>
              <w:spacing w:before="60" w:after="60"/>
              <w:jc w:val="center"/>
              <w:rPr>
                <w:rFonts w:cs="Times New Roman"/>
                <w:noProof/>
              </w:rPr>
            </w:pPr>
            <w:r>
              <w:rPr>
                <w:noProof/>
              </w:rPr>
              <w:t>145</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AA9CBF3" w14:textId="3E40C4E9" w:rsidR="00F53E3A" w:rsidRDefault="0036255F">
            <w:pPr>
              <w:pStyle w:val="P68B1DB1-Normal12"/>
              <w:spacing w:before="60" w:after="60"/>
              <w:rPr>
                <w:noProof/>
              </w:rPr>
            </w:pPr>
            <w:r>
              <w:rPr>
                <w:noProof/>
              </w:rPr>
              <w:t xml:space="preserve">F. 1.2. Un sistem fiscal mai echitabil și mai favorabil creșterii economice — </w:t>
            </w:r>
          </w:p>
          <w:p w14:paraId="218FCED3" w14:textId="3595B0BB" w:rsidR="00F53E3A" w:rsidRDefault="0036255F">
            <w:pPr>
              <w:spacing w:before="60" w:after="60"/>
              <w:rPr>
                <w:rFonts w:ascii="Times New Roman" w:hAnsi="Times New Roman" w:cs="Times New Roman"/>
                <w:noProof/>
                <w:sz w:val="20"/>
              </w:rPr>
            </w:pPr>
            <w:r>
              <w:rPr>
                <w:rStyle w:val="normaltextrun"/>
                <w:rFonts w:ascii="Times New Roman" w:hAnsi="Times New Roman"/>
                <w:noProof/>
                <w:sz w:val="20"/>
              </w:rPr>
              <w:t>F.1.2.2. Submăsura 2: Extinderea în continuare a bazei de impozitare la surse care nu împiedică creșterea economică</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4FE2EE0" w14:textId="77777777"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6590005" w14:textId="557A22C3" w:rsidR="00F53E3A" w:rsidRDefault="0036255F">
            <w:pPr>
              <w:pStyle w:val="P68B1DB1-Normal12"/>
              <w:spacing w:before="60" w:after="60"/>
              <w:rPr>
                <w:rFonts w:cs="Times New Roman"/>
                <w:noProof/>
              </w:rPr>
            </w:pPr>
            <w:r>
              <w:rPr>
                <w:noProof/>
              </w:rPr>
              <w:t xml:space="preserve">Intrarea în vigoare a modificărilor aduse legislației privind accizele, taxele de mediu și impozitele pe proprietate </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F62A5F1" w14:textId="13039AC7" w:rsidR="00F53E3A" w:rsidRDefault="0036255F">
            <w:pPr>
              <w:pStyle w:val="P68B1DB1-Normal12"/>
              <w:spacing w:before="60" w:after="60"/>
              <w:rPr>
                <w:rFonts w:cs="Times New Roman"/>
                <w:noProof/>
              </w:rPr>
            </w:pPr>
            <w:r>
              <w:rPr>
                <w:noProof/>
              </w:rPr>
              <w:t>Dispoziții din legile de modificare care indică intrarea în vigoare a modificărilor</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684FE7E" w14:textId="2D7B31F5"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7240FDA" w14:textId="7098B596"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80DD22" w14:textId="79B35A36" w:rsidR="00F53E3A" w:rsidRDefault="00F53E3A">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3B0515F" w14:textId="56E46B73" w:rsidR="00F53E3A" w:rsidRDefault="00DB2EC5">
            <w:pPr>
              <w:pStyle w:val="P68B1DB1-Normal12"/>
              <w:spacing w:before="60" w:after="60"/>
              <w:jc w:val="center"/>
              <w:rPr>
                <w:rFonts w:cs="Times New Roman"/>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E2E7232" w14:textId="5EA5915E" w:rsidR="00F53E3A" w:rsidRDefault="0036255F">
            <w:pPr>
              <w:pStyle w:val="P68B1DB1-Normal12"/>
              <w:spacing w:before="60" w:after="60"/>
              <w:jc w:val="center"/>
              <w:rPr>
                <w:rFonts w:cs="Times New Roman"/>
                <w:noProof/>
              </w:rPr>
            </w:pPr>
            <w:r>
              <w:rPr>
                <w:noProof/>
              </w:rPr>
              <w:t>2023</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6DFA2FC" w14:textId="21C9E850" w:rsidR="00F53E3A" w:rsidRDefault="0036255F">
            <w:pPr>
              <w:pStyle w:val="P68B1DB1-Normal12"/>
              <w:spacing w:before="60" w:after="60"/>
              <w:jc w:val="both"/>
              <w:rPr>
                <w:rFonts w:eastAsia="Times New Roman" w:cs="Times New Roman"/>
                <w:noProof/>
              </w:rPr>
            </w:pPr>
            <w:r>
              <w:rPr>
                <w:noProof/>
              </w:rPr>
              <w:t>Intrarea în vigoare a modificărilor aduse legilor privind accizele, taxele de mediu și impozitul pe proprietate pentru a spori rolul impozitelor care nu împiedică creșterea economică în structura fiscală.</w:t>
            </w:r>
          </w:p>
        </w:tc>
      </w:tr>
      <w:tr w:rsidR="00F53E3A" w14:paraId="48BE78FC" w14:textId="77777777" w:rsidTr="00744366">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B9E5DEC" w14:textId="77777777" w:rsidR="00F53E3A" w:rsidRDefault="0036255F">
            <w:pPr>
              <w:pStyle w:val="P68B1DB1-Normal12"/>
              <w:spacing w:before="60" w:after="60"/>
              <w:jc w:val="center"/>
              <w:rPr>
                <w:rFonts w:cs="Times New Roman"/>
                <w:noProof/>
              </w:rPr>
            </w:pPr>
            <w:r>
              <w:rPr>
                <w:noProof/>
              </w:rPr>
              <w:t>146</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14A7146" w14:textId="2A8D8B1D" w:rsidR="00F53E3A" w:rsidRDefault="0036255F">
            <w:pPr>
              <w:spacing w:before="60" w:after="60"/>
              <w:rPr>
                <w:rFonts w:ascii="Times New Roman" w:hAnsi="Times New Roman"/>
                <w:noProof/>
                <w:sz w:val="20"/>
              </w:rPr>
            </w:pPr>
            <w:r>
              <w:rPr>
                <w:rStyle w:val="normaltextrun"/>
                <w:rFonts w:ascii="Times New Roman" w:hAnsi="Times New Roman"/>
                <w:noProof/>
                <w:sz w:val="20"/>
              </w:rPr>
              <w:t xml:space="preserve">F.1.2. Un sistem fiscal mai echitabil și mai favorabil creșterii economice — </w:t>
            </w:r>
          </w:p>
          <w:p w14:paraId="0496ADB3" w14:textId="55CF0046" w:rsidR="00F53E3A" w:rsidRDefault="0036255F">
            <w:pPr>
              <w:spacing w:before="60" w:after="60"/>
              <w:rPr>
                <w:rFonts w:ascii="Times New Roman" w:hAnsi="Times New Roman" w:cs="Times New Roman"/>
                <w:noProof/>
                <w:sz w:val="20"/>
              </w:rPr>
            </w:pPr>
            <w:r>
              <w:rPr>
                <w:rStyle w:val="normaltextrun"/>
                <w:rFonts w:ascii="Times New Roman" w:hAnsi="Times New Roman"/>
                <w:noProof/>
                <w:sz w:val="20"/>
              </w:rPr>
              <w:t>F.1.2.3. O evaluare a eficacității impozitelor și contribuțiilor la asigurările sociale în ceea ce privește prevenirea sărăciei și reducerea inegalității veniturilor</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392626D" w14:textId="77777777"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D6C47E" w14:textId="77777777" w:rsidR="00F53E3A" w:rsidRDefault="0036255F">
            <w:pPr>
              <w:pStyle w:val="P68B1DB1-Normal12"/>
              <w:spacing w:before="60" w:after="60"/>
              <w:rPr>
                <w:rFonts w:eastAsia="Times New Roman" w:cs="Times New Roman"/>
                <w:noProof/>
              </w:rPr>
            </w:pPr>
            <w:r>
              <w:rPr>
                <w:noProof/>
              </w:rPr>
              <w:t>Prezentarea studiului privind eficacitatea impozitării veniturilor personale și a contribuțiilor la asigurările sociale în reducerea sărăciei și a inegalității veniturilor</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6991908" w14:textId="4A2446D7" w:rsidR="00F53E3A" w:rsidRDefault="0036255F">
            <w:pPr>
              <w:pStyle w:val="P68B1DB1-Normal12"/>
              <w:spacing w:before="60" w:after="60"/>
              <w:rPr>
                <w:rFonts w:cs="Times New Roman"/>
                <w:noProof/>
              </w:rPr>
            </w:pPr>
            <w:r>
              <w:rPr>
                <w:noProof/>
              </w:rPr>
              <w:t>Studiul publicat pe site-ul Ministerului Finanțelor</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61FD67" w14:textId="4D74259B"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C434CC7" w14:textId="0AB7EFB8"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CE571DE" w14:textId="6A383E39" w:rsidR="00F53E3A" w:rsidRDefault="00F53E3A">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94E29FD" w14:textId="3F143570" w:rsidR="00F53E3A" w:rsidRDefault="00DB2EC5">
            <w:pPr>
              <w:pStyle w:val="P68B1DB1-Normal12"/>
              <w:spacing w:before="60" w:after="60"/>
              <w:jc w:val="center"/>
              <w:rPr>
                <w:rFonts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6ADAEAB" w14:textId="77777777" w:rsidR="00F53E3A" w:rsidRDefault="0036255F">
            <w:pPr>
              <w:pStyle w:val="P68B1DB1-Normal12"/>
              <w:spacing w:before="60" w:after="60"/>
              <w:jc w:val="center"/>
              <w:rPr>
                <w:rFonts w:cs="Times New Roman"/>
                <w:noProof/>
              </w:rPr>
            </w:pPr>
            <w:r>
              <w:rPr>
                <w:noProof/>
              </w:rPr>
              <w:t>2022</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012B534" w14:textId="77777777" w:rsidR="00F53E3A" w:rsidRDefault="0036255F">
            <w:pPr>
              <w:pStyle w:val="P68B1DB1-Normal12"/>
              <w:spacing w:before="60" w:after="60"/>
              <w:jc w:val="both"/>
              <w:rPr>
                <w:rFonts w:cs="Times New Roman"/>
                <w:noProof/>
              </w:rPr>
            </w:pPr>
            <w:r>
              <w:rPr>
                <w:noProof/>
              </w:rPr>
              <w:t>Publicarea unui studiu care să analizeze eficacitatea impozitării veniturilor persoanelor fizice și a contribuțiilor la asigurările sociale în ceea ce privește reducerea sărăciei și a inegalității veniturilor.</w:t>
            </w:r>
          </w:p>
        </w:tc>
      </w:tr>
      <w:tr w:rsidR="00F53E3A" w14:paraId="26ECC337" w14:textId="77777777" w:rsidTr="00744366">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E34475E" w14:textId="6BBA6209" w:rsidR="00F53E3A" w:rsidRDefault="0036255F">
            <w:pPr>
              <w:pStyle w:val="P68B1DB1-Normal12"/>
              <w:spacing w:before="60" w:after="60"/>
              <w:jc w:val="center"/>
              <w:rPr>
                <w:rFonts w:cs="Times New Roman"/>
                <w:noProof/>
              </w:rPr>
            </w:pPr>
            <w:r>
              <w:rPr>
                <w:noProof/>
              </w:rPr>
              <w:t>147</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7FF7A39" w14:textId="15392AB5" w:rsidR="00F53E3A" w:rsidRDefault="0036255F">
            <w:pPr>
              <w:spacing w:before="60" w:after="60"/>
              <w:rPr>
                <w:rFonts w:ascii="Times New Roman" w:hAnsi="Times New Roman"/>
                <w:noProof/>
                <w:sz w:val="20"/>
              </w:rPr>
            </w:pPr>
            <w:r>
              <w:rPr>
                <w:rStyle w:val="normaltextrun"/>
                <w:rFonts w:ascii="Times New Roman" w:hAnsi="Times New Roman"/>
                <w:noProof/>
                <w:sz w:val="20"/>
              </w:rPr>
              <w:t xml:space="preserve">F.1.2. Un sistem fiscal mai echitabil și mai favorabil creșterii economice — </w:t>
            </w:r>
          </w:p>
          <w:p w14:paraId="6E1CD45C" w14:textId="131E99D0" w:rsidR="00F53E3A" w:rsidRDefault="0036255F">
            <w:pPr>
              <w:spacing w:before="60" w:after="60"/>
              <w:rPr>
                <w:rFonts w:ascii="Times New Roman" w:hAnsi="Times New Roman" w:cs="Times New Roman"/>
                <w:noProof/>
                <w:sz w:val="20"/>
              </w:rPr>
            </w:pPr>
            <w:r>
              <w:rPr>
                <w:rStyle w:val="normaltextrun"/>
                <w:rFonts w:ascii="Times New Roman" w:hAnsi="Times New Roman"/>
                <w:noProof/>
                <w:sz w:val="20"/>
              </w:rPr>
              <w:t>F.1.2.3. O evaluare a eficacității impozitelor și contribuțiilor la asigurările sociale în ceea ce privește prevenirea sărăciei și reducerea inegalității veniturilor</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30BCF32" w14:textId="0961D10D"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0ECF33" w14:textId="13524E73" w:rsidR="00F53E3A" w:rsidRDefault="0036255F">
            <w:pPr>
              <w:pStyle w:val="P68B1DB1-Normal12"/>
              <w:spacing w:before="60" w:after="60"/>
              <w:rPr>
                <w:rFonts w:eastAsia="Times New Roman" w:cs="Times New Roman"/>
                <w:noProof/>
              </w:rPr>
            </w:pPr>
            <w:r>
              <w:rPr>
                <w:noProof/>
              </w:rPr>
              <w:t>Intrarea în vigoare a modificărilor aduse legislației privind impozitul pe venitul persoanelor fizice și contribuțiile la asigurările sociale</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BE43912" w14:textId="5798580F" w:rsidR="00F53E3A" w:rsidRDefault="0036255F">
            <w:pPr>
              <w:pStyle w:val="P68B1DB1-Normal12"/>
              <w:spacing w:before="60" w:after="60"/>
              <w:rPr>
                <w:rFonts w:cs="Times New Roman"/>
                <w:noProof/>
              </w:rPr>
            </w:pPr>
            <w:r>
              <w:rPr>
                <w:noProof/>
              </w:rPr>
              <w:t>Dispoziții legale care indică intrarea în vigoare a modificărilor aduse legislației privind impozitul pe venitul persoanelor fizice și contribuțiile la asigurările sociale</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D6E4F2B" w14:textId="60B32B87"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DFE01D" w14:textId="7FF7CE52"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A59AEB" w14:textId="7BD39B40" w:rsidR="00F53E3A" w:rsidRDefault="00F53E3A">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34EFCF" w14:textId="206701F7" w:rsidR="00F53E3A" w:rsidRDefault="00DB2EC5">
            <w:pPr>
              <w:pStyle w:val="P68B1DB1-Normal12"/>
              <w:spacing w:before="60" w:after="60"/>
              <w:jc w:val="center"/>
              <w:rPr>
                <w:rFonts w:cs="Times New Roman"/>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BE081C9" w14:textId="170CBC78" w:rsidR="00F53E3A" w:rsidRDefault="0036255F">
            <w:pPr>
              <w:pStyle w:val="P68B1DB1-Normal12"/>
              <w:spacing w:before="60" w:after="60"/>
              <w:jc w:val="center"/>
              <w:rPr>
                <w:rFonts w:cs="Times New Roman"/>
                <w:noProof/>
              </w:rPr>
            </w:pPr>
            <w:r>
              <w:rPr>
                <w:noProof/>
              </w:rPr>
              <w:t>2023</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0D733E" w14:textId="5EA700C3" w:rsidR="00F53E3A" w:rsidRDefault="0036255F">
            <w:pPr>
              <w:pStyle w:val="P68B1DB1-Normal12"/>
              <w:spacing w:before="60" w:after="60"/>
              <w:jc w:val="both"/>
              <w:rPr>
                <w:rFonts w:eastAsia="Times New Roman" w:cs="Times New Roman"/>
                <w:noProof/>
              </w:rPr>
            </w:pPr>
            <w:r>
              <w:rPr>
                <w:noProof/>
              </w:rPr>
              <w:t>Intrarea în vigoare a modificărilor aduse legilor privind impozitarea veniturilor personale și contribuțiile la asigurările sociale, pe baza concluziilor studiului care analizează eficacitatea impozitării veniturilor personale și a contribuțiilor la asigurările sociale în reducerea sărăciei și a inegalității veniturilor.</w:t>
            </w:r>
          </w:p>
        </w:tc>
      </w:tr>
      <w:tr w:rsidR="00F53E3A" w14:paraId="4AF75BA0" w14:textId="77777777" w:rsidTr="00744366">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409E53A" w14:textId="5BA9F865" w:rsidR="00F53E3A" w:rsidRDefault="0036255F">
            <w:pPr>
              <w:pStyle w:val="P68B1DB1-Normal12"/>
              <w:spacing w:before="60" w:after="60"/>
              <w:jc w:val="center"/>
              <w:rPr>
                <w:rFonts w:cs="Times New Roman"/>
                <w:noProof/>
              </w:rPr>
            </w:pPr>
            <w:r>
              <w:rPr>
                <w:noProof/>
              </w:rPr>
              <w:t>148</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8A608DF" w14:textId="3BC941DD" w:rsidR="00F53E3A" w:rsidRDefault="0036255F">
            <w:pPr>
              <w:spacing w:before="60" w:after="60"/>
              <w:rPr>
                <w:rFonts w:ascii="Times New Roman" w:hAnsi="Times New Roman"/>
                <w:noProof/>
                <w:sz w:val="20"/>
              </w:rPr>
            </w:pPr>
            <w:r>
              <w:rPr>
                <w:rStyle w:val="normaltextrun"/>
                <w:rFonts w:ascii="Times New Roman" w:hAnsi="Times New Roman"/>
                <w:noProof/>
                <w:sz w:val="20"/>
              </w:rPr>
              <w:t xml:space="preserve">F.1.3. Sustenabilitatea pe termen lung și transparența bugetului național — </w:t>
            </w:r>
          </w:p>
          <w:p w14:paraId="6AABD083" w14:textId="4D28287C" w:rsidR="00F53E3A" w:rsidRDefault="0036255F">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F.1.3.1. Cadrul bugetar pe termen mediu</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C6B27C0" w14:textId="77777777"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5E0DBC0" w14:textId="0F80FEA3" w:rsidR="00F53E3A" w:rsidRDefault="0036255F">
            <w:pPr>
              <w:pStyle w:val="P68B1DB1-Normal12"/>
              <w:spacing w:before="60" w:after="60"/>
              <w:rPr>
                <w:rFonts w:eastAsia="Times New Roman" w:cs="Times New Roman"/>
                <w:noProof/>
              </w:rPr>
            </w:pPr>
            <w:r>
              <w:rPr>
                <w:noProof/>
              </w:rPr>
              <w:t>Intrarea în vigoare a metodologiei de întocmire a bugetului pe termen mediu, a metodologiei de calcul al costurilor de bază și a modificărilor aduse Legii privind structura bugetului legate de revizuirea bugetului de stat.</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82DC962" w14:textId="78668DF5" w:rsidR="00F53E3A" w:rsidRDefault="0036255F">
            <w:pPr>
              <w:pStyle w:val="P68B1DB1-Normal12"/>
              <w:spacing w:before="60" w:after="60"/>
              <w:rPr>
                <w:rFonts w:eastAsia="Times New Roman" w:cs="Times New Roman"/>
                <w:noProof/>
              </w:rPr>
            </w:pPr>
            <w:r>
              <w:rPr>
                <w:noProof/>
              </w:rPr>
              <w:t>Dispoziții care indică intrarea în vigoare a două metodologii și a Legii privind structura bugetului</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38FE722" w14:textId="5B33F4AD"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2A2DC38" w14:textId="2BF7C456"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CE71427" w14:textId="5499D11A" w:rsidR="00F53E3A" w:rsidRDefault="00F53E3A">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FD04C5" w14:textId="57994798" w:rsidR="00F53E3A" w:rsidRDefault="00DB2EC5">
            <w:pPr>
              <w:pStyle w:val="P68B1DB1-Normal12"/>
              <w:spacing w:before="60" w:after="60"/>
              <w:jc w:val="center"/>
              <w:rPr>
                <w:rFonts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0ACC2EC" w14:textId="77777777" w:rsidR="00F53E3A" w:rsidRDefault="0036255F">
            <w:pPr>
              <w:pStyle w:val="P68B1DB1-Normal12"/>
              <w:spacing w:before="60" w:after="60"/>
              <w:jc w:val="center"/>
              <w:rPr>
                <w:rFonts w:cs="Times New Roman"/>
                <w:noProof/>
              </w:rPr>
            </w:pPr>
            <w:r>
              <w:rPr>
                <w:noProof/>
              </w:rPr>
              <w:t>2024</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EBEAAE7" w14:textId="1160EA4A" w:rsidR="00F53E3A" w:rsidRDefault="0036255F">
            <w:pPr>
              <w:pStyle w:val="P68B1DB1-Normal12"/>
              <w:spacing w:before="60" w:after="60"/>
              <w:jc w:val="both"/>
              <w:rPr>
                <w:rFonts w:eastAsia="Times New Roman" w:cs="Times New Roman"/>
                <w:noProof/>
              </w:rPr>
            </w:pPr>
            <w:r>
              <w:rPr>
                <w:noProof/>
              </w:rPr>
              <w:t>Data intrării în vigoare a:</w:t>
            </w:r>
          </w:p>
          <w:p w14:paraId="23AF5196" w14:textId="04F6F526" w:rsidR="00F53E3A" w:rsidRDefault="0036255F">
            <w:pPr>
              <w:pStyle w:val="P68B1DB1-Normal12"/>
              <w:spacing w:before="60" w:after="60"/>
              <w:jc w:val="both"/>
              <w:rPr>
                <w:rFonts w:eastAsia="Times New Roman" w:cs="Times New Roman"/>
                <w:noProof/>
              </w:rPr>
            </w:pPr>
            <w:r>
              <w:rPr>
                <w:noProof/>
              </w:rPr>
              <w:t>— modificările aduse Legii privind structura bugetului, care clarifică normele de revizuire a bugetelor anuale;</w:t>
            </w:r>
          </w:p>
          <w:p w14:paraId="17D9B01A" w14:textId="77777777" w:rsidR="00F53E3A" w:rsidRDefault="0036255F">
            <w:pPr>
              <w:pStyle w:val="P68B1DB1-Normal12"/>
              <w:spacing w:before="60" w:after="60"/>
              <w:jc w:val="both"/>
              <w:rPr>
                <w:rFonts w:eastAsia="Times New Roman" w:cs="Times New Roman"/>
                <w:noProof/>
              </w:rPr>
            </w:pPr>
            <w:r>
              <w:rPr>
                <w:noProof/>
              </w:rPr>
              <w:t>metodologia care stabilește procedurile de întocmire a bugetului pe termen mediu, ale căror principii de bază sunt stabilite în Legea privind structura bugetului și aprobate printr-o rezoluție a guvernului;</w:t>
            </w:r>
          </w:p>
          <w:p w14:paraId="27B0F6C3" w14:textId="11275E1E" w:rsidR="00F53E3A" w:rsidRDefault="0036255F">
            <w:pPr>
              <w:pStyle w:val="P68B1DB1-Normal12"/>
              <w:spacing w:before="60" w:after="60"/>
              <w:jc w:val="both"/>
              <w:rPr>
                <w:rFonts w:eastAsia="Times New Roman" w:cs="Times New Roman"/>
                <w:noProof/>
              </w:rPr>
            </w:pPr>
            <w:r>
              <w:rPr>
                <w:noProof/>
              </w:rPr>
              <w:t>metodologia care stabilește procedurile pentru calcularea cheltuielilor de referință, aprobată prin ordin al ministrului de finanțe.</w:t>
            </w:r>
          </w:p>
        </w:tc>
      </w:tr>
      <w:tr w:rsidR="00F53E3A" w14:paraId="5EF59672" w14:textId="77777777" w:rsidTr="00744366">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8E7D28C" w14:textId="2542CD5C" w:rsidR="00F53E3A" w:rsidRDefault="0036255F">
            <w:pPr>
              <w:pStyle w:val="P68B1DB1-Normal12"/>
              <w:spacing w:before="60" w:after="60"/>
              <w:jc w:val="center"/>
              <w:rPr>
                <w:rFonts w:cs="Times New Roman"/>
                <w:noProof/>
              </w:rPr>
            </w:pPr>
            <w:r>
              <w:rPr>
                <w:noProof/>
              </w:rPr>
              <w:t>148a</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2D21B95" w14:textId="7803B97B" w:rsidR="00F53E3A" w:rsidRDefault="0036255F">
            <w:pPr>
              <w:pStyle w:val="P68B1DB1-Normal12"/>
              <w:spacing w:before="60" w:after="60"/>
              <w:rPr>
                <w:noProof/>
              </w:rPr>
            </w:pPr>
            <w:r>
              <w:rPr>
                <w:noProof/>
              </w:rPr>
              <w:t xml:space="preserve">F.1.3. Sustenabilitatea pe termen lung și transparența bugetului național — </w:t>
            </w:r>
          </w:p>
          <w:p w14:paraId="208545AA" w14:textId="32F096B3" w:rsidR="00F53E3A" w:rsidRDefault="0036255F">
            <w:pPr>
              <w:pStyle w:val="P68B1DB1-Normal12"/>
              <w:spacing w:before="60" w:after="60"/>
              <w:rPr>
                <w:rFonts w:cs="Times New Roman"/>
                <w:noProof/>
              </w:rPr>
            </w:pPr>
            <w:r>
              <w:rPr>
                <w:noProof/>
              </w:rPr>
              <w:t>F.1.3.1. Cadrul bugetar pe termen mediu</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3CE4773" w14:textId="13CD4D38"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97E591" w14:textId="03766F53" w:rsidR="00F53E3A" w:rsidRDefault="0036255F">
            <w:pPr>
              <w:pStyle w:val="P68B1DB1-Normal12"/>
              <w:spacing w:before="60" w:after="60"/>
              <w:rPr>
                <w:rFonts w:cs="Times New Roman"/>
                <w:noProof/>
              </w:rPr>
            </w:pPr>
            <w:r>
              <w:rPr>
                <w:noProof/>
              </w:rPr>
              <w:t>Punerea în aplicare a instrumentului Sistemului informațional de management strategic care automatizează întocmirea bugetului pe termen mediu</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4E9689" w14:textId="302EA57F" w:rsidR="00F53E3A" w:rsidRDefault="0036255F">
            <w:pPr>
              <w:pStyle w:val="P68B1DB1-Normal12"/>
              <w:spacing w:before="60" w:after="60"/>
              <w:rPr>
                <w:rFonts w:cs="Times New Roman"/>
                <w:noProof/>
              </w:rPr>
            </w:pPr>
            <w:r>
              <w:rPr>
                <w:noProof/>
              </w:rPr>
              <w:t>Punerea în aplicare a instrumentului Sistemului informațional de management strategic care automatizează întocmirea bugetului pe termen mediu.</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AF1DBB7" w14:textId="012762D2"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B86BC12" w14:textId="3F78321D"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E9C80C" w14:textId="733E7E17" w:rsidR="00F53E3A" w:rsidRDefault="00F53E3A">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5AC2F1B" w14:textId="01F78D2D" w:rsidR="00F53E3A" w:rsidRDefault="00DB2EC5">
            <w:pPr>
              <w:pStyle w:val="P68B1DB1-Normal12"/>
              <w:spacing w:before="60" w:after="60"/>
              <w:jc w:val="center"/>
              <w:rPr>
                <w:rFonts w:cs="Times New Roman"/>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997E1E0" w14:textId="05A25911" w:rsidR="00F53E3A" w:rsidRDefault="0036255F">
            <w:pPr>
              <w:pStyle w:val="P68B1DB1-Normal12"/>
              <w:spacing w:before="60" w:after="60"/>
              <w:jc w:val="center"/>
              <w:rPr>
                <w:rFonts w:cs="Times New Roman"/>
                <w:noProof/>
              </w:rPr>
            </w:pPr>
            <w:r>
              <w:rPr>
                <w:noProof/>
              </w:rPr>
              <w:t>2025</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2C0F14B" w14:textId="733E6602" w:rsidR="00F53E3A" w:rsidRDefault="0036255F">
            <w:pPr>
              <w:pStyle w:val="P68B1DB1-Normal12"/>
              <w:spacing w:before="60" w:after="60"/>
              <w:jc w:val="both"/>
              <w:rPr>
                <w:rFonts w:cs="Times New Roman"/>
                <w:noProof/>
              </w:rPr>
            </w:pPr>
            <w:r>
              <w:rPr>
                <w:noProof/>
              </w:rPr>
              <w:t>Punerea în aplicare a instrumentului de întocmire a bugetului pe termen mediu în cadrul Sistemului informațional de management strategic. Acesta permite automatizarea întocmirii bugetului pe termen mediu (inclusiv calcularea cheltuielilor operaționale).</w:t>
            </w:r>
          </w:p>
        </w:tc>
      </w:tr>
      <w:tr w:rsidR="00F53E3A" w14:paraId="6A431AD4" w14:textId="77777777" w:rsidTr="00744366">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E82D93A" w14:textId="77777777" w:rsidR="00F53E3A" w:rsidRDefault="0036255F">
            <w:pPr>
              <w:pStyle w:val="P68B1DB1-Normal12"/>
              <w:spacing w:before="60" w:after="60"/>
              <w:jc w:val="center"/>
              <w:rPr>
                <w:rFonts w:cs="Times New Roman"/>
                <w:noProof/>
              </w:rPr>
            </w:pPr>
            <w:r>
              <w:rPr>
                <w:noProof/>
              </w:rPr>
              <w:t>149</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FBD00AB" w14:textId="1DFA786B" w:rsidR="00F53E3A" w:rsidRDefault="0036255F">
            <w:pPr>
              <w:spacing w:before="60" w:after="60"/>
              <w:rPr>
                <w:rFonts w:ascii="Times New Roman" w:hAnsi="Times New Roman"/>
                <w:noProof/>
                <w:sz w:val="20"/>
              </w:rPr>
            </w:pPr>
            <w:r>
              <w:rPr>
                <w:rStyle w:val="normaltextrun"/>
                <w:rFonts w:ascii="Times New Roman" w:hAnsi="Times New Roman"/>
                <w:noProof/>
                <w:sz w:val="20"/>
              </w:rPr>
              <w:t xml:space="preserve">F.1.3. Sustenabilitatea pe termen lung și transparența bugetului național — </w:t>
            </w:r>
          </w:p>
          <w:p w14:paraId="4CD44037" w14:textId="2BDDABA2" w:rsidR="00F53E3A" w:rsidRDefault="0036255F">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F.1.3.1. Cadrul bugetar pe termen mediu</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5B05606" w14:textId="77777777"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8E0E810" w14:textId="0756C954" w:rsidR="00F53E3A" w:rsidRDefault="0036255F">
            <w:pPr>
              <w:pStyle w:val="P68B1DB1-Normal12"/>
              <w:spacing w:before="60" w:after="60"/>
              <w:rPr>
                <w:rFonts w:eastAsia="Times New Roman" w:cs="Times New Roman"/>
                <w:noProof/>
              </w:rPr>
            </w:pPr>
            <w:r>
              <w:rPr>
                <w:noProof/>
              </w:rPr>
              <w:t>Intrarea în vigoare a rezoluției guvernului de aprobare a primului proiect detaliat de buget pe termen mediu pentru perioada 1 ianuarie 2025-31 decembrie 2027</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7339D61" w14:textId="35E1BEAD" w:rsidR="00F53E3A" w:rsidRDefault="0036255F">
            <w:pPr>
              <w:pStyle w:val="P68B1DB1-Normal12"/>
              <w:spacing w:before="60" w:after="60"/>
              <w:rPr>
                <w:rFonts w:eastAsia="Times New Roman" w:cs="Times New Roman"/>
                <w:noProof/>
              </w:rPr>
            </w:pPr>
            <w:r>
              <w:rPr>
                <w:noProof/>
              </w:rPr>
              <w:t>Rezoluția Guvernului de aprobare a primului proiect detaliat de buget pe termen mediu pentru perioada 1 ianuarie 2025-31 decembrie 2027</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2297DD6" w14:textId="347C1301"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CD4E4A" w14:textId="1B695F5C"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4134AA" w14:textId="5C754F20" w:rsidR="00F53E3A" w:rsidRDefault="00F53E3A">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F8E380B" w14:textId="57423DC3" w:rsidR="00F53E3A" w:rsidRDefault="00DB2EC5">
            <w:pPr>
              <w:pStyle w:val="P68B1DB1-Normal12"/>
              <w:spacing w:before="60" w:after="60"/>
              <w:jc w:val="center"/>
              <w:rPr>
                <w:rFonts w:cs="Times New Roman"/>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E08F97A" w14:textId="77777777" w:rsidR="00F53E3A" w:rsidRDefault="0036255F">
            <w:pPr>
              <w:pStyle w:val="P68B1DB1-Normal12"/>
              <w:spacing w:before="60" w:after="60"/>
              <w:jc w:val="center"/>
              <w:rPr>
                <w:rFonts w:cs="Times New Roman"/>
                <w:noProof/>
              </w:rPr>
            </w:pPr>
            <w:r>
              <w:rPr>
                <w:noProof/>
              </w:rPr>
              <w:t>2024</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B334DF9" w14:textId="014B3CA2" w:rsidR="00F53E3A" w:rsidRDefault="0036255F">
            <w:pPr>
              <w:pStyle w:val="P68B1DB1-Normal12"/>
              <w:spacing w:before="60" w:after="60"/>
              <w:jc w:val="both"/>
              <w:rPr>
                <w:rFonts w:eastAsia="Times New Roman" w:cs="Times New Roman"/>
                <w:noProof/>
              </w:rPr>
            </w:pPr>
            <w:r>
              <w:rPr>
                <w:noProof/>
              </w:rPr>
              <w:t>Guvernul aprobă primul proiect detaliat de buget pe trei ani pentru perioada cuprinsă între 1 ianuarie 2025 și 31 decembrie 2027. Bugetul pe termen mediu este în conformitate cu metodologia aprobată de întocmire a bugetului pe termen mediu.</w:t>
            </w:r>
          </w:p>
        </w:tc>
      </w:tr>
      <w:tr w:rsidR="00F53E3A" w14:paraId="32C61A85" w14:textId="77777777" w:rsidTr="00744366">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B691AE6" w14:textId="22AB12A9" w:rsidR="00F53E3A" w:rsidRDefault="0036255F">
            <w:pPr>
              <w:pStyle w:val="P68B1DB1-Normal12"/>
              <w:spacing w:before="60" w:after="60"/>
              <w:jc w:val="center"/>
              <w:rPr>
                <w:rFonts w:cs="Times New Roman"/>
                <w:noProof/>
              </w:rPr>
            </w:pPr>
            <w:r>
              <w:rPr>
                <w:noProof/>
              </w:rPr>
              <w:t>150</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789EB49" w14:textId="3C6CACA4" w:rsidR="00F53E3A" w:rsidRDefault="0036255F">
            <w:pPr>
              <w:spacing w:before="60" w:after="60"/>
              <w:rPr>
                <w:rFonts w:ascii="Times New Roman" w:hAnsi="Times New Roman"/>
                <w:noProof/>
                <w:sz w:val="20"/>
              </w:rPr>
            </w:pPr>
            <w:r>
              <w:rPr>
                <w:rStyle w:val="normaltextrun"/>
                <w:rFonts w:ascii="Times New Roman" w:hAnsi="Times New Roman"/>
                <w:noProof/>
                <w:sz w:val="20"/>
              </w:rPr>
              <w:t xml:space="preserve">F.1.3. Sustenabilitatea pe termen lung și transparența bugetului național — </w:t>
            </w:r>
          </w:p>
          <w:p w14:paraId="7A39A1E6" w14:textId="2CEA674E" w:rsidR="00F53E3A" w:rsidRDefault="0036255F">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F.1.3.2. Analize ale cheltuielilor</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004E52D" w14:textId="77777777"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6D8A320" w14:textId="77777777" w:rsidR="00F53E3A" w:rsidRDefault="0036255F">
            <w:pPr>
              <w:pStyle w:val="P68B1DB1-Normal12"/>
              <w:spacing w:before="60" w:after="60"/>
              <w:rPr>
                <w:rFonts w:eastAsia="Times New Roman" w:cs="Times New Roman"/>
                <w:noProof/>
              </w:rPr>
            </w:pPr>
            <w:r>
              <w:rPr>
                <w:noProof/>
              </w:rPr>
              <w:t xml:space="preserve">Finalizarea revizuirii cuprinzătoare a cheltuielilor bugetare </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FF6C9CE" w14:textId="77777777" w:rsidR="00F53E3A" w:rsidRDefault="0036255F">
            <w:pPr>
              <w:pStyle w:val="P68B1DB1-Normal12"/>
              <w:spacing w:before="60" w:after="60"/>
              <w:rPr>
                <w:rFonts w:eastAsia="Times New Roman" w:cs="Times New Roman"/>
                <w:noProof/>
              </w:rPr>
            </w:pPr>
            <w:r>
              <w:rPr>
                <w:noProof/>
              </w:rPr>
              <w:t xml:space="preserve">Furnizarea rezultatelor cuprinzătoare ale analizei cheltuielilor </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A8D31B" w14:textId="381ACECC"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CB78287" w14:textId="59DAC094"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177F70" w14:textId="16F1EB40" w:rsidR="00F53E3A" w:rsidRDefault="00F53E3A">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B80B20B" w14:textId="1BB9A699" w:rsidR="00F53E3A" w:rsidRDefault="00DB2EC5">
            <w:pPr>
              <w:pStyle w:val="P68B1DB1-Normal12"/>
              <w:spacing w:before="60" w:after="60"/>
              <w:jc w:val="center"/>
              <w:rPr>
                <w:rFonts w:cs="Times New Roman"/>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33B3F57" w14:textId="1EADDFD5" w:rsidR="00F53E3A" w:rsidRDefault="0036255F">
            <w:pPr>
              <w:pStyle w:val="P68B1DB1-Normal12"/>
              <w:spacing w:before="60" w:after="60"/>
              <w:jc w:val="center"/>
              <w:rPr>
                <w:rFonts w:cs="Times New Roman"/>
                <w:noProof/>
              </w:rPr>
            </w:pPr>
            <w:r>
              <w:rPr>
                <w:noProof/>
              </w:rPr>
              <w:t>2024</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B93B658" w14:textId="0B4FBC1F" w:rsidR="00F53E3A" w:rsidRDefault="0036255F">
            <w:pPr>
              <w:pStyle w:val="P68B1DB1-Normal12"/>
              <w:spacing w:before="60" w:after="60"/>
              <w:jc w:val="both"/>
              <w:rPr>
                <w:rFonts w:eastAsia="Times New Roman" w:cs="Times New Roman"/>
                <w:noProof/>
              </w:rPr>
            </w:pPr>
            <w:r>
              <w:rPr>
                <w:noProof/>
              </w:rPr>
              <w:t xml:space="preserve">Guvernul aprobă un concept pentru o revizuire cuprinzătoare a cheltuielilor, care este pus în aplicare în cadrul revizuirii cuprinzătoare efective, inclusiv în cadrul revizuirii datelor privind execuția bugetară pentru 2023. </w:t>
            </w:r>
          </w:p>
          <w:p w14:paraId="32F9C34C" w14:textId="70A28474" w:rsidR="00F53E3A" w:rsidRDefault="0036255F">
            <w:pPr>
              <w:pStyle w:val="P68B1DB1-Normal12"/>
              <w:spacing w:before="60" w:after="60"/>
              <w:jc w:val="both"/>
              <w:rPr>
                <w:rFonts w:eastAsia="Times New Roman" w:cs="Times New Roman"/>
                <w:noProof/>
              </w:rPr>
            </w:pPr>
            <w:r>
              <w:rPr>
                <w:noProof/>
              </w:rPr>
              <w:t>Rezultatele analizei cuprinzătoare a cheltuielilor sunt făcute publice și contribuie la pregătirea primelor bugete pe termen mediu pentru perioada 1 ianuarie 2025-31 decembrie 2027.</w:t>
            </w:r>
          </w:p>
        </w:tc>
      </w:tr>
      <w:tr w:rsidR="00F53E3A" w14:paraId="33547A5D" w14:textId="77777777" w:rsidTr="00744366">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4F426F9" w14:textId="77777777" w:rsidR="00F53E3A" w:rsidRDefault="0036255F">
            <w:pPr>
              <w:pStyle w:val="P68B1DB1-Normal12"/>
              <w:spacing w:before="60" w:after="60"/>
              <w:jc w:val="center"/>
              <w:rPr>
                <w:rFonts w:cs="Times New Roman"/>
                <w:noProof/>
              </w:rPr>
            </w:pPr>
            <w:r>
              <w:rPr>
                <w:noProof/>
              </w:rPr>
              <w:t>151</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2CB86BC" w14:textId="752E7540" w:rsidR="00F53E3A" w:rsidRDefault="0036255F">
            <w:pPr>
              <w:spacing w:before="60" w:after="60"/>
              <w:rPr>
                <w:rFonts w:ascii="Times New Roman" w:hAnsi="Times New Roman"/>
                <w:noProof/>
                <w:sz w:val="20"/>
              </w:rPr>
            </w:pPr>
            <w:r>
              <w:rPr>
                <w:rStyle w:val="normaltextrun"/>
                <w:rFonts w:ascii="Times New Roman" w:hAnsi="Times New Roman"/>
                <w:noProof/>
                <w:sz w:val="20"/>
              </w:rPr>
              <w:t xml:space="preserve">F.1.3. Sustenabilitatea pe termen lung și transparența bugetului național — </w:t>
            </w:r>
          </w:p>
          <w:p w14:paraId="5DF3DA6B" w14:textId="3027D2B7" w:rsidR="00F53E3A" w:rsidRDefault="0036255F">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F.1.3.3. Consolidarea structurii veniturilor municipale</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F0F2A36" w14:textId="77777777"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3D356AC" w14:textId="77777777" w:rsidR="00F53E3A" w:rsidRDefault="0036255F">
            <w:pPr>
              <w:pStyle w:val="P68B1DB1-Normal12"/>
              <w:spacing w:before="60" w:after="60"/>
              <w:rPr>
                <w:rFonts w:eastAsia="Times New Roman" w:cs="Times New Roman"/>
                <w:noProof/>
              </w:rPr>
            </w:pPr>
            <w:r>
              <w:rPr>
                <w:noProof/>
              </w:rPr>
              <w:t>Intrarea în vigoare a modificării Legii privind metodologia de stabilire a veniturilor bugetare municipale și publicarea constatărilor privind compararea sistematică a indicatorilor fiscali municipali și evaluarea capacității municipalităților de a crește veniturile</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DB0E478" w14:textId="64543EF4" w:rsidR="00F53E3A" w:rsidRDefault="0036255F">
            <w:pPr>
              <w:pStyle w:val="P68B1DB1-Normal12"/>
              <w:spacing w:before="60" w:after="60"/>
              <w:rPr>
                <w:noProof/>
              </w:rPr>
            </w:pPr>
            <w:r>
              <w:rPr>
                <w:noProof/>
              </w:rPr>
              <w:t>Dispoziție din legea de modificare care indică intrarea în vigoare a modificării Legii privind metodologia de stabilire a veniturilor bugetare municipale și publicarea constatărilor</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6399D39" w14:textId="1CFC88E6"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B514E14" w14:textId="1775CB14"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92D1BD9" w14:textId="0CE710A2" w:rsidR="00F53E3A" w:rsidRDefault="00F53E3A">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29231B8" w14:textId="2BE0BF28" w:rsidR="00F53E3A" w:rsidRDefault="00DB2EC5">
            <w:pPr>
              <w:pStyle w:val="P68B1DB1-Normal12"/>
              <w:spacing w:before="60" w:after="60"/>
              <w:jc w:val="center"/>
              <w:rPr>
                <w:rFonts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D8A2A2D" w14:textId="77777777" w:rsidR="00F53E3A" w:rsidRDefault="0036255F">
            <w:pPr>
              <w:pStyle w:val="P68B1DB1-Normal12"/>
              <w:spacing w:before="60" w:after="60"/>
              <w:jc w:val="center"/>
              <w:rPr>
                <w:rFonts w:cs="Times New Roman"/>
                <w:noProof/>
              </w:rPr>
            </w:pPr>
            <w:r>
              <w:rPr>
                <w:noProof/>
              </w:rPr>
              <w:t>2023</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880BB05" w14:textId="77777777" w:rsidR="00F53E3A" w:rsidRDefault="0036255F">
            <w:pPr>
              <w:pStyle w:val="P68B1DB1-Normal12"/>
              <w:spacing w:before="60" w:after="60"/>
              <w:jc w:val="both"/>
              <w:rPr>
                <w:rFonts w:cs="Times New Roman"/>
                <w:noProof/>
              </w:rPr>
            </w:pPr>
            <w:r>
              <w:rPr>
                <w:noProof/>
              </w:rPr>
              <w:t xml:space="preserve">Intrarea în vigoare a modificării Legii privind metodologia de stabilire a veniturilor bugetare municipale, care va îmbunătăți structura veniturilor municipale. </w:t>
            </w:r>
          </w:p>
          <w:p w14:paraId="4D936AE9" w14:textId="77777777" w:rsidR="00F53E3A" w:rsidRDefault="0036255F">
            <w:pPr>
              <w:pStyle w:val="P68B1DB1-Normal12"/>
              <w:spacing w:before="60" w:after="60"/>
              <w:jc w:val="both"/>
              <w:rPr>
                <w:rFonts w:cs="Times New Roman"/>
                <w:noProof/>
              </w:rPr>
            </w:pPr>
            <w:r>
              <w:rPr>
                <w:noProof/>
              </w:rPr>
              <w:t>Ministerul Finanțelor utilizează instrumente care permit:</w:t>
            </w:r>
          </w:p>
          <w:p w14:paraId="2B793A0C" w14:textId="77777777" w:rsidR="00F53E3A" w:rsidRDefault="0036255F">
            <w:pPr>
              <w:pStyle w:val="P68B1DB1-Normal12"/>
              <w:spacing w:before="60" w:after="60"/>
              <w:jc w:val="both"/>
              <w:rPr>
                <w:rFonts w:cs="Times New Roman"/>
                <w:noProof/>
              </w:rPr>
            </w:pPr>
            <w:r>
              <w:rPr>
                <w:noProof/>
              </w:rPr>
              <w:t>— o comparație a veniturilor municipale, a cheltuielilor și a indicatorilor de performanță;</w:t>
            </w:r>
          </w:p>
          <w:p w14:paraId="1C21E2BA" w14:textId="0CF0BB38" w:rsidR="00F53E3A" w:rsidRDefault="0036255F">
            <w:pPr>
              <w:pStyle w:val="P68B1DB1-Normal12"/>
              <w:spacing w:before="60" w:after="60"/>
              <w:jc w:val="both"/>
              <w:rPr>
                <w:rFonts w:cs="Times New Roman"/>
                <w:noProof/>
              </w:rPr>
            </w:pPr>
            <w:r>
              <w:rPr>
                <w:noProof/>
              </w:rPr>
              <w:t>— evaluarea capacității de creștere a veniturilor municipale.</w:t>
            </w:r>
          </w:p>
          <w:p w14:paraId="01F1C663" w14:textId="325C5B28" w:rsidR="00F53E3A" w:rsidRDefault="0036255F">
            <w:pPr>
              <w:pStyle w:val="P68B1DB1-Normal12"/>
              <w:spacing w:before="60" w:after="60"/>
              <w:jc w:val="both"/>
              <w:rPr>
                <w:rFonts w:eastAsia="Times New Roman" w:cs="Times New Roman"/>
                <w:noProof/>
              </w:rPr>
            </w:pPr>
            <w:r>
              <w:rPr>
                <w:noProof/>
              </w:rPr>
              <w:t xml:space="preserve">Rezultatele acestor analize se publică. </w:t>
            </w:r>
          </w:p>
        </w:tc>
      </w:tr>
      <w:tr w:rsidR="00F53E3A" w14:paraId="621EEE0E" w14:textId="77777777" w:rsidTr="00744366">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AE716AE" w14:textId="77777777" w:rsidR="00F53E3A" w:rsidRDefault="0036255F">
            <w:pPr>
              <w:pStyle w:val="P68B1DB1-Normal12"/>
              <w:spacing w:before="60" w:after="60"/>
              <w:jc w:val="center"/>
              <w:rPr>
                <w:rFonts w:cs="Times New Roman"/>
                <w:noProof/>
              </w:rPr>
            </w:pPr>
            <w:r>
              <w:rPr>
                <w:noProof/>
              </w:rPr>
              <w:t>152</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5DCE8C8" w14:textId="01FB44A0" w:rsidR="00F53E3A" w:rsidRDefault="0036255F">
            <w:pPr>
              <w:spacing w:before="60" w:after="60"/>
              <w:rPr>
                <w:rFonts w:ascii="Times New Roman" w:hAnsi="Times New Roman"/>
                <w:noProof/>
                <w:sz w:val="20"/>
              </w:rPr>
            </w:pPr>
            <w:r>
              <w:rPr>
                <w:rStyle w:val="normaltextrun"/>
                <w:rFonts w:ascii="Times New Roman" w:hAnsi="Times New Roman"/>
                <w:noProof/>
                <w:sz w:val="20"/>
              </w:rPr>
              <w:t xml:space="preserve">F.1.3. Sustenabilitatea pe termen lung și transparența bugetului național — </w:t>
            </w:r>
          </w:p>
          <w:p w14:paraId="1E5DFA56" w14:textId="12551A41" w:rsidR="00F53E3A" w:rsidRDefault="0036255F">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F.1.3.4. Promovarea parteneriatelor public-privat</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6598904" w14:textId="77777777"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2BE438" w14:textId="45C1706E" w:rsidR="00F53E3A" w:rsidRDefault="0036255F">
            <w:pPr>
              <w:pStyle w:val="P68B1DB1-Normal12"/>
              <w:spacing w:before="60" w:after="60"/>
              <w:rPr>
                <w:rFonts w:cs="Times New Roman"/>
                <w:noProof/>
              </w:rPr>
            </w:pPr>
            <w:r>
              <w:rPr>
                <w:noProof/>
              </w:rPr>
              <w:t>Intrarea în vigoare a modificărilor aduse normelor privind pregătirea și punerea în aplicare a parteneriatelor public-privat</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3F6CF4" w14:textId="42D58675" w:rsidR="00F53E3A" w:rsidRDefault="0036255F">
            <w:pPr>
              <w:pStyle w:val="P68B1DB1-Normal12"/>
              <w:spacing w:before="60" w:after="60"/>
              <w:rPr>
                <w:rFonts w:cs="Times New Roman"/>
                <w:noProof/>
              </w:rPr>
            </w:pPr>
            <w:r>
              <w:rPr>
                <w:noProof/>
              </w:rPr>
              <w:t>Dispoziție din normele modificate privind pregătirea și punerea în aplicare a parteneriatelor public-privat care indică intrarea în vigoare a modificărilor</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043AC07" w14:textId="6F7E6070"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F2B44C9" w14:textId="302DFE37"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9FAAE5B" w14:textId="3516364D" w:rsidR="00F53E3A" w:rsidRDefault="00F53E3A">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0FFD165" w14:textId="1AF5E5CB" w:rsidR="00F53E3A" w:rsidRDefault="00DB2EC5">
            <w:pPr>
              <w:pStyle w:val="P68B1DB1-Normal12"/>
              <w:spacing w:before="60" w:after="60"/>
              <w:jc w:val="center"/>
              <w:rPr>
                <w:rFonts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110DEBE" w14:textId="77777777" w:rsidR="00F53E3A" w:rsidRDefault="0036255F">
            <w:pPr>
              <w:pStyle w:val="P68B1DB1-Normal12"/>
              <w:spacing w:before="60" w:after="60"/>
              <w:jc w:val="center"/>
              <w:rPr>
                <w:rFonts w:cs="Times New Roman"/>
                <w:noProof/>
              </w:rPr>
            </w:pPr>
            <w:r>
              <w:rPr>
                <w:noProof/>
              </w:rPr>
              <w:t>2022</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F3DEAB3" w14:textId="77777777" w:rsidR="00F53E3A" w:rsidRDefault="0036255F">
            <w:pPr>
              <w:pStyle w:val="P68B1DB1-Normal12"/>
              <w:spacing w:before="60" w:after="60"/>
              <w:jc w:val="both"/>
              <w:rPr>
                <w:rFonts w:eastAsia="Times New Roman" w:cs="Times New Roman"/>
                <w:noProof/>
              </w:rPr>
            </w:pPr>
            <w:r>
              <w:rPr>
                <w:noProof/>
              </w:rPr>
              <w:t>Normele modificate privind pregătirea și punerea în aplicare a parteneriatelor public-privat:</w:t>
            </w:r>
          </w:p>
          <w:p w14:paraId="1561C067" w14:textId="77777777" w:rsidR="00F53E3A" w:rsidRDefault="0036255F">
            <w:pPr>
              <w:spacing w:before="60" w:after="60"/>
              <w:jc w:val="both"/>
              <w:rPr>
                <w:rFonts w:ascii="Times New Roman" w:hAnsi="Times New Roman" w:cs="Times New Roman"/>
                <w:noProof/>
                <w:sz w:val="20"/>
              </w:rPr>
            </w:pPr>
            <w:r>
              <w:rPr>
                <w:rFonts w:ascii="Times New Roman" w:hAnsi="Times New Roman"/>
                <w:noProof/>
                <w:sz w:val="20"/>
              </w:rPr>
              <w:t>— permiterea grupării proiectelor de investiții municipale, ceea ce le-ar face mai atractive pentru investitori;</w:t>
            </w:r>
            <w:r>
              <w:rPr>
                <w:noProof/>
                <w:sz w:val="20"/>
              </w:rPr>
              <w:t xml:space="preserve"> </w:t>
            </w:r>
            <w:r>
              <w:rPr>
                <w:noProof/>
              </w:rPr>
              <w:br/>
            </w:r>
            <w:r>
              <w:rPr>
                <w:rFonts w:ascii="Times New Roman" w:hAnsi="Times New Roman"/>
                <w:noProof/>
                <w:sz w:val="20"/>
              </w:rPr>
              <w:t>— să permită municipalităților să participe la programe de parteneriat public-privat organizate de stat, ceea ce se preconizează că va reduce costurile administrative.</w:t>
            </w:r>
          </w:p>
        </w:tc>
      </w:tr>
      <w:tr w:rsidR="00F53E3A" w14:paraId="11D82DBC" w14:textId="77777777" w:rsidTr="00744366">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79F8998" w14:textId="25330D30" w:rsidR="00F53E3A" w:rsidRDefault="0036255F">
            <w:pPr>
              <w:pStyle w:val="P68B1DB1-Normal12"/>
              <w:spacing w:before="60" w:after="60"/>
              <w:jc w:val="center"/>
              <w:rPr>
                <w:rFonts w:cs="Times New Roman"/>
                <w:noProof/>
              </w:rPr>
            </w:pPr>
            <w:r>
              <w:rPr>
                <w:noProof/>
              </w:rPr>
              <w:t>153</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727E586" w14:textId="73766986" w:rsidR="00F53E3A" w:rsidRDefault="0036255F">
            <w:pPr>
              <w:spacing w:before="60" w:after="60"/>
              <w:rPr>
                <w:rFonts w:ascii="Times New Roman" w:hAnsi="Times New Roman"/>
                <w:noProof/>
                <w:sz w:val="20"/>
              </w:rPr>
            </w:pPr>
            <w:r>
              <w:rPr>
                <w:rStyle w:val="normaltextrun"/>
                <w:rFonts w:ascii="Times New Roman" w:hAnsi="Times New Roman"/>
                <w:noProof/>
                <w:sz w:val="20"/>
              </w:rPr>
              <w:t xml:space="preserve">F.1.3. Sustenabilitatea pe termen lung și transparența bugetului național — </w:t>
            </w:r>
          </w:p>
          <w:p w14:paraId="1E6E6563" w14:textId="1F847276" w:rsidR="00F53E3A" w:rsidRDefault="0036255F">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F.1.3.4. Promovarea parteneriatelor public-privat</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C34404A" w14:textId="77777777"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2BF2011" w14:textId="017781EB" w:rsidR="00F53E3A" w:rsidRDefault="0036255F">
            <w:pPr>
              <w:pStyle w:val="P68B1DB1-Normal12"/>
              <w:spacing w:before="60" w:after="60"/>
              <w:rPr>
                <w:rFonts w:cs="Times New Roman"/>
                <w:noProof/>
              </w:rPr>
            </w:pPr>
            <w:r>
              <w:rPr>
                <w:noProof/>
              </w:rPr>
              <w:t>Intrarea în vigoare a pachetului legislativ de instituire a unui cadru consolidat pentru utilizarea parteneriatelor public-privat strategice și pe termen lung</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93E179F" w14:textId="77777777" w:rsidR="00F53E3A" w:rsidRDefault="0036255F">
            <w:pPr>
              <w:pStyle w:val="P68B1DB1-Normal12"/>
              <w:spacing w:before="60" w:after="60"/>
              <w:rPr>
                <w:rFonts w:eastAsia="Times New Roman" w:cs="Times New Roman"/>
                <w:noProof/>
              </w:rPr>
            </w:pPr>
            <w:r>
              <w:rPr>
                <w:noProof/>
              </w:rPr>
              <w:t>Dispoziții care indică data de intrare în vigoare a modificărilor aduse:</w:t>
            </w:r>
          </w:p>
          <w:p w14:paraId="7758B470" w14:textId="77777777" w:rsidR="00F53E3A" w:rsidRDefault="0036255F">
            <w:pPr>
              <w:pStyle w:val="P68B1DB1-Normal12"/>
              <w:spacing w:before="60" w:after="60"/>
              <w:rPr>
                <w:rFonts w:eastAsia="Times New Roman" w:cs="Times New Roman"/>
                <w:noProof/>
              </w:rPr>
            </w:pPr>
            <w:r>
              <w:rPr>
                <w:noProof/>
              </w:rPr>
              <w:t>1) Legea privind investițiile,</w:t>
            </w:r>
          </w:p>
          <w:p w14:paraId="349A28B1" w14:textId="77777777" w:rsidR="00F53E3A" w:rsidRDefault="0036255F">
            <w:pPr>
              <w:pStyle w:val="P68B1DB1-Normal12"/>
              <w:spacing w:before="60" w:after="60"/>
              <w:rPr>
                <w:rFonts w:eastAsia="Times New Roman" w:cs="Times New Roman"/>
                <w:noProof/>
              </w:rPr>
            </w:pPr>
            <w:r>
              <w:rPr>
                <w:noProof/>
              </w:rPr>
              <w:t xml:space="preserve">2) Legea privind concesiunile; </w:t>
            </w:r>
          </w:p>
          <w:p w14:paraId="59768BB1" w14:textId="720E24F1" w:rsidR="00F53E3A" w:rsidRDefault="0036255F">
            <w:pPr>
              <w:pStyle w:val="P68B1DB1-Normal12"/>
              <w:spacing w:before="60" w:after="60"/>
              <w:rPr>
                <w:rFonts w:eastAsia="Times New Roman" w:cs="Times New Roman"/>
                <w:noProof/>
              </w:rPr>
            </w:pPr>
            <w:r>
              <w:rPr>
                <w:noProof/>
              </w:rPr>
              <w:t>3) Legea privind activele de stat și municipale și gestionarea acestora;</w:t>
            </w:r>
          </w:p>
          <w:p w14:paraId="18CCC198" w14:textId="532E99CA" w:rsidR="00F53E3A" w:rsidRDefault="0036255F">
            <w:pPr>
              <w:pStyle w:val="P68B1DB1-Normal12"/>
              <w:spacing w:before="60" w:after="60"/>
              <w:rPr>
                <w:rFonts w:eastAsia="Times New Roman" w:cs="Times New Roman"/>
                <w:noProof/>
              </w:rPr>
            </w:pPr>
            <w:r>
              <w:rPr>
                <w:noProof/>
              </w:rPr>
              <w:t xml:space="preserve">4) normele privind pregătirea și punerea în aplicare a parteneriatelor public-privat </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22BACD4" w14:textId="5C78F7AB"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091F4DD" w14:textId="589EBB01"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6BB6CD" w14:textId="5E46AE6F" w:rsidR="00F53E3A" w:rsidRDefault="00F53E3A">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150B242" w14:textId="472403E0" w:rsidR="00F53E3A" w:rsidRDefault="00DB2EC5">
            <w:pPr>
              <w:pStyle w:val="P68B1DB1-Normal12"/>
              <w:spacing w:before="60" w:after="60"/>
              <w:jc w:val="center"/>
              <w:rPr>
                <w:rFonts w:cs="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FD37B5F" w14:textId="1FC85219" w:rsidR="00F53E3A" w:rsidRDefault="0036255F">
            <w:pPr>
              <w:pStyle w:val="P68B1DB1-Normal12"/>
              <w:spacing w:before="60" w:after="60"/>
              <w:jc w:val="center"/>
              <w:rPr>
                <w:rFonts w:cs="Times New Roman"/>
                <w:noProof/>
              </w:rPr>
            </w:pPr>
            <w:r>
              <w:rPr>
                <w:noProof/>
              </w:rPr>
              <w:t>2023</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2F526E" w14:textId="0A4B118A" w:rsidR="00F53E3A" w:rsidRDefault="0036255F">
            <w:pPr>
              <w:pStyle w:val="P68B1DB1-Normal12"/>
              <w:spacing w:before="60" w:after="60"/>
              <w:jc w:val="both"/>
              <w:rPr>
                <w:rFonts w:cs="Times New Roman"/>
                <w:noProof/>
              </w:rPr>
            </w:pPr>
            <w:r>
              <w:rPr>
                <w:noProof/>
              </w:rPr>
              <w:t>Pachetul legislativ constând în modificări ale Legii privind investițiile, ale Legii privind concesiunile, ale Legii privind activele de stat și municipale și gestionarea acestora, precum și ale Normelor privind pregătirea și punerea în aplicare a parteneriatelor public-privat se bazează pe rezultatele unui studiu de fezabilitate privind posibilitățile de punere în aplicare a parteneriatelor public-privat în domeniul public și ținând seama de limitările fiscale.</w:t>
            </w:r>
          </w:p>
          <w:p w14:paraId="787A4F9A" w14:textId="77777777" w:rsidR="00F53E3A" w:rsidRDefault="0036255F">
            <w:pPr>
              <w:pStyle w:val="P68B1DB1-Normal12"/>
              <w:spacing w:before="60" w:after="60"/>
              <w:jc w:val="both"/>
              <w:rPr>
                <w:rFonts w:eastAsia="Times New Roman" w:cs="Times New Roman"/>
                <w:noProof/>
              </w:rPr>
            </w:pPr>
            <w:r>
              <w:rPr>
                <w:noProof/>
              </w:rPr>
              <w:t>Intrarea în vigoare a pachetului legislativ:</w:t>
            </w:r>
          </w:p>
          <w:p w14:paraId="074CBAB7" w14:textId="50D9EBD5" w:rsidR="00F53E3A" w:rsidRDefault="0036255F">
            <w:pPr>
              <w:pStyle w:val="P68B1DB1-Normal12"/>
              <w:spacing w:before="60" w:after="60"/>
              <w:jc w:val="both"/>
              <w:rPr>
                <w:rFonts w:eastAsia="Times New Roman" w:cs="Times New Roman"/>
                <w:noProof/>
              </w:rPr>
            </w:pPr>
            <w:r>
              <w:rPr>
                <w:noProof/>
              </w:rPr>
              <w:t>— să permită punerea în aplicare a parteneriatelor public-privat în domeniile cele mai importante din punct de vedere strategic, cum ar fi eficiența energetică, sursele regenerabile de energie, transportul durabil și domeniile cu cele mai mari nevoi de investiții, cum ar fi justiția, ordinea publică și siguranța publică;</w:t>
            </w:r>
          </w:p>
          <w:p w14:paraId="25A3A405" w14:textId="5339360D" w:rsidR="00F53E3A" w:rsidRDefault="0036255F">
            <w:pPr>
              <w:pStyle w:val="P68B1DB1-Normal12"/>
              <w:spacing w:before="60" w:after="60"/>
              <w:jc w:val="both"/>
              <w:rPr>
                <w:rFonts w:cs="Times New Roman"/>
                <w:noProof/>
              </w:rPr>
            </w:pPr>
            <w:r>
              <w:rPr>
                <w:noProof/>
              </w:rPr>
              <w:t>— va contribui la atragerea investitorilor privați în proiecte publice prin furnizarea de planuri de investiții durabile pe termen lung și prin dezvoltarea unor mecanisme echilibrate de alocare a riscurilor reciproc avantajoase.</w:t>
            </w:r>
          </w:p>
        </w:tc>
      </w:tr>
      <w:tr w:rsidR="00F53E3A" w14:paraId="36D01C0D" w14:textId="77777777" w:rsidTr="00744366">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D5F3793" w14:textId="03454E41" w:rsidR="00F53E3A" w:rsidRDefault="0036255F">
            <w:pPr>
              <w:pStyle w:val="P68B1DB1-Normal12"/>
              <w:spacing w:before="60" w:after="60"/>
              <w:jc w:val="center"/>
              <w:rPr>
                <w:rFonts w:cs="Times New Roman"/>
                <w:noProof/>
              </w:rPr>
            </w:pPr>
            <w:r>
              <w:rPr>
                <w:noProof/>
              </w:rPr>
              <w:t>154</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9A864D9" w14:textId="7A9A56E7" w:rsidR="00F53E3A" w:rsidRDefault="0036255F">
            <w:pPr>
              <w:spacing w:before="60" w:after="60"/>
              <w:rPr>
                <w:rFonts w:ascii="Times New Roman" w:hAnsi="Times New Roman"/>
                <w:noProof/>
                <w:sz w:val="20"/>
              </w:rPr>
            </w:pPr>
            <w:r>
              <w:rPr>
                <w:rStyle w:val="normaltextrun"/>
                <w:rFonts w:ascii="Times New Roman" w:hAnsi="Times New Roman"/>
                <w:noProof/>
                <w:sz w:val="20"/>
              </w:rPr>
              <w:t xml:space="preserve">F.1.3. Sustenabilitatea pe termen lung și transparența bugetului național — </w:t>
            </w:r>
          </w:p>
          <w:p w14:paraId="38E3D7AC" w14:textId="20BB39E2" w:rsidR="00F53E3A" w:rsidRDefault="0036255F">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F.1.3.5. Consolidarea instituțiilor naționale de dezvoltare</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7D5B016" w14:textId="77777777"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BD10438" w14:textId="68664248" w:rsidR="00F53E3A" w:rsidRDefault="0036255F">
            <w:pPr>
              <w:pStyle w:val="P68B1DB1-Normal12"/>
              <w:spacing w:before="60" w:after="60"/>
              <w:rPr>
                <w:rFonts w:eastAsia="Times New Roman" w:cs="Times New Roman"/>
                <w:noProof/>
              </w:rPr>
            </w:pPr>
            <w:r>
              <w:rPr>
                <w:noProof/>
              </w:rPr>
              <w:t>Intrarea în vigoare a rezoluției guvernului prin care se elimină statutul de instituție națională de dezvoltare pentru trei instituții și se lasă statutul de instituție unică</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C9BDC72" w14:textId="3609BF0A" w:rsidR="00F53E3A" w:rsidRDefault="0036255F">
            <w:pPr>
              <w:pStyle w:val="P68B1DB1-Normal12"/>
              <w:spacing w:before="60" w:after="60"/>
              <w:rPr>
                <w:rFonts w:eastAsia="Times New Roman" w:cs="Times New Roman"/>
                <w:noProof/>
              </w:rPr>
            </w:pPr>
            <w:r>
              <w:rPr>
                <w:noProof/>
              </w:rPr>
              <w:t>Rezoluție a guvernului prin care se elimină statutul instituțiilor naționale de dezvoltare pentru trei instituții și se lasă statutul la latitudinea unei singure instituții</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264BDE2" w14:textId="1ADD464A"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DD550FC" w14:textId="6165D65B"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B908AC5" w14:textId="749A601B" w:rsidR="00F53E3A" w:rsidRDefault="00F53E3A">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287C64" w14:textId="0F67F19A" w:rsidR="00F53E3A" w:rsidRDefault="00DB2EC5">
            <w:pPr>
              <w:pStyle w:val="P68B1DB1-Normal12"/>
              <w:spacing w:before="60" w:after="60"/>
              <w:jc w:val="center"/>
              <w:rPr>
                <w:rFonts w:cs="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338AD1E" w14:textId="77777777" w:rsidR="00F53E3A" w:rsidRDefault="0036255F">
            <w:pPr>
              <w:pStyle w:val="P68B1DB1-Normal12"/>
              <w:spacing w:before="60" w:after="60"/>
              <w:jc w:val="center"/>
              <w:rPr>
                <w:rFonts w:cs="Times New Roman"/>
                <w:noProof/>
              </w:rPr>
            </w:pPr>
            <w:r>
              <w:rPr>
                <w:noProof/>
              </w:rPr>
              <w:t>2023</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05638DB" w14:textId="436FB300" w:rsidR="00F53E3A" w:rsidRDefault="0036255F">
            <w:pPr>
              <w:pStyle w:val="P68B1DB1-Normal12"/>
              <w:spacing w:before="60" w:after="60"/>
              <w:jc w:val="both"/>
              <w:rPr>
                <w:rFonts w:cs="Times New Roman"/>
                <w:noProof/>
              </w:rPr>
            </w:pPr>
            <w:r>
              <w:rPr>
                <w:noProof/>
              </w:rPr>
              <w:t>Intrarea în vigoare a rezoluției guvernului de eliminare a statutului instituțiilor naționale de dezvoltare pentru trei instituții (Agenția de Stat pentru Gestionarea Investițiilor, Agenția de Dezvoltare a Investițiilor Publice și Fondul de Garantare a Creditelor Agricole) și lăsarea acestuia la latitudinea unei singure instituții (INVEGA). Obiectivul singurei instituții rămase cu statut de instituție națională de dezvoltare este de a concentra cunoștințele și competențele într-o singură instituție națională de promovare puternică, de a unifica și optimiza practicile operaționale ale instituțiilor naționale de promovare și gestionarea fondurilor, creând condiții prealabile pentru atragerea investitorilor instituționali, consolidarea parteneriatului public-privat și creșterea durabilă a ofertei de instrumente financiare pentru finanțarea proiectelor viabile din punct de vedere financiar.</w:t>
            </w:r>
          </w:p>
        </w:tc>
      </w:tr>
      <w:tr w:rsidR="00F53E3A" w14:paraId="7ED74FA0" w14:textId="77777777" w:rsidTr="00744366">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0733A90" w14:textId="70122BAF" w:rsidR="00F53E3A" w:rsidRDefault="0036255F">
            <w:pPr>
              <w:pStyle w:val="P68B1DB1-Normal12"/>
              <w:spacing w:before="60" w:after="60"/>
              <w:jc w:val="center"/>
              <w:rPr>
                <w:noProof/>
              </w:rPr>
            </w:pPr>
            <w:r>
              <w:rPr>
                <w:noProof/>
              </w:rPr>
              <w:t>154a</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96F5A99" w14:textId="6E3D6B19" w:rsidR="00F53E3A" w:rsidRDefault="0036255F">
            <w:pPr>
              <w:spacing w:before="60" w:after="60"/>
              <w:rPr>
                <w:rStyle w:val="normaltextrun"/>
                <w:rFonts w:ascii="Times New Roman" w:hAnsi="Times New Roman"/>
                <w:noProof/>
                <w:sz w:val="20"/>
              </w:rPr>
            </w:pPr>
            <w:r>
              <w:rPr>
                <w:rStyle w:val="normaltextrun"/>
                <w:rFonts w:ascii="Times New Roman" w:hAnsi="Times New Roman"/>
                <w:noProof/>
                <w:sz w:val="20"/>
              </w:rPr>
              <w:t xml:space="preserve">F.1.3. Sustenabilitatea pe termen lung și transparența bugetului național — </w:t>
            </w:r>
          </w:p>
          <w:p w14:paraId="0F9A889F" w14:textId="0E04CE69" w:rsidR="00F53E3A" w:rsidRDefault="0036255F">
            <w:pPr>
              <w:spacing w:before="60" w:after="60"/>
              <w:rPr>
                <w:rStyle w:val="normaltextrun"/>
                <w:rFonts w:ascii="Times New Roman" w:hAnsi="Times New Roman"/>
                <w:noProof/>
                <w:sz w:val="20"/>
              </w:rPr>
            </w:pPr>
            <w:r>
              <w:rPr>
                <w:rStyle w:val="normaltextrun"/>
                <w:rFonts w:ascii="Times New Roman" w:hAnsi="Times New Roman"/>
                <w:noProof/>
                <w:sz w:val="20"/>
              </w:rPr>
              <w:t>F.1.3.5. Consolidarea instituțiilor naționale de dezvoltare</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77FB3A" w14:textId="1A7863E1" w:rsidR="00F53E3A" w:rsidRDefault="0036255F">
            <w:pPr>
              <w:pStyle w:val="P68B1DB1-Normal12"/>
              <w:spacing w:before="60" w:after="60"/>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3EDB424" w14:textId="03534E64" w:rsidR="00F53E3A" w:rsidRDefault="0036255F">
            <w:pPr>
              <w:pStyle w:val="P68B1DB1-Normal12"/>
              <w:spacing w:before="60" w:after="60"/>
              <w:rPr>
                <w:noProof/>
              </w:rPr>
            </w:pPr>
            <w:r>
              <w:rPr>
                <w:noProof/>
              </w:rPr>
              <w:t>Politică de investiții</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249B46" w14:textId="710B040E" w:rsidR="00F53E3A" w:rsidRDefault="0036255F">
            <w:pPr>
              <w:pStyle w:val="P68B1DB1-Normal12"/>
              <w:spacing w:before="60" w:after="60"/>
              <w:rPr>
                <w:noProof/>
              </w:rPr>
            </w:pPr>
            <w:r>
              <w:rPr>
                <w:noProof/>
              </w:rPr>
              <w:t>Modificarea unei politici de investiții</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65B03C" w14:textId="77777777"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C26C58A" w14:textId="77777777"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750D82" w14:textId="77777777" w:rsidR="00F53E3A" w:rsidRDefault="00F53E3A">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3940DEA" w14:textId="6FFB5B53" w:rsidR="00F53E3A" w:rsidRDefault="00DB2EC5">
            <w:pPr>
              <w:pStyle w:val="P68B1DB1-Normal12"/>
              <w:spacing w:before="60" w:after="60"/>
              <w:jc w:val="center"/>
              <w:rPr>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1E6B41C" w14:textId="6139B3C1" w:rsidR="00F53E3A" w:rsidRDefault="0036255F">
            <w:pPr>
              <w:pStyle w:val="P68B1DB1-Normal12"/>
              <w:spacing w:before="60" w:after="60"/>
              <w:jc w:val="center"/>
              <w:rPr>
                <w:noProof/>
              </w:rPr>
            </w:pPr>
            <w:r>
              <w:rPr>
                <w:noProof/>
              </w:rPr>
              <w:t>2026</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EF5A51D" w14:textId="5BE1D7F7" w:rsidR="00F53E3A" w:rsidRDefault="0036255F">
            <w:pPr>
              <w:pStyle w:val="P68B1DB1-Normal13"/>
              <w:spacing w:after="0" w:line="240" w:lineRule="auto"/>
              <w:jc w:val="both"/>
              <w:rPr>
                <w:noProof/>
              </w:rPr>
            </w:pPr>
            <w:r>
              <w:rPr>
                <w:noProof/>
              </w:rPr>
              <w:t>Modificarea politicii de investiții pentru ILTE pentru utilizarea capitalului propriu suplimentar de 136 565 646 EUR.</w:t>
            </w:r>
          </w:p>
          <w:p w14:paraId="410BBBD8" w14:textId="53D9AC69" w:rsidR="00F53E3A" w:rsidRDefault="0036255F">
            <w:pPr>
              <w:pStyle w:val="EndnoteText"/>
              <w:jc w:val="both"/>
              <w:rPr>
                <w:rFonts w:ascii="Times New Roman" w:eastAsia="Times New Roman" w:hAnsi="Times New Roman" w:cs="Times New Roman"/>
                <w:noProof/>
              </w:rPr>
            </w:pPr>
            <w:r>
              <w:rPr>
                <w:rFonts w:ascii="Times New Roman" w:hAnsi="Times New Roman"/>
                <w:noProof/>
              </w:rPr>
              <w:t xml:space="preserve">Politica de investiții se asigură că 78 901 216 EUR din capitalul propriu suplimentar este dedicat sprijinirii investițiilor verzi strategice, aliniate la domeniile de intervenție cărora li s-a atribuit un coeficient climatic de 100 % în temeiul anexei VI la Regulamentul (UE) 2021/241, care </w:t>
            </w:r>
            <w:bookmarkStart w:id="14" w:name="_Hlk211363584"/>
            <w:r>
              <w:rPr>
                <w:rFonts w:ascii="Times New Roman" w:hAnsi="Times New Roman"/>
                <w:noProof/>
              </w:rPr>
              <w:t>pot include, dar nu se limitează la sprijin</w:t>
            </w:r>
            <w:bookmarkEnd w:id="14"/>
            <w:r>
              <w:rPr>
                <w:rFonts w:ascii="Times New Roman" w:hAnsi="Times New Roman"/>
                <w:noProof/>
              </w:rPr>
              <w:t xml:space="preserve"> pentru noi capacități de:</w:t>
            </w:r>
          </w:p>
          <w:p w14:paraId="0F64D831" w14:textId="6BD32C3E" w:rsidR="00F53E3A" w:rsidRDefault="0036255F">
            <w:pPr>
              <w:pStyle w:val="P68B1DB1-ListParagraph21"/>
              <w:numPr>
                <w:ilvl w:val="0"/>
                <w:numId w:val="43"/>
              </w:numPr>
              <w:spacing w:after="0" w:line="240" w:lineRule="auto"/>
              <w:ind w:left="335" w:hanging="320"/>
              <w:jc w:val="both"/>
              <w:rPr>
                <w:noProof/>
              </w:rPr>
            </w:pPr>
            <w:r>
              <w:rPr>
                <w:noProof/>
              </w:rPr>
              <w:t>renovarea fondului locativ existent în vederea creșterii eficienței energetice, proiecte demonstrative și măsuri de sprijin care respectă criteriile de eficiență energetică (025a) sau</w:t>
            </w:r>
          </w:p>
          <w:p w14:paraId="0003F016" w14:textId="22FAE63E" w:rsidR="00F53E3A" w:rsidRDefault="0036255F">
            <w:pPr>
              <w:pStyle w:val="P68B1DB1-ListParagraph21"/>
              <w:numPr>
                <w:ilvl w:val="0"/>
                <w:numId w:val="43"/>
              </w:numPr>
              <w:spacing w:after="0" w:line="240" w:lineRule="auto"/>
              <w:ind w:left="335" w:hanging="320"/>
              <w:jc w:val="both"/>
              <w:rPr>
                <w:noProof/>
              </w:rPr>
            </w:pPr>
            <w:r>
              <w:rPr>
                <w:noProof/>
              </w:rPr>
              <w:t>renovarea în vederea creșterii eficienței energetice sau măsuri de eficiență energetică privind infrastructura publică, proiecte demonstrative și măsuri de sprijin care respectă criteriile de eficiență energetică (026a) sau</w:t>
            </w:r>
          </w:p>
          <w:p w14:paraId="50A87E0E" w14:textId="0E5F98AA" w:rsidR="00F53E3A" w:rsidRDefault="0036255F">
            <w:pPr>
              <w:pStyle w:val="P68B1DB1-ListParagraph21"/>
              <w:numPr>
                <w:ilvl w:val="0"/>
                <w:numId w:val="43"/>
              </w:numPr>
              <w:spacing w:after="0" w:line="240" w:lineRule="auto"/>
              <w:ind w:left="335" w:hanging="320"/>
              <w:jc w:val="both"/>
              <w:rPr>
                <w:noProof/>
              </w:rPr>
            </w:pPr>
            <w:r>
              <w:rPr>
                <w:noProof/>
              </w:rPr>
              <w:t>procese de cercetare și inovare, transfer de tehnologie și cooperare între întreprinderi axate pe economia cu emisii scăzute de dioxid de carbon, reziliență și adaptarea la schimbările climatice (022) sau</w:t>
            </w:r>
          </w:p>
          <w:p w14:paraId="4DB2B714" w14:textId="047077D2" w:rsidR="00F53E3A" w:rsidRDefault="0036255F">
            <w:pPr>
              <w:pStyle w:val="P68B1DB1-ListParagraph21"/>
              <w:numPr>
                <w:ilvl w:val="0"/>
                <w:numId w:val="43"/>
              </w:numPr>
              <w:spacing w:after="0" w:line="240" w:lineRule="auto"/>
              <w:ind w:left="335" w:hanging="320"/>
              <w:jc w:val="both"/>
              <w:rPr>
                <w:noProof/>
              </w:rPr>
            </w:pPr>
            <w:r>
              <w:rPr>
                <w:noProof/>
              </w:rPr>
              <w:t>energie regenerabilă: vânt (028) sau</w:t>
            </w:r>
          </w:p>
          <w:p w14:paraId="2A985171" w14:textId="26AE037B" w:rsidR="00F53E3A" w:rsidRDefault="0036255F">
            <w:pPr>
              <w:pStyle w:val="P68B1DB1-ListParagraph21"/>
              <w:numPr>
                <w:ilvl w:val="0"/>
                <w:numId w:val="43"/>
              </w:numPr>
              <w:spacing w:after="0" w:line="240" w:lineRule="auto"/>
              <w:ind w:left="335" w:hanging="320"/>
              <w:jc w:val="both"/>
              <w:rPr>
                <w:noProof/>
              </w:rPr>
            </w:pPr>
            <w:r>
              <w:rPr>
                <w:noProof/>
              </w:rPr>
              <w:t>energie regenerabilă: energie solară (029).</w:t>
            </w:r>
          </w:p>
        </w:tc>
      </w:tr>
      <w:tr w:rsidR="00F53E3A" w14:paraId="14F4EC60" w14:textId="77777777" w:rsidTr="00744366">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B2D8A69" w14:textId="31F9DCCA" w:rsidR="00F53E3A" w:rsidRDefault="0036255F">
            <w:pPr>
              <w:pStyle w:val="P68B1DB1-Normal12"/>
              <w:spacing w:before="60" w:after="60"/>
              <w:jc w:val="center"/>
              <w:rPr>
                <w:noProof/>
              </w:rPr>
            </w:pPr>
            <w:r>
              <w:rPr>
                <w:noProof/>
              </w:rPr>
              <w:t>154b</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47D8DC6" w14:textId="5021EA1D" w:rsidR="00F53E3A" w:rsidRDefault="0036255F">
            <w:pPr>
              <w:spacing w:before="60" w:after="60"/>
              <w:rPr>
                <w:rStyle w:val="normaltextrun"/>
                <w:rFonts w:ascii="Times New Roman" w:hAnsi="Times New Roman"/>
                <w:noProof/>
                <w:sz w:val="20"/>
              </w:rPr>
            </w:pPr>
            <w:r>
              <w:rPr>
                <w:rStyle w:val="normaltextrun"/>
                <w:rFonts w:ascii="Times New Roman" w:hAnsi="Times New Roman"/>
                <w:noProof/>
                <w:sz w:val="20"/>
              </w:rPr>
              <w:t xml:space="preserve">F.1.3. Sustenabilitatea pe termen lung și transparența bugetului național — </w:t>
            </w:r>
          </w:p>
          <w:p w14:paraId="5D23B49C" w14:textId="4542888E" w:rsidR="00F53E3A" w:rsidRDefault="0036255F">
            <w:pPr>
              <w:spacing w:before="60" w:after="60"/>
              <w:rPr>
                <w:rStyle w:val="normaltextrun"/>
                <w:rFonts w:ascii="Times New Roman" w:hAnsi="Times New Roman"/>
                <w:noProof/>
                <w:sz w:val="20"/>
              </w:rPr>
            </w:pPr>
            <w:r>
              <w:rPr>
                <w:rStyle w:val="normaltextrun"/>
                <w:rFonts w:ascii="Times New Roman" w:hAnsi="Times New Roman"/>
                <w:noProof/>
                <w:sz w:val="20"/>
              </w:rPr>
              <w:t>F.1.3.5. Consolidarea instituțiilor naționale de dezvoltare</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DD4B60A" w14:textId="207AC1B8" w:rsidR="00F53E3A" w:rsidRDefault="0036255F">
            <w:pPr>
              <w:pStyle w:val="P68B1DB1-Normal12"/>
              <w:spacing w:before="60" w:after="60"/>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45870A8" w14:textId="7852ED3D" w:rsidR="00F53E3A" w:rsidRDefault="0036255F">
            <w:pPr>
              <w:pStyle w:val="P68B1DB1-Normal12"/>
              <w:spacing w:before="60" w:after="60"/>
              <w:rPr>
                <w:noProof/>
              </w:rPr>
            </w:pPr>
            <w:r>
              <w:rPr>
                <w:noProof/>
              </w:rPr>
              <w:t>Injecție de capital</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FE69A65" w14:textId="3838F5AC" w:rsidR="00F53E3A" w:rsidRDefault="0036255F">
            <w:pPr>
              <w:pStyle w:val="P68B1DB1-Normal12"/>
              <w:spacing w:before="60" w:after="60"/>
              <w:rPr>
                <w:noProof/>
              </w:rPr>
            </w:pPr>
            <w:r>
              <w:rPr>
                <w:noProof/>
              </w:rPr>
              <w:t>Certificatul de transfer</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CBE0BD3" w14:textId="77777777"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1D896AA" w14:textId="77777777"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D18B8B9" w14:textId="77777777" w:rsidR="00F53E3A" w:rsidRDefault="00F53E3A">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8735732" w14:textId="749D3CC9" w:rsidR="00F53E3A" w:rsidRDefault="00DB2EC5">
            <w:pPr>
              <w:pStyle w:val="P68B1DB1-Normal12"/>
              <w:spacing w:before="60" w:after="60"/>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BE4BF4D" w14:textId="47412052" w:rsidR="00F53E3A" w:rsidRDefault="0036255F">
            <w:pPr>
              <w:pStyle w:val="P68B1DB1-Normal12"/>
              <w:spacing w:before="60" w:after="60"/>
              <w:jc w:val="center"/>
              <w:rPr>
                <w:noProof/>
              </w:rPr>
            </w:pPr>
            <w:r>
              <w:rPr>
                <w:noProof/>
              </w:rPr>
              <w:t>2026</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B7AE836" w14:textId="1D657431" w:rsidR="00F53E3A" w:rsidRDefault="0036255F">
            <w:pPr>
              <w:pStyle w:val="P68B1DB1-Normal12"/>
              <w:spacing w:line="240" w:lineRule="auto"/>
              <w:jc w:val="both"/>
              <w:rPr>
                <w:rFonts w:eastAsia="Times New Roman" w:cs="Times New Roman"/>
                <w:noProof/>
              </w:rPr>
            </w:pPr>
            <w:r>
              <w:rPr>
                <w:noProof/>
              </w:rPr>
              <w:t>Lituania transferă 136 565 646 EUR către ILTE pentru a-și majora capitalul propriu.</w:t>
            </w:r>
          </w:p>
          <w:p w14:paraId="218BD846" w14:textId="3F670CC4" w:rsidR="00F53E3A" w:rsidRDefault="0036255F">
            <w:pPr>
              <w:pStyle w:val="P68B1DB1-Normal13"/>
              <w:spacing w:before="60" w:after="60"/>
              <w:jc w:val="both"/>
              <w:rPr>
                <w:noProof/>
              </w:rPr>
            </w:pPr>
            <w:r>
              <w:rPr>
                <w:noProof/>
              </w:rPr>
              <w:t>Pe lângă injecția de capital în ILTE, care constituie investiția din MRR, Lituania transmite, până la 31 august 2026, un raport în care prezintă acțiunile întreprinse de ILTE pentru a pune în aplicare politica de investiții, inclusiv măsurile luate pentru punerea în aplicare a produselor financiare pe care se preconizează că le va sprijini inițial capitalul propriu suplimentar, precum și măsurile preconizate care urmează să fie luate pentru executarea în continuare a produselor respective.</w:t>
            </w:r>
          </w:p>
        </w:tc>
      </w:tr>
      <w:tr w:rsidR="00F53E3A" w14:paraId="23F27E4D" w14:textId="77777777" w:rsidTr="00744366">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8D0E72D" w14:textId="77777777" w:rsidR="00F53E3A" w:rsidRDefault="0036255F">
            <w:pPr>
              <w:pStyle w:val="P68B1DB1-Normal12"/>
              <w:spacing w:before="60" w:after="60"/>
              <w:jc w:val="center"/>
              <w:rPr>
                <w:rFonts w:cs="Times New Roman"/>
                <w:noProof/>
              </w:rPr>
            </w:pPr>
            <w:r>
              <w:rPr>
                <w:noProof/>
              </w:rPr>
              <w:t>155</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61C706" w14:textId="60530D12" w:rsidR="00F53E3A" w:rsidRDefault="0036255F">
            <w:pPr>
              <w:pStyle w:val="P68B1DB1-Normal12"/>
              <w:spacing w:before="60" w:after="60"/>
              <w:rPr>
                <w:noProof/>
              </w:rPr>
            </w:pPr>
            <w:r>
              <w:rPr>
                <w:noProof/>
              </w:rPr>
              <w:t xml:space="preserve">F.1.4. Îmbunătățirea respectării obligațiilor fiscale — </w:t>
            </w:r>
          </w:p>
          <w:p w14:paraId="31419BFD" w14:textId="5340F773" w:rsidR="00F53E3A" w:rsidRDefault="0036255F">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F.1.4.1. Mai multă transparență în comerțul cu vehicule rulate</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D0A0F4E" w14:textId="77777777"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F9E75F" w14:textId="77777777" w:rsidR="00F53E3A" w:rsidRDefault="0036255F">
            <w:pPr>
              <w:pStyle w:val="P68B1DB1-Normal12"/>
              <w:spacing w:before="60" w:after="60"/>
              <w:rPr>
                <w:rFonts w:eastAsia="Times New Roman" w:cs="Times New Roman"/>
                <w:noProof/>
              </w:rPr>
            </w:pPr>
            <w:r>
              <w:rPr>
                <w:noProof/>
              </w:rPr>
              <w:t>Inspectoratul fiscal de stat și autoritățile vamale obțin date privind proprietarii de vehicule din sistemul contabil al proprietarilor de vehicule</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F2DFEA8" w14:textId="77777777" w:rsidR="00F53E3A" w:rsidRDefault="0036255F">
            <w:pPr>
              <w:pStyle w:val="P68B1DB1-Normal12"/>
              <w:spacing w:before="60" w:after="60"/>
              <w:rPr>
                <w:rFonts w:cs="Times New Roman"/>
                <w:noProof/>
              </w:rPr>
            </w:pPr>
            <w:r>
              <w:rPr>
                <w:noProof/>
              </w:rPr>
              <w:t>Inspectoratul fiscal de stat și autoritățile vamale au acces la datele privind proprietarii de vehicule din sistemul contabil al proprietarilor de vehicule</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8F3006" w14:textId="7B64B0E9"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322A7A" w14:textId="2B6C78D8"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944B0F" w14:textId="35DE4792" w:rsidR="00F53E3A" w:rsidRDefault="00F53E3A">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11055E3" w14:textId="45FA9F68" w:rsidR="00F53E3A" w:rsidRDefault="00DB2EC5">
            <w:pPr>
              <w:pStyle w:val="P68B1DB1-Normal12"/>
              <w:spacing w:before="60" w:after="60"/>
              <w:jc w:val="center"/>
              <w:rPr>
                <w:rFonts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BBE4B2" w14:textId="77777777" w:rsidR="00F53E3A" w:rsidRDefault="0036255F">
            <w:pPr>
              <w:pStyle w:val="P68B1DB1-Normal12"/>
              <w:spacing w:before="60" w:after="60"/>
              <w:jc w:val="center"/>
              <w:rPr>
                <w:rFonts w:cs="Times New Roman"/>
                <w:noProof/>
              </w:rPr>
            </w:pPr>
            <w:r>
              <w:rPr>
                <w:noProof/>
              </w:rPr>
              <w:t>2021</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54144A0" w14:textId="77777777" w:rsidR="00F53E3A" w:rsidRDefault="0036255F">
            <w:pPr>
              <w:pStyle w:val="P68B1DB1-Normal12"/>
              <w:spacing w:before="60" w:after="60"/>
              <w:jc w:val="both"/>
              <w:rPr>
                <w:rFonts w:eastAsia="Times New Roman" w:cs="Times New Roman"/>
                <w:noProof/>
              </w:rPr>
            </w:pPr>
            <w:r>
              <w:rPr>
                <w:noProof/>
              </w:rPr>
              <w:t>Odată cu intrarea în vigoare a modificărilor aduse Legii privind siguranța rutieră și legislației de punere în aplicare a acesteia, a fost introdus un sistem de conturi ale proprietarilor de vehicule pentru a identifica adevărații (revânzători) și proprietarii de vehicule și pentru a se asigura că obligațiile lor fiscale sunt îndeplinite. Accesul la datele din sistemul contabil al proprietarilor de vehicule a fost asigurat.</w:t>
            </w:r>
          </w:p>
        </w:tc>
      </w:tr>
      <w:tr w:rsidR="00F53E3A" w14:paraId="681455A2" w14:textId="77777777" w:rsidTr="00744366">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8E41116" w14:textId="77777777" w:rsidR="00F53E3A" w:rsidRDefault="0036255F">
            <w:pPr>
              <w:pStyle w:val="P68B1DB1-Normal12"/>
              <w:spacing w:before="60" w:after="60"/>
              <w:jc w:val="center"/>
              <w:rPr>
                <w:rFonts w:cs="Times New Roman"/>
                <w:noProof/>
              </w:rPr>
            </w:pPr>
            <w:r>
              <w:rPr>
                <w:noProof/>
              </w:rPr>
              <w:t>156</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AAC040F" w14:textId="7F1B3EB1" w:rsidR="00F53E3A" w:rsidRDefault="0036255F">
            <w:pPr>
              <w:pStyle w:val="P68B1DB1-Normal12"/>
              <w:spacing w:before="60" w:after="60"/>
              <w:rPr>
                <w:noProof/>
              </w:rPr>
            </w:pPr>
            <w:r>
              <w:rPr>
                <w:noProof/>
              </w:rPr>
              <w:t xml:space="preserve">F.1.4. Îmbunătățirea respectării obligațiilor fiscale — </w:t>
            </w:r>
          </w:p>
          <w:p w14:paraId="50704CE9" w14:textId="2A8CE7F9" w:rsidR="00F53E3A" w:rsidRDefault="0036255F">
            <w:pPr>
              <w:spacing w:before="60" w:after="60"/>
              <w:rPr>
                <w:rFonts w:ascii="Times New Roman" w:hAnsi="Times New Roman" w:cs="Times New Roman"/>
                <w:noProof/>
                <w:sz w:val="20"/>
              </w:rPr>
            </w:pPr>
            <w:r>
              <w:rPr>
                <w:rStyle w:val="normaltextrun"/>
                <w:rFonts w:ascii="Times New Roman" w:hAnsi="Times New Roman"/>
                <w:noProof/>
                <w:sz w:val="20"/>
              </w:rPr>
              <w:t>F.1.4.2. Impozitarea echitabilă a activităților economice online</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F437144" w14:textId="77777777"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95D29C0" w14:textId="77777777" w:rsidR="00F53E3A" w:rsidRDefault="0036255F">
            <w:pPr>
              <w:pStyle w:val="P68B1DB1-Normal12"/>
              <w:spacing w:before="60" w:after="60"/>
              <w:rPr>
                <w:rFonts w:cs="Times New Roman"/>
                <w:noProof/>
              </w:rPr>
            </w:pPr>
            <w:r>
              <w:rPr>
                <w:noProof/>
              </w:rPr>
              <w:t xml:space="preserve">Intrarea în vigoare a cerinței legale ca operatorii platformelor online să colecteze și să raporteze autorităților fiscale date privind tranzacțiile efectuate pe platformele online </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61781E4" w14:textId="77777777" w:rsidR="00F53E3A" w:rsidRDefault="0036255F">
            <w:pPr>
              <w:pStyle w:val="P68B1DB1-Normal12"/>
              <w:spacing w:before="60" w:after="60"/>
              <w:rPr>
                <w:rFonts w:cs="Times New Roman"/>
                <w:noProof/>
              </w:rPr>
            </w:pPr>
            <w:r>
              <w:rPr>
                <w:noProof/>
              </w:rPr>
              <w:t>Dispoziție legală care indică intrarea în vigoare a obligației legale a operatorilor de platforme de a furniza informații Inspecției Fiscale de Stat</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EDEEB2F" w14:textId="011BA00F"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F13E5F" w14:textId="1E781DCA"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F28341" w14:textId="60E3CE8F" w:rsidR="00F53E3A" w:rsidRDefault="00F53E3A">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7A205B2" w14:textId="1BAFECC2" w:rsidR="00F53E3A" w:rsidRDefault="00DB2EC5">
            <w:pPr>
              <w:pStyle w:val="P68B1DB1-Normal12"/>
              <w:spacing w:before="60" w:after="60"/>
              <w:jc w:val="center"/>
              <w:rPr>
                <w:rFonts w:cs="Times New Roman"/>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DC1302A" w14:textId="77777777" w:rsidR="00F53E3A" w:rsidRDefault="0036255F">
            <w:pPr>
              <w:pStyle w:val="P68B1DB1-Normal12"/>
              <w:spacing w:before="60" w:after="60"/>
              <w:jc w:val="center"/>
              <w:rPr>
                <w:rFonts w:cs="Times New Roman"/>
                <w:noProof/>
              </w:rPr>
            </w:pPr>
            <w:r>
              <w:rPr>
                <w:noProof/>
              </w:rPr>
              <w:t>2023</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61A56F" w14:textId="77777777" w:rsidR="00F53E3A" w:rsidRDefault="0036255F">
            <w:pPr>
              <w:pStyle w:val="P68B1DB1-Normal12"/>
              <w:spacing w:before="60" w:after="60"/>
              <w:jc w:val="both"/>
              <w:rPr>
                <w:rFonts w:cs="Times New Roman"/>
                <w:noProof/>
              </w:rPr>
            </w:pPr>
            <w:r>
              <w:rPr>
                <w:noProof/>
              </w:rPr>
              <w:t>Noile dispoziții legale din Legea privind administrarea fiscală vor fi adoptate și vor intra în vigoare. Operațiunile platformelor online sunt obligate să colecteze și să raporteze autorităților fiscale date privind tranzacțiile efectuate pe platformele online până la data de 31 ianuarie a anului următor anului calendaristic la care se referă informațiile.</w:t>
            </w:r>
          </w:p>
        </w:tc>
      </w:tr>
      <w:tr w:rsidR="00F53E3A" w14:paraId="08BC1D0A" w14:textId="77777777" w:rsidTr="00744366">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F261E89" w14:textId="77777777" w:rsidR="00F53E3A" w:rsidRDefault="0036255F">
            <w:pPr>
              <w:pStyle w:val="P68B1DB1-Normal12"/>
              <w:spacing w:before="60" w:after="60"/>
              <w:jc w:val="center"/>
              <w:rPr>
                <w:rFonts w:cs="Times New Roman"/>
                <w:noProof/>
              </w:rPr>
            </w:pPr>
            <w:r>
              <w:rPr>
                <w:noProof/>
              </w:rPr>
              <w:t>157</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2C1B5C0" w14:textId="0C556C65" w:rsidR="00F53E3A" w:rsidRDefault="0036255F">
            <w:pPr>
              <w:pStyle w:val="P68B1DB1-Normal12"/>
              <w:spacing w:before="60" w:after="60"/>
              <w:rPr>
                <w:noProof/>
              </w:rPr>
            </w:pPr>
            <w:r>
              <w:rPr>
                <w:noProof/>
              </w:rPr>
              <w:t xml:space="preserve">F.1.4. Îmbunătățirea respectării obligațiilor fiscale — </w:t>
            </w:r>
          </w:p>
          <w:p w14:paraId="246E632F" w14:textId="24CEF60A" w:rsidR="00F53E3A" w:rsidRDefault="0036255F">
            <w:pPr>
              <w:spacing w:before="60" w:after="60"/>
              <w:rPr>
                <w:rFonts w:ascii="Times New Roman" w:hAnsi="Times New Roman" w:cs="Times New Roman"/>
                <w:noProof/>
                <w:sz w:val="20"/>
              </w:rPr>
            </w:pPr>
            <w:r>
              <w:rPr>
                <w:rStyle w:val="normaltextrun"/>
                <w:rFonts w:ascii="Times New Roman" w:hAnsi="Times New Roman"/>
                <w:noProof/>
                <w:sz w:val="20"/>
              </w:rPr>
              <w:t>F.1.4.2. Impozitarea echitabilă a activităților economice online</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9DFCDD4" w14:textId="77777777"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9E809FE" w14:textId="77777777" w:rsidR="00F53E3A" w:rsidRDefault="0036255F">
            <w:pPr>
              <w:pStyle w:val="P68B1DB1-Normal12"/>
              <w:spacing w:before="60" w:after="60"/>
              <w:rPr>
                <w:rFonts w:cs="Times New Roman"/>
                <w:noProof/>
              </w:rPr>
            </w:pPr>
            <w:r>
              <w:rPr>
                <w:noProof/>
              </w:rPr>
              <w:t>Inspectoratul fiscal de stat primește date detaliate privind tranzacțiile executate pe platformele online</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5D43628" w14:textId="54DB6B3C" w:rsidR="00F53E3A" w:rsidRDefault="0036255F">
            <w:pPr>
              <w:pStyle w:val="P68B1DB1-Normal12"/>
              <w:spacing w:before="60" w:after="60"/>
              <w:rPr>
                <w:rFonts w:cs="Times New Roman"/>
                <w:noProof/>
              </w:rPr>
            </w:pPr>
            <w:r>
              <w:rPr>
                <w:noProof/>
              </w:rPr>
              <w:t>Inspectoratul fiscal de stat primește date detaliate privind tranzacțiile executate pe platformele online</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92E710D" w14:textId="2AF3EEE3"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5B3D55D" w14:textId="21754565"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F0D423B" w14:textId="239EE2F3" w:rsidR="00F53E3A" w:rsidRDefault="00F53E3A">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B28536" w14:textId="6242796B" w:rsidR="00F53E3A" w:rsidRDefault="00DB2EC5">
            <w:pPr>
              <w:pStyle w:val="P68B1DB1-Normal12"/>
              <w:spacing w:before="60" w:after="60"/>
              <w:jc w:val="center"/>
              <w:rPr>
                <w:rFonts w:cs="Times New Roman"/>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DAD2FCC" w14:textId="77777777" w:rsidR="00F53E3A" w:rsidRDefault="0036255F">
            <w:pPr>
              <w:pStyle w:val="P68B1DB1-Normal12"/>
              <w:spacing w:before="60" w:after="60"/>
              <w:jc w:val="center"/>
              <w:rPr>
                <w:rFonts w:cs="Times New Roman"/>
                <w:noProof/>
              </w:rPr>
            </w:pPr>
            <w:r>
              <w:rPr>
                <w:noProof/>
              </w:rPr>
              <w:t>2024</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80F9460" w14:textId="77777777" w:rsidR="00F53E3A" w:rsidRDefault="0036255F">
            <w:pPr>
              <w:pStyle w:val="P68B1DB1-Normal12"/>
              <w:spacing w:before="60" w:after="60"/>
              <w:jc w:val="both"/>
              <w:rPr>
                <w:rFonts w:cs="Times New Roman"/>
                <w:noProof/>
              </w:rPr>
            </w:pPr>
            <w:r>
              <w:rPr>
                <w:noProof/>
              </w:rPr>
              <w:t>Inspectoratul Fiscal de Stat va obține date detaliate privind tranzacțiile efectuate de contribuabili pe platformele online în anul 2023.</w:t>
            </w:r>
          </w:p>
        </w:tc>
      </w:tr>
      <w:tr w:rsidR="00F53E3A" w14:paraId="0B69CC2C" w14:textId="77777777" w:rsidTr="00744366">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3B2CD58" w14:textId="77777777" w:rsidR="00F53E3A" w:rsidRDefault="0036255F">
            <w:pPr>
              <w:pStyle w:val="P68B1DB1-Normal12"/>
              <w:spacing w:before="60" w:after="60"/>
              <w:jc w:val="center"/>
              <w:rPr>
                <w:rFonts w:cs="Times New Roman"/>
                <w:noProof/>
              </w:rPr>
            </w:pPr>
            <w:r>
              <w:rPr>
                <w:noProof/>
              </w:rPr>
              <w:t>158</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C796DFE" w14:textId="34CFFF96" w:rsidR="00F53E3A" w:rsidRDefault="0036255F">
            <w:pPr>
              <w:pStyle w:val="P68B1DB1-Normal12"/>
              <w:spacing w:before="60" w:after="60"/>
              <w:rPr>
                <w:noProof/>
              </w:rPr>
            </w:pPr>
            <w:r>
              <w:rPr>
                <w:noProof/>
              </w:rPr>
              <w:t xml:space="preserve">F.1.4. Îmbunătățirea respectării obligațiilor fiscale — </w:t>
            </w:r>
          </w:p>
          <w:p w14:paraId="6D7C7219" w14:textId="442C244D" w:rsidR="00F53E3A" w:rsidRDefault="0036255F">
            <w:pPr>
              <w:pStyle w:val="P68B1DB1-Normal12"/>
              <w:spacing w:before="60" w:after="60"/>
              <w:rPr>
                <w:rFonts w:cs="Times New Roman"/>
                <w:noProof/>
              </w:rPr>
            </w:pPr>
            <w:r>
              <w:rPr>
                <w:noProof/>
              </w:rPr>
              <w:t>F.1.4.3. Limitarea utilizării numerarului</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A320DB6" w14:textId="77777777"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D44D6DC" w14:textId="77777777" w:rsidR="00F53E3A" w:rsidRDefault="0036255F">
            <w:pPr>
              <w:pStyle w:val="P68B1DB1-Normal12"/>
              <w:spacing w:before="60" w:after="60"/>
              <w:rPr>
                <w:rFonts w:eastAsiaTheme="minorEastAsia" w:cs="Times New Roman"/>
                <w:noProof/>
              </w:rPr>
            </w:pPr>
            <w:r>
              <w:rPr>
                <w:noProof/>
              </w:rPr>
              <w:t>Intrarea în vigoare a legislației care limitează plățile în numerar în sectoarele economice riscante și/sau tipurile individuale de tranzacții</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4F3844C" w14:textId="77777777" w:rsidR="00F53E3A" w:rsidRDefault="0036255F">
            <w:pPr>
              <w:pStyle w:val="P68B1DB1-Normal12"/>
              <w:spacing w:before="60" w:after="60"/>
              <w:rPr>
                <w:rFonts w:cs="Times New Roman"/>
                <w:noProof/>
              </w:rPr>
            </w:pPr>
            <w:r>
              <w:rPr>
                <w:noProof/>
              </w:rPr>
              <w:t>Dispoziție legală care indică intrarea în vigoare a dispozițiilor legislative care introduc restricții privind plățile în numerar în sectoarele economice riscante și/sau pentru tipurile individuale de plăți</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D27314C" w14:textId="160E6264"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39B1AB6" w14:textId="79142CFA"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05C7363" w14:textId="08E94BF8" w:rsidR="00F53E3A" w:rsidRDefault="00F53E3A">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5C36A71" w14:textId="6B3B0463" w:rsidR="00F53E3A" w:rsidRDefault="00DB2EC5">
            <w:pPr>
              <w:pStyle w:val="P68B1DB1-Normal12"/>
              <w:spacing w:before="60" w:after="60"/>
              <w:jc w:val="center"/>
              <w:rPr>
                <w:rFonts w:cs="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4D743D9" w14:textId="77777777" w:rsidR="00F53E3A" w:rsidRDefault="0036255F">
            <w:pPr>
              <w:pStyle w:val="P68B1DB1-Normal12"/>
              <w:spacing w:before="60" w:after="60"/>
              <w:jc w:val="center"/>
              <w:rPr>
                <w:rFonts w:cs="Times New Roman"/>
                <w:noProof/>
              </w:rPr>
            </w:pPr>
            <w:r>
              <w:rPr>
                <w:noProof/>
              </w:rPr>
              <w:t>2022</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152AAA7" w14:textId="77777777" w:rsidR="00F53E3A" w:rsidRDefault="0036255F">
            <w:pPr>
              <w:pStyle w:val="P68B1DB1-Normal12"/>
              <w:spacing w:before="60" w:after="60"/>
              <w:jc w:val="both"/>
              <w:rPr>
                <w:rFonts w:eastAsiaTheme="minorEastAsia" w:cs="Times New Roman"/>
                <w:noProof/>
              </w:rPr>
            </w:pPr>
            <w:r>
              <w:rPr>
                <w:noProof/>
              </w:rPr>
              <w:t>Pe baza analizei Ministerului Finanțelor, intră în vigoare legislația care introduce restricții privind plățile în numerar în sectoarele economice riscante și/sau pentru tipurile individuale de tranzacții. Aceste modificări reduc posibilitățile întreprinderilor și ale persoanelor fizice de a-și ascunde veniturile.</w:t>
            </w:r>
          </w:p>
        </w:tc>
      </w:tr>
      <w:tr w:rsidR="00F53E3A" w14:paraId="5AC62ED2" w14:textId="77777777" w:rsidTr="00744366">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4CA5F11" w14:textId="34C6F17D" w:rsidR="00F53E3A" w:rsidRDefault="0036255F">
            <w:pPr>
              <w:pStyle w:val="P68B1DB1-Normal12"/>
              <w:spacing w:before="60" w:after="60"/>
              <w:jc w:val="center"/>
              <w:rPr>
                <w:rFonts w:cs="Times New Roman"/>
                <w:noProof/>
              </w:rPr>
            </w:pPr>
            <w:r>
              <w:rPr>
                <w:noProof/>
              </w:rPr>
              <w:t>159</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B98AFEA" w14:textId="3EB78059" w:rsidR="00F53E3A" w:rsidRDefault="0036255F">
            <w:pPr>
              <w:pStyle w:val="P68B1DB1-Normal12"/>
              <w:spacing w:before="60" w:after="60"/>
              <w:rPr>
                <w:noProof/>
              </w:rPr>
            </w:pPr>
            <w:r>
              <w:rPr>
                <w:noProof/>
              </w:rPr>
              <w:t xml:space="preserve">F.1.4. Îmbunătățirea respectării obligațiilor fiscale — </w:t>
            </w:r>
          </w:p>
          <w:p w14:paraId="12ADFA07" w14:textId="19F0F2A0" w:rsidR="00F53E3A" w:rsidRDefault="0036255F">
            <w:pPr>
              <w:pStyle w:val="P68B1DB1-Normal12"/>
              <w:spacing w:before="60" w:after="60"/>
              <w:rPr>
                <w:rFonts w:cs="Times New Roman"/>
                <w:noProof/>
              </w:rPr>
            </w:pPr>
            <w:r>
              <w:rPr>
                <w:noProof/>
              </w:rPr>
              <w:t>F.1.4.4. Educarea viitorilor contribuabili în domeniul fiscal</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75D92EB" w14:textId="77777777" w:rsidR="00F53E3A" w:rsidRDefault="0036255F">
            <w:pPr>
              <w:pStyle w:val="P68B1DB1-Normal12"/>
              <w:spacing w:before="60" w:after="60"/>
              <w:jc w:val="center"/>
              <w:rPr>
                <w:rFonts w:cs="Times New Roman"/>
                <w:noProof/>
              </w:rPr>
            </w:pPr>
            <w:r>
              <w:rPr>
                <w:noProof/>
              </w:rPr>
              <w:t>Țintă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BDA19F0" w14:textId="403FA6C9" w:rsidR="00F53E3A" w:rsidRDefault="0036255F">
            <w:pPr>
              <w:pStyle w:val="P68B1DB1-Normal12"/>
              <w:spacing w:before="60" w:after="60"/>
              <w:rPr>
                <w:rFonts w:cs="Times New Roman"/>
                <w:noProof/>
              </w:rPr>
            </w:pPr>
            <w:r>
              <w:rPr>
                <w:noProof/>
              </w:rPr>
              <w:t>Numărul de carduri electronice ale elevului cu funcție de plată emise.</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21DA7E" w14:textId="09807931" w:rsidR="00F53E3A" w:rsidRDefault="00F53E3A">
            <w:pPr>
              <w:spacing w:before="60" w:after="60"/>
              <w:rPr>
                <w:rFonts w:ascii="Times New Roman" w:eastAsia="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C7C022" w14:textId="77777777" w:rsidR="00F53E3A" w:rsidRDefault="0036255F">
            <w:pPr>
              <w:pStyle w:val="P68B1DB1-Normal12"/>
              <w:spacing w:before="60" w:after="60"/>
              <w:jc w:val="center"/>
              <w:rPr>
                <w:rFonts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422A036" w14:textId="776B2CC3" w:rsidR="00F53E3A" w:rsidRDefault="0036255F">
            <w:pPr>
              <w:pStyle w:val="P68B1DB1-Normal12"/>
              <w:spacing w:before="60" w:after="60"/>
              <w:jc w:val="center"/>
              <w:rPr>
                <w:rFonts w:cs="Times New Roman"/>
                <w:noProof/>
              </w:rPr>
            </w:pPr>
            <w:r>
              <w:rPr>
                <w:noProof/>
              </w:rPr>
              <w:t>12 900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F68F283" w14:textId="581FCCFB" w:rsidR="00F53E3A" w:rsidRDefault="0036255F">
            <w:pPr>
              <w:pStyle w:val="P68B1DB1-Normal12"/>
              <w:spacing w:before="60" w:after="60"/>
              <w:jc w:val="center"/>
              <w:rPr>
                <w:rFonts w:cs="Times New Roman"/>
                <w:noProof/>
              </w:rPr>
            </w:pPr>
            <w:r>
              <w:rPr>
                <w:noProof/>
              </w:rPr>
              <w:t>90 000</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2C5C97" w14:textId="2811B243" w:rsidR="00F53E3A" w:rsidRDefault="00DB2EC5">
            <w:pPr>
              <w:pStyle w:val="P68B1DB1-Normal12"/>
              <w:spacing w:before="60" w:after="60"/>
              <w:jc w:val="center"/>
              <w:rPr>
                <w:rFonts w:cs="Times New Roman"/>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8E8CDE5" w14:textId="1F01CCAA" w:rsidR="00F53E3A" w:rsidRDefault="0036255F">
            <w:pPr>
              <w:pStyle w:val="P68B1DB1-Normal12"/>
              <w:spacing w:before="60" w:after="60"/>
              <w:jc w:val="center"/>
              <w:rPr>
                <w:rFonts w:cs="Times New Roman"/>
                <w:noProof/>
              </w:rPr>
            </w:pPr>
            <w:r>
              <w:rPr>
                <w:noProof/>
              </w:rPr>
              <w:t>2024</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2F9725" w14:textId="64EE3D0B" w:rsidR="00F53E3A" w:rsidRDefault="0036255F">
            <w:pPr>
              <w:pStyle w:val="P68B1DB1-Normal12"/>
              <w:spacing w:before="60" w:after="60"/>
              <w:jc w:val="both"/>
              <w:rPr>
                <w:rFonts w:eastAsiaTheme="minorEastAsia" w:cs="Times New Roman"/>
                <w:noProof/>
              </w:rPr>
            </w:pPr>
            <w:r>
              <w:rPr>
                <w:noProof/>
              </w:rPr>
              <w:t>90 000 carduri electronice ale elevului cu funcție de plată emise.</w:t>
            </w:r>
          </w:p>
        </w:tc>
      </w:tr>
      <w:tr w:rsidR="00F53E3A" w14:paraId="044D9B48" w14:textId="77777777" w:rsidTr="00744366">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FFF19F5" w14:textId="42AB9B7E" w:rsidR="00F53E3A" w:rsidRDefault="0036255F">
            <w:pPr>
              <w:pStyle w:val="P68B1DB1-Normal12"/>
              <w:spacing w:before="60" w:after="60"/>
              <w:jc w:val="center"/>
              <w:rPr>
                <w:rFonts w:cs="Times New Roman"/>
                <w:noProof/>
              </w:rPr>
            </w:pPr>
            <w:r>
              <w:rPr>
                <w:noProof/>
              </w:rPr>
              <w:t>160</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2B3D9D" w14:textId="0B06F418" w:rsidR="00F53E3A" w:rsidRDefault="0036255F">
            <w:pPr>
              <w:pStyle w:val="P68B1DB1-Normal12"/>
              <w:spacing w:before="60" w:after="60"/>
              <w:rPr>
                <w:noProof/>
              </w:rPr>
            </w:pPr>
            <w:r>
              <w:rPr>
                <w:noProof/>
              </w:rPr>
              <w:t xml:space="preserve">F.1.4. Îmbunătățirea respectării obligațiilor fiscale — </w:t>
            </w:r>
          </w:p>
          <w:p w14:paraId="5927BDC3" w14:textId="20C39B58" w:rsidR="00F53E3A" w:rsidRDefault="0036255F">
            <w:pPr>
              <w:pStyle w:val="P68B1DB1-Normal12"/>
              <w:spacing w:before="60" w:after="60"/>
              <w:rPr>
                <w:rFonts w:cs="Times New Roman"/>
                <w:noProof/>
              </w:rPr>
            </w:pPr>
            <w:r>
              <w:rPr>
                <w:noProof/>
              </w:rPr>
              <w:t>F.1.4.4. Educarea viitorilor contribuabili în domeniul fiscal</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4A7BC93" w14:textId="77777777" w:rsidR="00F53E3A" w:rsidRDefault="0036255F">
            <w:pPr>
              <w:pStyle w:val="P68B1DB1-Normal12"/>
              <w:spacing w:before="60" w:after="60"/>
              <w:jc w:val="center"/>
              <w:rPr>
                <w:rFonts w:cs="Times New Roman"/>
                <w:noProof/>
              </w:rPr>
            </w:pPr>
            <w:r>
              <w:rPr>
                <w:noProof/>
              </w:rPr>
              <w:t>Țintă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B35552E" w14:textId="5A1DA211" w:rsidR="00F53E3A" w:rsidRDefault="0036255F">
            <w:pPr>
              <w:pStyle w:val="P68B1DB1-Normal12"/>
              <w:spacing w:before="60" w:after="60"/>
              <w:rPr>
                <w:rFonts w:cs="Times New Roman"/>
                <w:noProof/>
              </w:rPr>
            </w:pPr>
            <w:r>
              <w:rPr>
                <w:noProof/>
              </w:rPr>
              <w:t>Numărul de școli (primare, secundare, programatice, săli de sport) cu infrastructură de plată fără numerar nou înființată sau modernizată</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811986E" w14:textId="20B5F2DE" w:rsidR="00F53E3A" w:rsidRDefault="00F53E3A">
            <w:pPr>
              <w:spacing w:before="60" w:after="60"/>
              <w:rPr>
                <w:rFonts w:ascii="Times New Roman" w:eastAsia="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11A22E" w14:textId="77777777" w:rsidR="00F53E3A" w:rsidRDefault="0036255F">
            <w:pPr>
              <w:pStyle w:val="P68B1DB1-Normal12"/>
              <w:spacing w:before="60" w:after="60"/>
              <w:jc w:val="center"/>
              <w:rPr>
                <w:rFonts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879FF7" w14:textId="01A96EDA" w:rsidR="00F53E3A" w:rsidRDefault="0036255F">
            <w:pPr>
              <w:pStyle w:val="P68B1DB1-Normal12"/>
              <w:spacing w:before="60" w:after="60"/>
              <w:jc w:val="center"/>
              <w:rPr>
                <w:rFonts w:cs="Times New Roman"/>
                <w:noProof/>
              </w:rPr>
            </w:pPr>
            <w:r>
              <w:rPr>
                <w:noProof/>
              </w:rPr>
              <w:t>40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710BE18" w14:textId="5C0E4AB4" w:rsidR="00F53E3A" w:rsidRDefault="0036255F">
            <w:pPr>
              <w:pStyle w:val="P68B1DB1-Normal12"/>
              <w:spacing w:before="60" w:after="60"/>
              <w:jc w:val="center"/>
              <w:rPr>
                <w:rFonts w:cs="Times New Roman"/>
                <w:noProof/>
              </w:rPr>
            </w:pPr>
            <w:r>
              <w:rPr>
                <w:noProof/>
              </w:rPr>
              <w:t>240</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8595FC2" w14:textId="2721CAB8" w:rsidR="00F53E3A" w:rsidRDefault="00DB2EC5">
            <w:pPr>
              <w:pStyle w:val="P68B1DB1-Normal12"/>
              <w:spacing w:before="60" w:after="60"/>
              <w:jc w:val="center"/>
              <w:rPr>
                <w:rFonts w:cs="Times New Roman"/>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7BB626E" w14:textId="6F570BED" w:rsidR="00F53E3A" w:rsidRDefault="0036255F">
            <w:pPr>
              <w:pStyle w:val="P68B1DB1-Normal12"/>
              <w:spacing w:before="60" w:after="60"/>
              <w:jc w:val="center"/>
              <w:rPr>
                <w:rFonts w:cs="Times New Roman"/>
                <w:noProof/>
              </w:rPr>
            </w:pPr>
            <w:r>
              <w:rPr>
                <w:noProof/>
              </w:rPr>
              <w:t>2024</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ABBDE58" w14:textId="79716434" w:rsidR="00F53E3A" w:rsidRDefault="0036255F">
            <w:pPr>
              <w:pStyle w:val="P68B1DB1-Normal12"/>
              <w:spacing w:before="60" w:after="60"/>
              <w:jc w:val="both"/>
              <w:rPr>
                <w:rFonts w:eastAsiaTheme="minorEastAsia" w:cs="Times New Roman"/>
                <w:noProof/>
              </w:rPr>
            </w:pPr>
            <w:r>
              <w:rPr>
                <w:noProof/>
              </w:rPr>
              <w:t>Infrastructură creată sau actualizată pentru plăți fără numerar în cantinele a 240 de școli.</w:t>
            </w:r>
          </w:p>
        </w:tc>
      </w:tr>
      <w:tr w:rsidR="00F53E3A" w14:paraId="194F1B25" w14:textId="77777777" w:rsidTr="00744366">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04ACD4F" w14:textId="77777777" w:rsidR="00F53E3A" w:rsidRDefault="0036255F">
            <w:pPr>
              <w:pStyle w:val="P68B1DB1-Normal12"/>
              <w:spacing w:before="60" w:after="60"/>
              <w:jc w:val="center"/>
              <w:rPr>
                <w:rFonts w:cs="Times New Roman"/>
                <w:noProof/>
              </w:rPr>
            </w:pPr>
            <w:r>
              <w:rPr>
                <w:noProof/>
              </w:rPr>
              <w:t>161</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D01332B" w14:textId="344DC55E" w:rsidR="00F53E3A" w:rsidRDefault="0036255F">
            <w:pPr>
              <w:pStyle w:val="P68B1DB1-Normal12"/>
              <w:spacing w:before="60" w:after="60"/>
              <w:rPr>
                <w:noProof/>
              </w:rPr>
            </w:pPr>
            <w:r>
              <w:rPr>
                <w:noProof/>
              </w:rPr>
              <w:t xml:space="preserve">F.1.4. Îmbunătățirea respectării obligațiilor fiscale — </w:t>
            </w:r>
          </w:p>
          <w:p w14:paraId="30FA8B16" w14:textId="76343C7B" w:rsidR="00F53E3A" w:rsidRDefault="0036255F">
            <w:pPr>
              <w:pStyle w:val="P68B1DB1-Normal12"/>
              <w:spacing w:before="60" w:after="60"/>
              <w:rPr>
                <w:rFonts w:cs="Times New Roman"/>
                <w:noProof/>
              </w:rPr>
            </w:pPr>
            <w:r>
              <w:rPr>
                <w:noProof/>
              </w:rPr>
              <w:t>F.1.4.4. Educarea viitorilor contribuabili în domeniul fiscal</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6B69C98" w14:textId="77777777"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6A21F46" w14:textId="2BCE8B2B" w:rsidR="00F53E3A" w:rsidRDefault="0036255F">
            <w:pPr>
              <w:spacing w:before="60" w:after="60"/>
              <w:rPr>
                <w:rFonts w:ascii="Times New Roman" w:hAnsi="Times New Roman" w:cs="Times New Roman"/>
                <w:noProof/>
                <w:sz w:val="20"/>
              </w:rPr>
            </w:pPr>
            <w:r>
              <w:rPr>
                <w:rFonts w:ascii="Times New Roman" w:hAnsi="Times New Roman" w:cs="Times New Roman"/>
                <w:noProof/>
                <w:sz w:val="20"/>
              </w:rPr>
              <w:t>Materiale educaționale și campanii de</w:t>
            </w:r>
            <w:r w:rsidR="00CB74C1">
              <w:rPr>
                <w:rFonts w:ascii="Times New Roman" w:hAnsi="Times New Roman" w:cs="Times New Roman"/>
                <w:noProof/>
                <w:sz w:val="20"/>
              </w:rPr>
              <w:t xml:space="preserve"> </w:t>
            </w:r>
            <w:r>
              <w:rPr>
                <w:rFonts w:ascii="Times New Roman" w:hAnsi="Times New Roman" w:cs="Times New Roman"/>
                <w:noProof/>
                <w:sz w:val="20"/>
              </w:rPr>
              <w:t>alfabetizare fiscală</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5496587" w14:textId="1AC80861" w:rsidR="00F53E3A" w:rsidRDefault="0036255F">
            <w:pPr>
              <w:pStyle w:val="P68B1DB1-Normal13"/>
              <w:spacing w:before="60" w:after="60"/>
              <w:rPr>
                <w:noProof/>
              </w:rPr>
            </w:pPr>
            <w:r>
              <w:rPr>
                <w:noProof/>
              </w:rPr>
              <w:t xml:space="preserve">Materiale educaționale și o campanie de sensibilizare cu privire la alfabetizarea fiscală </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BC8E8E0" w14:textId="4C566D08"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59AA460" w14:textId="57254860"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A0F042" w14:textId="64421B7C" w:rsidR="00F53E3A" w:rsidRDefault="00F53E3A">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2DF7B4" w14:textId="474DAD3C" w:rsidR="00F53E3A" w:rsidRDefault="00DB2EC5">
            <w:pPr>
              <w:pStyle w:val="P68B1DB1-Normal12"/>
              <w:spacing w:before="60" w:after="60"/>
              <w:jc w:val="center"/>
              <w:rPr>
                <w:rFonts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B84AB87" w14:textId="77777777" w:rsidR="00F53E3A" w:rsidRDefault="0036255F">
            <w:pPr>
              <w:pStyle w:val="P68B1DB1-Normal12"/>
              <w:spacing w:before="60" w:after="60"/>
              <w:jc w:val="center"/>
              <w:rPr>
                <w:rFonts w:cs="Times New Roman"/>
                <w:noProof/>
              </w:rPr>
            </w:pPr>
            <w:r>
              <w:rPr>
                <w:noProof/>
              </w:rPr>
              <w:t>2026</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07A8373" w14:textId="77EF7C1B" w:rsidR="00F53E3A" w:rsidRDefault="0036255F">
            <w:pPr>
              <w:pStyle w:val="P68B1DB1-Normal12"/>
              <w:spacing w:before="60" w:after="60"/>
              <w:jc w:val="both"/>
              <w:rPr>
                <w:rFonts w:eastAsiaTheme="minorEastAsia" w:cs="Times New Roman"/>
                <w:noProof/>
              </w:rPr>
            </w:pPr>
            <w:r>
              <w:rPr>
                <w:noProof/>
              </w:rPr>
              <w:t>1. Materiale educaționale pentru elevi cu privire la alfabetizarea fiscală, elaborate de Inspectoratul Fiscal de Stat.</w:t>
            </w:r>
          </w:p>
          <w:p w14:paraId="17119A09" w14:textId="3EFA92C0" w:rsidR="00F53E3A" w:rsidRDefault="0036255F">
            <w:pPr>
              <w:pStyle w:val="P68B1DB1-Normal12"/>
              <w:spacing w:before="60" w:after="60"/>
              <w:jc w:val="both"/>
              <w:rPr>
                <w:rFonts w:eastAsiaTheme="minorEastAsia" w:cs="Times New Roman"/>
                <w:noProof/>
              </w:rPr>
            </w:pPr>
            <w:r>
              <w:rPr>
                <w:noProof/>
              </w:rPr>
              <w:t>2. Certificat de predare și acceptare a serviciului eliberat pentru campania de alfabetizare fiscală.</w:t>
            </w:r>
          </w:p>
        </w:tc>
      </w:tr>
      <w:tr w:rsidR="00F53E3A" w14:paraId="56570444" w14:textId="77777777" w:rsidTr="00744366">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AD1260C" w14:textId="77777777" w:rsidR="00F53E3A" w:rsidRDefault="0036255F">
            <w:pPr>
              <w:pStyle w:val="P68B1DB1-Normal12"/>
              <w:spacing w:before="60" w:after="60"/>
              <w:jc w:val="center"/>
              <w:rPr>
                <w:rFonts w:cs="Times New Roman"/>
                <w:noProof/>
              </w:rPr>
            </w:pPr>
            <w:r>
              <w:rPr>
                <w:noProof/>
              </w:rPr>
              <w:t>162</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5B140F4" w14:textId="04FDDC16" w:rsidR="00F53E3A" w:rsidRDefault="0036255F">
            <w:pPr>
              <w:pStyle w:val="P68B1DB1-Normal12"/>
              <w:spacing w:before="60" w:after="60"/>
              <w:rPr>
                <w:noProof/>
              </w:rPr>
            </w:pPr>
            <w:r>
              <w:rPr>
                <w:noProof/>
              </w:rPr>
              <w:t xml:space="preserve">F.1.4. Îmbunătățirea respectării obligațiilor fiscale — </w:t>
            </w:r>
          </w:p>
          <w:p w14:paraId="59252A2E" w14:textId="00ADC6D3" w:rsidR="00F53E3A" w:rsidRDefault="0036255F">
            <w:pPr>
              <w:pStyle w:val="P68B1DB1-Normal12"/>
              <w:spacing w:before="60" w:after="60"/>
              <w:rPr>
                <w:rFonts w:cs="Times New Roman"/>
                <w:noProof/>
              </w:rPr>
            </w:pPr>
            <w:r>
              <w:rPr>
                <w:noProof/>
              </w:rPr>
              <w:t>F.1.4.5. Mai multă transparență în sectorul construcțiilor</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1CFFA7C" w14:textId="77777777"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8789371" w14:textId="26997527" w:rsidR="00F53E3A" w:rsidRDefault="0036255F">
            <w:pPr>
              <w:pStyle w:val="P68B1DB1-Normal1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rPr>
                <w:rFonts w:cs="Times New Roman"/>
                <w:noProof/>
              </w:rPr>
            </w:pPr>
            <w:r>
              <w:rPr>
                <w:noProof/>
              </w:rPr>
              <w:t>Punerea în funcțiune a instrumentelor digitale pentru a permite înregistrarea în timp real a persoanelor care lucrează în sectorul construcțiilor și identificarea celor care lucrează ilegal pe șantierele de construcții</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0BD038" w14:textId="625A98CF" w:rsidR="00F53E3A" w:rsidRDefault="0036255F">
            <w:pPr>
              <w:pStyle w:val="P68B1DB1-Normal1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rPr>
                <w:rFonts w:cs="Times New Roman"/>
                <w:noProof/>
              </w:rPr>
            </w:pPr>
            <w:r>
              <w:rPr>
                <w:noProof/>
              </w:rPr>
              <w:t>Există și sunt operaționale instrumente digitale</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3FD48D" w14:textId="248CC642"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1CA07C2" w14:textId="2911A251"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E984B7C" w14:textId="178A209B" w:rsidR="00F53E3A" w:rsidRDefault="00F53E3A">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3949BC1" w14:textId="52B48298" w:rsidR="00F53E3A" w:rsidRDefault="00DB2EC5">
            <w:pPr>
              <w:pStyle w:val="P68B1DB1-Normal12"/>
              <w:spacing w:before="60" w:after="60"/>
              <w:jc w:val="center"/>
              <w:rPr>
                <w:rFonts w:cs="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282570" w14:textId="77777777" w:rsidR="00F53E3A" w:rsidRDefault="0036255F">
            <w:pPr>
              <w:pStyle w:val="P68B1DB1-Normal12"/>
              <w:spacing w:before="60" w:after="60"/>
              <w:jc w:val="center"/>
              <w:rPr>
                <w:rFonts w:cs="Times New Roman"/>
                <w:noProof/>
              </w:rPr>
            </w:pPr>
            <w:r>
              <w:rPr>
                <w:noProof/>
              </w:rPr>
              <w:t>2024</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3109EF" w14:textId="5B722783" w:rsidR="00F53E3A" w:rsidRDefault="0036255F">
            <w:pPr>
              <w:pStyle w:val="P68B1DB1-Normal12"/>
              <w:spacing w:before="60" w:after="60"/>
              <w:jc w:val="both"/>
              <w:rPr>
                <w:rFonts w:eastAsia="Times New Roman" w:cs="Times New Roman"/>
                <w:noProof/>
              </w:rPr>
            </w:pPr>
            <w:r>
              <w:rPr>
                <w:noProof/>
              </w:rPr>
              <w:t>Instrument digital complet funcțional (subsistemul „informații privind identitatea constructorului”) care permite înregistrarea obligatorie a persoanelor care lucrează în sectorul construcțiilor și identificarea anumitor persoane în conformitate cu un cod de identitate special al constructorului.</w:t>
            </w:r>
          </w:p>
        </w:tc>
      </w:tr>
      <w:tr w:rsidR="00F53E3A" w14:paraId="45C07D38" w14:textId="77777777" w:rsidTr="00744366">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34B9ADD" w14:textId="77777777" w:rsidR="00F53E3A" w:rsidRDefault="0036255F">
            <w:pPr>
              <w:pStyle w:val="P68B1DB1-Normal12"/>
              <w:spacing w:before="60" w:after="60"/>
              <w:jc w:val="center"/>
              <w:rPr>
                <w:rFonts w:cs="Times New Roman"/>
                <w:noProof/>
              </w:rPr>
            </w:pPr>
            <w:r>
              <w:rPr>
                <w:noProof/>
              </w:rPr>
              <w:t>163</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6E341CC" w14:textId="25677BF3" w:rsidR="00F53E3A" w:rsidRDefault="0036255F">
            <w:pPr>
              <w:pStyle w:val="P68B1DB1-Normal12"/>
              <w:spacing w:before="60" w:after="60"/>
              <w:rPr>
                <w:noProof/>
              </w:rPr>
            </w:pPr>
            <w:r>
              <w:rPr>
                <w:noProof/>
              </w:rPr>
              <w:t xml:space="preserve">F.1.4. Îmbunătățirea respectării obligațiilor fiscale — </w:t>
            </w:r>
          </w:p>
          <w:p w14:paraId="7D34E1AE" w14:textId="68301003" w:rsidR="00F53E3A" w:rsidRDefault="0036255F">
            <w:pPr>
              <w:pStyle w:val="P68B1DB1-Normal12"/>
              <w:spacing w:before="60" w:after="60"/>
              <w:rPr>
                <w:rFonts w:cs="Times New Roman"/>
                <w:noProof/>
              </w:rPr>
            </w:pPr>
            <w:r>
              <w:rPr>
                <w:noProof/>
              </w:rPr>
              <w:t>F.1.4.5. Mai multă transparență în sectorul construcțiilor</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0C2B8F5" w14:textId="77777777" w:rsidR="00F53E3A" w:rsidRDefault="0036255F">
            <w:pPr>
              <w:pStyle w:val="P68B1DB1-Normal12"/>
              <w:spacing w:before="60" w:after="60"/>
              <w:jc w:val="center"/>
              <w:rPr>
                <w:rFonts w:cs="Times New Roman"/>
                <w:noProof/>
              </w:rPr>
            </w:pPr>
            <w:r>
              <w:rPr>
                <w:noProof/>
              </w:rPr>
              <w:t>Țintă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93E8CCE" w14:textId="4D67FABD" w:rsidR="00F53E3A" w:rsidRDefault="0036255F">
            <w:pPr>
              <w:pStyle w:val="P68B1DB1-Normal12"/>
              <w:spacing w:before="60" w:after="60"/>
              <w:rPr>
                <w:rFonts w:eastAsia="Times New Roman" w:cs="Times New Roman"/>
                <w:noProof/>
              </w:rPr>
            </w:pPr>
            <w:r>
              <w:rPr>
                <w:noProof/>
              </w:rPr>
              <w:t xml:space="preserve">Lucrători identificabili electronic care utilizează identificatorul transparent al lucrătorului pe șantierele de construcții </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FACBA23" w14:textId="609C8A8D" w:rsidR="00F53E3A" w:rsidRDefault="00F53E3A">
            <w:pPr>
              <w:spacing w:before="60" w:after="60"/>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06DC1EE" w14:textId="786AB6C7" w:rsidR="00F53E3A" w:rsidRDefault="0036255F">
            <w:pPr>
              <w:pStyle w:val="P68B1DB1-Normal33"/>
              <w:spacing w:before="60" w:after="60"/>
              <w:jc w:val="center"/>
              <w:rPr>
                <w:rFonts w:cs="Times New Roman"/>
                <w:noProof/>
                <w:szCs w:val="19"/>
              </w:rPr>
            </w:pPr>
            <w:r>
              <w:rPr>
                <w:noProof/>
              </w:rPr>
              <w:t>% (procent)</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B5B2FC" w14:textId="77777777" w:rsidR="00F53E3A" w:rsidRDefault="0036255F">
            <w:pPr>
              <w:pStyle w:val="P68B1DB1-Normal12"/>
              <w:spacing w:before="60" w:after="60"/>
              <w:jc w:val="center"/>
              <w:rPr>
                <w:rFonts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EA03A1F" w14:textId="136AF41F" w:rsidR="00F53E3A" w:rsidRDefault="0036255F">
            <w:pPr>
              <w:pStyle w:val="P68B1DB1-Normal12"/>
              <w:spacing w:before="60" w:after="60"/>
              <w:jc w:val="center"/>
              <w:rPr>
                <w:rFonts w:cs="Times New Roman"/>
                <w:noProof/>
              </w:rPr>
            </w:pPr>
            <w:r>
              <w:rPr>
                <w:noProof/>
              </w:rPr>
              <w:t>80</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3E2A987" w14:textId="752CE281" w:rsidR="00F53E3A" w:rsidRDefault="00DB2EC5">
            <w:pPr>
              <w:pStyle w:val="P68B1DB1-Normal12"/>
              <w:spacing w:before="60" w:after="60"/>
              <w:jc w:val="center"/>
              <w:rPr>
                <w:rFonts w:cs="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98E79F4" w14:textId="77777777" w:rsidR="00F53E3A" w:rsidRDefault="0036255F">
            <w:pPr>
              <w:pStyle w:val="P68B1DB1-Normal12"/>
              <w:spacing w:before="60" w:after="60"/>
              <w:jc w:val="center"/>
              <w:rPr>
                <w:rFonts w:cs="Times New Roman"/>
                <w:noProof/>
              </w:rPr>
            </w:pPr>
            <w:r>
              <w:rPr>
                <w:noProof/>
              </w:rPr>
              <w:t>2025</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5191208" w14:textId="1AC73588" w:rsidR="00F53E3A" w:rsidRDefault="0036255F">
            <w:pPr>
              <w:pStyle w:val="P68B1DB1-Normal12"/>
              <w:spacing w:before="60" w:after="60"/>
              <w:jc w:val="both"/>
              <w:rPr>
                <w:noProof/>
              </w:rPr>
            </w:pPr>
            <w:r>
              <w:rPr>
                <w:noProof/>
              </w:rPr>
              <w:t>În sectorul construcțiilor, au fost emise certificate de anchetă ilegală pentru 1 400 de inspecții planificate și alte 420 pentru inspecții neprogramate.</w:t>
            </w:r>
          </w:p>
          <w:p w14:paraId="2E928336" w14:textId="45A577D0" w:rsidR="00F53E3A" w:rsidRDefault="0036255F">
            <w:pPr>
              <w:pStyle w:val="P68B1DB1-Normal12"/>
              <w:spacing w:before="60" w:after="60"/>
              <w:jc w:val="both"/>
              <w:rPr>
                <w:rFonts w:eastAsiaTheme="minorEastAsia" w:cs="Times New Roman"/>
                <w:noProof/>
              </w:rPr>
            </w:pPr>
            <w:r>
              <w:rPr>
                <w:noProof/>
              </w:rPr>
              <w:t>Proporția lucrătorilor de pe șantierele de construcții care pot fi identificați utilizând identificatorul transparent al lucrătorului ca procent din numărul total de lucrători inspectați pe șantierele de construcții ar trebui să fie de cel puțin 80 %.</w:t>
            </w:r>
          </w:p>
        </w:tc>
      </w:tr>
      <w:tr w:rsidR="00F53E3A" w14:paraId="5AD0E1C0" w14:textId="77777777" w:rsidTr="00744366">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4909594" w14:textId="5CE36053" w:rsidR="00F53E3A" w:rsidRDefault="0036255F">
            <w:pPr>
              <w:pStyle w:val="P68B1DB1-Normal12"/>
              <w:spacing w:before="60" w:after="60"/>
              <w:jc w:val="center"/>
              <w:rPr>
                <w:rFonts w:cs="Times New Roman"/>
                <w:noProof/>
              </w:rPr>
            </w:pPr>
            <w:r>
              <w:rPr>
                <w:noProof/>
              </w:rPr>
              <w:t>164</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9C70623" w14:textId="6DB7F01A" w:rsidR="00F53E3A" w:rsidRDefault="0036255F">
            <w:pPr>
              <w:spacing w:before="60" w:after="60"/>
              <w:rPr>
                <w:rFonts w:ascii="Times New Roman" w:hAnsi="Times New Roman" w:cs="Times New Roman"/>
                <w:noProof/>
                <w:sz w:val="20"/>
              </w:rPr>
            </w:pPr>
            <w:r>
              <w:rPr>
                <w:rStyle w:val="normaltextrun"/>
                <w:rFonts w:ascii="Times New Roman" w:hAnsi="Times New Roman"/>
                <w:noProof/>
                <w:sz w:val="20"/>
              </w:rPr>
              <w:t>F.1.5. Instrumente aflate la dispoziția întreprinderilor pentru gestionarea riscului de insolvență a întreprinderilor</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3434F79" w14:textId="77777777"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84C97DE" w14:textId="166A45FD" w:rsidR="00F53E3A" w:rsidRDefault="0036255F">
            <w:pPr>
              <w:pStyle w:val="P68B1DB1-Normal12"/>
              <w:spacing w:before="60" w:after="60"/>
              <w:rPr>
                <w:rFonts w:eastAsia="Calibri" w:cs="Times New Roman"/>
                <w:noProof/>
              </w:rPr>
            </w:pPr>
            <w:r>
              <w:rPr>
                <w:noProof/>
              </w:rPr>
              <w:t>Instrumente digitale pentru gestionarea riscurilor de insolvență a întreprinderilor</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D6B015A" w14:textId="060BB79B" w:rsidR="00F53E3A" w:rsidRDefault="0036255F">
            <w:pPr>
              <w:pStyle w:val="P68B1DB1-Normal12"/>
              <w:spacing w:before="60" w:after="60"/>
              <w:rPr>
                <w:rFonts w:eastAsia="Calibri" w:cs="Times New Roman"/>
                <w:noProof/>
              </w:rPr>
            </w:pPr>
            <w:r>
              <w:rPr>
                <w:noProof/>
              </w:rPr>
              <w:t>Patru instrumente digitale pentru gestionarea riscului de insolvență a întreprinderilor</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D1FD480" w14:textId="123CA61E"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9282789" w14:textId="6B00A166"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481A87C" w14:textId="18B82218" w:rsidR="00F53E3A" w:rsidRDefault="00F53E3A">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D295E4F" w14:textId="0002D947" w:rsidR="00F53E3A" w:rsidRDefault="00DB2EC5">
            <w:pPr>
              <w:pStyle w:val="P68B1DB1-Normal12"/>
              <w:spacing w:before="60" w:after="60"/>
              <w:jc w:val="center"/>
              <w:rPr>
                <w:rFonts w:cs="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713DE8E" w14:textId="3131D4C8" w:rsidR="00F53E3A" w:rsidRDefault="0036255F">
            <w:pPr>
              <w:pStyle w:val="P68B1DB1-Normal12"/>
              <w:spacing w:before="60" w:after="60"/>
              <w:jc w:val="center"/>
              <w:rPr>
                <w:rFonts w:cs="Times New Roman"/>
                <w:noProof/>
              </w:rPr>
            </w:pPr>
            <w:r>
              <w:rPr>
                <w:noProof/>
              </w:rPr>
              <w:t>2025</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04DCFF7" w14:textId="77F24738" w:rsidR="00F53E3A" w:rsidRDefault="0036255F">
            <w:pPr>
              <w:pStyle w:val="P68B1DB1-Normal12"/>
              <w:spacing w:before="60" w:after="60"/>
              <w:jc w:val="both"/>
              <w:rPr>
                <w:rFonts w:eastAsia="Times New Roman" w:cs="Times New Roman"/>
                <w:noProof/>
              </w:rPr>
            </w:pPr>
            <w:r>
              <w:rPr>
                <w:noProof/>
              </w:rPr>
              <w:t>Furnizarea a patru instrumente digitale pentru gestionarea riscului de insolvență a întreprinderilor:</w:t>
            </w:r>
          </w:p>
          <w:p w14:paraId="72589F1F" w14:textId="77777777" w:rsidR="00F53E3A" w:rsidRDefault="0036255F">
            <w:pPr>
              <w:pStyle w:val="P68B1DB1-Normal12"/>
              <w:spacing w:before="60" w:after="60"/>
              <w:jc w:val="both"/>
              <w:rPr>
                <w:rFonts w:eastAsia="Times New Roman" w:cs="Times New Roman"/>
                <w:noProof/>
              </w:rPr>
            </w:pPr>
            <w:r>
              <w:rPr>
                <w:noProof/>
              </w:rPr>
              <w:t xml:space="preserve">(1) portalul privind insolvența; </w:t>
            </w:r>
          </w:p>
          <w:p w14:paraId="1F764B5F" w14:textId="77777777" w:rsidR="00F53E3A" w:rsidRDefault="0036255F">
            <w:pPr>
              <w:pStyle w:val="P68B1DB1-Normal12"/>
              <w:spacing w:before="60" w:after="60"/>
              <w:jc w:val="both"/>
              <w:rPr>
                <w:rFonts w:eastAsia="Times New Roman" w:cs="Times New Roman"/>
                <w:noProof/>
              </w:rPr>
            </w:pPr>
            <w:r>
              <w:rPr>
                <w:noProof/>
              </w:rPr>
              <w:t xml:space="preserve">(2) un asistent pentru elaborarea planului de restructurare; </w:t>
            </w:r>
          </w:p>
          <w:p w14:paraId="24302387" w14:textId="7DA94025" w:rsidR="00F53E3A" w:rsidRDefault="0036255F">
            <w:pPr>
              <w:pStyle w:val="P68B1DB1-Normal12"/>
              <w:spacing w:before="60" w:after="60"/>
              <w:jc w:val="both"/>
              <w:rPr>
                <w:rFonts w:cs="Times New Roman"/>
                <w:noProof/>
              </w:rPr>
            </w:pPr>
            <w:r>
              <w:rPr>
                <w:noProof/>
              </w:rPr>
              <w:t>(3) un asistent care să ajute în procesul de evaluare să aplice standardele internaționale de evaluare;</w:t>
            </w:r>
          </w:p>
          <w:p w14:paraId="6E51FFD8" w14:textId="13291B50" w:rsidR="00F53E3A" w:rsidRDefault="0036255F">
            <w:pPr>
              <w:pStyle w:val="P68B1DB1-Normal12"/>
              <w:spacing w:before="60" w:after="60"/>
              <w:jc w:val="both"/>
              <w:rPr>
                <w:rFonts w:eastAsia="Times New Roman" w:cs="Times New Roman"/>
                <w:noProof/>
              </w:rPr>
            </w:pPr>
            <w:r>
              <w:rPr>
                <w:noProof/>
              </w:rPr>
              <w:t>(4) un instrument pentru efectuarea de comparații între evaluarea activelor și a tranzacțiilor.</w:t>
            </w:r>
          </w:p>
        </w:tc>
      </w:tr>
      <w:tr w:rsidR="00F53E3A" w14:paraId="74BA4CF4" w14:textId="77777777" w:rsidTr="00744366">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A716C54" w14:textId="77777777" w:rsidR="00F53E3A" w:rsidRDefault="0036255F">
            <w:pPr>
              <w:pStyle w:val="P68B1DB1-Normal12"/>
              <w:spacing w:before="60" w:after="60"/>
              <w:jc w:val="center"/>
              <w:rPr>
                <w:rFonts w:cs="Times New Roman"/>
                <w:noProof/>
              </w:rPr>
            </w:pPr>
            <w:r>
              <w:rPr>
                <w:noProof/>
              </w:rPr>
              <w:t>165</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07CD61" w14:textId="49531B42" w:rsidR="00F53E3A" w:rsidRDefault="0036255F">
            <w:pPr>
              <w:pStyle w:val="P68B1DB1-Normal12"/>
              <w:spacing w:before="60" w:after="60"/>
              <w:rPr>
                <w:noProof/>
              </w:rPr>
            </w:pPr>
            <w:r>
              <w:rPr>
                <w:noProof/>
              </w:rPr>
              <w:t xml:space="preserve">F.1.6. O administrație fiscală inteligentă pentru a reduce deficitul de încasare a TVA — </w:t>
            </w:r>
          </w:p>
          <w:p w14:paraId="0C55835F" w14:textId="09B006F6" w:rsidR="00F53E3A" w:rsidRDefault="0036255F">
            <w:pPr>
              <w:pStyle w:val="P68B1DB1-Normal12"/>
              <w:spacing w:before="60" w:after="60"/>
              <w:rPr>
                <w:rStyle w:val="normaltextrun"/>
                <w:rFonts w:cs="Times New Roman"/>
                <w:noProof/>
              </w:rPr>
            </w:pPr>
            <w:r>
              <w:rPr>
                <w:noProof/>
              </w:rPr>
              <w:t>F.1.6.1. Furnizarea de noi instrumente de analiză a datelor pentru Inspectoratul Fiscal de Stat</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79D9779" w14:textId="77777777"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C8CD22" w14:textId="4562A90D" w:rsidR="00F53E3A" w:rsidRDefault="0036255F">
            <w:pPr>
              <w:pStyle w:val="P68B1DB1-Normal12"/>
              <w:spacing w:before="60" w:after="60"/>
              <w:rPr>
                <w:rFonts w:eastAsia="Times New Roman" w:cs="Times New Roman"/>
                <w:noProof/>
              </w:rPr>
            </w:pPr>
            <w:r>
              <w:rPr>
                <w:noProof/>
              </w:rPr>
              <w:t>Modele analitice și funcționalități ale sistemului informatic</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9725277" w14:textId="2F188950" w:rsidR="00F53E3A" w:rsidRDefault="0036255F">
            <w:pPr>
              <w:pStyle w:val="P68B1DB1-Normal12"/>
              <w:spacing w:before="60" w:after="60"/>
              <w:rPr>
                <w:noProof/>
              </w:rPr>
            </w:pPr>
            <w:r>
              <w:rPr>
                <w:noProof/>
              </w:rPr>
              <w:t>Furnizarea de modele analitice și funcționalități ale sistemului informatic</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1D27326" w14:textId="34FED83E"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198636E" w14:textId="5B49B057"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E2B38A6" w14:textId="493D99FF" w:rsidR="00F53E3A" w:rsidRDefault="00F53E3A">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B28E8EF" w14:textId="18A2C428" w:rsidR="00F53E3A" w:rsidRDefault="00DB2EC5">
            <w:pPr>
              <w:pStyle w:val="P68B1DB1-Normal12"/>
              <w:spacing w:before="60" w:after="60"/>
              <w:jc w:val="center"/>
              <w:rPr>
                <w:rFonts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B7CEE3E" w14:textId="77777777" w:rsidR="00F53E3A" w:rsidRDefault="0036255F">
            <w:pPr>
              <w:pStyle w:val="P68B1DB1-Normal12"/>
              <w:spacing w:before="60" w:after="60"/>
              <w:jc w:val="center"/>
              <w:rPr>
                <w:rFonts w:cs="Times New Roman"/>
                <w:noProof/>
              </w:rPr>
            </w:pPr>
            <w:r>
              <w:rPr>
                <w:noProof/>
              </w:rPr>
              <w:t>2026</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EB22ECD" w14:textId="613FDB8D" w:rsidR="00F53E3A" w:rsidRDefault="0036255F">
            <w:pPr>
              <w:pStyle w:val="P68B1DB1-Normal12"/>
              <w:spacing w:before="60" w:after="60"/>
              <w:jc w:val="both"/>
              <w:rPr>
                <w:rFonts w:eastAsia="Times New Roman" w:cs="Times New Roman"/>
                <w:noProof/>
              </w:rPr>
            </w:pPr>
            <w:r>
              <w:rPr>
                <w:noProof/>
              </w:rPr>
              <w:t xml:space="preserve">Livrarea către Inspectoratul Fiscal de Stat a 4 modele analitice, inclusiv a unui profil de risc al contribuabililor constând în 25 criterii de risc și a 6 noi funcționalități ale sistemelor informatice existente ale Inspectoratului Fiscal de Stat </w:t>
            </w:r>
          </w:p>
        </w:tc>
      </w:tr>
      <w:tr w:rsidR="00F53E3A" w14:paraId="6451A915" w14:textId="77777777" w:rsidTr="00744366">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9F29E80" w14:textId="77777777" w:rsidR="00F53E3A" w:rsidRDefault="0036255F">
            <w:pPr>
              <w:pStyle w:val="P68B1DB1-Normal12"/>
              <w:spacing w:before="60" w:after="60"/>
              <w:jc w:val="center"/>
              <w:rPr>
                <w:rFonts w:cs="Times New Roman"/>
                <w:noProof/>
              </w:rPr>
            </w:pPr>
            <w:r>
              <w:rPr>
                <w:noProof/>
              </w:rPr>
              <w:t>167</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434A926" w14:textId="36489FA0" w:rsidR="00F53E3A" w:rsidRDefault="0036255F">
            <w:pPr>
              <w:spacing w:before="60" w:after="60"/>
              <w:rPr>
                <w:rFonts w:ascii="Times New Roman" w:hAnsi="Times New Roman"/>
                <w:noProof/>
                <w:sz w:val="20"/>
              </w:rPr>
            </w:pPr>
            <w:r>
              <w:rPr>
                <w:rStyle w:val="normaltextrun"/>
                <w:rFonts w:ascii="Times New Roman" w:hAnsi="Times New Roman"/>
                <w:noProof/>
                <w:sz w:val="20"/>
              </w:rPr>
              <w:t xml:space="preserve">F.1.6. O administrație fiscală inteligentă pentru a reduce deficitul de încasare a TVA — </w:t>
            </w:r>
          </w:p>
          <w:p w14:paraId="1BB78F03" w14:textId="4947026B" w:rsidR="00F53E3A" w:rsidRDefault="0036255F">
            <w:pPr>
              <w:spacing w:before="60" w:after="60"/>
              <w:rPr>
                <w:rFonts w:ascii="Times New Roman" w:hAnsi="Times New Roman" w:cs="Times New Roman"/>
                <w:noProof/>
                <w:sz w:val="20"/>
              </w:rPr>
            </w:pPr>
            <w:r>
              <w:rPr>
                <w:rStyle w:val="normaltextrun"/>
                <w:rFonts w:ascii="Times New Roman" w:hAnsi="Times New Roman"/>
                <w:noProof/>
                <w:sz w:val="20"/>
              </w:rPr>
              <w:t>F.1.6.2. Monitorizarea calității datelor Inspectoratului Fiscal de Stat și ale altor instituții</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BF618E4" w14:textId="77777777"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25C283" w14:textId="36D74C42" w:rsidR="00F53E3A" w:rsidRDefault="0036255F">
            <w:pPr>
              <w:pStyle w:val="P68B1DB1-Normal12"/>
              <w:spacing w:before="60" w:after="60"/>
              <w:rPr>
                <w:rFonts w:cs="Times New Roman"/>
                <w:noProof/>
              </w:rPr>
            </w:pPr>
            <w:r>
              <w:rPr>
                <w:noProof/>
              </w:rPr>
              <w:t>Aprobarea și adoptarea actelor șefului Inspectoratului Fiscal de Stat privind integrarea bazei de date cu metadate</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DC75CA6" w14:textId="2E2124DA" w:rsidR="00F53E3A" w:rsidRDefault="0036255F">
            <w:pPr>
              <w:pStyle w:val="P68B1DB1-Normal12"/>
              <w:spacing w:before="60" w:after="60"/>
              <w:rPr>
                <w:noProof/>
              </w:rPr>
            </w:pPr>
            <w:r>
              <w:rPr>
                <w:noProof/>
              </w:rPr>
              <w:t>Aprobarea și adoptarea actelor șefului Inspecției Fiscale de Stat</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43A125D" w14:textId="7DEA0EF3"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2DF4D42" w14:textId="2881280C"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BA39DCA" w14:textId="64F1BA33" w:rsidR="00F53E3A" w:rsidRDefault="00F53E3A">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EE92CCC" w14:textId="762E079C" w:rsidR="00F53E3A" w:rsidRDefault="00DB2EC5">
            <w:pPr>
              <w:pStyle w:val="P68B1DB1-Normal12"/>
              <w:spacing w:before="60" w:after="60"/>
              <w:jc w:val="center"/>
              <w:rPr>
                <w:rFonts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2683C7E" w14:textId="77777777" w:rsidR="00F53E3A" w:rsidRDefault="0036255F">
            <w:pPr>
              <w:pStyle w:val="P68B1DB1-Normal12"/>
              <w:spacing w:before="60" w:after="60"/>
              <w:jc w:val="center"/>
              <w:rPr>
                <w:rFonts w:cs="Times New Roman"/>
                <w:noProof/>
              </w:rPr>
            </w:pPr>
            <w:r>
              <w:rPr>
                <w:noProof/>
              </w:rPr>
              <w:t>2026</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35743F" w14:textId="3A7807BD" w:rsidR="00F53E3A" w:rsidRDefault="0036255F">
            <w:pPr>
              <w:pStyle w:val="P68B1DB1-Normal12"/>
              <w:spacing w:before="60" w:after="60"/>
              <w:jc w:val="both"/>
              <w:rPr>
                <w:rFonts w:cs="Times New Roman"/>
                <w:noProof/>
              </w:rPr>
            </w:pPr>
            <w:r>
              <w:rPr>
                <w:noProof/>
              </w:rPr>
              <w:t>Șeful Inspecției Fiscale de Stat are următoarele atribuții:</w:t>
            </w:r>
          </w:p>
          <w:p w14:paraId="5A68E968" w14:textId="3807AD2B" w:rsidR="00F53E3A" w:rsidRDefault="0036255F">
            <w:pPr>
              <w:pStyle w:val="P68B1DB1-Normal13"/>
              <w:spacing w:before="60" w:after="60"/>
              <w:jc w:val="both"/>
              <w:rPr>
                <w:noProof/>
              </w:rPr>
            </w:pPr>
            <w:r>
              <w:rPr>
                <w:noProof/>
              </w:rPr>
              <w:t xml:space="preserve">(a) aprobă </w:t>
            </w:r>
          </w:p>
          <w:p w14:paraId="1A17DE48" w14:textId="7C95510C" w:rsidR="00F53E3A" w:rsidRDefault="0036255F">
            <w:pPr>
              <w:pStyle w:val="P68B1DB1-Normal13"/>
              <w:spacing w:after="0" w:line="360" w:lineRule="auto"/>
              <w:rPr>
                <w:noProof/>
              </w:rPr>
            </w:pPr>
            <w:r>
              <w:rPr>
                <w:noProof/>
              </w:rPr>
              <w:t>— metodologia de creare a unei baze de date cu metadate pentru instituțiile financiare publice; și</w:t>
            </w:r>
          </w:p>
          <w:p w14:paraId="7DC572D2" w14:textId="74FC371A" w:rsidR="00F53E3A" w:rsidRDefault="0036255F">
            <w:pPr>
              <w:pStyle w:val="P68B1DB1-Normal13"/>
              <w:spacing w:after="0" w:line="360" w:lineRule="auto"/>
              <w:rPr>
                <w:noProof/>
              </w:rPr>
            </w:pPr>
            <w:r>
              <w:rPr>
                <w:noProof/>
              </w:rPr>
              <w:t>— recomandări privind gestionarea datelor pentru instituțiile financiare publice;</w:t>
            </w:r>
          </w:p>
          <w:p w14:paraId="723E69AD" w14:textId="0B3962D9" w:rsidR="00F53E3A" w:rsidRDefault="0036255F">
            <w:pPr>
              <w:pStyle w:val="P68B1DB1-Normal13"/>
              <w:spacing w:after="0" w:line="360" w:lineRule="auto"/>
              <w:rPr>
                <w:noProof/>
              </w:rPr>
            </w:pPr>
            <w:r>
              <w:rPr>
                <w:noProof/>
              </w:rPr>
              <w:t>(b) adoptă ordine privind utilizarea bazei de date cu metadate, care:</w:t>
            </w:r>
          </w:p>
          <w:p w14:paraId="068A351E" w14:textId="7EA7F690" w:rsidR="00F53E3A" w:rsidRDefault="0036255F">
            <w:pPr>
              <w:pStyle w:val="P68B1DB1-Normal13"/>
              <w:spacing w:after="0" w:line="360" w:lineRule="auto"/>
              <w:rPr>
                <w:noProof/>
              </w:rPr>
            </w:pPr>
            <w:r>
              <w:rPr>
                <w:noProof/>
              </w:rPr>
              <w:t>— să stabilească procedura de utilizare a acestuia; și</w:t>
            </w:r>
          </w:p>
          <w:p w14:paraId="13E571F6" w14:textId="1B9CF9AE" w:rsidR="00F53E3A" w:rsidRDefault="0036255F">
            <w:pPr>
              <w:pStyle w:val="P68B1DB1-Normal13"/>
              <w:spacing w:after="0" w:line="360" w:lineRule="auto"/>
              <w:rPr>
                <w:noProof/>
              </w:rPr>
            </w:pPr>
            <w:r>
              <w:rPr>
                <w:noProof/>
              </w:rPr>
              <w:t>— să furnizeze temeiul juridic pentru utilizarea sa ca sursă de informații.</w:t>
            </w:r>
          </w:p>
        </w:tc>
      </w:tr>
      <w:tr w:rsidR="00F53E3A" w14:paraId="35B14C7A" w14:textId="77777777" w:rsidTr="00744366">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BD065BE" w14:textId="77777777" w:rsidR="00F53E3A" w:rsidRDefault="0036255F">
            <w:pPr>
              <w:pStyle w:val="P68B1DB1-Normal12"/>
              <w:spacing w:before="60" w:after="60"/>
              <w:jc w:val="center"/>
              <w:rPr>
                <w:rFonts w:eastAsia="Times New Roman" w:cs="Times New Roman"/>
                <w:noProof/>
              </w:rPr>
            </w:pPr>
            <w:r>
              <w:rPr>
                <w:noProof/>
              </w:rPr>
              <w:t>168</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3DD0D3" w14:textId="042E6DF2" w:rsidR="00F53E3A" w:rsidRDefault="0036255F">
            <w:pPr>
              <w:spacing w:before="60" w:after="60"/>
              <w:rPr>
                <w:rFonts w:ascii="Times New Roman" w:hAnsi="Times New Roman"/>
                <w:noProof/>
                <w:sz w:val="20"/>
              </w:rPr>
            </w:pPr>
            <w:r>
              <w:rPr>
                <w:rStyle w:val="normaltextrun"/>
                <w:rFonts w:ascii="Times New Roman" w:hAnsi="Times New Roman"/>
                <w:noProof/>
                <w:sz w:val="20"/>
              </w:rPr>
              <w:t xml:space="preserve">F.1.6. O administrație fiscală inteligentă pentru a reduce deficitul de încasare a TVA — </w:t>
            </w:r>
          </w:p>
          <w:p w14:paraId="74DBFF10" w14:textId="78756202" w:rsidR="00F53E3A" w:rsidRDefault="0036255F">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F.1.6.3. Robotizarea proceselor comerciale în cadrul Inspectoratului Fiscal de Stat</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D50F3C" w14:textId="77777777" w:rsidR="00F53E3A" w:rsidRDefault="0036255F">
            <w:pPr>
              <w:pStyle w:val="P68B1DB1-Normal12"/>
              <w:spacing w:before="60" w:after="60"/>
              <w:jc w:val="center"/>
              <w:rPr>
                <w:rFonts w:eastAsia="Times New Roman"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6B6458B" w14:textId="77777777" w:rsidR="00F53E3A" w:rsidRDefault="0036255F">
            <w:pPr>
              <w:pStyle w:val="P68B1DB1-Normal12"/>
              <w:spacing w:before="60" w:after="60"/>
              <w:rPr>
                <w:rFonts w:eastAsia="Times New Roman" w:cs="Times New Roman"/>
                <w:noProof/>
              </w:rPr>
            </w:pPr>
            <w:r>
              <w:rPr>
                <w:noProof/>
              </w:rPr>
              <w:t>Finalizarea automatizării a două procese comerciale desfășurate de Inspectoratul Fiscal de Stat</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996A9AE" w14:textId="77777777" w:rsidR="00F53E3A" w:rsidRDefault="0036255F">
            <w:pPr>
              <w:pStyle w:val="P68B1DB1-Normal12"/>
              <w:spacing w:before="60" w:after="60"/>
              <w:rPr>
                <w:rFonts w:eastAsia="Times New Roman" w:cs="Times New Roman"/>
                <w:noProof/>
              </w:rPr>
            </w:pPr>
            <w:r>
              <w:rPr>
                <w:noProof/>
              </w:rPr>
              <w:t>Punerea în funcțiune a software-ului de automatizare a proceselor robotice</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3F85D4A" w14:textId="75B693E8" w:rsidR="00F53E3A" w:rsidRDefault="00F53E3A">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A1FBAFF" w14:textId="67CE7049" w:rsidR="00F53E3A" w:rsidRDefault="00F53E3A">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E559DAE" w14:textId="1410E92F" w:rsidR="00F53E3A" w:rsidRDefault="00F53E3A">
            <w:pPr>
              <w:spacing w:before="60" w:after="60"/>
              <w:jc w:val="center"/>
              <w:rPr>
                <w:rFonts w:ascii="Times New Roman" w:eastAsia="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58EFC44" w14:textId="41AC30C7" w:rsidR="00F53E3A" w:rsidRDefault="00DB2EC5">
            <w:pPr>
              <w:pStyle w:val="P68B1DB1-Normal12"/>
              <w:spacing w:before="60" w:after="60"/>
              <w:jc w:val="center"/>
              <w:rPr>
                <w:rFonts w:eastAsia="Times New Roman" w:cs="Times New Roman"/>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970B7AA" w14:textId="77777777" w:rsidR="00F53E3A" w:rsidRDefault="0036255F">
            <w:pPr>
              <w:pStyle w:val="P68B1DB1-Normal12"/>
              <w:spacing w:before="60" w:after="60"/>
              <w:jc w:val="center"/>
              <w:rPr>
                <w:rFonts w:eastAsia="Times New Roman" w:cs="Times New Roman"/>
                <w:noProof/>
              </w:rPr>
            </w:pPr>
            <w:r>
              <w:rPr>
                <w:noProof/>
              </w:rPr>
              <w:t>2022</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4DA70BC" w14:textId="77777777" w:rsidR="00F53E3A" w:rsidRDefault="0036255F">
            <w:pPr>
              <w:pStyle w:val="P68B1DB1-Normal12"/>
              <w:spacing w:before="60" w:after="60"/>
              <w:jc w:val="both"/>
              <w:rPr>
                <w:rFonts w:eastAsia="Times New Roman" w:cs="Times New Roman"/>
                <w:noProof/>
              </w:rPr>
            </w:pPr>
            <w:r>
              <w:rPr>
                <w:noProof/>
              </w:rPr>
              <w:t>Licențele dobândite pentru software-ul de automatizare a proceselor robotice vor fi utilizate pentru automatizarea a două procese comerciale ale Inspectoratului Fiscal de Stat:</w:t>
            </w:r>
          </w:p>
          <w:p w14:paraId="6B23A13B" w14:textId="79343429" w:rsidR="00F53E3A" w:rsidRDefault="0036255F">
            <w:pPr>
              <w:pStyle w:val="P68B1DB1-Normal12"/>
              <w:spacing w:before="60" w:after="60"/>
              <w:jc w:val="both"/>
              <w:rPr>
                <w:rFonts w:eastAsia="Times New Roman" w:cs="Times New Roman"/>
                <w:noProof/>
              </w:rPr>
            </w:pPr>
            <w:r>
              <w:rPr>
                <w:noProof/>
              </w:rPr>
              <w:t>— Emiterea de decizii și protocoale pentru încălcări ale dreptului administrativ;</w:t>
            </w:r>
          </w:p>
          <w:p w14:paraId="3396A7D4" w14:textId="45743D67" w:rsidR="00F53E3A" w:rsidRDefault="0036255F">
            <w:pPr>
              <w:pStyle w:val="P68B1DB1-Normal12"/>
              <w:spacing w:before="60" w:after="60"/>
              <w:jc w:val="both"/>
              <w:rPr>
                <w:rFonts w:eastAsia="Times New Roman" w:cs="Times New Roman"/>
                <w:noProof/>
              </w:rPr>
            </w:pPr>
            <w:r>
              <w:rPr>
                <w:noProof/>
              </w:rPr>
              <w:t>— Revizuirea vechilor arierate și amenzi fiscale.</w:t>
            </w:r>
          </w:p>
        </w:tc>
      </w:tr>
      <w:tr w:rsidR="00F53E3A" w14:paraId="34D5E828" w14:textId="77777777" w:rsidTr="00744366">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DCFC3B4" w14:textId="77777777" w:rsidR="00F53E3A" w:rsidRDefault="0036255F">
            <w:pPr>
              <w:pStyle w:val="P68B1DB1-Normal12"/>
              <w:spacing w:before="60" w:after="60"/>
              <w:jc w:val="center"/>
              <w:rPr>
                <w:rFonts w:eastAsia="Times New Roman" w:cs="Times New Roman"/>
                <w:noProof/>
              </w:rPr>
            </w:pPr>
            <w:r>
              <w:rPr>
                <w:noProof/>
              </w:rPr>
              <w:t>169</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25A8DFF" w14:textId="262F6B27" w:rsidR="00F53E3A" w:rsidRDefault="0036255F">
            <w:pPr>
              <w:spacing w:before="60" w:after="60"/>
              <w:rPr>
                <w:rFonts w:ascii="Times New Roman" w:hAnsi="Times New Roman"/>
                <w:noProof/>
                <w:sz w:val="20"/>
              </w:rPr>
            </w:pPr>
            <w:r>
              <w:rPr>
                <w:rStyle w:val="normaltextrun"/>
                <w:rFonts w:ascii="Times New Roman" w:hAnsi="Times New Roman"/>
                <w:noProof/>
                <w:sz w:val="20"/>
              </w:rPr>
              <w:t xml:space="preserve">F.1.6. O administrație fiscală inteligentă pentru a reduce deficitul de încasare a TVA — </w:t>
            </w:r>
          </w:p>
          <w:p w14:paraId="7B46BBF9" w14:textId="40811049" w:rsidR="00F53E3A" w:rsidRDefault="0036255F">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F.1.6.4. Digitalizarea timbrelor fiscale</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3A62967" w14:textId="77777777" w:rsidR="00F53E3A" w:rsidRDefault="0036255F">
            <w:pPr>
              <w:pStyle w:val="P68B1DB1-Normal12"/>
              <w:spacing w:before="60" w:after="60"/>
              <w:jc w:val="center"/>
              <w:rPr>
                <w:rFonts w:eastAsia="Times New Roman"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C833C8" w14:textId="50DFE5EC" w:rsidR="00F53E3A" w:rsidRDefault="0036255F">
            <w:pPr>
              <w:pStyle w:val="P68B1DB1-Normal12"/>
              <w:spacing w:before="60" w:after="60"/>
              <w:rPr>
                <w:rFonts w:eastAsia="Times New Roman" w:cs="Times New Roman"/>
                <w:noProof/>
              </w:rPr>
            </w:pPr>
            <w:r>
              <w:rPr>
                <w:noProof/>
              </w:rPr>
              <w:t>Finalizarea proiectului-pilot privind înlocuirea timbrelor fiscale fizice pentru băuturile alcoolice cu soluții digitale</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64FCA39" w14:textId="2A2DBCA1" w:rsidR="00F53E3A" w:rsidRDefault="0036255F">
            <w:pPr>
              <w:pStyle w:val="P68B1DB1-Normal12"/>
              <w:spacing w:before="60" w:after="60"/>
              <w:rPr>
                <w:rFonts w:eastAsia="Times New Roman" w:cs="Times New Roman"/>
                <w:noProof/>
              </w:rPr>
            </w:pPr>
            <w:r>
              <w:rPr>
                <w:noProof/>
              </w:rPr>
              <w:t>Prezentarea raportului privind rezultatele proiectului-pilot</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E0DE3C4" w14:textId="40D3347C" w:rsidR="00F53E3A" w:rsidRDefault="00F53E3A">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5E7C819" w14:textId="74DF97E5" w:rsidR="00F53E3A" w:rsidRDefault="00F53E3A">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7F41E28" w14:textId="785520FE" w:rsidR="00F53E3A" w:rsidRDefault="00F53E3A">
            <w:pPr>
              <w:spacing w:before="60" w:after="60"/>
              <w:jc w:val="center"/>
              <w:rPr>
                <w:rFonts w:ascii="Times New Roman" w:eastAsia="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B35AB69" w14:textId="4D38077B" w:rsidR="00F53E3A" w:rsidRDefault="00DB2EC5">
            <w:pPr>
              <w:pStyle w:val="P68B1DB1-Normal12"/>
              <w:spacing w:before="60" w:after="60"/>
              <w:jc w:val="center"/>
              <w:rPr>
                <w:rFonts w:eastAsia="Times New Roman" w:cs="Times New Roman"/>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4FDD4E7" w14:textId="77777777" w:rsidR="00F53E3A" w:rsidRDefault="0036255F">
            <w:pPr>
              <w:pStyle w:val="P68B1DB1-Normal12"/>
              <w:spacing w:before="60" w:after="60"/>
              <w:jc w:val="center"/>
              <w:rPr>
                <w:rFonts w:eastAsia="Times New Roman" w:cs="Times New Roman"/>
                <w:noProof/>
              </w:rPr>
            </w:pPr>
            <w:r>
              <w:rPr>
                <w:noProof/>
              </w:rPr>
              <w:t>2024</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356D91E" w14:textId="77777777" w:rsidR="00F53E3A" w:rsidRDefault="0036255F">
            <w:pPr>
              <w:pStyle w:val="P68B1DB1-Normal12"/>
              <w:spacing w:before="60" w:after="60"/>
              <w:jc w:val="both"/>
              <w:rPr>
                <w:noProof/>
              </w:rPr>
            </w:pPr>
            <w:r>
              <w:rPr>
                <w:noProof/>
              </w:rPr>
              <w:t>Finalizarea proiectului-pilot permite:</w:t>
            </w:r>
          </w:p>
          <w:p w14:paraId="463C374E" w14:textId="197B45E7" w:rsidR="00F53E3A" w:rsidRDefault="0036255F">
            <w:pPr>
              <w:pStyle w:val="P68B1DB1-Normal12"/>
              <w:spacing w:before="60" w:after="60"/>
              <w:jc w:val="both"/>
              <w:rPr>
                <w:rFonts w:cs="Times New Roman"/>
                <w:noProof/>
              </w:rPr>
            </w:pPr>
            <w:r>
              <w:rPr>
                <w:noProof/>
              </w:rPr>
              <w:t xml:space="preserve">1) să evalueze posibilitățile de înlocuire a timbrelor fiscale pe suport de hârtie utilizate în prezent pentru a proteja piața împotriva băuturilor alcoolice ilegale cu soluții digitale pentru etichetarea unor astfel de produse; </w:t>
            </w:r>
          </w:p>
          <w:p w14:paraId="13F02ECE" w14:textId="63AEDD30" w:rsidR="00F53E3A" w:rsidRDefault="0036255F">
            <w:pPr>
              <w:pStyle w:val="P68B1DB1-Normal12"/>
              <w:spacing w:before="60" w:after="60"/>
              <w:jc w:val="both"/>
              <w:rPr>
                <w:rFonts w:cs="Times New Roman"/>
                <w:noProof/>
              </w:rPr>
            </w:pPr>
            <w:r>
              <w:rPr>
                <w:noProof/>
              </w:rPr>
              <w:t>2) evaluarea posibilităților de reducere a sarcinii administrative și a costurilor legate de etichetarea băuturilor alcoolice pentru operatorii economici.</w:t>
            </w:r>
          </w:p>
          <w:p w14:paraId="08DD8221" w14:textId="5E4EE691" w:rsidR="00F53E3A" w:rsidRDefault="0036255F">
            <w:pPr>
              <w:pStyle w:val="P68B1DB1-Normal12"/>
              <w:spacing w:before="60" w:after="60"/>
              <w:jc w:val="both"/>
              <w:rPr>
                <w:rFonts w:eastAsia="Times New Roman" w:cs="Times New Roman"/>
                <w:noProof/>
              </w:rPr>
            </w:pPr>
            <w:r>
              <w:rPr>
                <w:noProof/>
              </w:rPr>
              <w:t>Pe baza rezultatelor proiectului-pilot, Inspectoratul Fiscal de Stat decide dacă să dezvolte un modul specific care să permită etichetarea electronică a băuturilor alcoolice.</w:t>
            </w:r>
          </w:p>
        </w:tc>
      </w:tr>
      <w:tr w:rsidR="00F53E3A" w14:paraId="485401E8" w14:textId="77777777" w:rsidTr="00744366">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D381AE7" w14:textId="5FB7F453" w:rsidR="00F53E3A" w:rsidRDefault="0036255F">
            <w:pPr>
              <w:pStyle w:val="P68B1DB1-Normal12"/>
              <w:spacing w:before="60" w:after="60"/>
              <w:jc w:val="center"/>
              <w:rPr>
                <w:strike/>
                <w:noProof/>
              </w:rPr>
            </w:pPr>
            <w:r>
              <w:rPr>
                <w:noProof/>
              </w:rPr>
              <w:t>170</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1374C9E" w14:textId="79E6C6A3" w:rsidR="00F53E3A" w:rsidRDefault="0036255F">
            <w:pPr>
              <w:spacing w:before="60" w:after="60"/>
              <w:rPr>
                <w:rFonts w:ascii="Times New Roman" w:hAnsi="Times New Roman"/>
                <w:noProof/>
                <w:sz w:val="20"/>
              </w:rPr>
            </w:pPr>
            <w:r>
              <w:rPr>
                <w:rStyle w:val="normaltextrun"/>
                <w:rFonts w:ascii="Times New Roman" w:hAnsi="Times New Roman"/>
                <w:noProof/>
                <w:sz w:val="20"/>
              </w:rPr>
              <w:t xml:space="preserve">F.1.6. O administrație fiscală inteligentă pentru a reduce deficitul de încasare a TVA — </w:t>
            </w:r>
          </w:p>
          <w:p w14:paraId="3C6CD7A0" w14:textId="043C87ED" w:rsidR="00F53E3A" w:rsidRDefault="0036255F">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F.1.6.5. Noi instrumente de analiză a datelor și modernizarea sistemelor informatice ale autorităților vamale lituaniene</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98E872" w14:textId="07375814"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31A36A8" w14:textId="51E095CA" w:rsidR="00F53E3A" w:rsidRDefault="0036255F">
            <w:pPr>
              <w:pStyle w:val="P68B1DB1-Normal12"/>
              <w:spacing w:before="60" w:after="60"/>
              <w:rPr>
                <w:rFonts w:cs="Times New Roman"/>
                <w:noProof/>
              </w:rPr>
            </w:pPr>
            <w:r>
              <w:rPr>
                <w:noProof/>
              </w:rPr>
              <w:t>Furnizarea a cinci noi metode de analiză a datelor pentru gestionarea riscurilor fiscale în domeniul vamal în Lituania</w:t>
            </w:r>
            <w:r>
              <w:rPr>
                <w:strike/>
                <w:noProof/>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C809CC9" w14:textId="375D9087" w:rsidR="00F53E3A" w:rsidRDefault="0036255F">
            <w:pPr>
              <w:pStyle w:val="P68B1DB1-Normal12"/>
              <w:spacing w:before="60" w:after="60"/>
              <w:rPr>
                <w:rFonts w:cs="Times New Roman"/>
                <w:noProof/>
              </w:rPr>
            </w:pPr>
            <w:r>
              <w:rPr>
                <w:noProof/>
              </w:rPr>
              <w:t xml:space="preserve">Furnizarea de noi metode de analiză a datelor pentru gestionarea riscurilor fiscale în domeniul vamal în Lituania </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D0B963E" w14:textId="7ED8D102"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08FD6D0" w14:textId="13C548A9"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930C100" w14:textId="71AA3D45" w:rsidR="00F53E3A" w:rsidRDefault="00F53E3A">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E691C3B" w14:textId="6B1E598F" w:rsidR="00F53E3A" w:rsidRDefault="00DB2EC5">
            <w:pPr>
              <w:pStyle w:val="P68B1DB1-Normal12"/>
              <w:spacing w:before="60" w:after="60"/>
              <w:jc w:val="center"/>
              <w:rPr>
                <w:rFonts w:cs="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16CC73E" w14:textId="1613A6FA" w:rsidR="00F53E3A" w:rsidRDefault="0036255F">
            <w:pPr>
              <w:pStyle w:val="P68B1DB1-Normal12"/>
              <w:spacing w:before="60" w:after="60"/>
              <w:jc w:val="center"/>
              <w:rPr>
                <w:rFonts w:cs="Times New Roman"/>
                <w:noProof/>
              </w:rPr>
            </w:pPr>
            <w:r>
              <w:rPr>
                <w:noProof/>
              </w:rPr>
              <w:t>2025</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18E69E" w14:textId="14886ABE" w:rsidR="00F53E3A" w:rsidRDefault="0036255F">
            <w:pPr>
              <w:pStyle w:val="P68B1DB1-Normal13"/>
              <w:spacing w:before="60" w:after="60"/>
              <w:jc w:val="both"/>
              <w:rPr>
                <w:strike/>
                <w:noProof/>
              </w:rPr>
            </w:pPr>
            <w:r>
              <w:rPr>
                <w:noProof/>
              </w:rPr>
              <w:t>Furnizarea a cinci noi metode de analiză a datelor pentru gestionarea riscurilor fiscale vamale în Lituania.</w:t>
            </w:r>
          </w:p>
        </w:tc>
      </w:tr>
      <w:tr w:rsidR="00F53E3A" w14:paraId="753D4682" w14:textId="77777777" w:rsidTr="00744366">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9D9F832" w14:textId="77777777" w:rsidR="00F53E3A" w:rsidRDefault="0036255F">
            <w:pPr>
              <w:pStyle w:val="P68B1DB1-Normal12"/>
              <w:spacing w:before="60" w:after="60"/>
              <w:jc w:val="center"/>
              <w:rPr>
                <w:rFonts w:cs="Times New Roman"/>
                <w:noProof/>
              </w:rPr>
            </w:pPr>
            <w:r>
              <w:rPr>
                <w:noProof/>
              </w:rPr>
              <w:t>171</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64B894E" w14:textId="54186114" w:rsidR="00F53E3A" w:rsidRDefault="0036255F">
            <w:pPr>
              <w:spacing w:before="60" w:after="60"/>
              <w:rPr>
                <w:rFonts w:ascii="Times New Roman" w:hAnsi="Times New Roman"/>
                <w:noProof/>
                <w:sz w:val="20"/>
              </w:rPr>
            </w:pPr>
            <w:r>
              <w:rPr>
                <w:rStyle w:val="normaltextrun"/>
                <w:rFonts w:ascii="Times New Roman" w:hAnsi="Times New Roman"/>
                <w:noProof/>
                <w:sz w:val="20"/>
              </w:rPr>
              <w:t xml:space="preserve">F.1.6. O administrație fiscală inteligentă pentru a reduce deficitul de încasare a TVA — </w:t>
            </w:r>
          </w:p>
          <w:p w14:paraId="1A138AFB" w14:textId="255F5BA5" w:rsidR="00F53E3A" w:rsidRDefault="0036255F">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F.1.6.5. Noi instrumente de analiză a datelor și modernizarea sistemelor informatice ale autorităților vamale lituaniene</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AC77979" w14:textId="77777777" w:rsidR="00F53E3A" w:rsidRDefault="0036255F">
            <w:pPr>
              <w:pStyle w:val="P68B1DB1-Normal12"/>
              <w:spacing w:before="60" w:after="60"/>
              <w:jc w:val="center"/>
              <w:rPr>
                <w:rFonts w:cs="Times New Roman"/>
                <w:noProof/>
              </w:rPr>
            </w:pPr>
            <w:r>
              <w:rPr>
                <w:noProof/>
              </w:rPr>
              <w:t>Țintă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18C234C" w14:textId="49816827" w:rsidR="00F53E3A" w:rsidRDefault="0036255F">
            <w:pPr>
              <w:pStyle w:val="P68B1DB1-Normal12"/>
              <w:spacing w:before="60" w:after="60"/>
              <w:rPr>
                <w:noProof/>
              </w:rPr>
            </w:pPr>
            <w:r>
              <w:rPr>
                <w:noProof/>
              </w:rPr>
              <w:t>Furnizarea sistemului integrat de control al vehiculelor și mărfurilor (TRAKIS) și a interfețelor cu utilizatorii externi</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832FCB2" w14:textId="5E397B71" w:rsidR="00F53E3A" w:rsidRDefault="00F53E3A">
            <w:pPr>
              <w:spacing w:before="60" w:after="60"/>
              <w:rPr>
                <w:rFonts w:ascii="Times New Roman" w:eastAsia="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714E33A" w14:textId="77777777" w:rsidR="00F53E3A" w:rsidRDefault="0036255F">
            <w:pPr>
              <w:pStyle w:val="P68B1DB1-Normal12"/>
              <w:spacing w:before="60" w:after="60"/>
              <w:jc w:val="center"/>
              <w:rPr>
                <w:rFonts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75DE223" w14:textId="77777777" w:rsidR="00F53E3A" w:rsidRDefault="0036255F">
            <w:pPr>
              <w:pStyle w:val="P68B1DB1-Normal12"/>
              <w:spacing w:before="60" w:after="60"/>
              <w:jc w:val="center"/>
              <w:rPr>
                <w:rFonts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7B95027" w14:textId="77777777" w:rsidR="00F53E3A" w:rsidRDefault="0036255F">
            <w:pPr>
              <w:pStyle w:val="P68B1DB1-Normal12"/>
              <w:spacing w:before="60" w:after="60"/>
              <w:jc w:val="center"/>
              <w:rPr>
                <w:rFonts w:cs="Times New Roman"/>
                <w:noProof/>
              </w:rPr>
            </w:pPr>
            <w:r>
              <w:rPr>
                <w:noProof/>
              </w:rPr>
              <w:t>6</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B44B02D" w14:textId="7A654490" w:rsidR="00F53E3A" w:rsidRDefault="00DB2EC5">
            <w:pPr>
              <w:pStyle w:val="P68B1DB1-Normal12"/>
              <w:spacing w:before="60" w:after="60"/>
              <w:jc w:val="center"/>
              <w:rPr>
                <w:rFonts w:cs="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527772D" w14:textId="77777777" w:rsidR="00F53E3A" w:rsidRDefault="0036255F">
            <w:pPr>
              <w:pStyle w:val="P68B1DB1-Normal12"/>
              <w:spacing w:before="60" w:after="60"/>
              <w:jc w:val="center"/>
              <w:rPr>
                <w:rFonts w:cs="Times New Roman"/>
                <w:noProof/>
              </w:rPr>
            </w:pPr>
            <w:r>
              <w:rPr>
                <w:noProof/>
              </w:rPr>
              <w:t>2025</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6442366" w14:textId="0826B009" w:rsidR="00F53E3A" w:rsidRDefault="0036255F">
            <w:pPr>
              <w:pStyle w:val="P68B1DB1-Normal12"/>
              <w:spacing w:before="60" w:after="60"/>
              <w:jc w:val="both"/>
              <w:rPr>
                <w:rFonts w:eastAsia="Times New Roman" w:cs="Times New Roman"/>
                <w:noProof/>
              </w:rPr>
            </w:pPr>
            <w:r>
              <w:rPr>
                <w:noProof/>
              </w:rPr>
              <w:t>Furnizarea de:</w:t>
            </w:r>
          </w:p>
          <w:p w14:paraId="0FF52CA0" w14:textId="4F3BF121" w:rsidR="00F53E3A" w:rsidRDefault="0036255F">
            <w:pPr>
              <w:pStyle w:val="P68B1DB1-Normal12"/>
              <w:spacing w:before="60" w:after="60"/>
              <w:rPr>
                <w:rFonts w:eastAsia="Times New Roman" w:cs="Times New Roman"/>
                <w:noProof/>
              </w:rPr>
            </w:pPr>
            <w:r>
              <w:rPr>
                <w:noProof/>
              </w:rPr>
              <w:t>(a) un sistem integrat de control al vehiculelor și mărfurilor (TRAKIS) – un subsistem al Sistemului integrat de informații al vămilor; și</w:t>
            </w:r>
          </w:p>
          <w:p w14:paraId="30FC1676" w14:textId="488F98F6" w:rsidR="00F53E3A" w:rsidRDefault="0036255F">
            <w:pPr>
              <w:pStyle w:val="P68B1DB1-Normal12"/>
              <w:spacing w:before="60" w:after="60"/>
              <w:jc w:val="both"/>
              <w:rPr>
                <w:rFonts w:eastAsia="Times New Roman" w:cs="Times New Roman"/>
                <w:noProof/>
              </w:rPr>
            </w:pPr>
            <w:r>
              <w:rPr>
                <w:noProof/>
              </w:rPr>
              <w:t>(b) cinci interfețe, între TRAKIS și;</w:t>
            </w:r>
          </w:p>
          <w:p w14:paraId="2EC11775" w14:textId="68D244AC" w:rsidR="00F53E3A" w:rsidRDefault="0036255F">
            <w:pPr>
              <w:pStyle w:val="P68B1DB1-Normal12"/>
              <w:spacing w:before="60" w:after="60"/>
              <w:jc w:val="both"/>
              <w:rPr>
                <w:rFonts w:eastAsia="Times New Roman" w:cs="Times New Roman"/>
                <w:noProof/>
              </w:rPr>
            </w:pPr>
            <w:r>
              <w:rPr>
                <w:noProof/>
              </w:rPr>
              <w:t>— sistemul Inspectoratului Fiscal de Stat „i.VAZ” [un subsistem al sistemului inteligent de administrare fiscală (i.MAS)]</w:t>
            </w:r>
          </w:p>
          <w:p w14:paraId="2BC4CA2F" w14:textId="0606D3E8" w:rsidR="00F53E3A" w:rsidRDefault="0036255F">
            <w:pPr>
              <w:pStyle w:val="P68B1DB1-Normal12"/>
              <w:spacing w:before="60" w:after="60"/>
              <w:jc w:val="both"/>
              <w:rPr>
                <w:noProof/>
              </w:rPr>
            </w:pPr>
            <w:r>
              <w:rPr>
                <w:noProof/>
              </w:rPr>
              <w:t>— sistemul „VSATIS” al Serviciului Național al Poliției de Frontieră;</w:t>
            </w:r>
          </w:p>
          <w:p w14:paraId="1E9F25F6" w14:textId="12D92C46" w:rsidR="00F53E3A" w:rsidRDefault="0036255F">
            <w:pPr>
              <w:pStyle w:val="P68B1DB1-Normal12"/>
              <w:spacing w:before="60" w:after="60"/>
              <w:jc w:val="both"/>
              <w:rPr>
                <w:noProof/>
              </w:rPr>
            </w:pPr>
            <w:r>
              <w:rPr>
                <w:noProof/>
              </w:rPr>
              <w:t xml:space="preserve">— sistemul portuar maritim Klaipėda „KIPIS”; </w:t>
            </w:r>
          </w:p>
          <w:p w14:paraId="42D6BD57" w14:textId="4EFC1970" w:rsidR="00F53E3A" w:rsidRDefault="0036255F">
            <w:pPr>
              <w:pStyle w:val="P68B1DB1-Normal12"/>
              <w:spacing w:before="60" w:after="60"/>
              <w:jc w:val="both"/>
              <w:rPr>
                <w:noProof/>
              </w:rPr>
            </w:pPr>
            <w:r>
              <w:rPr>
                <w:noProof/>
              </w:rPr>
              <w:t xml:space="preserve">— Sistemul de gestionare a traficului la punctul de trecere a frontierei Medininkai; </w:t>
            </w:r>
          </w:p>
          <w:p w14:paraId="24CA0562" w14:textId="26906AA3" w:rsidR="00F53E3A" w:rsidRDefault="0036255F">
            <w:pPr>
              <w:pStyle w:val="P68B1DB1-Normal12"/>
              <w:spacing w:before="60" w:after="60"/>
              <w:jc w:val="both"/>
              <w:rPr>
                <w:noProof/>
              </w:rPr>
            </w:pPr>
            <w:r>
              <w:rPr>
                <w:noProof/>
              </w:rPr>
              <w:t>— furnizorul de software JSC «Softra» «Licence Plate Recognition System SOFTRA Cloud v3.0».</w:t>
            </w:r>
          </w:p>
        </w:tc>
      </w:tr>
      <w:tr w:rsidR="00F53E3A" w14:paraId="6EAC21E2" w14:textId="77777777" w:rsidTr="00744366">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AC6D51F" w14:textId="77777777" w:rsidR="00F53E3A" w:rsidRDefault="0036255F">
            <w:pPr>
              <w:pStyle w:val="P68B1DB1-Normal12"/>
              <w:spacing w:before="60" w:after="60"/>
              <w:jc w:val="center"/>
              <w:rPr>
                <w:rFonts w:cs="Times New Roman"/>
                <w:noProof/>
              </w:rPr>
            </w:pPr>
            <w:r>
              <w:rPr>
                <w:noProof/>
              </w:rPr>
              <w:t>172</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1F4A286" w14:textId="07D13944" w:rsidR="00F53E3A" w:rsidRDefault="0036255F">
            <w:pPr>
              <w:spacing w:before="60" w:after="60"/>
              <w:rPr>
                <w:rFonts w:ascii="Times New Roman" w:hAnsi="Times New Roman"/>
                <w:noProof/>
                <w:sz w:val="20"/>
              </w:rPr>
            </w:pPr>
            <w:r>
              <w:rPr>
                <w:rStyle w:val="normaltextrun"/>
                <w:rFonts w:ascii="Times New Roman" w:hAnsi="Times New Roman"/>
                <w:noProof/>
                <w:sz w:val="20"/>
              </w:rPr>
              <w:t xml:space="preserve">F.1.6. O administrație fiscală inteligentă pentru a reduce deficitul de încasare a TVA — </w:t>
            </w:r>
          </w:p>
          <w:p w14:paraId="48EAF5AE" w14:textId="46512491" w:rsidR="00F53E3A" w:rsidRDefault="0036255F">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F.1.6.6. Formarea personalului Inspectoratului fiscal de stat și al vămilor lituaniene</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8DFF1DE" w14:textId="77777777"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4ED3CD" w14:textId="49DDF371" w:rsidR="00F53E3A" w:rsidRDefault="0036255F">
            <w:pPr>
              <w:pStyle w:val="P68B1DB1-Normal12"/>
              <w:spacing w:before="60" w:after="60"/>
              <w:rPr>
                <w:rFonts w:eastAsia="Times New Roman" w:cs="Times New Roman"/>
                <w:noProof/>
              </w:rPr>
            </w:pPr>
            <w:r>
              <w:rPr>
                <w:noProof/>
              </w:rPr>
              <w:t>Instrumente de gestionare a competențelor Inspectoratului Fiscal de Stat, ale personalului vamal lituanian și ale clienților</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5202694" w14:textId="0DA03A46" w:rsidR="00F53E3A" w:rsidRDefault="0036255F">
            <w:pPr>
              <w:pStyle w:val="P68B1DB1-Normal12"/>
              <w:spacing w:before="60" w:after="60"/>
              <w:rPr>
                <w:rFonts w:eastAsia="Times New Roman" w:cs="Times New Roman"/>
                <w:noProof/>
              </w:rPr>
            </w:pPr>
            <w:r>
              <w:rPr>
                <w:noProof/>
              </w:rPr>
              <w:t xml:space="preserve">Furnizarea de instrumente în scopuri de formare în cadrul Inspectoratului Fiscal de Stat și al vămilor lituaniene </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D74E411" w14:textId="4C81E246"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85E3406" w14:textId="58B901AB"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0FE8779" w14:textId="1810D49B" w:rsidR="00F53E3A" w:rsidRDefault="00F53E3A">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F9FF6C2" w14:textId="30E8E714" w:rsidR="00F53E3A" w:rsidRDefault="00DB2EC5">
            <w:pPr>
              <w:pStyle w:val="P68B1DB1-Normal12"/>
              <w:spacing w:before="60" w:after="60"/>
              <w:jc w:val="center"/>
              <w:rPr>
                <w:rFonts w:cs="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CA6D75" w14:textId="7D777355" w:rsidR="00F53E3A" w:rsidRDefault="0036255F">
            <w:pPr>
              <w:pStyle w:val="P68B1DB1-Normal12"/>
              <w:spacing w:before="60" w:after="60"/>
              <w:jc w:val="center"/>
              <w:rPr>
                <w:rFonts w:cs="Times New Roman"/>
                <w:noProof/>
              </w:rPr>
            </w:pPr>
            <w:r>
              <w:rPr>
                <w:noProof/>
              </w:rPr>
              <w:t>2025</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9C1E649" w14:textId="44A87CD4" w:rsidR="00F53E3A" w:rsidRDefault="0036255F">
            <w:pPr>
              <w:pStyle w:val="P68B1DB1-Normal12"/>
              <w:spacing w:before="60" w:after="60"/>
              <w:jc w:val="both"/>
              <w:rPr>
                <w:strike/>
                <w:noProof/>
              </w:rPr>
            </w:pPr>
            <w:r>
              <w:rPr>
                <w:noProof/>
              </w:rPr>
              <w:t>Furnizarea (a) unui instrument digital de gestionare a formării în cadrul vămilor lituaniene; (b) șapte module de formare pentru funcționarii vamali și/sau clienții lituanieni, inclusiv cel puțin un modul care utilizează realitatea virtuală; (c) un registru al resurselor de învățare din cadrul Inspectoratului Fiscal de Stat.</w:t>
            </w:r>
          </w:p>
        </w:tc>
      </w:tr>
      <w:tr w:rsidR="00F53E3A" w14:paraId="1A72957C" w14:textId="77777777" w:rsidTr="00744366">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C9CD11D" w14:textId="77777777" w:rsidR="00F53E3A" w:rsidRDefault="0036255F">
            <w:pPr>
              <w:pStyle w:val="P68B1DB1-Normal12"/>
              <w:spacing w:before="60" w:after="60"/>
              <w:jc w:val="center"/>
              <w:rPr>
                <w:rFonts w:cs="Times New Roman"/>
                <w:noProof/>
              </w:rPr>
            </w:pPr>
            <w:r>
              <w:rPr>
                <w:noProof/>
              </w:rPr>
              <w:t>173</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4895539" w14:textId="1CA4856C" w:rsidR="00F53E3A" w:rsidRDefault="0036255F">
            <w:pPr>
              <w:spacing w:before="60" w:after="60"/>
              <w:rPr>
                <w:rFonts w:ascii="Times New Roman" w:hAnsi="Times New Roman"/>
                <w:noProof/>
                <w:sz w:val="20"/>
              </w:rPr>
            </w:pPr>
            <w:r>
              <w:rPr>
                <w:rStyle w:val="normaltextrun"/>
                <w:rFonts w:ascii="Times New Roman" w:hAnsi="Times New Roman"/>
                <w:noProof/>
                <w:sz w:val="20"/>
              </w:rPr>
              <w:t xml:space="preserve">F.1.6. O administrație fiscală inteligentă pentru a reduce deficitul de încasare a TVA — </w:t>
            </w:r>
          </w:p>
          <w:p w14:paraId="070F22AD" w14:textId="59A4DB99" w:rsidR="00F53E3A" w:rsidRDefault="0036255F">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F.1.6.6. Formarea personalului Inspectoratului fiscal de stat și al vămilor lituaniene</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AB1F1DB" w14:textId="77777777" w:rsidR="00F53E3A" w:rsidRDefault="0036255F">
            <w:pPr>
              <w:pStyle w:val="P68B1DB1-Normal12"/>
              <w:spacing w:before="60" w:after="60"/>
              <w:jc w:val="center"/>
              <w:rPr>
                <w:rFonts w:cs="Times New Roman"/>
                <w:noProof/>
              </w:rPr>
            </w:pPr>
            <w:r>
              <w:rPr>
                <w:noProof/>
              </w:rPr>
              <w:t>Țintă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7984270" w14:textId="0F1996BD" w:rsidR="00F53E3A" w:rsidRDefault="0036255F">
            <w:pPr>
              <w:pStyle w:val="P68B1DB1-Normal12"/>
              <w:spacing w:before="60" w:after="60"/>
              <w:rPr>
                <w:rFonts w:eastAsia="Times New Roman" w:cs="Times New Roman"/>
                <w:noProof/>
              </w:rPr>
            </w:pPr>
            <w:r>
              <w:rPr>
                <w:noProof/>
              </w:rPr>
              <w:t>Participarea la activități de formare</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739A166" w14:textId="64936B00" w:rsidR="00F53E3A" w:rsidRDefault="00F53E3A">
            <w:pPr>
              <w:spacing w:before="60" w:after="60"/>
              <w:rPr>
                <w:rFonts w:ascii="Times New Roman" w:eastAsia="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8F1904F" w14:textId="77777777" w:rsidR="00F53E3A" w:rsidRDefault="0036255F">
            <w:pPr>
              <w:pStyle w:val="P68B1DB1-Normal12"/>
              <w:spacing w:before="60" w:after="60"/>
              <w:jc w:val="center"/>
              <w:rPr>
                <w:rFonts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63A00C4" w14:textId="77777777" w:rsidR="00F53E3A" w:rsidRDefault="0036255F">
            <w:pPr>
              <w:pStyle w:val="P68B1DB1-Normal12"/>
              <w:spacing w:before="60" w:after="60"/>
              <w:jc w:val="center"/>
              <w:rPr>
                <w:rFonts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A3C1F6B" w14:textId="3A24D3B4" w:rsidR="00F53E3A" w:rsidRDefault="0036255F">
            <w:pPr>
              <w:pStyle w:val="P68B1DB1-Normal12"/>
              <w:spacing w:before="60" w:after="60"/>
              <w:jc w:val="center"/>
              <w:rPr>
                <w:rFonts w:cs="Times New Roman"/>
                <w:noProof/>
              </w:rPr>
            </w:pPr>
            <w:r>
              <w:rPr>
                <w:noProof/>
              </w:rPr>
              <w:t>1 050</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F8E18E7" w14:textId="7B09C1A5" w:rsidR="00F53E3A" w:rsidRDefault="00DB2EC5">
            <w:pPr>
              <w:pStyle w:val="P68B1DB1-Normal12"/>
              <w:spacing w:before="60" w:after="60"/>
              <w:jc w:val="center"/>
              <w:rPr>
                <w:rFonts w:cs="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95DFEE7" w14:textId="77777777" w:rsidR="00F53E3A" w:rsidRDefault="0036255F">
            <w:pPr>
              <w:pStyle w:val="P68B1DB1-Normal12"/>
              <w:spacing w:before="60" w:after="60"/>
              <w:jc w:val="center"/>
              <w:rPr>
                <w:rFonts w:cs="Times New Roman"/>
                <w:noProof/>
              </w:rPr>
            </w:pPr>
            <w:r>
              <w:rPr>
                <w:noProof/>
              </w:rPr>
              <w:t>2025</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608CB79" w14:textId="1104EA10" w:rsidR="00F53E3A" w:rsidRDefault="0036255F">
            <w:pPr>
              <w:pStyle w:val="P68B1DB1-Normal12"/>
              <w:spacing w:before="60" w:after="60"/>
              <w:jc w:val="both"/>
              <w:rPr>
                <w:noProof/>
              </w:rPr>
            </w:pPr>
            <w:r>
              <w:rPr>
                <w:noProof/>
              </w:rPr>
              <w:t>Cel puțin 1 050 de certificate de formare profesională eliberate. Se eliberează cel puțin 800 certificate pentru cursurile de formare din cadrul Inspectoratului Fiscal de Stat și cel puțin 250 certificate pentru cursurile de formare din domeniul vamal din Lituania.</w:t>
            </w:r>
          </w:p>
        </w:tc>
      </w:tr>
      <w:tr w:rsidR="00F53E3A" w14:paraId="57777E88" w14:textId="77777777" w:rsidTr="00744366">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8DD7630" w14:textId="77777777" w:rsidR="00F53E3A" w:rsidRDefault="0036255F">
            <w:pPr>
              <w:pStyle w:val="P68B1DB1-Normal12"/>
              <w:spacing w:before="60" w:after="60"/>
              <w:jc w:val="center"/>
              <w:rPr>
                <w:rFonts w:cs="Times New Roman"/>
                <w:noProof/>
              </w:rPr>
            </w:pPr>
            <w:r>
              <w:rPr>
                <w:noProof/>
              </w:rPr>
              <w:t>174</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80A3C9C" w14:textId="2B1CA2F4" w:rsidR="00F53E3A" w:rsidRDefault="0036255F">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F.1.7. Furnizarea unui ecosistem de documente electronice</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BC3ED7C" w14:textId="77777777"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67A8C76" w14:textId="27A0B743" w:rsidR="00F53E3A" w:rsidRDefault="0036255F">
            <w:pPr>
              <w:pStyle w:val="P68B1DB1-Normal12"/>
              <w:spacing w:before="60" w:after="60"/>
              <w:rPr>
                <w:rFonts w:eastAsia="Times New Roman" w:cs="Times New Roman"/>
                <w:noProof/>
              </w:rPr>
            </w:pPr>
            <w:r>
              <w:rPr>
                <w:noProof/>
              </w:rPr>
              <w:t>Intrarea în vigoare a actelor legislative privind registrele de casă și chitanțele electronice</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8414753" w14:textId="47EBE012" w:rsidR="00F53E3A" w:rsidRDefault="0036255F">
            <w:pPr>
              <w:pStyle w:val="P68B1DB1-Normal12"/>
              <w:spacing w:before="60" w:after="60"/>
              <w:rPr>
                <w:rFonts w:cs="Times New Roman"/>
                <w:noProof/>
              </w:rPr>
            </w:pPr>
            <w:r>
              <w:rPr>
                <w:noProof/>
              </w:rPr>
              <w:t xml:space="preserve">Intrarea în vigoare a legislației </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B59F0BB" w14:textId="514D3CE1"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474F00A" w14:textId="3E11F0BC"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529975E" w14:textId="7957F2FE" w:rsidR="00F53E3A" w:rsidRDefault="00F53E3A">
            <w:pPr>
              <w:spacing w:before="60" w:after="60"/>
              <w:jc w:val="center"/>
              <w:rPr>
                <w:rFonts w:ascii="Times New Roman" w:eastAsia="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7A0F0AD" w14:textId="5B2FDEBA" w:rsidR="00F53E3A" w:rsidRDefault="00DB2EC5">
            <w:pPr>
              <w:pStyle w:val="P68B1DB1-Normal12"/>
              <w:spacing w:before="60" w:after="60"/>
              <w:jc w:val="center"/>
              <w:rPr>
                <w:rFonts w:cs="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43DFCAE" w14:textId="77777777" w:rsidR="00F53E3A" w:rsidRDefault="0036255F">
            <w:pPr>
              <w:pStyle w:val="P68B1DB1-Normal12"/>
              <w:spacing w:before="60" w:after="60"/>
              <w:jc w:val="center"/>
              <w:rPr>
                <w:rFonts w:cs="Times New Roman"/>
                <w:noProof/>
              </w:rPr>
            </w:pPr>
            <w:r>
              <w:rPr>
                <w:noProof/>
              </w:rPr>
              <w:t>2025</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56ED1E8" w14:textId="54CBE9DE" w:rsidR="00F53E3A" w:rsidRDefault="0036255F">
            <w:pPr>
              <w:pStyle w:val="P68B1DB1-Normal12"/>
              <w:spacing w:before="60" w:after="60"/>
              <w:jc w:val="both"/>
              <w:rPr>
                <w:rFonts w:eastAsia="Times New Roman" w:cs="Times New Roman"/>
                <w:noProof/>
              </w:rPr>
            </w:pPr>
            <w:r>
              <w:rPr>
                <w:noProof/>
              </w:rPr>
              <w:t>Intrarea în vigoare a unei legislații care: să impună întreprinderilor obligația de a furniza administrației fiscale date digitale din casele de marcat; și să stabilească cerințe tehnice obligatorii pentru chitanțele electronice.</w:t>
            </w:r>
          </w:p>
        </w:tc>
      </w:tr>
      <w:tr w:rsidR="00F53E3A" w14:paraId="49A56222" w14:textId="77777777" w:rsidTr="00744366">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E3E0BAA" w14:textId="77777777" w:rsidR="00F53E3A" w:rsidRDefault="0036255F">
            <w:pPr>
              <w:pStyle w:val="P68B1DB1-Normal12"/>
              <w:spacing w:before="60" w:after="60"/>
              <w:jc w:val="center"/>
              <w:rPr>
                <w:rFonts w:cs="Times New Roman"/>
                <w:noProof/>
              </w:rPr>
            </w:pPr>
            <w:r>
              <w:rPr>
                <w:noProof/>
              </w:rPr>
              <w:t>175</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BBABC52" w14:textId="125002C7" w:rsidR="00F53E3A" w:rsidRDefault="0036255F">
            <w:pPr>
              <w:spacing w:before="60" w:after="60"/>
              <w:rPr>
                <w:rFonts w:ascii="Times New Roman" w:hAnsi="Times New Roman"/>
                <w:noProof/>
                <w:sz w:val="20"/>
              </w:rPr>
            </w:pPr>
            <w:r>
              <w:rPr>
                <w:rStyle w:val="normaltextrun"/>
                <w:rFonts w:ascii="Times New Roman" w:hAnsi="Times New Roman"/>
                <w:noProof/>
                <w:sz w:val="20"/>
              </w:rPr>
              <w:t xml:space="preserve">F.1.7. Livrarea unui ecosistem electronic de documente — </w:t>
            </w:r>
          </w:p>
          <w:p w14:paraId="64AB8924" w14:textId="365FFEB2" w:rsidR="00F53E3A" w:rsidRDefault="0036255F">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F.1.7.1. Submăsura 1. Crearea unei soluții care să permită încasările electronice</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3B90604" w14:textId="77777777"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C289C6D" w14:textId="77777777" w:rsidR="00F53E3A" w:rsidRDefault="0036255F">
            <w:pPr>
              <w:pStyle w:val="P68B1DB1-Normal12"/>
              <w:spacing w:before="60" w:after="60"/>
              <w:rPr>
                <w:rFonts w:eastAsia="Times New Roman" w:cs="Times New Roman"/>
                <w:noProof/>
              </w:rPr>
            </w:pPr>
            <w:r>
              <w:rPr>
                <w:noProof/>
              </w:rPr>
              <w:t>Punerea în funcțiune a unor soluții tehnologice care să permită utilizarea practică a chitanțelor electronice în procesele operaționale</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D05B454" w14:textId="77777777" w:rsidR="00F53E3A" w:rsidRDefault="0036255F">
            <w:pPr>
              <w:pStyle w:val="P68B1DB1-Normal12"/>
              <w:spacing w:before="60" w:after="60"/>
              <w:rPr>
                <w:rFonts w:eastAsia="Times New Roman" w:cs="Times New Roman"/>
                <w:noProof/>
              </w:rPr>
            </w:pPr>
            <w:r>
              <w:rPr>
                <w:noProof/>
              </w:rPr>
              <w:t xml:space="preserve">Punerea în funcțiune a noului serviciu electronic </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EE3ACDE" w14:textId="15A67B6B"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F6B9CE2" w14:textId="06F239F7"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E6E7AF2" w14:textId="29DC63ED" w:rsidR="00F53E3A" w:rsidRDefault="00F53E3A">
            <w:pPr>
              <w:spacing w:before="60" w:after="60"/>
              <w:jc w:val="center"/>
              <w:rPr>
                <w:rFonts w:ascii="Times New Roman" w:eastAsia="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F6F5EAB" w14:textId="16E464CB" w:rsidR="00F53E3A" w:rsidRDefault="00DB2EC5">
            <w:pPr>
              <w:pStyle w:val="P68B1DB1-Normal12"/>
              <w:spacing w:before="60" w:after="60"/>
              <w:jc w:val="center"/>
              <w:rPr>
                <w:rFonts w:cs="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E8FAE46" w14:textId="77777777" w:rsidR="00F53E3A" w:rsidRDefault="0036255F">
            <w:pPr>
              <w:pStyle w:val="P68B1DB1-Normal12"/>
              <w:spacing w:before="60" w:after="60"/>
              <w:jc w:val="center"/>
              <w:rPr>
                <w:rFonts w:cs="Times New Roman"/>
                <w:noProof/>
              </w:rPr>
            </w:pPr>
            <w:r>
              <w:rPr>
                <w:noProof/>
              </w:rPr>
              <w:t>2024</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C4C423" w14:textId="348759AF" w:rsidR="00F53E3A" w:rsidRDefault="0036255F">
            <w:pPr>
              <w:pStyle w:val="P68B1DB1-Normal12"/>
              <w:spacing w:before="60" w:after="60"/>
              <w:jc w:val="both"/>
              <w:rPr>
                <w:rFonts w:eastAsia="Times New Roman" w:cs="Times New Roman"/>
                <w:noProof/>
              </w:rPr>
            </w:pPr>
            <w:r>
              <w:rPr>
                <w:noProof/>
              </w:rPr>
              <w:t>Punerea în funcțiune a aplicației (noul serviciu electronic) dezvoltată pentru a genera o chitanță electronică și a o livra de la întreprinderi la consumatori. Această cerere este pusă la dispoziția întreprinderilor de către Inspectoratul Fiscal de Stat.</w:t>
            </w:r>
          </w:p>
        </w:tc>
      </w:tr>
      <w:tr w:rsidR="00F53E3A" w14:paraId="3AA26166" w14:textId="77777777" w:rsidTr="00744366">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8B29003" w14:textId="77777777" w:rsidR="00F53E3A" w:rsidRDefault="0036255F">
            <w:pPr>
              <w:pStyle w:val="P68B1DB1-Normal12"/>
              <w:spacing w:before="60" w:after="60"/>
              <w:jc w:val="center"/>
              <w:rPr>
                <w:rFonts w:cs="Times New Roman"/>
                <w:noProof/>
              </w:rPr>
            </w:pPr>
            <w:r>
              <w:rPr>
                <w:noProof/>
              </w:rPr>
              <w:t>176</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077350" w14:textId="4569232B" w:rsidR="00F53E3A" w:rsidRDefault="0036255F">
            <w:pPr>
              <w:spacing w:before="60" w:after="60"/>
              <w:rPr>
                <w:rFonts w:ascii="Times New Roman" w:hAnsi="Times New Roman"/>
                <w:noProof/>
                <w:sz w:val="20"/>
              </w:rPr>
            </w:pPr>
            <w:r>
              <w:rPr>
                <w:rStyle w:val="normaltextrun"/>
                <w:rFonts w:ascii="Times New Roman" w:hAnsi="Times New Roman"/>
                <w:noProof/>
                <w:sz w:val="20"/>
              </w:rPr>
              <w:t xml:space="preserve">F.1.7. Livrarea unui ecosistem electronic de documente — </w:t>
            </w:r>
          </w:p>
          <w:p w14:paraId="254B9EE1" w14:textId="22875653" w:rsidR="00F53E3A" w:rsidRDefault="0036255F">
            <w:pPr>
              <w:spacing w:before="60" w:after="60"/>
              <w:rPr>
                <w:rStyle w:val="normaltextrun"/>
                <w:rFonts w:ascii="Times New Roman" w:hAnsi="Times New Roman" w:cs="Times New Roman"/>
                <w:noProof/>
                <w:sz w:val="20"/>
              </w:rPr>
            </w:pPr>
            <w:r>
              <w:rPr>
                <w:rStyle w:val="normaltextrun"/>
                <w:rFonts w:ascii="Times New Roman" w:hAnsi="Times New Roman"/>
                <w:noProof/>
                <w:sz w:val="20"/>
              </w:rPr>
              <w:t>F.1.7.2. Submăsura 2. Livrarea unui prototip al porții eFTI</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FC73AE6" w14:textId="1C74FB8B" w:rsidR="00F53E3A" w:rsidRDefault="0036255F">
            <w:pPr>
              <w:pStyle w:val="P68B1DB1-Normal12"/>
              <w:spacing w:before="60" w:after="60"/>
              <w:jc w:val="center"/>
              <w:rPr>
                <w:rFonts w:eastAsia="Times New Roman"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92B6184" w14:textId="1AA3B843" w:rsidR="00F53E3A" w:rsidRDefault="0036255F">
            <w:pPr>
              <w:pStyle w:val="P68B1DB1-Normal12"/>
              <w:spacing w:before="60" w:after="60"/>
              <w:rPr>
                <w:rFonts w:eastAsia="Times New Roman" w:cs="Times New Roman"/>
                <w:noProof/>
              </w:rPr>
            </w:pPr>
            <w:r>
              <w:rPr>
                <w:noProof/>
              </w:rPr>
              <w:t>Furnizarea unui prototip al funcționalităților i.VAZ</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0490E9A" w14:textId="15E0A7CD" w:rsidR="00F53E3A" w:rsidRDefault="0036255F">
            <w:pPr>
              <w:pStyle w:val="P68B1DB1-Normal12"/>
              <w:spacing w:before="60" w:after="60"/>
              <w:rPr>
                <w:rFonts w:cs="Times New Roman"/>
                <w:noProof/>
              </w:rPr>
            </w:pPr>
            <w:r>
              <w:rPr>
                <w:noProof/>
              </w:rPr>
              <w:t>Prototip livrat</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DC1D0FB" w14:textId="77777777"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F7B1F5F" w14:textId="2ED984AD"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16F78D2" w14:textId="77777777" w:rsidR="00F53E3A" w:rsidRDefault="00F53E3A">
            <w:pPr>
              <w:spacing w:before="60" w:after="60"/>
              <w:jc w:val="center"/>
              <w:rPr>
                <w:rFonts w:ascii="Times New Roman" w:eastAsia="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C7AED21" w14:textId="5C07E14A" w:rsidR="00F53E3A" w:rsidRDefault="00DB2EC5">
            <w:pPr>
              <w:pStyle w:val="P68B1DB1-Normal12"/>
              <w:spacing w:before="60" w:after="60"/>
              <w:jc w:val="center"/>
              <w:rPr>
                <w:rFonts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2E7C07C" w14:textId="48564896" w:rsidR="00F53E3A" w:rsidRDefault="0036255F">
            <w:pPr>
              <w:pStyle w:val="P68B1DB1-Normal12"/>
              <w:spacing w:before="60" w:after="60"/>
              <w:jc w:val="center"/>
              <w:rPr>
                <w:rFonts w:cs="Times New Roman"/>
                <w:noProof/>
              </w:rPr>
            </w:pPr>
            <w:r>
              <w:rPr>
                <w:noProof/>
              </w:rPr>
              <w:t>2026</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49D1E5B" w14:textId="6D77095A" w:rsidR="00F53E3A" w:rsidRDefault="0036255F">
            <w:pPr>
              <w:pStyle w:val="P68B1DB1-Normal12"/>
              <w:spacing w:before="60" w:after="60"/>
              <w:jc w:val="both"/>
              <w:rPr>
                <w:rFonts w:eastAsia="Times New Roman" w:cs="Times New Roman"/>
                <w:noProof/>
              </w:rPr>
            </w:pPr>
            <w:r>
              <w:rPr>
                <w:noProof/>
              </w:rPr>
              <w:t xml:space="preserve">Furnizarea unui prototip al funcționalităților subsistemului i.VAZ (subsistem de transporturi electronice) al sistemului inteligent de administrare fiscală (i.MAS) gestionat de Inspectoratul Fiscal de Stat pentru accesul autorităților de control la datele eFTI ale întreprinderilor. </w:t>
            </w:r>
          </w:p>
        </w:tc>
      </w:tr>
      <w:tr w:rsidR="00F53E3A" w14:paraId="3D61B03F" w14:textId="77777777" w:rsidTr="00744366">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27F65D1" w14:textId="77777777" w:rsidR="00F53E3A" w:rsidRDefault="0036255F">
            <w:pPr>
              <w:pStyle w:val="P68B1DB1-Normal12"/>
              <w:spacing w:before="60" w:after="60"/>
              <w:jc w:val="center"/>
              <w:rPr>
                <w:rFonts w:cs="Times New Roman"/>
                <w:noProof/>
              </w:rPr>
            </w:pPr>
            <w:r>
              <w:rPr>
                <w:noProof/>
              </w:rPr>
              <w:t>177</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C71BBA5" w14:textId="77777777" w:rsidR="00F53E3A" w:rsidRDefault="0036255F">
            <w:pPr>
              <w:spacing w:before="60" w:after="60"/>
              <w:rPr>
                <w:rFonts w:ascii="Times New Roman" w:hAnsi="Times New Roman" w:cs="Times New Roman"/>
                <w:noProof/>
                <w:sz w:val="20"/>
              </w:rPr>
            </w:pPr>
            <w:r>
              <w:rPr>
                <w:rStyle w:val="normaltextrun"/>
                <w:rFonts w:ascii="Times New Roman" w:hAnsi="Times New Roman"/>
                <w:noProof/>
                <w:sz w:val="20"/>
              </w:rPr>
              <w:t>F.1.8. Un ghișeu unic pentru plata amenzilor</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238960A" w14:textId="77777777"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FE0DA2C" w14:textId="21081A5D" w:rsidR="00F53E3A" w:rsidRDefault="0036255F">
            <w:pPr>
              <w:pStyle w:val="P68B1DB1-Normal12"/>
              <w:spacing w:before="60" w:after="60"/>
              <w:rPr>
                <w:rFonts w:cs="Times New Roman"/>
                <w:noProof/>
              </w:rPr>
            </w:pPr>
            <w:r>
              <w:rPr>
                <w:noProof/>
              </w:rPr>
              <w:t>Adoptarea modificărilor aduse actelor juridice care permit Inspectoratului Fiscal de Stat să administreze majoritatea amenzilor și a sancțiunilor economice</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01E89F9" w14:textId="4EE81E40" w:rsidR="00F53E3A" w:rsidRDefault="0036255F">
            <w:pPr>
              <w:pStyle w:val="P68B1DB1-Normal12"/>
              <w:spacing w:before="60" w:after="60"/>
              <w:rPr>
                <w:rFonts w:cs="Times New Roman"/>
                <w:noProof/>
              </w:rPr>
            </w:pPr>
            <w:r>
              <w:rPr>
                <w:noProof/>
              </w:rPr>
              <w:t>Dispoziții din legile de modificare care indică adoptarea unei legislații care transferă Inspectoratului Fiscal de Stat administrarea majorității amenzilor și sancțiunilor economice impuse de stat</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E9FF3F2" w14:textId="1399428A"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95E4044" w14:textId="3586E8AF"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FD430C5" w14:textId="27EFCC8C" w:rsidR="00F53E3A" w:rsidRDefault="00F53E3A">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A5FB4A8" w14:textId="7639DC2C" w:rsidR="00F53E3A" w:rsidRDefault="00DB2EC5">
            <w:pPr>
              <w:pStyle w:val="P68B1DB1-Normal12"/>
              <w:spacing w:before="60" w:after="60"/>
              <w:jc w:val="center"/>
              <w:rPr>
                <w:rFonts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4A268A0" w14:textId="77777777" w:rsidR="00F53E3A" w:rsidRDefault="0036255F">
            <w:pPr>
              <w:pStyle w:val="P68B1DB1-Normal12"/>
              <w:spacing w:before="60" w:after="60"/>
              <w:jc w:val="center"/>
              <w:rPr>
                <w:rFonts w:cs="Times New Roman"/>
                <w:noProof/>
              </w:rPr>
            </w:pPr>
            <w:r>
              <w:rPr>
                <w:noProof/>
              </w:rPr>
              <w:t>2023</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5948290" w14:textId="39DD6D7E" w:rsidR="00F53E3A" w:rsidRDefault="0036255F">
            <w:pPr>
              <w:pStyle w:val="P68B1DB1-Normal12"/>
              <w:spacing w:before="60" w:after="60"/>
              <w:jc w:val="both"/>
              <w:rPr>
                <w:rFonts w:cs="Times New Roman"/>
                <w:noProof/>
              </w:rPr>
            </w:pPr>
            <w:r>
              <w:rPr>
                <w:noProof/>
              </w:rPr>
              <w:t>Se adoptă legislația necesară (Legea privind administrarea fiscală și alte legi privind amenzile și alte sancțiuni economice impuse de stat) care permite Inspectoratului Fiscal de Stat să administreze majoritatea amenzilor și a sancțiunilor economice.</w:t>
            </w:r>
          </w:p>
        </w:tc>
      </w:tr>
      <w:tr w:rsidR="00F53E3A" w14:paraId="43AB3ACC" w14:textId="77777777" w:rsidTr="00744366">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7B323DF" w14:textId="77777777" w:rsidR="00F53E3A" w:rsidRDefault="0036255F">
            <w:pPr>
              <w:pStyle w:val="P68B1DB1-Normal12"/>
              <w:spacing w:before="60" w:after="60"/>
              <w:jc w:val="center"/>
              <w:rPr>
                <w:rFonts w:cs="Times New Roman"/>
                <w:noProof/>
              </w:rPr>
            </w:pPr>
            <w:r>
              <w:rPr>
                <w:noProof/>
              </w:rPr>
              <w:t>178</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E740AAF" w14:textId="77777777" w:rsidR="00F53E3A" w:rsidRDefault="0036255F">
            <w:pPr>
              <w:spacing w:before="60" w:after="60"/>
              <w:rPr>
                <w:rFonts w:ascii="Times New Roman" w:hAnsi="Times New Roman" w:cs="Times New Roman"/>
                <w:noProof/>
                <w:sz w:val="20"/>
              </w:rPr>
            </w:pPr>
            <w:r>
              <w:rPr>
                <w:rStyle w:val="normaltextrun"/>
                <w:rFonts w:ascii="Times New Roman" w:hAnsi="Times New Roman"/>
                <w:noProof/>
                <w:sz w:val="20"/>
              </w:rPr>
              <w:t>F.1.8. Un ghișeu unic pentru plata amenzilor</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4CAD243" w14:textId="32462BF1"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3F12364" w14:textId="30A40023" w:rsidR="00F53E3A" w:rsidRDefault="0036255F">
            <w:pPr>
              <w:pStyle w:val="P68B1DB1-Normal12"/>
              <w:spacing w:before="60" w:after="60" w:line="240" w:lineRule="auto"/>
              <w:rPr>
                <w:rFonts w:cs="Times New Roman"/>
                <w:noProof/>
              </w:rPr>
            </w:pPr>
            <w:r>
              <w:rPr>
                <w:noProof/>
              </w:rPr>
              <w:t xml:space="preserve">Interfețe pentru amenzi și sancțiuni economice </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4E77F02" w14:textId="5A166749" w:rsidR="00F53E3A" w:rsidRDefault="0036255F">
            <w:pPr>
              <w:pStyle w:val="P68B1DB1-Normal12"/>
              <w:spacing w:before="60" w:after="60"/>
              <w:rPr>
                <w:rFonts w:cs="Times New Roman"/>
                <w:noProof/>
              </w:rPr>
            </w:pPr>
            <w:r>
              <w:rPr>
                <w:noProof/>
              </w:rPr>
              <w:t>Furnizarea interfețelor care permit instituțiilor care aplică amenzi și sancțiuni economice să transmită Inspectoratului Fiscal de Stat date electronice privind amenzile și sancțiunile economice</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00034BC" w14:textId="1EA617BB"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2F3F54E" w14:textId="64E932AE"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4165F1E" w14:textId="614A1D91" w:rsidR="00F53E3A" w:rsidRDefault="00F53E3A">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94BDB11" w14:textId="08AA5677" w:rsidR="00F53E3A" w:rsidRDefault="00DB2EC5">
            <w:pPr>
              <w:pStyle w:val="P68B1DB1-Normal12"/>
              <w:spacing w:before="60" w:after="60"/>
              <w:jc w:val="center"/>
              <w:rPr>
                <w:rFonts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E1FEB7F" w14:textId="77777777" w:rsidR="00F53E3A" w:rsidRDefault="0036255F">
            <w:pPr>
              <w:pStyle w:val="P68B1DB1-Normal12"/>
              <w:spacing w:before="60" w:after="60"/>
              <w:jc w:val="center"/>
              <w:rPr>
                <w:rFonts w:cs="Times New Roman"/>
                <w:noProof/>
              </w:rPr>
            </w:pPr>
            <w:r>
              <w:rPr>
                <w:noProof/>
              </w:rPr>
              <w:t>2026</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1DD58FA" w14:textId="5138DD0A" w:rsidR="00F53E3A" w:rsidRDefault="0036255F">
            <w:pPr>
              <w:pStyle w:val="P68B1DB1-Normal12"/>
              <w:spacing w:before="60" w:after="60"/>
              <w:jc w:val="both"/>
              <w:rPr>
                <w:noProof/>
                <w:color w:val="FF0000"/>
              </w:rPr>
            </w:pPr>
            <w:r>
              <w:rPr>
                <w:noProof/>
              </w:rPr>
              <w:t xml:space="preserve">Furnizarea interfețelor care permit instituțiilor care aplică amenzi și sancțiuni economice să transmită Inspectoratului Fiscal de Stat date electronice privind amenzile și sancțiunile economice. Regulamentele sistemelor de informații specifică aceste instituții și sunt aprobate de guvern sau de instituția care acționează în calitate de proprietar al sistemului de informații. </w:t>
            </w:r>
          </w:p>
        </w:tc>
      </w:tr>
      <w:tr w:rsidR="00F53E3A" w14:paraId="0D9FF6A3" w14:textId="77777777" w:rsidTr="00744366">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AFB84FF" w14:textId="77777777" w:rsidR="00F53E3A" w:rsidRDefault="0036255F">
            <w:pPr>
              <w:pStyle w:val="P68B1DB1-Normal12"/>
              <w:spacing w:before="60" w:after="60"/>
              <w:jc w:val="center"/>
              <w:rPr>
                <w:rFonts w:cs="Times New Roman"/>
                <w:noProof/>
              </w:rPr>
            </w:pPr>
            <w:r>
              <w:rPr>
                <w:noProof/>
              </w:rPr>
              <w:t>179</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E29D8CB" w14:textId="77777777" w:rsidR="00F53E3A" w:rsidRDefault="0036255F">
            <w:pPr>
              <w:spacing w:before="60" w:after="60"/>
              <w:rPr>
                <w:rFonts w:ascii="Times New Roman" w:hAnsi="Times New Roman" w:cs="Times New Roman"/>
                <w:noProof/>
                <w:sz w:val="20"/>
              </w:rPr>
            </w:pPr>
            <w:r>
              <w:rPr>
                <w:rStyle w:val="normaltextrun"/>
                <w:rFonts w:ascii="Times New Roman" w:hAnsi="Times New Roman"/>
                <w:noProof/>
                <w:sz w:val="20"/>
              </w:rPr>
              <w:t>F.1.9. Sistemul de repertorii pentru audit și controale</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66EB963" w14:textId="77777777"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0CAFC68" w14:textId="77777777" w:rsidR="00F53E3A" w:rsidRDefault="0036255F">
            <w:pPr>
              <w:pStyle w:val="P68B1DB1-Normal12"/>
              <w:spacing w:before="60" w:after="60"/>
              <w:rPr>
                <w:rFonts w:eastAsia="Times New Roman" w:cs="Times New Roman"/>
                <w:noProof/>
              </w:rPr>
            </w:pPr>
            <w:r>
              <w:rPr>
                <w:noProof/>
              </w:rPr>
              <w:t>Sistemul de repertorii pentru audit și controale: informații pentru monitorizarea punerii în aplicare a Mecanismului de redresare și reziliență</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41FBC5" w14:textId="77777777" w:rsidR="00F53E3A" w:rsidRDefault="0036255F">
            <w:pPr>
              <w:pStyle w:val="P68B1DB1-Normal12"/>
              <w:spacing w:before="60" w:after="60"/>
              <w:rPr>
                <w:rFonts w:eastAsia="Times New Roman" w:cs="Times New Roman"/>
                <w:noProof/>
              </w:rPr>
            </w:pPr>
            <w:r>
              <w:rPr>
                <w:noProof/>
              </w:rPr>
              <w:t>Raport de audit care confirmă funcționalitățile sistemului de registre</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C64942C" w14:textId="77777777"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995537E" w14:textId="77777777"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0B0FE30" w14:textId="77777777" w:rsidR="00F53E3A" w:rsidRDefault="00F53E3A">
            <w:pPr>
              <w:spacing w:before="60" w:after="60"/>
              <w:jc w:val="center"/>
              <w:rPr>
                <w:rFonts w:ascii="Times New Roman" w:hAnsi="Times New Roman" w:cs="Times New Roman"/>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114431E" w14:textId="3942E18D" w:rsidR="00F53E3A" w:rsidRDefault="00DB2EC5">
            <w:pPr>
              <w:pStyle w:val="P68B1DB1-Normal12"/>
              <w:spacing w:before="60" w:after="60"/>
              <w:jc w:val="center"/>
              <w:rPr>
                <w:rFonts w:cs="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BC69B4A" w14:textId="52661F13" w:rsidR="00F53E3A" w:rsidRDefault="0036255F">
            <w:pPr>
              <w:pStyle w:val="P68B1DB1-Normal12"/>
              <w:spacing w:before="60" w:after="60"/>
              <w:jc w:val="center"/>
              <w:rPr>
                <w:rFonts w:cs="Times New Roman"/>
                <w:noProof/>
              </w:rPr>
            </w:pPr>
            <w:r>
              <w:rPr>
                <w:noProof/>
              </w:rPr>
              <w:t>2022</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4013AA" w14:textId="77777777" w:rsidR="00F53E3A" w:rsidRDefault="0036255F">
            <w:pPr>
              <w:pStyle w:val="P68B1DB1-Normal12"/>
              <w:spacing w:before="60" w:after="60"/>
              <w:jc w:val="both"/>
              <w:rPr>
                <w:rFonts w:cs="Times New Roman"/>
                <w:noProof/>
              </w:rPr>
            </w:pPr>
            <w:r>
              <w:rPr>
                <w:noProof/>
              </w:rPr>
              <w:t xml:space="preserve">Trebuie să existe și să fie operațional un sistem de registru de date pentru monitorizarea implementării MRR. </w:t>
            </w:r>
          </w:p>
          <w:p w14:paraId="7E3F39EB" w14:textId="77777777" w:rsidR="00F53E3A" w:rsidRDefault="0036255F">
            <w:pPr>
              <w:pStyle w:val="P68B1DB1-Normal12"/>
              <w:spacing w:before="60" w:after="60"/>
              <w:jc w:val="both"/>
              <w:rPr>
                <w:rFonts w:cs="Times New Roman"/>
                <w:noProof/>
              </w:rPr>
            </w:pPr>
            <w:r>
              <w:rPr>
                <w:noProof/>
              </w:rPr>
              <w:t>Sistemul trebuie să includă cel puțin următoarele funcționalități:</w:t>
            </w:r>
          </w:p>
          <w:p w14:paraId="5A9DF26B" w14:textId="77777777" w:rsidR="00F53E3A" w:rsidRDefault="0036255F">
            <w:pPr>
              <w:pStyle w:val="P68B1DB1-Normal12"/>
              <w:spacing w:before="60" w:after="60"/>
              <w:jc w:val="both"/>
              <w:rPr>
                <w:rFonts w:cs="Times New Roman"/>
                <w:noProof/>
              </w:rPr>
            </w:pPr>
            <w:r>
              <w:rPr>
                <w:noProof/>
              </w:rPr>
              <w:t>(a) colectarea de date și monitorizarea atingerii jaloanelor și a țintelor;</w:t>
            </w:r>
          </w:p>
          <w:p w14:paraId="7869CB0F" w14:textId="4ABCCBB1" w:rsidR="00F53E3A" w:rsidRDefault="0036255F">
            <w:pPr>
              <w:pStyle w:val="P68B1DB1-Normal12"/>
              <w:spacing w:before="60" w:after="60"/>
              <w:jc w:val="both"/>
              <w:rPr>
                <w:rFonts w:eastAsia="Times New Roman" w:cs="Times New Roman"/>
                <w:noProof/>
              </w:rPr>
            </w:pPr>
            <w:r>
              <w:rPr>
                <w:noProof/>
              </w:rPr>
              <w:t>(b) colectează, stochează și asigură accesul la datele prevăzute la articolul 22 alineatul (2) litera (d) punctele (i)-(iii) din Regulamentul privind MRR.</w:t>
            </w:r>
          </w:p>
        </w:tc>
      </w:tr>
    </w:tbl>
    <w:p w14:paraId="4CC58C2D" w14:textId="77777777" w:rsidR="00F53E3A" w:rsidRDefault="00F53E3A">
      <w:pPr>
        <w:jc w:val="both"/>
        <w:rPr>
          <w:rFonts w:ascii="Times New Roman" w:hAnsi="Times New Roman" w:cs="Times New Roman"/>
          <w:noProof/>
        </w:rPr>
        <w:sectPr w:rsidR="00F53E3A" w:rsidSect="0074650A">
          <w:headerReference w:type="even" r:id="rId108"/>
          <w:headerReference w:type="default" r:id="rId109"/>
          <w:footerReference w:type="even" r:id="rId110"/>
          <w:footerReference w:type="default" r:id="rId111"/>
          <w:headerReference w:type="first" r:id="rId112"/>
          <w:footerReference w:type="first" r:id="rId113"/>
          <w:pgSz w:w="16839" w:h="11907" w:orient="landscape"/>
          <w:pgMar w:top="1134" w:right="1134" w:bottom="1134" w:left="1134" w:header="567" w:footer="567" w:gutter="0"/>
          <w:cols w:space="720"/>
          <w:docGrid w:linePitch="360"/>
        </w:sectPr>
      </w:pPr>
    </w:p>
    <w:p w14:paraId="0E48B846" w14:textId="7D27EBF8" w:rsidR="00F53E3A" w:rsidRDefault="0036255F">
      <w:pPr>
        <w:pStyle w:val="P68B1DB1-Text15"/>
        <w:keepNext/>
        <w:keepLines/>
        <w:spacing w:before="0" w:after="200" w:line="276" w:lineRule="auto"/>
        <w:ind w:left="0"/>
        <w:outlineLvl w:val="1"/>
        <w:rPr>
          <w:i/>
          <w:noProof/>
        </w:rPr>
      </w:pPr>
      <w:r>
        <w:rPr>
          <w:noProof/>
        </w:rPr>
        <w:t>F.3. Descrierea reformelor și a investițiilor pentru care se acordă sprijin sub formă de împrumut</w:t>
      </w:r>
    </w:p>
    <w:p w14:paraId="0B80A6B9" w14:textId="08FCCB63" w:rsidR="00F53E3A" w:rsidRDefault="0036255F">
      <w:pPr>
        <w:pStyle w:val="paragraph"/>
        <w:spacing w:before="0" w:beforeAutospacing="0" w:after="200" w:afterAutospacing="0" w:line="276" w:lineRule="auto"/>
        <w:jc w:val="both"/>
        <w:textAlignment w:val="baseline"/>
        <w:rPr>
          <w:rStyle w:val="normaltextrun"/>
          <w:noProof/>
          <w:u w:val="single"/>
        </w:rPr>
      </w:pPr>
      <w:r>
        <w:rPr>
          <w:rStyle w:val="normaltextrun"/>
          <w:noProof/>
          <w:u w:val="single"/>
        </w:rPr>
        <w:t xml:space="preserve">F.3.1. Reforma 1. „Creșterea gradului de utilizare a achizițiilor publice centralizate” </w:t>
      </w:r>
    </w:p>
    <w:p w14:paraId="05149F4C" w14:textId="31CE91B4" w:rsidR="00F53E3A" w:rsidRDefault="0036255F">
      <w:pPr>
        <w:pStyle w:val="P68B1DB1-Normal4"/>
        <w:jc w:val="both"/>
        <w:rPr>
          <w:rFonts w:eastAsia="Times New Roman" w:cs="Times New Roman"/>
          <w:noProof/>
        </w:rPr>
      </w:pPr>
      <w:r>
        <w:rPr>
          <w:noProof/>
        </w:rPr>
        <w:t xml:space="preserve">Obiectivul reformei este de a spori gradul de utilizare a achizițiilor publice centralizate. </w:t>
      </w:r>
    </w:p>
    <w:p w14:paraId="29EF881E" w14:textId="1A4639FE" w:rsidR="00F53E3A" w:rsidRDefault="0036255F">
      <w:pPr>
        <w:pStyle w:val="P68B1DB1-Normal4"/>
        <w:jc w:val="both"/>
        <w:textAlignment w:val="baseline"/>
        <w:rPr>
          <w:rFonts w:eastAsia="Times New Roman" w:cs="Times New Roman"/>
          <w:noProof/>
        </w:rPr>
      </w:pPr>
      <w:r>
        <w:rPr>
          <w:noProof/>
        </w:rPr>
        <w:t xml:space="preserve">Reforma constă în extinderea catalogului de articole care pot fi achiziționate prin intermediul Organizației Centrale de Achiziții (CPO LT) și în adoptarea unui plan de centralizare a achizițiilor publice ale instituțiilor și agențiilor din domeniul sănătății, cu scopul de a spori profesionalizarea achizițiilor publice, de a promova standardizarea cerințelor în materie de achiziții publice și de a asigura economii de scară. </w:t>
      </w:r>
    </w:p>
    <w:p w14:paraId="058854FE" w14:textId="45CBF035" w:rsidR="00F53E3A" w:rsidRDefault="0036255F">
      <w:pPr>
        <w:pStyle w:val="paragraph"/>
        <w:spacing w:before="0" w:beforeAutospacing="0" w:after="200" w:afterAutospacing="0" w:line="276" w:lineRule="auto"/>
        <w:jc w:val="both"/>
        <w:textAlignment w:val="baseline"/>
        <w:rPr>
          <w:rStyle w:val="normaltextrun"/>
          <w:noProof/>
          <w:u w:val="single"/>
        </w:rPr>
      </w:pPr>
      <w:r>
        <w:rPr>
          <w:rStyle w:val="normaltextrun"/>
          <w:noProof/>
          <w:u w:val="single"/>
        </w:rPr>
        <w:t>F.3.2. Investiția 1. „Capitalizarea și reziliența financiară a instituției naționale de promovare”</w:t>
      </w:r>
    </w:p>
    <w:p w14:paraId="1DC9BFC1" w14:textId="12D4F368" w:rsidR="00F53E3A" w:rsidRDefault="0036255F">
      <w:pPr>
        <w:pStyle w:val="P68B1DB1-Normal26"/>
        <w:jc w:val="both"/>
        <w:textAlignment w:val="baseline"/>
        <w:rPr>
          <w:rFonts w:eastAsia="Times New Roman" w:cs="Times New Roman"/>
          <w:noProof/>
          <w:sz w:val="24"/>
          <w:szCs w:val="24"/>
        </w:rPr>
      </w:pPr>
      <w:r>
        <w:rPr>
          <w:noProof/>
          <w:sz w:val="24"/>
        </w:rPr>
        <w:t>Această măsură constă într-o investiție publică menită să sporească capitalizarea INVEGA (Instituția Națională de Promovare) printr-o injecție de capital pentru a îmbunătăți accesul la finanțare în Lituania. Investiția furnizează INVEGA capital propriu suplimentar în valoare de</w:t>
      </w:r>
      <w:r>
        <w:rPr>
          <w:noProof/>
          <w:sz w:val="20"/>
        </w:rPr>
        <w:t xml:space="preserve"> </w:t>
      </w:r>
      <w:r>
        <w:rPr>
          <w:noProof/>
          <w:sz w:val="24"/>
        </w:rPr>
        <w:t>150</w:t>
      </w:r>
      <w:r>
        <w:rPr>
          <w:noProof/>
          <w:sz w:val="20"/>
        </w:rPr>
        <w:t xml:space="preserve"> </w:t>
      </w:r>
      <w:r>
        <w:rPr>
          <w:noProof/>
          <w:sz w:val="24"/>
        </w:rPr>
        <w:t>000</w:t>
      </w:r>
      <w:r>
        <w:rPr>
          <w:noProof/>
          <w:sz w:val="20"/>
        </w:rPr>
        <w:t xml:space="preserve"> </w:t>
      </w:r>
      <w:r>
        <w:rPr>
          <w:noProof/>
          <w:sz w:val="24"/>
        </w:rPr>
        <w:t xml:space="preserve">000 EUR. </w:t>
      </w:r>
    </w:p>
    <w:p w14:paraId="5FCE1BD7" w14:textId="77777777" w:rsidR="00F53E3A" w:rsidRDefault="0036255F">
      <w:pPr>
        <w:pStyle w:val="P68B1DB1-Normal4"/>
        <w:jc w:val="both"/>
        <w:textAlignment w:val="baseline"/>
        <w:rPr>
          <w:rFonts w:eastAsia="Times New Roman" w:cs="Times New Roman"/>
          <w:noProof/>
        </w:rPr>
      </w:pPr>
      <w:r>
        <w:rPr>
          <w:noProof/>
        </w:rPr>
        <w:t xml:space="preserve">INVEGA adoptă o nouă politică de investiții, care include utilizarea capitalului propriu suplimentar în conformitate cu obiectivele și criteriile de eligibilitate ale MRR. Politica de investiții include: </w:t>
      </w:r>
    </w:p>
    <w:p w14:paraId="010EE0F3" w14:textId="77777777" w:rsidR="00F53E3A" w:rsidRDefault="0036255F">
      <w:pPr>
        <w:pStyle w:val="P68B1DB1-ListParagraph18"/>
        <w:numPr>
          <w:ilvl w:val="0"/>
          <w:numId w:val="33"/>
        </w:numPr>
        <w:spacing w:after="200" w:line="276" w:lineRule="auto"/>
        <w:jc w:val="both"/>
        <w:rPr>
          <w:rFonts w:cs="Times New Roman"/>
          <w:noProof/>
        </w:rPr>
      </w:pPr>
      <w:bookmarkStart w:id="15" w:name="_Hlk146554012"/>
      <w:r>
        <w:rPr>
          <w:noProof/>
        </w:rPr>
        <w:t>Cerința, aplicabilă cel puțin cotei din noile investiții ale INVEGA pe care noul capital o reprezintă în capitalul total al INVEGA, ca investițiile INVEGA să fie în conformitate cu obiectivele Regulamentului privind MRR.</w:t>
      </w:r>
    </w:p>
    <w:p w14:paraId="32D87596" w14:textId="77777777" w:rsidR="00F53E3A" w:rsidRDefault="0036255F">
      <w:pPr>
        <w:pStyle w:val="P68B1DB1-ListParagraph18"/>
        <w:numPr>
          <w:ilvl w:val="0"/>
          <w:numId w:val="33"/>
        </w:numPr>
        <w:spacing w:after="200" w:line="276" w:lineRule="auto"/>
        <w:jc w:val="both"/>
        <w:rPr>
          <w:rFonts w:cs="Times New Roman"/>
          <w:noProof/>
        </w:rPr>
      </w:pPr>
      <w:r>
        <w:rPr>
          <w:noProof/>
        </w:rPr>
        <w:t>Cerința, aplicabilă cel puțin cotei din noile investiții ale INVEGA pe care o reprezintă noul capital în capitalul total al INVEGA, de a respecta principiul de „a nu aduce prejudicii semnificative”, astfel cum se prevede în Orientările tehnice privind aplicarea principiului de „a nu aduce prejudicii semnificative” (2021/C58/01), în special în cazul în care politica de investiții:</w:t>
      </w:r>
    </w:p>
    <w:p w14:paraId="3523D4E2" w14:textId="77777777" w:rsidR="00F53E3A" w:rsidRDefault="0036255F">
      <w:pPr>
        <w:pStyle w:val="ListParagraph"/>
        <w:numPr>
          <w:ilvl w:val="1"/>
          <w:numId w:val="33"/>
        </w:numPr>
        <w:spacing w:after="200" w:line="276" w:lineRule="auto"/>
        <w:jc w:val="both"/>
        <w:rPr>
          <w:rFonts w:ascii="Times New Roman" w:eastAsiaTheme="minorEastAsia" w:hAnsi="Times New Roman" w:cs="Times New Roman"/>
          <w:noProof/>
          <w:sz w:val="24"/>
        </w:rPr>
      </w:pPr>
      <w:r>
        <w:rPr>
          <w:rFonts w:ascii="Times New Roman" w:hAnsi="Times New Roman"/>
          <w:noProof/>
          <w:sz w:val="24"/>
        </w:rPr>
        <w:t>se exclude următoarea listă de activități: (I) activități legate de combustibilii fosili, inclusiv utilizarea în aval</w:t>
      </w:r>
      <w:r>
        <w:rPr>
          <w:rStyle w:val="FootnoteReference"/>
          <w:rFonts w:ascii="Times New Roman" w:eastAsiaTheme="minorEastAsia" w:hAnsi="Times New Roman" w:cs="Times New Roman"/>
          <w:noProof/>
          <w:sz w:val="24"/>
        </w:rPr>
        <w:footnoteReference w:id="15"/>
      </w:r>
      <w:r>
        <w:rPr>
          <w:rFonts w:ascii="Times New Roman" w:hAnsi="Times New Roman"/>
          <w:noProof/>
          <w:sz w:val="24"/>
        </w:rPr>
        <w:t>; (II) activitățile din cadrul schemei UE de comercializare a certificatelor de emisii (ETS) care realizează emisii preconizate de gaze cu efect de seră care nu sunt mai mici decât valorile de referință relevante</w:t>
      </w:r>
      <w:r>
        <w:rPr>
          <w:rStyle w:val="FootnoteReference"/>
          <w:rFonts w:ascii="Times New Roman" w:eastAsiaTheme="minorEastAsia" w:hAnsi="Times New Roman" w:cs="Times New Roman"/>
          <w:noProof/>
          <w:sz w:val="24"/>
        </w:rPr>
        <w:footnoteReference w:id="16"/>
      </w:r>
      <w:r>
        <w:rPr>
          <w:rFonts w:ascii="Times New Roman" w:hAnsi="Times New Roman"/>
          <w:noProof/>
          <w:sz w:val="24"/>
        </w:rPr>
        <w:t>; și (iii) activități legate de depozitele de deșeuri, incineratoare</w:t>
      </w:r>
      <w:r>
        <w:rPr>
          <w:rStyle w:val="FootnoteReference"/>
          <w:rFonts w:ascii="Times New Roman" w:eastAsiaTheme="minorEastAsia" w:hAnsi="Times New Roman" w:cs="Times New Roman"/>
          <w:noProof/>
          <w:sz w:val="24"/>
        </w:rPr>
        <w:footnoteReference w:id="17"/>
      </w:r>
      <w:r>
        <w:rPr>
          <w:rFonts w:ascii="Times New Roman" w:hAnsi="Times New Roman"/>
          <w:noProof/>
          <w:sz w:val="24"/>
        </w:rPr>
        <w:t xml:space="preserve"> și stații de tratare mecano-biologică</w:t>
      </w:r>
      <w:r>
        <w:rPr>
          <w:rStyle w:val="FootnoteReference"/>
          <w:rFonts w:ascii="Times New Roman" w:eastAsiaTheme="minorEastAsia" w:hAnsi="Times New Roman" w:cs="Times New Roman"/>
          <w:noProof/>
          <w:sz w:val="24"/>
        </w:rPr>
        <w:footnoteReference w:id="18"/>
      </w:r>
      <w:r>
        <w:rPr>
          <w:rFonts w:ascii="Times New Roman" w:hAnsi="Times New Roman"/>
          <w:noProof/>
          <w:sz w:val="24"/>
        </w:rPr>
        <w:t>;</w:t>
      </w:r>
    </w:p>
    <w:bookmarkEnd w:id="15"/>
    <w:p w14:paraId="3AAABBD4" w14:textId="77777777" w:rsidR="00F53E3A" w:rsidRDefault="0036255F">
      <w:pPr>
        <w:pStyle w:val="ListParagraph"/>
        <w:numPr>
          <w:ilvl w:val="1"/>
          <w:numId w:val="33"/>
        </w:numPr>
        <w:spacing w:after="200" w:line="276" w:lineRule="auto"/>
        <w:jc w:val="both"/>
        <w:rPr>
          <w:rFonts w:ascii="Times New Roman" w:eastAsiaTheme="minorEastAsia" w:hAnsi="Times New Roman" w:cs="Times New Roman"/>
          <w:noProof/>
          <w:sz w:val="24"/>
        </w:rPr>
      </w:pPr>
      <w:r>
        <w:rPr>
          <w:rFonts w:ascii="Times New Roman" w:hAnsi="Times New Roman"/>
          <w:noProof/>
          <w:sz w:val="24"/>
        </w:rPr>
        <w:t>în cazul sprijinului general pentru întreprinderi, excluderea întreprinderilor cu un accent substanțial</w:t>
      </w:r>
      <w:r>
        <w:rPr>
          <w:rStyle w:val="FootnoteReference"/>
          <w:rFonts w:ascii="Times New Roman" w:eastAsiaTheme="minorEastAsia" w:hAnsi="Times New Roman" w:cs="Times New Roman"/>
          <w:noProof/>
          <w:sz w:val="24"/>
        </w:rPr>
        <w:footnoteReference w:id="19"/>
      </w:r>
      <w:r>
        <w:rPr>
          <w:rFonts w:ascii="Times New Roman" w:hAnsi="Times New Roman"/>
          <w:noProof/>
          <w:sz w:val="24"/>
        </w:rPr>
        <w:t xml:space="preserve"> pe următoarele sectoare: (I) producția de energie pe bază de combustibili fosili și activitățile conexe</w:t>
      </w:r>
      <w:r>
        <w:rPr>
          <w:rStyle w:val="FootnoteReference"/>
          <w:rFonts w:ascii="Times New Roman" w:eastAsiaTheme="minorEastAsia" w:hAnsi="Times New Roman" w:cs="Times New Roman"/>
          <w:noProof/>
          <w:sz w:val="24"/>
        </w:rPr>
        <w:footnoteReference w:id="20"/>
      </w:r>
      <w:r>
        <w:rPr>
          <w:rFonts w:ascii="Times New Roman" w:hAnsi="Times New Roman"/>
          <w:noProof/>
          <w:sz w:val="24"/>
        </w:rPr>
        <w:t>; (II) industriile mari consumatoare de energie și/sau cu emisii ridicate de CO2</w:t>
      </w:r>
      <w:r>
        <w:rPr>
          <w:rStyle w:val="FootnoteReference"/>
          <w:rFonts w:ascii="Times New Roman" w:eastAsiaTheme="minorEastAsia" w:hAnsi="Times New Roman" w:cs="Times New Roman"/>
          <w:noProof/>
          <w:sz w:val="24"/>
        </w:rPr>
        <w:footnoteReference w:id="21"/>
      </w:r>
      <w:r>
        <w:rPr>
          <w:rFonts w:ascii="Times New Roman" w:hAnsi="Times New Roman"/>
          <w:noProof/>
          <w:sz w:val="24"/>
        </w:rPr>
        <w:t>; (III) producția, închirierea sau vânzarea de vehicule poluante</w:t>
      </w:r>
      <w:r>
        <w:rPr>
          <w:rStyle w:val="FootnoteReference"/>
          <w:rFonts w:ascii="Times New Roman" w:eastAsiaTheme="minorEastAsia" w:hAnsi="Times New Roman" w:cs="Times New Roman"/>
          <w:noProof/>
          <w:sz w:val="24"/>
        </w:rPr>
        <w:footnoteReference w:id="22"/>
      </w:r>
      <w:r>
        <w:rPr>
          <w:rFonts w:ascii="Times New Roman" w:hAnsi="Times New Roman"/>
          <w:noProof/>
          <w:sz w:val="24"/>
        </w:rPr>
        <w:t>; (IV) colectarea deșeurilor, tratarea și eliminarea deșeurilor</w:t>
      </w:r>
      <w:r>
        <w:rPr>
          <w:rStyle w:val="FootnoteReference"/>
          <w:rFonts w:ascii="Times New Roman" w:eastAsiaTheme="minorEastAsia" w:hAnsi="Times New Roman" w:cs="Times New Roman"/>
          <w:noProof/>
          <w:sz w:val="24"/>
        </w:rPr>
        <w:footnoteReference w:id="23"/>
      </w:r>
      <w:r>
        <w:rPr>
          <w:rFonts w:ascii="Times New Roman" w:hAnsi="Times New Roman"/>
          <w:noProof/>
          <w:sz w:val="24"/>
        </w:rPr>
        <w:t>, (v) prelucrarea combustibilului nuclear, producția de energie nucleară;</w:t>
      </w:r>
    </w:p>
    <w:p w14:paraId="42F48E6B" w14:textId="6EC11426" w:rsidR="00F53E3A" w:rsidRDefault="0036255F">
      <w:pPr>
        <w:pStyle w:val="P68B1DB1-ListParagraph18"/>
        <w:numPr>
          <w:ilvl w:val="1"/>
          <w:numId w:val="33"/>
        </w:numPr>
        <w:spacing w:after="200" w:line="276" w:lineRule="auto"/>
        <w:jc w:val="both"/>
        <w:rPr>
          <w:rFonts w:eastAsiaTheme="minorEastAsia" w:cs="Times New Roman"/>
          <w:noProof/>
        </w:rPr>
      </w:pPr>
      <w:r>
        <w:rPr>
          <w:noProof/>
        </w:rPr>
        <w:t>să solicite respectarea legislației UE și naționale relevante în materie de mediu în ceea ce privește investițiile care beneficiază de sprijin.</w:t>
      </w:r>
    </w:p>
    <w:p w14:paraId="3B086B4C" w14:textId="603D89B5" w:rsidR="00F53E3A" w:rsidRDefault="0036255F">
      <w:pPr>
        <w:pStyle w:val="P68B1DB1-ListParagraph18"/>
        <w:numPr>
          <w:ilvl w:val="0"/>
          <w:numId w:val="33"/>
        </w:numPr>
        <w:spacing w:after="200" w:line="276" w:lineRule="auto"/>
        <w:jc w:val="both"/>
        <w:rPr>
          <w:rFonts w:eastAsiaTheme="minorEastAsia" w:cs="Times New Roman"/>
          <w:noProof/>
        </w:rPr>
      </w:pPr>
      <w:r>
        <w:rPr>
          <w:noProof/>
        </w:rPr>
        <w:t xml:space="preserve">Cerința ca deciziile finale de investiții ale INVEGA să fie luate de un comitet de credit, de Consiliul de administrație al INVEGA sau de un alt organ de conducere echivalent relevant și să fie aprobate cu majoritatea voturilor membrilor care sunt independenți de guvern. </w:t>
      </w:r>
    </w:p>
    <w:p w14:paraId="4D0926F0" w14:textId="0500B838" w:rsidR="00F53E3A" w:rsidRDefault="00F53E3A">
      <w:pPr>
        <w:jc w:val="both"/>
        <w:rPr>
          <w:rFonts w:ascii="Times New Roman" w:hAnsi="Times New Roman" w:cs="Times New Roman"/>
          <w:noProof/>
          <w:sz w:val="24"/>
          <w:szCs w:val="24"/>
        </w:rPr>
      </w:pPr>
    </w:p>
    <w:p w14:paraId="79B3EBD9" w14:textId="0F68A3DC" w:rsidR="00F53E3A" w:rsidRDefault="00F53E3A">
      <w:pPr>
        <w:spacing w:after="0" w:line="257" w:lineRule="auto"/>
        <w:jc w:val="both"/>
        <w:textAlignment w:val="baseline"/>
        <w:rPr>
          <w:rFonts w:ascii="Calibri" w:eastAsia="Calibri" w:hAnsi="Calibri" w:cs="Calibri"/>
          <w:noProof/>
          <w:sz w:val="20"/>
        </w:rPr>
        <w:sectPr w:rsidR="00F53E3A" w:rsidSect="0074650A">
          <w:headerReference w:type="even" r:id="rId114"/>
          <w:headerReference w:type="default" r:id="rId115"/>
          <w:footerReference w:type="even" r:id="rId116"/>
          <w:footerReference w:type="default" r:id="rId117"/>
          <w:headerReference w:type="first" r:id="rId118"/>
          <w:footerReference w:type="first" r:id="rId119"/>
          <w:pgSz w:w="11907" w:h="16839"/>
          <w:pgMar w:top="1134" w:right="1134" w:bottom="1134" w:left="1134" w:header="567" w:footer="567" w:gutter="0"/>
          <w:cols w:space="720"/>
          <w:docGrid w:linePitch="360"/>
        </w:sectPr>
      </w:pPr>
    </w:p>
    <w:p w14:paraId="639B6515" w14:textId="7F949129" w:rsidR="00F53E3A" w:rsidRDefault="0036255F">
      <w:pPr>
        <w:pStyle w:val="P68B1DB1-Text15"/>
        <w:keepNext/>
        <w:keepLines/>
        <w:spacing w:before="0" w:after="200" w:line="276" w:lineRule="auto"/>
        <w:ind w:left="0"/>
        <w:jc w:val="center"/>
        <w:outlineLvl w:val="1"/>
        <w:rPr>
          <w:noProof/>
        </w:rPr>
      </w:pPr>
      <w:r>
        <w:rPr>
          <w:noProof/>
        </w:rPr>
        <w:t>F.4. Jaloane, ținte, indicatori și calendarul de monitorizare și implementare aplicabile împrumutului</w:t>
      </w:r>
    </w:p>
    <w:tbl>
      <w:tblPr>
        <w:tblW w:w="51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1698"/>
        <w:gridCol w:w="1133"/>
        <w:gridCol w:w="1441"/>
        <w:gridCol w:w="1559"/>
        <w:gridCol w:w="992"/>
        <w:gridCol w:w="1134"/>
        <w:gridCol w:w="1284"/>
        <w:gridCol w:w="1126"/>
        <w:gridCol w:w="803"/>
        <w:gridCol w:w="3307"/>
      </w:tblGrid>
      <w:tr w:rsidR="00F53E3A" w14:paraId="213FC7FB" w14:textId="77777777" w:rsidTr="00E04E3B">
        <w:trPr>
          <w:tblHeader/>
        </w:trPr>
        <w:tc>
          <w:tcPr>
            <w:tcW w:w="656"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E2FE28F" w14:textId="7F627060" w:rsidR="00F53E3A" w:rsidRDefault="0035684C">
            <w:pPr>
              <w:pStyle w:val="P68B1DB1-Normal9"/>
              <w:spacing w:before="60" w:after="60"/>
              <w:jc w:val="center"/>
              <w:rPr>
                <w:rFonts w:cs="Times New Roman"/>
                <w:noProof/>
              </w:rPr>
            </w:pPr>
            <w:r>
              <w:rPr>
                <w:noProof/>
              </w:rPr>
              <w:t>Nr.</w:t>
            </w:r>
          </w:p>
        </w:tc>
        <w:tc>
          <w:tcPr>
            <w:tcW w:w="1698"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88CA9DE" w14:textId="77777777" w:rsidR="00F53E3A" w:rsidRDefault="0036255F">
            <w:pPr>
              <w:pStyle w:val="P68B1DB1-Normal9"/>
              <w:spacing w:before="60" w:after="60"/>
              <w:jc w:val="center"/>
              <w:rPr>
                <w:rFonts w:cs="Times New Roman"/>
                <w:noProof/>
              </w:rPr>
            </w:pPr>
            <w:r>
              <w:rPr>
                <w:noProof/>
              </w:rPr>
              <w:t>Măsură conexă (reformă sau investiții)</w:t>
            </w:r>
          </w:p>
        </w:tc>
        <w:tc>
          <w:tcPr>
            <w:tcW w:w="1133"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B0AEAA9" w14:textId="68F26CA1" w:rsidR="00F53E3A" w:rsidRDefault="0036255F">
            <w:pPr>
              <w:pStyle w:val="P68B1DB1-Normal9"/>
              <w:spacing w:before="60" w:after="60"/>
              <w:jc w:val="center"/>
              <w:rPr>
                <w:rFonts w:cs="Times New Roman"/>
                <w:noProof/>
              </w:rPr>
            </w:pPr>
            <w:r>
              <w:rPr>
                <w:noProof/>
              </w:rPr>
              <w:t>Etapă/</w:t>
            </w:r>
            <w:r w:rsidR="00E04E3B">
              <w:rPr>
                <w:noProof/>
              </w:rPr>
              <w:t xml:space="preserve"> </w:t>
            </w:r>
            <w:r>
              <w:rPr>
                <w:noProof/>
              </w:rPr>
              <w:t>Obiectiv</w:t>
            </w:r>
          </w:p>
        </w:tc>
        <w:tc>
          <w:tcPr>
            <w:tcW w:w="1441"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FA14D61" w14:textId="77777777" w:rsidR="00F53E3A" w:rsidRDefault="0036255F">
            <w:pPr>
              <w:pStyle w:val="P68B1DB1-Normal9"/>
              <w:spacing w:before="60" w:after="60"/>
              <w:jc w:val="center"/>
              <w:rPr>
                <w:rFonts w:cs="Times New Roman"/>
                <w:noProof/>
              </w:rPr>
            </w:pPr>
            <w:r>
              <w:rPr>
                <w:noProof/>
              </w:rPr>
              <w:t>Titlu</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25907AA" w14:textId="58DA9CAB" w:rsidR="00F53E3A" w:rsidRDefault="0036255F">
            <w:pPr>
              <w:pStyle w:val="P68B1DB1-Normal10"/>
              <w:spacing w:before="60" w:after="60"/>
              <w:jc w:val="center"/>
              <w:rPr>
                <w:rFonts w:ascii="Times New Roman" w:hAnsi="Times New Roman" w:cs="Times New Roman"/>
                <w:b/>
                <w:noProof/>
              </w:rPr>
            </w:pPr>
            <w:r>
              <w:rPr>
                <w:rFonts w:ascii="Times New Roman" w:hAnsi="Times New Roman"/>
                <w:b/>
                <w:noProof/>
              </w:rPr>
              <w:t>Indicatori calitativi</w:t>
            </w:r>
            <w:r>
              <w:rPr>
                <w:noProof/>
              </w:rPr>
              <w:t xml:space="preserve"> </w:t>
            </w:r>
            <w:r>
              <w:rPr>
                <w:noProof/>
              </w:rPr>
              <w:br/>
            </w:r>
            <w:r>
              <w:rPr>
                <w:rFonts w:ascii="Times New Roman" w:hAnsi="Times New Roman"/>
                <w:b/>
                <w:noProof/>
              </w:rPr>
              <w:t>(pentru jaloane)</w:t>
            </w:r>
          </w:p>
        </w:tc>
        <w:tc>
          <w:tcPr>
            <w:tcW w:w="3410"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A828250" w14:textId="55B93492" w:rsidR="00F53E3A" w:rsidRDefault="0036255F">
            <w:pPr>
              <w:pStyle w:val="P68B1DB1-Normal10"/>
              <w:spacing w:before="60" w:after="60"/>
              <w:jc w:val="center"/>
              <w:rPr>
                <w:rFonts w:ascii="Times New Roman" w:hAnsi="Times New Roman" w:cs="Times New Roman"/>
                <w:b/>
                <w:noProof/>
              </w:rPr>
            </w:pPr>
            <w:r>
              <w:rPr>
                <w:rFonts w:ascii="Times New Roman" w:hAnsi="Times New Roman"/>
                <w:b/>
                <w:noProof/>
              </w:rPr>
              <w:t>Indicatori cantitativi</w:t>
            </w:r>
            <w:r>
              <w:rPr>
                <w:noProof/>
              </w:rPr>
              <w:t xml:space="preserve"> </w:t>
            </w:r>
            <w:r>
              <w:rPr>
                <w:noProof/>
              </w:rPr>
              <w:br/>
            </w:r>
            <w:r>
              <w:rPr>
                <w:rFonts w:ascii="Times New Roman" w:hAnsi="Times New Roman"/>
                <w:b/>
                <w:noProof/>
              </w:rPr>
              <w:t>(pentru obiective)</w:t>
            </w:r>
          </w:p>
        </w:tc>
        <w:tc>
          <w:tcPr>
            <w:tcW w:w="1929"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52FC485" w14:textId="4F69E65B" w:rsidR="00F53E3A" w:rsidRDefault="0036255F">
            <w:pPr>
              <w:pStyle w:val="P68B1DB1-Normal9"/>
              <w:spacing w:before="60" w:after="60"/>
              <w:jc w:val="center"/>
              <w:rPr>
                <w:rFonts w:cs="Times New Roman"/>
                <w:noProof/>
              </w:rPr>
            </w:pPr>
            <w:r>
              <w:rPr>
                <w:noProof/>
              </w:rPr>
              <w:t>Calendar orientativ pentru finalizare</w:t>
            </w:r>
          </w:p>
        </w:tc>
        <w:tc>
          <w:tcPr>
            <w:tcW w:w="3307"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0E1B109" w14:textId="77777777" w:rsidR="00F53E3A" w:rsidRDefault="0036255F">
            <w:pPr>
              <w:pStyle w:val="P68B1DB1-Normal9"/>
              <w:spacing w:before="60" w:after="60"/>
              <w:jc w:val="center"/>
              <w:rPr>
                <w:rFonts w:cs="Times New Roman"/>
                <w:noProof/>
              </w:rPr>
            </w:pPr>
            <w:r>
              <w:rPr>
                <w:noProof/>
              </w:rPr>
              <w:t>Descrierea și definiția clară a fiecărui obiectiv de etapă și a fiecărei ținte</w:t>
            </w:r>
          </w:p>
        </w:tc>
      </w:tr>
      <w:tr w:rsidR="00F53E3A" w14:paraId="35D8DFED" w14:textId="77777777" w:rsidTr="00E04E3B">
        <w:tc>
          <w:tcPr>
            <w:tcW w:w="656" w:type="dxa"/>
            <w:vMerge/>
            <w:tcBorders>
              <w:top w:val="single" w:sz="4" w:space="0" w:color="auto"/>
              <w:left w:val="single" w:sz="4" w:space="0" w:color="auto"/>
              <w:bottom w:val="single" w:sz="4" w:space="0" w:color="auto"/>
              <w:right w:val="single" w:sz="4" w:space="0" w:color="auto"/>
            </w:tcBorders>
          </w:tcPr>
          <w:p w14:paraId="3680CD93" w14:textId="77777777" w:rsidR="00F53E3A" w:rsidRDefault="00F53E3A">
            <w:pPr>
              <w:spacing w:before="60" w:after="60"/>
              <w:jc w:val="center"/>
              <w:rPr>
                <w:rFonts w:ascii="Times New Roman" w:hAnsi="Times New Roman" w:cs="Times New Roman"/>
                <w:noProof/>
                <w:sz w:val="20"/>
              </w:rPr>
            </w:pPr>
          </w:p>
        </w:tc>
        <w:tc>
          <w:tcPr>
            <w:tcW w:w="1698" w:type="dxa"/>
            <w:vMerge/>
            <w:tcBorders>
              <w:top w:val="single" w:sz="4" w:space="0" w:color="auto"/>
              <w:left w:val="single" w:sz="4" w:space="0" w:color="auto"/>
              <w:bottom w:val="single" w:sz="4" w:space="0" w:color="auto"/>
              <w:right w:val="single" w:sz="4" w:space="0" w:color="auto"/>
            </w:tcBorders>
          </w:tcPr>
          <w:p w14:paraId="294E6570" w14:textId="77777777" w:rsidR="00F53E3A" w:rsidRDefault="00F53E3A">
            <w:pPr>
              <w:spacing w:before="60" w:after="60"/>
              <w:rPr>
                <w:rFonts w:ascii="Times New Roman" w:hAnsi="Times New Roman" w:cs="Times New Roman"/>
                <w:noProof/>
                <w:sz w:val="20"/>
              </w:rPr>
            </w:pPr>
          </w:p>
        </w:tc>
        <w:tc>
          <w:tcPr>
            <w:tcW w:w="1133" w:type="dxa"/>
            <w:vMerge/>
            <w:tcBorders>
              <w:top w:val="single" w:sz="4" w:space="0" w:color="auto"/>
              <w:left w:val="single" w:sz="4" w:space="0" w:color="auto"/>
              <w:bottom w:val="single" w:sz="4" w:space="0" w:color="auto"/>
              <w:right w:val="single" w:sz="4" w:space="0" w:color="auto"/>
            </w:tcBorders>
          </w:tcPr>
          <w:p w14:paraId="6AF3ABFD" w14:textId="77777777" w:rsidR="00F53E3A" w:rsidRDefault="00F53E3A">
            <w:pPr>
              <w:spacing w:before="60" w:after="60"/>
              <w:jc w:val="center"/>
              <w:rPr>
                <w:rFonts w:ascii="Times New Roman" w:hAnsi="Times New Roman" w:cs="Times New Roman"/>
                <w:noProof/>
                <w:sz w:val="20"/>
              </w:rPr>
            </w:pPr>
          </w:p>
        </w:tc>
        <w:tc>
          <w:tcPr>
            <w:tcW w:w="1441" w:type="dxa"/>
            <w:vMerge/>
            <w:tcBorders>
              <w:top w:val="single" w:sz="4" w:space="0" w:color="auto"/>
              <w:left w:val="single" w:sz="4" w:space="0" w:color="auto"/>
              <w:bottom w:val="single" w:sz="4" w:space="0" w:color="auto"/>
              <w:right w:val="single" w:sz="4" w:space="0" w:color="auto"/>
            </w:tcBorders>
          </w:tcPr>
          <w:p w14:paraId="0869D0A2" w14:textId="77777777" w:rsidR="00F53E3A" w:rsidRDefault="00F53E3A">
            <w:pPr>
              <w:spacing w:before="60" w:after="60"/>
              <w:rPr>
                <w:rFonts w:ascii="Times New Roman" w:hAnsi="Times New Roman" w:cs="Times New Roman"/>
                <w:noProof/>
                <w:sz w:val="20"/>
              </w:rPr>
            </w:pPr>
          </w:p>
        </w:tc>
        <w:tc>
          <w:tcPr>
            <w:tcW w:w="1559" w:type="dxa"/>
            <w:vMerge/>
            <w:tcBorders>
              <w:top w:val="single" w:sz="4" w:space="0" w:color="auto"/>
              <w:left w:val="single" w:sz="4" w:space="0" w:color="auto"/>
              <w:bottom w:val="single" w:sz="4" w:space="0" w:color="auto"/>
              <w:right w:val="single" w:sz="4" w:space="0" w:color="auto"/>
            </w:tcBorders>
          </w:tcPr>
          <w:p w14:paraId="3F740683" w14:textId="77777777" w:rsidR="00F53E3A" w:rsidRDefault="00F53E3A">
            <w:pPr>
              <w:spacing w:before="60" w:after="60"/>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1A2A349" w14:textId="77777777" w:rsidR="00F53E3A" w:rsidRDefault="0036255F">
            <w:pPr>
              <w:pStyle w:val="P68B1DB1-Normal9"/>
              <w:spacing w:before="60" w:after="60"/>
              <w:jc w:val="center"/>
              <w:rPr>
                <w:rFonts w:cs="Times New Roman"/>
                <w:noProof/>
              </w:rPr>
            </w:pPr>
            <w:r>
              <w:rPr>
                <w:noProof/>
              </w:rPr>
              <w:t>Unitate</w:t>
            </w:r>
          </w:p>
        </w:tc>
        <w:tc>
          <w:tcPr>
            <w:tcW w:w="1134"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6C1F7D3" w14:textId="77777777" w:rsidR="00F53E3A" w:rsidRDefault="0036255F">
            <w:pPr>
              <w:pStyle w:val="P68B1DB1-Normal9"/>
              <w:spacing w:before="60" w:after="60"/>
              <w:jc w:val="center"/>
              <w:rPr>
                <w:rFonts w:cs="Times New Roman"/>
                <w:noProof/>
              </w:rPr>
            </w:pPr>
            <w:r>
              <w:rPr>
                <w:noProof/>
              </w:rPr>
              <w:t>Situația de referință</w:t>
            </w:r>
          </w:p>
        </w:tc>
        <w:tc>
          <w:tcPr>
            <w:tcW w:w="1284"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9686C44" w14:textId="77777777" w:rsidR="00F53E3A" w:rsidRDefault="0036255F">
            <w:pPr>
              <w:pStyle w:val="P68B1DB1-Normal9"/>
              <w:spacing w:before="60" w:after="60"/>
              <w:jc w:val="center"/>
              <w:rPr>
                <w:rFonts w:cs="Times New Roman"/>
                <w:noProof/>
              </w:rPr>
            </w:pPr>
            <w:r>
              <w:rPr>
                <w:noProof/>
              </w:rPr>
              <w:t>Obiectiv</w:t>
            </w:r>
          </w:p>
        </w:tc>
        <w:tc>
          <w:tcPr>
            <w:tcW w:w="1126"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A533684" w14:textId="77777777" w:rsidR="00F53E3A" w:rsidRDefault="0036255F">
            <w:pPr>
              <w:pStyle w:val="P68B1DB1-Normal9"/>
              <w:spacing w:before="60" w:after="60"/>
              <w:jc w:val="center"/>
              <w:rPr>
                <w:rFonts w:cs="Times New Roman"/>
                <w:noProof/>
              </w:rPr>
            </w:pPr>
            <w:r>
              <w:rPr>
                <w:noProof/>
              </w:rPr>
              <w:t>Trimestru</w:t>
            </w:r>
          </w:p>
        </w:tc>
        <w:tc>
          <w:tcPr>
            <w:tcW w:w="803"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C693AEC" w14:textId="77777777" w:rsidR="00F53E3A" w:rsidRDefault="0036255F">
            <w:pPr>
              <w:pStyle w:val="P68B1DB1-Normal9"/>
              <w:spacing w:before="60" w:after="60"/>
              <w:jc w:val="center"/>
              <w:rPr>
                <w:rFonts w:cs="Times New Roman"/>
                <w:noProof/>
              </w:rPr>
            </w:pPr>
            <w:r>
              <w:rPr>
                <w:noProof/>
              </w:rPr>
              <w:t>Anul</w:t>
            </w:r>
          </w:p>
        </w:tc>
        <w:tc>
          <w:tcPr>
            <w:tcW w:w="3307" w:type="dxa"/>
            <w:vMerge/>
            <w:tcBorders>
              <w:top w:val="single" w:sz="4" w:space="0" w:color="auto"/>
              <w:left w:val="single" w:sz="4" w:space="0" w:color="auto"/>
              <w:bottom w:val="single" w:sz="4" w:space="0" w:color="auto"/>
              <w:right w:val="single" w:sz="4" w:space="0" w:color="auto"/>
            </w:tcBorders>
          </w:tcPr>
          <w:p w14:paraId="65B4B5B3" w14:textId="77777777" w:rsidR="00F53E3A" w:rsidRDefault="00F53E3A">
            <w:pPr>
              <w:spacing w:before="60" w:after="60"/>
              <w:rPr>
                <w:rFonts w:ascii="Times New Roman" w:hAnsi="Times New Roman" w:cs="Times New Roman"/>
                <w:noProof/>
                <w:sz w:val="20"/>
              </w:rPr>
            </w:pPr>
          </w:p>
        </w:tc>
      </w:tr>
      <w:tr w:rsidR="00F53E3A" w14:paraId="7B9715AF" w14:textId="77777777" w:rsidTr="00E04E3B">
        <w:tc>
          <w:tcPr>
            <w:tcW w:w="65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E69FFC9" w14:textId="54968E97" w:rsidR="00F53E3A" w:rsidRDefault="0036255F">
            <w:pPr>
              <w:pStyle w:val="P68B1DB1-Normal12"/>
              <w:spacing w:before="60" w:after="60"/>
              <w:jc w:val="center"/>
              <w:rPr>
                <w:rFonts w:cs="Times New Roman"/>
                <w:noProof/>
              </w:rPr>
            </w:pPr>
            <w:r>
              <w:rPr>
                <w:noProof/>
              </w:rPr>
              <w:t>180a</w:t>
            </w:r>
          </w:p>
        </w:tc>
        <w:tc>
          <w:tcPr>
            <w:tcW w:w="169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7E3430" w14:textId="7408C108" w:rsidR="00F53E3A" w:rsidRDefault="0036255F">
            <w:pPr>
              <w:pStyle w:val="P68B1DB1-paragraph24"/>
              <w:spacing w:before="60" w:beforeAutospacing="0" w:after="60" w:afterAutospacing="0" w:line="276" w:lineRule="auto"/>
              <w:textAlignment w:val="baseline"/>
              <w:rPr>
                <w:noProof/>
              </w:rPr>
            </w:pPr>
            <w:r>
              <w:rPr>
                <w:noProof/>
              </w:rPr>
              <w:t>F.3.1. Creșterea gradului de utilizare a achizițiilor publice centralizate</w:t>
            </w:r>
          </w:p>
        </w:tc>
        <w:tc>
          <w:tcPr>
            <w:tcW w:w="113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1FB9FB" w14:textId="0A975F20" w:rsidR="00F53E3A" w:rsidRDefault="0036255F">
            <w:pPr>
              <w:pStyle w:val="P68B1DB1-Normal12"/>
              <w:spacing w:before="60" w:after="60"/>
              <w:jc w:val="center"/>
              <w:rPr>
                <w:rFonts w:cs="Times New Roman"/>
                <w:noProof/>
              </w:rPr>
            </w:pPr>
            <w:r>
              <w:rPr>
                <w:noProof/>
              </w:rPr>
              <w:t>Etapă</w:t>
            </w:r>
          </w:p>
        </w:tc>
        <w:tc>
          <w:tcPr>
            <w:tcW w:w="14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E9B5E39" w14:textId="1E533A82" w:rsidR="00F53E3A" w:rsidRDefault="0036255F">
            <w:pPr>
              <w:pStyle w:val="P68B1DB1-Normal12"/>
              <w:spacing w:before="60" w:after="60"/>
              <w:rPr>
                <w:rFonts w:eastAsia="Times New Roman" w:cs="Times New Roman"/>
                <w:noProof/>
              </w:rPr>
            </w:pPr>
            <w:r>
              <w:rPr>
                <w:noProof/>
              </w:rPr>
              <w:t>Adoptarea unui plan de centralizare a achizițiilor publice ale instituțiilor și agențiilor din domeniul sănătății</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96251DB" w14:textId="1136F5DD" w:rsidR="00F53E3A" w:rsidRDefault="0036255F">
            <w:pPr>
              <w:pStyle w:val="P68B1DB1-Normal12"/>
              <w:spacing w:before="60" w:after="60"/>
              <w:rPr>
                <w:rFonts w:eastAsia="Times New Roman" w:cs="Times New Roman"/>
                <w:noProof/>
              </w:rPr>
            </w:pPr>
            <w:r>
              <w:rPr>
                <w:noProof/>
              </w:rPr>
              <w:t>Un plan de centralizare a achizițiilor publice de instituții și agenții sanitare elaborat și adoptat de ministrul sănătății</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4C13E78" w14:textId="71E6E3D7" w:rsidR="00F53E3A" w:rsidRDefault="00F53E3A">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BDA394" w14:textId="634BE6EC" w:rsidR="00F53E3A" w:rsidRDefault="00F53E3A">
            <w:pPr>
              <w:spacing w:before="60" w:after="60"/>
              <w:jc w:val="center"/>
              <w:rPr>
                <w:rFonts w:ascii="Times New Roman" w:hAnsi="Times New Roman" w:cs="Times New Roman"/>
                <w:noProof/>
                <w:sz w:val="20"/>
              </w:rPr>
            </w:pPr>
          </w:p>
        </w:tc>
        <w:tc>
          <w:tcPr>
            <w:tcW w:w="12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E90CEA" w14:textId="582374FD" w:rsidR="00F53E3A" w:rsidRDefault="00F53E3A">
            <w:pPr>
              <w:spacing w:before="60" w:after="60"/>
              <w:jc w:val="center"/>
              <w:rPr>
                <w:rFonts w:ascii="Times New Roman" w:hAnsi="Times New Roman" w:cs="Times New Roman"/>
                <w:noProof/>
                <w:sz w:val="20"/>
              </w:rPr>
            </w:pPr>
          </w:p>
        </w:tc>
        <w:tc>
          <w:tcPr>
            <w:tcW w:w="112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0445BDE" w14:textId="23F6757C" w:rsidR="00F53E3A" w:rsidRDefault="00DB2EC5">
            <w:pPr>
              <w:pStyle w:val="P68B1DB1-Normal12"/>
              <w:spacing w:before="60" w:after="60"/>
              <w:jc w:val="center"/>
              <w:rPr>
                <w:rFonts w:cs="Times New Roman"/>
                <w:noProof/>
              </w:rPr>
            </w:pPr>
            <w:r>
              <w:rPr>
                <w:noProof/>
              </w:rPr>
              <w:t>T2</w:t>
            </w:r>
          </w:p>
        </w:tc>
        <w:tc>
          <w:tcPr>
            <w:tcW w:w="80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92F2C0C" w14:textId="76DDC84C" w:rsidR="00F53E3A" w:rsidRDefault="0036255F">
            <w:pPr>
              <w:pStyle w:val="P68B1DB1-Normal12"/>
              <w:spacing w:before="60" w:after="60"/>
              <w:jc w:val="center"/>
              <w:rPr>
                <w:rFonts w:cs="Times New Roman"/>
                <w:noProof/>
              </w:rPr>
            </w:pPr>
            <w:r>
              <w:rPr>
                <w:noProof/>
              </w:rPr>
              <w:t>2023</w:t>
            </w:r>
          </w:p>
        </w:tc>
        <w:tc>
          <w:tcPr>
            <w:tcW w:w="33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A221CC" w14:textId="110CB919" w:rsidR="00F53E3A" w:rsidRDefault="0036255F">
            <w:pPr>
              <w:pStyle w:val="P68B1DB1-Normal12"/>
              <w:spacing w:before="60" w:after="60"/>
              <w:jc w:val="both"/>
              <w:rPr>
                <w:rFonts w:cs="Times New Roman"/>
                <w:noProof/>
              </w:rPr>
            </w:pPr>
            <w:r>
              <w:rPr>
                <w:noProof/>
              </w:rPr>
              <w:t>Ministrul sănătății elaborează și adoptă un plan de centralizare a achizițiilor publice ale instituțiilor și agențiilor sanitare. Centralizarea achizițiilor publice ale instituțiilor și agențiilor din domeniul sănătății include organizațiile de achiziții din cadrul Ministerului Sănătății și organizațiile de achiziții în cazul cărora Ministerul Sănătății, împreună cu consiliile municipale, Universitatea din Vilnius, Universitatea Klaipėda sau Universitatea Lituaniană de Științe ale Sănătății sunt acționari majoritari.</w:t>
            </w:r>
          </w:p>
        </w:tc>
      </w:tr>
      <w:tr w:rsidR="00F53E3A" w14:paraId="4E6660A4" w14:textId="77777777" w:rsidTr="00E04E3B">
        <w:tc>
          <w:tcPr>
            <w:tcW w:w="65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F9E997E" w14:textId="4DEC8529" w:rsidR="00F53E3A" w:rsidRDefault="0036255F">
            <w:pPr>
              <w:pStyle w:val="P68B1DB1-Normal12"/>
              <w:spacing w:before="60" w:after="60"/>
              <w:jc w:val="center"/>
              <w:rPr>
                <w:rFonts w:cs="Times New Roman"/>
                <w:noProof/>
              </w:rPr>
            </w:pPr>
            <w:r>
              <w:rPr>
                <w:noProof/>
              </w:rPr>
              <w:t>180b</w:t>
            </w:r>
          </w:p>
        </w:tc>
        <w:tc>
          <w:tcPr>
            <w:tcW w:w="169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2734BE4" w14:textId="10AA07F5" w:rsidR="00F53E3A" w:rsidRDefault="0036255F">
            <w:pPr>
              <w:pStyle w:val="P68B1DB1-Normal12"/>
              <w:spacing w:before="60" w:after="60"/>
              <w:rPr>
                <w:rFonts w:cs="Times New Roman"/>
                <w:noProof/>
              </w:rPr>
            </w:pPr>
            <w:r>
              <w:rPr>
                <w:noProof/>
              </w:rPr>
              <w:t>F.3.1. Creșterea gradului de utilizare a achizițiilor publice centralizate</w:t>
            </w:r>
          </w:p>
        </w:tc>
        <w:tc>
          <w:tcPr>
            <w:tcW w:w="113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C3350DB" w14:textId="4F4E22FE" w:rsidR="00F53E3A" w:rsidRDefault="0036255F">
            <w:pPr>
              <w:pStyle w:val="P68B1DB1-Normal12"/>
              <w:spacing w:before="60" w:after="60"/>
              <w:jc w:val="center"/>
              <w:rPr>
                <w:rFonts w:cs="Times New Roman"/>
                <w:noProof/>
              </w:rPr>
            </w:pPr>
            <w:r>
              <w:rPr>
                <w:noProof/>
              </w:rPr>
              <w:t>Țintă</w:t>
            </w:r>
          </w:p>
        </w:tc>
        <w:tc>
          <w:tcPr>
            <w:tcW w:w="14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B1B21B" w14:textId="40D25A09" w:rsidR="00F53E3A" w:rsidRDefault="0036255F">
            <w:pPr>
              <w:pStyle w:val="P68B1DB1-Normal12"/>
              <w:spacing w:before="60" w:after="60"/>
              <w:rPr>
                <w:rFonts w:cs="Times New Roman"/>
                <w:noProof/>
              </w:rPr>
            </w:pPr>
            <w:r>
              <w:rPr>
                <w:noProof/>
              </w:rPr>
              <w:t>Extinderea catalogului Organizației Centrale de Achiziții (CPO LT)</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0A99C4" w14:textId="5CFB3E97" w:rsidR="00F53E3A" w:rsidRDefault="00F53E3A">
            <w:pPr>
              <w:spacing w:before="60" w:after="60"/>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CB9B384" w14:textId="7F3A404F" w:rsidR="00F53E3A" w:rsidRDefault="0036255F">
            <w:pPr>
              <w:pStyle w:val="P68B1DB1-Normal12"/>
              <w:spacing w:before="60" w:after="60"/>
              <w:jc w:val="center"/>
              <w:rPr>
                <w:rFonts w:cs="Times New Roman"/>
                <w:noProof/>
              </w:rPr>
            </w:pPr>
            <w:r>
              <w:rPr>
                <w:noProof/>
              </w:rPr>
              <w:t>Număr</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28BB73" w14:textId="76D54772" w:rsidR="00F53E3A" w:rsidRDefault="0036255F">
            <w:pPr>
              <w:pStyle w:val="P68B1DB1-Normal12"/>
              <w:spacing w:before="60" w:after="60"/>
              <w:jc w:val="center"/>
              <w:rPr>
                <w:rFonts w:cs="Times New Roman"/>
                <w:noProof/>
              </w:rPr>
            </w:pPr>
            <w:r>
              <w:rPr>
                <w:noProof/>
              </w:rPr>
              <w:t>83</w:t>
            </w:r>
          </w:p>
        </w:tc>
        <w:tc>
          <w:tcPr>
            <w:tcW w:w="12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4AC0537" w14:textId="408A16FB" w:rsidR="00F53E3A" w:rsidRDefault="0036255F">
            <w:pPr>
              <w:pStyle w:val="P68B1DB1-Normal12"/>
              <w:spacing w:before="60" w:after="60"/>
              <w:jc w:val="center"/>
              <w:rPr>
                <w:rFonts w:cs="Times New Roman"/>
                <w:noProof/>
              </w:rPr>
            </w:pPr>
            <w:r>
              <w:rPr>
                <w:noProof/>
              </w:rPr>
              <w:t>105</w:t>
            </w:r>
          </w:p>
        </w:tc>
        <w:tc>
          <w:tcPr>
            <w:tcW w:w="112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650F20A" w14:textId="5A1B39DE" w:rsidR="00F53E3A" w:rsidRDefault="00DB2EC5">
            <w:pPr>
              <w:pStyle w:val="P68B1DB1-Normal12"/>
              <w:spacing w:before="60" w:after="60"/>
              <w:jc w:val="center"/>
              <w:rPr>
                <w:rFonts w:cs="Times New Roman"/>
                <w:noProof/>
              </w:rPr>
            </w:pPr>
            <w:r>
              <w:rPr>
                <w:noProof/>
              </w:rPr>
              <w:t>T4</w:t>
            </w:r>
          </w:p>
        </w:tc>
        <w:tc>
          <w:tcPr>
            <w:tcW w:w="80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A62220E" w14:textId="33B6594E" w:rsidR="00F53E3A" w:rsidRDefault="0036255F">
            <w:pPr>
              <w:pStyle w:val="P68B1DB1-Normal12"/>
              <w:spacing w:before="60" w:after="60"/>
              <w:jc w:val="center"/>
              <w:rPr>
                <w:rFonts w:cs="Times New Roman"/>
                <w:noProof/>
              </w:rPr>
            </w:pPr>
            <w:r>
              <w:rPr>
                <w:noProof/>
              </w:rPr>
              <w:t>2025</w:t>
            </w:r>
          </w:p>
        </w:tc>
        <w:tc>
          <w:tcPr>
            <w:tcW w:w="33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C1444E" w14:textId="4742E616" w:rsidR="00F53E3A" w:rsidRDefault="0036255F">
            <w:pPr>
              <w:pStyle w:val="P68B1DB1-Normal12"/>
              <w:spacing w:before="60" w:after="60"/>
              <w:jc w:val="both"/>
              <w:rPr>
                <w:rFonts w:eastAsia="Times New Roman" w:cs="Times New Roman"/>
                <w:noProof/>
              </w:rPr>
            </w:pPr>
            <w:r>
              <w:rPr>
                <w:noProof/>
              </w:rPr>
              <w:t>Catalogul electronic al Organizației Centrale de Achiziții (CPO LT) se extinde cu cel puțin 22 module noi pentru articolele care pot fi achiziționate prin intermediul CPO LT, comparativ cu sfârșitul anului 2022.</w:t>
            </w:r>
          </w:p>
        </w:tc>
      </w:tr>
      <w:tr w:rsidR="00F53E3A" w14:paraId="1A0E9704" w14:textId="77777777" w:rsidTr="00E04E3B">
        <w:tc>
          <w:tcPr>
            <w:tcW w:w="65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812CB02" w14:textId="4B465440" w:rsidR="00F53E3A" w:rsidRDefault="0036255F">
            <w:pPr>
              <w:pStyle w:val="P68B1DB1-Normal12"/>
              <w:spacing w:before="60" w:after="60"/>
              <w:jc w:val="center"/>
              <w:rPr>
                <w:rFonts w:eastAsia="Times New Roman" w:cs="Times New Roman"/>
                <w:noProof/>
              </w:rPr>
            </w:pPr>
            <w:r>
              <w:rPr>
                <w:noProof/>
              </w:rPr>
              <w:t>180c</w:t>
            </w:r>
          </w:p>
        </w:tc>
        <w:tc>
          <w:tcPr>
            <w:tcW w:w="169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02FB4C" w14:textId="1DFF38B5" w:rsidR="00F53E3A" w:rsidRDefault="0036255F">
            <w:pPr>
              <w:pStyle w:val="P68B1DB1-Normal12"/>
              <w:spacing w:before="60" w:after="60"/>
              <w:rPr>
                <w:rFonts w:eastAsia="Times New Roman" w:cs="Times New Roman"/>
                <w:noProof/>
              </w:rPr>
            </w:pPr>
            <w:r>
              <w:rPr>
                <w:noProof/>
              </w:rPr>
              <w:t>F.3.2. Capitalizarea și reziliența financiară a instituției naționale de promovare</w:t>
            </w:r>
          </w:p>
        </w:tc>
        <w:tc>
          <w:tcPr>
            <w:tcW w:w="113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16F57D7" w14:textId="77777777" w:rsidR="00F53E3A" w:rsidRDefault="0036255F">
            <w:pPr>
              <w:pStyle w:val="P68B1DB1-Normal12"/>
              <w:spacing w:before="60" w:after="60"/>
              <w:jc w:val="center"/>
              <w:rPr>
                <w:rFonts w:eastAsia="Times New Roman" w:cs="Times New Roman"/>
                <w:noProof/>
              </w:rPr>
            </w:pPr>
            <w:r>
              <w:rPr>
                <w:noProof/>
              </w:rPr>
              <w:t>Țintă</w:t>
            </w:r>
          </w:p>
        </w:tc>
        <w:tc>
          <w:tcPr>
            <w:tcW w:w="14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789CD03" w14:textId="57468E87" w:rsidR="00F53E3A" w:rsidRDefault="0036255F">
            <w:pPr>
              <w:pStyle w:val="P68B1DB1-Normal12"/>
              <w:spacing w:before="60" w:after="60"/>
              <w:rPr>
                <w:rFonts w:eastAsia="Times New Roman" w:cs="Times New Roman"/>
                <w:noProof/>
              </w:rPr>
            </w:pPr>
            <w:r>
              <w:rPr>
                <w:noProof/>
              </w:rPr>
              <w:t>Transfer de capital de la guvernul lituanian către INVEGA</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C8ADA4F" w14:textId="77777777" w:rsidR="00F53E3A" w:rsidRDefault="00F53E3A">
            <w:pPr>
              <w:spacing w:before="60" w:after="60"/>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5E5E9F5" w14:textId="77777777" w:rsidR="00F53E3A" w:rsidRDefault="0036255F">
            <w:pPr>
              <w:pStyle w:val="P68B1DB1-Normal12"/>
              <w:spacing w:before="60" w:after="60"/>
              <w:jc w:val="center"/>
              <w:rPr>
                <w:rFonts w:eastAsia="Times New Roman" w:cs="Times New Roman"/>
                <w:noProof/>
              </w:rPr>
            </w:pPr>
            <w:r>
              <w:rPr>
                <w:noProof/>
              </w:rPr>
              <w:t>EUR</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04D2D00" w14:textId="77777777" w:rsidR="00F53E3A" w:rsidRDefault="0036255F">
            <w:pPr>
              <w:pStyle w:val="P68B1DB1-Normal12"/>
              <w:spacing w:before="60" w:after="60"/>
              <w:jc w:val="center"/>
              <w:rPr>
                <w:rFonts w:eastAsia="Times New Roman" w:cs="Times New Roman"/>
                <w:noProof/>
              </w:rPr>
            </w:pPr>
            <w:r>
              <w:rPr>
                <w:noProof/>
              </w:rPr>
              <w:t>0</w:t>
            </w:r>
          </w:p>
        </w:tc>
        <w:tc>
          <w:tcPr>
            <w:tcW w:w="12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C44066" w14:textId="3E16B149" w:rsidR="00F53E3A" w:rsidRDefault="0036255F">
            <w:pPr>
              <w:pStyle w:val="P68B1DB1-Normal12"/>
              <w:spacing w:before="60" w:after="60"/>
              <w:jc w:val="center"/>
              <w:rPr>
                <w:rFonts w:eastAsia="Times New Roman" w:cs="Times New Roman"/>
                <w:noProof/>
              </w:rPr>
            </w:pPr>
            <w:r>
              <w:rPr>
                <w:noProof/>
              </w:rPr>
              <w:t>150 000 000</w:t>
            </w:r>
          </w:p>
        </w:tc>
        <w:tc>
          <w:tcPr>
            <w:tcW w:w="112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2E77C5F" w14:textId="1B35701F" w:rsidR="00F53E3A" w:rsidRDefault="00DB2EC5">
            <w:pPr>
              <w:pStyle w:val="P68B1DB1-Normal12"/>
              <w:spacing w:before="60" w:after="60"/>
              <w:jc w:val="center"/>
              <w:rPr>
                <w:rFonts w:eastAsia="Times New Roman" w:cs="Times New Roman"/>
                <w:noProof/>
              </w:rPr>
            </w:pPr>
            <w:r>
              <w:rPr>
                <w:noProof/>
              </w:rPr>
              <w:t>T2</w:t>
            </w:r>
          </w:p>
        </w:tc>
        <w:tc>
          <w:tcPr>
            <w:tcW w:w="80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59B10E4" w14:textId="77777777" w:rsidR="00F53E3A" w:rsidRDefault="0036255F">
            <w:pPr>
              <w:pStyle w:val="P68B1DB1-Normal12"/>
              <w:spacing w:before="60" w:after="60"/>
              <w:jc w:val="center"/>
              <w:rPr>
                <w:rFonts w:eastAsia="Times New Roman" w:cs="Times New Roman"/>
                <w:noProof/>
              </w:rPr>
            </w:pPr>
            <w:r>
              <w:rPr>
                <w:noProof/>
              </w:rPr>
              <w:t>2024</w:t>
            </w:r>
          </w:p>
        </w:tc>
        <w:tc>
          <w:tcPr>
            <w:tcW w:w="33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E3E680" w14:textId="76D54E3D" w:rsidR="00F53E3A" w:rsidRDefault="0036255F">
            <w:pPr>
              <w:pStyle w:val="P68B1DB1-Normal12"/>
              <w:spacing w:before="60" w:after="60"/>
              <w:jc w:val="both"/>
              <w:rPr>
                <w:rFonts w:eastAsia="Times New Roman" w:cs="Times New Roman"/>
                <w:noProof/>
              </w:rPr>
            </w:pPr>
            <w:r>
              <w:rPr>
                <w:noProof/>
              </w:rPr>
              <w:t>Lituania transferă 150 000 000 EUR către INVEGA pentru a-și majora capitalizarea.</w:t>
            </w:r>
          </w:p>
        </w:tc>
      </w:tr>
      <w:tr w:rsidR="00F53E3A" w14:paraId="7489A86B" w14:textId="77777777" w:rsidTr="00E04E3B">
        <w:tc>
          <w:tcPr>
            <w:tcW w:w="65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81E962" w14:textId="16CEB39E" w:rsidR="00F53E3A" w:rsidRDefault="0036255F">
            <w:pPr>
              <w:pStyle w:val="P68B1DB1-Normal12"/>
              <w:spacing w:before="60" w:after="60"/>
              <w:jc w:val="center"/>
              <w:rPr>
                <w:rFonts w:eastAsia="Times New Roman" w:cs="Times New Roman"/>
                <w:noProof/>
              </w:rPr>
            </w:pPr>
            <w:r>
              <w:rPr>
                <w:noProof/>
              </w:rPr>
              <w:t>180d</w:t>
            </w:r>
          </w:p>
        </w:tc>
        <w:tc>
          <w:tcPr>
            <w:tcW w:w="169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FE32753" w14:textId="623AE1CA" w:rsidR="00F53E3A" w:rsidRDefault="0036255F">
            <w:pPr>
              <w:pStyle w:val="P68B1DB1-Normal12"/>
              <w:spacing w:before="60" w:after="60"/>
              <w:rPr>
                <w:rFonts w:eastAsia="Times New Roman" w:cs="Times New Roman"/>
                <w:noProof/>
              </w:rPr>
            </w:pPr>
            <w:r>
              <w:rPr>
                <w:noProof/>
              </w:rPr>
              <w:t>F.3.2. Capitalizarea și reziliența financiară a instituției naționale de promovare</w:t>
            </w:r>
          </w:p>
        </w:tc>
        <w:tc>
          <w:tcPr>
            <w:tcW w:w="113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687A03" w14:textId="2CDBBDF2" w:rsidR="00F53E3A" w:rsidRDefault="0036255F">
            <w:pPr>
              <w:pStyle w:val="P68B1DB1-Normal12"/>
              <w:spacing w:before="60" w:after="60"/>
              <w:jc w:val="center"/>
              <w:rPr>
                <w:rFonts w:eastAsia="Times New Roman" w:cs="Times New Roman"/>
                <w:noProof/>
              </w:rPr>
            </w:pPr>
            <w:r>
              <w:rPr>
                <w:noProof/>
              </w:rPr>
              <w:t>Etapă</w:t>
            </w:r>
          </w:p>
        </w:tc>
        <w:tc>
          <w:tcPr>
            <w:tcW w:w="14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B1D9D48" w14:textId="48F11194" w:rsidR="00F53E3A" w:rsidRDefault="0036255F">
            <w:pPr>
              <w:pStyle w:val="P68B1DB1-Normal12"/>
              <w:spacing w:before="60" w:after="60"/>
              <w:rPr>
                <w:rFonts w:eastAsia="Times New Roman" w:cs="Times New Roman"/>
                <w:noProof/>
              </w:rPr>
            </w:pPr>
            <w:r>
              <w:rPr>
                <w:noProof/>
              </w:rPr>
              <w:t>Politica de investiții pentru INVEGA</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27A4FA" w14:textId="633C4756" w:rsidR="00F53E3A" w:rsidRDefault="0036255F">
            <w:pPr>
              <w:pStyle w:val="P68B1DB1-Normal12"/>
              <w:spacing w:before="60" w:after="60"/>
              <w:rPr>
                <w:rFonts w:eastAsia="Times New Roman" w:cs="Times New Roman"/>
                <w:noProof/>
              </w:rPr>
            </w:pPr>
            <w:r>
              <w:rPr>
                <w:noProof/>
              </w:rPr>
              <w:t>Adoptarea unei politici de investiții</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F0F226" w14:textId="3D67D1A2" w:rsidR="00F53E3A" w:rsidRDefault="00F53E3A">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F8661C9" w14:textId="6B412651" w:rsidR="00F53E3A" w:rsidRDefault="00F53E3A">
            <w:pPr>
              <w:spacing w:before="60" w:after="60"/>
              <w:jc w:val="center"/>
              <w:rPr>
                <w:rFonts w:ascii="Times New Roman" w:eastAsia="Times New Roman" w:hAnsi="Times New Roman" w:cs="Times New Roman"/>
                <w:noProof/>
                <w:sz w:val="20"/>
              </w:rPr>
            </w:pPr>
          </w:p>
        </w:tc>
        <w:tc>
          <w:tcPr>
            <w:tcW w:w="12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624EE3" w14:textId="531517DC" w:rsidR="00F53E3A" w:rsidRDefault="00F53E3A">
            <w:pPr>
              <w:spacing w:before="60" w:after="60"/>
              <w:jc w:val="center"/>
              <w:rPr>
                <w:rFonts w:ascii="Times New Roman" w:eastAsia="Times New Roman" w:hAnsi="Times New Roman" w:cs="Times New Roman"/>
                <w:noProof/>
                <w:sz w:val="20"/>
              </w:rPr>
            </w:pPr>
          </w:p>
        </w:tc>
        <w:tc>
          <w:tcPr>
            <w:tcW w:w="112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3791F65" w14:textId="766119C7" w:rsidR="00F53E3A" w:rsidRDefault="00DB2EC5">
            <w:pPr>
              <w:pStyle w:val="P68B1DB1-Normal12"/>
              <w:spacing w:before="60" w:after="60"/>
              <w:jc w:val="center"/>
              <w:rPr>
                <w:rFonts w:eastAsia="Times New Roman" w:cs="Times New Roman"/>
                <w:noProof/>
              </w:rPr>
            </w:pPr>
            <w:r>
              <w:rPr>
                <w:noProof/>
              </w:rPr>
              <w:t>T1</w:t>
            </w:r>
          </w:p>
        </w:tc>
        <w:tc>
          <w:tcPr>
            <w:tcW w:w="80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8B66A18" w14:textId="57692B58" w:rsidR="00F53E3A" w:rsidRDefault="0036255F">
            <w:pPr>
              <w:pStyle w:val="P68B1DB1-Normal12"/>
              <w:spacing w:before="60" w:after="60"/>
              <w:jc w:val="center"/>
              <w:rPr>
                <w:rFonts w:eastAsia="Times New Roman" w:cs="Times New Roman"/>
                <w:noProof/>
              </w:rPr>
            </w:pPr>
            <w:r>
              <w:rPr>
                <w:noProof/>
              </w:rPr>
              <w:t>2025</w:t>
            </w:r>
          </w:p>
        </w:tc>
        <w:tc>
          <w:tcPr>
            <w:tcW w:w="33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910CCB2" w14:textId="7CE60B5C" w:rsidR="00F53E3A" w:rsidRDefault="0036255F">
            <w:pPr>
              <w:pStyle w:val="P68B1DB1-Normal12"/>
              <w:spacing w:before="60" w:after="60"/>
              <w:jc w:val="both"/>
              <w:rPr>
                <w:rFonts w:eastAsia="Times New Roman" w:cs="Times New Roman"/>
                <w:noProof/>
              </w:rPr>
            </w:pPr>
            <w:r>
              <w:rPr>
                <w:noProof/>
              </w:rPr>
              <w:t>Adoptarea unei noi politici de investiții pentru INVEGA, inclusiv includerea utilizării capitalului propriu suplimentar în conformitate cu dispozițiile din descrierea măsurii.</w:t>
            </w:r>
          </w:p>
        </w:tc>
      </w:tr>
    </w:tbl>
    <w:p w14:paraId="4DD3EA53" w14:textId="49EA316B" w:rsidR="00F53E3A" w:rsidRDefault="00F53E3A">
      <w:pPr>
        <w:rPr>
          <w:noProof/>
        </w:rPr>
      </w:pPr>
    </w:p>
    <w:p w14:paraId="1CBD88D2" w14:textId="77777777" w:rsidR="00F53E3A" w:rsidRDefault="00F53E3A">
      <w:pPr>
        <w:pStyle w:val="ManualHeading1"/>
        <w:tabs>
          <w:tab w:val="clear" w:pos="850"/>
        </w:tabs>
        <w:spacing w:after="200"/>
        <w:ind w:left="0" w:firstLine="0"/>
        <w:rPr>
          <w:noProof/>
        </w:rPr>
        <w:sectPr w:rsidR="00F53E3A" w:rsidSect="0074650A">
          <w:headerReference w:type="even" r:id="rId120"/>
          <w:headerReference w:type="default" r:id="rId121"/>
          <w:footerReference w:type="even" r:id="rId122"/>
          <w:footerReference w:type="default" r:id="rId123"/>
          <w:headerReference w:type="first" r:id="rId124"/>
          <w:footerReference w:type="first" r:id="rId125"/>
          <w:pgSz w:w="16839" w:h="11907" w:orient="landscape"/>
          <w:pgMar w:top="1134" w:right="1134" w:bottom="1134" w:left="1134" w:header="567" w:footer="567" w:gutter="0"/>
          <w:cols w:space="720"/>
          <w:docGrid w:linePitch="360"/>
        </w:sectPr>
      </w:pPr>
    </w:p>
    <w:p w14:paraId="519F86B1" w14:textId="77777777" w:rsidR="00F53E3A" w:rsidRDefault="0036255F">
      <w:pPr>
        <w:pStyle w:val="ManualHeading1"/>
        <w:tabs>
          <w:tab w:val="clear" w:pos="850"/>
        </w:tabs>
        <w:spacing w:before="0" w:after="200"/>
        <w:ind w:left="0" w:firstLine="0"/>
        <w:rPr>
          <w:noProof/>
        </w:rPr>
      </w:pPr>
      <w:r>
        <w:rPr>
          <w:noProof/>
        </w:rPr>
        <w:t>G. COMPONENTA 7: Mai multe oportunități pentru toți de a consolida în mod activ bunăstarea la nivel național</w:t>
      </w:r>
    </w:p>
    <w:p w14:paraId="6FFF272A" w14:textId="77777777" w:rsidR="00F53E3A" w:rsidRDefault="0036255F">
      <w:pPr>
        <w:pStyle w:val="Text1"/>
        <w:spacing w:before="0" w:after="200" w:line="276" w:lineRule="auto"/>
        <w:ind w:left="0"/>
        <w:rPr>
          <w:noProof/>
        </w:rPr>
      </w:pPr>
      <w:r>
        <w:rPr>
          <w:noProof/>
        </w:rPr>
        <w:t>Obiectivul general al componentei este de a contribui la punerea în aplicare a Pilonului european al drepturilor sociale și de a aborda unele dintre provocările de lungă durată legate de excluziunea socială, sărăcie și inegalitatea veniturilor, precum și de acoperirea scăzută a măsurilor active pe piața forței de muncă. Reformele și investițiile incluse în componentă vizează creșterea gradului de ocupare a forței de muncă și asigurarea integrării durabile a persoanelor pe piața forței de muncă, precum și îmbunătățirea caracterului adecvat al plasei de siguranță socială prin creșteri specifice ale anumitor prestații, îmbunătățirea mecanismului de indexare a pensiilor, creșterea acoperirii asigurărilor sociale de șomaj, precum și modificări ale furnizării de asistență socială acreditată.</w:t>
      </w:r>
    </w:p>
    <w:p w14:paraId="2A8E618F" w14:textId="77777777" w:rsidR="00F53E3A" w:rsidRDefault="0036255F">
      <w:pPr>
        <w:pStyle w:val="Text1"/>
        <w:spacing w:before="0" w:after="200" w:line="276" w:lineRule="auto"/>
        <w:ind w:left="0"/>
        <w:rPr>
          <w:noProof/>
        </w:rPr>
      </w:pPr>
      <w:r>
        <w:rPr>
          <w:noProof/>
        </w:rPr>
        <w:t>Componenta constă în două măsuri principale – protecția venitului minim garantat și sprijinul pentru ocuparea forței de muncă orientat către client.</w:t>
      </w:r>
    </w:p>
    <w:p w14:paraId="3341629F" w14:textId="77777777" w:rsidR="00F53E3A" w:rsidRDefault="0036255F">
      <w:pPr>
        <w:pStyle w:val="Text1"/>
        <w:spacing w:before="0" w:after="200" w:line="276" w:lineRule="auto"/>
        <w:ind w:left="0"/>
        <w:rPr>
          <w:noProof/>
        </w:rPr>
      </w:pPr>
      <w:r>
        <w:rPr>
          <w:noProof/>
        </w:rPr>
        <w:t>Se preconizează că această componentă va contribui la realizarea de progrese substanțiale</w:t>
      </w:r>
      <w:r>
        <w:rPr>
          <w:b/>
          <w:noProof/>
        </w:rPr>
        <w:t xml:space="preserve"> </w:t>
      </w:r>
      <w:r>
        <w:rPr>
          <w:noProof/>
        </w:rPr>
        <w:t>în ceea ce privește punerea în aplicare a recomandărilor specifice fiecărei țări privind atenuarea impactului crizei asupra ocupării forței de muncă, creșterea finanțării și a acoperirii măsurilor de politică activă în domeniul pieței forței de muncă și promovarea competențelor (recomandările specifice fiecărei țări 2, 2020). Acest lucru este valabil și pentru recomandarea specifică fiecărei țări de îmbunătățire a calității și eficienței la toate nivelurile de educație și formare, inclusiv în ceea ce privește învățarea în rândul adulților (recomandările specifice fiecărei țări 2, 2019). Componenta contribuie, de asemenea, la abordarea recomandării specifice fiecărei țări de a aborda inegalitatea veniturilor, sărăcia și excluziunea socială, inclusiv prin îmbunătățirea conceperii sistemului fiscal și de prestații sociale (recomandarea specifică fiecărei țări 1, 2019), de a asigura acoperirea și caracterul adecvat al plasei de siguranță socială și de a îmbunătăți eficacitatea sistemului fiscal și de prestații sociale în ceea ce privește protecția împotriva sărăciei (recomandarea specifică fiecărei țări 2, 2020).</w:t>
      </w:r>
    </w:p>
    <w:p w14:paraId="6E714606" w14:textId="0191CCB5" w:rsidR="00F53E3A" w:rsidRDefault="0036255F">
      <w:pPr>
        <w:pStyle w:val="P68B1DB1-Text15"/>
        <w:keepNext/>
        <w:keepLines/>
        <w:spacing w:before="0" w:after="200" w:line="276" w:lineRule="auto"/>
        <w:ind w:left="0"/>
        <w:outlineLvl w:val="1"/>
        <w:rPr>
          <w:noProof/>
        </w:rPr>
      </w:pPr>
      <w:r>
        <w:rPr>
          <w:noProof/>
        </w:rPr>
        <w:t>G.1. Descrierea reformelor și a investițiilor pentru sprijinul financiar nerambursabil</w:t>
      </w:r>
    </w:p>
    <w:p w14:paraId="0A985356" w14:textId="77777777" w:rsidR="00F53E3A" w:rsidRDefault="0036255F">
      <w:pPr>
        <w:pStyle w:val="P68B1DB1-Normal6"/>
        <w:keepNext/>
        <w:keepLines/>
        <w:jc w:val="both"/>
        <w:rPr>
          <w:rFonts w:cs="Times New Roman"/>
          <w:noProof/>
        </w:rPr>
      </w:pPr>
      <w:r>
        <w:rPr>
          <w:noProof/>
        </w:rPr>
        <w:t>G.1.1. Reforma 1 „Protecția garantată a venitului minim”</w:t>
      </w:r>
    </w:p>
    <w:p w14:paraId="10C1C729" w14:textId="52574990" w:rsidR="00F53E3A" w:rsidRDefault="0036255F">
      <w:pPr>
        <w:pStyle w:val="Text1"/>
        <w:spacing w:before="0" w:after="200" w:line="276" w:lineRule="auto"/>
        <w:ind w:left="0"/>
        <w:rPr>
          <w:noProof/>
        </w:rPr>
      </w:pPr>
      <w:r>
        <w:rPr>
          <w:noProof/>
        </w:rPr>
        <w:t>Obiectivul acestei reforme este de a spori bunăstarea socială a celor mai vulnerabile grupuri și de a atenua sărăcia. Acesta constă în 3 submăsuri: (1) studiu privind sistemul de venit minim și modificările aferente aduse legislației (submăsura 1), (2) măsuri suplimentare de creștere a caracterului adecvat și a sustenabilității prestațiilor sociale (submăsura 2); și (3) acreditarea asistenței sociale (submăsura 3).</w:t>
      </w:r>
    </w:p>
    <w:p w14:paraId="75023D38" w14:textId="77777777" w:rsidR="00F53E3A" w:rsidRDefault="0036255F">
      <w:pPr>
        <w:pStyle w:val="P68B1DB1-Normal6"/>
        <w:keepNext/>
        <w:keepLines/>
        <w:jc w:val="both"/>
        <w:rPr>
          <w:rFonts w:cs="Times New Roman"/>
          <w:noProof/>
        </w:rPr>
      </w:pPr>
      <w:r>
        <w:rPr>
          <w:noProof/>
        </w:rPr>
        <w:t>G.1.1.1. Submăsura 1: Studiu privind sistemul de venit minim și modificările conexe ale legislației</w:t>
      </w:r>
    </w:p>
    <w:p w14:paraId="242BDBB0" w14:textId="06D5960A" w:rsidR="00F53E3A" w:rsidRDefault="0036255F">
      <w:pPr>
        <w:pStyle w:val="Text1"/>
        <w:spacing w:before="0" w:after="200" w:line="276" w:lineRule="auto"/>
        <w:ind w:left="0"/>
        <w:rPr>
          <w:rStyle w:val="normaltextrun"/>
          <w:noProof/>
        </w:rPr>
      </w:pPr>
      <w:r>
        <w:rPr>
          <w:noProof/>
        </w:rPr>
        <w:t>Obiectivul submăsurii</w:t>
      </w:r>
      <w:r>
        <w:rPr>
          <w:rStyle w:val="normaltextrun"/>
          <w:noProof/>
          <w:shd w:val="clear" w:color="auto" w:fill="FFFFFF"/>
        </w:rPr>
        <w:t xml:space="preserve"> este de a spori eficacitatea sistemului de venit minim pentru a atenua sărăcia. Submăsura constă în efectuarea unei analize a sistemului de venit minim </w:t>
      </w:r>
      <w:r>
        <w:rPr>
          <w:noProof/>
        </w:rPr>
        <w:t>și a intrării în vigoare a modificărilor legislative pe baza recomandărilor studiului</w:t>
      </w:r>
      <w:r>
        <w:rPr>
          <w:rStyle w:val="normaltextrun"/>
          <w:noProof/>
          <w:shd w:val="clear" w:color="auto" w:fill="FFFFFF"/>
        </w:rPr>
        <w:t xml:space="preserve">. </w:t>
      </w:r>
    </w:p>
    <w:p w14:paraId="58021A5B" w14:textId="6B84481D" w:rsidR="00F53E3A" w:rsidRDefault="0036255F">
      <w:pPr>
        <w:pStyle w:val="P68B1DB1-Normal6"/>
        <w:keepNext/>
        <w:keepLines/>
        <w:jc w:val="both"/>
        <w:rPr>
          <w:rFonts w:cs="Times New Roman"/>
          <w:noProof/>
        </w:rPr>
      </w:pPr>
      <w:r>
        <w:rPr>
          <w:noProof/>
        </w:rPr>
        <w:t>G.1.1.2. Submăsura 2: Măsuri suplimentare pentru a spori caracterul adecvat și sustenabilitatea prestațiilor sociale</w:t>
      </w:r>
    </w:p>
    <w:p w14:paraId="63B9F052" w14:textId="2B9E0E52" w:rsidR="00F53E3A" w:rsidRDefault="0036255F">
      <w:pPr>
        <w:pStyle w:val="Text1"/>
        <w:spacing w:before="0" w:after="200" w:line="276" w:lineRule="auto"/>
        <w:ind w:left="0"/>
        <w:rPr>
          <w:rStyle w:val="normaltextrun"/>
          <w:noProof/>
        </w:rPr>
      </w:pPr>
      <w:r>
        <w:rPr>
          <w:rStyle w:val="normaltextrun"/>
          <w:noProof/>
          <w:shd w:val="clear" w:color="auto" w:fill="FFFFFF"/>
        </w:rPr>
        <w:t xml:space="preserve">Obiectivul acestei submăsuri este de a pune în aplicare anumite modificări </w:t>
      </w:r>
      <w:r>
        <w:rPr>
          <w:noProof/>
        </w:rPr>
        <w:t>pentru a spori caracterul adecvat și sustenabilitatea prestațiilor sociale,</w:t>
      </w:r>
      <w:r>
        <w:rPr>
          <w:rStyle w:val="normaltextrun"/>
          <w:noProof/>
          <w:shd w:val="clear" w:color="auto" w:fill="FFFFFF"/>
        </w:rPr>
        <w:t xml:space="preserve"> independent de un studiu. Acestea se referă la modificări ale legislației care sporesc </w:t>
      </w:r>
      <w:r>
        <w:rPr>
          <w:rStyle w:val="normaltextrun"/>
          <w:noProof/>
        </w:rPr>
        <w:t xml:space="preserve">acoperirea și caracterul adecvat </w:t>
      </w:r>
      <w:r>
        <w:rPr>
          <w:rStyle w:val="normaltextrun"/>
          <w:noProof/>
          <w:shd w:val="clear" w:color="auto" w:fill="FFFFFF"/>
        </w:rPr>
        <w:t>al sistemului asigurărilor pentru șomaj, introducând prestații suplimentare pentru persoanele în vârstă singure și pentru persoanele cu handicap</w:t>
      </w:r>
      <w:r>
        <w:rPr>
          <w:rStyle w:val="normaltextrun"/>
          <w:noProof/>
        </w:rPr>
        <w:t>, precum și îmbunătățind mecanismul de indexare a pensiilor pentru a atenua sărăcia în rândul persoanelor în vârstă.</w:t>
      </w:r>
    </w:p>
    <w:p w14:paraId="5304C962" w14:textId="77777777" w:rsidR="00F53E3A" w:rsidRDefault="0036255F">
      <w:pPr>
        <w:pStyle w:val="P68B1DB1-Normal6"/>
        <w:keepNext/>
        <w:keepLines/>
        <w:jc w:val="both"/>
        <w:rPr>
          <w:rFonts w:cs="Times New Roman"/>
          <w:noProof/>
          <w:szCs w:val="24"/>
        </w:rPr>
      </w:pPr>
      <w:r>
        <w:rPr>
          <w:noProof/>
        </w:rPr>
        <w:t>G.1.1.3. Submăsura 3: Acreditarea asistenței sociale</w:t>
      </w:r>
    </w:p>
    <w:p w14:paraId="79AE89F1" w14:textId="77777777" w:rsidR="00F53E3A" w:rsidRDefault="0036255F">
      <w:pPr>
        <w:pStyle w:val="Text1"/>
        <w:spacing w:before="0" w:after="200" w:line="276" w:lineRule="auto"/>
        <w:ind w:left="0"/>
        <w:rPr>
          <w:noProof/>
        </w:rPr>
      </w:pPr>
      <w:r>
        <w:rPr>
          <w:rStyle w:val="normaltextrun"/>
          <w:noProof/>
          <w:shd w:val="clear" w:color="auto" w:fill="FFFFFF"/>
        </w:rPr>
        <w:t>Obiectivul acestei submăsuri este de a spori calitatea serviciilor de asistență socială. În acest scop, se instituie un sistem de acreditare și</w:t>
      </w:r>
      <w:r>
        <w:rPr>
          <w:noProof/>
        </w:rPr>
        <w:t xml:space="preserve">, începând cu 1 ianuarie 2022, se acordă numai asistență socială acreditată. </w:t>
      </w:r>
    </w:p>
    <w:p w14:paraId="61D9FF4E" w14:textId="77777777" w:rsidR="00F53E3A" w:rsidRDefault="0036255F">
      <w:pPr>
        <w:pStyle w:val="P68B1DB1-Normal6"/>
        <w:keepNext/>
        <w:keepLines/>
        <w:jc w:val="both"/>
        <w:rPr>
          <w:rFonts w:cs="Times New Roman"/>
          <w:noProof/>
        </w:rPr>
      </w:pPr>
      <w:r>
        <w:rPr>
          <w:noProof/>
        </w:rPr>
        <w:t>G.1.2. Investiția 2: „Sprijin pentru ocuparea forței de muncă orientat către client”</w:t>
      </w:r>
    </w:p>
    <w:p w14:paraId="03243F63" w14:textId="63051C50" w:rsidR="00F53E3A" w:rsidRDefault="0036255F">
      <w:pPr>
        <w:pStyle w:val="Text1"/>
        <w:spacing w:before="0" w:after="200" w:line="276" w:lineRule="auto"/>
        <w:ind w:left="0"/>
        <w:rPr>
          <w:noProof/>
        </w:rPr>
      </w:pPr>
      <w:r>
        <w:rPr>
          <w:noProof/>
        </w:rPr>
        <w:t>Obiectivul acestei măsuri este de a optimiza procesele operaționale și sprijinul oferit de serviciul public de ocupare a forței de muncă, de a stimula antreprenoriatul și recalificarea/perfecționarea în domenii cu valoare adăugată ridicată și de a oferi sprijin pentru ocuparea forței de muncă. Investiția constă în două submăsuri: (1) optimizarea și digitalizarea proceselor operaționale ale serviciilor de ocupare a forței de muncă, asigurând orientarea sistematică către client (submăsura 1); și (2)</w:t>
      </w:r>
      <w:r w:rsidR="00E04E3B">
        <w:rPr>
          <w:noProof/>
        </w:rPr>
        <w:t> </w:t>
      </w:r>
      <w:r>
        <w:rPr>
          <w:noProof/>
        </w:rPr>
        <w:t>extinderea domeniului de aplicare și a diversității măsurilor de sprijinire a ocupării forței de muncă (submăsura 2).</w:t>
      </w:r>
    </w:p>
    <w:p w14:paraId="20A06998" w14:textId="25127E1D" w:rsidR="00F53E3A" w:rsidRDefault="0036255F">
      <w:pPr>
        <w:pStyle w:val="P68B1DB1-Normal6"/>
        <w:keepNext/>
        <w:keepLines/>
        <w:jc w:val="both"/>
        <w:rPr>
          <w:rFonts w:cs="Times New Roman"/>
          <w:noProof/>
          <w:szCs w:val="24"/>
        </w:rPr>
      </w:pPr>
      <w:r>
        <w:rPr>
          <w:noProof/>
        </w:rPr>
        <w:t>G.1.2.1. Submăsura 1: Optimizarea și digitalizarea proceselor operaționale ale serviciilor de ocupare a forței de muncă, asigurând orientarea sistematică către client</w:t>
      </w:r>
    </w:p>
    <w:p w14:paraId="7C8F4BCB" w14:textId="687C6DE2" w:rsidR="00F53E3A" w:rsidRDefault="0036255F">
      <w:pPr>
        <w:pStyle w:val="Text1"/>
        <w:spacing w:before="0" w:after="200" w:line="276" w:lineRule="auto"/>
        <w:ind w:left="0"/>
        <w:rPr>
          <w:noProof/>
        </w:rPr>
      </w:pPr>
      <w:r>
        <w:rPr>
          <w:noProof/>
        </w:rPr>
        <w:t>Obiectivul submăsurii este de a digitaliza procesele operaționale ale serviciului de ocupare a forței de muncă și de a asigura orientarea către client. Submăsura constă în punerea în funcțiune a platformei de servicii de ocupare a forței de muncă.</w:t>
      </w:r>
    </w:p>
    <w:p w14:paraId="01493267" w14:textId="1BCA505F" w:rsidR="00F53E3A" w:rsidRDefault="0036255F">
      <w:pPr>
        <w:pStyle w:val="P68B1DB1-Normal6"/>
        <w:keepNext/>
        <w:keepLines/>
        <w:jc w:val="both"/>
        <w:rPr>
          <w:rFonts w:cs="Times New Roman"/>
          <w:noProof/>
          <w:szCs w:val="24"/>
        </w:rPr>
      </w:pPr>
      <w:r>
        <w:rPr>
          <w:noProof/>
        </w:rPr>
        <w:t>G.1.2.2. Submăsura 2: Extinderea domeniului de aplicare și a diversității măsurilor de sprijinire a ocupării forței de muncă</w:t>
      </w:r>
    </w:p>
    <w:p w14:paraId="441C3B4F" w14:textId="0EB7DC85" w:rsidR="00F53E3A" w:rsidRDefault="0036255F">
      <w:pPr>
        <w:pStyle w:val="Text1"/>
        <w:spacing w:before="0" w:after="200" w:line="276" w:lineRule="auto"/>
        <w:ind w:left="0"/>
        <w:rPr>
          <w:noProof/>
        </w:rPr>
        <w:sectPr w:rsidR="00F53E3A" w:rsidSect="0074650A">
          <w:headerReference w:type="even" r:id="rId126"/>
          <w:headerReference w:type="default" r:id="rId127"/>
          <w:footerReference w:type="even" r:id="rId128"/>
          <w:footerReference w:type="default" r:id="rId129"/>
          <w:headerReference w:type="first" r:id="rId130"/>
          <w:footerReference w:type="first" r:id="rId131"/>
          <w:pgSz w:w="11907" w:h="16839"/>
          <w:pgMar w:top="1134" w:right="1134" w:bottom="1134" w:left="1134" w:header="567" w:footer="567" w:gutter="0"/>
          <w:cols w:space="720"/>
          <w:docGrid w:linePitch="360"/>
        </w:sectPr>
      </w:pPr>
      <w:r>
        <w:rPr>
          <w:noProof/>
        </w:rPr>
        <w:t>Obiectivul acestei submăsuri este de a extinde domeniul de aplicare și diversitatea măsurilor de sprijinire a ocupării forței de muncă. Submăsura constă în intrarea în vigoare a unei legislații care instituie două scheme-pilot de sprijin pentru formare și antreprenoriat și care oferă sprijin participanților în cadrul acestor scheme</w:t>
      </w:r>
      <w:r>
        <w:rPr>
          <w:rFonts w:eastAsia="Times New Roman"/>
          <w:noProof/>
        </w:rPr>
        <w:t>, precum și în acordarea de subvenții pentru sprijinirea ocupării forței de muncă.</w:t>
      </w:r>
    </w:p>
    <w:p w14:paraId="0A1C0EE8" w14:textId="5166E424" w:rsidR="00F53E3A" w:rsidRDefault="0036255F">
      <w:pPr>
        <w:pStyle w:val="P68B1DB1-Text15"/>
        <w:keepNext/>
        <w:keepLines/>
        <w:spacing w:before="0" w:after="200" w:line="276" w:lineRule="auto"/>
        <w:ind w:left="0"/>
        <w:jc w:val="center"/>
        <w:outlineLvl w:val="1"/>
        <w:rPr>
          <w:noProof/>
        </w:rPr>
      </w:pPr>
      <w:r>
        <w:rPr>
          <w:noProof/>
        </w:rPr>
        <w:t>G.2. Jaloane, ținte, indicatori și calendarul de monitorizare și implementare aplicabile sprijinului financiar nerambursabil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ayout w:type="fixed"/>
        <w:tblCellMar>
          <w:left w:w="70" w:type="dxa"/>
          <w:right w:w="70" w:type="dxa"/>
        </w:tblCellMar>
        <w:tblLook w:val="04A0" w:firstRow="1" w:lastRow="0" w:firstColumn="1" w:lastColumn="0" w:noHBand="0" w:noVBand="1"/>
      </w:tblPr>
      <w:tblGrid>
        <w:gridCol w:w="727"/>
        <w:gridCol w:w="1611"/>
        <w:gridCol w:w="1092"/>
        <w:gridCol w:w="1560"/>
        <w:gridCol w:w="1317"/>
        <w:gridCol w:w="993"/>
        <w:gridCol w:w="1134"/>
        <w:gridCol w:w="893"/>
        <w:gridCol w:w="1091"/>
        <w:gridCol w:w="709"/>
        <w:gridCol w:w="3584"/>
      </w:tblGrid>
      <w:tr w:rsidR="00F53E3A" w14:paraId="6094B5FF" w14:textId="77777777" w:rsidTr="00E04E3B">
        <w:trPr>
          <w:tblHeader/>
        </w:trPr>
        <w:tc>
          <w:tcPr>
            <w:tcW w:w="727"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1749F83" w14:textId="152EF60E" w:rsidR="00F53E3A" w:rsidRDefault="0035684C">
            <w:pPr>
              <w:pStyle w:val="P68B1DB1-Normal9"/>
              <w:spacing w:before="60" w:after="60"/>
              <w:jc w:val="center"/>
              <w:rPr>
                <w:rFonts w:cs="Times New Roman"/>
                <w:noProof/>
              </w:rPr>
            </w:pPr>
            <w:r>
              <w:rPr>
                <w:noProof/>
              </w:rPr>
              <w:t>Nr.</w:t>
            </w:r>
          </w:p>
        </w:tc>
        <w:tc>
          <w:tcPr>
            <w:tcW w:w="1611"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2185E80" w14:textId="77777777" w:rsidR="00F53E3A" w:rsidRDefault="0036255F">
            <w:pPr>
              <w:pStyle w:val="P68B1DB1-Normal9"/>
              <w:spacing w:before="60" w:after="60"/>
              <w:jc w:val="center"/>
              <w:rPr>
                <w:rFonts w:cs="Times New Roman"/>
                <w:noProof/>
              </w:rPr>
            </w:pPr>
            <w:r>
              <w:rPr>
                <w:noProof/>
              </w:rPr>
              <w:t>Măsură conexă (reformă sau investiții)</w:t>
            </w:r>
          </w:p>
        </w:tc>
        <w:tc>
          <w:tcPr>
            <w:tcW w:w="1092"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8C2B051" w14:textId="561C0BAB" w:rsidR="00F53E3A" w:rsidRDefault="0036255F">
            <w:pPr>
              <w:pStyle w:val="P68B1DB1-Normal9"/>
              <w:spacing w:before="60" w:after="60"/>
              <w:jc w:val="center"/>
              <w:rPr>
                <w:rFonts w:cs="Times New Roman"/>
                <w:noProof/>
              </w:rPr>
            </w:pPr>
            <w:r>
              <w:rPr>
                <w:noProof/>
              </w:rPr>
              <w:t>Etapă/</w:t>
            </w:r>
            <w:r w:rsidR="00E04E3B">
              <w:rPr>
                <w:noProof/>
              </w:rPr>
              <w:t xml:space="preserve"> </w:t>
            </w:r>
            <w:r>
              <w:rPr>
                <w:noProof/>
              </w:rPr>
              <w:t>Obiectiv</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FF2E46B" w14:textId="77777777" w:rsidR="00F53E3A" w:rsidRDefault="0036255F">
            <w:pPr>
              <w:pStyle w:val="P68B1DB1-Normal9"/>
              <w:spacing w:before="60" w:after="60"/>
              <w:jc w:val="center"/>
              <w:rPr>
                <w:rFonts w:cs="Times New Roman"/>
                <w:noProof/>
              </w:rPr>
            </w:pPr>
            <w:r>
              <w:rPr>
                <w:noProof/>
              </w:rPr>
              <w:t>Titlu</w:t>
            </w:r>
          </w:p>
        </w:tc>
        <w:tc>
          <w:tcPr>
            <w:tcW w:w="1317"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431EAA3" w14:textId="656B8A37" w:rsidR="00F53E3A" w:rsidRDefault="0036255F">
            <w:pPr>
              <w:pStyle w:val="P68B1DB1-Normal10"/>
              <w:spacing w:before="60" w:after="60"/>
              <w:jc w:val="center"/>
              <w:rPr>
                <w:rFonts w:ascii="Times New Roman" w:hAnsi="Times New Roman" w:cs="Times New Roman"/>
                <w:b/>
                <w:noProof/>
              </w:rPr>
            </w:pPr>
            <w:r>
              <w:rPr>
                <w:rFonts w:ascii="Times New Roman" w:hAnsi="Times New Roman"/>
                <w:b/>
                <w:noProof/>
              </w:rPr>
              <w:t>Indicatori calitativi</w:t>
            </w:r>
            <w:r>
              <w:rPr>
                <w:noProof/>
              </w:rPr>
              <w:t xml:space="preserve"> </w:t>
            </w:r>
            <w:r>
              <w:rPr>
                <w:noProof/>
              </w:rPr>
              <w:br/>
            </w:r>
            <w:r>
              <w:rPr>
                <w:rFonts w:ascii="Times New Roman" w:hAnsi="Times New Roman"/>
                <w:b/>
                <w:noProof/>
              </w:rPr>
              <w:t>(pentru jaloane)</w:t>
            </w:r>
          </w:p>
        </w:tc>
        <w:tc>
          <w:tcPr>
            <w:tcW w:w="3020"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A033C2B" w14:textId="69A24282" w:rsidR="00F53E3A" w:rsidRDefault="0036255F">
            <w:pPr>
              <w:pStyle w:val="P68B1DB1-Normal10"/>
              <w:spacing w:before="60" w:after="60"/>
              <w:jc w:val="center"/>
              <w:rPr>
                <w:rFonts w:ascii="Times New Roman" w:hAnsi="Times New Roman" w:cs="Times New Roman"/>
                <w:b/>
                <w:noProof/>
              </w:rPr>
            </w:pPr>
            <w:r>
              <w:rPr>
                <w:rFonts w:ascii="Times New Roman" w:hAnsi="Times New Roman"/>
                <w:b/>
                <w:noProof/>
              </w:rPr>
              <w:t>Indicatori cantitativi</w:t>
            </w:r>
            <w:r>
              <w:rPr>
                <w:noProof/>
              </w:rPr>
              <w:t xml:space="preserve"> </w:t>
            </w:r>
            <w:r>
              <w:rPr>
                <w:noProof/>
              </w:rPr>
              <w:br/>
            </w:r>
            <w:r>
              <w:rPr>
                <w:rFonts w:ascii="Times New Roman" w:hAnsi="Times New Roman"/>
                <w:b/>
                <w:noProof/>
              </w:rPr>
              <w:t>(pentru obiective)</w:t>
            </w:r>
          </w:p>
        </w:tc>
        <w:tc>
          <w:tcPr>
            <w:tcW w:w="1800"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9280600" w14:textId="72D8C062" w:rsidR="00F53E3A" w:rsidRDefault="0036255F">
            <w:pPr>
              <w:pStyle w:val="P68B1DB1-Normal9"/>
              <w:spacing w:before="60" w:after="60"/>
              <w:jc w:val="center"/>
              <w:rPr>
                <w:rFonts w:cs="Times New Roman"/>
                <w:noProof/>
              </w:rPr>
            </w:pPr>
            <w:r>
              <w:rPr>
                <w:noProof/>
              </w:rPr>
              <w:t>Calendar orientativ pentru finalizare</w:t>
            </w:r>
          </w:p>
        </w:tc>
        <w:tc>
          <w:tcPr>
            <w:tcW w:w="358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F7B19AB" w14:textId="77777777" w:rsidR="00F53E3A" w:rsidRDefault="0036255F">
            <w:pPr>
              <w:pStyle w:val="P68B1DB1-Normal9"/>
              <w:spacing w:before="60" w:after="60"/>
              <w:jc w:val="center"/>
              <w:rPr>
                <w:rFonts w:cs="Times New Roman"/>
                <w:noProof/>
              </w:rPr>
            </w:pPr>
            <w:r>
              <w:rPr>
                <w:noProof/>
              </w:rPr>
              <w:t>Descrierea și definiția clară a fiecărui obiectiv de etapă și a fiecărei ținte</w:t>
            </w:r>
          </w:p>
        </w:tc>
      </w:tr>
      <w:tr w:rsidR="00F53E3A" w14:paraId="39022484" w14:textId="77777777" w:rsidTr="00E04E3B">
        <w:trPr>
          <w:tblHeader/>
        </w:trPr>
        <w:tc>
          <w:tcPr>
            <w:tcW w:w="727" w:type="dxa"/>
            <w:vMerge/>
            <w:vAlign w:val="center"/>
          </w:tcPr>
          <w:p w14:paraId="4416E1A9" w14:textId="77777777" w:rsidR="00F53E3A" w:rsidRDefault="00F53E3A">
            <w:pPr>
              <w:spacing w:before="60" w:after="60"/>
              <w:jc w:val="center"/>
              <w:rPr>
                <w:rFonts w:ascii="Times New Roman" w:hAnsi="Times New Roman" w:cs="Times New Roman"/>
                <w:b/>
                <w:noProof/>
                <w:sz w:val="20"/>
              </w:rPr>
            </w:pPr>
          </w:p>
        </w:tc>
        <w:tc>
          <w:tcPr>
            <w:tcW w:w="1611" w:type="dxa"/>
            <w:vMerge/>
            <w:vAlign w:val="center"/>
          </w:tcPr>
          <w:p w14:paraId="3CDBEB0F" w14:textId="77777777" w:rsidR="00F53E3A" w:rsidRDefault="00F53E3A">
            <w:pPr>
              <w:spacing w:before="60" w:after="60"/>
              <w:rPr>
                <w:rFonts w:ascii="Times New Roman" w:hAnsi="Times New Roman" w:cs="Times New Roman"/>
                <w:b/>
                <w:noProof/>
                <w:sz w:val="20"/>
              </w:rPr>
            </w:pPr>
          </w:p>
        </w:tc>
        <w:tc>
          <w:tcPr>
            <w:tcW w:w="1092" w:type="dxa"/>
            <w:vMerge/>
            <w:vAlign w:val="center"/>
          </w:tcPr>
          <w:p w14:paraId="5BD5700B" w14:textId="77777777" w:rsidR="00F53E3A" w:rsidRDefault="00F53E3A">
            <w:pPr>
              <w:spacing w:before="60" w:after="60"/>
              <w:jc w:val="center"/>
              <w:rPr>
                <w:rFonts w:ascii="Times New Roman" w:hAnsi="Times New Roman" w:cs="Times New Roman"/>
                <w:b/>
                <w:noProof/>
                <w:sz w:val="20"/>
              </w:rPr>
            </w:pPr>
          </w:p>
        </w:tc>
        <w:tc>
          <w:tcPr>
            <w:tcW w:w="1560" w:type="dxa"/>
            <w:vMerge/>
            <w:vAlign w:val="center"/>
          </w:tcPr>
          <w:p w14:paraId="26384EC8" w14:textId="77777777" w:rsidR="00F53E3A" w:rsidRDefault="00F53E3A">
            <w:pPr>
              <w:spacing w:before="60" w:after="60"/>
              <w:rPr>
                <w:rFonts w:ascii="Times New Roman" w:hAnsi="Times New Roman" w:cs="Times New Roman"/>
                <w:b/>
                <w:noProof/>
                <w:sz w:val="20"/>
              </w:rPr>
            </w:pPr>
          </w:p>
        </w:tc>
        <w:tc>
          <w:tcPr>
            <w:tcW w:w="1317" w:type="dxa"/>
            <w:vMerge/>
            <w:vAlign w:val="center"/>
          </w:tcPr>
          <w:p w14:paraId="59332100" w14:textId="77777777" w:rsidR="00F53E3A" w:rsidRDefault="00F53E3A">
            <w:pPr>
              <w:spacing w:before="60" w:after="60"/>
              <w:rPr>
                <w:rFonts w:ascii="Times New Roman" w:hAnsi="Times New Roman" w:cs="Times New Roman"/>
                <w:b/>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985EEBE" w14:textId="77777777" w:rsidR="00F53E3A" w:rsidRDefault="0036255F">
            <w:pPr>
              <w:pStyle w:val="P68B1DB1-Normal9"/>
              <w:spacing w:before="60" w:after="60"/>
              <w:jc w:val="center"/>
              <w:rPr>
                <w:rFonts w:cs="Times New Roman"/>
                <w:noProof/>
              </w:rPr>
            </w:pPr>
            <w:r>
              <w:rPr>
                <w:noProof/>
              </w:rPr>
              <w:t>Unitate</w:t>
            </w:r>
          </w:p>
        </w:tc>
        <w:tc>
          <w:tcPr>
            <w:tcW w:w="1134"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224BE86" w14:textId="77777777" w:rsidR="00F53E3A" w:rsidRDefault="0036255F">
            <w:pPr>
              <w:pStyle w:val="P68B1DB1-Normal9"/>
              <w:spacing w:before="60" w:after="60"/>
              <w:jc w:val="center"/>
              <w:rPr>
                <w:rFonts w:cs="Times New Roman"/>
                <w:noProof/>
              </w:rPr>
            </w:pPr>
            <w:r>
              <w:rPr>
                <w:noProof/>
              </w:rPr>
              <w:t>Situația de referință</w:t>
            </w:r>
          </w:p>
        </w:tc>
        <w:tc>
          <w:tcPr>
            <w:tcW w:w="893"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6ADE9CF" w14:textId="77777777" w:rsidR="00F53E3A" w:rsidRDefault="0036255F">
            <w:pPr>
              <w:pStyle w:val="P68B1DB1-Normal9"/>
              <w:spacing w:before="60" w:after="60"/>
              <w:jc w:val="center"/>
              <w:rPr>
                <w:rFonts w:cs="Times New Roman"/>
                <w:noProof/>
              </w:rPr>
            </w:pPr>
            <w:r>
              <w:rPr>
                <w:noProof/>
              </w:rPr>
              <w:t>Obiectiv</w:t>
            </w:r>
          </w:p>
        </w:tc>
        <w:tc>
          <w:tcPr>
            <w:tcW w:w="1091"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8EF567C" w14:textId="77777777" w:rsidR="00F53E3A" w:rsidRDefault="0036255F">
            <w:pPr>
              <w:pStyle w:val="P68B1DB1-Normal9"/>
              <w:spacing w:before="60" w:after="60"/>
              <w:jc w:val="center"/>
              <w:rPr>
                <w:rFonts w:cs="Times New Roman"/>
                <w:noProof/>
              </w:rPr>
            </w:pPr>
            <w:r>
              <w:rPr>
                <w:noProof/>
              </w:rPr>
              <w:t>Trimestru</w:t>
            </w:r>
          </w:p>
        </w:tc>
        <w:tc>
          <w:tcPr>
            <w:tcW w:w="709"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0D593F0" w14:textId="77777777" w:rsidR="00F53E3A" w:rsidRDefault="0036255F">
            <w:pPr>
              <w:pStyle w:val="P68B1DB1-Normal9"/>
              <w:spacing w:before="60" w:after="60"/>
              <w:jc w:val="center"/>
              <w:rPr>
                <w:rFonts w:cs="Times New Roman"/>
                <w:noProof/>
              </w:rPr>
            </w:pPr>
            <w:r>
              <w:rPr>
                <w:noProof/>
              </w:rPr>
              <w:t>Anul</w:t>
            </w:r>
          </w:p>
        </w:tc>
        <w:tc>
          <w:tcPr>
            <w:tcW w:w="3584" w:type="dxa"/>
            <w:vMerge/>
            <w:vAlign w:val="center"/>
          </w:tcPr>
          <w:p w14:paraId="1C991D34" w14:textId="77777777" w:rsidR="00F53E3A" w:rsidRDefault="00F53E3A">
            <w:pPr>
              <w:spacing w:before="60" w:after="60"/>
              <w:rPr>
                <w:rFonts w:ascii="Times New Roman" w:hAnsi="Times New Roman" w:cs="Times New Roman"/>
                <w:b/>
                <w:noProof/>
                <w:sz w:val="20"/>
              </w:rPr>
            </w:pPr>
          </w:p>
        </w:tc>
      </w:tr>
      <w:tr w:rsidR="00F53E3A" w14:paraId="0937A006" w14:textId="77777777" w:rsidTr="00E04E3B">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23FAC04" w14:textId="77777777" w:rsidR="00F53E3A" w:rsidRDefault="0036255F">
            <w:pPr>
              <w:pStyle w:val="P68B1DB1-Normal12"/>
              <w:spacing w:before="60" w:after="60"/>
              <w:jc w:val="center"/>
              <w:rPr>
                <w:rFonts w:cs="Times New Roman"/>
                <w:noProof/>
              </w:rPr>
            </w:pPr>
            <w:r>
              <w:rPr>
                <w:noProof/>
              </w:rPr>
              <w:t>180</w:t>
            </w:r>
          </w:p>
        </w:tc>
        <w:tc>
          <w:tcPr>
            <w:tcW w:w="161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4927042" w14:textId="23805B1F" w:rsidR="00F53E3A" w:rsidRDefault="0036255F">
            <w:pPr>
              <w:pStyle w:val="P68B1DB1-Normal12"/>
              <w:spacing w:before="60" w:after="60"/>
              <w:rPr>
                <w:noProof/>
              </w:rPr>
            </w:pPr>
            <w:r>
              <w:rPr>
                <w:noProof/>
              </w:rPr>
              <w:t xml:space="preserve">G.1.1. Protecția venitului minim garantat — </w:t>
            </w:r>
          </w:p>
          <w:p w14:paraId="7FB6DF54" w14:textId="6FC5DBE9" w:rsidR="00F53E3A" w:rsidRDefault="0036255F">
            <w:pPr>
              <w:pStyle w:val="P68B1DB1-Normal12"/>
              <w:spacing w:before="60" w:after="60"/>
              <w:rPr>
                <w:rFonts w:cs="Times New Roman"/>
                <w:noProof/>
              </w:rPr>
            </w:pPr>
            <w:r>
              <w:rPr>
                <w:noProof/>
              </w:rPr>
              <w:t>G.1.1.1. Studiu privind sistemul de venit minim și modificările conexe ale legislației</w:t>
            </w:r>
          </w:p>
        </w:tc>
        <w:tc>
          <w:tcPr>
            <w:tcW w:w="10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5A29D77" w14:textId="77777777"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A7FB31F" w14:textId="77777777" w:rsidR="00F53E3A" w:rsidRDefault="0036255F">
            <w:pPr>
              <w:pStyle w:val="P68B1DB1-Normal12"/>
              <w:spacing w:before="60" w:after="60"/>
              <w:rPr>
                <w:rFonts w:eastAsia="Times New Roman" w:cs="Times New Roman"/>
                <w:noProof/>
              </w:rPr>
            </w:pPr>
            <w:r>
              <w:rPr>
                <w:noProof/>
              </w:rPr>
              <w:t xml:space="preserve">Finalizarea unui studiu privind caracterul adecvat al sistemului de venit minim </w:t>
            </w:r>
          </w:p>
        </w:tc>
        <w:tc>
          <w:tcPr>
            <w:tcW w:w="13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007A4BF" w14:textId="77777777" w:rsidR="00F53E3A" w:rsidRDefault="0036255F">
            <w:pPr>
              <w:pStyle w:val="P68B1DB1-Normal12"/>
              <w:spacing w:before="60" w:after="60"/>
              <w:rPr>
                <w:rFonts w:eastAsia="Times New Roman" w:cs="Times New Roman"/>
                <w:noProof/>
              </w:rPr>
            </w:pPr>
            <w:r>
              <w:rPr>
                <w:noProof/>
              </w:rPr>
              <w:t>Raport final emis</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048103A" w14:textId="77777777" w:rsidR="00F53E3A" w:rsidRDefault="00F53E3A">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7A33691" w14:textId="77777777" w:rsidR="00F53E3A" w:rsidRDefault="00F53E3A">
            <w:pPr>
              <w:spacing w:before="60" w:after="60"/>
              <w:jc w:val="center"/>
              <w:rPr>
                <w:rFonts w:ascii="Times New Roman" w:hAnsi="Times New Roman" w:cs="Times New Roman"/>
                <w:noProof/>
                <w:sz w:val="20"/>
              </w:rPr>
            </w:pPr>
          </w:p>
        </w:tc>
        <w:tc>
          <w:tcPr>
            <w:tcW w:w="8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B714D0A" w14:textId="77777777" w:rsidR="00F53E3A" w:rsidRDefault="00F53E3A">
            <w:pPr>
              <w:spacing w:before="60" w:after="60"/>
              <w:jc w:val="center"/>
              <w:rPr>
                <w:rFonts w:ascii="Times New Roman" w:hAnsi="Times New Roman" w:cs="Times New Roman"/>
                <w:noProof/>
                <w:sz w:val="20"/>
              </w:rPr>
            </w:pPr>
          </w:p>
        </w:tc>
        <w:tc>
          <w:tcPr>
            <w:tcW w:w="109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4A5643B" w14:textId="66F09445" w:rsidR="00F53E3A" w:rsidRDefault="00DB2EC5">
            <w:pPr>
              <w:pStyle w:val="P68B1DB1-Normal12"/>
              <w:spacing w:before="60" w:after="60"/>
              <w:jc w:val="center"/>
              <w:rPr>
                <w:rFonts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802FEFB" w14:textId="77777777" w:rsidR="00F53E3A" w:rsidRDefault="0036255F">
            <w:pPr>
              <w:pStyle w:val="P68B1DB1-Normal12"/>
              <w:spacing w:before="60" w:after="60"/>
              <w:jc w:val="center"/>
              <w:rPr>
                <w:rFonts w:cs="Times New Roman"/>
                <w:noProof/>
              </w:rPr>
            </w:pPr>
            <w:r>
              <w:rPr>
                <w:noProof/>
              </w:rPr>
              <w:t>2022</w:t>
            </w:r>
          </w:p>
        </w:tc>
        <w:tc>
          <w:tcPr>
            <w:tcW w:w="35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FCAAF7" w14:textId="77777777" w:rsidR="00F53E3A" w:rsidRDefault="0036255F">
            <w:pPr>
              <w:pStyle w:val="P68B1DB1-Normal12"/>
              <w:spacing w:before="60" w:after="60"/>
              <w:jc w:val="both"/>
              <w:rPr>
                <w:rFonts w:eastAsia="Times New Roman" w:cs="Times New Roman"/>
                <w:noProof/>
              </w:rPr>
            </w:pPr>
            <w:r>
              <w:rPr>
                <w:noProof/>
              </w:rPr>
              <w:t>Studiul include recomandări de reformare a sistemului de venit minim, precum și o evaluare ex ante a impactului reformelor propuse.</w:t>
            </w:r>
          </w:p>
        </w:tc>
      </w:tr>
      <w:tr w:rsidR="00F53E3A" w14:paraId="4ABC20A0" w14:textId="77777777" w:rsidTr="00E04E3B">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02B4F0" w14:textId="77777777" w:rsidR="00F53E3A" w:rsidRDefault="0036255F">
            <w:pPr>
              <w:pStyle w:val="P68B1DB1-Normal12"/>
              <w:spacing w:before="60" w:after="60"/>
              <w:jc w:val="center"/>
              <w:rPr>
                <w:rFonts w:cs="Times New Roman"/>
                <w:noProof/>
              </w:rPr>
            </w:pPr>
            <w:r>
              <w:rPr>
                <w:noProof/>
              </w:rPr>
              <w:t>181</w:t>
            </w:r>
          </w:p>
        </w:tc>
        <w:tc>
          <w:tcPr>
            <w:tcW w:w="161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D70B8D5" w14:textId="28E46D93" w:rsidR="00F53E3A" w:rsidRDefault="0036255F">
            <w:pPr>
              <w:pStyle w:val="P68B1DB1-Normal12"/>
              <w:spacing w:before="60" w:after="60"/>
              <w:rPr>
                <w:noProof/>
              </w:rPr>
            </w:pPr>
            <w:r>
              <w:rPr>
                <w:noProof/>
              </w:rPr>
              <w:t xml:space="preserve">G.1.1. Protecția venitului minim garantat — </w:t>
            </w:r>
          </w:p>
          <w:p w14:paraId="20E41BDA" w14:textId="0E3474C7" w:rsidR="00F53E3A" w:rsidRDefault="0036255F">
            <w:pPr>
              <w:pStyle w:val="P68B1DB1-Normal12"/>
              <w:spacing w:before="60" w:after="60"/>
              <w:rPr>
                <w:rFonts w:cs="Times New Roman"/>
                <w:noProof/>
              </w:rPr>
            </w:pPr>
            <w:r>
              <w:rPr>
                <w:noProof/>
              </w:rPr>
              <w:t>G.1.1.1. Studiu privind sistemul de venit minim și modificările conexe ale legislației</w:t>
            </w:r>
          </w:p>
        </w:tc>
        <w:tc>
          <w:tcPr>
            <w:tcW w:w="10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A0D4AAB" w14:textId="77777777"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F65F1C" w14:textId="77777777" w:rsidR="00F53E3A" w:rsidRDefault="0036255F">
            <w:pPr>
              <w:pStyle w:val="P68B1DB1-Normal12"/>
              <w:spacing w:before="60" w:after="60"/>
              <w:rPr>
                <w:rFonts w:eastAsia="Times New Roman" w:cs="Times New Roman"/>
                <w:noProof/>
              </w:rPr>
            </w:pPr>
            <w:r>
              <w:rPr>
                <w:noProof/>
              </w:rPr>
              <w:t>Intrarea în vigoare a modificărilor aduse legilor relevante care reglementează protecția venitului minim</w:t>
            </w:r>
          </w:p>
        </w:tc>
        <w:tc>
          <w:tcPr>
            <w:tcW w:w="13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8AB789B" w14:textId="0501E5BD" w:rsidR="00F53E3A" w:rsidRDefault="0036255F">
            <w:pPr>
              <w:pStyle w:val="P68B1DB1-Normal12"/>
              <w:spacing w:before="60" w:after="60"/>
              <w:rPr>
                <w:rFonts w:eastAsia="Times New Roman" w:cs="Times New Roman"/>
                <w:noProof/>
              </w:rPr>
            </w:pPr>
            <w:r>
              <w:rPr>
                <w:noProof/>
              </w:rPr>
              <w:t>Dispoziție legală care indică data de intrare în vigoare</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53EBE6E" w14:textId="3AE68A47" w:rsidR="00F53E3A" w:rsidRDefault="00F53E3A">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31C5FFF" w14:textId="27A6891B" w:rsidR="00F53E3A" w:rsidRDefault="00F53E3A">
            <w:pPr>
              <w:spacing w:before="60" w:after="60"/>
              <w:jc w:val="center"/>
              <w:rPr>
                <w:rFonts w:ascii="Times New Roman" w:hAnsi="Times New Roman" w:cs="Times New Roman"/>
                <w:noProof/>
                <w:sz w:val="20"/>
              </w:rPr>
            </w:pPr>
          </w:p>
        </w:tc>
        <w:tc>
          <w:tcPr>
            <w:tcW w:w="8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29B91E7" w14:textId="743B728D" w:rsidR="00F53E3A" w:rsidRDefault="00F53E3A">
            <w:pPr>
              <w:spacing w:before="60" w:after="60"/>
              <w:jc w:val="center"/>
              <w:rPr>
                <w:rFonts w:ascii="Times New Roman" w:hAnsi="Times New Roman" w:cs="Times New Roman"/>
                <w:noProof/>
                <w:sz w:val="20"/>
              </w:rPr>
            </w:pPr>
          </w:p>
        </w:tc>
        <w:tc>
          <w:tcPr>
            <w:tcW w:w="109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53923B6" w14:textId="4311B55B" w:rsidR="00F53E3A" w:rsidRDefault="00DB2EC5">
            <w:pPr>
              <w:pStyle w:val="P68B1DB1-Normal12"/>
              <w:spacing w:before="60" w:after="60"/>
              <w:jc w:val="center"/>
              <w:rPr>
                <w:rFonts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C1BB9F5" w14:textId="44C7D0EB" w:rsidR="00F53E3A" w:rsidRDefault="0036255F">
            <w:pPr>
              <w:pStyle w:val="P68B1DB1-Normal12"/>
              <w:spacing w:before="60" w:after="60"/>
              <w:jc w:val="center"/>
              <w:rPr>
                <w:rFonts w:cs="Times New Roman"/>
                <w:noProof/>
              </w:rPr>
            </w:pPr>
            <w:r>
              <w:rPr>
                <w:noProof/>
              </w:rPr>
              <w:t>2025</w:t>
            </w:r>
          </w:p>
        </w:tc>
        <w:tc>
          <w:tcPr>
            <w:tcW w:w="35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B9D8B9" w14:textId="43961D32" w:rsidR="00F53E3A" w:rsidRDefault="0036255F">
            <w:pPr>
              <w:pStyle w:val="P68B1DB1-Normal12"/>
              <w:spacing w:before="60" w:after="60"/>
              <w:jc w:val="both"/>
              <w:rPr>
                <w:rFonts w:eastAsia="Times New Roman" w:cs="Times New Roman"/>
                <w:noProof/>
              </w:rPr>
            </w:pPr>
            <w:r>
              <w:rPr>
                <w:noProof/>
              </w:rPr>
              <w:t>Intrarea în vigoare a modificărilor aduse legislației pe baza recomandărilor studiului privind caracterul adecvat al sistemului de venit minim (cel puțin modificări ale prestațiilor de asistență socială în numerar, ale prestațiilor de boală și de concediu de maternitate, ale pensiilor de asistență socială, ale prestațiilor pentru copii, ale prestațiilor de întreținere a copilului și ale metodologiei de indexare a prestațiilor sociale).</w:t>
            </w:r>
          </w:p>
        </w:tc>
      </w:tr>
      <w:tr w:rsidR="00F53E3A" w14:paraId="0712A87A" w14:textId="77777777" w:rsidTr="00E04E3B">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E3C77C9" w14:textId="77777777" w:rsidR="00F53E3A" w:rsidRDefault="0036255F">
            <w:pPr>
              <w:pStyle w:val="P68B1DB1-Normal12"/>
              <w:spacing w:before="60" w:after="60"/>
              <w:jc w:val="center"/>
              <w:rPr>
                <w:rFonts w:cs="Times New Roman"/>
                <w:noProof/>
              </w:rPr>
            </w:pPr>
            <w:r>
              <w:rPr>
                <w:noProof/>
              </w:rPr>
              <w:t>182</w:t>
            </w:r>
          </w:p>
        </w:tc>
        <w:tc>
          <w:tcPr>
            <w:tcW w:w="161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50644B3" w14:textId="58678B87" w:rsidR="00F53E3A" w:rsidRDefault="0036255F">
            <w:pPr>
              <w:pStyle w:val="P68B1DB1-Normal12"/>
              <w:spacing w:before="60" w:after="60"/>
              <w:rPr>
                <w:noProof/>
              </w:rPr>
            </w:pPr>
            <w:r>
              <w:rPr>
                <w:noProof/>
              </w:rPr>
              <w:t xml:space="preserve">G.1.1. Protecția venitului minim garantat — </w:t>
            </w:r>
          </w:p>
          <w:p w14:paraId="60CC35CE" w14:textId="5E4C6D34" w:rsidR="00F53E3A" w:rsidRDefault="0036255F">
            <w:pPr>
              <w:pStyle w:val="P68B1DB1-Normal12"/>
              <w:spacing w:before="60" w:after="60"/>
              <w:rPr>
                <w:rFonts w:cs="Times New Roman"/>
                <w:noProof/>
              </w:rPr>
            </w:pPr>
            <w:r>
              <w:rPr>
                <w:noProof/>
              </w:rPr>
              <w:t>G.1.1.2. Măsuri suplimentare pentru a spori caracterul adecvat și sustenabilitatea prestațiilor sociale</w:t>
            </w:r>
          </w:p>
        </w:tc>
        <w:tc>
          <w:tcPr>
            <w:tcW w:w="10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5390D3C" w14:textId="77777777"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8BD71C4" w14:textId="77777777" w:rsidR="00F53E3A" w:rsidRDefault="0036255F">
            <w:pPr>
              <w:pStyle w:val="P68B1DB1-Normal12"/>
              <w:spacing w:before="60" w:after="60"/>
              <w:rPr>
                <w:rFonts w:cs="Times New Roman"/>
                <w:noProof/>
              </w:rPr>
            </w:pPr>
            <w:r>
              <w:rPr>
                <w:noProof/>
              </w:rPr>
              <w:t>Intrarea în vigoare a legislației care introduce o prestație suplimentară pentru persoanele singure cu handicap și persoanele în vârstă</w:t>
            </w:r>
          </w:p>
        </w:tc>
        <w:tc>
          <w:tcPr>
            <w:tcW w:w="131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6C2442C" w14:textId="77777777" w:rsidR="00F53E3A" w:rsidRDefault="0036255F">
            <w:pPr>
              <w:pStyle w:val="P68B1DB1-Normal12"/>
              <w:spacing w:before="60" w:after="60"/>
              <w:rPr>
                <w:rFonts w:cs="Times New Roman"/>
                <w:noProof/>
              </w:rPr>
            </w:pPr>
            <w:r>
              <w:rPr>
                <w:noProof/>
              </w:rPr>
              <w:t xml:space="preserve">Legislația a intrat în vigoare </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5BE08E8" w14:textId="100AE940" w:rsidR="00F53E3A" w:rsidRDefault="00F53E3A">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668533E" w14:textId="59F46671" w:rsidR="00F53E3A" w:rsidRDefault="00F53E3A">
            <w:pPr>
              <w:spacing w:before="60" w:after="60"/>
              <w:jc w:val="center"/>
              <w:rPr>
                <w:rFonts w:ascii="Times New Roman" w:hAnsi="Times New Roman" w:cs="Times New Roman"/>
                <w:noProof/>
                <w:sz w:val="20"/>
              </w:rPr>
            </w:pPr>
          </w:p>
        </w:tc>
        <w:tc>
          <w:tcPr>
            <w:tcW w:w="8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B4E5CBF" w14:textId="3953ABD9" w:rsidR="00F53E3A" w:rsidRDefault="00F53E3A">
            <w:pPr>
              <w:spacing w:before="60" w:after="60"/>
              <w:jc w:val="center"/>
              <w:rPr>
                <w:rFonts w:ascii="Times New Roman" w:hAnsi="Times New Roman" w:cs="Times New Roman"/>
                <w:noProof/>
                <w:sz w:val="20"/>
              </w:rPr>
            </w:pPr>
          </w:p>
        </w:tc>
        <w:tc>
          <w:tcPr>
            <w:tcW w:w="109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848E275" w14:textId="592EF0C4" w:rsidR="00F53E3A" w:rsidRDefault="00DB2EC5">
            <w:pPr>
              <w:pStyle w:val="P68B1DB1-Normal12"/>
              <w:spacing w:before="60" w:after="60"/>
              <w:jc w:val="center"/>
              <w:rPr>
                <w:rFonts w:cs="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F245887" w14:textId="77777777" w:rsidR="00F53E3A" w:rsidRDefault="0036255F">
            <w:pPr>
              <w:pStyle w:val="P68B1DB1-Normal12"/>
              <w:spacing w:before="60" w:after="60"/>
              <w:jc w:val="center"/>
              <w:rPr>
                <w:rFonts w:cs="Times New Roman"/>
                <w:noProof/>
              </w:rPr>
            </w:pPr>
            <w:r>
              <w:rPr>
                <w:noProof/>
              </w:rPr>
              <w:t>2021</w:t>
            </w:r>
          </w:p>
        </w:tc>
        <w:tc>
          <w:tcPr>
            <w:tcW w:w="358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F756E3A" w14:textId="5BD7F2E3" w:rsidR="00F53E3A" w:rsidRDefault="0036255F">
            <w:pPr>
              <w:pStyle w:val="P68B1DB1-Normal12"/>
              <w:spacing w:before="60" w:after="60"/>
              <w:jc w:val="both"/>
              <w:rPr>
                <w:rFonts w:cs="Times New Roman"/>
                <w:noProof/>
              </w:rPr>
            </w:pPr>
            <w:r>
              <w:rPr>
                <w:noProof/>
              </w:rPr>
              <w:t>Intrarea în vigoare a unei legislații care să asigure că persoanelor cu handicap și persoanelor în vârstă celibatare (care nu sunt soți/soții) li se acordă și li se plătește o prestație lunară suplimentară (prestație pentru o singură persoană).</w:t>
            </w:r>
          </w:p>
        </w:tc>
      </w:tr>
      <w:tr w:rsidR="00F53E3A" w14:paraId="527B8A32" w14:textId="77777777" w:rsidTr="00E04E3B">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1D5F81B" w14:textId="3904953E" w:rsidR="00F53E3A" w:rsidRDefault="0036255F">
            <w:pPr>
              <w:pStyle w:val="P68B1DB1-Normal12"/>
              <w:spacing w:before="60" w:after="60"/>
              <w:jc w:val="center"/>
              <w:rPr>
                <w:rFonts w:cs="Times New Roman"/>
                <w:noProof/>
              </w:rPr>
            </w:pPr>
            <w:r>
              <w:rPr>
                <w:noProof/>
              </w:rPr>
              <w:t>183</w:t>
            </w:r>
          </w:p>
        </w:tc>
        <w:tc>
          <w:tcPr>
            <w:tcW w:w="161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2912EAE" w14:textId="3847CDF3" w:rsidR="00F53E3A" w:rsidRDefault="0036255F">
            <w:pPr>
              <w:pStyle w:val="P68B1DB1-Normal12"/>
              <w:spacing w:before="60" w:after="60"/>
              <w:rPr>
                <w:noProof/>
              </w:rPr>
            </w:pPr>
            <w:r>
              <w:rPr>
                <w:noProof/>
              </w:rPr>
              <w:t xml:space="preserve">G.1.1. Protecția venitului minim garantat — </w:t>
            </w:r>
          </w:p>
          <w:p w14:paraId="389C0EF5" w14:textId="1760AB1D" w:rsidR="00F53E3A" w:rsidRDefault="0036255F">
            <w:pPr>
              <w:pStyle w:val="P68B1DB1-Normal12"/>
              <w:spacing w:before="60" w:after="60"/>
              <w:rPr>
                <w:rFonts w:cs="Times New Roman"/>
                <w:noProof/>
              </w:rPr>
            </w:pPr>
            <w:r>
              <w:rPr>
                <w:noProof/>
              </w:rPr>
              <w:t>G.1.1.2. Măsuri suplimentare pentru a spori caracterul adecvat și sustenabilitatea prestațiilor sociale</w:t>
            </w:r>
          </w:p>
        </w:tc>
        <w:tc>
          <w:tcPr>
            <w:tcW w:w="10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5F69D40" w14:textId="77777777"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0FB8EB1" w14:textId="5D3DDF38" w:rsidR="00F53E3A" w:rsidRDefault="0036255F">
            <w:pPr>
              <w:pStyle w:val="P68B1DB1-Normal12"/>
              <w:spacing w:before="60" w:after="60"/>
              <w:rPr>
                <w:rFonts w:cs="Times New Roman"/>
                <w:noProof/>
              </w:rPr>
            </w:pPr>
            <w:r>
              <w:rPr>
                <w:noProof/>
              </w:rPr>
              <w:t>Intrarea în vigoare a modificării Legii privind asigurările sociale de șomaj, care sporește acoperirea și caracterul adecvat al sistemului de securitate socială de șomaj</w:t>
            </w:r>
          </w:p>
        </w:tc>
        <w:tc>
          <w:tcPr>
            <w:tcW w:w="131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D9E1276" w14:textId="0996A4BC" w:rsidR="00F53E3A" w:rsidRDefault="0036255F">
            <w:pPr>
              <w:pStyle w:val="P68B1DB1-Normal12"/>
              <w:spacing w:before="60" w:after="60"/>
              <w:rPr>
                <w:rFonts w:cs="Times New Roman"/>
                <w:noProof/>
              </w:rPr>
            </w:pPr>
            <w:r>
              <w:rPr>
                <w:noProof/>
              </w:rPr>
              <w:t>Dispoziție din Legea de modificare privind asigurările sociale de șomaj care indică intrarea în vigoare</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43723F1" w14:textId="1DCF29B0" w:rsidR="00F53E3A" w:rsidRDefault="00F53E3A">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26A9DC2" w14:textId="3392B24E" w:rsidR="00F53E3A" w:rsidRDefault="00F53E3A">
            <w:pPr>
              <w:spacing w:before="60" w:after="60"/>
              <w:jc w:val="center"/>
              <w:rPr>
                <w:rFonts w:ascii="Times New Roman" w:hAnsi="Times New Roman" w:cs="Times New Roman"/>
                <w:noProof/>
                <w:sz w:val="20"/>
              </w:rPr>
            </w:pPr>
          </w:p>
        </w:tc>
        <w:tc>
          <w:tcPr>
            <w:tcW w:w="8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F32E0B7" w14:textId="1779B7F3" w:rsidR="00F53E3A" w:rsidRDefault="00F53E3A">
            <w:pPr>
              <w:spacing w:before="60" w:after="60"/>
              <w:jc w:val="center"/>
              <w:rPr>
                <w:rFonts w:ascii="Times New Roman" w:hAnsi="Times New Roman" w:cs="Times New Roman"/>
                <w:noProof/>
                <w:sz w:val="20"/>
              </w:rPr>
            </w:pPr>
          </w:p>
        </w:tc>
        <w:tc>
          <w:tcPr>
            <w:tcW w:w="109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DE379AA" w14:textId="49E91632" w:rsidR="00F53E3A" w:rsidRDefault="00DB2EC5">
            <w:pPr>
              <w:pStyle w:val="P68B1DB1-Normal12"/>
              <w:spacing w:before="60" w:after="60"/>
              <w:jc w:val="center"/>
              <w:rPr>
                <w:rFonts w:cs="Times New Roman"/>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ABF368B" w14:textId="5BA05C31" w:rsidR="00F53E3A" w:rsidRDefault="0036255F">
            <w:pPr>
              <w:pStyle w:val="P68B1DB1-Normal12"/>
              <w:spacing w:before="60" w:after="60"/>
              <w:jc w:val="center"/>
              <w:rPr>
                <w:rFonts w:cs="Times New Roman"/>
                <w:noProof/>
              </w:rPr>
            </w:pPr>
            <w:r>
              <w:rPr>
                <w:noProof/>
              </w:rPr>
              <w:t>2023</w:t>
            </w:r>
          </w:p>
        </w:tc>
        <w:tc>
          <w:tcPr>
            <w:tcW w:w="358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443477C" w14:textId="64E64A8C" w:rsidR="00F53E3A" w:rsidRDefault="0036255F">
            <w:pPr>
              <w:pStyle w:val="P68B1DB1-Normal12"/>
              <w:spacing w:before="60" w:after="60"/>
              <w:jc w:val="both"/>
              <w:rPr>
                <w:rFonts w:eastAsia="Times New Roman" w:cs="Times New Roman"/>
                <w:noProof/>
              </w:rPr>
            </w:pPr>
            <w:r>
              <w:rPr>
                <w:noProof/>
              </w:rPr>
              <w:t>Intrarea în vigoare a modificării Legii privind asigurările sociale de șomaj care:</w:t>
            </w:r>
          </w:p>
          <w:p w14:paraId="4E3124CA" w14:textId="10EB9F3A" w:rsidR="00F53E3A" w:rsidRDefault="0036255F">
            <w:pPr>
              <w:pStyle w:val="P68B1DB1-Normal12"/>
              <w:spacing w:before="60" w:after="60"/>
              <w:jc w:val="both"/>
              <w:rPr>
                <w:rFonts w:eastAsia="Times New Roman" w:cs="Times New Roman"/>
                <w:noProof/>
              </w:rPr>
            </w:pPr>
            <w:r>
              <w:rPr>
                <w:noProof/>
              </w:rPr>
              <w:t>— să majoreze prestația minimă de asigurări sociale de șomaj la suma indexată egală sau mai mare de 5 de prestații sociale de bază;</w:t>
            </w:r>
          </w:p>
          <w:p w14:paraId="56E962AE" w14:textId="35C60567" w:rsidR="00F53E3A" w:rsidRDefault="0036255F">
            <w:pPr>
              <w:pStyle w:val="P68B1DB1-Normal13"/>
              <w:spacing w:before="60" w:after="60"/>
              <w:jc w:val="both"/>
              <w:rPr>
                <w:noProof/>
              </w:rPr>
            </w:pPr>
            <w:r>
              <w:rPr>
                <w:noProof/>
              </w:rPr>
              <w:t>— să extindă durata maximă a plăților prestațiilor de asigurări de șomaj la persoanele care au împlinit vârsta de pensionare anticipată.</w:t>
            </w:r>
          </w:p>
        </w:tc>
      </w:tr>
      <w:tr w:rsidR="00F53E3A" w14:paraId="63660C0C" w14:textId="77777777" w:rsidTr="00E04E3B">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87189F6" w14:textId="77777777" w:rsidR="00F53E3A" w:rsidRDefault="0036255F">
            <w:pPr>
              <w:pStyle w:val="P68B1DB1-Normal12"/>
              <w:spacing w:before="60" w:after="60"/>
              <w:jc w:val="center"/>
              <w:rPr>
                <w:rFonts w:cs="Times New Roman"/>
                <w:noProof/>
              </w:rPr>
            </w:pPr>
            <w:r>
              <w:rPr>
                <w:noProof/>
              </w:rPr>
              <w:t>184</w:t>
            </w:r>
          </w:p>
        </w:tc>
        <w:tc>
          <w:tcPr>
            <w:tcW w:w="161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E16441E" w14:textId="211B4A7A" w:rsidR="00F53E3A" w:rsidRDefault="0036255F">
            <w:pPr>
              <w:pStyle w:val="P68B1DB1-Normal12"/>
              <w:spacing w:before="60" w:after="60"/>
              <w:rPr>
                <w:noProof/>
              </w:rPr>
            </w:pPr>
            <w:r>
              <w:rPr>
                <w:noProof/>
              </w:rPr>
              <w:t xml:space="preserve">G.1.1. Protecția venitului minim garantat — </w:t>
            </w:r>
          </w:p>
          <w:p w14:paraId="66C68E7D" w14:textId="35B4A477" w:rsidR="00F53E3A" w:rsidRDefault="0036255F">
            <w:pPr>
              <w:pStyle w:val="P68B1DB1-Normal12"/>
              <w:spacing w:before="60" w:after="60"/>
              <w:rPr>
                <w:rFonts w:cs="Times New Roman"/>
                <w:noProof/>
              </w:rPr>
            </w:pPr>
            <w:r>
              <w:rPr>
                <w:noProof/>
              </w:rPr>
              <w:t>G.1.1.2. Măsuri suplimentare pentru a spori caracterul adecvat și sustenabilitatea prestațiilor sociale</w:t>
            </w:r>
          </w:p>
        </w:tc>
        <w:tc>
          <w:tcPr>
            <w:tcW w:w="10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A552F5E" w14:textId="77777777"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982821C" w14:textId="2C820466" w:rsidR="00F53E3A" w:rsidRDefault="0036255F">
            <w:pPr>
              <w:pStyle w:val="P68B1DB1-Normal12"/>
              <w:spacing w:before="60" w:after="60"/>
              <w:rPr>
                <w:rFonts w:eastAsia="Times New Roman" w:cs="Times New Roman"/>
                <w:noProof/>
              </w:rPr>
            </w:pPr>
            <w:r>
              <w:rPr>
                <w:noProof/>
              </w:rPr>
              <w:t>Intrarea în vigoare a legislației privind modificările mecanismului de indexare a pensiilor</w:t>
            </w:r>
          </w:p>
        </w:tc>
        <w:tc>
          <w:tcPr>
            <w:tcW w:w="13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C64F00" w14:textId="77777777" w:rsidR="00F53E3A" w:rsidRDefault="0036255F">
            <w:pPr>
              <w:pStyle w:val="P68B1DB1-Normal12"/>
              <w:spacing w:before="60" w:after="60"/>
              <w:rPr>
                <w:rFonts w:eastAsia="Times New Roman" w:cs="Times New Roman"/>
                <w:noProof/>
              </w:rPr>
            </w:pPr>
            <w:r>
              <w:rPr>
                <w:noProof/>
              </w:rPr>
              <w:t>Legislația a intrat în vigoare</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8D1A33F" w14:textId="1B578C18" w:rsidR="00F53E3A" w:rsidRDefault="00F53E3A">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D705F1D" w14:textId="371AD484" w:rsidR="00F53E3A" w:rsidRDefault="00F53E3A">
            <w:pPr>
              <w:spacing w:before="60" w:after="60"/>
              <w:jc w:val="center"/>
              <w:rPr>
                <w:rFonts w:ascii="Times New Roman" w:hAnsi="Times New Roman" w:cs="Times New Roman"/>
                <w:noProof/>
                <w:sz w:val="20"/>
              </w:rPr>
            </w:pPr>
          </w:p>
        </w:tc>
        <w:tc>
          <w:tcPr>
            <w:tcW w:w="8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AFD89FE" w14:textId="2F7F0620" w:rsidR="00F53E3A" w:rsidRDefault="00F53E3A">
            <w:pPr>
              <w:spacing w:before="60" w:after="60"/>
              <w:jc w:val="center"/>
              <w:rPr>
                <w:rFonts w:ascii="Times New Roman" w:hAnsi="Times New Roman" w:cs="Times New Roman"/>
                <w:noProof/>
                <w:sz w:val="20"/>
              </w:rPr>
            </w:pPr>
          </w:p>
        </w:tc>
        <w:tc>
          <w:tcPr>
            <w:tcW w:w="109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BA3A06D" w14:textId="265FED84" w:rsidR="00F53E3A" w:rsidRDefault="00DB2EC5">
            <w:pPr>
              <w:pStyle w:val="P68B1DB1-Normal12"/>
              <w:spacing w:before="60" w:after="60"/>
              <w:jc w:val="center"/>
              <w:rPr>
                <w:rFonts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F4E568E" w14:textId="778B8413" w:rsidR="00F53E3A" w:rsidRDefault="0036255F">
            <w:pPr>
              <w:pStyle w:val="P68B1DB1-Normal12"/>
              <w:spacing w:before="60" w:after="60"/>
              <w:jc w:val="center"/>
              <w:rPr>
                <w:rFonts w:cs="Times New Roman"/>
                <w:noProof/>
              </w:rPr>
            </w:pPr>
            <w:r>
              <w:rPr>
                <w:noProof/>
              </w:rPr>
              <w:t>2022</w:t>
            </w:r>
          </w:p>
        </w:tc>
        <w:tc>
          <w:tcPr>
            <w:tcW w:w="35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B5B6112" w14:textId="77777777" w:rsidR="00F53E3A" w:rsidRDefault="0036255F">
            <w:pPr>
              <w:pStyle w:val="P68B1DB1-Normal12"/>
              <w:spacing w:before="60" w:after="60"/>
              <w:jc w:val="both"/>
              <w:rPr>
                <w:rFonts w:eastAsia="Times New Roman" w:cs="Times New Roman"/>
                <w:noProof/>
              </w:rPr>
            </w:pPr>
            <w:r>
              <w:rPr>
                <w:noProof/>
              </w:rPr>
              <w:t>Intrarea în vigoare a legislației care:</w:t>
            </w:r>
          </w:p>
          <w:p w14:paraId="2BA7E76D" w14:textId="77777777" w:rsidR="00F53E3A" w:rsidRDefault="0036255F">
            <w:pPr>
              <w:pStyle w:val="P68B1DB1-Normal12"/>
              <w:spacing w:before="60" w:after="60"/>
              <w:jc w:val="both"/>
              <w:rPr>
                <w:rFonts w:cs="Times New Roman"/>
                <w:noProof/>
              </w:rPr>
            </w:pPr>
            <w:r>
              <w:rPr>
                <w:noProof/>
              </w:rPr>
              <w:t>— să revizuiască mecanismul de indexare a pensiilor pentru a asigura o creștere mai rapidă a pensiilor în vederea reducerii ratei riscului de sărăcie pentru persoanele în vârstă.</w:t>
            </w:r>
          </w:p>
        </w:tc>
      </w:tr>
      <w:tr w:rsidR="00F53E3A" w14:paraId="029E6292" w14:textId="77777777" w:rsidTr="00E04E3B">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CE92530" w14:textId="77777777" w:rsidR="00F53E3A" w:rsidRDefault="0036255F">
            <w:pPr>
              <w:pStyle w:val="P68B1DB1-Normal12"/>
              <w:spacing w:before="60" w:after="60"/>
              <w:jc w:val="center"/>
              <w:rPr>
                <w:rFonts w:cs="Times New Roman"/>
                <w:noProof/>
              </w:rPr>
            </w:pPr>
            <w:r>
              <w:rPr>
                <w:noProof/>
              </w:rPr>
              <w:t>185</w:t>
            </w:r>
          </w:p>
        </w:tc>
        <w:tc>
          <w:tcPr>
            <w:tcW w:w="161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D89158E" w14:textId="77777777" w:rsidR="00F53E3A" w:rsidRDefault="0036255F">
            <w:pPr>
              <w:pStyle w:val="P68B1DB1-Normal12"/>
              <w:spacing w:before="60" w:after="60"/>
              <w:rPr>
                <w:noProof/>
              </w:rPr>
            </w:pPr>
            <w:r>
              <w:rPr>
                <w:noProof/>
              </w:rPr>
              <w:t xml:space="preserve">G.1.1. Protecția venitului minim garantat — </w:t>
            </w:r>
          </w:p>
          <w:p w14:paraId="774493CD" w14:textId="2F04FDCB" w:rsidR="00F53E3A" w:rsidRDefault="0036255F">
            <w:pPr>
              <w:pStyle w:val="P68B1DB1-Normal12"/>
              <w:spacing w:before="60" w:after="60"/>
              <w:rPr>
                <w:rFonts w:cs="Times New Roman"/>
                <w:noProof/>
              </w:rPr>
            </w:pPr>
            <w:r>
              <w:rPr>
                <w:noProof/>
              </w:rPr>
              <w:t>G.1.1.3. Acreditarea asistenței sociale</w:t>
            </w:r>
          </w:p>
        </w:tc>
        <w:tc>
          <w:tcPr>
            <w:tcW w:w="10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CE718DC" w14:textId="77777777"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2E67F88" w14:textId="014A2819" w:rsidR="00F53E3A" w:rsidRDefault="0036255F">
            <w:pPr>
              <w:pStyle w:val="P68B1DB1-Normal12"/>
              <w:spacing w:before="60" w:after="60"/>
              <w:rPr>
                <w:rFonts w:cs="Times New Roman"/>
                <w:noProof/>
              </w:rPr>
            </w:pPr>
            <w:r>
              <w:rPr>
                <w:noProof/>
              </w:rPr>
              <w:t>Intrarea în vigoare a legislației privind cerințele pentru furnizarea de asistență socială acreditată</w:t>
            </w:r>
          </w:p>
        </w:tc>
        <w:tc>
          <w:tcPr>
            <w:tcW w:w="131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FB7376E" w14:textId="77777777" w:rsidR="00F53E3A" w:rsidRDefault="0036255F">
            <w:pPr>
              <w:pStyle w:val="P68B1DB1-Normal12"/>
              <w:spacing w:before="60" w:after="60"/>
              <w:rPr>
                <w:rFonts w:cs="Times New Roman"/>
                <w:noProof/>
              </w:rPr>
            </w:pPr>
            <w:r>
              <w:rPr>
                <w:noProof/>
              </w:rPr>
              <w:t>Legislația a intrat în vigoare</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2D66B8E" w14:textId="22213710" w:rsidR="00F53E3A" w:rsidRDefault="00F53E3A">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6E8E2FA" w14:textId="6CD77E9D" w:rsidR="00F53E3A" w:rsidRDefault="00F53E3A">
            <w:pPr>
              <w:spacing w:before="60" w:after="60"/>
              <w:jc w:val="center"/>
              <w:rPr>
                <w:rFonts w:ascii="Times New Roman" w:hAnsi="Times New Roman" w:cs="Times New Roman"/>
                <w:noProof/>
                <w:sz w:val="20"/>
              </w:rPr>
            </w:pPr>
          </w:p>
        </w:tc>
        <w:tc>
          <w:tcPr>
            <w:tcW w:w="8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F587A18" w14:textId="5F737EE2" w:rsidR="00F53E3A" w:rsidRDefault="00F53E3A">
            <w:pPr>
              <w:spacing w:before="60" w:after="60"/>
              <w:jc w:val="center"/>
              <w:rPr>
                <w:rFonts w:ascii="Times New Roman" w:hAnsi="Times New Roman" w:cs="Times New Roman"/>
                <w:noProof/>
                <w:sz w:val="20"/>
              </w:rPr>
            </w:pPr>
          </w:p>
        </w:tc>
        <w:tc>
          <w:tcPr>
            <w:tcW w:w="109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050CC6D" w14:textId="7FB27FA8" w:rsidR="00F53E3A" w:rsidRDefault="00DB2EC5">
            <w:pPr>
              <w:pStyle w:val="P68B1DB1-Normal12"/>
              <w:spacing w:before="60" w:after="60"/>
              <w:jc w:val="center"/>
              <w:rPr>
                <w:rFonts w:cs="Times New Roman"/>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6BF460B" w14:textId="77777777" w:rsidR="00F53E3A" w:rsidRDefault="0036255F">
            <w:pPr>
              <w:pStyle w:val="P68B1DB1-Normal12"/>
              <w:spacing w:before="60" w:after="60"/>
              <w:jc w:val="center"/>
              <w:rPr>
                <w:rFonts w:cs="Times New Roman"/>
                <w:noProof/>
              </w:rPr>
            </w:pPr>
            <w:r>
              <w:rPr>
                <w:noProof/>
              </w:rPr>
              <w:t>2022</w:t>
            </w:r>
          </w:p>
        </w:tc>
        <w:tc>
          <w:tcPr>
            <w:tcW w:w="35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2EEE2AD" w14:textId="77777777" w:rsidR="00F53E3A" w:rsidRDefault="0036255F">
            <w:pPr>
              <w:pStyle w:val="P68B1DB1-Normal12"/>
              <w:spacing w:before="60" w:after="60"/>
              <w:jc w:val="both"/>
              <w:rPr>
                <w:rFonts w:cs="Times New Roman"/>
                <w:noProof/>
              </w:rPr>
            </w:pPr>
            <w:r>
              <w:rPr>
                <w:noProof/>
              </w:rPr>
              <w:t>Intrarea în vigoare a legislației care:</w:t>
            </w:r>
          </w:p>
          <w:p w14:paraId="717AAFAE" w14:textId="5DD66E3A" w:rsidR="00F53E3A" w:rsidRDefault="0036255F">
            <w:pPr>
              <w:pStyle w:val="P68B1DB1-Normal12"/>
              <w:spacing w:before="60" w:after="60"/>
              <w:jc w:val="both"/>
              <w:rPr>
                <w:rFonts w:cs="Times New Roman"/>
                <w:noProof/>
              </w:rPr>
            </w:pPr>
            <w:r>
              <w:rPr>
                <w:noProof/>
              </w:rPr>
              <w:t>— stabilirea unor cerințe uniforme [pentru sedii (în cazul în care sunt necesare sedii pentru prestarea serviciului) și calificarea personalului] pentru furnizarea de asistență socială acreditată (10 servicii);</w:t>
            </w:r>
          </w:p>
          <w:p w14:paraId="0AB2A631" w14:textId="33D8CC15" w:rsidR="00F53E3A" w:rsidRDefault="0036255F">
            <w:pPr>
              <w:pStyle w:val="P68B1DB1-Normal12"/>
              <w:spacing w:before="60" w:after="60"/>
              <w:jc w:val="both"/>
              <w:rPr>
                <w:rFonts w:cs="Times New Roman"/>
                <w:noProof/>
              </w:rPr>
            </w:pPr>
            <w:r>
              <w:rPr>
                <w:noProof/>
              </w:rPr>
              <w:t xml:space="preserve">— reglementarea faptului că numai asistența socială acreditată poate fi furnizată începând cu 1 ianuarie 2022. </w:t>
            </w:r>
          </w:p>
        </w:tc>
      </w:tr>
      <w:tr w:rsidR="00F53E3A" w14:paraId="0F2B0CA5" w14:textId="77777777" w:rsidTr="00E04E3B">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1383A6E" w14:textId="77777777" w:rsidR="00F53E3A" w:rsidRDefault="0036255F">
            <w:pPr>
              <w:pStyle w:val="P68B1DB1-Normal12"/>
              <w:spacing w:before="60" w:after="60"/>
              <w:jc w:val="center"/>
              <w:rPr>
                <w:rFonts w:cs="Times New Roman"/>
                <w:noProof/>
              </w:rPr>
            </w:pPr>
            <w:r>
              <w:rPr>
                <w:noProof/>
              </w:rPr>
              <w:t>186</w:t>
            </w:r>
          </w:p>
        </w:tc>
        <w:tc>
          <w:tcPr>
            <w:tcW w:w="161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6F8B410" w14:textId="77777777" w:rsidR="00F53E3A" w:rsidRDefault="0036255F">
            <w:pPr>
              <w:pStyle w:val="P68B1DB1-Normal12"/>
              <w:spacing w:before="60" w:after="60"/>
              <w:rPr>
                <w:noProof/>
              </w:rPr>
            </w:pPr>
            <w:r>
              <w:rPr>
                <w:noProof/>
              </w:rPr>
              <w:t xml:space="preserve">G.1.2. Sprijin pentru ocuparea forței de muncă orientat către client — </w:t>
            </w:r>
          </w:p>
          <w:p w14:paraId="35265B11" w14:textId="23AC14A5" w:rsidR="00F53E3A" w:rsidRDefault="0036255F">
            <w:pPr>
              <w:pStyle w:val="P68B1DB1-Normal12"/>
              <w:spacing w:before="60" w:after="60"/>
              <w:rPr>
                <w:rFonts w:cs="Times New Roman"/>
                <w:noProof/>
              </w:rPr>
            </w:pPr>
            <w:r>
              <w:rPr>
                <w:noProof/>
              </w:rPr>
              <w:t>G.1.2.1. Optimizarea și digitalizarea proceselor operaționale ale serviciilor de ocupare a forței de muncă, asigurând orientarea sistematică către client</w:t>
            </w:r>
          </w:p>
        </w:tc>
        <w:tc>
          <w:tcPr>
            <w:tcW w:w="10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B806223" w14:textId="77777777"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7418CB8" w14:textId="77777777" w:rsidR="00F53E3A" w:rsidRDefault="0036255F">
            <w:pPr>
              <w:pStyle w:val="P68B1DB1-Normal12"/>
              <w:spacing w:before="60" w:after="60"/>
              <w:rPr>
                <w:rFonts w:cs="Times New Roman"/>
                <w:noProof/>
              </w:rPr>
            </w:pPr>
            <w:r>
              <w:rPr>
                <w:noProof/>
              </w:rPr>
              <w:t xml:space="preserve">Intrarea în vigoare a legislației care reglementează procesele operaționale ale Serviciului de ocupare a forței de muncă </w:t>
            </w:r>
          </w:p>
        </w:tc>
        <w:tc>
          <w:tcPr>
            <w:tcW w:w="131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E47B195" w14:textId="2C6A1562" w:rsidR="00F53E3A" w:rsidRDefault="0036255F">
            <w:pPr>
              <w:pStyle w:val="P68B1DB1-Normal12"/>
              <w:spacing w:before="60" w:after="60"/>
              <w:rPr>
                <w:rFonts w:cs="Times New Roman"/>
                <w:noProof/>
              </w:rPr>
            </w:pPr>
            <w:r>
              <w:rPr>
                <w:noProof/>
              </w:rPr>
              <w:t>Legislația a intrat în vigoare</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F7471FA" w14:textId="287C13D1" w:rsidR="00F53E3A" w:rsidRDefault="00F53E3A">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1455D48" w14:textId="081BAB02" w:rsidR="00F53E3A" w:rsidRDefault="00F53E3A">
            <w:pPr>
              <w:spacing w:before="60" w:after="60"/>
              <w:jc w:val="center"/>
              <w:rPr>
                <w:rFonts w:ascii="Times New Roman" w:hAnsi="Times New Roman" w:cs="Times New Roman"/>
                <w:noProof/>
                <w:sz w:val="20"/>
              </w:rPr>
            </w:pPr>
          </w:p>
        </w:tc>
        <w:tc>
          <w:tcPr>
            <w:tcW w:w="8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D188EB7" w14:textId="6F4A152F" w:rsidR="00F53E3A" w:rsidRDefault="00F53E3A">
            <w:pPr>
              <w:spacing w:before="60" w:after="60"/>
              <w:jc w:val="center"/>
              <w:rPr>
                <w:rFonts w:ascii="Times New Roman" w:hAnsi="Times New Roman" w:cs="Times New Roman"/>
                <w:noProof/>
                <w:sz w:val="20"/>
              </w:rPr>
            </w:pPr>
          </w:p>
        </w:tc>
        <w:tc>
          <w:tcPr>
            <w:tcW w:w="109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227CA31" w14:textId="023E0E97" w:rsidR="00F53E3A" w:rsidRDefault="00DB2EC5">
            <w:pPr>
              <w:pStyle w:val="P68B1DB1-Normal12"/>
              <w:spacing w:before="60" w:after="60"/>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B8466C2" w14:textId="77777777" w:rsidR="00F53E3A" w:rsidRDefault="0036255F">
            <w:pPr>
              <w:pStyle w:val="P68B1DB1-Normal12"/>
              <w:spacing w:before="60" w:after="60"/>
              <w:jc w:val="center"/>
              <w:rPr>
                <w:rFonts w:cs="Times New Roman"/>
                <w:noProof/>
              </w:rPr>
            </w:pPr>
            <w:r>
              <w:rPr>
                <w:noProof/>
              </w:rPr>
              <w:t>2022</w:t>
            </w:r>
          </w:p>
        </w:tc>
        <w:tc>
          <w:tcPr>
            <w:tcW w:w="358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686DF22" w14:textId="500C767A" w:rsidR="00F53E3A" w:rsidRDefault="0036255F">
            <w:pPr>
              <w:pStyle w:val="P68B1DB1-Normal12"/>
              <w:spacing w:before="60" w:after="60"/>
              <w:jc w:val="both"/>
              <w:rPr>
                <w:rFonts w:cs="Times New Roman"/>
                <w:noProof/>
              </w:rPr>
            </w:pPr>
            <w:r>
              <w:rPr>
                <w:noProof/>
              </w:rPr>
              <w:t xml:space="preserve">Intrarea în vigoare a legislației care include modificări ale proceselor operaționale ale Serviciului de ocupare a forței de muncă pentru a permite transformarea digitală a acestuia. </w:t>
            </w:r>
          </w:p>
        </w:tc>
      </w:tr>
      <w:tr w:rsidR="00F53E3A" w14:paraId="396F2534" w14:textId="77777777" w:rsidTr="00E04E3B">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190E1FF" w14:textId="1071F966" w:rsidR="00F53E3A" w:rsidRDefault="0036255F">
            <w:pPr>
              <w:pStyle w:val="P68B1DB1-Normal12"/>
              <w:spacing w:before="60" w:after="60"/>
              <w:jc w:val="center"/>
              <w:rPr>
                <w:rFonts w:cs="Times New Roman"/>
                <w:noProof/>
              </w:rPr>
            </w:pPr>
            <w:r>
              <w:rPr>
                <w:noProof/>
              </w:rPr>
              <w:t>187</w:t>
            </w:r>
          </w:p>
        </w:tc>
        <w:tc>
          <w:tcPr>
            <w:tcW w:w="161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DFAB72A" w14:textId="77777777" w:rsidR="00F53E3A" w:rsidRDefault="0036255F">
            <w:pPr>
              <w:pStyle w:val="P68B1DB1-Normal12"/>
              <w:spacing w:before="60" w:after="60"/>
              <w:rPr>
                <w:noProof/>
              </w:rPr>
            </w:pPr>
            <w:r>
              <w:rPr>
                <w:noProof/>
              </w:rPr>
              <w:t xml:space="preserve">G.1.2. Sprijin pentru ocuparea forței de muncă orientat către client — </w:t>
            </w:r>
          </w:p>
          <w:p w14:paraId="2E3AB520" w14:textId="3F0CED5C" w:rsidR="00F53E3A" w:rsidRDefault="0036255F">
            <w:pPr>
              <w:pStyle w:val="P68B1DB1-Normal12"/>
              <w:spacing w:before="60" w:after="60"/>
              <w:rPr>
                <w:rFonts w:cs="Times New Roman"/>
                <w:noProof/>
              </w:rPr>
            </w:pPr>
            <w:r>
              <w:rPr>
                <w:noProof/>
              </w:rPr>
              <w:t>G.1.2.1. Optimizarea și digitalizarea proceselor operaționale ale serviciilor de ocupare a forței de muncă, asigurând orientarea sistematică către client</w:t>
            </w:r>
          </w:p>
        </w:tc>
        <w:tc>
          <w:tcPr>
            <w:tcW w:w="10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D435D07" w14:textId="379A96BE"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33FF93C" w14:textId="33CA1419" w:rsidR="00F53E3A" w:rsidRDefault="0036255F">
            <w:pPr>
              <w:pStyle w:val="P68B1DB1-Normal29"/>
              <w:spacing w:before="60" w:after="60"/>
              <w:rPr>
                <w:rFonts w:eastAsia="Times New Roman"/>
                <w:noProof/>
              </w:rPr>
            </w:pPr>
            <w:r>
              <w:rPr>
                <w:noProof/>
              </w:rPr>
              <w:t>Platforma serviciilor de ocupare a forței de muncă</w:t>
            </w:r>
          </w:p>
        </w:tc>
        <w:tc>
          <w:tcPr>
            <w:tcW w:w="131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84938A2" w14:textId="298645D4" w:rsidR="00F53E3A" w:rsidRDefault="0036255F">
            <w:pPr>
              <w:pStyle w:val="P68B1DB1-Normal29"/>
              <w:spacing w:before="60" w:after="60"/>
              <w:rPr>
                <w:noProof/>
              </w:rPr>
            </w:pPr>
            <w:r>
              <w:rPr>
                <w:noProof/>
              </w:rPr>
              <w:t>Punerea în funcțiune a platformei de servicii de ocupare a forței de muncă</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C0E5D6B" w14:textId="4EF8FA44" w:rsidR="00F53E3A" w:rsidRDefault="00F53E3A">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E229F0C" w14:textId="40A5E695" w:rsidR="00F53E3A" w:rsidRDefault="00F53E3A">
            <w:pPr>
              <w:spacing w:before="60" w:after="60"/>
              <w:jc w:val="center"/>
              <w:rPr>
                <w:rFonts w:ascii="Times New Roman" w:hAnsi="Times New Roman" w:cs="Times New Roman"/>
                <w:noProof/>
                <w:sz w:val="20"/>
              </w:rPr>
            </w:pPr>
          </w:p>
        </w:tc>
        <w:tc>
          <w:tcPr>
            <w:tcW w:w="8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13C6CA4" w14:textId="378BC0D7" w:rsidR="00F53E3A" w:rsidRDefault="00F53E3A">
            <w:pPr>
              <w:spacing w:before="60" w:after="60"/>
              <w:jc w:val="center"/>
              <w:rPr>
                <w:rFonts w:ascii="Times New Roman" w:hAnsi="Times New Roman" w:cs="Times New Roman"/>
                <w:noProof/>
                <w:sz w:val="20"/>
              </w:rPr>
            </w:pPr>
          </w:p>
        </w:tc>
        <w:tc>
          <w:tcPr>
            <w:tcW w:w="109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620D540" w14:textId="12390650" w:rsidR="00F53E3A" w:rsidRDefault="00DB2EC5">
            <w:pPr>
              <w:pStyle w:val="P68B1DB1-Normal12"/>
              <w:spacing w:before="60" w:after="60"/>
              <w:jc w:val="center"/>
              <w:rPr>
                <w:rFonts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4A1D3E4" w14:textId="1F753FAF" w:rsidR="00F53E3A" w:rsidRDefault="0036255F">
            <w:pPr>
              <w:pStyle w:val="P68B1DB1-Normal12"/>
              <w:spacing w:before="60" w:after="60"/>
              <w:jc w:val="center"/>
              <w:rPr>
                <w:rFonts w:cs="Times New Roman"/>
                <w:noProof/>
              </w:rPr>
            </w:pPr>
            <w:r>
              <w:rPr>
                <w:noProof/>
              </w:rPr>
              <w:t>2025</w:t>
            </w:r>
          </w:p>
        </w:tc>
        <w:tc>
          <w:tcPr>
            <w:tcW w:w="358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594D2FF" w14:textId="3F5722C6" w:rsidR="00F53E3A" w:rsidRDefault="0036255F">
            <w:pPr>
              <w:pStyle w:val="P68B1DB1-Normal29"/>
              <w:spacing w:before="60" w:after="60"/>
              <w:jc w:val="both"/>
              <w:rPr>
                <w:noProof/>
              </w:rPr>
            </w:pPr>
            <w:r>
              <w:rPr>
                <w:noProof/>
              </w:rPr>
              <w:t>Punerea în funcțiune a platformei de servicii de ocupare a forței de muncă, care furnizează servicii digitale.</w:t>
            </w:r>
          </w:p>
        </w:tc>
      </w:tr>
      <w:tr w:rsidR="00F53E3A" w14:paraId="3C3E698C" w14:textId="77777777" w:rsidTr="00E04E3B">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7F307F1" w14:textId="77777777" w:rsidR="00F53E3A" w:rsidRDefault="0036255F">
            <w:pPr>
              <w:pStyle w:val="P68B1DB1-Normal12"/>
              <w:spacing w:before="60" w:after="60"/>
              <w:jc w:val="center"/>
              <w:rPr>
                <w:rFonts w:cs="Times New Roman"/>
                <w:noProof/>
              </w:rPr>
            </w:pPr>
            <w:r>
              <w:rPr>
                <w:noProof/>
              </w:rPr>
              <w:t>188</w:t>
            </w:r>
          </w:p>
        </w:tc>
        <w:tc>
          <w:tcPr>
            <w:tcW w:w="161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77A9516" w14:textId="77777777" w:rsidR="00F53E3A" w:rsidRDefault="0036255F">
            <w:pPr>
              <w:pStyle w:val="P68B1DB1-Normal12"/>
              <w:spacing w:before="60" w:after="60"/>
              <w:rPr>
                <w:noProof/>
              </w:rPr>
            </w:pPr>
            <w:r>
              <w:rPr>
                <w:noProof/>
              </w:rPr>
              <w:t xml:space="preserve">G.1.2. Sprijin pentru ocuparea forței de muncă orientat către client — </w:t>
            </w:r>
          </w:p>
          <w:p w14:paraId="41849067" w14:textId="4E20B2DD" w:rsidR="00F53E3A" w:rsidRDefault="0036255F">
            <w:pPr>
              <w:pStyle w:val="P68B1DB1-Normal12"/>
              <w:spacing w:before="60" w:after="60"/>
              <w:rPr>
                <w:rFonts w:cs="Times New Roman"/>
                <w:noProof/>
              </w:rPr>
            </w:pPr>
            <w:r>
              <w:rPr>
                <w:noProof/>
              </w:rPr>
              <w:t>G.1.2.2. Extinderea domeniului de aplicare și a diversității măsurilor de sprijinire a ocupării forței de muncă</w:t>
            </w:r>
          </w:p>
        </w:tc>
        <w:tc>
          <w:tcPr>
            <w:tcW w:w="10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5A48FF8" w14:textId="77777777"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CBCE2F2" w14:textId="77777777" w:rsidR="00F53E3A" w:rsidRDefault="0036255F">
            <w:pPr>
              <w:pStyle w:val="P68B1DB1-Normal12"/>
              <w:spacing w:before="60" w:after="60"/>
              <w:rPr>
                <w:noProof/>
                <w:shd w:val="clear" w:color="auto" w:fill="E6E6E6"/>
              </w:rPr>
            </w:pPr>
            <w:r>
              <w:rPr>
                <w:noProof/>
              </w:rPr>
              <w:t>Intrarea în vigoare a legislației care reglementează schema de sprijin pentru ocuparea forței de muncă pentru punerea în aplicare a măsurilor-pilot</w:t>
            </w:r>
            <w:r>
              <w:rPr>
                <w:noProof/>
                <w:shd w:val="clear" w:color="auto" w:fill="E6E6E6"/>
              </w:rPr>
              <w:t xml:space="preserve"> </w:t>
            </w:r>
          </w:p>
          <w:p w14:paraId="11595141" w14:textId="30D37F06" w:rsidR="00F53E3A" w:rsidRDefault="0036255F">
            <w:pPr>
              <w:pStyle w:val="P68B1DB1-Normal12"/>
              <w:spacing w:before="60" w:after="60"/>
              <w:rPr>
                <w:rFonts w:cs="Times New Roman"/>
                <w:noProof/>
              </w:rPr>
            </w:pPr>
            <w:r>
              <w:rPr>
                <w:noProof/>
              </w:rPr>
              <w:t>(Promovarea antreprenoriatului și sprijinirea învățării care oferă calificări și competențe cu valoare adăugată ridicată, cu accent pe tranziția digitală și tranziția verde)</w:t>
            </w:r>
          </w:p>
        </w:tc>
        <w:tc>
          <w:tcPr>
            <w:tcW w:w="131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A8EF0BF" w14:textId="77777777" w:rsidR="00F53E3A" w:rsidRDefault="0036255F">
            <w:pPr>
              <w:pStyle w:val="P68B1DB1-Normal12"/>
              <w:spacing w:before="60" w:after="60"/>
              <w:rPr>
                <w:rFonts w:cs="Times New Roman"/>
                <w:noProof/>
              </w:rPr>
            </w:pPr>
            <w:r>
              <w:rPr>
                <w:noProof/>
              </w:rPr>
              <w:t xml:space="preserve">Legislația a intrat în vigoare </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8B6A9D3" w14:textId="4A8161E4" w:rsidR="00F53E3A" w:rsidRDefault="00F53E3A">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29DE6B6" w14:textId="2446C85D" w:rsidR="00F53E3A" w:rsidRDefault="00F53E3A">
            <w:pPr>
              <w:spacing w:before="60" w:after="60"/>
              <w:jc w:val="center"/>
              <w:rPr>
                <w:rFonts w:ascii="Times New Roman" w:hAnsi="Times New Roman" w:cs="Times New Roman"/>
                <w:noProof/>
                <w:sz w:val="20"/>
              </w:rPr>
            </w:pPr>
          </w:p>
        </w:tc>
        <w:tc>
          <w:tcPr>
            <w:tcW w:w="8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EA88C8A" w14:textId="0D94E5F6" w:rsidR="00F53E3A" w:rsidRDefault="00F53E3A">
            <w:pPr>
              <w:spacing w:before="60" w:after="60"/>
              <w:jc w:val="center"/>
              <w:rPr>
                <w:rFonts w:ascii="Times New Roman" w:hAnsi="Times New Roman" w:cs="Times New Roman"/>
                <w:noProof/>
                <w:sz w:val="20"/>
              </w:rPr>
            </w:pPr>
          </w:p>
        </w:tc>
        <w:tc>
          <w:tcPr>
            <w:tcW w:w="109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3245B5B" w14:textId="38E3A2A9" w:rsidR="00F53E3A" w:rsidRDefault="00DB2EC5">
            <w:pPr>
              <w:pStyle w:val="P68B1DB1-Normal12"/>
              <w:spacing w:before="60" w:after="60"/>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4D18800" w14:textId="77777777" w:rsidR="00F53E3A" w:rsidRDefault="0036255F">
            <w:pPr>
              <w:pStyle w:val="P68B1DB1-Normal12"/>
              <w:spacing w:before="60" w:after="60"/>
              <w:jc w:val="center"/>
              <w:rPr>
                <w:rFonts w:cs="Times New Roman"/>
                <w:noProof/>
              </w:rPr>
            </w:pPr>
            <w:r>
              <w:rPr>
                <w:noProof/>
              </w:rPr>
              <w:t>2022</w:t>
            </w:r>
          </w:p>
        </w:tc>
        <w:tc>
          <w:tcPr>
            <w:tcW w:w="358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55B4EF3" w14:textId="77777777" w:rsidR="00F53E3A" w:rsidRDefault="0036255F">
            <w:pPr>
              <w:pStyle w:val="P68B1DB1-Normal12"/>
              <w:spacing w:before="60" w:after="60"/>
              <w:jc w:val="both"/>
              <w:rPr>
                <w:rFonts w:eastAsia="Times New Roman" w:cs="Times New Roman"/>
                <w:noProof/>
              </w:rPr>
            </w:pPr>
            <w:r>
              <w:rPr>
                <w:noProof/>
              </w:rPr>
              <w:t>Intrarea în vigoare a legislației care precizează:</w:t>
            </w:r>
          </w:p>
          <w:p w14:paraId="2AF0B026" w14:textId="77777777" w:rsidR="00F53E3A" w:rsidRDefault="0036255F">
            <w:pPr>
              <w:pStyle w:val="P68B1DB1-Normal12"/>
              <w:spacing w:before="60" w:after="60"/>
              <w:jc w:val="both"/>
              <w:rPr>
                <w:rFonts w:eastAsia="Times New Roman" w:cs="Times New Roman"/>
                <w:noProof/>
              </w:rPr>
            </w:pPr>
            <w:r>
              <w:rPr>
                <w:noProof/>
              </w:rPr>
              <w:t>— termenul pentru aplicarea noilor măsuri;</w:t>
            </w:r>
          </w:p>
          <w:p w14:paraId="6EA25C8C" w14:textId="77777777" w:rsidR="00F53E3A" w:rsidRDefault="0036255F">
            <w:pPr>
              <w:pStyle w:val="P68B1DB1-Normal12"/>
              <w:spacing w:before="60" w:after="60"/>
              <w:jc w:val="both"/>
              <w:rPr>
                <w:rFonts w:eastAsia="Times New Roman" w:cs="Times New Roman"/>
                <w:noProof/>
              </w:rPr>
            </w:pPr>
            <w:r>
              <w:rPr>
                <w:noProof/>
              </w:rPr>
              <w:t>— grupurile-țintă;</w:t>
            </w:r>
          </w:p>
          <w:p w14:paraId="082987BD" w14:textId="77777777" w:rsidR="00F53E3A" w:rsidRDefault="0036255F">
            <w:pPr>
              <w:pStyle w:val="P68B1DB1-Normal12"/>
              <w:spacing w:before="60" w:after="60"/>
              <w:jc w:val="both"/>
              <w:rPr>
                <w:rFonts w:eastAsia="Times New Roman" w:cs="Times New Roman"/>
                <w:noProof/>
              </w:rPr>
            </w:pPr>
            <w:r>
              <w:rPr>
                <w:noProof/>
              </w:rPr>
              <w:t>— criteriile de selecție și cerințele pentru respectarea obiectivelor tranziției digitale și verzi și ale economiei circulare;</w:t>
            </w:r>
          </w:p>
          <w:p w14:paraId="5DA5C9DF" w14:textId="5D33FA14" w:rsidR="00F53E3A" w:rsidRDefault="0036255F">
            <w:pPr>
              <w:pStyle w:val="P68B1DB1-Normal12"/>
              <w:spacing w:before="60" w:after="60"/>
              <w:jc w:val="both"/>
              <w:rPr>
                <w:rFonts w:eastAsia="Times New Roman" w:cs="Times New Roman"/>
                <w:noProof/>
              </w:rPr>
            </w:pPr>
            <w:r>
              <w:rPr>
                <w:noProof/>
              </w:rPr>
              <w:t>— cerințele privind sustenabilitatea locurilor de muncă nou create.</w:t>
            </w:r>
          </w:p>
        </w:tc>
      </w:tr>
      <w:tr w:rsidR="00F53E3A" w14:paraId="1F492C7E" w14:textId="77777777" w:rsidTr="00E04E3B">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163EB2A" w14:textId="77777777" w:rsidR="00F53E3A" w:rsidRDefault="0036255F">
            <w:pPr>
              <w:pStyle w:val="P68B1DB1-Normal12"/>
              <w:spacing w:before="60" w:after="60"/>
              <w:jc w:val="center"/>
              <w:rPr>
                <w:rFonts w:cs="Times New Roman"/>
                <w:noProof/>
              </w:rPr>
            </w:pPr>
            <w:r>
              <w:rPr>
                <w:noProof/>
              </w:rPr>
              <w:t>189</w:t>
            </w:r>
          </w:p>
        </w:tc>
        <w:tc>
          <w:tcPr>
            <w:tcW w:w="161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53212EA" w14:textId="77777777" w:rsidR="00F53E3A" w:rsidRDefault="0036255F">
            <w:pPr>
              <w:pStyle w:val="P68B1DB1-Normal12"/>
              <w:spacing w:before="60" w:after="60"/>
              <w:rPr>
                <w:noProof/>
              </w:rPr>
            </w:pPr>
            <w:r>
              <w:rPr>
                <w:noProof/>
              </w:rPr>
              <w:t xml:space="preserve">G.1.2. Sprijin pentru ocuparea forței de muncă orientat către client — </w:t>
            </w:r>
          </w:p>
          <w:p w14:paraId="314172CA" w14:textId="355B289E" w:rsidR="00F53E3A" w:rsidRDefault="0036255F">
            <w:pPr>
              <w:pStyle w:val="P68B1DB1-Normal12"/>
              <w:spacing w:before="60" w:after="60"/>
              <w:rPr>
                <w:rFonts w:cs="Times New Roman"/>
                <w:noProof/>
              </w:rPr>
            </w:pPr>
            <w:r>
              <w:rPr>
                <w:noProof/>
              </w:rPr>
              <w:t>G.1.2.2. Extinderea domeniului de aplicare și a diversității măsurilor de sprijinire a ocupării forței de muncă</w:t>
            </w:r>
          </w:p>
        </w:tc>
        <w:tc>
          <w:tcPr>
            <w:tcW w:w="10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6DD82A1" w14:textId="54539440"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AE92CC2" w14:textId="6A82DBB9" w:rsidR="00F53E3A" w:rsidRDefault="0036255F">
            <w:pPr>
              <w:pStyle w:val="P68B1DB1-Normal12"/>
              <w:spacing w:before="60" w:after="60"/>
              <w:rPr>
                <w:rFonts w:cs="Times New Roman"/>
                <w:noProof/>
              </w:rPr>
            </w:pPr>
            <w:r>
              <w:rPr>
                <w:noProof/>
              </w:rPr>
              <w:t>Proiectul-pilot de sprijinire a antreprenoriatului</w:t>
            </w:r>
          </w:p>
        </w:tc>
        <w:tc>
          <w:tcPr>
            <w:tcW w:w="131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E66F941" w14:textId="1F319209" w:rsidR="00F53E3A" w:rsidRDefault="0036255F">
            <w:pPr>
              <w:pStyle w:val="P68B1DB1-Normal12"/>
              <w:spacing w:before="60" w:after="60"/>
              <w:rPr>
                <w:rFonts w:cs="Times New Roman"/>
                <w:noProof/>
              </w:rPr>
            </w:pPr>
            <w:r>
              <w:rPr>
                <w:noProof/>
              </w:rPr>
              <w:t>Acte privind crearea de condiții materiale și juridice semnate pentru crearea sau adaptarea a cel puțin 1 135 de locuri de muncă</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F74DFF2" w14:textId="5AA1EF56" w:rsidR="00F53E3A" w:rsidRDefault="00F53E3A">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1C01CA1" w14:textId="11678AFD" w:rsidR="00F53E3A" w:rsidRDefault="00F53E3A">
            <w:pPr>
              <w:spacing w:before="60" w:after="60"/>
              <w:jc w:val="center"/>
              <w:rPr>
                <w:rFonts w:ascii="Times New Roman" w:hAnsi="Times New Roman" w:cs="Times New Roman"/>
                <w:noProof/>
                <w:sz w:val="20"/>
              </w:rPr>
            </w:pPr>
          </w:p>
        </w:tc>
        <w:tc>
          <w:tcPr>
            <w:tcW w:w="8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21744E6" w14:textId="4C4BD018" w:rsidR="00F53E3A" w:rsidRDefault="00F53E3A">
            <w:pPr>
              <w:spacing w:before="60" w:after="60"/>
              <w:jc w:val="center"/>
              <w:rPr>
                <w:rFonts w:ascii="Times New Roman" w:hAnsi="Times New Roman" w:cs="Times New Roman"/>
                <w:noProof/>
                <w:sz w:val="20"/>
              </w:rPr>
            </w:pPr>
          </w:p>
        </w:tc>
        <w:tc>
          <w:tcPr>
            <w:tcW w:w="109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1BB016B" w14:textId="37D1532C" w:rsidR="00F53E3A" w:rsidRDefault="00DB2EC5">
            <w:pPr>
              <w:pStyle w:val="P68B1DB1-Normal12"/>
              <w:spacing w:before="60" w:after="60"/>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E326C38" w14:textId="77777777" w:rsidR="00F53E3A" w:rsidRDefault="0036255F">
            <w:pPr>
              <w:pStyle w:val="P68B1DB1-Normal12"/>
              <w:spacing w:before="60" w:after="60"/>
              <w:jc w:val="center"/>
              <w:rPr>
                <w:rFonts w:cs="Times New Roman"/>
                <w:noProof/>
              </w:rPr>
            </w:pPr>
            <w:r>
              <w:rPr>
                <w:noProof/>
              </w:rPr>
              <w:t>2026</w:t>
            </w:r>
          </w:p>
        </w:tc>
        <w:tc>
          <w:tcPr>
            <w:tcW w:w="358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A8083B3" w14:textId="0C98AE58" w:rsidR="00F53E3A" w:rsidRDefault="0036255F">
            <w:pPr>
              <w:pStyle w:val="P68B1DB1-Normal12"/>
              <w:spacing w:before="60" w:after="60"/>
              <w:jc w:val="both"/>
              <w:rPr>
                <w:rFonts w:cs="Times New Roman"/>
                <w:noProof/>
              </w:rPr>
            </w:pPr>
            <w:r>
              <w:rPr>
                <w:noProof/>
              </w:rPr>
              <w:t xml:space="preserve">Acte privind crearea de materiale și condiții juridice semnate pentru a crea sau a adapta cel puțin 1 135 de locuri de muncă (inclusiv cel puțin 650 de locuri de muncă care sprijină tranziția digitală și cel puțin 400 de locuri de muncă care sprijină tranziția verde și/sau economia circulară). </w:t>
            </w:r>
            <w:bookmarkStart w:id="16" w:name="_Hlk73976611"/>
            <w:bookmarkEnd w:id="16"/>
          </w:p>
        </w:tc>
      </w:tr>
      <w:tr w:rsidR="00F53E3A" w14:paraId="5B3E5951" w14:textId="77777777" w:rsidTr="00E04E3B">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53C95AB" w14:textId="6969FFA9" w:rsidR="00F53E3A" w:rsidRDefault="0036255F">
            <w:pPr>
              <w:pStyle w:val="P68B1DB1-Normal12"/>
              <w:spacing w:before="60" w:after="60"/>
              <w:jc w:val="center"/>
              <w:rPr>
                <w:rFonts w:cs="Times New Roman"/>
                <w:noProof/>
              </w:rPr>
            </w:pPr>
            <w:r>
              <w:rPr>
                <w:noProof/>
              </w:rPr>
              <w:t>190</w:t>
            </w:r>
          </w:p>
        </w:tc>
        <w:tc>
          <w:tcPr>
            <w:tcW w:w="161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5FD16A" w14:textId="77777777" w:rsidR="00F53E3A" w:rsidRDefault="0036255F">
            <w:pPr>
              <w:pStyle w:val="P68B1DB1-Normal12"/>
              <w:spacing w:before="60" w:after="60"/>
              <w:rPr>
                <w:noProof/>
              </w:rPr>
            </w:pPr>
            <w:r>
              <w:rPr>
                <w:noProof/>
              </w:rPr>
              <w:t xml:space="preserve">G.1.2. Sprijin pentru ocuparea forței de muncă orientat către client — </w:t>
            </w:r>
          </w:p>
          <w:p w14:paraId="1046AE4B" w14:textId="6D0C427E" w:rsidR="00F53E3A" w:rsidRDefault="0036255F">
            <w:pPr>
              <w:pStyle w:val="P68B1DB1-Normal12"/>
              <w:spacing w:before="60" w:after="60"/>
              <w:rPr>
                <w:rFonts w:eastAsia="Times New Roman" w:cs="Times New Roman"/>
                <w:noProof/>
              </w:rPr>
            </w:pPr>
            <w:r>
              <w:rPr>
                <w:noProof/>
              </w:rPr>
              <w:t>G.1.2.2. Extinderea domeniului de aplicare și a diversității măsurilor de sprijinire a ocupării forței de muncă</w:t>
            </w:r>
          </w:p>
        </w:tc>
        <w:tc>
          <w:tcPr>
            <w:tcW w:w="10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2993FAD" w14:textId="3C1BF104" w:rsidR="00F53E3A" w:rsidRDefault="0036255F">
            <w:pPr>
              <w:pStyle w:val="P68B1DB1-Normal12"/>
              <w:spacing w:before="60" w:after="60"/>
              <w:jc w:val="center"/>
              <w:rPr>
                <w:rFonts w:cs="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C2C8DD0" w14:textId="1DE70D32" w:rsidR="00F53E3A" w:rsidRDefault="0036255F">
            <w:pPr>
              <w:pStyle w:val="P68B1DB1-Normal13"/>
              <w:spacing w:before="60" w:after="60"/>
              <w:rPr>
                <w:noProof/>
              </w:rPr>
            </w:pPr>
            <w:r>
              <w:rPr>
                <w:noProof/>
              </w:rPr>
              <w:t>Persoane care beneficiază de măsura subvenționată privind ocuparea forței de muncă</w:t>
            </w:r>
          </w:p>
        </w:tc>
        <w:tc>
          <w:tcPr>
            <w:tcW w:w="13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44946B8" w14:textId="2FBC0191" w:rsidR="00F53E3A" w:rsidRDefault="0036255F">
            <w:pPr>
              <w:pStyle w:val="P68B1DB1-Normal12"/>
              <w:spacing w:before="60" w:after="60"/>
              <w:rPr>
                <w:rFonts w:cs="Times New Roman"/>
                <w:noProof/>
              </w:rPr>
            </w:pPr>
            <w:r>
              <w:rPr>
                <w:noProof/>
              </w:rPr>
              <w:t>1 000 de persoane care beneficiază de măsura subvenționată privind ocuparea forței de muncă.</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A2AEFBC" w14:textId="34501567" w:rsidR="00F53E3A" w:rsidRDefault="00F53E3A">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C3BF8E9" w14:textId="7F51F08C" w:rsidR="00F53E3A" w:rsidRDefault="00F53E3A">
            <w:pPr>
              <w:spacing w:before="60" w:after="60"/>
              <w:jc w:val="center"/>
              <w:rPr>
                <w:rFonts w:ascii="Times New Roman" w:hAnsi="Times New Roman" w:cs="Times New Roman"/>
                <w:noProof/>
                <w:sz w:val="20"/>
              </w:rPr>
            </w:pPr>
          </w:p>
        </w:tc>
        <w:tc>
          <w:tcPr>
            <w:tcW w:w="8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3C8AE8D" w14:textId="13406FAA" w:rsidR="00F53E3A" w:rsidRDefault="00F53E3A">
            <w:pPr>
              <w:spacing w:before="60" w:after="60"/>
              <w:jc w:val="center"/>
              <w:rPr>
                <w:rFonts w:ascii="Times New Roman" w:hAnsi="Times New Roman" w:cs="Times New Roman"/>
                <w:noProof/>
                <w:sz w:val="20"/>
              </w:rPr>
            </w:pPr>
          </w:p>
        </w:tc>
        <w:tc>
          <w:tcPr>
            <w:tcW w:w="109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4DD41FE" w14:textId="1BCC690C" w:rsidR="00F53E3A" w:rsidRDefault="00DB2EC5">
            <w:pPr>
              <w:pStyle w:val="P68B1DB1-Normal12"/>
              <w:spacing w:before="60" w:after="60"/>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739A754" w14:textId="273CE0A8" w:rsidR="00F53E3A" w:rsidRDefault="0036255F">
            <w:pPr>
              <w:pStyle w:val="P68B1DB1-Normal12"/>
              <w:spacing w:before="60" w:after="60"/>
              <w:jc w:val="center"/>
              <w:rPr>
                <w:rFonts w:cs="Times New Roman"/>
                <w:noProof/>
              </w:rPr>
            </w:pPr>
            <w:r>
              <w:rPr>
                <w:noProof/>
              </w:rPr>
              <w:t>2026</w:t>
            </w:r>
          </w:p>
        </w:tc>
        <w:tc>
          <w:tcPr>
            <w:tcW w:w="35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D37A83E" w14:textId="67F76831" w:rsidR="00F53E3A" w:rsidRDefault="0036255F">
            <w:pPr>
              <w:pStyle w:val="P68B1DB1-Normal12"/>
              <w:spacing w:before="60" w:after="60"/>
              <w:jc w:val="both"/>
              <w:rPr>
                <w:rFonts w:eastAsia="Times New Roman" w:cs="Times New Roman"/>
                <w:noProof/>
              </w:rPr>
            </w:pPr>
            <w:r>
              <w:rPr>
                <w:noProof/>
              </w:rPr>
              <w:t xml:space="preserve">1 000 de persoane care beneficiază de măsura subvenționată privind ocuparea forței de muncă. </w:t>
            </w:r>
          </w:p>
        </w:tc>
      </w:tr>
      <w:tr w:rsidR="00F53E3A" w14:paraId="22AB7AB6" w14:textId="77777777" w:rsidTr="00E04E3B">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1F56FF1" w14:textId="77777777" w:rsidR="00F53E3A" w:rsidRDefault="0036255F">
            <w:pPr>
              <w:pStyle w:val="P68B1DB1-Normal12"/>
              <w:spacing w:before="60" w:after="60"/>
              <w:jc w:val="center"/>
              <w:rPr>
                <w:rFonts w:cs="Times New Roman"/>
                <w:noProof/>
              </w:rPr>
            </w:pPr>
            <w:r>
              <w:rPr>
                <w:noProof/>
              </w:rPr>
              <w:t>191</w:t>
            </w:r>
          </w:p>
        </w:tc>
        <w:tc>
          <w:tcPr>
            <w:tcW w:w="161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5434353" w14:textId="77777777" w:rsidR="00F53E3A" w:rsidRDefault="0036255F">
            <w:pPr>
              <w:pStyle w:val="P68B1DB1-Normal12"/>
              <w:spacing w:before="60" w:after="60"/>
              <w:rPr>
                <w:noProof/>
              </w:rPr>
            </w:pPr>
            <w:r>
              <w:rPr>
                <w:noProof/>
              </w:rPr>
              <w:t xml:space="preserve">G.1.2. Sprijin pentru ocuparea forței de muncă orientat către client — </w:t>
            </w:r>
          </w:p>
          <w:p w14:paraId="3FD4192A" w14:textId="18F189E1" w:rsidR="00F53E3A" w:rsidRDefault="0036255F">
            <w:pPr>
              <w:pStyle w:val="P68B1DB1-Normal12"/>
              <w:spacing w:before="60" w:after="60"/>
              <w:rPr>
                <w:rFonts w:cs="Times New Roman"/>
                <w:noProof/>
              </w:rPr>
            </w:pPr>
            <w:r>
              <w:rPr>
                <w:noProof/>
              </w:rPr>
              <w:t>G.1.2.2. Extinderea domeniului de aplicare și a diversității măsurilor de sprijinire a ocupării forței de muncă</w:t>
            </w:r>
          </w:p>
        </w:tc>
        <w:tc>
          <w:tcPr>
            <w:tcW w:w="10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6D624F8" w14:textId="77777777" w:rsidR="00F53E3A" w:rsidRDefault="0036255F">
            <w:pPr>
              <w:pStyle w:val="P68B1DB1-Normal12"/>
              <w:spacing w:before="60" w:after="60"/>
              <w:jc w:val="center"/>
              <w:rPr>
                <w:rFonts w:cs="Times New Roman"/>
                <w:noProof/>
              </w:rPr>
            </w:pPr>
            <w:r>
              <w:rPr>
                <w:noProof/>
              </w:rPr>
              <w:t>Țintă</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0551E3B" w14:textId="1CFA0DE0" w:rsidR="00F53E3A" w:rsidRDefault="0036255F">
            <w:pPr>
              <w:pStyle w:val="P68B1DB1-Normal12"/>
              <w:spacing w:before="60" w:after="60"/>
              <w:rPr>
                <w:rFonts w:cs="Times New Roman"/>
                <w:noProof/>
              </w:rPr>
            </w:pPr>
            <w:r>
              <w:rPr>
                <w:noProof/>
              </w:rPr>
              <w:t>Cursuri de formare pentru dobândirea de calificări și/sau competențe digitale și de altă natură</w:t>
            </w:r>
          </w:p>
        </w:tc>
        <w:tc>
          <w:tcPr>
            <w:tcW w:w="131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C7572A1" w14:textId="20C02096" w:rsidR="00F53E3A" w:rsidRDefault="00F53E3A">
            <w:pPr>
              <w:spacing w:before="60" w:after="60"/>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0BB8958" w14:textId="79C401B9" w:rsidR="00F53E3A" w:rsidRDefault="0036255F">
            <w:pPr>
              <w:pStyle w:val="P68B1DB1-Normal12"/>
              <w:spacing w:before="60" w:after="60"/>
              <w:rPr>
                <w:rFonts w:cs="Times New Roman"/>
                <w:noProof/>
              </w:rPr>
            </w:pPr>
            <w:r>
              <w:rPr>
                <w:noProof/>
              </w:rPr>
              <w:t>Certificatele de formare profesională eliberate</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590BC5F" w14:textId="5199D7D5" w:rsidR="00F53E3A" w:rsidRDefault="0036255F">
            <w:pPr>
              <w:pStyle w:val="P68B1DB1-Normal12"/>
              <w:spacing w:before="60" w:after="60"/>
              <w:jc w:val="center"/>
              <w:rPr>
                <w:rFonts w:cs="Times New Roman"/>
                <w:noProof/>
              </w:rPr>
            </w:pPr>
            <w:r>
              <w:rPr>
                <w:noProof/>
              </w:rPr>
              <w:t>0</w:t>
            </w:r>
          </w:p>
        </w:tc>
        <w:tc>
          <w:tcPr>
            <w:tcW w:w="8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C978CAF" w14:textId="4B83CF98" w:rsidR="00F53E3A" w:rsidRDefault="0036255F">
            <w:pPr>
              <w:pStyle w:val="P68B1DB1-Normal12"/>
              <w:spacing w:before="60" w:after="60"/>
              <w:jc w:val="center"/>
              <w:rPr>
                <w:rFonts w:cs="Times New Roman"/>
                <w:noProof/>
              </w:rPr>
            </w:pPr>
            <w:r>
              <w:rPr>
                <w:noProof/>
              </w:rPr>
              <w:t>15 078</w:t>
            </w:r>
          </w:p>
        </w:tc>
        <w:tc>
          <w:tcPr>
            <w:tcW w:w="109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CFCFF4C" w14:textId="2B45AC4B" w:rsidR="00F53E3A" w:rsidRDefault="00DB2EC5">
            <w:pPr>
              <w:pStyle w:val="P68B1DB1-Normal12"/>
              <w:spacing w:before="60" w:after="60"/>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0DAEBC3" w14:textId="77777777" w:rsidR="00F53E3A" w:rsidRDefault="0036255F">
            <w:pPr>
              <w:pStyle w:val="P68B1DB1-Normal12"/>
              <w:spacing w:before="60" w:after="60"/>
              <w:jc w:val="center"/>
              <w:rPr>
                <w:rFonts w:cs="Times New Roman"/>
                <w:noProof/>
              </w:rPr>
            </w:pPr>
            <w:r>
              <w:rPr>
                <w:noProof/>
              </w:rPr>
              <w:t>2026</w:t>
            </w:r>
          </w:p>
        </w:tc>
        <w:tc>
          <w:tcPr>
            <w:tcW w:w="358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B26983F" w14:textId="5865122D" w:rsidR="00F53E3A" w:rsidRDefault="0036255F">
            <w:pPr>
              <w:pStyle w:val="P68B1DB1-Normal12"/>
              <w:spacing w:before="60" w:after="60"/>
              <w:jc w:val="both"/>
              <w:rPr>
                <w:rFonts w:eastAsia="Times New Roman" w:cs="Times New Roman"/>
                <w:noProof/>
              </w:rPr>
            </w:pPr>
            <w:r>
              <w:rPr>
                <w:noProof/>
              </w:rPr>
              <w:t>15 078 de certificate de formare eliberate pentru a obține calificări și/sau competențe cu valoare adăugată ridicată (din care cel puțin 10 000 pentru a dobândi calificări și/sau competențe digitale).</w:t>
            </w:r>
          </w:p>
        </w:tc>
      </w:tr>
    </w:tbl>
    <w:p w14:paraId="278F5915" w14:textId="77777777" w:rsidR="00F53E3A" w:rsidRDefault="00F53E3A">
      <w:pPr>
        <w:pStyle w:val="Text1"/>
        <w:ind w:left="0"/>
        <w:rPr>
          <w:noProof/>
        </w:rPr>
      </w:pPr>
    </w:p>
    <w:p w14:paraId="0D657494" w14:textId="6FB4662E" w:rsidR="00F53E3A" w:rsidRDefault="00F53E3A">
      <w:pPr>
        <w:ind w:left="709"/>
        <w:jc w:val="both"/>
        <w:rPr>
          <w:rFonts w:ascii="Times New Roman" w:eastAsia="Calibri" w:hAnsi="Times New Roman" w:cs="Times New Roman"/>
          <w:noProof/>
        </w:rPr>
        <w:sectPr w:rsidR="00F53E3A" w:rsidSect="0074650A">
          <w:headerReference w:type="even" r:id="rId132"/>
          <w:headerReference w:type="default" r:id="rId133"/>
          <w:footerReference w:type="even" r:id="rId134"/>
          <w:footerReference w:type="default" r:id="rId135"/>
          <w:headerReference w:type="first" r:id="rId136"/>
          <w:footerReference w:type="first" r:id="rId137"/>
          <w:pgSz w:w="16839" w:h="11907" w:orient="landscape"/>
          <w:pgMar w:top="1134" w:right="1134" w:bottom="1134" w:left="1134" w:header="567" w:footer="567" w:gutter="0"/>
          <w:cols w:space="720"/>
          <w:docGrid w:linePitch="360"/>
        </w:sectPr>
      </w:pPr>
    </w:p>
    <w:p w14:paraId="6431E3F9" w14:textId="734B0F3E" w:rsidR="00F53E3A" w:rsidRDefault="0036255F">
      <w:pPr>
        <w:pStyle w:val="P68B1DB1-Text15"/>
        <w:keepNext/>
        <w:keepLines/>
        <w:spacing w:before="0" w:after="200" w:line="276" w:lineRule="auto"/>
        <w:ind w:left="0"/>
        <w:outlineLvl w:val="1"/>
        <w:rPr>
          <w:noProof/>
        </w:rPr>
      </w:pPr>
      <w:r>
        <w:rPr>
          <w:noProof/>
        </w:rPr>
        <w:t>G.3. Descrierea reformelor și a investițiilor pentru împrumut</w:t>
      </w:r>
    </w:p>
    <w:p w14:paraId="59C6FFEA" w14:textId="149B4850" w:rsidR="00F53E3A" w:rsidRDefault="0036255F">
      <w:pPr>
        <w:pStyle w:val="P68B1DB1-Normal6"/>
        <w:keepNext/>
        <w:keepLines/>
        <w:jc w:val="both"/>
        <w:textAlignment w:val="baseline"/>
        <w:rPr>
          <w:rFonts w:eastAsia="Times New Roman" w:cs="Times New Roman"/>
          <w:noProof/>
        </w:rPr>
      </w:pPr>
      <w:bookmarkStart w:id="17" w:name="_Hlk145956153"/>
      <w:r>
        <w:rPr>
          <w:noProof/>
        </w:rPr>
        <w:t>G.3.1. Reformă: Îmbunătățirea calității serviciilor sociale și de ocupare a forței de muncă</w:t>
      </w:r>
    </w:p>
    <w:bookmarkEnd w:id="17"/>
    <w:p w14:paraId="5A18F4B3" w14:textId="5303759C" w:rsidR="00F53E3A" w:rsidRDefault="0036255F">
      <w:pPr>
        <w:pStyle w:val="P68B1DB1-Normal4"/>
        <w:widowControl w:val="0"/>
        <w:jc w:val="both"/>
        <w:rPr>
          <w:rFonts w:eastAsia="Times New Roman" w:cs="Times New Roman"/>
          <w:noProof/>
        </w:rPr>
      </w:pPr>
      <w:r>
        <w:rPr>
          <w:noProof/>
        </w:rPr>
        <w:t>Obiectivul reformei este de a reduce fragmentarea planificării și furnizării de servicii sociale, de ocupare a forței de muncă și de alte servicii conexe, precum și de a consolida competențele asistenților sociali. Reforma constă în două submăsuri: 1) creșterea gradului de integrare a serviciilor de ocupare a forței de muncă, a serviciilor sociale și a altor servicii; 2) consolidarea competențelor asistenților sociali.</w:t>
      </w:r>
    </w:p>
    <w:p w14:paraId="086FC4B0" w14:textId="46C3CEEB" w:rsidR="00F53E3A" w:rsidRDefault="0036255F">
      <w:pPr>
        <w:pStyle w:val="P68B1DB1-Normal6"/>
        <w:keepNext/>
        <w:keepLines/>
        <w:jc w:val="both"/>
        <w:textAlignment w:val="baseline"/>
        <w:rPr>
          <w:rFonts w:eastAsia="Times New Roman" w:cs="Times New Roman"/>
          <w:noProof/>
        </w:rPr>
      </w:pPr>
      <w:r>
        <w:rPr>
          <w:noProof/>
        </w:rPr>
        <w:t xml:space="preserve">G.3.1.1. Submăsura 1: Creșterea gradului de integrare a serviciilor de ocupare a forței de muncă, a serviciilor sociale și a altor servicii </w:t>
      </w:r>
    </w:p>
    <w:p w14:paraId="144FEAAA" w14:textId="60E5E0C4" w:rsidR="00F53E3A" w:rsidRDefault="0036255F">
      <w:pPr>
        <w:pStyle w:val="P68B1DB1-Normal4"/>
        <w:jc w:val="both"/>
        <w:rPr>
          <w:rFonts w:eastAsia="Times New Roman" w:cs="Times New Roman"/>
          <w:noProof/>
          <w:szCs w:val="24"/>
        </w:rPr>
      </w:pPr>
      <w:r>
        <w:rPr>
          <w:noProof/>
        </w:rPr>
        <w:t xml:space="preserve">Obiectivul acestei submăsuri este de a furniza servicii integrate de ocupare a forței de muncă, servicii sociale și alte servicii pentru persoanele înregistrate ca șomeri și pentru persoanele înregistrate ca persoane care se pregătesc pentru piața forței de muncă. Submăsura constă în intrarea în vigoare a legislației și în aprobarea programelor de stimulare a ocupării forței de muncă. </w:t>
      </w:r>
    </w:p>
    <w:p w14:paraId="192A92CD" w14:textId="77777777" w:rsidR="00F53E3A" w:rsidRDefault="0036255F">
      <w:pPr>
        <w:pStyle w:val="P68B1DB1-Normal6"/>
        <w:jc w:val="both"/>
        <w:rPr>
          <w:rFonts w:eastAsia="Times New Roman" w:cs="Times New Roman"/>
          <w:noProof/>
          <w:szCs w:val="24"/>
        </w:rPr>
      </w:pPr>
      <w:r>
        <w:rPr>
          <w:noProof/>
        </w:rPr>
        <w:t>G.3.1.2. Submăsura 2: Consolidarea competențelor asistenților sociali</w:t>
      </w:r>
    </w:p>
    <w:p w14:paraId="2E5068EF" w14:textId="3F843F70" w:rsidR="00F53E3A" w:rsidRDefault="0036255F">
      <w:pPr>
        <w:pStyle w:val="P68B1DB1-Normal26"/>
        <w:widowControl w:val="0"/>
        <w:jc w:val="both"/>
        <w:rPr>
          <w:noProof/>
        </w:rPr>
        <w:sectPr w:rsidR="00F53E3A" w:rsidSect="0074650A">
          <w:headerReference w:type="even" r:id="rId138"/>
          <w:headerReference w:type="default" r:id="rId139"/>
          <w:footerReference w:type="even" r:id="rId140"/>
          <w:footerReference w:type="default" r:id="rId141"/>
          <w:headerReference w:type="first" r:id="rId142"/>
          <w:footerReference w:type="first" r:id="rId143"/>
          <w:pgSz w:w="11907" w:h="16839"/>
          <w:pgMar w:top="1134" w:right="1134" w:bottom="1134" w:left="1134" w:header="567" w:footer="567" w:gutter="0"/>
          <w:cols w:space="720"/>
          <w:docGrid w:linePitch="360"/>
        </w:sectPr>
      </w:pPr>
      <w:r>
        <w:rPr>
          <w:noProof/>
          <w:sz w:val="24"/>
        </w:rPr>
        <w:t xml:space="preserve">Obiectivul acestei submăsuri este de a consolida competențele asistenților sociali. Centrul pentru îmbunătățirea competențelor profesionale ale angajaților din domeniul serviciilor sociale este selectat </w:t>
      </w:r>
      <w:r>
        <w:rPr>
          <w:noProof/>
        </w:rPr>
        <w:t>prin procedura de cereri publice de proiecte</w:t>
      </w:r>
      <w:r>
        <w:rPr>
          <w:noProof/>
          <w:sz w:val="24"/>
        </w:rPr>
        <w:t xml:space="preserve"> și organizează și desfășoară cursuri de formare periodice și gratuite, oferă asistență metodologică și asigură sprijin angajaților din domeniul serviciilor sociale în activitățile lor profesionale.</w:t>
      </w:r>
    </w:p>
    <w:p w14:paraId="4E4695E4" w14:textId="53006A8F" w:rsidR="00F53E3A" w:rsidRDefault="0036255F">
      <w:pPr>
        <w:pStyle w:val="P68B1DB1-Text15"/>
        <w:keepNext/>
        <w:keepLines/>
        <w:spacing w:before="0" w:after="200" w:line="276" w:lineRule="auto"/>
        <w:ind w:left="0"/>
        <w:jc w:val="center"/>
        <w:outlineLvl w:val="1"/>
        <w:rPr>
          <w:noProof/>
        </w:rPr>
      </w:pPr>
      <w:r>
        <w:rPr>
          <w:noProof/>
        </w:rPr>
        <w:t>G.4. Jaloane, ținte, indicatori și calendarul de monitorizare și implementare aplicabile împrumutului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ayout w:type="fixed"/>
        <w:tblLook w:val="04A0" w:firstRow="1" w:lastRow="0" w:firstColumn="1" w:lastColumn="0" w:noHBand="0" w:noVBand="1"/>
      </w:tblPr>
      <w:tblGrid>
        <w:gridCol w:w="534"/>
        <w:gridCol w:w="1701"/>
        <w:gridCol w:w="992"/>
        <w:gridCol w:w="1417"/>
        <w:gridCol w:w="1276"/>
        <w:gridCol w:w="992"/>
        <w:gridCol w:w="1134"/>
        <w:gridCol w:w="993"/>
        <w:gridCol w:w="1131"/>
        <w:gridCol w:w="995"/>
        <w:gridCol w:w="3622"/>
      </w:tblGrid>
      <w:tr w:rsidR="00F53E3A" w14:paraId="7D5E6D3B" w14:textId="77777777" w:rsidTr="00E04E3B">
        <w:trPr>
          <w:tblHeader/>
        </w:trPr>
        <w:tc>
          <w:tcPr>
            <w:tcW w:w="53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445AD32" w14:textId="51B1CFDC" w:rsidR="00F53E3A" w:rsidRDefault="0035684C">
            <w:pPr>
              <w:pStyle w:val="P68B1DB1-Normal9"/>
              <w:spacing w:after="0"/>
              <w:jc w:val="center"/>
              <w:rPr>
                <w:rFonts w:cs="Times New Roman"/>
                <w:noProof/>
              </w:rPr>
            </w:pPr>
            <w:r>
              <w:rPr>
                <w:noProof/>
              </w:rPr>
              <w:t>Nr.</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0125425" w14:textId="77777777" w:rsidR="00F53E3A" w:rsidRDefault="0036255F">
            <w:pPr>
              <w:pStyle w:val="P68B1DB1-Normal9"/>
              <w:spacing w:after="0"/>
              <w:jc w:val="center"/>
              <w:rPr>
                <w:rFonts w:cs="Times New Roman"/>
                <w:noProof/>
              </w:rPr>
            </w:pPr>
            <w:r>
              <w:rPr>
                <w:noProof/>
              </w:rPr>
              <w:t>Măsură conexă (reformă sau investiții)</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E09C261" w14:textId="3AC4FADD" w:rsidR="00F53E3A" w:rsidRDefault="0036255F">
            <w:pPr>
              <w:pStyle w:val="P68B1DB1-Normal9"/>
              <w:spacing w:after="0"/>
              <w:jc w:val="center"/>
              <w:rPr>
                <w:rFonts w:cs="Times New Roman"/>
                <w:noProof/>
              </w:rPr>
            </w:pPr>
            <w:r>
              <w:rPr>
                <w:noProof/>
              </w:rPr>
              <w:t>Etapă/</w:t>
            </w:r>
            <w:r w:rsidR="00E04E3B">
              <w:rPr>
                <w:noProof/>
              </w:rPr>
              <w:t xml:space="preserve"> </w:t>
            </w:r>
            <w:r>
              <w:rPr>
                <w:noProof/>
              </w:rPr>
              <w:t>Obiectiv</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772E7B7" w14:textId="77777777" w:rsidR="00F53E3A" w:rsidRDefault="0036255F">
            <w:pPr>
              <w:pStyle w:val="P68B1DB1-Normal9"/>
              <w:spacing w:after="0"/>
              <w:jc w:val="center"/>
              <w:rPr>
                <w:rFonts w:cs="Times New Roman"/>
                <w:noProof/>
              </w:rPr>
            </w:pPr>
            <w:r>
              <w:rPr>
                <w:noProof/>
              </w:rPr>
              <w:t>Titlu</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E304793" w14:textId="52A701EF" w:rsidR="00F53E3A" w:rsidRDefault="0036255F">
            <w:pPr>
              <w:pStyle w:val="P68B1DB1-Normal10"/>
              <w:spacing w:after="0"/>
              <w:jc w:val="center"/>
              <w:rPr>
                <w:rFonts w:ascii="Times New Roman" w:hAnsi="Times New Roman" w:cs="Times New Roman"/>
                <w:b/>
                <w:noProof/>
              </w:rPr>
            </w:pPr>
            <w:r>
              <w:rPr>
                <w:rFonts w:ascii="Times New Roman" w:hAnsi="Times New Roman"/>
                <w:b/>
                <w:noProof/>
              </w:rPr>
              <w:t>Indicatori calitativi</w:t>
            </w:r>
            <w:r>
              <w:rPr>
                <w:noProof/>
              </w:rPr>
              <w:t xml:space="preserve"> </w:t>
            </w:r>
            <w:r>
              <w:rPr>
                <w:noProof/>
              </w:rPr>
              <w:br/>
            </w:r>
            <w:r>
              <w:rPr>
                <w:rFonts w:ascii="Times New Roman" w:hAnsi="Times New Roman"/>
                <w:b/>
                <w:noProof/>
              </w:rPr>
              <w:t>(pentru jaloane)</w:t>
            </w:r>
          </w:p>
        </w:tc>
        <w:tc>
          <w:tcPr>
            <w:tcW w:w="3119"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D36A20D" w14:textId="77777777" w:rsidR="00F53E3A" w:rsidRDefault="0036255F">
            <w:pPr>
              <w:pStyle w:val="P68B1DB1-Normal10"/>
              <w:spacing w:after="0"/>
              <w:jc w:val="center"/>
              <w:rPr>
                <w:rFonts w:ascii="Times New Roman" w:hAnsi="Times New Roman" w:cs="Times New Roman"/>
                <w:b/>
                <w:noProof/>
              </w:rPr>
            </w:pPr>
            <w:r>
              <w:rPr>
                <w:rFonts w:ascii="Times New Roman" w:hAnsi="Times New Roman"/>
                <w:b/>
                <w:noProof/>
              </w:rPr>
              <w:t>Indicatori cantitativi</w:t>
            </w:r>
            <w:r>
              <w:rPr>
                <w:noProof/>
              </w:rPr>
              <w:t xml:space="preserve"> </w:t>
            </w:r>
            <w:r>
              <w:rPr>
                <w:noProof/>
              </w:rPr>
              <w:br/>
            </w:r>
            <w:r>
              <w:rPr>
                <w:rFonts w:ascii="Times New Roman" w:hAnsi="Times New Roman"/>
                <w:b/>
                <w:noProof/>
              </w:rPr>
              <w:t>(pentru obiective)</w:t>
            </w:r>
          </w:p>
        </w:tc>
        <w:tc>
          <w:tcPr>
            <w:tcW w:w="2126"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3F3A9C9" w14:textId="6EBF3864" w:rsidR="00F53E3A" w:rsidRDefault="0036255F">
            <w:pPr>
              <w:pStyle w:val="P68B1DB1-Normal9"/>
              <w:spacing w:after="0"/>
              <w:jc w:val="center"/>
              <w:rPr>
                <w:rFonts w:cs="Times New Roman"/>
                <w:noProof/>
              </w:rPr>
            </w:pPr>
            <w:r>
              <w:rPr>
                <w:noProof/>
              </w:rPr>
              <w:t>Calendar orientativ pentru finalizare</w:t>
            </w:r>
          </w:p>
        </w:tc>
        <w:tc>
          <w:tcPr>
            <w:tcW w:w="3622"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5C54E6D" w14:textId="77777777" w:rsidR="00F53E3A" w:rsidRDefault="0036255F">
            <w:pPr>
              <w:pStyle w:val="P68B1DB1-Normal9"/>
              <w:spacing w:after="0"/>
              <w:jc w:val="center"/>
              <w:rPr>
                <w:rFonts w:cs="Times New Roman"/>
                <w:noProof/>
              </w:rPr>
            </w:pPr>
            <w:r>
              <w:rPr>
                <w:noProof/>
              </w:rPr>
              <w:t>Descrierea și definiția clară a fiecărui obiectiv de etapă și a fiecărei ținte</w:t>
            </w:r>
          </w:p>
        </w:tc>
      </w:tr>
      <w:tr w:rsidR="00F53E3A" w14:paraId="09496C1B" w14:textId="77777777" w:rsidTr="00E04E3B">
        <w:trPr>
          <w:tblHeader/>
        </w:trPr>
        <w:tc>
          <w:tcPr>
            <w:tcW w:w="534" w:type="dxa"/>
            <w:vMerge/>
            <w:tcBorders>
              <w:top w:val="single" w:sz="4" w:space="0" w:color="auto"/>
              <w:left w:val="single" w:sz="4" w:space="0" w:color="auto"/>
              <w:bottom w:val="single" w:sz="4" w:space="0" w:color="auto"/>
              <w:right w:val="single" w:sz="4" w:space="0" w:color="auto"/>
            </w:tcBorders>
            <w:vAlign w:val="center"/>
          </w:tcPr>
          <w:p w14:paraId="2A917522" w14:textId="77777777" w:rsidR="00F53E3A" w:rsidRDefault="00F53E3A">
            <w:pPr>
              <w:spacing w:after="0"/>
              <w:jc w:val="center"/>
              <w:rPr>
                <w:rFonts w:ascii="Times New Roman" w:hAnsi="Times New Roman" w:cs="Times New Roman"/>
                <w:b/>
                <w:noProof/>
                <w:sz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29476734" w14:textId="77777777" w:rsidR="00F53E3A" w:rsidRDefault="00F53E3A">
            <w:pPr>
              <w:spacing w:after="0"/>
              <w:rPr>
                <w:rFonts w:ascii="Times New Roman" w:hAnsi="Times New Roman" w:cs="Times New Roman"/>
                <w:b/>
                <w:noProof/>
                <w:sz w:val="20"/>
              </w:rPr>
            </w:pPr>
          </w:p>
        </w:tc>
        <w:tc>
          <w:tcPr>
            <w:tcW w:w="992" w:type="dxa"/>
            <w:vMerge/>
            <w:tcBorders>
              <w:top w:val="single" w:sz="4" w:space="0" w:color="auto"/>
              <w:left w:val="single" w:sz="4" w:space="0" w:color="auto"/>
              <w:bottom w:val="single" w:sz="4" w:space="0" w:color="auto"/>
              <w:right w:val="single" w:sz="4" w:space="0" w:color="auto"/>
            </w:tcBorders>
            <w:vAlign w:val="center"/>
          </w:tcPr>
          <w:p w14:paraId="334F052A" w14:textId="77777777" w:rsidR="00F53E3A" w:rsidRDefault="00F53E3A">
            <w:pPr>
              <w:spacing w:after="0"/>
              <w:jc w:val="center"/>
              <w:rPr>
                <w:rFonts w:ascii="Times New Roman" w:hAnsi="Times New Roman" w:cs="Times New Roman"/>
                <w:b/>
                <w:noProof/>
                <w:sz w:val="20"/>
              </w:rPr>
            </w:pPr>
          </w:p>
        </w:tc>
        <w:tc>
          <w:tcPr>
            <w:tcW w:w="1417" w:type="dxa"/>
            <w:vMerge/>
            <w:tcBorders>
              <w:top w:val="single" w:sz="4" w:space="0" w:color="auto"/>
              <w:left w:val="single" w:sz="4" w:space="0" w:color="auto"/>
              <w:bottom w:val="single" w:sz="4" w:space="0" w:color="auto"/>
              <w:right w:val="single" w:sz="4" w:space="0" w:color="auto"/>
            </w:tcBorders>
            <w:vAlign w:val="center"/>
          </w:tcPr>
          <w:p w14:paraId="7985FCD6" w14:textId="77777777" w:rsidR="00F53E3A" w:rsidRDefault="00F53E3A">
            <w:pPr>
              <w:spacing w:after="0"/>
              <w:rPr>
                <w:rFonts w:ascii="Times New Roman" w:hAnsi="Times New Roman" w:cs="Times New Roman"/>
                <w:b/>
                <w:noProof/>
                <w:sz w:val="20"/>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2441A31E" w14:textId="77777777" w:rsidR="00F53E3A" w:rsidRDefault="00F53E3A">
            <w:pPr>
              <w:spacing w:after="0"/>
              <w:rPr>
                <w:rFonts w:ascii="Times New Roman" w:hAnsi="Times New Roman" w:cs="Times New Roman"/>
                <w:b/>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51B75AB" w14:textId="77777777" w:rsidR="00F53E3A" w:rsidRDefault="0036255F">
            <w:pPr>
              <w:pStyle w:val="P68B1DB1-Normal9"/>
              <w:spacing w:after="0"/>
              <w:jc w:val="center"/>
              <w:rPr>
                <w:rFonts w:cs="Times New Roman"/>
                <w:noProof/>
              </w:rPr>
            </w:pPr>
            <w:r>
              <w:rPr>
                <w:noProof/>
              </w:rPr>
              <w:t>Unitate</w:t>
            </w:r>
          </w:p>
        </w:tc>
        <w:tc>
          <w:tcPr>
            <w:tcW w:w="1134"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97DC457" w14:textId="77777777" w:rsidR="00F53E3A" w:rsidRDefault="0036255F">
            <w:pPr>
              <w:pStyle w:val="P68B1DB1-Normal9"/>
              <w:spacing w:after="0"/>
              <w:jc w:val="center"/>
              <w:rPr>
                <w:rFonts w:cs="Times New Roman"/>
                <w:noProof/>
              </w:rPr>
            </w:pPr>
            <w:r>
              <w:rPr>
                <w:noProof/>
              </w:rPr>
              <w:t>Situația de referință</w:t>
            </w:r>
          </w:p>
        </w:tc>
        <w:tc>
          <w:tcPr>
            <w:tcW w:w="993"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8E1FF51" w14:textId="77777777" w:rsidR="00F53E3A" w:rsidRDefault="0036255F">
            <w:pPr>
              <w:pStyle w:val="P68B1DB1-Normal9"/>
              <w:spacing w:after="0"/>
              <w:jc w:val="center"/>
              <w:rPr>
                <w:rFonts w:cs="Times New Roman"/>
                <w:noProof/>
              </w:rPr>
            </w:pPr>
            <w:r>
              <w:rPr>
                <w:noProof/>
              </w:rPr>
              <w:t>Obiectiv</w:t>
            </w:r>
          </w:p>
        </w:tc>
        <w:tc>
          <w:tcPr>
            <w:tcW w:w="1131"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10CABBA" w14:textId="77777777" w:rsidR="00F53E3A" w:rsidRDefault="0036255F">
            <w:pPr>
              <w:pStyle w:val="P68B1DB1-Normal9"/>
              <w:spacing w:after="0"/>
              <w:jc w:val="center"/>
              <w:rPr>
                <w:rFonts w:cs="Times New Roman"/>
                <w:noProof/>
              </w:rPr>
            </w:pPr>
            <w:r>
              <w:rPr>
                <w:noProof/>
              </w:rPr>
              <w:t>Trimestru</w:t>
            </w:r>
          </w:p>
        </w:tc>
        <w:tc>
          <w:tcPr>
            <w:tcW w:w="995"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E24EE96" w14:textId="77777777" w:rsidR="00F53E3A" w:rsidRDefault="0036255F">
            <w:pPr>
              <w:pStyle w:val="P68B1DB1-Normal9"/>
              <w:spacing w:after="0"/>
              <w:jc w:val="center"/>
              <w:rPr>
                <w:rFonts w:cs="Times New Roman"/>
                <w:noProof/>
              </w:rPr>
            </w:pPr>
            <w:r>
              <w:rPr>
                <w:noProof/>
              </w:rPr>
              <w:t>Anul</w:t>
            </w:r>
          </w:p>
        </w:tc>
        <w:tc>
          <w:tcPr>
            <w:tcW w:w="3622" w:type="dxa"/>
            <w:vMerge/>
            <w:tcBorders>
              <w:top w:val="single" w:sz="4" w:space="0" w:color="auto"/>
              <w:left w:val="single" w:sz="4" w:space="0" w:color="auto"/>
              <w:bottom w:val="single" w:sz="4" w:space="0" w:color="auto"/>
              <w:right w:val="single" w:sz="4" w:space="0" w:color="auto"/>
            </w:tcBorders>
            <w:vAlign w:val="center"/>
          </w:tcPr>
          <w:p w14:paraId="19E1DF8A" w14:textId="77777777" w:rsidR="00F53E3A" w:rsidRDefault="00F53E3A">
            <w:pPr>
              <w:spacing w:after="0"/>
              <w:rPr>
                <w:rFonts w:ascii="Times New Roman" w:hAnsi="Times New Roman" w:cs="Times New Roman"/>
                <w:b/>
                <w:noProof/>
                <w:sz w:val="20"/>
              </w:rPr>
            </w:pPr>
          </w:p>
        </w:tc>
      </w:tr>
      <w:tr w:rsidR="00F53E3A" w14:paraId="105D4C35" w14:textId="77777777" w:rsidTr="00E04E3B">
        <w:tc>
          <w:tcPr>
            <w:tcW w:w="5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0C4F969" w14:textId="02EECB05" w:rsidR="00F53E3A" w:rsidRDefault="0036255F">
            <w:pPr>
              <w:pStyle w:val="P68B1DB1-Normal12"/>
              <w:spacing w:after="0"/>
              <w:jc w:val="center"/>
              <w:rPr>
                <w:rFonts w:cs="Times New Roman"/>
                <w:noProof/>
              </w:rPr>
            </w:pPr>
            <w:r>
              <w:rPr>
                <w:noProof/>
              </w:rPr>
              <w:t>192</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9954C11" w14:textId="4A6C18A7" w:rsidR="00F53E3A" w:rsidRDefault="0036255F">
            <w:pPr>
              <w:pStyle w:val="P68B1DB1-P68B1DB1-prastasis1234"/>
              <w:spacing w:line="276" w:lineRule="auto"/>
              <w:rPr>
                <w:noProof/>
              </w:rPr>
            </w:pPr>
            <w:r>
              <w:rPr>
                <w:noProof/>
              </w:rPr>
              <w:t xml:space="preserve">G.3.1. Îmbunătățirea calității serviciilor sociale și de ocupare a forței de muncă — </w:t>
            </w:r>
          </w:p>
          <w:p w14:paraId="619966EC" w14:textId="2149DC4D" w:rsidR="00F53E3A" w:rsidRDefault="0036255F">
            <w:pPr>
              <w:pStyle w:val="P68B1DB1-P68B1DB1-prastasis1234"/>
              <w:spacing w:line="276" w:lineRule="auto"/>
              <w:rPr>
                <w:rFonts w:cs="Times New Roman"/>
                <w:noProof/>
              </w:rPr>
            </w:pPr>
            <w:r>
              <w:rPr>
                <w:noProof/>
              </w:rPr>
              <w:t xml:space="preserve">G.3.1.1. Creșterea gradului de integrare a serviciilor de ocupare a forței de muncă, a serviciilor sociale și a altor servicii </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50E56F5" w14:textId="6011227B" w:rsidR="00F53E3A" w:rsidRDefault="0036255F">
            <w:pPr>
              <w:pStyle w:val="P68B1DB1-Normal12"/>
              <w:spacing w:after="0"/>
              <w:jc w:val="center"/>
              <w:rPr>
                <w:rFonts w:cs="Times New Roman"/>
                <w:noProof/>
              </w:rPr>
            </w:pPr>
            <w:r>
              <w:rPr>
                <w:noProof/>
              </w:rPr>
              <w:t>Etapă</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22ACC13" w14:textId="69883B53" w:rsidR="00F53E3A" w:rsidRDefault="0036255F">
            <w:pPr>
              <w:pStyle w:val="P68B1DB1-Normal12"/>
              <w:spacing w:after="0"/>
              <w:rPr>
                <w:rFonts w:eastAsiaTheme="minorEastAsia" w:cs="Times New Roman"/>
                <w:noProof/>
              </w:rPr>
            </w:pPr>
            <w:r>
              <w:rPr>
                <w:noProof/>
              </w:rPr>
              <w:t>Modificări ale legislației privind serviciile personalizate furnizate de serviciul de ocupare a forței de muncă și de municipalități pentru șomeri și persoanele înregistrate ca persoane care se pregătesc pentru piața forței de muncă și care se confruntă cu provocări în ceea ce privește ocuparea unui loc de muncă</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EE3AAED" w14:textId="097F4A41" w:rsidR="00F53E3A" w:rsidRDefault="0036255F">
            <w:pPr>
              <w:pStyle w:val="P68B1DB1-Normal12"/>
              <w:spacing w:after="0"/>
              <w:rPr>
                <w:rFonts w:eastAsia="Times New Roman" w:cs="Times New Roman"/>
                <w:noProof/>
              </w:rPr>
            </w:pPr>
            <w:r>
              <w:rPr>
                <w:noProof/>
              </w:rPr>
              <w:t>Dispoziții care indică intrarea în vigoare a modificărilor legislative</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F211E83" w14:textId="77777777" w:rsidR="00F53E3A" w:rsidRDefault="00F53E3A">
            <w:pPr>
              <w:spacing w:after="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49C6E52" w14:textId="77777777" w:rsidR="00F53E3A" w:rsidRDefault="00F53E3A">
            <w:pPr>
              <w:spacing w:after="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040F463" w14:textId="77777777" w:rsidR="00F53E3A" w:rsidRDefault="00F53E3A">
            <w:pPr>
              <w:spacing w:after="0"/>
              <w:jc w:val="center"/>
              <w:rPr>
                <w:rFonts w:ascii="Times New Roman" w:hAnsi="Times New Roman" w:cs="Times New Roman"/>
                <w:noProof/>
                <w:sz w:val="20"/>
              </w:rPr>
            </w:pPr>
          </w:p>
        </w:tc>
        <w:tc>
          <w:tcPr>
            <w:tcW w:w="113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6EC676F" w14:textId="7A3364AF" w:rsidR="00F53E3A" w:rsidRDefault="00DB2EC5">
            <w:pPr>
              <w:pStyle w:val="P68B1DB1-Normal12"/>
              <w:spacing w:after="0"/>
              <w:jc w:val="center"/>
              <w:rPr>
                <w:rFonts w:cs="Times New Roman"/>
                <w:noProof/>
              </w:rPr>
            </w:pPr>
            <w:r>
              <w:rPr>
                <w:noProof/>
              </w:rPr>
              <w:t>T3</w:t>
            </w:r>
          </w:p>
        </w:tc>
        <w:tc>
          <w:tcPr>
            <w:tcW w:w="99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648F5A1" w14:textId="2B802CA8" w:rsidR="00F53E3A" w:rsidRDefault="0036255F">
            <w:pPr>
              <w:pStyle w:val="P68B1DB1-Normal12"/>
              <w:spacing w:after="0"/>
              <w:jc w:val="center"/>
              <w:rPr>
                <w:rFonts w:cs="Times New Roman"/>
                <w:noProof/>
              </w:rPr>
            </w:pPr>
            <w:r>
              <w:rPr>
                <w:noProof/>
              </w:rPr>
              <w:t>2022</w:t>
            </w:r>
          </w:p>
        </w:tc>
        <w:tc>
          <w:tcPr>
            <w:tcW w:w="362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59068E" w14:textId="34DECA8D" w:rsidR="00F53E3A" w:rsidRDefault="0036255F">
            <w:pPr>
              <w:pStyle w:val="P68B1DB1-Normal12"/>
              <w:spacing w:after="0"/>
              <w:jc w:val="both"/>
              <w:rPr>
                <w:rFonts w:eastAsia="Times New Roman" w:cs="Times New Roman"/>
                <w:noProof/>
              </w:rPr>
            </w:pPr>
            <w:r>
              <w:rPr>
                <w:noProof/>
              </w:rPr>
              <w:t>Intră în vigoare legislația modificată care prevede că serviciul de ocupare a forței de muncă furnizează servicii și consultări personalizate, aplicând o abordare de gestionare a cazurilor șomerilor și persoanelor înregistrate ca persoane care se pregătesc pentru piața forței de muncă și care se confruntă cu provocări în ceea ce privește ocuparea unui loc de muncă. Legislația prevede că municipalitățile, în cooperare cu serviciul de ocupare a forței de muncă, pun în aplicare programe de promovare a ocupării forței de muncă, aplicând o abordare de gestionare a cazurilor pentru grupul-țintă menționat anterior.</w:t>
            </w:r>
          </w:p>
        </w:tc>
      </w:tr>
      <w:tr w:rsidR="00F53E3A" w14:paraId="32F5AD4A" w14:textId="77777777" w:rsidTr="00E04E3B">
        <w:tc>
          <w:tcPr>
            <w:tcW w:w="5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A8CF7FF" w14:textId="025CB9E2" w:rsidR="00F53E3A" w:rsidRDefault="0036255F">
            <w:pPr>
              <w:pStyle w:val="P68B1DB1-Normal12"/>
              <w:spacing w:after="0"/>
              <w:jc w:val="center"/>
              <w:rPr>
                <w:rFonts w:cs="Times New Roman"/>
                <w:noProof/>
              </w:rPr>
            </w:pPr>
            <w:r>
              <w:rPr>
                <w:noProof/>
              </w:rPr>
              <w:t>193</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CED1710" w14:textId="77777777" w:rsidR="00F53E3A" w:rsidRDefault="0036255F">
            <w:pPr>
              <w:pStyle w:val="P68B1DB1-Normal12"/>
              <w:spacing w:after="0"/>
              <w:rPr>
                <w:noProof/>
              </w:rPr>
            </w:pPr>
            <w:r>
              <w:rPr>
                <w:noProof/>
              </w:rPr>
              <w:t xml:space="preserve">G.3.1. Îmbunătățirea calității serviciilor sociale și de ocupare a forței de muncă — </w:t>
            </w:r>
          </w:p>
          <w:p w14:paraId="3D12CF99" w14:textId="2FFAA087" w:rsidR="00F53E3A" w:rsidRDefault="0036255F">
            <w:pPr>
              <w:pStyle w:val="P68B1DB1-Normal12"/>
              <w:spacing w:after="0"/>
              <w:rPr>
                <w:rFonts w:cs="Times New Roman"/>
                <w:noProof/>
              </w:rPr>
            </w:pPr>
            <w:r>
              <w:rPr>
                <w:noProof/>
              </w:rPr>
              <w:t xml:space="preserve">G.3.1.1. Creșterea gradului de integrare a serviciilor de ocupare a forței de muncă, a serviciilor sociale și a altor servicii </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5B2F1E2" w14:textId="6446A9AB" w:rsidR="00F53E3A" w:rsidRDefault="0036255F">
            <w:pPr>
              <w:pStyle w:val="P68B1DB1-Normal12"/>
              <w:spacing w:after="0"/>
              <w:jc w:val="center"/>
              <w:rPr>
                <w:rFonts w:eastAsiaTheme="minorEastAsia" w:cs="Times New Roman"/>
                <w:noProof/>
              </w:rPr>
            </w:pPr>
            <w:r>
              <w:rPr>
                <w:noProof/>
              </w:rPr>
              <w:t>Țintă</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CF621A7" w14:textId="4F828ED1" w:rsidR="00F53E3A" w:rsidRDefault="0036255F">
            <w:pPr>
              <w:pStyle w:val="P68B1DB1-Normal12"/>
              <w:spacing w:after="0"/>
              <w:rPr>
                <w:rFonts w:cs="Times New Roman"/>
                <w:noProof/>
              </w:rPr>
            </w:pPr>
            <w:r>
              <w:rPr>
                <w:noProof/>
              </w:rPr>
              <w:t>Aprobarea programelor de stimulare a ocupării forței de muncă de către municipalități</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975C022" w14:textId="77777777" w:rsidR="00F53E3A" w:rsidRDefault="00F53E3A">
            <w:pPr>
              <w:spacing w:after="0"/>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558C899" w14:textId="5EADCDAD" w:rsidR="00F53E3A" w:rsidRDefault="0036255F">
            <w:pPr>
              <w:pStyle w:val="P68B1DB1-Normal25"/>
              <w:spacing w:after="0"/>
              <w:jc w:val="center"/>
              <w:rPr>
                <w:rFonts w:cs="Times New Roman"/>
                <w:noProof/>
                <w:sz w:val="20"/>
              </w:rPr>
            </w:pPr>
            <w:r>
              <w:rPr>
                <w:noProof/>
              </w:rPr>
              <w:t>Număr</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A144CCF" w14:textId="1AB19A02" w:rsidR="00F53E3A" w:rsidRDefault="0036255F">
            <w:pPr>
              <w:pStyle w:val="P68B1DB1-Normal12"/>
              <w:spacing w:after="0"/>
              <w:jc w:val="center"/>
              <w:rPr>
                <w:rFonts w:cs="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7D34FA8" w14:textId="4CB85950" w:rsidR="00F53E3A" w:rsidRDefault="0036255F">
            <w:pPr>
              <w:pStyle w:val="P68B1DB1-Normal12"/>
              <w:spacing w:after="0"/>
              <w:jc w:val="center"/>
              <w:rPr>
                <w:rFonts w:cs="Times New Roman"/>
                <w:noProof/>
              </w:rPr>
            </w:pPr>
            <w:r>
              <w:rPr>
                <w:noProof/>
              </w:rPr>
              <w:t>48</w:t>
            </w:r>
          </w:p>
        </w:tc>
        <w:tc>
          <w:tcPr>
            <w:tcW w:w="113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0A3AB30" w14:textId="7C0D6972" w:rsidR="00F53E3A" w:rsidRDefault="00DB2EC5">
            <w:pPr>
              <w:pStyle w:val="P68B1DB1-Normal12"/>
              <w:spacing w:after="0"/>
              <w:jc w:val="center"/>
              <w:rPr>
                <w:rFonts w:eastAsiaTheme="minorEastAsia" w:cs="Times New Roman"/>
                <w:noProof/>
              </w:rPr>
            </w:pPr>
            <w:r>
              <w:rPr>
                <w:noProof/>
              </w:rPr>
              <w:t>T4</w:t>
            </w:r>
          </w:p>
        </w:tc>
        <w:tc>
          <w:tcPr>
            <w:tcW w:w="99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1EB0B07" w14:textId="687074F5" w:rsidR="00F53E3A" w:rsidRDefault="0036255F">
            <w:pPr>
              <w:pStyle w:val="P68B1DB1-Normal12"/>
              <w:spacing w:after="0"/>
              <w:jc w:val="center"/>
              <w:rPr>
                <w:rFonts w:eastAsiaTheme="minorEastAsia" w:cs="Times New Roman"/>
                <w:noProof/>
              </w:rPr>
            </w:pPr>
            <w:r>
              <w:rPr>
                <w:noProof/>
              </w:rPr>
              <w:t>2025</w:t>
            </w:r>
          </w:p>
        </w:tc>
        <w:tc>
          <w:tcPr>
            <w:tcW w:w="362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130D64" w14:textId="6D8B1F62" w:rsidR="00F53E3A" w:rsidRDefault="0036255F">
            <w:pPr>
              <w:pStyle w:val="P68B1DB1-Normal12"/>
              <w:spacing w:after="0"/>
              <w:jc w:val="both"/>
              <w:rPr>
                <w:rFonts w:eastAsia="Times New Roman" w:cs="Times New Roman"/>
                <w:noProof/>
              </w:rPr>
            </w:pPr>
            <w:r>
              <w:rPr>
                <w:noProof/>
              </w:rPr>
              <w:t>Cel puțin 48 municipalități aprobă programe de stimulare a ocupării forței de muncă care includ aplicarea abordării de gestionare a cazurilor și/sau funcționarea unui responsabil de caz.</w:t>
            </w:r>
          </w:p>
        </w:tc>
      </w:tr>
      <w:tr w:rsidR="00F53E3A" w14:paraId="61C893C6" w14:textId="77777777" w:rsidTr="00E04E3B">
        <w:tc>
          <w:tcPr>
            <w:tcW w:w="5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6413FD4" w14:textId="574D6411" w:rsidR="00F53E3A" w:rsidRDefault="0036255F">
            <w:pPr>
              <w:pStyle w:val="P68B1DB1-Normal12"/>
              <w:spacing w:after="0"/>
              <w:jc w:val="center"/>
              <w:rPr>
                <w:rFonts w:cs="Times New Roman"/>
                <w:noProof/>
              </w:rPr>
            </w:pPr>
            <w:r>
              <w:rPr>
                <w:noProof/>
              </w:rPr>
              <w:t>194</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9434BD6" w14:textId="3D777437" w:rsidR="00F53E3A" w:rsidRDefault="0036255F">
            <w:pPr>
              <w:pStyle w:val="P68B1DB1-P68B1DB1-prastasis1234"/>
              <w:spacing w:line="276" w:lineRule="auto"/>
              <w:rPr>
                <w:noProof/>
              </w:rPr>
            </w:pPr>
            <w:r>
              <w:rPr>
                <w:noProof/>
              </w:rPr>
              <w:t xml:space="preserve">G.3.1. Îmbunătățirea calității serviciilor sociale și de ocupare a forței de muncă — </w:t>
            </w:r>
          </w:p>
          <w:p w14:paraId="13127803" w14:textId="6E9A873E" w:rsidR="00F53E3A" w:rsidRDefault="0036255F">
            <w:pPr>
              <w:pStyle w:val="P68B1DB1-P68B1DB1-prastasis1234"/>
              <w:spacing w:line="276" w:lineRule="auto"/>
              <w:rPr>
                <w:rFonts w:cs="Times New Roman"/>
                <w:noProof/>
              </w:rPr>
            </w:pPr>
            <w:r>
              <w:rPr>
                <w:noProof/>
              </w:rPr>
              <w:t>G.3.1.2. Consolidarea competențelor asistenților sociali</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692D4E5" w14:textId="14FFFBB7" w:rsidR="00F53E3A" w:rsidRDefault="0036255F">
            <w:pPr>
              <w:pStyle w:val="P68B1DB1-Normal12"/>
              <w:spacing w:after="0"/>
              <w:jc w:val="center"/>
              <w:rPr>
                <w:rFonts w:cs="Times New Roman"/>
                <w:noProof/>
              </w:rPr>
            </w:pPr>
            <w:r>
              <w:rPr>
                <w:noProof/>
              </w:rPr>
              <w:t>Etapă</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9FE2BD0" w14:textId="221579E0" w:rsidR="00F53E3A" w:rsidRDefault="0036255F">
            <w:pPr>
              <w:pStyle w:val="P68B1DB1-Normal12"/>
              <w:spacing w:after="0"/>
              <w:rPr>
                <w:rFonts w:eastAsia="Times New Roman" w:cs="Times New Roman"/>
                <w:noProof/>
              </w:rPr>
            </w:pPr>
            <w:r>
              <w:rPr>
                <w:noProof/>
              </w:rPr>
              <w:t xml:space="preserve">Înființarea unui centru pentru îmbunătățirea competențelor profesionale ale angajaților în domeniul serviciilor sociale </w:t>
            </w:r>
          </w:p>
        </w:tc>
        <w:tc>
          <w:tcPr>
            <w:tcW w:w="127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6E37D23" w14:textId="4FC55275" w:rsidR="00F53E3A" w:rsidRDefault="0036255F">
            <w:pPr>
              <w:pStyle w:val="P68B1DB1-Normal12"/>
              <w:spacing w:after="0"/>
              <w:rPr>
                <w:rFonts w:eastAsia="Times New Roman" w:cs="Times New Roman"/>
                <w:noProof/>
              </w:rPr>
            </w:pPr>
            <w:r>
              <w:rPr>
                <w:noProof/>
              </w:rPr>
              <w:t>Înființarea unui centru pentru îmbunătățirea competențelor profesionale ale angajaților în domeniul serviciilor sociale</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04498DC" w14:textId="347418A1" w:rsidR="00F53E3A" w:rsidRDefault="00F53E3A">
            <w:pPr>
              <w:spacing w:after="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2A8EE30" w14:textId="64E19807" w:rsidR="00F53E3A" w:rsidRDefault="00F53E3A">
            <w:pPr>
              <w:spacing w:after="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5C67F1B" w14:textId="3D921F95" w:rsidR="00F53E3A" w:rsidRDefault="00F53E3A">
            <w:pPr>
              <w:spacing w:after="0"/>
              <w:jc w:val="center"/>
              <w:rPr>
                <w:rFonts w:ascii="Times New Roman" w:hAnsi="Times New Roman" w:cs="Times New Roman"/>
                <w:noProof/>
                <w:sz w:val="20"/>
              </w:rPr>
            </w:pPr>
          </w:p>
        </w:tc>
        <w:tc>
          <w:tcPr>
            <w:tcW w:w="113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B06F636" w14:textId="11AF6064" w:rsidR="00F53E3A" w:rsidRDefault="00DB2EC5">
            <w:pPr>
              <w:pStyle w:val="P68B1DB1-Normal12"/>
              <w:spacing w:after="0"/>
              <w:jc w:val="center"/>
              <w:rPr>
                <w:rFonts w:cs="Times New Roman"/>
                <w:noProof/>
              </w:rPr>
            </w:pPr>
            <w:r>
              <w:rPr>
                <w:noProof/>
              </w:rPr>
              <w:t>T4</w:t>
            </w:r>
          </w:p>
        </w:tc>
        <w:tc>
          <w:tcPr>
            <w:tcW w:w="99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52079CA" w14:textId="388B6B99" w:rsidR="00F53E3A" w:rsidRDefault="0036255F">
            <w:pPr>
              <w:pStyle w:val="P68B1DB1-Normal12"/>
              <w:spacing w:after="0"/>
              <w:jc w:val="center"/>
              <w:rPr>
                <w:rFonts w:cs="Times New Roman"/>
                <w:noProof/>
              </w:rPr>
            </w:pPr>
            <w:r>
              <w:rPr>
                <w:noProof/>
              </w:rPr>
              <w:t>2022</w:t>
            </w:r>
          </w:p>
        </w:tc>
        <w:tc>
          <w:tcPr>
            <w:tcW w:w="362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ABA3A32" w14:textId="568EE166" w:rsidR="00F53E3A" w:rsidRDefault="0036255F">
            <w:pPr>
              <w:pStyle w:val="P68B1DB1-Normal12"/>
              <w:spacing w:after="0"/>
              <w:jc w:val="both"/>
              <w:rPr>
                <w:rFonts w:eastAsia="Times New Roman" w:cs="Times New Roman"/>
                <w:noProof/>
              </w:rPr>
            </w:pPr>
            <w:r>
              <w:rPr>
                <w:noProof/>
              </w:rPr>
              <w:t xml:space="preserve">Centrul pentru îmbunătățirea competențelor profesionale ale angajaților din domeniul serviciilor sociale este selectat prin procedura de cereri publice de proiecte. Centrul organizează și desfășoară cursuri de formare periodice și gratuite, oferă asistență metodologică și asigură sprijin noilor angajați din serviciile sociale în activitățile lor profesionale. </w:t>
            </w:r>
          </w:p>
        </w:tc>
      </w:tr>
    </w:tbl>
    <w:p w14:paraId="68F697DF" w14:textId="77777777" w:rsidR="00F53E3A" w:rsidRDefault="00F53E3A">
      <w:pPr>
        <w:spacing w:before="120" w:after="120" w:line="240" w:lineRule="auto"/>
        <w:jc w:val="both"/>
        <w:rPr>
          <w:rFonts w:ascii="Times New Roman" w:eastAsia="Times New Roman" w:hAnsi="Times New Roman" w:cs="Times New Roman"/>
          <w:noProof/>
          <w:color w:val="000000" w:themeColor="text1"/>
          <w:sz w:val="24"/>
          <w:u w:val="single"/>
        </w:rPr>
      </w:pPr>
    </w:p>
    <w:p w14:paraId="5DD66420" w14:textId="77777777" w:rsidR="00F53E3A" w:rsidRDefault="00F53E3A">
      <w:pPr>
        <w:spacing w:before="120" w:after="120" w:line="240" w:lineRule="auto"/>
        <w:jc w:val="both"/>
        <w:rPr>
          <w:rFonts w:ascii="Times New Roman" w:eastAsia="Times New Roman" w:hAnsi="Times New Roman" w:cs="Times New Roman"/>
          <w:b/>
          <w:noProof/>
          <w:color w:val="000000" w:themeColor="text1"/>
          <w:sz w:val="24"/>
          <w:u w:val="single"/>
        </w:rPr>
        <w:sectPr w:rsidR="00F53E3A" w:rsidSect="0074650A">
          <w:headerReference w:type="even" r:id="rId144"/>
          <w:headerReference w:type="default" r:id="rId145"/>
          <w:footerReference w:type="even" r:id="rId146"/>
          <w:footerReference w:type="default" r:id="rId147"/>
          <w:headerReference w:type="first" r:id="rId148"/>
          <w:footerReference w:type="first" r:id="rId149"/>
          <w:pgSz w:w="16839" w:h="11907" w:orient="landscape"/>
          <w:pgMar w:top="1134" w:right="1134" w:bottom="1134" w:left="1134" w:header="567" w:footer="567" w:gutter="0"/>
          <w:cols w:space="720"/>
          <w:docGrid w:linePitch="360"/>
        </w:sectPr>
      </w:pPr>
    </w:p>
    <w:p w14:paraId="05545032" w14:textId="6214931B" w:rsidR="00F53E3A" w:rsidRDefault="0036255F">
      <w:pPr>
        <w:pStyle w:val="ManualHeading1"/>
        <w:tabs>
          <w:tab w:val="clear" w:pos="850"/>
        </w:tabs>
        <w:spacing w:before="0" w:after="200"/>
        <w:ind w:left="0" w:firstLine="0"/>
        <w:rPr>
          <w:noProof/>
        </w:rPr>
      </w:pPr>
      <w:r>
        <w:rPr>
          <w:noProof/>
        </w:rPr>
        <w:t>H. COMPONENTA 8: REPowerEU</w:t>
      </w:r>
    </w:p>
    <w:p w14:paraId="2CCDF26C" w14:textId="2EDFFBB7" w:rsidR="00F53E3A" w:rsidRDefault="0036255F">
      <w:pPr>
        <w:pStyle w:val="Text1"/>
        <w:spacing w:before="0" w:after="200" w:line="276" w:lineRule="auto"/>
        <w:ind w:left="0"/>
        <w:rPr>
          <w:noProof/>
        </w:rPr>
      </w:pPr>
      <w:r>
        <w:rPr>
          <w:noProof/>
        </w:rPr>
        <w:t>Această componentă a Planului lituanian de redresare și reziliență contribuie la abordarea provocărilor legate de tranziția verde și, în special, de necesitatea de a reduce emisiile de GES, inclusiv din sectorul transporturilor, de a spori eficiența energetică a clădirilor și a transporturilor și de a promova dezvoltarea unei capacități suplimentare de producere a energiei electrice din surse regenerabile.</w:t>
      </w:r>
    </w:p>
    <w:p w14:paraId="2B96590F" w14:textId="688E4E08" w:rsidR="00F53E3A" w:rsidRDefault="0036255F">
      <w:pPr>
        <w:pStyle w:val="Text1"/>
        <w:spacing w:before="0" w:after="200" w:line="276" w:lineRule="auto"/>
        <w:ind w:left="0"/>
        <w:rPr>
          <w:noProof/>
        </w:rPr>
      </w:pPr>
      <w:r>
        <w:rPr>
          <w:noProof/>
        </w:rPr>
        <w:t>Componenta prevede sprijin tehnic și financiar pentru a accelera renovarea clădirilor cu mai multe apartamente în vederea îmbunătățirii eficienței energetice a acestora. În ceea ce privește mobilitatea, măsura implică sprijin pentru achiziționarea și livrarea de componente esențiale pentru transportul cu emisii zero de mărfuri grele pe căile navigabile interioare lituaniene, reducând astfel transportul rutier de mărfuri pe autostrăzile auto lituaniene. În ceea ce privește producția de energie din surse regenerabile, sunt planificate modificări legislative care depășesc transpunerea RED II pentru a simplifica cerințele administrative pentru implementarea de noi capacități de energie din surse regenerabile, iar un studiu de modelare a sistemului energetic lituanian urmărește să identifice modalități de a atinge 100 % din consumul național total de energie electrică generată din SRE. În plus, sunt planificate soluții financiare pentru dezvoltarea capacității de producție din SRE. Aceste măsuri au o dimensiune multinațională prin creșterea producției locale de SRE și reducerea dependenței de combustibilii fosili.</w:t>
      </w:r>
    </w:p>
    <w:p w14:paraId="2C3464C2" w14:textId="77777777" w:rsidR="00F53E3A" w:rsidRDefault="0036255F">
      <w:pPr>
        <w:pStyle w:val="P68B1DB1-Normal4"/>
        <w:jc w:val="both"/>
        <w:rPr>
          <w:rFonts w:cs="Times New Roman"/>
          <w:noProof/>
        </w:rPr>
      </w:pPr>
      <w:r>
        <w:rPr>
          <w:noProof/>
        </w:rPr>
        <w:t>Măsurile incluse în componenta de sprijin care abordează recomandarea specifică fiecărei țări (recomandarea specifică țării din 2022, recomandarea specifică țării 4) de a reduce dependența generală de combustibilii fosili prin accelerarea utilizării surselor regenerabile de energie, creșterea eficienței energetice și decarbonizarea industriei, a transporturilor și a clădirilor și de a asigura o capacitate suficientă a interconexiunilor energetice. În plus, măsurile incluse în componenta de sprijin care abordează recomandarea specifică fiecărei țări (recomandarea specifică țării din 2023, recomandarea specifică țării 4) de a reduce și mai mult dependența de combustibilii fosili și de energia importată prin accelerarea utilizării surselor regenerabile de energie, în special prin asigurarea unei capacități suficiente a rețelei și a accesului la aceasta, prin asigurarea transformării și decarbonizării producției industriale, prin creșterea gradului de utilizare a transportului public și durabil și prin creșterea eficienței energetice a clădirilor, inclusiv pentru a reduce sărăcia energetică; asigurarea unei capacități suficiente a interconexiunilor de energie electrică pentru a spori securitatea aprovizionării, continuarea sincronizării în timp util cu rețeaua de energie electrică a UE și intensificarea eforturilor în materie de politici care vizează furnizarea și dobândirea competențelor necesare pentru tranziția verde.</w:t>
      </w:r>
    </w:p>
    <w:p w14:paraId="68C7EC5C" w14:textId="54729EDC" w:rsidR="00F53E3A" w:rsidRDefault="0036255F">
      <w:pPr>
        <w:pStyle w:val="P68B1DB1-Text15"/>
        <w:keepNext/>
        <w:keepLines/>
        <w:spacing w:before="0" w:after="200" w:line="276" w:lineRule="auto"/>
        <w:ind w:left="0"/>
        <w:outlineLvl w:val="1"/>
        <w:rPr>
          <w:noProof/>
        </w:rPr>
      </w:pPr>
      <w:bookmarkStart w:id="18" w:name="_Hlk145956405"/>
      <w:r>
        <w:rPr>
          <w:noProof/>
        </w:rPr>
        <w:t>H.1. Descrierea reformelor și a investițiilor pentru sprijinul financiar nerambursabil</w:t>
      </w:r>
    </w:p>
    <w:p w14:paraId="70E8FD59" w14:textId="670B7FA2" w:rsidR="00F53E3A" w:rsidRDefault="0036255F">
      <w:pPr>
        <w:pStyle w:val="P68B1DB1-Normal6"/>
        <w:keepNext/>
        <w:keepLines/>
        <w:jc w:val="both"/>
        <w:rPr>
          <w:rFonts w:eastAsia="Calibri" w:cs="Times New Roman"/>
          <w:noProof/>
        </w:rPr>
      </w:pPr>
      <w:bookmarkStart w:id="19" w:name="_Hlk145956442"/>
      <w:bookmarkEnd w:id="18"/>
      <w:r>
        <w:rPr>
          <w:noProof/>
        </w:rPr>
        <w:t xml:space="preserve">H.1.1. Investiția 1: „Accelerarea renovării clădirilor” </w:t>
      </w:r>
    </w:p>
    <w:bookmarkEnd w:id="19"/>
    <w:p w14:paraId="37B8C677" w14:textId="3DEC2470" w:rsidR="00F53E3A" w:rsidRDefault="0036255F">
      <w:pPr>
        <w:pStyle w:val="P68B1DB1-Normal4"/>
        <w:jc w:val="both"/>
        <w:rPr>
          <w:rFonts w:eastAsia="Times New Roman" w:cs="Times New Roman"/>
          <w:b/>
          <w:bCs/>
          <w:noProof/>
          <w:sz w:val="28"/>
          <w:szCs w:val="28"/>
          <w:u w:val="single"/>
        </w:rPr>
      </w:pPr>
      <w:r>
        <w:rPr>
          <w:noProof/>
        </w:rPr>
        <w:t>Obiectivul investiției este de a sprijini procesul de renovare a clădirilor. Investiția constă în două submăsuri (1) actualizarea pachetelor și standardelor de renovare (submăsura 1); (2) sprijin pentru renovarea clădirilor (submăsura 2).</w:t>
      </w:r>
    </w:p>
    <w:p w14:paraId="525F5E90" w14:textId="273EA12C" w:rsidR="00F53E3A" w:rsidRDefault="0036255F">
      <w:pPr>
        <w:pStyle w:val="P68B1DB1-Normal6"/>
        <w:keepNext/>
        <w:keepLines/>
        <w:jc w:val="both"/>
        <w:rPr>
          <w:rFonts w:eastAsia="Times New Roman" w:cs="Times New Roman"/>
          <w:noProof/>
          <w:szCs w:val="24"/>
        </w:rPr>
      </w:pPr>
      <w:r>
        <w:rPr>
          <w:noProof/>
        </w:rPr>
        <w:t>H.1.1.1. Submăsura 1: Actualizarea pachetelor și a standardelor de renovare</w:t>
      </w:r>
    </w:p>
    <w:p w14:paraId="1B55B64E" w14:textId="64FEF407" w:rsidR="00F53E3A" w:rsidRDefault="0036255F">
      <w:pPr>
        <w:pStyle w:val="P68B1DB1-Normal8"/>
        <w:jc w:val="both"/>
        <w:rPr>
          <w:rFonts w:ascii="Times New Roman" w:eastAsia="Calibri" w:hAnsi="Times New Roman" w:cs="Times New Roman"/>
          <w:noProof/>
          <w:szCs w:val="24"/>
        </w:rPr>
      </w:pPr>
      <w:r>
        <w:rPr>
          <w:rFonts w:ascii="Times New Roman" w:hAnsi="Times New Roman"/>
          <w:noProof/>
        </w:rPr>
        <w:t>Această submăsură reprezintă continuarea submăsurii B.1.3.1. (</w:t>
      </w:r>
      <w:r>
        <w:rPr>
          <w:rFonts w:ascii="Times New Roman" w:eastAsia="Times New Roman" w:hAnsi="Times New Roman" w:cs="Times New Roman"/>
          <w:noProof/>
          <w:color w:val="000000" w:themeColor="text1"/>
        </w:rPr>
        <w:t>Actualizarea pachetelor și standardelor de renovare a clădirilor și crearea unei metodologii pentru dezvoltarea orașelor durabile</w:t>
      </w:r>
      <w:r>
        <w:rPr>
          <w:rFonts w:ascii="Times New Roman" w:hAnsi="Times New Roman"/>
          <w:noProof/>
        </w:rPr>
        <w:t xml:space="preserve">). Această submăsură constă în lucrările pregătitoare pentru renovarea panourilor verzi a șase clădiri demonstrative. </w:t>
      </w:r>
    </w:p>
    <w:p w14:paraId="519D69FA" w14:textId="23E48F67" w:rsidR="00F53E3A" w:rsidRDefault="00F53E3A">
      <w:pPr>
        <w:jc w:val="both"/>
        <w:rPr>
          <w:rFonts w:ascii="Times New Roman" w:eastAsia="Times New Roman" w:hAnsi="Times New Roman" w:cs="Times New Roman"/>
          <w:noProof/>
          <w:sz w:val="24"/>
          <w:szCs w:val="24"/>
        </w:rPr>
      </w:pPr>
    </w:p>
    <w:p w14:paraId="06906C1E" w14:textId="7290BA0C" w:rsidR="00F53E3A" w:rsidRDefault="0036255F">
      <w:pPr>
        <w:pStyle w:val="P68B1DB1-Normal6"/>
        <w:keepNext/>
        <w:keepLines/>
        <w:jc w:val="both"/>
        <w:rPr>
          <w:rFonts w:eastAsia="Times New Roman" w:cs="Times New Roman"/>
          <w:noProof/>
          <w:szCs w:val="24"/>
        </w:rPr>
      </w:pPr>
      <w:r>
        <w:rPr>
          <w:noProof/>
        </w:rPr>
        <w:t>H.1.1.2. Submăsura 2: Sprijin pentru renovarea clădirilor (extins)</w:t>
      </w:r>
    </w:p>
    <w:p w14:paraId="5899A224" w14:textId="1BA0CD25" w:rsidR="00F53E3A" w:rsidRDefault="0036255F">
      <w:pPr>
        <w:pStyle w:val="P68B1DB1-Normal4"/>
        <w:jc w:val="both"/>
        <w:rPr>
          <w:rFonts w:eastAsia="Times New Roman" w:cs="Times New Roman"/>
          <w:noProof/>
          <w:szCs w:val="24"/>
        </w:rPr>
      </w:pPr>
      <w:r>
        <w:rPr>
          <w:noProof/>
        </w:rPr>
        <w:t xml:space="preserve">Această submăsură este o extindere a submăsurii B.1.3.4. (Sprijin pentru renovarea clădirilor). Obiectivul acestei submăsuri este de a reduce consumul de energie al clădirilor cu mai multe apartamente. Submăsura constă în renovarea clădirilor cu mai multe apartamente. MRR sprijină o parte din costurile acestei investiții. Această investiție poate beneficia, de asemenea, de sprijin din partea altor programe sau instrumente ale Uniunii pentru costuri care nu sunt sprijinite de MRR. </w:t>
      </w:r>
    </w:p>
    <w:p w14:paraId="2E80E162" w14:textId="0C6957FB" w:rsidR="00F53E3A" w:rsidRDefault="0036255F">
      <w:pPr>
        <w:pStyle w:val="P68B1DB1-Normal6"/>
        <w:keepNext/>
        <w:keepLines/>
        <w:jc w:val="both"/>
        <w:rPr>
          <w:rFonts w:eastAsia="Times New Roman" w:cs="Times New Roman"/>
          <w:noProof/>
          <w:szCs w:val="24"/>
        </w:rPr>
      </w:pPr>
      <w:bookmarkStart w:id="20" w:name="_Hlk145956570"/>
      <w:r>
        <w:rPr>
          <w:noProof/>
        </w:rPr>
        <w:t xml:space="preserve">H.1.2. Investiția 2 „Sprijin pentru achiziționarea de echipamente curate pentru navigația interioară” </w:t>
      </w:r>
    </w:p>
    <w:p w14:paraId="5950AAB7" w14:textId="6C968EC8" w:rsidR="00F53E3A" w:rsidRDefault="0036255F">
      <w:pPr>
        <w:pStyle w:val="P68B1DB1-Normal4"/>
        <w:jc w:val="both"/>
        <w:rPr>
          <w:rFonts w:eastAsia="Times New Roman" w:cs="Times New Roman"/>
          <w:noProof/>
          <w:szCs w:val="24"/>
        </w:rPr>
      </w:pPr>
      <w:r>
        <w:rPr>
          <w:noProof/>
        </w:rPr>
        <w:t>Obiectivul acestei măsuri este de a încuraja transportul mărfurilor și al altor tipuri de mărfuri pe apă ca alternativă mai curată la transportul rutier. Măsura constă în livrarea unei macarale electrice.</w:t>
      </w:r>
    </w:p>
    <w:p w14:paraId="6CDE29BB" w14:textId="67B9ADE2" w:rsidR="00F53E3A" w:rsidRDefault="0036255F">
      <w:pPr>
        <w:pStyle w:val="P68B1DB1-Normal6"/>
        <w:keepNext/>
        <w:keepLines/>
        <w:jc w:val="both"/>
        <w:rPr>
          <w:rFonts w:eastAsia="Times New Roman" w:cs="Times New Roman"/>
          <w:noProof/>
        </w:rPr>
      </w:pPr>
      <w:r>
        <w:rPr>
          <w:noProof/>
        </w:rPr>
        <w:t>H.1.3. Reforma 1 „Creșterea capacității de producție din surse regenerabile de energie”</w:t>
      </w:r>
    </w:p>
    <w:bookmarkEnd w:id="20"/>
    <w:p w14:paraId="4B05CEF4" w14:textId="4C0C8997" w:rsidR="00F53E3A" w:rsidRDefault="0036255F">
      <w:pPr>
        <w:pStyle w:val="P68B1DB1-Normal4"/>
        <w:jc w:val="both"/>
        <w:rPr>
          <w:rFonts w:eastAsia="Times New Roman" w:cs="Times New Roman"/>
          <w:noProof/>
          <w:szCs w:val="24"/>
        </w:rPr>
      </w:pPr>
      <w:r>
        <w:rPr>
          <w:noProof/>
        </w:rPr>
        <w:t>Obiectivul acestei reforme este de a stimula producția, transportul și consumul de energie electrică din surse regenerabile, simplificând mecanismele instituționale și juridice și oferind stimulente pentru investiții dezvoltatorilor de SRE.</w:t>
      </w:r>
    </w:p>
    <w:p w14:paraId="4F959C18" w14:textId="2D0C328C" w:rsidR="00F53E3A" w:rsidRDefault="0036255F">
      <w:pPr>
        <w:pStyle w:val="P68B1DB1-Normal4"/>
        <w:jc w:val="both"/>
        <w:rPr>
          <w:rFonts w:eastAsia="Times New Roman" w:cs="Times New Roman"/>
          <w:noProof/>
          <w:szCs w:val="24"/>
        </w:rPr>
      </w:pPr>
      <w:r>
        <w:rPr>
          <w:noProof/>
        </w:rPr>
        <w:t>Această reformă constă în două submăsuri: (1) îmbunătățirea mediului de investiții pentru dezvoltatorii de SRE (submăsura 1); (2) sprijin pentru construirea de centrale SRE (solare) (submăsura 2).</w:t>
      </w:r>
    </w:p>
    <w:p w14:paraId="53ACDC9F" w14:textId="06BEBE5C" w:rsidR="00F53E3A" w:rsidRDefault="0036255F">
      <w:pPr>
        <w:pStyle w:val="P68B1DB1-Normal6"/>
        <w:keepNext/>
        <w:keepLines/>
        <w:jc w:val="both"/>
        <w:rPr>
          <w:rFonts w:eastAsia="Times New Roman" w:cs="Times New Roman"/>
          <w:noProof/>
          <w:szCs w:val="24"/>
        </w:rPr>
      </w:pPr>
      <w:r>
        <w:rPr>
          <w:noProof/>
        </w:rPr>
        <w:t>H.1.3.1. Submăsura 1: Îmbunătățirea mediului de investiții pentru dezvoltatorii de E-SRE</w:t>
      </w:r>
    </w:p>
    <w:p w14:paraId="4D6ACBD6" w14:textId="75073899" w:rsidR="00F53E3A" w:rsidRDefault="0036255F">
      <w:pPr>
        <w:pStyle w:val="P68B1DB1-Normal4"/>
        <w:jc w:val="both"/>
        <w:rPr>
          <w:rFonts w:eastAsia="Times New Roman" w:cs="Times New Roman"/>
          <w:noProof/>
          <w:szCs w:val="24"/>
        </w:rPr>
      </w:pPr>
      <w:r>
        <w:rPr>
          <w:noProof/>
        </w:rPr>
        <w:t>Obiectivul acestei submăsuri este de a simplifica cerințele administrative pentru implementarea de noi capacități de energie din surse regenerabile. Această reformă constă într-un pachet de modificări legislative care conține elemente ce depășesc transpunerea Directivei privind energia din surse regenerabile (RED II). În special, pachetul de reformă:</w:t>
      </w:r>
    </w:p>
    <w:p w14:paraId="34A3DB3D" w14:textId="3D5E081C" w:rsidR="00F53E3A" w:rsidRDefault="0036255F">
      <w:pPr>
        <w:pStyle w:val="P68B1DB1-Normal4"/>
        <w:numPr>
          <w:ilvl w:val="0"/>
          <w:numId w:val="24"/>
        </w:numPr>
        <w:contextualSpacing/>
        <w:jc w:val="both"/>
        <w:rPr>
          <w:rFonts w:eastAsia="Times New Roman" w:cs="Times New Roman"/>
          <w:noProof/>
          <w:szCs w:val="24"/>
        </w:rPr>
      </w:pPr>
      <w:r>
        <w:rPr>
          <w:noProof/>
        </w:rPr>
        <w:t xml:space="preserve">Definirea și reglementarea centralelor electrice hibride: Reforma permite conectarea centralelor hibride SRE (cum ar fi cele solare și eoliene) sau a instalațiilor de stocare a energiei într-un punct al rețelei de energie electrică, fără a urma o procedură de autorizare bazată pur și simplu pe o adăugare a capacității instalate. Racordarea centralei electrice hibride la rețeaua de energie electrică se evaluează pe baza unei capacități de producție permise în locul capacității instalate. </w:t>
      </w:r>
    </w:p>
    <w:p w14:paraId="4394F90C" w14:textId="6BA2D2A6" w:rsidR="00F53E3A" w:rsidRDefault="0036255F">
      <w:pPr>
        <w:pStyle w:val="P68B1DB1-Normal4"/>
        <w:numPr>
          <w:ilvl w:val="0"/>
          <w:numId w:val="24"/>
        </w:numPr>
        <w:contextualSpacing/>
        <w:jc w:val="both"/>
        <w:rPr>
          <w:rFonts w:eastAsia="Times New Roman" w:cs="Times New Roman"/>
          <w:noProof/>
          <w:szCs w:val="24"/>
        </w:rPr>
      </w:pPr>
      <w:r>
        <w:rPr>
          <w:noProof/>
        </w:rPr>
        <w:t>Impunerea unei autorizații unice de dezvoltare și a unei autorizații unice de fabricație pentru centralele electrice hibride.</w:t>
      </w:r>
    </w:p>
    <w:p w14:paraId="1D85ADA5" w14:textId="31134795" w:rsidR="00F53E3A" w:rsidRDefault="0036255F">
      <w:pPr>
        <w:pStyle w:val="P68B1DB1-Normal4"/>
        <w:numPr>
          <w:ilvl w:val="0"/>
          <w:numId w:val="24"/>
        </w:numPr>
        <w:contextualSpacing/>
        <w:jc w:val="both"/>
        <w:rPr>
          <w:rFonts w:eastAsia="Times New Roman" w:cs="Times New Roman"/>
          <w:noProof/>
          <w:szCs w:val="24"/>
        </w:rPr>
      </w:pPr>
      <w:r>
        <w:rPr>
          <w:noProof/>
        </w:rPr>
        <w:t>Renunțarea la certificatele de dezvoltare și de producție pentru prosumatori pentru noile centrale electrice SRE de până la 100 kW.</w:t>
      </w:r>
    </w:p>
    <w:p w14:paraId="57B69477" w14:textId="66F0754E" w:rsidR="00F53E3A" w:rsidRDefault="0036255F">
      <w:pPr>
        <w:pStyle w:val="P68B1DB1-Normal4"/>
        <w:numPr>
          <w:ilvl w:val="0"/>
          <w:numId w:val="24"/>
        </w:numPr>
        <w:ind w:left="357" w:hanging="357"/>
        <w:jc w:val="both"/>
        <w:rPr>
          <w:rFonts w:eastAsia="Times New Roman" w:cs="Times New Roman"/>
          <w:noProof/>
          <w:szCs w:val="24"/>
        </w:rPr>
      </w:pPr>
      <w:r>
        <w:rPr>
          <w:noProof/>
        </w:rPr>
        <w:t>Limitarea duratei procedurilor de acordare a autorizațiilor la un an pentru noile centrale electrice SRE: Acordarea celor trei autorizații principale pentru dezvoltarea centralelor SRE (autorizația pentru dezvoltarea capacității de producere a energiei electrice, autorizația de construcție și autorizația pentru producția de energie electrică) nu durează mai mult de un an pentru noile centrale SRE.</w:t>
      </w:r>
    </w:p>
    <w:p w14:paraId="7A0B4864" w14:textId="691794E8" w:rsidR="00F53E3A" w:rsidRDefault="0036255F">
      <w:pPr>
        <w:pStyle w:val="P68B1DB1-Normal6"/>
        <w:keepNext/>
        <w:keepLines/>
        <w:jc w:val="both"/>
        <w:rPr>
          <w:rFonts w:eastAsia="Times New Roman" w:cs="Times New Roman"/>
          <w:noProof/>
          <w:szCs w:val="24"/>
        </w:rPr>
      </w:pPr>
      <w:r>
        <w:rPr>
          <w:noProof/>
        </w:rPr>
        <w:t>H.1.3.2. Submăsura 2: Sprijin pentru construirea de centrale SRE (energie solară)</w:t>
      </w:r>
    </w:p>
    <w:p w14:paraId="446D75C4" w14:textId="31D12BD8" w:rsidR="00F53E3A" w:rsidRDefault="0036255F">
      <w:pPr>
        <w:pStyle w:val="P68B1DB1-Normal4"/>
        <w:jc w:val="both"/>
        <w:rPr>
          <w:rFonts w:eastAsia="Times New Roman" w:cs="Times New Roman"/>
          <w:noProof/>
          <w:szCs w:val="24"/>
        </w:rPr>
      </w:pPr>
      <w:r>
        <w:rPr>
          <w:noProof/>
        </w:rPr>
        <w:t>Această submăsură reprezintă continuarea submăsurii B.1.1.2 (Sprijin pentru construirea de instalații individuale de depozitare). Obiectivul acestei submăsuri este de a oferi sprijin pentru producția de energie din surse regenerabile și de a conecta comunitățile de energie din surse regenerabile. Submăsura constă în instalarea și conectarea la rețea a capacității de producere a energiei electrice.</w:t>
      </w:r>
    </w:p>
    <w:p w14:paraId="4824F3DB" w14:textId="7E92EACF" w:rsidR="00F53E3A" w:rsidRDefault="00F53E3A">
      <w:pPr>
        <w:spacing w:before="120" w:after="120" w:line="240" w:lineRule="auto"/>
        <w:jc w:val="both"/>
        <w:rPr>
          <w:rFonts w:ascii="Times New Roman" w:eastAsia="Times New Roman" w:hAnsi="Times New Roman" w:cs="Times New Roman"/>
          <w:b/>
          <w:noProof/>
          <w:sz w:val="24"/>
          <w:u w:val="single"/>
        </w:rPr>
        <w:sectPr w:rsidR="00F53E3A" w:rsidSect="0074650A">
          <w:headerReference w:type="even" r:id="rId150"/>
          <w:headerReference w:type="default" r:id="rId151"/>
          <w:footerReference w:type="even" r:id="rId152"/>
          <w:footerReference w:type="default" r:id="rId153"/>
          <w:headerReference w:type="first" r:id="rId154"/>
          <w:footerReference w:type="first" r:id="rId155"/>
          <w:pgSz w:w="11907" w:h="16839"/>
          <w:pgMar w:top="1134" w:right="1134" w:bottom="1134" w:left="1134" w:header="567" w:footer="567" w:gutter="0"/>
          <w:cols w:space="720"/>
          <w:docGrid w:linePitch="360"/>
        </w:sectPr>
      </w:pPr>
    </w:p>
    <w:p w14:paraId="2C3D054E" w14:textId="76CADA46" w:rsidR="00F53E3A" w:rsidRDefault="0036255F">
      <w:pPr>
        <w:pStyle w:val="P68B1DB1-Text15"/>
        <w:keepNext/>
        <w:keepLines/>
        <w:spacing w:before="0" w:after="200" w:line="276" w:lineRule="auto"/>
        <w:ind w:left="0"/>
        <w:jc w:val="center"/>
        <w:outlineLvl w:val="1"/>
        <w:rPr>
          <w:noProof/>
        </w:rPr>
      </w:pPr>
      <w:r>
        <w:rPr>
          <w:noProof/>
        </w:rPr>
        <w:t>H.2. Jaloane, ținte, indicatori și calendarul de monitorizare și implementare aplicabile sprijinului financiar nerambursabil</w:t>
      </w:r>
    </w:p>
    <w:tbl>
      <w:tblPr>
        <w:tblW w:w="14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ayout w:type="fixed"/>
        <w:tblLook w:val="04A0" w:firstRow="1" w:lastRow="0" w:firstColumn="1" w:lastColumn="0" w:noHBand="0" w:noVBand="1"/>
      </w:tblPr>
      <w:tblGrid>
        <w:gridCol w:w="534"/>
        <w:gridCol w:w="1701"/>
        <w:gridCol w:w="992"/>
        <w:gridCol w:w="1417"/>
        <w:gridCol w:w="1418"/>
        <w:gridCol w:w="850"/>
        <w:gridCol w:w="993"/>
        <w:gridCol w:w="992"/>
        <w:gridCol w:w="1134"/>
        <w:gridCol w:w="709"/>
        <w:gridCol w:w="3974"/>
      </w:tblGrid>
      <w:tr w:rsidR="00F53E3A" w14:paraId="1976117D" w14:textId="77777777" w:rsidTr="00E04E3B">
        <w:trPr>
          <w:tblHeader/>
        </w:trPr>
        <w:tc>
          <w:tcPr>
            <w:tcW w:w="53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5483977" w14:textId="0B6BBCB9" w:rsidR="00F53E3A" w:rsidRDefault="0035684C">
            <w:pPr>
              <w:pStyle w:val="P68B1DB1-Normal9"/>
              <w:spacing w:before="60" w:after="60"/>
              <w:jc w:val="center"/>
              <w:rPr>
                <w:rFonts w:cs="Times New Roman"/>
                <w:noProof/>
              </w:rPr>
            </w:pPr>
            <w:r>
              <w:rPr>
                <w:noProof/>
              </w:rPr>
              <w:t>Nr.</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ED13D7C" w14:textId="77777777" w:rsidR="00F53E3A" w:rsidRDefault="0036255F">
            <w:pPr>
              <w:pStyle w:val="P68B1DB1-Normal9"/>
              <w:spacing w:before="60" w:after="60"/>
              <w:jc w:val="center"/>
              <w:rPr>
                <w:rFonts w:cs="Times New Roman"/>
                <w:noProof/>
              </w:rPr>
            </w:pPr>
            <w:r>
              <w:rPr>
                <w:noProof/>
              </w:rPr>
              <w:t>Măsură conexă (reformă sau investiții)</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C307AD1" w14:textId="7DAB3FB0" w:rsidR="00F53E3A" w:rsidRDefault="0036255F">
            <w:pPr>
              <w:pStyle w:val="P68B1DB1-Normal9"/>
              <w:spacing w:before="60" w:after="60"/>
              <w:jc w:val="center"/>
              <w:rPr>
                <w:rFonts w:cs="Times New Roman"/>
                <w:noProof/>
              </w:rPr>
            </w:pPr>
            <w:r>
              <w:rPr>
                <w:noProof/>
              </w:rPr>
              <w:t>Etapă/</w:t>
            </w:r>
            <w:r w:rsidR="00E04E3B">
              <w:rPr>
                <w:noProof/>
              </w:rPr>
              <w:t xml:space="preserve"> </w:t>
            </w:r>
            <w:r>
              <w:rPr>
                <w:noProof/>
              </w:rPr>
              <w:t>Obiectiv</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AE46351" w14:textId="77777777" w:rsidR="00F53E3A" w:rsidRDefault="0036255F">
            <w:pPr>
              <w:pStyle w:val="P68B1DB1-Normal9"/>
              <w:spacing w:before="60" w:after="60"/>
              <w:jc w:val="center"/>
              <w:rPr>
                <w:rFonts w:cs="Times New Roman"/>
                <w:noProof/>
              </w:rPr>
            </w:pPr>
            <w:r>
              <w:rPr>
                <w:noProof/>
              </w:rPr>
              <w:t>Titlu</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6C2E786" w14:textId="772A97F2" w:rsidR="00F53E3A" w:rsidRDefault="0036255F">
            <w:pPr>
              <w:pStyle w:val="P68B1DB1-Normal10"/>
              <w:spacing w:before="60" w:after="60"/>
              <w:jc w:val="center"/>
              <w:rPr>
                <w:rFonts w:ascii="Times New Roman" w:hAnsi="Times New Roman" w:cs="Times New Roman"/>
                <w:b/>
                <w:noProof/>
              </w:rPr>
            </w:pPr>
            <w:r>
              <w:rPr>
                <w:rFonts w:ascii="Times New Roman" w:hAnsi="Times New Roman"/>
                <w:b/>
                <w:noProof/>
              </w:rPr>
              <w:t>Indicatori calitativi</w:t>
            </w:r>
            <w:r>
              <w:rPr>
                <w:noProof/>
              </w:rPr>
              <w:t xml:space="preserve"> </w:t>
            </w:r>
            <w:r>
              <w:rPr>
                <w:noProof/>
              </w:rPr>
              <w:br/>
            </w:r>
            <w:r>
              <w:rPr>
                <w:rFonts w:ascii="Times New Roman" w:hAnsi="Times New Roman"/>
                <w:b/>
                <w:noProof/>
              </w:rPr>
              <w:t>(pentru jaloane)</w:t>
            </w:r>
          </w:p>
        </w:tc>
        <w:tc>
          <w:tcPr>
            <w:tcW w:w="2835"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E38FC5C" w14:textId="77777777" w:rsidR="00F53E3A" w:rsidRDefault="0036255F">
            <w:pPr>
              <w:pStyle w:val="P68B1DB1-Normal10"/>
              <w:spacing w:before="60" w:after="60"/>
              <w:jc w:val="center"/>
              <w:rPr>
                <w:rFonts w:ascii="Times New Roman" w:hAnsi="Times New Roman" w:cs="Times New Roman"/>
                <w:b/>
                <w:noProof/>
              </w:rPr>
            </w:pPr>
            <w:r>
              <w:rPr>
                <w:rFonts w:ascii="Times New Roman" w:hAnsi="Times New Roman"/>
                <w:b/>
                <w:noProof/>
              </w:rPr>
              <w:t>Indicatori cantitativi</w:t>
            </w:r>
            <w:r>
              <w:rPr>
                <w:noProof/>
              </w:rPr>
              <w:t xml:space="preserve"> </w:t>
            </w:r>
            <w:r>
              <w:rPr>
                <w:noProof/>
              </w:rPr>
              <w:br/>
            </w:r>
            <w:r>
              <w:rPr>
                <w:rFonts w:ascii="Times New Roman" w:hAnsi="Times New Roman"/>
                <w:b/>
                <w:noProof/>
              </w:rPr>
              <w:t>(pentru obiective)</w:t>
            </w:r>
          </w:p>
        </w:tc>
        <w:tc>
          <w:tcPr>
            <w:tcW w:w="1843"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B3638DA" w14:textId="65991846" w:rsidR="00F53E3A" w:rsidRDefault="0036255F">
            <w:pPr>
              <w:pStyle w:val="P68B1DB1-Normal9"/>
              <w:spacing w:before="60" w:after="60"/>
              <w:jc w:val="center"/>
              <w:rPr>
                <w:rFonts w:cs="Times New Roman"/>
                <w:noProof/>
              </w:rPr>
            </w:pPr>
            <w:r>
              <w:rPr>
                <w:noProof/>
              </w:rPr>
              <w:t>Calendar orientativ pentru finalizare</w:t>
            </w:r>
          </w:p>
        </w:tc>
        <w:tc>
          <w:tcPr>
            <w:tcW w:w="397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A2FDE74" w14:textId="77777777" w:rsidR="00F53E3A" w:rsidRDefault="0036255F">
            <w:pPr>
              <w:pStyle w:val="P68B1DB1-Normal9"/>
              <w:spacing w:before="60" w:after="60"/>
              <w:jc w:val="center"/>
              <w:rPr>
                <w:rFonts w:cs="Times New Roman"/>
                <w:noProof/>
              </w:rPr>
            </w:pPr>
            <w:r>
              <w:rPr>
                <w:noProof/>
              </w:rPr>
              <w:t>Descrierea și definiția clară a fiecărui obiectiv de etapă și a fiecărei ținte</w:t>
            </w:r>
          </w:p>
        </w:tc>
      </w:tr>
      <w:tr w:rsidR="00F53E3A" w14:paraId="34E427B6" w14:textId="77777777" w:rsidTr="00E04E3B">
        <w:trPr>
          <w:tblHeader/>
        </w:trPr>
        <w:tc>
          <w:tcPr>
            <w:tcW w:w="534" w:type="dxa"/>
            <w:vMerge/>
          </w:tcPr>
          <w:p w14:paraId="618999F0" w14:textId="77777777" w:rsidR="00F53E3A" w:rsidRDefault="00F53E3A">
            <w:pPr>
              <w:spacing w:before="60" w:after="60"/>
              <w:jc w:val="center"/>
              <w:rPr>
                <w:rFonts w:ascii="Times New Roman" w:hAnsi="Times New Roman" w:cs="Times New Roman"/>
                <w:b/>
                <w:noProof/>
                <w:sz w:val="20"/>
              </w:rPr>
            </w:pPr>
          </w:p>
        </w:tc>
        <w:tc>
          <w:tcPr>
            <w:tcW w:w="1701" w:type="dxa"/>
            <w:vMerge/>
            <w:vAlign w:val="center"/>
          </w:tcPr>
          <w:p w14:paraId="76E3687F" w14:textId="77777777" w:rsidR="00F53E3A" w:rsidRDefault="00F53E3A">
            <w:pPr>
              <w:spacing w:before="60" w:after="60"/>
              <w:rPr>
                <w:rFonts w:ascii="Times New Roman" w:hAnsi="Times New Roman" w:cs="Times New Roman"/>
                <w:b/>
                <w:noProof/>
                <w:sz w:val="20"/>
              </w:rPr>
            </w:pPr>
          </w:p>
        </w:tc>
        <w:tc>
          <w:tcPr>
            <w:tcW w:w="992" w:type="dxa"/>
            <w:vMerge/>
            <w:vAlign w:val="center"/>
          </w:tcPr>
          <w:p w14:paraId="0D2CC7F3" w14:textId="77777777" w:rsidR="00F53E3A" w:rsidRDefault="00F53E3A">
            <w:pPr>
              <w:spacing w:before="60" w:after="60"/>
              <w:jc w:val="center"/>
              <w:rPr>
                <w:rFonts w:ascii="Times New Roman" w:hAnsi="Times New Roman" w:cs="Times New Roman"/>
                <w:b/>
                <w:noProof/>
                <w:sz w:val="20"/>
              </w:rPr>
            </w:pPr>
          </w:p>
        </w:tc>
        <w:tc>
          <w:tcPr>
            <w:tcW w:w="1417" w:type="dxa"/>
            <w:vMerge/>
            <w:vAlign w:val="center"/>
          </w:tcPr>
          <w:p w14:paraId="09FF79D7" w14:textId="77777777" w:rsidR="00F53E3A" w:rsidRDefault="00F53E3A">
            <w:pPr>
              <w:spacing w:before="60" w:after="60"/>
              <w:rPr>
                <w:rFonts w:ascii="Times New Roman" w:hAnsi="Times New Roman" w:cs="Times New Roman"/>
                <w:b/>
                <w:noProof/>
                <w:sz w:val="20"/>
              </w:rPr>
            </w:pPr>
          </w:p>
        </w:tc>
        <w:tc>
          <w:tcPr>
            <w:tcW w:w="1418" w:type="dxa"/>
            <w:vMerge/>
            <w:vAlign w:val="center"/>
          </w:tcPr>
          <w:p w14:paraId="28F1E84D" w14:textId="77777777" w:rsidR="00F53E3A" w:rsidRDefault="00F53E3A">
            <w:pPr>
              <w:spacing w:before="60" w:after="60"/>
              <w:rPr>
                <w:rFonts w:ascii="Times New Roman" w:hAnsi="Times New Roman" w:cs="Times New Roman"/>
                <w:b/>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369987A" w14:textId="77777777" w:rsidR="00F53E3A" w:rsidRDefault="0036255F">
            <w:pPr>
              <w:pStyle w:val="P68B1DB1-Normal9"/>
              <w:spacing w:before="60" w:after="60"/>
              <w:jc w:val="center"/>
              <w:rPr>
                <w:rFonts w:cs="Times New Roman"/>
                <w:noProof/>
              </w:rPr>
            </w:pPr>
            <w:r>
              <w:rPr>
                <w:noProof/>
              </w:rPr>
              <w:t>Unitate</w:t>
            </w:r>
          </w:p>
        </w:tc>
        <w:tc>
          <w:tcPr>
            <w:tcW w:w="993"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50B7D99" w14:textId="77777777" w:rsidR="00F53E3A" w:rsidRDefault="0036255F">
            <w:pPr>
              <w:pStyle w:val="P68B1DB1-Normal9"/>
              <w:spacing w:before="60" w:after="60"/>
              <w:jc w:val="center"/>
              <w:rPr>
                <w:rFonts w:cs="Times New Roman"/>
                <w:noProof/>
              </w:rPr>
            </w:pPr>
            <w:r>
              <w:rPr>
                <w:noProof/>
              </w:rPr>
              <w:t>Situația de referință</w:t>
            </w:r>
          </w:p>
        </w:tc>
        <w:tc>
          <w:tcPr>
            <w:tcW w:w="992"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4DE4B66" w14:textId="77777777" w:rsidR="00F53E3A" w:rsidRDefault="0036255F">
            <w:pPr>
              <w:pStyle w:val="P68B1DB1-Normal9"/>
              <w:spacing w:before="60" w:after="60"/>
              <w:jc w:val="center"/>
              <w:rPr>
                <w:rFonts w:cs="Times New Roman"/>
                <w:noProof/>
              </w:rPr>
            </w:pPr>
            <w:r>
              <w:rPr>
                <w:noProof/>
              </w:rPr>
              <w:t>Obiectiv</w:t>
            </w:r>
          </w:p>
        </w:tc>
        <w:tc>
          <w:tcPr>
            <w:tcW w:w="1134"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EFF4259" w14:textId="77777777" w:rsidR="00F53E3A" w:rsidRDefault="0036255F">
            <w:pPr>
              <w:pStyle w:val="P68B1DB1-Normal9"/>
              <w:spacing w:before="60" w:after="60"/>
              <w:jc w:val="center"/>
              <w:rPr>
                <w:rFonts w:cs="Times New Roman"/>
                <w:noProof/>
              </w:rPr>
            </w:pPr>
            <w:r>
              <w:rPr>
                <w:noProof/>
              </w:rPr>
              <w:t>Trimestru</w:t>
            </w:r>
          </w:p>
        </w:tc>
        <w:tc>
          <w:tcPr>
            <w:tcW w:w="709"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1A13650" w14:textId="77777777" w:rsidR="00F53E3A" w:rsidRDefault="0036255F">
            <w:pPr>
              <w:pStyle w:val="P68B1DB1-Normal9"/>
              <w:spacing w:before="60" w:after="60"/>
              <w:jc w:val="center"/>
              <w:rPr>
                <w:rFonts w:cs="Times New Roman"/>
                <w:noProof/>
              </w:rPr>
            </w:pPr>
            <w:r>
              <w:rPr>
                <w:noProof/>
              </w:rPr>
              <w:t>Anul</w:t>
            </w:r>
          </w:p>
        </w:tc>
        <w:tc>
          <w:tcPr>
            <w:tcW w:w="3974" w:type="dxa"/>
            <w:vMerge/>
            <w:vAlign w:val="center"/>
          </w:tcPr>
          <w:p w14:paraId="20AD56B5" w14:textId="77777777" w:rsidR="00F53E3A" w:rsidRDefault="00F53E3A">
            <w:pPr>
              <w:spacing w:before="60" w:after="60"/>
              <w:rPr>
                <w:rFonts w:ascii="Times New Roman" w:hAnsi="Times New Roman" w:cs="Times New Roman"/>
                <w:b/>
                <w:noProof/>
                <w:sz w:val="20"/>
              </w:rPr>
            </w:pPr>
          </w:p>
        </w:tc>
      </w:tr>
      <w:tr w:rsidR="00F53E3A" w14:paraId="5BBBFC85" w14:textId="77777777" w:rsidTr="00E04E3B">
        <w:tc>
          <w:tcPr>
            <w:tcW w:w="5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6445046" w14:textId="6AB81402" w:rsidR="00F53E3A" w:rsidRDefault="0036255F">
            <w:pPr>
              <w:pStyle w:val="P68B1DB1-Normal12"/>
              <w:spacing w:before="60" w:after="60"/>
              <w:jc w:val="center"/>
              <w:rPr>
                <w:rFonts w:cs="Times New Roman"/>
                <w:noProof/>
              </w:rPr>
            </w:pPr>
            <w:r>
              <w:rPr>
                <w:noProof/>
              </w:rPr>
              <w:t>195</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01284FD" w14:textId="1FC4557A" w:rsidR="00F53E3A" w:rsidRDefault="0036255F">
            <w:pPr>
              <w:pStyle w:val="P68B1DB1-Normal12"/>
              <w:spacing w:before="60" w:after="60"/>
              <w:rPr>
                <w:noProof/>
              </w:rPr>
            </w:pPr>
            <w:r>
              <w:rPr>
                <w:noProof/>
              </w:rPr>
              <w:t xml:space="preserve">H.1.1 Accelerarea renovării clădirilor </w:t>
            </w:r>
          </w:p>
          <w:p w14:paraId="25C8501E" w14:textId="15403110" w:rsidR="00F53E3A" w:rsidRDefault="0036255F">
            <w:pPr>
              <w:pStyle w:val="P68B1DB1-Normal12"/>
              <w:spacing w:before="60" w:after="60"/>
              <w:rPr>
                <w:rFonts w:eastAsia="Times New Roman" w:cs="Times New Roman"/>
                <w:noProof/>
              </w:rPr>
            </w:pPr>
            <w:r>
              <w:rPr>
                <w:noProof/>
              </w:rPr>
              <w:t>H.1.1.1. Actualizarea pachetelor și a standardelor de renovare</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0B65BB4" w14:textId="6CBA2034" w:rsidR="00F53E3A" w:rsidRDefault="0036255F">
            <w:pPr>
              <w:pStyle w:val="P68B1DB1-Normal12"/>
              <w:spacing w:before="60" w:after="60"/>
              <w:jc w:val="center"/>
              <w:rPr>
                <w:rFonts w:eastAsia="Times New Roman" w:cs="Times New Roman"/>
                <w:noProof/>
              </w:rPr>
            </w:pPr>
            <w:r>
              <w:rPr>
                <w:noProof/>
              </w:rPr>
              <w:t>Etapă</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EE8C2D6" w14:textId="3B7265B3" w:rsidR="00F53E3A" w:rsidRDefault="0036255F">
            <w:pPr>
              <w:pStyle w:val="P68B1DB1-Normal12"/>
              <w:spacing w:before="60" w:after="60"/>
              <w:rPr>
                <w:noProof/>
              </w:rPr>
            </w:pPr>
            <w:r>
              <w:rPr>
                <w:noProof/>
              </w:rPr>
              <w:t>Lucrări pregătitoare pentru renovarea panourilor verzi din clădirile demonstrative</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287594C" w14:textId="5AA6E204" w:rsidR="00F53E3A" w:rsidRDefault="0036255F">
            <w:pPr>
              <w:pStyle w:val="P68B1DB1-Normal13"/>
              <w:spacing w:before="60" w:after="60"/>
              <w:rPr>
                <w:noProof/>
              </w:rPr>
            </w:pPr>
            <w:r>
              <w:rPr>
                <w:noProof/>
              </w:rPr>
              <w:t>Realizarea lucrărilor pregătitoare pentru renovarea panourilor verzi ale clădirilor demonstrative</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D796C03" w14:textId="56D87276" w:rsidR="00F53E3A" w:rsidRDefault="00F53E3A">
            <w:pPr>
              <w:spacing w:before="60" w:after="60"/>
              <w:jc w:val="center"/>
              <w:rPr>
                <w:rFonts w:ascii="Times New Roman" w:eastAsia="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63179CB" w14:textId="48ABEE5C" w:rsidR="00F53E3A" w:rsidRDefault="00F53E3A">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31A5542" w14:textId="5F0B3560" w:rsidR="00F53E3A" w:rsidRDefault="00F53E3A">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445B01F" w14:textId="059DB0CF" w:rsidR="00F53E3A" w:rsidRDefault="00DB2EC5">
            <w:pPr>
              <w:pStyle w:val="P68B1DB1-Normal12"/>
              <w:spacing w:before="60" w:after="60"/>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0828BB9" w14:textId="72817AF3" w:rsidR="00F53E3A" w:rsidRDefault="0036255F">
            <w:pPr>
              <w:pStyle w:val="P68B1DB1-Normal12"/>
              <w:spacing w:before="60" w:after="60"/>
              <w:jc w:val="center"/>
              <w:rPr>
                <w:rFonts w:eastAsia="Times New Roman" w:cs="Times New Roman"/>
                <w:noProof/>
              </w:rPr>
            </w:pPr>
            <w:r>
              <w:rPr>
                <w:noProof/>
              </w:rPr>
              <w:t>2026</w:t>
            </w:r>
          </w:p>
        </w:tc>
        <w:tc>
          <w:tcPr>
            <w:tcW w:w="397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614C62" w14:textId="297BFE5F" w:rsidR="00F53E3A" w:rsidRDefault="0036255F">
            <w:pPr>
              <w:pStyle w:val="P68B1DB1-Normal12"/>
              <w:spacing w:before="60" w:after="60"/>
              <w:jc w:val="both"/>
              <w:rPr>
                <w:rFonts w:eastAsia="Calibri" w:cs="Times New Roman"/>
                <w:noProof/>
                <w:szCs w:val="22"/>
              </w:rPr>
            </w:pPr>
            <w:r>
              <w:rPr>
                <w:noProof/>
              </w:rPr>
              <w:t xml:space="preserve">1) proiectarea tehnică pregătită pentru proiectele demonstrative de renovare a panourilor verzi, care cuprind trei clădiri publice și trei clădiri cu mai multe apartamente; </w:t>
            </w:r>
          </w:p>
          <w:p w14:paraId="4F342BD3" w14:textId="14DA3C6F" w:rsidR="00F53E3A" w:rsidRDefault="0036255F">
            <w:pPr>
              <w:pStyle w:val="P68B1DB1-Normal29"/>
              <w:spacing w:before="60" w:after="60"/>
              <w:jc w:val="both"/>
              <w:rPr>
                <w:noProof/>
              </w:rPr>
            </w:pPr>
            <w:r>
              <w:rPr>
                <w:noProof/>
              </w:rPr>
              <w:t>2) publicarea de materiale publicitare pentru demonstrarea renovării panourilor;</w:t>
            </w:r>
          </w:p>
          <w:p w14:paraId="588826E8" w14:textId="134D3177" w:rsidR="00F53E3A" w:rsidRDefault="0036255F">
            <w:pPr>
              <w:pStyle w:val="P68B1DB1-Normal29"/>
              <w:spacing w:before="60" w:after="60"/>
              <w:jc w:val="both"/>
              <w:rPr>
                <w:noProof/>
              </w:rPr>
            </w:pPr>
            <w:r>
              <w:rPr>
                <w:noProof/>
              </w:rPr>
              <w:t>3) au fost publicate orientări metodologice pentru aplicarea renovărilor realizate de grupul de dezbatere;</w:t>
            </w:r>
          </w:p>
          <w:p w14:paraId="0B3718B8" w14:textId="136F4C1E" w:rsidR="00F53E3A" w:rsidRDefault="0036255F">
            <w:pPr>
              <w:pStyle w:val="P68B1DB1-Normal29"/>
              <w:spacing w:before="60" w:after="60"/>
              <w:jc w:val="both"/>
              <w:rPr>
                <w:rFonts w:eastAsia="Times New Roman"/>
                <w:noProof/>
              </w:rPr>
            </w:pPr>
            <w:r>
              <w:rPr>
                <w:noProof/>
              </w:rPr>
              <w:t>4) certificate de acceptare a transferului semnate pentru serviciile de consultanță în proiectare tehnică achiziționate.</w:t>
            </w:r>
          </w:p>
        </w:tc>
      </w:tr>
      <w:tr w:rsidR="00F53E3A" w14:paraId="3A4BEC2F" w14:textId="77777777" w:rsidTr="00E04E3B">
        <w:tc>
          <w:tcPr>
            <w:tcW w:w="5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389BC87" w14:textId="17ED5BD4" w:rsidR="00F53E3A" w:rsidRDefault="0036255F">
            <w:pPr>
              <w:pStyle w:val="P68B1DB1-Normal12"/>
              <w:spacing w:before="60" w:after="60"/>
              <w:jc w:val="center"/>
              <w:rPr>
                <w:rFonts w:cs="Times New Roman"/>
                <w:noProof/>
              </w:rPr>
            </w:pPr>
            <w:r>
              <w:rPr>
                <w:noProof/>
              </w:rPr>
              <w:t>196</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CF4BEF9" w14:textId="63E357EC" w:rsidR="00F53E3A" w:rsidRDefault="0036255F">
            <w:pPr>
              <w:pStyle w:val="P68B1DB1-Normal12"/>
              <w:spacing w:before="60" w:after="60"/>
              <w:rPr>
                <w:rFonts w:cs="Times New Roman"/>
                <w:noProof/>
              </w:rPr>
            </w:pPr>
            <w:r>
              <w:rPr>
                <w:noProof/>
              </w:rPr>
              <w:t>H.1.1 Accelerarea renovării clădirilor</w:t>
            </w:r>
          </w:p>
          <w:p w14:paraId="76125198" w14:textId="2DDD3403" w:rsidR="00F53E3A" w:rsidRDefault="0036255F">
            <w:pPr>
              <w:pStyle w:val="P68B1DB1-Normal12"/>
              <w:spacing w:before="60" w:after="60"/>
              <w:rPr>
                <w:rFonts w:cs="Times New Roman"/>
                <w:noProof/>
              </w:rPr>
            </w:pPr>
            <w:r>
              <w:rPr>
                <w:noProof/>
              </w:rPr>
              <w:t>H.1.1.2. Sprijin pentru renovarea clădirilor (extins)</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7D12A28" w14:textId="375C0774" w:rsidR="00F53E3A" w:rsidRDefault="0036255F">
            <w:pPr>
              <w:pStyle w:val="P68B1DB1-Normal12"/>
              <w:spacing w:before="60" w:after="60"/>
              <w:jc w:val="center"/>
              <w:rPr>
                <w:rFonts w:cs="Times New Roman"/>
                <w:noProof/>
              </w:rPr>
            </w:pPr>
            <w:r>
              <w:rPr>
                <w:noProof/>
              </w:rPr>
              <w:t>Țintă</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E4B16C5" w14:textId="1164239C" w:rsidR="00F53E3A" w:rsidRDefault="0036255F">
            <w:pPr>
              <w:pStyle w:val="P68B1DB1-Normal12"/>
              <w:spacing w:before="60" w:after="60"/>
              <w:rPr>
                <w:rFonts w:cs="Times New Roman"/>
                <w:noProof/>
              </w:rPr>
            </w:pPr>
            <w:r>
              <w:rPr>
                <w:noProof/>
              </w:rPr>
              <w:t>Suprafața clădirilor renovate cu mai multe apartamente</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1B58664" w14:textId="77777777" w:rsidR="00F53E3A" w:rsidRDefault="00F53E3A">
            <w:pPr>
              <w:spacing w:before="60" w:after="60"/>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BF189DD" w14:textId="2FC7E2FB" w:rsidR="00F53E3A" w:rsidRDefault="0036255F">
            <w:pPr>
              <w:pStyle w:val="P68B1DB1-Normal29"/>
              <w:spacing w:before="60" w:after="60"/>
              <w:jc w:val="center"/>
              <w:rPr>
                <w:noProof/>
              </w:rPr>
            </w:pPr>
            <w:r>
              <w:rPr>
                <w:noProof/>
              </w:rPr>
              <w:t>m</w:t>
            </w:r>
            <w:r>
              <w:rPr>
                <w:noProof/>
                <w:vertAlign w:val="superscript"/>
              </w:rPr>
              <w:t xml:space="preserve"> 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C42AD77" w14:textId="43A6B36F" w:rsidR="00F53E3A" w:rsidRDefault="0036255F">
            <w:pPr>
              <w:pStyle w:val="P68B1DB1-Normal12"/>
              <w:spacing w:before="60" w:after="60"/>
              <w:jc w:val="center"/>
              <w:rPr>
                <w:rFonts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5058153" w14:textId="225B86FC" w:rsidR="00F53E3A" w:rsidRDefault="0036255F">
            <w:pPr>
              <w:pStyle w:val="P68B1DB1-Normal12"/>
              <w:spacing w:before="60" w:after="60"/>
              <w:jc w:val="center"/>
              <w:rPr>
                <w:noProof/>
              </w:rPr>
            </w:pPr>
            <w:r>
              <w:rPr>
                <w:noProof/>
              </w:rPr>
              <w:t>295 000</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F3F37DA" w14:textId="1BB8BF48" w:rsidR="00F53E3A" w:rsidRDefault="00DB2EC5">
            <w:pPr>
              <w:pStyle w:val="P68B1DB1-Normal12"/>
              <w:spacing w:before="60" w:after="60"/>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74E72D9" w14:textId="172D6965" w:rsidR="00F53E3A" w:rsidRDefault="0036255F">
            <w:pPr>
              <w:pStyle w:val="P68B1DB1-Normal12"/>
              <w:spacing w:before="60" w:after="60"/>
              <w:jc w:val="center"/>
              <w:rPr>
                <w:rFonts w:cs="Times New Roman"/>
                <w:noProof/>
              </w:rPr>
            </w:pPr>
            <w:r>
              <w:rPr>
                <w:noProof/>
              </w:rPr>
              <w:t>2026</w:t>
            </w:r>
          </w:p>
        </w:tc>
        <w:tc>
          <w:tcPr>
            <w:tcW w:w="397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798C1B3" w14:textId="4D460D02" w:rsidR="00F53E3A" w:rsidRDefault="0036255F">
            <w:pPr>
              <w:pStyle w:val="P68B1DB1-Normal12"/>
              <w:spacing w:before="60" w:after="60"/>
              <w:jc w:val="both"/>
              <w:rPr>
                <w:rFonts w:cs="Times New Roman"/>
                <w:noProof/>
              </w:rPr>
            </w:pPr>
            <w:r>
              <w:rPr>
                <w:noProof/>
              </w:rPr>
              <w:t>295 000 m</w:t>
            </w:r>
            <w:r>
              <w:rPr>
                <w:noProof/>
                <w:vertAlign w:val="superscript"/>
              </w:rPr>
              <w:t xml:space="preserve"> 2</w:t>
            </w:r>
            <w:r>
              <w:rPr>
                <w:noProof/>
              </w:rPr>
              <w:t xml:space="preserve"> de clădiri cu mai multe apartamente renovate pentru a obține o reducere de cel puțin 30 % a consumului de energie primară și a clasei de eficiență energetică A sau B. O clădire cu mai multe apartamente renovată beneficiază de asistență tehnică. </w:t>
            </w:r>
          </w:p>
        </w:tc>
      </w:tr>
      <w:tr w:rsidR="00F53E3A" w14:paraId="1B45B51C" w14:textId="77777777" w:rsidTr="00E04E3B">
        <w:tc>
          <w:tcPr>
            <w:tcW w:w="5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18F9ADE" w14:textId="7D9F0EB7" w:rsidR="00F53E3A" w:rsidRDefault="0036255F">
            <w:pPr>
              <w:pStyle w:val="P68B1DB1-Normal12"/>
              <w:spacing w:before="60" w:after="60"/>
              <w:jc w:val="center"/>
              <w:rPr>
                <w:rFonts w:cs="Times New Roman"/>
                <w:noProof/>
              </w:rPr>
            </w:pPr>
            <w:r>
              <w:rPr>
                <w:noProof/>
              </w:rPr>
              <w:t>197</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35107C" w14:textId="5A172711" w:rsidR="00F53E3A" w:rsidRDefault="0036255F">
            <w:pPr>
              <w:pStyle w:val="P68B1DB1-Normal12"/>
              <w:spacing w:before="60" w:after="60"/>
              <w:rPr>
                <w:rFonts w:cs="Times New Roman"/>
                <w:noProof/>
              </w:rPr>
            </w:pPr>
            <w:r>
              <w:rPr>
                <w:noProof/>
              </w:rPr>
              <w:t>H.1.2. Sprijin pentru achiziționarea de echipamente curate pentru apele interioare</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7C65D15" w14:textId="0BFE9B10" w:rsidR="00F53E3A" w:rsidRDefault="0036255F">
            <w:pPr>
              <w:pStyle w:val="P68B1DB1-Normal12"/>
              <w:spacing w:before="60" w:after="60"/>
              <w:jc w:val="center"/>
              <w:rPr>
                <w:rFonts w:cs="Times New Roman"/>
                <w:noProof/>
              </w:rPr>
            </w:pPr>
            <w:r>
              <w:rPr>
                <w:noProof/>
              </w:rPr>
              <w:t>Etapă</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FEDC804" w14:textId="02EAB7B2" w:rsidR="00F53E3A" w:rsidRDefault="0036255F">
            <w:pPr>
              <w:pStyle w:val="P68B1DB1-Normal12"/>
              <w:spacing w:before="60" w:after="60"/>
              <w:rPr>
                <w:rFonts w:cs="Times New Roman"/>
                <w:noProof/>
              </w:rPr>
            </w:pPr>
            <w:r>
              <w:rPr>
                <w:noProof/>
              </w:rPr>
              <w:t>Livrarea unei macarale electrice</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01F360B" w14:textId="5CEBD041" w:rsidR="00F53E3A" w:rsidRDefault="0036255F">
            <w:pPr>
              <w:pStyle w:val="P68B1DB1-Normal12"/>
              <w:spacing w:before="60" w:after="60"/>
              <w:rPr>
                <w:rFonts w:cs="Times New Roman"/>
                <w:noProof/>
              </w:rPr>
            </w:pPr>
            <w:r>
              <w:rPr>
                <w:noProof/>
              </w:rPr>
              <w:t>Macara electrică livrată</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8690FC0" w14:textId="32A088D9" w:rsidR="00F53E3A" w:rsidRDefault="00F53E3A">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18E04BB" w14:textId="0CA15FBF" w:rsidR="00F53E3A" w:rsidRDefault="00F53E3A">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0583475" w14:textId="6FC4A485" w:rsidR="00F53E3A" w:rsidRDefault="00F53E3A">
            <w:pPr>
              <w:spacing w:before="60" w:after="6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2E11AA9" w14:textId="19243A56" w:rsidR="00F53E3A" w:rsidRDefault="00DB2EC5">
            <w:pPr>
              <w:pStyle w:val="P68B1DB1-Normal12"/>
              <w:spacing w:before="60" w:after="60"/>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0C89B0A" w14:textId="468D83C8" w:rsidR="00F53E3A" w:rsidRDefault="0036255F">
            <w:pPr>
              <w:pStyle w:val="P68B1DB1-Normal12"/>
              <w:spacing w:before="60" w:after="60"/>
              <w:jc w:val="center"/>
              <w:rPr>
                <w:rFonts w:cs="Times New Roman"/>
                <w:noProof/>
              </w:rPr>
            </w:pPr>
            <w:r>
              <w:rPr>
                <w:noProof/>
              </w:rPr>
              <w:t>2026</w:t>
            </w:r>
          </w:p>
        </w:tc>
        <w:tc>
          <w:tcPr>
            <w:tcW w:w="397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F099B7" w14:textId="1AA9A521" w:rsidR="00F53E3A" w:rsidRDefault="0036255F">
            <w:pPr>
              <w:pStyle w:val="P68B1DB1-Normal12"/>
              <w:spacing w:before="60" w:after="60"/>
              <w:jc w:val="both"/>
              <w:rPr>
                <w:rFonts w:cs="Times New Roman"/>
                <w:noProof/>
              </w:rPr>
            </w:pPr>
            <w:r>
              <w:rPr>
                <w:noProof/>
              </w:rPr>
              <w:t>Macara electrică livrată.</w:t>
            </w:r>
          </w:p>
        </w:tc>
      </w:tr>
      <w:tr w:rsidR="00F53E3A" w14:paraId="580E5A63" w14:textId="77777777" w:rsidTr="00E04E3B">
        <w:tc>
          <w:tcPr>
            <w:tcW w:w="5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7A59B04" w14:textId="329F3DA9" w:rsidR="00F53E3A" w:rsidRDefault="0036255F">
            <w:pPr>
              <w:pStyle w:val="P68B1DB1-Normal12"/>
              <w:spacing w:before="60" w:after="60"/>
              <w:jc w:val="center"/>
              <w:rPr>
                <w:rFonts w:eastAsia="Times New Roman" w:cs="Times New Roman"/>
                <w:noProof/>
              </w:rPr>
            </w:pPr>
            <w:r>
              <w:rPr>
                <w:noProof/>
              </w:rPr>
              <w:t>201</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8A400DF" w14:textId="129F6D6F" w:rsidR="00F53E3A" w:rsidRDefault="0036255F">
            <w:pPr>
              <w:pStyle w:val="P68B1DB1-Normal12"/>
              <w:spacing w:before="60" w:after="60"/>
              <w:rPr>
                <w:rFonts w:eastAsia="Times New Roman" w:cs="Times New Roman"/>
                <w:noProof/>
              </w:rPr>
            </w:pPr>
            <w:r>
              <w:rPr>
                <w:noProof/>
              </w:rPr>
              <w:t>H.1.3. Creșterea capacității de producție din SRE</w:t>
            </w:r>
          </w:p>
          <w:p w14:paraId="6738BFBE" w14:textId="6354E932" w:rsidR="00F53E3A" w:rsidRDefault="0036255F">
            <w:pPr>
              <w:pStyle w:val="P68B1DB1-Normal12"/>
              <w:spacing w:before="60" w:after="60"/>
              <w:rPr>
                <w:rFonts w:eastAsia="Times New Roman" w:cs="Times New Roman"/>
                <w:noProof/>
              </w:rPr>
            </w:pPr>
            <w:r>
              <w:rPr>
                <w:noProof/>
              </w:rPr>
              <w:t xml:space="preserve">H.1.3.1. Îmbunătățirea mediului de investiții pentru dezvoltatorii de E-SRE </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720CD52" w14:textId="5859E5D6" w:rsidR="00F53E3A" w:rsidRDefault="0036255F">
            <w:pPr>
              <w:pStyle w:val="P68B1DB1-Normal12"/>
              <w:spacing w:before="60" w:after="60"/>
              <w:jc w:val="center"/>
              <w:rPr>
                <w:rFonts w:eastAsia="Times New Roman" w:cs="Times New Roman"/>
                <w:noProof/>
              </w:rPr>
            </w:pPr>
            <w:r>
              <w:rPr>
                <w:noProof/>
              </w:rPr>
              <w:t>Etapă</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1BDF154" w14:textId="592288B3" w:rsidR="00F53E3A" w:rsidRDefault="0036255F">
            <w:pPr>
              <w:pStyle w:val="P68B1DB1-Normal12"/>
              <w:spacing w:before="60" w:after="60"/>
              <w:rPr>
                <w:rFonts w:eastAsia="Times New Roman" w:cs="Times New Roman"/>
                <w:noProof/>
              </w:rPr>
            </w:pPr>
            <w:r>
              <w:rPr>
                <w:noProof/>
              </w:rPr>
              <w:t>Intrarea în vigoare a legislației de îmbunătățire a mediului de investiții pentru dezvoltatorii de E-SRE</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9C1F82B" w14:textId="18BC6BC0" w:rsidR="00F53E3A" w:rsidRDefault="0036255F">
            <w:pPr>
              <w:pStyle w:val="P68B1DB1-Normal13"/>
              <w:spacing w:before="60" w:after="60"/>
              <w:rPr>
                <w:noProof/>
              </w:rPr>
            </w:pPr>
            <w:r>
              <w:rPr>
                <w:noProof/>
              </w:rPr>
              <w:t>Legislația a intrat în vigoare</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15A8062" w14:textId="77777777" w:rsidR="00F53E3A" w:rsidRDefault="00F53E3A">
            <w:pPr>
              <w:spacing w:before="60" w:after="60"/>
              <w:jc w:val="center"/>
              <w:rPr>
                <w:rFonts w:ascii="Times New Roman" w:eastAsia="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7FC059F" w14:textId="77777777" w:rsidR="00F53E3A" w:rsidRDefault="00F53E3A">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A706C52" w14:textId="77777777" w:rsidR="00F53E3A" w:rsidRDefault="00F53E3A">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5F84B2D" w14:textId="48087451" w:rsidR="00F53E3A" w:rsidRDefault="00DB2EC5">
            <w:pPr>
              <w:pStyle w:val="P68B1DB1-Normal12"/>
              <w:spacing w:before="60" w:after="60"/>
              <w:jc w:val="center"/>
              <w:rPr>
                <w:rFonts w:eastAsia="Times New Roman" w:cs="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168B878" w14:textId="3B0C620B" w:rsidR="00F53E3A" w:rsidRDefault="0036255F">
            <w:pPr>
              <w:pStyle w:val="P68B1DB1-Normal12"/>
              <w:spacing w:before="60" w:after="60"/>
              <w:jc w:val="center"/>
              <w:rPr>
                <w:rFonts w:eastAsia="Times New Roman" w:cs="Times New Roman"/>
                <w:noProof/>
              </w:rPr>
            </w:pPr>
            <w:r>
              <w:rPr>
                <w:noProof/>
              </w:rPr>
              <w:t>2022</w:t>
            </w:r>
          </w:p>
        </w:tc>
        <w:tc>
          <w:tcPr>
            <w:tcW w:w="397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94D00D" w14:textId="23B0DD4A" w:rsidR="00F53E3A" w:rsidRDefault="0036255F">
            <w:pPr>
              <w:pStyle w:val="P68B1DB1-Normal12"/>
              <w:spacing w:before="60" w:after="60"/>
              <w:jc w:val="both"/>
              <w:rPr>
                <w:rFonts w:eastAsia="Times New Roman" w:cs="Times New Roman"/>
                <w:noProof/>
              </w:rPr>
            </w:pPr>
            <w:r>
              <w:rPr>
                <w:noProof/>
              </w:rPr>
              <w:t>Intrarea în vigoare a legislației de simplificare a cerințelor administrative pentru dezvoltarea centralelor electrice pe bază de energie din surse regenerabile. Legislația modificată:</w:t>
            </w:r>
          </w:p>
          <w:p w14:paraId="06D0DFC2" w14:textId="7B228FA7" w:rsidR="00F53E3A" w:rsidRDefault="0036255F">
            <w:pPr>
              <w:pStyle w:val="P68B1DB1-Normal12"/>
              <w:spacing w:before="60" w:after="60"/>
              <w:jc w:val="both"/>
              <w:rPr>
                <w:rFonts w:eastAsia="Times New Roman" w:cs="Times New Roman"/>
                <w:noProof/>
              </w:rPr>
            </w:pPr>
            <w:r>
              <w:rPr>
                <w:noProof/>
              </w:rPr>
              <w:t>Definirea și reglementarea centralelor electrice hibride: Reforma permite conectarea centralelor hibride SRE (cum ar fi cele solare și eoliene) sau a instalațiilor de stocare a energiei într-un punct al rețelei de energie electrică, fără a urma o procedură de autorizare bazată pur și simplu pe o adăugare a capacității instalate. Racordarea centralei electrice hibride la rețeaua de energie electrică se evaluează pe baza unei capacități de producție permise în locul capacității instalate.</w:t>
            </w:r>
          </w:p>
          <w:p w14:paraId="2CDB49FE" w14:textId="49956972" w:rsidR="00F53E3A" w:rsidRDefault="0036255F">
            <w:pPr>
              <w:pStyle w:val="P68B1DB1-Normal12"/>
              <w:spacing w:before="60" w:after="60"/>
              <w:jc w:val="both"/>
              <w:rPr>
                <w:rFonts w:eastAsia="Times New Roman" w:cs="Times New Roman"/>
                <w:noProof/>
              </w:rPr>
            </w:pPr>
            <w:r>
              <w:rPr>
                <w:noProof/>
              </w:rPr>
              <w:t xml:space="preserve">— Să solicite o autorizație unică de dezvoltare și o autorizație unică de fabricație pentru centralele electrice hibride. </w:t>
            </w:r>
          </w:p>
          <w:p w14:paraId="0DC207E9" w14:textId="23EF6D5B" w:rsidR="00F53E3A" w:rsidRDefault="0036255F">
            <w:pPr>
              <w:pStyle w:val="P68B1DB1-Normal12"/>
              <w:spacing w:before="60" w:after="60"/>
              <w:jc w:val="both"/>
              <w:rPr>
                <w:rFonts w:eastAsia="Times New Roman" w:cs="Times New Roman"/>
                <w:noProof/>
              </w:rPr>
            </w:pPr>
            <w:r>
              <w:rPr>
                <w:noProof/>
              </w:rPr>
              <w:t xml:space="preserve">— Renunțarea la certificatele de dezvoltare și de producție pentru prosumatori și pentru noile centrale electrice SRE de până la 100 kW. </w:t>
            </w:r>
          </w:p>
          <w:p w14:paraId="49799322" w14:textId="77FE2785" w:rsidR="00F53E3A" w:rsidRDefault="0036255F">
            <w:pPr>
              <w:pStyle w:val="P68B1DB1-Normal12"/>
              <w:spacing w:before="60" w:after="60"/>
              <w:jc w:val="both"/>
              <w:rPr>
                <w:rFonts w:eastAsia="Times New Roman" w:cs="Times New Roman"/>
                <w:noProof/>
              </w:rPr>
            </w:pPr>
            <w:r>
              <w:rPr>
                <w:noProof/>
              </w:rPr>
              <w:t>— Limitarea duratei procedurilor de acordare a autorizațiilor la un an pentru noile centrale electrice SRE: Acordarea celor trei autorizații principale pentru dezvoltarea centralelor SRE (autorizația pentru dezvoltarea capacității de producere a energiei electrice, autorizația de construcție și autorizația pentru producția de energie electrică) nu durează mai mult de un an pentru noile centrale SRE.</w:t>
            </w:r>
          </w:p>
        </w:tc>
      </w:tr>
      <w:tr w:rsidR="00F53E3A" w14:paraId="22BE6597" w14:textId="77777777" w:rsidTr="00E04E3B">
        <w:tc>
          <w:tcPr>
            <w:tcW w:w="5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14A8F2A" w14:textId="76DBE4A8" w:rsidR="00F53E3A" w:rsidRDefault="0036255F">
            <w:pPr>
              <w:pStyle w:val="P68B1DB1-Normal12"/>
              <w:spacing w:before="60" w:after="60"/>
              <w:jc w:val="center"/>
              <w:rPr>
                <w:noProof/>
              </w:rPr>
            </w:pPr>
            <w:r>
              <w:rPr>
                <w:noProof/>
              </w:rPr>
              <w:t>203</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CDFFB29" w14:textId="77777777" w:rsidR="00F53E3A" w:rsidRDefault="0036255F">
            <w:pPr>
              <w:pStyle w:val="P68B1DB1-Normal12"/>
              <w:spacing w:before="60" w:after="60"/>
              <w:rPr>
                <w:rFonts w:eastAsia="Times New Roman" w:cs="Times New Roman"/>
                <w:noProof/>
              </w:rPr>
            </w:pPr>
            <w:r>
              <w:rPr>
                <w:noProof/>
              </w:rPr>
              <w:t>H.1.3. Creșterea capacității de producție din SRE</w:t>
            </w:r>
          </w:p>
          <w:p w14:paraId="14630717" w14:textId="26700CD8" w:rsidR="00F53E3A" w:rsidRDefault="0036255F">
            <w:pPr>
              <w:pStyle w:val="P68B1DB1-Normal12"/>
              <w:spacing w:before="60" w:after="60"/>
              <w:rPr>
                <w:noProof/>
              </w:rPr>
            </w:pPr>
            <w:r>
              <w:rPr>
                <w:noProof/>
              </w:rPr>
              <w:t>H.1.3.2. Sprijin pentru construirea de centrale SRE (energie solară)</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13C61D" w14:textId="66210FA7" w:rsidR="00F53E3A" w:rsidRDefault="0036255F">
            <w:pPr>
              <w:pStyle w:val="P68B1DB1-Normal12"/>
              <w:spacing w:before="60" w:after="60"/>
              <w:jc w:val="center"/>
              <w:rPr>
                <w:noProof/>
              </w:rPr>
            </w:pPr>
            <w:r>
              <w:rPr>
                <w:noProof/>
              </w:rPr>
              <w:t>Țintă</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FA40853" w14:textId="03BE27BA" w:rsidR="00F53E3A" w:rsidRDefault="0036255F">
            <w:pPr>
              <w:pStyle w:val="P68B1DB1-Normal12"/>
              <w:spacing w:before="60" w:after="60"/>
              <w:rPr>
                <w:noProof/>
              </w:rPr>
            </w:pPr>
            <w:r>
              <w:rPr>
                <w:noProof/>
              </w:rPr>
              <w:t>Capacitatea solară fotovoltaică instalată și conectată la rețea</w:t>
            </w:r>
          </w:p>
        </w:tc>
        <w:tc>
          <w:tcPr>
            <w:tcW w:w="141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2E01E10" w14:textId="77777777" w:rsidR="00F53E3A" w:rsidRDefault="00F53E3A">
            <w:pPr>
              <w:spacing w:before="60" w:after="60"/>
              <w:rPr>
                <w:rFonts w:ascii="Times New Roman" w:eastAsia="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AEE1159" w14:textId="652F5A16" w:rsidR="00F53E3A" w:rsidRDefault="0036255F">
            <w:pPr>
              <w:pStyle w:val="P68B1DB1-Normal12"/>
              <w:spacing w:before="60" w:after="60"/>
              <w:jc w:val="center"/>
              <w:rPr>
                <w:rFonts w:eastAsia="Times New Roman" w:cs="Times New Roman"/>
                <w:noProof/>
              </w:rPr>
            </w:pPr>
            <w:r>
              <w:rPr>
                <w:noProof/>
              </w:rPr>
              <w:t>MW</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A1C4C64" w14:textId="76A85F7A" w:rsidR="00F53E3A" w:rsidRDefault="0036255F">
            <w:pPr>
              <w:pStyle w:val="P68B1DB1-Normal12"/>
              <w:spacing w:before="60" w:after="60"/>
              <w:jc w:val="center"/>
              <w:rPr>
                <w:rFonts w:eastAsia="Times New Roman"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AAB4F9F" w14:textId="3106AE03" w:rsidR="00F53E3A" w:rsidRDefault="0036255F">
            <w:pPr>
              <w:pStyle w:val="P68B1DB1-Normal12"/>
              <w:spacing w:before="60" w:after="60"/>
              <w:jc w:val="center"/>
              <w:rPr>
                <w:rFonts w:eastAsia="Times New Roman" w:cs="Times New Roman"/>
                <w:noProof/>
              </w:rPr>
            </w:pPr>
            <w:r>
              <w:rPr>
                <w:noProof/>
              </w:rPr>
              <w:t>378.7</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91A88EA" w14:textId="04CFCBEE" w:rsidR="00F53E3A" w:rsidRDefault="00DB2EC5">
            <w:pPr>
              <w:pStyle w:val="P68B1DB1-Normal12"/>
              <w:spacing w:before="60" w:after="60"/>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A03401E" w14:textId="75A18F88" w:rsidR="00F53E3A" w:rsidRDefault="0036255F">
            <w:pPr>
              <w:pStyle w:val="P68B1DB1-Normal12"/>
              <w:spacing w:before="60" w:after="60"/>
              <w:jc w:val="center"/>
              <w:rPr>
                <w:noProof/>
              </w:rPr>
            </w:pPr>
            <w:r>
              <w:rPr>
                <w:noProof/>
              </w:rPr>
              <w:t>2026</w:t>
            </w:r>
          </w:p>
        </w:tc>
        <w:tc>
          <w:tcPr>
            <w:tcW w:w="397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9BF80D6" w14:textId="2A7B6325" w:rsidR="00F53E3A" w:rsidRDefault="0036255F">
            <w:pPr>
              <w:pStyle w:val="P68B1DB1-Normal12"/>
              <w:spacing w:before="60" w:after="60"/>
              <w:jc w:val="both"/>
              <w:rPr>
                <w:noProof/>
              </w:rPr>
            </w:pPr>
            <w:r>
              <w:rPr>
                <w:noProof/>
              </w:rPr>
              <w:t xml:space="preserve">378,7 MW de capacitate solară fotovoltaică instalată și conectată la rețea. </w:t>
            </w:r>
          </w:p>
        </w:tc>
      </w:tr>
    </w:tbl>
    <w:p w14:paraId="58547320" w14:textId="77777777" w:rsidR="00F53E3A" w:rsidRDefault="00F53E3A">
      <w:pPr>
        <w:pStyle w:val="Text1"/>
        <w:rPr>
          <w:noProof/>
        </w:rPr>
        <w:sectPr w:rsidR="00F53E3A" w:rsidSect="0074650A">
          <w:headerReference w:type="even" r:id="rId156"/>
          <w:headerReference w:type="default" r:id="rId157"/>
          <w:footerReference w:type="even" r:id="rId158"/>
          <w:footerReference w:type="default" r:id="rId159"/>
          <w:headerReference w:type="first" r:id="rId160"/>
          <w:footerReference w:type="first" r:id="rId161"/>
          <w:pgSz w:w="16839" w:h="11907" w:orient="landscape"/>
          <w:pgMar w:top="1134" w:right="1134" w:bottom="1134" w:left="1134" w:header="567" w:footer="567" w:gutter="0"/>
          <w:cols w:space="720"/>
          <w:docGrid w:linePitch="360"/>
        </w:sectPr>
      </w:pPr>
    </w:p>
    <w:p w14:paraId="13432836" w14:textId="756081B4" w:rsidR="00F53E3A" w:rsidRDefault="0036255F">
      <w:pPr>
        <w:pStyle w:val="P68B1DB1-Text15"/>
        <w:keepNext/>
        <w:keepLines/>
        <w:spacing w:before="0" w:after="200" w:line="276" w:lineRule="auto"/>
        <w:ind w:left="0"/>
        <w:outlineLvl w:val="1"/>
        <w:rPr>
          <w:noProof/>
        </w:rPr>
      </w:pPr>
      <w:r>
        <w:rPr>
          <w:noProof/>
        </w:rPr>
        <w:t>H.3. Descrierea reformelor și a investițiilor pentru împrumut</w:t>
      </w:r>
    </w:p>
    <w:p w14:paraId="126A48F9" w14:textId="0519EF6B" w:rsidR="00F53E3A" w:rsidRDefault="0036255F">
      <w:pPr>
        <w:pStyle w:val="P68B1DB1-Normal6"/>
        <w:keepNext/>
        <w:keepLines/>
        <w:jc w:val="both"/>
        <w:rPr>
          <w:noProof/>
          <w:szCs w:val="24"/>
        </w:rPr>
      </w:pPr>
      <w:bookmarkStart w:id="21" w:name="_Hlk145956605"/>
      <w:r>
        <w:rPr>
          <w:noProof/>
        </w:rPr>
        <w:t xml:space="preserve">H.3.1. Investiția 1: Sprijin pentru centralele SRE (solare, eoliene și hibride onshore) și pentru instalațiile de stocare a energiei electrice </w:t>
      </w:r>
    </w:p>
    <w:bookmarkEnd w:id="21"/>
    <w:p w14:paraId="097C7654" w14:textId="7A4D6A54" w:rsidR="00F53E3A" w:rsidRDefault="0036255F">
      <w:pPr>
        <w:pStyle w:val="P68B1DB1-Normal26"/>
        <w:spacing w:line="240" w:lineRule="auto"/>
        <w:jc w:val="both"/>
        <w:rPr>
          <w:rFonts w:eastAsia="Calibri" w:cs="Times New Roman"/>
          <w:noProof/>
          <w:sz w:val="24"/>
          <w:szCs w:val="24"/>
        </w:rPr>
      </w:pPr>
      <w:r>
        <w:rPr>
          <w:noProof/>
          <w:sz w:val="24"/>
        </w:rPr>
        <w:t>Această măsură constă într-o investiție publică în Fondul pentru eficiență energetică (facilitatea), pentru a stimula investițiile private și a îmbunătăți accesul la finanțare în sectorul lituanian al energiei din surse regenerabile. Mecanismul acordă împrumuturi direct sectorului privat, precum și entităților din sectorul public implicate în activități similare. Pe baza investițiilor MRR, mecanismul urmărește să ofere inițial o finanțare de cel puțin</w:t>
      </w:r>
      <w:r>
        <w:rPr>
          <w:noProof/>
          <w:sz w:val="20"/>
        </w:rPr>
        <w:t xml:space="preserve"> </w:t>
      </w:r>
      <w:r>
        <w:rPr>
          <w:noProof/>
          <w:sz w:val="24"/>
        </w:rPr>
        <w:t>549 130 737 EUR.</w:t>
      </w:r>
    </w:p>
    <w:p w14:paraId="06D42F1D" w14:textId="3A040060" w:rsidR="00F53E3A" w:rsidRDefault="0036255F">
      <w:pPr>
        <w:pStyle w:val="P68B1DB1-Normal4"/>
        <w:spacing w:line="240" w:lineRule="auto"/>
        <w:jc w:val="both"/>
        <w:rPr>
          <w:rFonts w:eastAsia="Calibri" w:cs="Times New Roman"/>
          <w:noProof/>
          <w:szCs w:val="24"/>
        </w:rPr>
      </w:pPr>
      <w:r>
        <w:rPr>
          <w:noProof/>
        </w:rPr>
        <w:t>Facilitatea este gestionată de INVEGA în calitate de partener de implementare. Facilitatea include următoarea linie de produse:</w:t>
      </w:r>
    </w:p>
    <w:p w14:paraId="03EA3053" w14:textId="5AC9DFD5" w:rsidR="00F53E3A" w:rsidRDefault="0036255F">
      <w:pPr>
        <w:pStyle w:val="P68B1DB1-Normal4"/>
        <w:numPr>
          <w:ilvl w:val="0"/>
          <w:numId w:val="29"/>
        </w:numPr>
        <w:spacing w:after="160" w:line="259" w:lineRule="auto"/>
        <w:jc w:val="both"/>
        <w:rPr>
          <w:rFonts w:eastAsia="Calibri" w:cs="Times New Roman"/>
          <w:noProof/>
          <w:szCs w:val="24"/>
        </w:rPr>
      </w:pPr>
      <w:r>
        <w:rPr>
          <w:noProof/>
        </w:rPr>
        <w:t>Împrumuturi directe acordate entităților private (inclusiv entităților publice care concurează în cadrul aceleiași cereri de propuneri) pentru a-și finanța investițiile în centrale electrice pe bază de energie din surse regenerabile (eoliană, solară și hibridă) și în instalații de stocare a energiei electrice.</w:t>
      </w:r>
    </w:p>
    <w:p w14:paraId="4A4C9A5F" w14:textId="289F4644" w:rsidR="00F53E3A" w:rsidRDefault="0036255F">
      <w:pPr>
        <w:pStyle w:val="P68B1DB1-Normal4"/>
        <w:spacing w:line="240" w:lineRule="auto"/>
        <w:jc w:val="both"/>
        <w:rPr>
          <w:rFonts w:eastAsia="Calibri" w:cs="Times New Roman"/>
          <w:noProof/>
          <w:szCs w:val="24"/>
        </w:rPr>
      </w:pPr>
      <w:r>
        <w:rPr>
          <w:noProof/>
        </w:rPr>
        <w:t>Pentru a implementa investiția în facilitate, Lituania și INVEGA semnează un acord de finanțare (sau o modificare a unui acord existent privind fondul de fonduri) care include următorul conținut:</w:t>
      </w:r>
    </w:p>
    <w:p w14:paraId="4F3C36D3" w14:textId="1A12150A" w:rsidR="00F53E3A" w:rsidRDefault="0036255F">
      <w:pPr>
        <w:pStyle w:val="P68B1DB1-Normal4"/>
        <w:numPr>
          <w:ilvl w:val="0"/>
          <w:numId w:val="30"/>
        </w:numPr>
        <w:spacing w:after="160" w:line="259" w:lineRule="auto"/>
        <w:jc w:val="both"/>
        <w:rPr>
          <w:rFonts w:eastAsia="Calibri" w:cs="Times New Roman"/>
          <w:noProof/>
          <w:szCs w:val="24"/>
        </w:rPr>
      </w:pPr>
      <w:r>
        <w:rPr>
          <w:noProof/>
        </w:rPr>
        <w:t>Descrierea procesului decizional al instrumentului: Decizia finală de investiții a facilității este luată de un comitet de credit, de Consiliul de administrație al INVEGA sau de un alt organ de conducere echivalent relevant și este aprobată cu o majoritate de voturi de către membri independenți de guvern.</w:t>
      </w:r>
    </w:p>
    <w:p w14:paraId="5410131E" w14:textId="37886621" w:rsidR="00F53E3A" w:rsidRDefault="0036255F">
      <w:pPr>
        <w:pStyle w:val="P68B1DB1-Normal4"/>
        <w:numPr>
          <w:ilvl w:val="0"/>
          <w:numId w:val="30"/>
        </w:numPr>
        <w:spacing w:after="160" w:line="259" w:lineRule="auto"/>
        <w:jc w:val="both"/>
        <w:rPr>
          <w:rFonts w:eastAsia="Calibri" w:cs="Times New Roman"/>
          <w:noProof/>
          <w:szCs w:val="24"/>
        </w:rPr>
      </w:pPr>
      <w:r>
        <w:rPr>
          <w:noProof/>
        </w:rPr>
        <w:t>Cerințele-cheie ale strategiei de investiții asociate,</w:t>
      </w:r>
      <w:r>
        <w:rPr>
          <w:b/>
          <w:noProof/>
        </w:rPr>
        <w:t xml:space="preserve"> </w:t>
      </w:r>
      <w:r>
        <w:rPr>
          <w:noProof/>
        </w:rPr>
        <w:t>care includ:</w:t>
      </w:r>
    </w:p>
    <w:p w14:paraId="07BA5745" w14:textId="77777777" w:rsidR="00F53E3A" w:rsidRDefault="0036255F">
      <w:pPr>
        <w:pStyle w:val="P68B1DB1-Normal4"/>
        <w:numPr>
          <w:ilvl w:val="1"/>
          <w:numId w:val="1"/>
        </w:numPr>
        <w:spacing w:after="160" w:line="259" w:lineRule="auto"/>
        <w:jc w:val="both"/>
        <w:rPr>
          <w:rFonts w:eastAsia="Calibri" w:cs="Times New Roman"/>
          <w:noProof/>
          <w:szCs w:val="24"/>
        </w:rPr>
      </w:pPr>
      <w:r>
        <w:rPr>
          <w:noProof/>
        </w:rPr>
        <w:t xml:space="preserve">Descrierea produsului financiar și a beneficiarilor finali eligibili. </w:t>
      </w:r>
    </w:p>
    <w:p w14:paraId="12B29EBA" w14:textId="06C2DBA1" w:rsidR="00F53E3A" w:rsidRDefault="0036255F">
      <w:pPr>
        <w:pStyle w:val="P68B1DB1-Normal4"/>
        <w:numPr>
          <w:ilvl w:val="1"/>
          <w:numId w:val="1"/>
        </w:numPr>
        <w:spacing w:after="160" w:line="259" w:lineRule="auto"/>
        <w:jc w:val="both"/>
        <w:rPr>
          <w:rFonts w:eastAsia="Calibri" w:cs="Times New Roman"/>
          <w:noProof/>
          <w:szCs w:val="24"/>
        </w:rPr>
      </w:pPr>
      <w:r>
        <w:rPr>
          <w:noProof/>
        </w:rPr>
        <w:t>Cerința ca toate investițiile sprijinite să fie viabile din punct de vedere financiar</w:t>
      </w:r>
      <w:r>
        <w:rPr>
          <w:b/>
          <w:noProof/>
        </w:rPr>
        <w:t>.</w:t>
      </w:r>
    </w:p>
    <w:p w14:paraId="698002EF" w14:textId="77777777" w:rsidR="00F53E3A" w:rsidRDefault="0036255F">
      <w:pPr>
        <w:pStyle w:val="P68B1DB1-Normal4"/>
        <w:numPr>
          <w:ilvl w:val="1"/>
          <w:numId w:val="1"/>
        </w:numPr>
        <w:spacing w:after="160" w:line="259" w:lineRule="auto"/>
        <w:jc w:val="both"/>
        <w:rPr>
          <w:rFonts w:eastAsia="Calibri" w:cs="Times New Roman"/>
          <w:noProof/>
          <w:szCs w:val="24"/>
        </w:rPr>
      </w:pPr>
      <w:r>
        <w:rPr>
          <w:noProof/>
        </w:rPr>
        <w:t>Cerința de a respecta principiul de „a nu prejudicia în mod semnificativ”, astfel cum este prevăzută în Orientările tehnice privind principiul de „a nu prejudicia în mod semnificativ” (2021/C58/01).</w:t>
      </w:r>
    </w:p>
    <w:p w14:paraId="6EFD81F5" w14:textId="77777777" w:rsidR="00F53E3A" w:rsidRDefault="0036255F">
      <w:pPr>
        <w:pStyle w:val="P68B1DB1-Normal4"/>
        <w:numPr>
          <w:ilvl w:val="1"/>
          <w:numId w:val="1"/>
        </w:numPr>
        <w:spacing w:after="160" w:line="259" w:lineRule="auto"/>
        <w:jc w:val="both"/>
        <w:rPr>
          <w:rFonts w:eastAsia="Calibri" w:cs="Times New Roman"/>
          <w:noProof/>
          <w:szCs w:val="24"/>
        </w:rPr>
      </w:pPr>
      <w:r>
        <w:rPr>
          <w:noProof/>
        </w:rPr>
        <w:t>Cerința ca beneficiarii finali ai mecanismului să nu primească sprijin din partea altor instrumente ale Uniunii pentru a acoperi aceleași costuri.</w:t>
      </w:r>
    </w:p>
    <w:p w14:paraId="0E6F8CDE" w14:textId="7F6905B3" w:rsidR="00F53E3A" w:rsidRDefault="0036255F">
      <w:pPr>
        <w:pStyle w:val="P68B1DB1-Normal4"/>
        <w:numPr>
          <w:ilvl w:val="0"/>
          <w:numId w:val="30"/>
        </w:numPr>
        <w:spacing w:after="160" w:line="259" w:lineRule="auto"/>
        <w:jc w:val="both"/>
        <w:rPr>
          <w:rFonts w:eastAsia="Calibri" w:cs="Times New Roman"/>
          <w:noProof/>
          <w:szCs w:val="24"/>
        </w:rPr>
      </w:pPr>
      <w:r>
        <w:rPr>
          <w:noProof/>
        </w:rPr>
        <w:t xml:space="preserve">Suma acoperită de acordul de finanțare (sau de o modificare a unui acord existent privind fondul de fonduri), structura comisioanelor pentru partenerul de implementare și cerința de a reinvesti orice restituiri în conformitate cu strategia de investiții a mecanismului, cu excepția cazului în care acestea sunt utilizate pentru a asigura rambursarea împrumuturilor din cadrul Mecanismului de redresare și reziliență. </w:t>
      </w:r>
    </w:p>
    <w:p w14:paraId="687BD3AC" w14:textId="34385A8F" w:rsidR="00F53E3A" w:rsidRDefault="0036255F">
      <w:pPr>
        <w:pStyle w:val="P68B1DB1-Normal4"/>
        <w:numPr>
          <w:ilvl w:val="0"/>
          <w:numId w:val="30"/>
        </w:numPr>
        <w:spacing w:after="160" w:line="259" w:lineRule="auto"/>
        <w:jc w:val="both"/>
        <w:rPr>
          <w:rFonts w:eastAsia="Calibri" w:cs="Times New Roman"/>
          <w:noProof/>
          <w:szCs w:val="24"/>
        </w:rPr>
      </w:pPr>
      <w:r>
        <w:rPr>
          <w:noProof/>
        </w:rPr>
        <w:t>Cerințe de monitorizare, audit și control, inclusiv:</w:t>
      </w:r>
    </w:p>
    <w:p w14:paraId="71746212" w14:textId="2EA38194" w:rsidR="00F53E3A" w:rsidRDefault="0036255F">
      <w:pPr>
        <w:pStyle w:val="P68B1DB1-Normal4"/>
        <w:numPr>
          <w:ilvl w:val="1"/>
          <w:numId w:val="32"/>
        </w:numPr>
        <w:spacing w:after="160" w:line="240" w:lineRule="auto"/>
        <w:jc w:val="both"/>
        <w:rPr>
          <w:rFonts w:eastAsia="Calibri" w:cs="Times New Roman"/>
          <w:noProof/>
          <w:szCs w:val="24"/>
        </w:rPr>
      </w:pPr>
      <w:r>
        <w:rPr>
          <w:noProof/>
        </w:rPr>
        <w:t>Descrierea principiilor de bază ale sistemului de monitorizare al partenerului de implementare pentru raportarea cu privire la investițiile mobilizate.</w:t>
      </w:r>
    </w:p>
    <w:p w14:paraId="18E33EA8" w14:textId="426B9708" w:rsidR="00F53E3A" w:rsidRDefault="0036255F">
      <w:pPr>
        <w:pStyle w:val="P68B1DB1-Normal4"/>
        <w:numPr>
          <w:ilvl w:val="1"/>
          <w:numId w:val="32"/>
        </w:numPr>
        <w:spacing w:after="160" w:line="259" w:lineRule="auto"/>
        <w:jc w:val="both"/>
        <w:rPr>
          <w:rFonts w:eastAsia="Calibri" w:cs="Times New Roman"/>
          <w:noProof/>
          <w:szCs w:val="24"/>
        </w:rPr>
      </w:pPr>
      <w:r>
        <w:rPr>
          <w:noProof/>
        </w:rPr>
        <w:t xml:space="preserve">Descrierea principiilor de bază ale procedurilor partenerului de implementare care vizează asigurarea prevenirii, detectării și corectării fraudei, corupției și conflictelor de interese în activitățile partenerului de implementare. </w:t>
      </w:r>
    </w:p>
    <w:p w14:paraId="60E77F15" w14:textId="348DE6EC" w:rsidR="00F53E3A" w:rsidRDefault="0036255F">
      <w:pPr>
        <w:pStyle w:val="P68B1DB1-Normal4"/>
        <w:numPr>
          <w:ilvl w:val="1"/>
          <w:numId w:val="32"/>
        </w:numPr>
        <w:spacing w:after="160" w:line="259" w:lineRule="auto"/>
        <w:jc w:val="both"/>
        <w:rPr>
          <w:rFonts w:eastAsia="Calibri" w:cs="Times New Roman"/>
          <w:noProof/>
          <w:szCs w:val="24"/>
        </w:rPr>
      </w:pPr>
      <w:r>
        <w:rPr>
          <w:noProof/>
        </w:rPr>
        <w:t>Obligația de a verifica eligibilitatea fiecărei operațiuni în conformitate cu cerințele prevăzute în acordul de finanțare (sau într-o modificare a unui acord existent privind fondul de fonduri) înainte de a se angaja să finanțeze o operațiune.</w:t>
      </w:r>
    </w:p>
    <w:p w14:paraId="2C03307B" w14:textId="218AFB78" w:rsidR="00F53E3A" w:rsidRDefault="0036255F">
      <w:pPr>
        <w:pStyle w:val="P68B1DB1-Normal4"/>
        <w:numPr>
          <w:ilvl w:val="1"/>
          <w:numId w:val="32"/>
        </w:numPr>
        <w:spacing w:after="160" w:line="259" w:lineRule="auto"/>
        <w:jc w:val="both"/>
        <w:rPr>
          <w:rFonts w:eastAsia="Calibri" w:cs="Times New Roman"/>
          <w:noProof/>
          <w:szCs w:val="24"/>
        </w:rPr>
      </w:pPr>
      <w:r>
        <w:rPr>
          <w:noProof/>
        </w:rPr>
        <w:t xml:space="preserve">Obligația de a efectua controale ex post bazate pe riscuri, în conformitate cu un plan de controale interne al INVEGA. Aceste verificări verifică i) dacă sistemele de control din cadrul INVEGA sunt eficace, inclusiv detectarea fraudei, a corupției și a conflictelor de interese; respectarea principiului DNSH și a normelor privind ajutoarele de stat; și iii) respectarea cerinței ca beneficiarii finali ai mecanismului să nu fi primit sprijin din partea altor instrumente ale Uniunii pentru a acoperi aceleași costuri. Auditurile verifică, de asemenea, legalitatea tranzacțiilor și dacă sunt respectate condițiile acordului de finanțare aplicabil (sau ale unei modificări a unui acord existent privind fondul de fonduri). </w:t>
      </w:r>
    </w:p>
    <w:p w14:paraId="3114B05A" w14:textId="5D3BCBC5" w:rsidR="00F53E3A" w:rsidRDefault="0036255F">
      <w:pPr>
        <w:pStyle w:val="ListParagraph"/>
        <w:numPr>
          <w:ilvl w:val="0"/>
          <w:numId w:val="30"/>
        </w:numPr>
        <w:rPr>
          <w:rFonts w:ascii="Times New Roman" w:eastAsia="Calibri" w:hAnsi="Times New Roman" w:cs="Times New Roman"/>
          <w:noProof/>
          <w:sz w:val="24"/>
          <w:szCs w:val="24"/>
        </w:rPr>
      </w:pPr>
      <w:r>
        <w:rPr>
          <w:rFonts w:ascii="Times New Roman" w:hAnsi="Times New Roman"/>
          <w:noProof/>
          <w:sz w:val="24"/>
        </w:rPr>
        <w:t>Cerințe de raportare pentru investițiile în domeniul climei pentru facilitate</w:t>
      </w:r>
      <w:r>
        <w:rPr>
          <w:rStyle w:val="FootnoteReference"/>
          <w:rFonts w:ascii="Times New Roman" w:eastAsia="Calibri" w:hAnsi="Times New Roman" w:cs="Times New Roman"/>
          <w:noProof/>
          <w:sz w:val="24"/>
        </w:rPr>
        <w:footnoteReference w:id="24"/>
      </w:r>
      <w:r>
        <w:rPr>
          <w:rFonts w:ascii="Times New Roman" w:hAnsi="Times New Roman"/>
          <w:noProof/>
          <w:sz w:val="24"/>
        </w:rPr>
        <w:t>.</w:t>
      </w:r>
    </w:p>
    <w:p w14:paraId="67340EB9" w14:textId="77777777" w:rsidR="00F53E3A" w:rsidRDefault="0036255F">
      <w:pPr>
        <w:pStyle w:val="P68B1DB1-Normal4"/>
        <w:ind w:left="360"/>
        <w:jc w:val="both"/>
        <w:rPr>
          <w:rFonts w:eastAsia="Times New Roman" w:cs="Times New Roman"/>
          <w:noProof/>
          <w:szCs w:val="24"/>
        </w:rPr>
      </w:pPr>
      <w:r>
        <w:rPr>
          <w:noProof/>
        </w:rPr>
        <w:t>Punerea în aplicare a măsurii se finalizează până la 31 august 2026.</w:t>
      </w:r>
    </w:p>
    <w:p w14:paraId="221D794A" w14:textId="7FDC7A75" w:rsidR="00F53E3A" w:rsidRDefault="00F53E3A">
      <w:pPr>
        <w:spacing w:before="120" w:after="120" w:line="240" w:lineRule="auto"/>
        <w:jc w:val="both"/>
        <w:rPr>
          <w:rFonts w:ascii="Times New Roman" w:eastAsia="Times New Roman" w:hAnsi="Times New Roman" w:cs="Times New Roman"/>
          <w:noProof/>
          <w:sz w:val="24"/>
        </w:rPr>
      </w:pPr>
    </w:p>
    <w:p w14:paraId="7F2E54FB" w14:textId="377E9C68" w:rsidR="00F53E3A" w:rsidRDefault="00F53E3A">
      <w:pPr>
        <w:pStyle w:val="Text1"/>
        <w:rPr>
          <w:noProof/>
        </w:rPr>
        <w:sectPr w:rsidR="00F53E3A" w:rsidSect="0074650A">
          <w:headerReference w:type="even" r:id="rId162"/>
          <w:headerReference w:type="default" r:id="rId163"/>
          <w:footerReference w:type="even" r:id="rId164"/>
          <w:footerReference w:type="default" r:id="rId165"/>
          <w:headerReference w:type="first" r:id="rId166"/>
          <w:footerReference w:type="first" r:id="rId167"/>
          <w:pgSz w:w="11907" w:h="16839"/>
          <w:pgMar w:top="1134" w:right="1134" w:bottom="1134" w:left="1134" w:header="567" w:footer="567" w:gutter="0"/>
          <w:cols w:space="720"/>
          <w:docGrid w:linePitch="360"/>
        </w:sectPr>
      </w:pPr>
    </w:p>
    <w:p w14:paraId="604B7557" w14:textId="77777777" w:rsidR="00F53E3A" w:rsidRDefault="0036255F">
      <w:pPr>
        <w:pStyle w:val="P68B1DB1-Text15"/>
        <w:keepNext/>
        <w:keepLines/>
        <w:spacing w:before="0" w:after="200" w:line="276" w:lineRule="auto"/>
        <w:ind w:left="0"/>
        <w:jc w:val="center"/>
        <w:outlineLvl w:val="1"/>
        <w:rPr>
          <w:noProof/>
        </w:rPr>
      </w:pPr>
      <w:r>
        <w:rPr>
          <w:noProof/>
        </w:rPr>
        <w:t>H.4. Jaloane, ținte, indicatori și calendarul de monitorizare și implementare aplicabile împrumutului</w:t>
      </w:r>
    </w:p>
    <w:tbl>
      <w:tblPr>
        <w:tblW w:w="15283" w:type="dxa"/>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ayout w:type="fixed"/>
        <w:tblLook w:val="04A0" w:firstRow="1" w:lastRow="0" w:firstColumn="1" w:lastColumn="0" w:noHBand="0" w:noVBand="1"/>
      </w:tblPr>
      <w:tblGrid>
        <w:gridCol w:w="605"/>
        <w:gridCol w:w="1805"/>
        <w:gridCol w:w="1134"/>
        <w:gridCol w:w="1701"/>
        <w:gridCol w:w="1597"/>
        <w:gridCol w:w="851"/>
        <w:gridCol w:w="992"/>
        <w:gridCol w:w="992"/>
        <w:gridCol w:w="1134"/>
        <w:gridCol w:w="671"/>
        <w:gridCol w:w="3801"/>
      </w:tblGrid>
      <w:tr w:rsidR="00F53E3A" w14:paraId="77100A5F" w14:textId="77777777" w:rsidTr="00E04E3B">
        <w:trPr>
          <w:tblHeader/>
        </w:trPr>
        <w:tc>
          <w:tcPr>
            <w:tcW w:w="605"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047D475" w14:textId="62E4BB27" w:rsidR="00F53E3A" w:rsidRDefault="0035684C">
            <w:pPr>
              <w:pStyle w:val="P68B1DB1-Normal9"/>
              <w:spacing w:before="60" w:after="60"/>
              <w:jc w:val="center"/>
              <w:rPr>
                <w:rFonts w:cs="Times New Roman"/>
                <w:noProof/>
              </w:rPr>
            </w:pPr>
            <w:r>
              <w:rPr>
                <w:noProof/>
              </w:rPr>
              <w:t>Nr.</w:t>
            </w:r>
          </w:p>
        </w:tc>
        <w:tc>
          <w:tcPr>
            <w:tcW w:w="1805"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EAE515E" w14:textId="77777777" w:rsidR="00F53E3A" w:rsidRDefault="0036255F">
            <w:pPr>
              <w:pStyle w:val="P68B1DB1-Normal9"/>
              <w:spacing w:before="60" w:after="60"/>
              <w:jc w:val="center"/>
              <w:rPr>
                <w:rFonts w:cs="Times New Roman"/>
                <w:noProof/>
              </w:rPr>
            </w:pPr>
            <w:r>
              <w:rPr>
                <w:noProof/>
              </w:rPr>
              <w:t>Măsură conexă (reformă sau investiții)</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4F60E95" w14:textId="2C832877" w:rsidR="00F53E3A" w:rsidRDefault="0036255F">
            <w:pPr>
              <w:pStyle w:val="P68B1DB1-Normal9"/>
              <w:spacing w:before="60" w:after="60"/>
              <w:jc w:val="center"/>
              <w:rPr>
                <w:rFonts w:cs="Times New Roman"/>
                <w:noProof/>
              </w:rPr>
            </w:pPr>
            <w:r>
              <w:rPr>
                <w:noProof/>
              </w:rPr>
              <w:t>Etapă/</w:t>
            </w:r>
            <w:r w:rsidR="00E04E3B">
              <w:rPr>
                <w:noProof/>
              </w:rPr>
              <w:t xml:space="preserve"> </w:t>
            </w:r>
            <w:r>
              <w:rPr>
                <w:noProof/>
              </w:rPr>
              <w:t>Obiectiv</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E9A428C" w14:textId="77777777" w:rsidR="00F53E3A" w:rsidRDefault="0036255F">
            <w:pPr>
              <w:pStyle w:val="P68B1DB1-Normal9"/>
              <w:spacing w:before="60" w:after="60"/>
              <w:jc w:val="center"/>
              <w:rPr>
                <w:rFonts w:cs="Times New Roman"/>
                <w:noProof/>
              </w:rPr>
            </w:pPr>
            <w:r>
              <w:rPr>
                <w:noProof/>
              </w:rPr>
              <w:t>Titlu</w:t>
            </w:r>
          </w:p>
        </w:tc>
        <w:tc>
          <w:tcPr>
            <w:tcW w:w="1597"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EF7B539" w14:textId="66DD3FD4" w:rsidR="00F53E3A" w:rsidRDefault="0036255F">
            <w:pPr>
              <w:pStyle w:val="P68B1DB1-Normal10"/>
              <w:spacing w:before="60" w:after="60"/>
              <w:jc w:val="center"/>
              <w:rPr>
                <w:rFonts w:ascii="Times New Roman" w:hAnsi="Times New Roman" w:cs="Times New Roman"/>
                <w:b/>
                <w:noProof/>
              </w:rPr>
            </w:pPr>
            <w:r>
              <w:rPr>
                <w:rFonts w:ascii="Times New Roman" w:hAnsi="Times New Roman"/>
                <w:b/>
                <w:noProof/>
              </w:rPr>
              <w:t>Indicatori calitativi</w:t>
            </w:r>
            <w:r>
              <w:rPr>
                <w:noProof/>
              </w:rPr>
              <w:t xml:space="preserve"> </w:t>
            </w:r>
            <w:r>
              <w:rPr>
                <w:noProof/>
              </w:rPr>
              <w:br/>
            </w:r>
            <w:r>
              <w:rPr>
                <w:rFonts w:ascii="Times New Roman" w:hAnsi="Times New Roman"/>
                <w:b/>
                <w:noProof/>
              </w:rPr>
              <w:t>(pentru jaloane)</w:t>
            </w:r>
          </w:p>
        </w:tc>
        <w:tc>
          <w:tcPr>
            <w:tcW w:w="2835"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FF026AC" w14:textId="77777777" w:rsidR="00F53E3A" w:rsidRDefault="0036255F">
            <w:pPr>
              <w:pStyle w:val="P68B1DB1-Normal10"/>
              <w:spacing w:before="60" w:after="60"/>
              <w:jc w:val="center"/>
              <w:rPr>
                <w:rFonts w:ascii="Times New Roman" w:hAnsi="Times New Roman" w:cs="Times New Roman"/>
                <w:b/>
                <w:noProof/>
              </w:rPr>
            </w:pPr>
            <w:r>
              <w:rPr>
                <w:rFonts w:ascii="Times New Roman" w:hAnsi="Times New Roman"/>
                <w:b/>
                <w:noProof/>
              </w:rPr>
              <w:t>Indicatori cantitativi</w:t>
            </w:r>
            <w:r>
              <w:rPr>
                <w:noProof/>
              </w:rPr>
              <w:t xml:space="preserve"> </w:t>
            </w:r>
            <w:r>
              <w:rPr>
                <w:noProof/>
              </w:rPr>
              <w:br/>
            </w:r>
            <w:r>
              <w:rPr>
                <w:rFonts w:ascii="Times New Roman" w:hAnsi="Times New Roman"/>
                <w:b/>
                <w:noProof/>
              </w:rPr>
              <w:t>(pentru obiective)</w:t>
            </w:r>
          </w:p>
        </w:tc>
        <w:tc>
          <w:tcPr>
            <w:tcW w:w="1805"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B085B98" w14:textId="48FE3F0D" w:rsidR="00F53E3A" w:rsidRDefault="0036255F">
            <w:pPr>
              <w:pStyle w:val="P68B1DB1-Normal9"/>
              <w:spacing w:before="60" w:after="60"/>
              <w:jc w:val="center"/>
              <w:rPr>
                <w:rFonts w:cs="Times New Roman"/>
                <w:noProof/>
              </w:rPr>
            </w:pPr>
            <w:r>
              <w:rPr>
                <w:noProof/>
              </w:rPr>
              <w:t>Calendar orientativ pentru finalizare</w:t>
            </w:r>
          </w:p>
        </w:tc>
        <w:tc>
          <w:tcPr>
            <w:tcW w:w="3801"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AAE9828" w14:textId="77777777" w:rsidR="00F53E3A" w:rsidRDefault="0036255F">
            <w:pPr>
              <w:pStyle w:val="P68B1DB1-Normal9"/>
              <w:spacing w:before="60" w:after="60"/>
              <w:jc w:val="center"/>
              <w:rPr>
                <w:rFonts w:cs="Times New Roman"/>
                <w:noProof/>
              </w:rPr>
            </w:pPr>
            <w:r>
              <w:rPr>
                <w:noProof/>
              </w:rPr>
              <w:t>Descrierea și definiția clară a fiecărui obiectiv de etapă și a fiecărei ținte</w:t>
            </w:r>
          </w:p>
        </w:tc>
      </w:tr>
      <w:tr w:rsidR="00F53E3A" w14:paraId="398F3760" w14:textId="77777777" w:rsidTr="00E04E3B">
        <w:trPr>
          <w:tblHeader/>
        </w:trPr>
        <w:tc>
          <w:tcPr>
            <w:tcW w:w="605" w:type="dxa"/>
            <w:vMerge/>
            <w:tcBorders>
              <w:top w:val="single" w:sz="4" w:space="0" w:color="auto"/>
              <w:left w:val="single" w:sz="4" w:space="0" w:color="auto"/>
              <w:bottom w:val="single" w:sz="4" w:space="0" w:color="auto"/>
              <w:right w:val="single" w:sz="4" w:space="0" w:color="auto"/>
            </w:tcBorders>
            <w:vAlign w:val="center"/>
          </w:tcPr>
          <w:p w14:paraId="3D6AE888" w14:textId="77777777" w:rsidR="00F53E3A" w:rsidRDefault="00F53E3A">
            <w:pPr>
              <w:spacing w:before="60" w:after="60"/>
              <w:jc w:val="center"/>
              <w:rPr>
                <w:rFonts w:ascii="Times New Roman" w:hAnsi="Times New Roman" w:cs="Times New Roman"/>
                <w:b/>
                <w:noProof/>
                <w:sz w:val="20"/>
              </w:rPr>
            </w:pPr>
          </w:p>
        </w:tc>
        <w:tc>
          <w:tcPr>
            <w:tcW w:w="1805" w:type="dxa"/>
            <w:vMerge/>
            <w:tcBorders>
              <w:top w:val="single" w:sz="4" w:space="0" w:color="auto"/>
              <w:left w:val="single" w:sz="4" w:space="0" w:color="auto"/>
              <w:bottom w:val="single" w:sz="4" w:space="0" w:color="auto"/>
              <w:right w:val="single" w:sz="4" w:space="0" w:color="auto"/>
            </w:tcBorders>
            <w:vAlign w:val="center"/>
          </w:tcPr>
          <w:p w14:paraId="4967735C" w14:textId="77777777" w:rsidR="00F53E3A" w:rsidRDefault="00F53E3A">
            <w:pPr>
              <w:spacing w:before="60" w:after="60"/>
              <w:rPr>
                <w:rFonts w:ascii="Times New Roman" w:hAnsi="Times New Roman" w:cs="Times New Roman"/>
                <w:b/>
                <w:noProof/>
                <w:sz w:val="20"/>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20C174FA" w14:textId="77777777" w:rsidR="00F53E3A" w:rsidRDefault="00F53E3A">
            <w:pPr>
              <w:spacing w:before="60" w:after="60"/>
              <w:jc w:val="center"/>
              <w:rPr>
                <w:rFonts w:ascii="Times New Roman" w:hAnsi="Times New Roman" w:cs="Times New Roman"/>
                <w:b/>
                <w:noProof/>
                <w:sz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38B16B85" w14:textId="77777777" w:rsidR="00F53E3A" w:rsidRDefault="00F53E3A">
            <w:pPr>
              <w:spacing w:before="60" w:after="60"/>
              <w:rPr>
                <w:rFonts w:ascii="Times New Roman" w:hAnsi="Times New Roman" w:cs="Times New Roman"/>
                <w:b/>
                <w:noProof/>
                <w:sz w:val="20"/>
              </w:rPr>
            </w:pPr>
          </w:p>
        </w:tc>
        <w:tc>
          <w:tcPr>
            <w:tcW w:w="1597" w:type="dxa"/>
            <w:vMerge/>
            <w:tcBorders>
              <w:top w:val="single" w:sz="4" w:space="0" w:color="auto"/>
              <w:left w:val="single" w:sz="4" w:space="0" w:color="auto"/>
              <w:bottom w:val="single" w:sz="4" w:space="0" w:color="auto"/>
              <w:right w:val="single" w:sz="4" w:space="0" w:color="auto"/>
            </w:tcBorders>
            <w:vAlign w:val="center"/>
          </w:tcPr>
          <w:p w14:paraId="097698D9" w14:textId="77777777" w:rsidR="00F53E3A" w:rsidRDefault="00F53E3A">
            <w:pPr>
              <w:spacing w:before="60" w:after="60"/>
              <w:rPr>
                <w:rFonts w:ascii="Times New Roman" w:hAnsi="Times New Roman" w:cs="Times New Roman"/>
                <w:b/>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5D273E8" w14:textId="77777777" w:rsidR="00F53E3A" w:rsidRDefault="0036255F">
            <w:pPr>
              <w:pStyle w:val="P68B1DB1-Normal9"/>
              <w:spacing w:before="60" w:after="60"/>
              <w:jc w:val="center"/>
              <w:rPr>
                <w:rFonts w:cs="Times New Roman"/>
                <w:noProof/>
              </w:rPr>
            </w:pPr>
            <w:r>
              <w:rPr>
                <w:noProof/>
              </w:rPr>
              <w:t>Unitate</w:t>
            </w:r>
          </w:p>
        </w:tc>
        <w:tc>
          <w:tcPr>
            <w:tcW w:w="992"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5B5522B" w14:textId="77777777" w:rsidR="00F53E3A" w:rsidRDefault="0036255F">
            <w:pPr>
              <w:pStyle w:val="P68B1DB1-Normal9"/>
              <w:spacing w:before="60" w:after="60"/>
              <w:jc w:val="center"/>
              <w:rPr>
                <w:rFonts w:cs="Times New Roman"/>
                <w:noProof/>
              </w:rPr>
            </w:pPr>
            <w:r>
              <w:rPr>
                <w:noProof/>
              </w:rPr>
              <w:t>Situația de referință</w:t>
            </w:r>
          </w:p>
        </w:tc>
        <w:tc>
          <w:tcPr>
            <w:tcW w:w="992"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81DE8A7" w14:textId="77777777" w:rsidR="00F53E3A" w:rsidRDefault="0036255F">
            <w:pPr>
              <w:pStyle w:val="P68B1DB1-Normal9"/>
              <w:spacing w:before="60" w:after="60"/>
              <w:jc w:val="center"/>
              <w:rPr>
                <w:rFonts w:cs="Times New Roman"/>
                <w:noProof/>
              </w:rPr>
            </w:pPr>
            <w:r>
              <w:rPr>
                <w:noProof/>
              </w:rPr>
              <w:t>Obiectiv</w:t>
            </w:r>
          </w:p>
        </w:tc>
        <w:tc>
          <w:tcPr>
            <w:tcW w:w="1134"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E732EE0" w14:textId="77777777" w:rsidR="00F53E3A" w:rsidRDefault="0036255F">
            <w:pPr>
              <w:pStyle w:val="P68B1DB1-Normal9"/>
              <w:spacing w:before="60" w:after="60"/>
              <w:jc w:val="center"/>
              <w:rPr>
                <w:rFonts w:cs="Times New Roman"/>
                <w:noProof/>
              </w:rPr>
            </w:pPr>
            <w:r>
              <w:rPr>
                <w:noProof/>
              </w:rPr>
              <w:t>Trimestru</w:t>
            </w:r>
          </w:p>
        </w:tc>
        <w:tc>
          <w:tcPr>
            <w:tcW w:w="671"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3DA29E9" w14:textId="77777777" w:rsidR="00F53E3A" w:rsidRDefault="0036255F">
            <w:pPr>
              <w:pStyle w:val="P68B1DB1-Normal9"/>
              <w:spacing w:before="60" w:after="60"/>
              <w:jc w:val="center"/>
              <w:rPr>
                <w:rFonts w:cs="Times New Roman"/>
                <w:noProof/>
              </w:rPr>
            </w:pPr>
            <w:r>
              <w:rPr>
                <w:noProof/>
              </w:rPr>
              <w:t>Anul</w:t>
            </w:r>
          </w:p>
        </w:tc>
        <w:tc>
          <w:tcPr>
            <w:tcW w:w="3801" w:type="dxa"/>
            <w:vMerge/>
            <w:tcBorders>
              <w:top w:val="single" w:sz="4" w:space="0" w:color="auto"/>
              <w:left w:val="single" w:sz="4" w:space="0" w:color="auto"/>
              <w:bottom w:val="single" w:sz="4" w:space="0" w:color="auto"/>
              <w:right w:val="single" w:sz="4" w:space="0" w:color="auto"/>
            </w:tcBorders>
            <w:vAlign w:val="center"/>
          </w:tcPr>
          <w:p w14:paraId="63867DA6" w14:textId="77777777" w:rsidR="00F53E3A" w:rsidRDefault="00F53E3A">
            <w:pPr>
              <w:spacing w:before="60" w:after="60"/>
              <w:rPr>
                <w:rFonts w:ascii="Times New Roman" w:hAnsi="Times New Roman" w:cs="Times New Roman"/>
                <w:b/>
                <w:noProof/>
                <w:sz w:val="20"/>
              </w:rPr>
            </w:pPr>
          </w:p>
        </w:tc>
      </w:tr>
      <w:tr w:rsidR="00F53E3A" w14:paraId="682821F5" w14:textId="77777777" w:rsidTr="00E04E3B">
        <w:trPr>
          <w:trHeight w:val="300"/>
        </w:trPr>
        <w:tc>
          <w:tcPr>
            <w:tcW w:w="60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9D36A0F" w14:textId="4CCB21E4" w:rsidR="00F53E3A" w:rsidRDefault="0036255F">
            <w:pPr>
              <w:pStyle w:val="P68B1DB1-Normal12"/>
              <w:spacing w:before="60" w:after="60"/>
              <w:jc w:val="center"/>
              <w:rPr>
                <w:rFonts w:eastAsia="Times New Roman" w:cs="Times New Roman"/>
                <w:noProof/>
              </w:rPr>
            </w:pPr>
            <w:r>
              <w:rPr>
                <w:noProof/>
              </w:rPr>
              <w:t>204</w:t>
            </w:r>
          </w:p>
        </w:tc>
        <w:tc>
          <w:tcPr>
            <w:tcW w:w="180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E98BFC7" w14:textId="0D9CD58F" w:rsidR="00F53E3A" w:rsidRDefault="0036255F">
            <w:pPr>
              <w:pStyle w:val="P68B1DB1-Normal12"/>
              <w:spacing w:before="60" w:after="60"/>
              <w:rPr>
                <w:rFonts w:eastAsia="Times New Roman" w:cs="Times New Roman"/>
                <w:noProof/>
              </w:rPr>
            </w:pPr>
            <w:r>
              <w:rPr>
                <w:noProof/>
              </w:rPr>
              <w:t>H.3.1. Sprijin pentru investiții în centrale SRE (solare, eoliene și hibride onshore) și în instalații de stocare a energiei electrice</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5021892" w14:textId="4639D841" w:rsidR="00F53E3A" w:rsidRDefault="0036255F">
            <w:pPr>
              <w:pStyle w:val="P68B1DB1-Normal12"/>
              <w:spacing w:before="60" w:after="60"/>
              <w:jc w:val="center"/>
              <w:rPr>
                <w:rFonts w:eastAsia="Times New Roman"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C758CCD" w14:textId="5A051BB5" w:rsidR="00F53E3A" w:rsidRDefault="0036255F">
            <w:pPr>
              <w:pStyle w:val="P68B1DB1-Normal12"/>
              <w:spacing w:before="60" w:after="60"/>
              <w:rPr>
                <w:rFonts w:eastAsia="Times New Roman" w:cs="Times New Roman"/>
                <w:noProof/>
              </w:rPr>
            </w:pPr>
            <w:r>
              <w:rPr>
                <w:noProof/>
              </w:rPr>
              <w:t>Acord de finanțare (sau o modificare a unui acord existent privind fondul de fonduri)</w:t>
            </w:r>
          </w:p>
        </w:tc>
        <w:tc>
          <w:tcPr>
            <w:tcW w:w="159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4A786BC" w14:textId="1104D21D" w:rsidR="00F53E3A" w:rsidRDefault="0036255F">
            <w:pPr>
              <w:pStyle w:val="P68B1DB1-Normal12"/>
              <w:spacing w:before="60" w:after="60"/>
              <w:rPr>
                <w:rFonts w:eastAsia="Times New Roman" w:cs="Times New Roman"/>
                <w:noProof/>
              </w:rPr>
            </w:pPr>
            <w:r>
              <w:rPr>
                <w:noProof/>
              </w:rPr>
              <w:t>Intrarea în vigoare a acordului de finanțare (sau a unei modificări a unui acord existent privind fondul de fonduri)</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9E8DAA6" w14:textId="22E5634D" w:rsidR="00F53E3A" w:rsidRDefault="00F53E3A">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518F1FD" w14:textId="75824D88" w:rsidR="00F53E3A" w:rsidRDefault="00F53E3A">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9084F07" w14:textId="7E434385" w:rsidR="00F53E3A" w:rsidRDefault="00F53E3A">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CC8A66" w14:textId="3CF4601D" w:rsidR="00F53E3A" w:rsidRDefault="00DB2EC5">
            <w:pPr>
              <w:pStyle w:val="P68B1DB1-Normal12"/>
              <w:spacing w:before="60" w:after="60"/>
              <w:jc w:val="center"/>
              <w:rPr>
                <w:rFonts w:eastAsia="Times New Roman" w:cs="Times New Roman"/>
                <w:noProof/>
              </w:rPr>
            </w:pPr>
            <w:r>
              <w:rPr>
                <w:noProof/>
              </w:rPr>
              <w:t>T4</w:t>
            </w:r>
          </w:p>
        </w:tc>
        <w:tc>
          <w:tcPr>
            <w:tcW w:w="67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7E63023" w14:textId="6F992B0C" w:rsidR="00F53E3A" w:rsidRDefault="0036255F">
            <w:pPr>
              <w:pStyle w:val="P68B1DB1-Normal12"/>
              <w:spacing w:before="60" w:after="60"/>
              <w:jc w:val="center"/>
              <w:rPr>
                <w:rFonts w:eastAsia="Times New Roman" w:cs="Times New Roman"/>
                <w:noProof/>
              </w:rPr>
            </w:pPr>
            <w:r>
              <w:rPr>
                <w:noProof/>
              </w:rPr>
              <w:t>2023</w:t>
            </w:r>
          </w:p>
        </w:tc>
        <w:tc>
          <w:tcPr>
            <w:tcW w:w="38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D19AB0" w14:textId="00FD5078" w:rsidR="00F53E3A" w:rsidRDefault="0036255F">
            <w:pPr>
              <w:pStyle w:val="P68B1DB1-Normal12"/>
              <w:spacing w:before="60" w:after="60"/>
              <w:jc w:val="both"/>
              <w:rPr>
                <w:rFonts w:eastAsia="Times New Roman" w:cs="Times New Roman"/>
                <w:noProof/>
              </w:rPr>
            </w:pPr>
            <w:r>
              <w:rPr>
                <w:noProof/>
              </w:rPr>
              <w:t>Intrarea în vigoare a acordului de finanțare (sau a unei modificări a unui acord existent privind fondul de fonduri).</w:t>
            </w:r>
          </w:p>
        </w:tc>
      </w:tr>
      <w:tr w:rsidR="00F53E3A" w14:paraId="48EB5FAE" w14:textId="77777777" w:rsidTr="00E04E3B">
        <w:trPr>
          <w:trHeight w:val="300"/>
        </w:trPr>
        <w:tc>
          <w:tcPr>
            <w:tcW w:w="60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9C9CF50" w14:textId="30FED4F4" w:rsidR="00F53E3A" w:rsidRDefault="0036255F">
            <w:pPr>
              <w:pStyle w:val="P68B1DB1-Normal12"/>
              <w:spacing w:before="60" w:after="60"/>
              <w:jc w:val="center"/>
              <w:rPr>
                <w:rFonts w:eastAsia="Times New Roman" w:cs="Times New Roman"/>
                <w:noProof/>
              </w:rPr>
            </w:pPr>
            <w:r>
              <w:rPr>
                <w:noProof/>
              </w:rPr>
              <w:t>205</w:t>
            </w:r>
          </w:p>
        </w:tc>
        <w:tc>
          <w:tcPr>
            <w:tcW w:w="180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91AC4BE" w14:textId="54B986FF" w:rsidR="00F53E3A" w:rsidRDefault="0036255F">
            <w:pPr>
              <w:pStyle w:val="P68B1DB1-Normal12"/>
              <w:spacing w:before="60" w:after="60"/>
              <w:rPr>
                <w:rFonts w:eastAsia="Times New Roman" w:cs="Times New Roman"/>
                <w:noProof/>
              </w:rPr>
            </w:pPr>
            <w:r>
              <w:rPr>
                <w:noProof/>
              </w:rPr>
              <w:t>H.3.1. Sprijin pentru investiții în centrale SRE (solare, eoliene și hibride onshore) și în instalații de stocare a energiei electrice</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785035" w14:textId="5460FFDB" w:rsidR="00F53E3A" w:rsidRDefault="0036255F">
            <w:pPr>
              <w:pStyle w:val="P68B1DB1-Normal12"/>
              <w:spacing w:before="60" w:after="60"/>
              <w:jc w:val="center"/>
              <w:rPr>
                <w:rFonts w:eastAsia="Times New Roman"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F028BD5" w14:textId="22A4D1DE" w:rsidR="00F53E3A" w:rsidRDefault="0036255F">
            <w:pPr>
              <w:pStyle w:val="P68B1DB1-Normal12"/>
              <w:spacing w:before="60" w:after="60"/>
              <w:rPr>
                <w:rFonts w:eastAsia="Calibri" w:cs="Times New Roman"/>
                <w:noProof/>
              </w:rPr>
            </w:pPr>
            <w:r>
              <w:rPr>
                <w:noProof/>
              </w:rPr>
              <w:t>Publicarea cererii de candidaturi de către Instituția Națională de Promovare</w:t>
            </w:r>
          </w:p>
        </w:tc>
        <w:tc>
          <w:tcPr>
            <w:tcW w:w="159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D9E56BE" w14:textId="23969142" w:rsidR="00F53E3A" w:rsidRDefault="0036255F">
            <w:pPr>
              <w:pStyle w:val="P68B1DB1-Normal12"/>
              <w:spacing w:before="60" w:after="60"/>
              <w:rPr>
                <w:rFonts w:eastAsia="Calibri" w:cs="Times New Roman"/>
                <w:noProof/>
              </w:rPr>
            </w:pPr>
            <w:r>
              <w:rPr>
                <w:noProof/>
              </w:rPr>
              <w:t xml:space="preserve">Publicarea cererii de propuneri </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CF98A6A" w14:textId="34998550" w:rsidR="00F53E3A" w:rsidRDefault="00F53E3A">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884CBD" w14:textId="74F7CD3D" w:rsidR="00F53E3A" w:rsidRDefault="00F53E3A">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6023977" w14:textId="6EB3FE43" w:rsidR="00F53E3A" w:rsidRDefault="00F53E3A">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347877" w14:textId="03E87DE2" w:rsidR="00F53E3A" w:rsidRDefault="00DB2EC5">
            <w:pPr>
              <w:pStyle w:val="P68B1DB1-Normal12"/>
              <w:spacing w:before="60" w:after="60"/>
              <w:jc w:val="center"/>
              <w:rPr>
                <w:rFonts w:eastAsia="Times New Roman" w:cs="Times New Roman"/>
                <w:noProof/>
              </w:rPr>
            </w:pPr>
            <w:r>
              <w:rPr>
                <w:noProof/>
              </w:rPr>
              <w:t>T3</w:t>
            </w:r>
          </w:p>
        </w:tc>
        <w:tc>
          <w:tcPr>
            <w:tcW w:w="67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422F59D" w14:textId="6C55EF78" w:rsidR="00F53E3A" w:rsidRDefault="0036255F">
            <w:pPr>
              <w:pStyle w:val="P68B1DB1-Normal12"/>
              <w:spacing w:before="60" w:after="60"/>
              <w:jc w:val="center"/>
              <w:rPr>
                <w:rFonts w:eastAsia="Times New Roman" w:cs="Times New Roman"/>
                <w:noProof/>
              </w:rPr>
            </w:pPr>
            <w:r>
              <w:rPr>
                <w:noProof/>
              </w:rPr>
              <w:t>2024</w:t>
            </w:r>
          </w:p>
        </w:tc>
        <w:tc>
          <w:tcPr>
            <w:tcW w:w="38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2020B84" w14:textId="1104CC56" w:rsidR="00F53E3A" w:rsidRDefault="0036255F">
            <w:pPr>
              <w:pStyle w:val="P68B1DB1-Normal12"/>
              <w:spacing w:before="60" w:after="60"/>
              <w:jc w:val="both"/>
              <w:rPr>
                <w:rFonts w:eastAsia="Times New Roman" w:cs="Times New Roman"/>
                <w:noProof/>
              </w:rPr>
            </w:pPr>
            <w:r>
              <w:rPr>
                <w:noProof/>
              </w:rPr>
              <w:t>INVEGA lansează o cerere de propuneri pentru ca entitățile private (inclusiv entitățile publice care concurează în cadrul aceleiași cereri de propuneri) să depună cereri de împrumuturi în conformitate cu cerințele specificate în descrierea măsurii.</w:t>
            </w:r>
          </w:p>
        </w:tc>
      </w:tr>
      <w:tr w:rsidR="00F53E3A" w14:paraId="29252031" w14:textId="77777777" w:rsidTr="00E04E3B">
        <w:trPr>
          <w:trHeight w:val="300"/>
        </w:trPr>
        <w:tc>
          <w:tcPr>
            <w:tcW w:w="60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70B1110" w14:textId="66DB1FBC" w:rsidR="00F53E3A" w:rsidRDefault="0036255F">
            <w:pPr>
              <w:pStyle w:val="P68B1DB1-Normal12"/>
              <w:spacing w:before="60" w:after="60"/>
              <w:jc w:val="center"/>
              <w:rPr>
                <w:rFonts w:eastAsia="Times New Roman" w:cs="Times New Roman"/>
                <w:noProof/>
              </w:rPr>
            </w:pPr>
            <w:r>
              <w:rPr>
                <w:noProof/>
              </w:rPr>
              <w:t>206</w:t>
            </w:r>
          </w:p>
        </w:tc>
        <w:tc>
          <w:tcPr>
            <w:tcW w:w="180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9A8659" w14:textId="6C7CB961" w:rsidR="00F53E3A" w:rsidRDefault="0036255F">
            <w:pPr>
              <w:pStyle w:val="P68B1DB1-Normal12"/>
              <w:spacing w:before="60" w:after="60"/>
              <w:rPr>
                <w:rFonts w:eastAsia="Times New Roman" w:cs="Times New Roman"/>
                <w:noProof/>
              </w:rPr>
            </w:pPr>
            <w:r>
              <w:rPr>
                <w:noProof/>
              </w:rPr>
              <w:t>H.3.1. Sprijin pentru investiții în centrale SRE (solare, eoliene și hibride onshore) și în instalații de stocare a energiei electrice</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9210822" w14:textId="4F93FBE5" w:rsidR="00F53E3A" w:rsidRDefault="0036255F">
            <w:pPr>
              <w:pStyle w:val="P68B1DB1-Normal12"/>
              <w:spacing w:before="60" w:after="60"/>
              <w:jc w:val="center"/>
              <w:rPr>
                <w:rFonts w:eastAsia="Times New Roman"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341C74F" w14:textId="5F776364" w:rsidR="00F53E3A" w:rsidRDefault="0036255F">
            <w:pPr>
              <w:pStyle w:val="P68B1DB1-Normal12"/>
              <w:spacing w:before="60" w:after="60"/>
              <w:rPr>
                <w:rFonts w:eastAsia="Times New Roman" w:cs="Times New Roman"/>
                <w:noProof/>
              </w:rPr>
            </w:pPr>
            <w:r>
              <w:rPr>
                <w:noProof/>
              </w:rPr>
              <w:t>Acorduri juridice semnate cu beneficiarii finali</w:t>
            </w:r>
          </w:p>
        </w:tc>
        <w:tc>
          <w:tcPr>
            <w:tcW w:w="159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87FC11" w14:textId="518C3940" w:rsidR="00F53E3A" w:rsidRDefault="00F53E3A">
            <w:pPr>
              <w:spacing w:before="60" w:after="60"/>
              <w:rPr>
                <w:rFonts w:ascii="Times New Roman" w:hAnsi="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4DDCDE7" w14:textId="24ED0CB7" w:rsidR="00F53E3A" w:rsidRDefault="0036255F">
            <w:pPr>
              <w:pStyle w:val="P68B1DB1-Normal12"/>
              <w:spacing w:before="60" w:after="60"/>
              <w:jc w:val="center"/>
              <w:rPr>
                <w:rFonts w:eastAsia="Times New Roman" w:cs="Times New Roman"/>
                <w:noProof/>
              </w:rPr>
            </w:pPr>
            <w:r>
              <w:rPr>
                <w:noProof/>
              </w:rPr>
              <w:t>%</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C30D376" w14:textId="387C6413" w:rsidR="00F53E3A" w:rsidRDefault="0036255F">
            <w:pPr>
              <w:pStyle w:val="P68B1DB1-Normal12"/>
              <w:spacing w:before="60" w:after="60"/>
              <w:jc w:val="center"/>
              <w:rPr>
                <w:rFonts w:eastAsia="Times New Roman" w:cs="Times New Roman"/>
                <w:noProof/>
              </w:rPr>
            </w:pPr>
            <w:r>
              <w:rPr>
                <w:noProof/>
              </w:rPr>
              <w:t>0 %</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82D26B8" w14:textId="5ABC1E27" w:rsidR="00F53E3A" w:rsidRDefault="0036255F">
            <w:pPr>
              <w:pStyle w:val="P68B1DB1-Normal12"/>
              <w:spacing w:before="60" w:after="60"/>
              <w:jc w:val="center"/>
              <w:rPr>
                <w:rFonts w:eastAsia="Times New Roman" w:cs="Times New Roman"/>
                <w:noProof/>
              </w:rPr>
            </w:pPr>
            <w:r>
              <w:rPr>
                <w:noProof/>
              </w:rPr>
              <w:t>20 %</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73313F2" w14:textId="3AB3051F" w:rsidR="00F53E3A" w:rsidRDefault="00DB2EC5">
            <w:pPr>
              <w:pStyle w:val="P68B1DB1-Normal12"/>
              <w:spacing w:before="60" w:after="60"/>
              <w:jc w:val="center"/>
              <w:rPr>
                <w:rFonts w:eastAsia="Times New Roman" w:cs="Times New Roman"/>
                <w:noProof/>
              </w:rPr>
            </w:pPr>
            <w:r>
              <w:rPr>
                <w:noProof/>
              </w:rPr>
              <w:t>T2</w:t>
            </w:r>
          </w:p>
        </w:tc>
        <w:tc>
          <w:tcPr>
            <w:tcW w:w="67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D91001C" w14:textId="36A5953A" w:rsidR="00F53E3A" w:rsidRDefault="0036255F">
            <w:pPr>
              <w:pStyle w:val="P68B1DB1-Normal12"/>
              <w:spacing w:before="60" w:after="60"/>
              <w:jc w:val="center"/>
              <w:rPr>
                <w:rFonts w:eastAsia="Times New Roman" w:cs="Times New Roman"/>
                <w:noProof/>
              </w:rPr>
            </w:pPr>
            <w:r>
              <w:rPr>
                <w:noProof/>
              </w:rPr>
              <w:t>2025</w:t>
            </w:r>
          </w:p>
        </w:tc>
        <w:tc>
          <w:tcPr>
            <w:tcW w:w="38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BDF9CF" w14:textId="355AF533" w:rsidR="00F53E3A" w:rsidRDefault="0036255F">
            <w:pPr>
              <w:pStyle w:val="P68B1DB1-Normal12"/>
              <w:spacing w:before="60" w:after="60"/>
              <w:jc w:val="both"/>
              <w:rPr>
                <w:rFonts w:eastAsia="Times New Roman" w:cs="Times New Roman"/>
                <w:noProof/>
              </w:rPr>
            </w:pPr>
            <w:r>
              <w:rPr>
                <w:noProof/>
              </w:rPr>
              <w:t xml:space="preserve">INVEGA trebuie să fi încheiat acorduri juridice de finanțare cu beneficiarii finali pentru o sumă necesară pentru a utiliza cel puțin 20 % din investițiile MRR în mecanism (ținând seama de comisioanele de gestionare). </w:t>
            </w:r>
          </w:p>
        </w:tc>
      </w:tr>
      <w:tr w:rsidR="00F53E3A" w14:paraId="528CD34A" w14:textId="77777777" w:rsidTr="00E04E3B">
        <w:trPr>
          <w:trHeight w:val="300"/>
        </w:trPr>
        <w:tc>
          <w:tcPr>
            <w:tcW w:w="60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39ECFF8" w14:textId="7317537F" w:rsidR="00F53E3A" w:rsidRDefault="0036255F">
            <w:pPr>
              <w:pStyle w:val="P68B1DB1-Normal12"/>
              <w:spacing w:before="60" w:after="60"/>
              <w:jc w:val="center"/>
              <w:rPr>
                <w:rFonts w:eastAsia="Times New Roman" w:cs="Times New Roman"/>
                <w:noProof/>
              </w:rPr>
            </w:pPr>
            <w:r>
              <w:rPr>
                <w:noProof/>
              </w:rPr>
              <w:t>207</w:t>
            </w:r>
          </w:p>
        </w:tc>
        <w:tc>
          <w:tcPr>
            <w:tcW w:w="180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9D0A0C" w14:textId="07E0A8CA" w:rsidR="00F53E3A" w:rsidRDefault="0036255F">
            <w:pPr>
              <w:pStyle w:val="P68B1DB1-Normal12"/>
              <w:spacing w:before="60" w:after="60"/>
              <w:rPr>
                <w:rFonts w:eastAsia="Times New Roman" w:cs="Times New Roman"/>
                <w:noProof/>
              </w:rPr>
            </w:pPr>
            <w:r>
              <w:rPr>
                <w:noProof/>
              </w:rPr>
              <w:t>H.3.1. Sprijin pentru investiții în centrale SRE (solare, eoliene și hibride onshore) și în instalații de stocare a energiei electrice</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9976DF6" w14:textId="61ECC068" w:rsidR="00F53E3A" w:rsidRDefault="0036255F">
            <w:pPr>
              <w:pStyle w:val="P68B1DB1-Normal12"/>
              <w:spacing w:before="60" w:after="60"/>
              <w:jc w:val="center"/>
              <w:rPr>
                <w:rFonts w:eastAsia="Times New Roman"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1625D17" w14:textId="6D846181" w:rsidR="00F53E3A" w:rsidRDefault="0036255F">
            <w:pPr>
              <w:pStyle w:val="P68B1DB1-Normal12"/>
              <w:spacing w:before="60" w:after="60"/>
              <w:rPr>
                <w:rFonts w:eastAsia="Times New Roman" w:cs="Times New Roman"/>
                <w:noProof/>
              </w:rPr>
            </w:pPr>
            <w:r>
              <w:rPr>
                <w:noProof/>
              </w:rPr>
              <w:t>Acorduri juridice semnate cu beneficiarii finali</w:t>
            </w:r>
          </w:p>
        </w:tc>
        <w:tc>
          <w:tcPr>
            <w:tcW w:w="159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59A3CAE" w14:textId="4A384ED9" w:rsidR="00F53E3A" w:rsidRDefault="00F53E3A">
            <w:pPr>
              <w:spacing w:before="60" w:after="60"/>
              <w:rPr>
                <w:rFonts w:ascii="Times New Roman" w:hAnsi="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916CCD4" w14:textId="2A1B15AA" w:rsidR="00F53E3A" w:rsidRDefault="0036255F">
            <w:pPr>
              <w:pStyle w:val="P68B1DB1-Normal13"/>
              <w:spacing w:before="60" w:after="60"/>
              <w:jc w:val="center"/>
              <w:rPr>
                <w:noProof/>
              </w:rPr>
            </w:pPr>
            <w:r>
              <w:rPr>
                <w:noProof/>
              </w:rPr>
              <w:t>%</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ABCD741" w14:textId="5D5B656A" w:rsidR="00F53E3A" w:rsidRDefault="0036255F">
            <w:pPr>
              <w:pStyle w:val="P68B1DB1-Normal12"/>
              <w:spacing w:before="60" w:after="60"/>
              <w:jc w:val="center"/>
              <w:rPr>
                <w:rFonts w:eastAsia="Times New Roman" w:cs="Times New Roman"/>
                <w:noProof/>
              </w:rPr>
            </w:pPr>
            <w:r>
              <w:rPr>
                <w:noProof/>
              </w:rPr>
              <w:t>20 %</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99AA438" w14:textId="2D8CAA5C" w:rsidR="00F53E3A" w:rsidRDefault="0036255F">
            <w:pPr>
              <w:pStyle w:val="P68B1DB1-Normal12"/>
              <w:spacing w:before="60" w:after="60"/>
              <w:jc w:val="center"/>
              <w:rPr>
                <w:rFonts w:eastAsia="Times New Roman" w:cs="Times New Roman"/>
                <w:noProof/>
              </w:rPr>
            </w:pPr>
            <w:r>
              <w:rPr>
                <w:noProof/>
              </w:rPr>
              <w:t>100 %</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9AB663" w14:textId="06493E54" w:rsidR="00F53E3A" w:rsidRDefault="00DB2EC5">
            <w:pPr>
              <w:pStyle w:val="P68B1DB1-Normal12"/>
              <w:spacing w:before="60" w:after="60"/>
              <w:jc w:val="center"/>
              <w:rPr>
                <w:rFonts w:eastAsia="Times New Roman" w:cs="Times New Roman"/>
                <w:noProof/>
              </w:rPr>
            </w:pPr>
            <w:r>
              <w:rPr>
                <w:noProof/>
              </w:rPr>
              <w:t>T2</w:t>
            </w:r>
          </w:p>
        </w:tc>
        <w:tc>
          <w:tcPr>
            <w:tcW w:w="67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53B6BA" w14:textId="07E7C8CE" w:rsidR="00F53E3A" w:rsidRDefault="0036255F">
            <w:pPr>
              <w:pStyle w:val="P68B1DB1-Normal12"/>
              <w:spacing w:before="60" w:after="60"/>
              <w:jc w:val="center"/>
              <w:rPr>
                <w:rFonts w:eastAsia="Times New Roman" w:cs="Times New Roman"/>
                <w:noProof/>
              </w:rPr>
            </w:pPr>
            <w:r>
              <w:rPr>
                <w:noProof/>
              </w:rPr>
              <w:t>2026</w:t>
            </w:r>
          </w:p>
        </w:tc>
        <w:tc>
          <w:tcPr>
            <w:tcW w:w="38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495D158" w14:textId="77EF29C0" w:rsidR="00F53E3A" w:rsidRDefault="0036255F">
            <w:pPr>
              <w:pStyle w:val="P68B1DB1-Normal12"/>
              <w:spacing w:before="60" w:after="60"/>
              <w:jc w:val="both"/>
              <w:rPr>
                <w:rFonts w:eastAsia="Times New Roman" w:cs="Times New Roman"/>
                <w:noProof/>
              </w:rPr>
            </w:pPr>
            <w:r>
              <w:rPr>
                <w:noProof/>
              </w:rPr>
              <w:t>INVEGA trebuie să fi încheiat acorduri juridice de finanțare cu beneficiarii finali pentru o sumă necesară pentru a utiliza 100 % din investițiile MRR în mecanism (ținând seama de comisioanele de gestionare).</w:t>
            </w:r>
          </w:p>
        </w:tc>
      </w:tr>
      <w:tr w:rsidR="00F53E3A" w14:paraId="30911237" w14:textId="77777777" w:rsidTr="00E04E3B">
        <w:trPr>
          <w:trHeight w:val="300"/>
        </w:trPr>
        <w:tc>
          <w:tcPr>
            <w:tcW w:w="60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1C275BE" w14:textId="40E28BCA" w:rsidR="00F53E3A" w:rsidRDefault="0036255F">
            <w:pPr>
              <w:pStyle w:val="P68B1DB1-Normal12"/>
              <w:spacing w:before="60" w:after="60"/>
              <w:jc w:val="center"/>
              <w:rPr>
                <w:rFonts w:eastAsia="Times New Roman" w:cs="Times New Roman"/>
                <w:noProof/>
              </w:rPr>
            </w:pPr>
            <w:r>
              <w:rPr>
                <w:noProof/>
              </w:rPr>
              <w:t>208</w:t>
            </w:r>
          </w:p>
        </w:tc>
        <w:tc>
          <w:tcPr>
            <w:tcW w:w="180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2BE71F" w14:textId="50B80C3F" w:rsidR="00F53E3A" w:rsidRDefault="0036255F">
            <w:pPr>
              <w:pStyle w:val="P68B1DB1-Normal12"/>
              <w:spacing w:before="60" w:after="60"/>
              <w:rPr>
                <w:noProof/>
              </w:rPr>
            </w:pPr>
            <w:r>
              <w:rPr>
                <w:noProof/>
              </w:rPr>
              <w:t>H.3.1. Sprijin pentru investiții în centrale SRE (solare, eoliene și hibride onshore) și în instalații de stocare a energiei electrice</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B4E55B9" w14:textId="4733E9C0" w:rsidR="00F53E3A" w:rsidRDefault="0036255F">
            <w:pPr>
              <w:pStyle w:val="P68B1DB1-Normal12"/>
              <w:spacing w:before="60" w:after="60"/>
              <w:jc w:val="center"/>
              <w:rPr>
                <w:rFonts w:eastAsia="Times New Roman"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73B5C4A" w14:textId="190F6E7C" w:rsidR="00F53E3A" w:rsidRDefault="0036255F">
            <w:pPr>
              <w:pStyle w:val="P68B1DB1-Normal12"/>
              <w:spacing w:before="60" w:after="60"/>
              <w:rPr>
                <w:noProof/>
              </w:rPr>
            </w:pPr>
            <w:r>
              <w:rPr>
                <w:noProof/>
              </w:rPr>
              <w:t>Transferul investițiilor MRR către mecanism</w:t>
            </w:r>
          </w:p>
        </w:tc>
        <w:tc>
          <w:tcPr>
            <w:tcW w:w="159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B508B07" w14:textId="3ACD4915" w:rsidR="00F53E3A" w:rsidRDefault="0036255F">
            <w:pPr>
              <w:pStyle w:val="P68B1DB1-Normal12"/>
              <w:spacing w:before="60" w:after="60"/>
              <w:rPr>
                <w:rFonts w:eastAsia="Times New Roman" w:cs="Times New Roman"/>
                <w:noProof/>
              </w:rPr>
            </w:pPr>
            <w:r>
              <w:rPr>
                <w:noProof/>
              </w:rPr>
              <w:t>Certificat sau altă dovadă echivalentă a transferului</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BF26708" w14:textId="77777777" w:rsidR="00F53E3A" w:rsidRDefault="00F53E3A">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676F6E" w14:textId="77777777" w:rsidR="00F53E3A" w:rsidRDefault="00F53E3A">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42A9A6A" w14:textId="77777777" w:rsidR="00F53E3A" w:rsidRDefault="00F53E3A">
            <w:pPr>
              <w:spacing w:before="60" w:after="60"/>
              <w:jc w:val="center"/>
              <w:rPr>
                <w:rFonts w:ascii="Times New Roman" w:eastAsia="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172AAFA" w14:textId="76AE7564" w:rsidR="00F53E3A" w:rsidRDefault="00DB2EC5">
            <w:pPr>
              <w:pStyle w:val="P68B1DB1-Normal12"/>
              <w:spacing w:before="60" w:after="60"/>
              <w:jc w:val="center"/>
              <w:rPr>
                <w:rFonts w:eastAsia="Times New Roman" w:cs="Times New Roman"/>
                <w:noProof/>
              </w:rPr>
            </w:pPr>
            <w:r>
              <w:rPr>
                <w:noProof/>
              </w:rPr>
              <w:t>T2</w:t>
            </w:r>
          </w:p>
        </w:tc>
        <w:tc>
          <w:tcPr>
            <w:tcW w:w="67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71603D4" w14:textId="5431996D" w:rsidR="00F53E3A" w:rsidRDefault="0036255F">
            <w:pPr>
              <w:pStyle w:val="P68B1DB1-Normal12"/>
              <w:spacing w:before="60" w:after="60"/>
              <w:jc w:val="center"/>
              <w:rPr>
                <w:rFonts w:eastAsia="Times New Roman" w:cs="Times New Roman"/>
                <w:noProof/>
              </w:rPr>
            </w:pPr>
            <w:r>
              <w:rPr>
                <w:noProof/>
              </w:rPr>
              <w:t>2026</w:t>
            </w:r>
          </w:p>
        </w:tc>
        <w:tc>
          <w:tcPr>
            <w:tcW w:w="38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9D88AC" w14:textId="01103BA2" w:rsidR="00F53E3A" w:rsidRDefault="0036255F">
            <w:pPr>
              <w:pStyle w:val="P68B1DB1-Normal12"/>
              <w:spacing w:before="60" w:after="60"/>
              <w:jc w:val="both"/>
              <w:rPr>
                <w:rFonts w:eastAsia="Times New Roman" w:cs="Times New Roman"/>
                <w:noProof/>
              </w:rPr>
            </w:pPr>
            <w:r>
              <w:rPr>
                <w:noProof/>
              </w:rPr>
              <w:t>Lituania transferă 549 130 737 EUR către INVEGA pentru facilitate.</w:t>
            </w:r>
          </w:p>
        </w:tc>
      </w:tr>
    </w:tbl>
    <w:p w14:paraId="079A9F3C" w14:textId="42C19011" w:rsidR="00F53E3A" w:rsidRDefault="00F53E3A">
      <w:pPr>
        <w:pStyle w:val="Text1"/>
        <w:ind w:left="0"/>
        <w:rPr>
          <w:noProof/>
        </w:rPr>
        <w:sectPr w:rsidR="00F53E3A" w:rsidSect="0074650A">
          <w:headerReference w:type="even" r:id="rId168"/>
          <w:headerReference w:type="default" r:id="rId169"/>
          <w:footerReference w:type="even" r:id="rId170"/>
          <w:footerReference w:type="default" r:id="rId171"/>
          <w:headerReference w:type="first" r:id="rId172"/>
          <w:footerReference w:type="first" r:id="rId173"/>
          <w:pgSz w:w="16839" w:h="11907" w:orient="landscape"/>
          <w:pgMar w:top="1134" w:right="1134" w:bottom="1134" w:left="1134" w:header="567" w:footer="567" w:gutter="0"/>
          <w:cols w:space="720"/>
          <w:docGrid w:linePitch="360"/>
        </w:sectPr>
      </w:pPr>
    </w:p>
    <w:p w14:paraId="22CBC772" w14:textId="15CE33A3" w:rsidR="00F53E3A" w:rsidRDefault="0036255F">
      <w:pPr>
        <w:pStyle w:val="P68B1DB1-NumPar13"/>
        <w:spacing w:before="360" w:after="360"/>
        <w:ind w:left="851" w:hanging="851"/>
        <w:rPr>
          <w:noProof/>
        </w:rPr>
      </w:pPr>
      <w:r>
        <w:rPr>
          <w:noProof/>
        </w:rPr>
        <w:t>Costul total estimat al planului de redresare și reziliență</w:t>
      </w:r>
    </w:p>
    <w:p w14:paraId="7EAF15E9" w14:textId="3112DDD2" w:rsidR="00F53E3A" w:rsidRDefault="0036255F">
      <w:pPr>
        <w:pStyle w:val="Text1"/>
        <w:spacing w:before="0" w:after="200" w:line="276" w:lineRule="auto"/>
        <w:ind w:left="0"/>
        <w:rPr>
          <w:noProof/>
        </w:rPr>
      </w:pPr>
      <w:r>
        <w:rPr>
          <w:noProof/>
        </w:rPr>
        <w:t>Costurile totale estimate ale planului de redresare și reziliență al Lituaniei sunt de</w:t>
      </w:r>
      <w:r>
        <w:rPr>
          <w:noProof/>
          <w:sz w:val="20"/>
        </w:rPr>
        <w:t xml:space="preserve"> </w:t>
      </w:r>
      <w:r>
        <w:rPr>
          <w:noProof/>
        </w:rPr>
        <w:t>3</w:t>
      </w:r>
      <w:r w:rsidR="00E04E3B">
        <w:rPr>
          <w:noProof/>
          <w:sz w:val="20"/>
        </w:rPr>
        <w:t> </w:t>
      </w:r>
      <w:r>
        <w:rPr>
          <w:noProof/>
        </w:rPr>
        <w:t>849</w:t>
      </w:r>
      <w:r w:rsidR="00E04E3B">
        <w:rPr>
          <w:noProof/>
          <w:sz w:val="20"/>
        </w:rPr>
        <w:t> </w:t>
      </w:r>
      <w:r>
        <w:rPr>
          <w:noProof/>
        </w:rPr>
        <w:t>237</w:t>
      </w:r>
      <w:r w:rsidR="00E04E3B">
        <w:rPr>
          <w:noProof/>
          <w:sz w:val="20"/>
        </w:rPr>
        <w:t> </w:t>
      </w:r>
      <w:r>
        <w:rPr>
          <w:noProof/>
        </w:rPr>
        <w:t>823 EUR.</w:t>
      </w:r>
    </w:p>
    <w:p w14:paraId="06036ED8" w14:textId="2415065D" w:rsidR="00F53E3A" w:rsidRDefault="0036255F">
      <w:pPr>
        <w:jc w:val="both"/>
        <w:rPr>
          <w:rFonts w:ascii="Times New Roman" w:hAnsi="Times New Roman" w:cs="Times New Roman"/>
          <w:noProof/>
          <w:sz w:val="24"/>
        </w:rPr>
      </w:pPr>
      <w:r>
        <w:rPr>
          <w:rFonts w:ascii="Times New Roman" w:hAnsi="Times New Roman" w:cs="Times New Roman"/>
          <w:noProof/>
          <w:sz w:val="24"/>
        </w:rPr>
        <w:t>Costurile totale estimate ale capitolului REPowerEU sunt de</w:t>
      </w:r>
      <w:r>
        <w:rPr>
          <w:rFonts w:ascii="Times New Roman" w:hAnsi="Times New Roman"/>
          <w:noProof/>
          <w:sz w:val="20"/>
        </w:rPr>
        <w:t xml:space="preserve"> </w:t>
      </w:r>
      <w:r>
        <w:rPr>
          <w:rFonts w:ascii="Times New Roman" w:hAnsi="Times New Roman" w:cs="Times New Roman"/>
          <w:noProof/>
          <w:sz w:val="24"/>
        </w:rPr>
        <w:t>758</w:t>
      </w:r>
      <w:r>
        <w:rPr>
          <w:rFonts w:ascii="Times New Roman" w:hAnsi="Times New Roman"/>
          <w:noProof/>
          <w:sz w:val="20"/>
        </w:rPr>
        <w:t xml:space="preserve"> </w:t>
      </w:r>
      <w:r>
        <w:rPr>
          <w:rFonts w:ascii="Times New Roman" w:hAnsi="Times New Roman" w:cs="Times New Roman"/>
          <w:noProof/>
          <w:sz w:val="24"/>
        </w:rPr>
        <w:t>889</w:t>
      </w:r>
      <w:r>
        <w:rPr>
          <w:rFonts w:ascii="Times New Roman" w:hAnsi="Times New Roman"/>
          <w:noProof/>
          <w:sz w:val="20"/>
        </w:rPr>
        <w:t xml:space="preserve"> </w:t>
      </w:r>
      <w:r>
        <w:rPr>
          <w:rFonts w:ascii="Times New Roman" w:hAnsi="Times New Roman" w:cs="Times New Roman"/>
          <w:noProof/>
          <w:sz w:val="24"/>
        </w:rPr>
        <w:t>839 EUR. În special, costurile totale estimate ale măsurilor menționate la articolul 21c alineatul (3) litera (a) din Regulamentul</w:t>
      </w:r>
      <w:r w:rsidR="00E04E3B">
        <w:rPr>
          <w:rFonts w:ascii="Times New Roman" w:hAnsi="Times New Roman"/>
          <w:noProof/>
          <w:sz w:val="20"/>
        </w:rPr>
        <w:t> </w:t>
      </w:r>
      <w:r>
        <w:rPr>
          <w:rFonts w:ascii="Times New Roman" w:hAnsi="Times New Roman" w:cs="Times New Roman"/>
          <w:noProof/>
          <w:sz w:val="24"/>
        </w:rPr>
        <w:t>(UE) nr. 2023/435 sunt de 0</w:t>
      </w:r>
      <w:r>
        <w:rPr>
          <w:rFonts w:ascii="Times New Roman" w:hAnsi="Times New Roman"/>
          <w:noProof/>
          <w:sz w:val="20"/>
        </w:rPr>
        <w:t xml:space="preserve"> </w:t>
      </w:r>
      <w:r>
        <w:rPr>
          <w:rFonts w:ascii="Times New Roman" w:hAnsi="Times New Roman" w:cs="Times New Roman"/>
          <w:noProof/>
          <w:sz w:val="24"/>
        </w:rPr>
        <w:t>EUR, în timp ce costurile celorlalte măsuri din capitolul</w:t>
      </w:r>
      <w:r w:rsidR="00E04E3B">
        <w:rPr>
          <w:rFonts w:ascii="Times New Roman" w:hAnsi="Times New Roman" w:cs="Times New Roman"/>
          <w:noProof/>
          <w:sz w:val="24"/>
        </w:rPr>
        <w:t> </w:t>
      </w:r>
      <w:r>
        <w:rPr>
          <w:rFonts w:ascii="Times New Roman" w:hAnsi="Times New Roman" w:cs="Times New Roman"/>
          <w:noProof/>
          <w:sz w:val="24"/>
        </w:rPr>
        <w:t>REPowerEU sunt de 758</w:t>
      </w:r>
      <w:r>
        <w:rPr>
          <w:rFonts w:ascii="Times New Roman" w:hAnsi="Times New Roman"/>
          <w:noProof/>
          <w:sz w:val="20"/>
        </w:rPr>
        <w:t xml:space="preserve"> </w:t>
      </w:r>
      <w:r>
        <w:rPr>
          <w:rFonts w:ascii="Times New Roman" w:hAnsi="Times New Roman" w:cs="Times New Roman"/>
          <w:noProof/>
          <w:sz w:val="24"/>
        </w:rPr>
        <w:t>889</w:t>
      </w:r>
      <w:r>
        <w:rPr>
          <w:rFonts w:ascii="Times New Roman" w:hAnsi="Times New Roman"/>
          <w:noProof/>
          <w:sz w:val="20"/>
        </w:rPr>
        <w:t xml:space="preserve"> </w:t>
      </w:r>
      <w:r>
        <w:rPr>
          <w:rFonts w:ascii="Times New Roman" w:hAnsi="Times New Roman" w:cs="Times New Roman"/>
          <w:noProof/>
          <w:sz w:val="24"/>
        </w:rPr>
        <w:t>839</w:t>
      </w:r>
      <w:r>
        <w:rPr>
          <w:rFonts w:ascii="Times New Roman" w:hAnsi="Times New Roman"/>
          <w:noProof/>
          <w:sz w:val="20"/>
        </w:rPr>
        <w:t xml:space="preserve"> </w:t>
      </w:r>
      <w:r>
        <w:rPr>
          <w:rFonts w:ascii="Times New Roman" w:hAnsi="Times New Roman" w:cs="Times New Roman"/>
          <w:noProof/>
          <w:sz w:val="24"/>
        </w:rPr>
        <w:t>EUR.</w:t>
      </w:r>
    </w:p>
    <w:p w14:paraId="1E584B6D" w14:textId="6824B9FF" w:rsidR="00F53E3A" w:rsidRDefault="0036255F">
      <w:pPr>
        <w:pStyle w:val="P68B1DB1-Heading12"/>
        <w:numPr>
          <w:ilvl w:val="0"/>
          <w:numId w:val="0"/>
        </w:numPr>
        <w:spacing w:after="200"/>
        <w:rPr>
          <w:noProof/>
        </w:rPr>
      </w:pPr>
      <w:r>
        <w:rPr>
          <w:noProof/>
        </w:rPr>
        <w:t>Secțiunea 2: Sprijin financiar</w:t>
      </w:r>
    </w:p>
    <w:p w14:paraId="4B7F036C" w14:textId="4F77C921" w:rsidR="00F53E3A" w:rsidRDefault="0036255F">
      <w:pPr>
        <w:pStyle w:val="P68B1DB1-Normal35"/>
        <w:numPr>
          <w:ilvl w:val="0"/>
          <w:numId w:val="39"/>
        </w:numPr>
        <w:spacing w:before="360" w:after="360" w:line="240" w:lineRule="auto"/>
        <w:jc w:val="both"/>
        <w:rPr>
          <w:noProof/>
        </w:rPr>
      </w:pPr>
      <w:r>
        <w:rPr>
          <w:noProof/>
        </w:rPr>
        <w:t>Financiară adecvată</w:t>
      </w:r>
    </w:p>
    <w:p w14:paraId="62B31701" w14:textId="77777777" w:rsidR="00F53E3A" w:rsidRDefault="0036255F">
      <w:pPr>
        <w:pStyle w:val="P68B1DB1-Normal36"/>
        <w:spacing w:after="240" w:line="240" w:lineRule="atLeast"/>
        <w:jc w:val="both"/>
        <w:rPr>
          <w:noProof/>
        </w:rPr>
      </w:pPr>
      <w:r>
        <w:rPr>
          <w:noProof/>
        </w:rPr>
        <w:t>Tranșele menționate la articolul 2 alineatul (2) se organizează după cum urmează:</w:t>
      </w:r>
    </w:p>
    <w:p w14:paraId="0B867A3A" w14:textId="41984DF2" w:rsidR="00F53E3A" w:rsidRDefault="0036255F">
      <w:pPr>
        <w:pStyle w:val="P68B1DB1-ListParagraph37"/>
        <w:keepNext/>
        <w:keepLines/>
        <w:numPr>
          <w:ilvl w:val="1"/>
          <w:numId w:val="41"/>
        </w:numPr>
        <w:spacing w:after="120" w:line="240" w:lineRule="atLeast"/>
        <w:ind w:left="357" w:hanging="357"/>
        <w:jc w:val="both"/>
        <w:rPr>
          <w:noProof/>
        </w:rPr>
      </w:pPr>
      <w:r>
        <w:rPr>
          <w:noProof/>
        </w:rPr>
        <w:t>Prima tranșă (sprijin nerambursabil):</w:t>
      </w:r>
    </w:p>
    <w:tbl>
      <w:tblPr>
        <w:tblW w:w="9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70" w:type="dxa"/>
          <w:bottom w:w="15" w:type="dxa"/>
          <w:right w:w="70" w:type="dxa"/>
        </w:tblCellMar>
        <w:tblLook w:val="04A0" w:firstRow="1" w:lastRow="0" w:firstColumn="1" w:lastColumn="0" w:noHBand="0" w:noVBand="1"/>
      </w:tblPr>
      <w:tblGrid>
        <w:gridCol w:w="1308"/>
        <w:gridCol w:w="3583"/>
        <w:gridCol w:w="1275"/>
        <w:gridCol w:w="3613"/>
      </w:tblGrid>
      <w:tr w:rsidR="00F53E3A" w14:paraId="7A76873A" w14:textId="77777777">
        <w:trPr>
          <w:cantSplit/>
          <w:trHeight w:val="300"/>
          <w:tblHeader/>
        </w:trPr>
        <w:tc>
          <w:tcPr>
            <w:tcW w:w="1308" w:type="dxa"/>
            <w:shd w:val="clear" w:color="auto" w:fill="BDD7EE"/>
            <w:vAlign w:val="center"/>
          </w:tcPr>
          <w:p w14:paraId="410BB606" w14:textId="77777777" w:rsidR="00F53E3A" w:rsidRDefault="0036255F">
            <w:pPr>
              <w:pStyle w:val="P68B1DB1-Normal38"/>
              <w:spacing w:after="0"/>
              <w:jc w:val="center"/>
              <w:rPr>
                <w:bCs/>
                <w:noProof/>
                <w:szCs w:val="22"/>
              </w:rPr>
            </w:pPr>
            <w:r>
              <w:rPr>
                <w:noProof/>
              </w:rPr>
              <w:t>Număr secvențial</w:t>
            </w:r>
          </w:p>
        </w:tc>
        <w:tc>
          <w:tcPr>
            <w:tcW w:w="3583" w:type="dxa"/>
            <w:shd w:val="clear" w:color="auto" w:fill="BDD7EE"/>
            <w:vAlign w:val="center"/>
          </w:tcPr>
          <w:p w14:paraId="7952CB6F" w14:textId="77777777" w:rsidR="00F53E3A" w:rsidRDefault="0036255F">
            <w:pPr>
              <w:pStyle w:val="P68B1DB1-Normal38"/>
              <w:spacing w:after="0"/>
              <w:jc w:val="center"/>
              <w:rPr>
                <w:bCs/>
                <w:noProof/>
                <w:szCs w:val="22"/>
              </w:rPr>
            </w:pPr>
            <w:r>
              <w:rPr>
                <w:noProof/>
              </w:rPr>
              <w:t xml:space="preserve">Măsură conexă </w:t>
            </w:r>
            <w:r>
              <w:rPr>
                <w:noProof/>
              </w:rPr>
              <w:br/>
              <w:t>(Reformă sau investiție)</w:t>
            </w:r>
          </w:p>
        </w:tc>
        <w:tc>
          <w:tcPr>
            <w:tcW w:w="1275" w:type="dxa"/>
            <w:shd w:val="clear" w:color="auto" w:fill="BDD7EE"/>
            <w:vAlign w:val="center"/>
          </w:tcPr>
          <w:p w14:paraId="7853578F" w14:textId="55A1EB56" w:rsidR="00F53E3A" w:rsidRDefault="0036255F">
            <w:pPr>
              <w:pStyle w:val="P68B1DB1-Normal38"/>
              <w:spacing w:after="0"/>
              <w:jc w:val="center"/>
              <w:rPr>
                <w:bCs/>
                <w:noProof/>
                <w:szCs w:val="22"/>
              </w:rPr>
            </w:pPr>
            <w:r>
              <w:rPr>
                <w:noProof/>
              </w:rPr>
              <w:t>Etapă/</w:t>
            </w:r>
            <w:r w:rsidR="00E04E3B">
              <w:rPr>
                <w:noProof/>
              </w:rPr>
              <w:t xml:space="preserve"> </w:t>
            </w:r>
            <w:r>
              <w:rPr>
                <w:noProof/>
              </w:rPr>
              <w:t>Obiectiv</w:t>
            </w:r>
          </w:p>
        </w:tc>
        <w:tc>
          <w:tcPr>
            <w:tcW w:w="3613" w:type="dxa"/>
            <w:shd w:val="clear" w:color="auto" w:fill="BDD7EE"/>
            <w:vAlign w:val="center"/>
          </w:tcPr>
          <w:p w14:paraId="3052FB11" w14:textId="77777777" w:rsidR="00F53E3A" w:rsidRDefault="0036255F">
            <w:pPr>
              <w:pStyle w:val="P68B1DB1-Normal38"/>
              <w:spacing w:after="0"/>
              <w:jc w:val="center"/>
              <w:rPr>
                <w:bCs/>
                <w:noProof/>
                <w:szCs w:val="22"/>
              </w:rPr>
            </w:pPr>
            <w:r>
              <w:rPr>
                <w:noProof/>
              </w:rPr>
              <w:t>Nume</w:t>
            </w:r>
          </w:p>
        </w:tc>
      </w:tr>
      <w:tr w:rsidR="00F53E3A" w14:paraId="1C636355" w14:textId="77777777">
        <w:trPr>
          <w:cantSplit/>
          <w:trHeight w:val="300"/>
        </w:trPr>
        <w:tc>
          <w:tcPr>
            <w:tcW w:w="1308" w:type="dxa"/>
            <w:shd w:val="clear" w:color="auto" w:fill="EAF1DD" w:themeFill="accent3" w:themeFillTint="33"/>
            <w:noWrap/>
            <w:vAlign w:val="center"/>
            <w:hideMark/>
          </w:tcPr>
          <w:p w14:paraId="302EA3EC" w14:textId="77777777" w:rsidR="00F53E3A" w:rsidRDefault="0036255F">
            <w:pPr>
              <w:pStyle w:val="P68B1DB1-Normal39"/>
              <w:spacing w:after="0"/>
              <w:jc w:val="center"/>
              <w:rPr>
                <w:noProof/>
                <w:szCs w:val="22"/>
              </w:rPr>
            </w:pPr>
            <w:r>
              <w:rPr>
                <w:noProof/>
              </w:rPr>
              <w:t>21</w:t>
            </w:r>
          </w:p>
        </w:tc>
        <w:tc>
          <w:tcPr>
            <w:tcW w:w="3583" w:type="dxa"/>
            <w:shd w:val="clear" w:color="auto" w:fill="EAF1DD" w:themeFill="accent3" w:themeFillTint="33"/>
            <w:hideMark/>
          </w:tcPr>
          <w:p w14:paraId="08536549" w14:textId="77777777" w:rsidR="00F53E3A" w:rsidRDefault="0036255F">
            <w:pPr>
              <w:pStyle w:val="P68B1DB1-Normal39"/>
              <w:spacing w:after="0"/>
              <w:jc w:val="both"/>
              <w:rPr>
                <w:noProof/>
                <w:szCs w:val="22"/>
              </w:rPr>
            </w:pPr>
            <w:r>
              <w:rPr>
                <w:noProof/>
              </w:rPr>
              <w:t>B.1.1 Energie electrică mai durabilă produsă în țară</w:t>
            </w:r>
          </w:p>
        </w:tc>
        <w:tc>
          <w:tcPr>
            <w:tcW w:w="1275" w:type="dxa"/>
            <w:shd w:val="clear" w:color="auto" w:fill="EAF1DD" w:themeFill="accent3" w:themeFillTint="33"/>
            <w:hideMark/>
          </w:tcPr>
          <w:p w14:paraId="02615F1D" w14:textId="77777777" w:rsidR="00F53E3A" w:rsidRDefault="0036255F">
            <w:pPr>
              <w:pStyle w:val="P68B1DB1-Normal39"/>
              <w:spacing w:after="0"/>
              <w:jc w:val="center"/>
              <w:rPr>
                <w:noProof/>
                <w:szCs w:val="22"/>
              </w:rPr>
            </w:pPr>
            <w:r>
              <w:rPr>
                <w:noProof/>
              </w:rPr>
              <w:t>Etapă</w:t>
            </w:r>
          </w:p>
        </w:tc>
        <w:tc>
          <w:tcPr>
            <w:tcW w:w="3613" w:type="dxa"/>
            <w:shd w:val="clear" w:color="auto" w:fill="EAF1DD" w:themeFill="accent3" w:themeFillTint="33"/>
            <w:hideMark/>
          </w:tcPr>
          <w:p w14:paraId="6C8A9AD9" w14:textId="77777777" w:rsidR="00F53E3A" w:rsidRDefault="0036255F">
            <w:pPr>
              <w:pStyle w:val="P68B1DB1-Normal39"/>
              <w:spacing w:after="0"/>
              <w:jc w:val="both"/>
              <w:rPr>
                <w:noProof/>
                <w:szCs w:val="22"/>
              </w:rPr>
            </w:pPr>
            <w:r>
              <w:rPr>
                <w:noProof/>
              </w:rPr>
              <w:t>Intrarea în vigoare a legislației de îmbunătățire a mecanismelor instituționale și juridice de promovare a producției, transportului și consumului de energie electrică din surse regenerabile</w:t>
            </w:r>
          </w:p>
        </w:tc>
      </w:tr>
      <w:tr w:rsidR="00F53E3A" w14:paraId="7A6E2597" w14:textId="77777777">
        <w:trPr>
          <w:cantSplit/>
          <w:trHeight w:val="300"/>
        </w:trPr>
        <w:tc>
          <w:tcPr>
            <w:tcW w:w="1308" w:type="dxa"/>
            <w:shd w:val="clear" w:color="auto" w:fill="EAF1DD" w:themeFill="accent3" w:themeFillTint="33"/>
            <w:noWrap/>
            <w:vAlign w:val="center"/>
            <w:hideMark/>
          </w:tcPr>
          <w:p w14:paraId="2BE67F09" w14:textId="77777777" w:rsidR="00F53E3A" w:rsidRDefault="0036255F">
            <w:pPr>
              <w:pStyle w:val="P68B1DB1-Normal39"/>
              <w:spacing w:after="0"/>
              <w:jc w:val="center"/>
              <w:rPr>
                <w:noProof/>
                <w:szCs w:val="22"/>
              </w:rPr>
            </w:pPr>
            <w:r>
              <w:rPr>
                <w:noProof/>
              </w:rPr>
              <w:t>28</w:t>
            </w:r>
          </w:p>
        </w:tc>
        <w:tc>
          <w:tcPr>
            <w:tcW w:w="3583" w:type="dxa"/>
            <w:shd w:val="clear" w:color="auto" w:fill="EAF1DD" w:themeFill="accent3" w:themeFillTint="33"/>
            <w:hideMark/>
          </w:tcPr>
          <w:p w14:paraId="44A436DD" w14:textId="77777777" w:rsidR="00F53E3A" w:rsidRDefault="0036255F">
            <w:pPr>
              <w:pStyle w:val="P68B1DB1-Normal39"/>
              <w:spacing w:after="0"/>
              <w:jc w:val="both"/>
              <w:rPr>
                <w:noProof/>
                <w:szCs w:val="22"/>
              </w:rPr>
            </w:pPr>
            <w:r>
              <w:rPr>
                <w:noProof/>
              </w:rPr>
              <w:t>B.1.2 Deplasarea fără poluarea mediului</w:t>
            </w:r>
          </w:p>
        </w:tc>
        <w:tc>
          <w:tcPr>
            <w:tcW w:w="1275" w:type="dxa"/>
            <w:shd w:val="clear" w:color="auto" w:fill="EAF1DD" w:themeFill="accent3" w:themeFillTint="33"/>
            <w:hideMark/>
          </w:tcPr>
          <w:p w14:paraId="6AD997C5" w14:textId="77777777" w:rsidR="00F53E3A" w:rsidRDefault="0036255F">
            <w:pPr>
              <w:pStyle w:val="P68B1DB1-Normal39"/>
              <w:spacing w:after="0"/>
              <w:jc w:val="center"/>
              <w:rPr>
                <w:noProof/>
                <w:szCs w:val="22"/>
              </w:rPr>
            </w:pPr>
            <w:r>
              <w:rPr>
                <w:noProof/>
              </w:rPr>
              <w:t>Etapă</w:t>
            </w:r>
          </w:p>
        </w:tc>
        <w:tc>
          <w:tcPr>
            <w:tcW w:w="3613" w:type="dxa"/>
            <w:shd w:val="clear" w:color="auto" w:fill="EAF1DD" w:themeFill="accent3" w:themeFillTint="33"/>
            <w:hideMark/>
          </w:tcPr>
          <w:p w14:paraId="38A05874" w14:textId="77777777" w:rsidR="00F53E3A" w:rsidRDefault="0036255F">
            <w:pPr>
              <w:pStyle w:val="P68B1DB1-Normal39"/>
              <w:spacing w:after="0"/>
              <w:jc w:val="both"/>
              <w:rPr>
                <w:noProof/>
                <w:szCs w:val="22"/>
              </w:rPr>
            </w:pPr>
            <w:r>
              <w:rPr>
                <w:noProof/>
              </w:rPr>
              <w:t>Intrarea în vigoare a unui cadru legislativ de stabilire a unei proceduri de determinare a cerințelor de eficiență energetică și de protecție a mediului pentru achiziționarea de vehicule de transport rutier și pentru cazurile în care acestea sunt obligatorii</w:t>
            </w:r>
          </w:p>
        </w:tc>
      </w:tr>
      <w:tr w:rsidR="00F53E3A" w14:paraId="5B5544C9" w14:textId="77777777">
        <w:trPr>
          <w:cantSplit/>
          <w:trHeight w:val="300"/>
        </w:trPr>
        <w:tc>
          <w:tcPr>
            <w:tcW w:w="1308" w:type="dxa"/>
            <w:shd w:val="clear" w:color="auto" w:fill="EAF1DD" w:themeFill="accent3" w:themeFillTint="33"/>
            <w:noWrap/>
            <w:vAlign w:val="center"/>
            <w:hideMark/>
          </w:tcPr>
          <w:p w14:paraId="6EA50EAF" w14:textId="77777777" w:rsidR="00F53E3A" w:rsidRDefault="0036255F">
            <w:pPr>
              <w:pStyle w:val="P68B1DB1-Normal39"/>
              <w:spacing w:after="0"/>
              <w:jc w:val="center"/>
              <w:rPr>
                <w:noProof/>
                <w:szCs w:val="22"/>
              </w:rPr>
            </w:pPr>
            <w:r>
              <w:rPr>
                <w:noProof/>
              </w:rPr>
              <w:t>29</w:t>
            </w:r>
          </w:p>
        </w:tc>
        <w:tc>
          <w:tcPr>
            <w:tcW w:w="3583" w:type="dxa"/>
            <w:shd w:val="clear" w:color="auto" w:fill="EAF1DD" w:themeFill="accent3" w:themeFillTint="33"/>
            <w:hideMark/>
          </w:tcPr>
          <w:p w14:paraId="4D314117" w14:textId="77777777" w:rsidR="00F53E3A" w:rsidRDefault="0036255F">
            <w:pPr>
              <w:pStyle w:val="P68B1DB1-Normal39"/>
              <w:spacing w:after="0"/>
              <w:jc w:val="both"/>
              <w:rPr>
                <w:noProof/>
                <w:szCs w:val="22"/>
              </w:rPr>
            </w:pPr>
            <w:r>
              <w:rPr>
                <w:noProof/>
              </w:rPr>
              <w:t xml:space="preserve">B.1.2 Deplasarea fără poluarea mediului </w:t>
            </w:r>
          </w:p>
        </w:tc>
        <w:tc>
          <w:tcPr>
            <w:tcW w:w="1275" w:type="dxa"/>
            <w:shd w:val="clear" w:color="auto" w:fill="EAF1DD" w:themeFill="accent3" w:themeFillTint="33"/>
            <w:hideMark/>
          </w:tcPr>
          <w:p w14:paraId="759AF062" w14:textId="77777777" w:rsidR="00F53E3A" w:rsidRDefault="0036255F">
            <w:pPr>
              <w:pStyle w:val="P68B1DB1-Normal39"/>
              <w:spacing w:after="0"/>
              <w:jc w:val="center"/>
              <w:rPr>
                <w:noProof/>
                <w:szCs w:val="22"/>
              </w:rPr>
            </w:pPr>
            <w:r>
              <w:rPr>
                <w:noProof/>
              </w:rPr>
              <w:t>Etapă</w:t>
            </w:r>
          </w:p>
        </w:tc>
        <w:tc>
          <w:tcPr>
            <w:tcW w:w="3613" w:type="dxa"/>
            <w:shd w:val="clear" w:color="auto" w:fill="EAF1DD" w:themeFill="accent3" w:themeFillTint="33"/>
            <w:hideMark/>
          </w:tcPr>
          <w:p w14:paraId="5404E86B" w14:textId="77777777" w:rsidR="00F53E3A" w:rsidRDefault="0036255F">
            <w:pPr>
              <w:pStyle w:val="P68B1DB1-Normal39"/>
              <w:spacing w:after="0"/>
              <w:jc w:val="both"/>
              <w:rPr>
                <w:noProof/>
                <w:szCs w:val="22"/>
              </w:rPr>
            </w:pPr>
            <w:r>
              <w:rPr>
                <w:noProof/>
              </w:rPr>
              <w:t>Este instituit și operațional Fondul pentru mobilitate durabilă, care finanțează dezvoltarea combustibililor alternativi și a infrastructurii pentru vehicule</w:t>
            </w:r>
          </w:p>
        </w:tc>
      </w:tr>
      <w:tr w:rsidR="00F53E3A" w14:paraId="0D8F84D5" w14:textId="77777777">
        <w:trPr>
          <w:cantSplit/>
          <w:trHeight w:val="300"/>
        </w:trPr>
        <w:tc>
          <w:tcPr>
            <w:tcW w:w="1308" w:type="dxa"/>
            <w:shd w:val="clear" w:color="auto" w:fill="EAF1DD" w:themeFill="accent3" w:themeFillTint="33"/>
            <w:noWrap/>
            <w:vAlign w:val="center"/>
            <w:hideMark/>
          </w:tcPr>
          <w:p w14:paraId="713CACC8" w14:textId="77777777" w:rsidR="00F53E3A" w:rsidRDefault="0036255F">
            <w:pPr>
              <w:pStyle w:val="P68B1DB1-Normal39"/>
              <w:spacing w:after="0"/>
              <w:jc w:val="center"/>
              <w:rPr>
                <w:noProof/>
                <w:szCs w:val="22"/>
              </w:rPr>
            </w:pPr>
            <w:r>
              <w:rPr>
                <w:noProof/>
              </w:rPr>
              <w:t>37</w:t>
            </w:r>
          </w:p>
        </w:tc>
        <w:tc>
          <w:tcPr>
            <w:tcW w:w="3583" w:type="dxa"/>
            <w:shd w:val="clear" w:color="auto" w:fill="EAF1DD" w:themeFill="accent3" w:themeFillTint="33"/>
            <w:hideMark/>
          </w:tcPr>
          <w:p w14:paraId="3FBD65B9" w14:textId="000E3F93" w:rsidR="00F53E3A" w:rsidRDefault="0036255F">
            <w:pPr>
              <w:pStyle w:val="P68B1DB1-Normal39"/>
              <w:spacing w:after="0"/>
              <w:jc w:val="both"/>
              <w:rPr>
                <w:noProof/>
                <w:szCs w:val="22"/>
              </w:rPr>
            </w:pPr>
            <w:r>
              <w:rPr>
                <w:noProof/>
              </w:rPr>
              <w:t>B. 1.2 Trecerea fără poluarea mediului – B.1.2.3. Instalarea infrastructurii de încărcare a vehiculelor și de alimentare cu combustibili alternativi</w:t>
            </w:r>
          </w:p>
        </w:tc>
        <w:tc>
          <w:tcPr>
            <w:tcW w:w="1275" w:type="dxa"/>
            <w:shd w:val="clear" w:color="auto" w:fill="EAF1DD" w:themeFill="accent3" w:themeFillTint="33"/>
            <w:hideMark/>
          </w:tcPr>
          <w:p w14:paraId="5FF447CA" w14:textId="77777777" w:rsidR="00F53E3A" w:rsidRDefault="0036255F">
            <w:pPr>
              <w:pStyle w:val="P68B1DB1-Normal39"/>
              <w:spacing w:after="0"/>
              <w:jc w:val="center"/>
              <w:rPr>
                <w:noProof/>
                <w:szCs w:val="22"/>
              </w:rPr>
            </w:pPr>
            <w:r>
              <w:rPr>
                <w:noProof/>
              </w:rPr>
              <w:t>Etapă</w:t>
            </w:r>
          </w:p>
        </w:tc>
        <w:tc>
          <w:tcPr>
            <w:tcW w:w="3613" w:type="dxa"/>
            <w:shd w:val="clear" w:color="auto" w:fill="EAF1DD" w:themeFill="accent3" w:themeFillTint="33"/>
            <w:hideMark/>
          </w:tcPr>
          <w:p w14:paraId="39730B91" w14:textId="77777777" w:rsidR="00F53E3A" w:rsidRDefault="0036255F">
            <w:pPr>
              <w:pStyle w:val="P68B1DB1-Normal39"/>
              <w:spacing w:after="0"/>
              <w:jc w:val="both"/>
              <w:rPr>
                <w:noProof/>
                <w:szCs w:val="22"/>
              </w:rPr>
            </w:pPr>
            <w:r>
              <w:rPr>
                <w:noProof/>
              </w:rPr>
              <w:t>Punerea în funcțiune a unui sistem informatic pentru punctele de reîncărcare publice și semipublice pentru vehicule electrice</w:t>
            </w:r>
          </w:p>
        </w:tc>
      </w:tr>
      <w:tr w:rsidR="00F53E3A" w14:paraId="35093C8C" w14:textId="77777777">
        <w:trPr>
          <w:cantSplit/>
          <w:trHeight w:val="300"/>
        </w:trPr>
        <w:tc>
          <w:tcPr>
            <w:tcW w:w="1308" w:type="dxa"/>
            <w:shd w:val="clear" w:color="auto" w:fill="EAF1DD" w:themeFill="accent3" w:themeFillTint="33"/>
            <w:noWrap/>
            <w:vAlign w:val="center"/>
            <w:hideMark/>
          </w:tcPr>
          <w:p w14:paraId="55E799F9" w14:textId="77777777" w:rsidR="00F53E3A" w:rsidRDefault="0036255F">
            <w:pPr>
              <w:pStyle w:val="P68B1DB1-Normal39"/>
              <w:spacing w:after="0"/>
              <w:jc w:val="center"/>
              <w:rPr>
                <w:noProof/>
                <w:szCs w:val="22"/>
              </w:rPr>
            </w:pPr>
            <w:r>
              <w:rPr>
                <w:noProof/>
              </w:rPr>
              <w:t>43</w:t>
            </w:r>
          </w:p>
        </w:tc>
        <w:tc>
          <w:tcPr>
            <w:tcW w:w="3583" w:type="dxa"/>
            <w:shd w:val="clear" w:color="auto" w:fill="EAF1DD" w:themeFill="accent3" w:themeFillTint="33"/>
            <w:hideMark/>
          </w:tcPr>
          <w:p w14:paraId="310AC0F2" w14:textId="3DA9AA8B" w:rsidR="00F53E3A" w:rsidRDefault="0036255F">
            <w:pPr>
              <w:pStyle w:val="P68B1DB1-Normal39"/>
              <w:spacing w:after="0"/>
              <w:jc w:val="both"/>
              <w:rPr>
                <w:noProof/>
                <w:szCs w:val="22"/>
              </w:rPr>
            </w:pPr>
            <w:r>
              <w:rPr>
                <w:noProof/>
              </w:rPr>
              <w:t>B. 1.2 Trecerea fără poluarea mediului – B.1.2.3. Instalarea infrastructurii de încărcare a vehiculelor și de alimentare cu combustibili alternativi</w:t>
            </w:r>
          </w:p>
        </w:tc>
        <w:tc>
          <w:tcPr>
            <w:tcW w:w="1275" w:type="dxa"/>
            <w:shd w:val="clear" w:color="auto" w:fill="EAF1DD" w:themeFill="accent3" w:themeFillTint="33"/>
            <w:hideMark/>
          </w:tcPr>
          <w:p w14:paraId="0498D571" w14:textId="77777777" w:rsidR="00F53E3A" w:rsidRDefault="0036255F">
            <w:pPr>
              <w:pStyle w:val="P68B1DB1-Normal39"/>
              <w:spacing w:after="0"/>
              <w:jc w:val="center"/>
              <w:rPr>
                <w:noProof/>
                <w:szCs w:val="22"/>
              </w:rPr>
            </w:pPr>
            <w:r>
              <w:rPr>
                <w:noProof/>
              </w:rPr>
              <w:t>Etapă</w:t>
            </w:r>
          </w:p>
        </w:tc>
        <w:tc>
          <w:tcPr>
            <w:tcW w:w="3613" w:type="dxa"/>
            <w:shd w:val="clear" w:color="auto" w:fill="EAF1DD" w:themeFill="accent3" w:themeFillTint="33"/>
            <w:hideMark/>
          </w:tcPr>
          <w:p w14:paraId="7640F523" w14:textId="77777777" w:rsidR="00F53E3A" w:rsidRDefault="0036255F">
            <w:pPr>
              <w:pStyle w:val="P68B1DB1-Normal39"/>
              <w:spacing w:after="0"/>
              <w:jc w:val="both"/>
              <w:rPr>
                <w:noProof/>
                <w:szCs w:val="22"/>
              </w:rPr>
            </w:pPr>
            <w:r>
              <w:rPr>
                <w:noProof/>
              </w:rPr>
              <w:t>Adoptarea planului de acțiune pentru integrarea rețelei infrastructurii de încărcare cu energie electrică</w:t>
            </w:r>
          </w:p>
        </w:tc>
      </w:tr>
      <w:tr w:rsidR="00F53E3A" w14:paraId="31DEA183" w14:textId="77777777">
        <w:trPr>
          <w:cantSplit/>
          <w:trHeight w:val="300"/>
        </w:trPr>
        <w:tc>
          <w:tcPr>
            <w:tcW w:w="1308" w:type="dxa"/>
            <w:shd w:val="clear" w:color="auto" w:fill="EAF1DD" w:themeFill="accent3" w:themeFillTint="33"/>
            <w:noWrap/>
            <w:vAlign w:val="center"/>
            <w:hideMark/>
          </w:tcPr>
          <w:p w14:paraId="3E649203" w14:textId="77777777" w:rsidR="00F53E3A" w:rsidRDefault="0036255F">
            <w:pPr>
              <w:pStyle w:val="P68B1DB1-Normal39"/>
              <w:spacing w:after="0"/>
              <w:jc w:val="center"/>
              <w:rPr>
                <w:noProof/>
                <w:szCs w:val="22"/>
              </w:rPr>
            </w:pPr>
            <w:r>
              <w:rPr>
                <w:noProof/>
              </w:rPr>
              <w:t>44</w:t>
            </w:r>
          </w:p>
        </w:tc>
        <w:tc>
          <w:tcPr>
            <w:tcW w:w="3583" w:type="dxa"/>
            <w:shd w:val="clear" w:color="auto" w:fill="EAF1DD" w:themeFill="accent3" w:themeFillTint="33"/>
            <w:hideMark/>
          </w:tcPr>
          <w:p w14:paraId="33425E0C" w14:textId="75EB94B1" w:rsidR="00F53E3A" w:rsidRDefault="0036255F">
            <w:pPr>
              <w:pStyle w:val="P68B1DB1-Normal39"/>
              <w:spacing w:after="0"/>
              <w:jc w:val="both"/>
              <w:rPr>
                <w:noProof/>
                <w:color w:val="000000" w:themeColor="text1"/>
              </w:rPr>
            </w:pPr>
            <w:r>
              <w:rPr>
                <w:noProof/>
              </w:rPr>
              <w:t>B. 1.2 Trecerea fără poluarea mediului – B.1.2.4. Sprijin pentru sectorul combustibililor din surse regenerabile (gaz biometan, biocombustibili lichizi de a doua generație pentru transporturi și hidrogen din surse regenerabile)</w:t>
            </w:r>
          </w:p>
        </w:tc>
        <w:tc>
          <w:tcPr>
            <w:tcW w:w="1275" w:type="dxa"/>
            <w:shd w:val="clear" w:color="auto" w:fill="EAF1DD" w:themeFill="accent3" w:themeFillTint="33"/>
            <w:hideMark/>
          </w:tcPr>
          <w:p w14:paraId="141ECDDA" w14:textId="77777777" w:rsidR="00F53E3A" w:rsidRDefault="0036255F">
            <w:pPr>
              <w:pStyle w:val="P68B1DB1-Normal39"/>
              <w:spacing w:after="0"/>
              <w:jc w:val="center"/>
              <w:rPr>
                <w:noProof/>
                <w:szCs w:val="22"/>
              </w:rPr>
            </w:pPr>
            <w:r>
              <w:rPr>
                <w:noProof/>
              </w:rPr>
              <w:t>Etapă</w:t>
            </w:r>
          </w:p>
        </w:tc>
        <w:tc>
          <w:tcPr>
            <w:tcW w:w="3613" w:type="dxa"/>
            <w:shd w:val="clear" w:color="auto" w:fill="EAF1DD" w:themeFill="accent3" w:themeFillTint="33"/>
            <w:hideMark/>
          </w:tcPr>
          <w:p w14:paraId="7CCBCF5A" w14:textId="77777777" w:rsidR="00F53E3A" w:rsidRDefault="0036255F">
            <w:pPr>
              <w:pStyle w:val="P68B1DB1-Normal39"/>
              <w:spacing w:after="0"/>
              <w:jc w:val="both"/>
              <w:rPr>
                <w:noProof/>
                <w:szCs w:val="22"/>
              </w:rPr>
            </w:pPr>
            <w:r>
              <w:rPr>
                <w:noProof/>
              </w:rPr>
              <w:t xml:space="preserve">Punerea în funcțiune a unui sistem informatic de unități de contabilizare a combustibililor din surse regenerabile utilizați în transporturi </w:t>
            </w:r>
          </w:p>
        </w:tc>
      </w:tr>
      <w:tr w:rsidR="00F53E3A" w14:paraId="3FF73E24" w14:textId="77777777">
        <w:trPr>
          <w:cantSplit/>
          <w:trHeight w:val="300"/>
        </w:trPr>
        <w:tc>
          <w:tcPr>
            <w:tcW w:w="1308" w:type="dxa"/>
            <w:shd w:val="clear" w:color="auto" w:fill="EAF1DD" w:themeFill="accent3" w:themeFillTint="33"/>
            <w:noWrap/>
            <w:vAlign w:val="center"/>
            <w:hideMark/>
          </w:tcPr>
          <w:p w14:paraId="44E6F522" w14:textId="77777777" w:rsidR="00F53E3A" w:rsidRDefault="0036255F">
            <w:pPr>
              <w:pStyle w:val="P68B1DB1-Normal39"/>
              <w:spacing w:after="0"/>
              <w:jc w:val="center"/>
              <w:rPr>
                <w:noProof/>
                <w:szCs w:val="22"/>
              </w:rPr>
            </w:pPr>
            <w:r>
              <w:rPr>
                <w:noProof/>
              </w:rPr>
              <w:t>70</w:t>
            </w:r>
          </w:p>
        </w:tc>
        <w:tc>
          <w:tcPr>
            <w:tcW w:w="3583" w:type="dxa"/>
            <w:shd w:val="clear" w:color="auto" w:fill="EAF1DD" w:themeFill="accent3" w:themeFillTint="33"/>
            <w:hideMark/>
          </w:tcPr>
          <w:p w14:paraId="6B56EB52" w14:textId="77777777" w:rsidR="00F53E3A" w:rsidRDefault="0036255F">
            <w:pPr>
              <w:pStyle w:val="P68B1DB1-Normal39"/>
              <w:spacing w:after="0"/>
              <w:jc w:val="both"/>
              <w:rPr>
                <w:noProof/>
                <w:szCs w:val="22"/>
              </w:rPr>
            </w:pPr>
            <w:r>
              <w:rPr>
                <w:noProof/>
              </w:rPr>
              <w:t>C.1.3 Servicii orientate către clienți</w:t>
            </w:r>
          </w:p>
        </w:tc>
        <w:tc>
          <w:tcPr>
            <w:tcW w:w="1275" w:type="dxa"/>
            <w:shd w:val="clear" w:color="auto" w:fill="EAF1DD" w:themeFill="accent3" w:themeFillTint="33"/>
            <w:hideMark/>
          </w:tcPr>
          <w:p w14:paraId="008E9E0E" w14:textId="77777777" w:rsidR="00F53E3A" w:rsidRDefault="0036255F">
            <w:pPr>
              <w:pStyle w:val="P68B1DB1-Normal39"/>
              <w:spacing w:after="0"/>
              <w:jc w:val="center"/>
              <w:rPr>
                <w:noProof/>
                <w:szCs w:val="22"/>
              </w:rPr>
            </w:pPr>
            <w:r>
              <w:rPr>
                <w:noProof/>
              </w:rPr>
              <w:t>Etapă</w:t>
            </w:r>
          </w:p>
        </w:tc>
        <w:tc>
          <w:tcPr>
            <w:tcW w:w="3613" w:type="dxa"/>
            <w:shd w:val="clear" w:color="auto" w:fill="EAF1DD" w:themeFill="accent3" w:themeFillTint="33"/>
            <w:hideMark/>
          </w:tcPr>
          <w:p w14:paraId="7A523CE6" w14:textId="77777777" w:rsidR="00F53E3A" w:rsidRDefault="0036255F">
            <w:pPr>
              <w:pStyle w:val="P68B1DB1-Normal39"/>
              <w:spacing w:after="0"/>
              <w:jc w:val="both"/>
              <w:rPr>
                <w:noProof/>
                <w:szCs w:val="22"/>
              </w:rPr>
            </w:pPr>
            <w:r>
              <w:rPr>
                <w:noProof/>
              </w:rPr>
              <w:t>Punerea în funcțiune a unui centru de competențe pentru date deschise și transformare digitală</w:t>
            </w:r>
          </w:p>
        </w:tc>
      </w:tr>
      <w:tr w:rsidR="00F53E3A" w14:paraId="41B01C73" w14:textId="77777777">
        <w:trPr>
          <w:cantSplit/>
          <w:trHeight w:val="300"/>
        </w:trPr>
        <w:tc>
          <w:tcPr>
            <w:tcW w:w="1308" w:type="dxa"/>
            <w:shd w:val="clear" w:color="auto" w:fill="EAF1DD" w:themeFill="accent3" w:themeFillTint="33"/>
            <w:noWrap/>
            <w:vAlign w:val="center"/>
            <w:hideMark/>
          </w:tcPr>
          <w:p w14:paraId="0B17B064" w14:textId="77777777" w:rsidR="00F53E3A" w:rsidRDefault="0036255F">
            <w:pPr>
              <w:pStyle w:val="P68B1DB1-Normal39"/>
              <w:spacing w:after="0"/>
              <w:jc w:val="center"/>
              <w:rPr>
                <w:noProof/>
                <w:szCs w:val="22"/>
              </w:rPr>
            </w:pPr>
            <w:r>
              <w:rPr>
                <w:noProof/>
              </w:rPr>
              <w:t>83</w:t>
            </w:r>
          </w:p>
        </w:tc>
        <w:tc>
          <w:tcPr>
            <w:tcW w:w="3583" w:type="dxa"/>
            <w:shd w:val="clear" w:color="auto" w:fill="EAF1DD" w:themeFill="accent3" w:themeFillTint="33"/>
            <w:hideMark/>
          </w:tcPr>
          <w:p w14:paraId="26D6A07B" w14:textId="77777777" w:rsidR="00F53E3A" w:rsidRDefault="0036255F">
            <w:pPr>
              <w:pStyle w:val="P68B1DB1-Normal39"/>
              <w:spacing w:after="0"/>
              <w:jc w:val="both"/>
              <w:rPr>
                <w:noProof/>
                <w:szCs w:val="22"/>
              </w:rPr>
            </w:pPr>
            <w:r>
              <w:rPr>
                <w:noProof/>
              </w:rPr>
              <w:t>C.1.5 Etapa către 5G – C.1.5.1. Foaia de parcurs privind 5G</w:t>
            </w:r>
          </w:p>
        </w:tc>
        <w:tc>
          <w:tcPr>
            <w:tcW w:w="1275" w:type="dxa"/>
            <w:shd w:val="clear" w:color="auto" w:fill="EAF1DD" w:themeFill="accent3" w:themeFillTint="33"/>
            <w:hideMark/>
          </w:tcPr>
          <w:p w14:paraId="12D75259" w14:textId="77777777" w:rsidR="00F53E3A" w:rsidRDefault="0036255F">
            <w:pPr>
              <w:pStyle w:val="P68B1DB1-Normal39"/>
              <w:spacing w:after="0"/>
              <w:jc w:val="center"/>
              <w:rPr>
                <w:noProof/>
                <w:szCs w:val="22"/>
              </w:rPr>
            </w:pPr>
            <w:r>
              <w:rPr>
                <w:noProof/>
              </w:rPr>
              <w:t>Etapă</w:t>
            </w:r>
          </w:p>
        </w:tc>
        <w:tc>
          <w:tcPr>
            <w:tcW w:w="3613" w:type="dxa"/>
            <w:shd w:val="clear" w:color="auto" w:fill="EAF1DD" w:themeFill="accent3" w:themeFillTint="33"/>
            <w:hideMark/>
          </w:tcPr>
          <w:p w14:paraId="697ED4A1" w14:textId="77777777" w:rsidR="00F53E3A" w:rsidRDefault="0036255F">
            <w:pPr>
              <w:pStyle w:val="P68B1DB1-Normal39"/>
              <w:spacing w:after="0"/>
              <w:jc w:val="both"/>
              <w:rPr>
                <w:noProof/>
                <w:szCs w:val="22"/>
              </w:rPr>
            </w:pPr>
            <w:r>
              <w:rPr>
                <w:noProof/>
              </w:rPr>
              <w:t>Frecvențe radio alocate pentru instalarea rețelelor 5G</w:t>
            </w:r>
          </w:p>
        </w:tc>
      </w:tr>
      <w:tr w:rsidR="00F53E3A" w14:paraId="4DBD2929" w14:textId="77777777">
        <w:trPr>
          <w:cantSplit/>
          <w:trHeight w:val="300"/>
        </w:trPr>
        <w:tc>
          <w:tcPr>
            <w:tcW w:w="1308" w:type="dxa"/>
            <w:shd w:val="clear" w:color="auto" w:fill="EAF1DD" w:themeFill="accent3" w:themeFillTint="33"/>
            <w:noWrap/>
            <w:vAlign w:val="center"/>
            <w:hideMark/>
          </w:tcPr>
          <w:p w14:paraId="1C403A33" w14:textId="77777777" w:rsidR="00F53E3A" w:rsidRDefault="0036255F">
            <w:pPr>
              <w:pStyle w:val="P68B1DB1-Normal39"/>
              <w:spacing w:after="0"/>
              <w:jc w:val="center"/>
              <w:rPr>
                <w:noProof/>
                <w:szCs w:val="22"/>
              </w:rPr>
            </w:pPr>
            <w:r>
              <w:rPr>
                <w:noProof/>
              </w:rPr>
              <w:t>84</w:t>
            </w:r>
          </w:p>
        </w:tc>
        <w:tc>
          <w:tcPr>
            <w:tcW w:w="3583" w:type="dxa"/>
            <w:shd w:val="clear" w:color="auto" w:fill="EAF1DD" w:themeFill="accent3" w:themeFillTint="33"/>
            <w:hideMark/>
          </w:tcPr>
          <w:p w14:paraId="670588DF" w14:textId="77777777" w:rsidR="00F53E3A" w:rsidRDefault="0036255F">
            <w:pPr>
              <w:pStyle w:val="P68B1DB1-Normal39"/>
              <w:spacing w:after="0"/>
              <w:jc w:val="both"/>
              <w:rPr>
                <w:noProof/>
                <w:szCs w:val="22"/>
              </w:rPr>
            </w:pPr>
            <w:r>
              <w:rPr>
                <w:noProof/>
              </w:rPr>
              <w:t>C.1.5 Etapa către 5G – C.1.5.1. Foaia de parcurs privind 5G</w:t>
            </w:r>
          </w:p>
        </w:tc>
        <w:tc>
          <w:tcPr>
            <w:tcW w:w="1275" w:type="dxa"/>
            <w:shd w:val="clear" w:color="auto" w:fill="EAF1DD" w:themeFill="accent3" w:themeFillTint="33"/>
            <w:hideMark/>
          </w:tcPr>
          <w:p w14:paraId="5A60C4C0" w14:textId="77777777" w:rsidR="00F53E3A" w:rsidRDefault="0036255F">
            <w:pPr>
              <w:pStyle w:val="P68B1DB1-Normal39"/>
              <w:spacing w:after="0"/>
              <w:jc w:val="center"/>
              <w:rPr>
                <w:noProof/>
                <w:szCs w:val="22"/>
              </w:rPr>
            </w:pPr>
            <w:r>
              <w:rPr>
                <w:noProof/>
              </w:rPr>
              <w:t>Etapă</w:t>
            </w:r>
          </w:p>
        </w:tc>
        <w:tc>
          <w:tcPr>
            <w:tcW w:w="3613" w:type="dxa"/>
            <w:shd w:val="clear" w:color="auto" w:fill="EAF1DD" w:themeFill="accent3" w:themeFillTint="33"/>
            <w:hideMark/>
          </w:tcPr>
          <w:p w14:paraId="4D68EF9D" w14:textId="77777777" w:rsidR="00F53E3A" w:rsidRDefault="0036255F">
            <w:pPr>
              <w:pStyle w:val="P68B1DB1-Normal39"/>
              <w:spacing w:after="0"/>
              <w:jc w:val="both"/>
              <w:rPr>
                <w:noProof/>
                <w:szCs w:val="22"/>
              </w:rPr>
            </w:pPr>
            <w:r>
              <w:rPr>
                <w:noProof/>
              </w:rPr>
              <w:t>Intrarea în vigoare a modificărilor aduse legilor relevante care permit instalarea mai rapidă a infrastructurii de comunicații electronice</w:t>
            </w:r>
          </w:p>
        </w:tc>
      </w:tr>
      <w:tr w:rsidR="00F53E3A" w14:paraId="554AEF8A" w14:textId="77777777">
        <w:trPr>
          <w:cantSplit/>
          <w:trHeight w:val="300"/>
        </w:trPr>
        <w:tc>
          <w:tcPr>
            <w:tcW w:w="1308" w:type="dxa"/>
            <w:shd w:val="clear" w:color="auto" w:fill="EAF1DD" w:themeFill="accent3" w:themeFillTint="33"/>
            <w:noWrap/>
            <w:vAlign w:val="center"/>
            <w:hideMark/>
          </w:tcPr>
          <w:p w14:paraId="6CE0DC8A" w14:textId="77777777" w:rsidR="00F53E3A" w:rsidRDefault="0036255F">
            <w:pPr>
              <w:pStyle w:val="P68B1DB1-Normal39"/>
              <w:spacing w:after="0"/>
              <w:jc w:val="center"/>
              <w:rPr>
                <w:noProof/>
                <w:szCs w:val="22"/>
              </w:rPr>
            </w:pPr>
            <w:r>
              <w:rPr>
                <w:noProof/>
              </w:rPr>
              <w:t>89</w:t>
            </w:r>
          </w:p>
        </w:tc>
        <w:tc>
          <w:tcPr>
            <w:tcW w:w="3583" w:type="dxa"/>
            <w:shd w:val="clear" w:color="auto" w:fill="EAF1DD" w:themeFill="accent3" w:themeFillTint="33"/>
            <w:hideMark/>
          </w:tcPr>
          <w:p w14:paraId="09798163" w14:textId="77777777" w:rsidR="00F53E3A" w:rsidRDefault="0036255F">
            <w:pPr>
              <w:pStyle w:val="P68B1DB1-Normal39"/>
              <w:spacing w:after="0"/>
              <w:jc w:val="both"/>
              <w:rPr>
                <w:noProof/>
                <w:szCs w:val="22"/>
              </w:rPr>
            </w:pPr>
            <w:r>
              <w:rPr>
                <w:noProof/>
              </w:rPr>
              <w:t>C.1.5 Etapa către 5G – C.1.5.3. Inovarea în domeniul mobilității</w:t>
            </w:r>
          </w:p>
        </w:tc>
        <w:tc>
          <w:tcPr>
            <w:tcW w:w="1275" w:type="dxa"/>
            <w:shd w:val="clear" w:color="auto" w:fill="EAF1DD" w:themeFill="accent3" w:themeFillTint="33"/>
            <w:hideMark/>
          </w:tcPr>
          <w:p w14:paraId="15657222" w14:textId="77777777" w:rsidR="00F53E3A" w:rsidRDefault="0036255F">
            <w:pPr>
              <w:pStyle w:val="P68B1DB1-Normal39"/>
              <w:spacing w:after="0"/>
              <w:jc w:val="center"/>
              <w:rPr>
                <w:noProof/>
                <w:szCs w:val="22"/>
              </w:rPr>
            </w:pPr>
            <w:r>
              <w:rPr>
                <w:noProof/>
              </w:rPr>
              <w:t>Etapă</w:t>
            </w:r>
          </w:p>
        </w:tc>
        <w:tc>
          <w:tcPr>
            <w:tcW w:w="3613" w:type="dxa"/>
            <w:shd w:val="clear" w:color="auto" w:fill="EAF1DD" w:themeFill="accent3" w:themeFillTint="33"/>
            <w:hideMark/>
          </w:tcPr>
          <w:p w14:paraId="6FD83A8C" w14:textId="77777777" w:rsidR="00F53E3A" w:rsidRDefault="0036255F">
            <w:pPr>
              <w:pStyle w:val="P68B1DB1-Normal39"/>
              <w:spacing w:after="0"/>
              <w:jc w:val="both"/>
              <w:rPr>
                <w:noProof/>
                <w:szCs w:val="22"/>
              </w:rPr>
            </w:pPr>
            <w:r>
              <w:rPr>
                <w:noProof/>
              </w:rPr>
              <w:t>Desemnează o autoritate competentă pentru administrarea măsurilor de inovare în domeniul transporturilor</w:t>
            </w:r>
          </w:p>
        </w:tc>
      </w:tr>
      <w:tr w:rsidR="00F53E3A" w14:paraId="7B8CAB0C" w14:textId="77777777">
        <w:trPr>
          <w:cantSplit/>
          <w:trHeight w:val="300"/>
        </w:trPr>
        <w:tc>
          <w:tcPr>
            <w:tcW w:w="1308" w:type="dxa"/>
            <w:shd w:val="clear" w:color="auto" w:fill="EAF1DD" w:themeFill="accent3" w:themeFillTint="33"/>
            <w:noWrap/>
            <w:vAlign w:val="center"/>
            <w:hideMark/>
          </w:tcPr>
          <w:p w14:paraId="36D46384" w14:textId="77777777" w:rsidR="00F53E3A" w:rsidRDefault="0036255F">
            <w:pPr>
              <w:pStyle w:val="P68B1DB1-Normal39"/>
              <w:spacing w:after="0"/>
              <w:jc w:val="center"/>
              <w:rPr>
                <w:noProof/>
                <w:szCs w:val="22"/>
              </w:rPr>
            </w:pPr>
            <w:r>
              <w:rPr>
                <w:noProof/>
              </w:rPr>
              <w:t>91</w:t>
            </w:r>
          </w:p>
        </w:tc>
        <w:tc>
          <w:tcPr>
            <w:tcW w:w="3583" w:type="dxa"/>
            <w:shd w:val="clear" w:color="auto" w:fill="EAF1DD" w:themeFill="accent3" w:themeFillTint="33"/>
            <w:hideMark/>
          </w:tcPr>
          <w:p w14:paraId="0CFA8564" w14:textId="77777777" w:rsidR="00F53E3A" w:rsidRDefault="0036255F">
            <w:pPr>
              <w:pStyle w:val="P68B1DB1-Normal39"/>
              <w:spacing w:after="0"/>
              <w:jc w:val="both"/>
              <w:rPr>
                <w:noProof/>
                <w:szCs w:val="22"/>
              </w:rPr>
            </w:pPr>
            <w:r>
              <w:rPr>
                <w:noProof/>
              </w:rPr>
              <w:t>D.1.1. Educația generală modernă – Contextul competențelor de bază</w:t>
            </w:r>
            <w:r>
              <w:rPr>
                <w:noProof/>
              </w:rPr>
              <w:br/>
              <w:t>D.1.1.1: Îmbunătățirea calității educației</w:t>
            </w:r>
          </w:p>
        </w:tc>
        <w:tc>
          <w:tcPr>
            <w:tcW w:w="1275" w:type="dxa"/>
            <w:shd w:val="clear" w:color="auto" w:fill="EAF1DD" w:themeFill="accent3" w:themeFillTint="33"/>
            <w:hideMark/>
          </w:tcPr>
          <w:p w14:paraId="01DBF6EB" w14:textId="77777777" w:rsidR="00F53E3A" w:rsidRDefault="0036255F">
            <w:pPr>
              <w:pStyle w:val="P68B1DB1-Normal39"/>
              <w:spacing w:after="0"/>
              <w:jc w:val="center"/>
              <w:rPr>
                <w:noProof/>
                <w:szCs w:val="22"/>
              </w:rPr>
            </w:pPr>
            <w:r>
              <w:rPr>
                <w:noProof/>
              </w:rPr>
              <w:t>Etapă</w:t>
            </w:r>
          </w:p>
        </w:tc>
        <w:tc>
          <w:tcPr>
            <w:tcW w:w="3613" w:type="dxa"/>
            <w:shd w:val="clear" w:color="auto" w:fill="EAF1DD" w:themeFill="accent3" w:themeFillTint="33"/>
            <w:hideMark/>
          </w:tcPr>
          <w:p w14:paraId="6E9C4194" w14:textId="77777777" w:rsidR="00F53E3A" w:rsidRDefault="0036255F">
            <w:pPr>
              <w:pStyle w:val="P68B1DB1-Normal39"/>
              <w:spacing w:after="0"/>
              <w:jc w:val="both"/>
              <w:rPr>
                <w:noProof/>
                <w:szCs w:val="22"/>
              </w:rPr>
            </w:pPr>
            <w:r>
              <w:rPr>
                <w:noProof/>
              </w:rPr>
              <w:t>Intrarea în vigoare a legislației privind metodologia procedurii de evaluare externă a calității activităților instituțiilor de învățământ care pun în aplicare programe de educație școlară</w:t>
            </w:r>
          </w:p>
        </w:tc>
      </w:tr>
      <w:tr w:rsidR="00F53E3A" w14:paraId="0C553CF1" w14:textId="77777777">
        <w:trPr>
          <w:cantSplit/>
          <w:trHeight w:val="300"/>
        </w:trPr>
        <w:tc>
          <w:tcPr>
            <w:tcW w:w="1308" w:type="dxa"/>
            <w:shd w:val="clear" w:color="auto" w:fill="EAF1DD" w:themeFill="accent3" w:themeFillTint="33"/>
            <w:noWrap/>
            <w:vAlign w:val="center"/>
            <w:hideMark/>
          </w:tcPr>
          <w:p w14:paraId="5E8AEBDC" w14:textId="77777777" w:rsidR="00F53E3A" w:rsidRDefault="0036255F">
            <w:pPr>
              <w:pStyle w:val="P68B1DB1-Normal39"/>
              <w:spacing w:after="0"/>
              <w:jc w:val="center"/>
              <w:rPr>
                <w:noProof/>
                <w:szCs w:val="22"/>
              </w:rPr>
            </w:pPr>
            <w:r>
              <w:rPr>
                <w:noProof/>
              </w:rPr>
              <w:t>93</w:t>
            </w:r>
          </w:p>
        </w:tc>
        <w:tc>
          <w:tcPr>
            <w:tcW w:w="3583" w:type="dxa"/>
            <w:shd w:val="clear" w:color="auto" w:fill="EAF1DD" w:themeFill="accent3" w:themeFillTint="33"/>
            <w:hideMark/>
          </w:tcPr>
          <w:p w14:paraId="1287448C" w14:textId="77777777" w:rsidR="00F53E3A" w:rsidRDefault="0036255F">
            <w:pPr>
              <w:pStyle w:val="P68B1DB1-Normal39"/>
              <w:spacing w:after="0"/>
              <w:jc w:val="both"/>
              <w:rPr>
                <w:noProof/>
                <w:szCs w:val="22"/>
              </w:rPr>
            </w:pPr>
            <w:r>
              <w:rPr>
                <w:noProof/>
              </w:rPr>
              <w:t>D.1.1. Educația generală modernă – Contextul competențelor de bază</w:t>
            </w:r>
            <w:r>
              <w:rPr>
                <w:noProof/>
              </w:rPr>
              <w:br/>
              <w:t>D.1.1.2. Reorganizarea rețelei școlare</w:t>
            </w:r>
          </w:p>
        </w:tc>
        <w:tc>
          <w:tcPr>
            <w:tcW w:w="1275" w:type="dxa"/>
            <w:shd w:val="clear" w:color="auto" w:fill="EAF1DD" w:themeFill="accent3" w:themeFillTint="33"/>
            <w:hideMark/>
          </w:tcPr>
          <w:p w14:paraId="6A5D585E" w14:textId="77777777" w:rsidR="00F53E3A" w:rsidRDefault="0036255F">
            <w:pPr>
              <w:pStyle w:val="P68B1DB1-Normal39"/>
              <w:spacing w:after="0"/>
              <w:jc w:val="center"/>
              <w:rPr>
                <w:noProof/>
                <w:szCs w:val="22"/>
              </w:rPr>
            </w:pPr>
            <w:r>
              <w:rPr>
                <w:noProof/>
              </w:rPr>
              <w:t>Etapă</w:t>
            </w:r>
          </w:p>
        </w:tc>
        <w:tc>
          <w:tcPr>
            <w:tcW w:w="3613" w:type="dxa"/>
            <w:shd w:val="clear" w:color="auto" w:fill="EAF1DD" w:themeFill="accent3" w:themeFillTint="33"/>
            <w:hideMark/>
          </w:tcPr>
          <w:p w14:paraId="1A14001E" w14:textId="77777777" w:rsidR="00F53E3A" w:rsidRDefault="0036255F">
            <w:pPr>
              <w:pStyle w:val="P68B1DB1-Normal39"/>
              <w:spacing w:after="0"/>
              <w:jc w:val="both"/>
              <w:rPr>
                <w:noProof/>
                <w:szCs w:val="22"/>
              </w:rPr>
            </w:pPr>
            <w:r>
              <w:rPr>
                <w:noProof/>
              </w:rPr>
              <w:t>Intrarea în vigoare a modificărilor aduse Normelor privind crearea unei rețele de școli care desfășoară programe de educație formală</w:t>
            </w:r>
          </w:p>
        </w:tc>
      </w:tr>
      <w:tr w:rsidR="00F53E3A" w14:paraId="56CCF1B0" w14:textId="77777777">
        <w:trPr>
          <w:cantSplit/>
          <w:trHeight w:val="300"/>
        </w:trPr>
        <w:tc>
          <w:tcPr>
            <w:tcW w:w="1308" w:type="dxa"/>
            <w:shd w:val="clear" w:color="auto" w:fill="EAF1DD" w:themeFill="accent3" w:themeFillTint="33"/>
            <w:noWrap/>
            <w:vAlign w:val="center"/>
            <w:hideMark/>
          </w:tcPr>
          <w:p w14:paraId="3D0FAC50" w14:textId="77777777" w:rsidR="00F53E3A" w:rsidRDefault="0036255F">
            <w:pPr>
              <w:pStyle w:val="P68B1DB1-Normal39"/>
              <w:spacing w:after="0"/>
              <w:jc w:val="center"/>
              <w:rPr>
                <w:noProof/>
                <w:szCs w:val="22"/>
              </w:rPr>
            </w:pPr>
            <w:r>
              <w:rPr>
                <w:noProof/>
              </w:rPr>
              <w:t>94</w:t>
            </w:r>
          </w:p>
        </w:tc>
        <w:tc>
          <w:tcPr>
            <w:tcW w:w="3583" w:type="dxa"/>
            <w:shd w:val="clear" w:color="auto" w:fill="EAF1DD" w:themeFill="accent3" w:themeFillTint="33"/>
            <w:hideMark/>
          </w:tcPr>
          <w:p w14:paraId="1D524CD6" w14:textId="77777777" w:rsidR="00F53E3A" w:rsidRDefault="0036255F">
            <w:pPr>
              <w:pStyle w:val="P68B1DB1-Normal39"/>
              <w:spacing w:after="0"/>
              <w:jc w:val="both"/>
              <w:rPr>
                <w:noProof/>
                <w:szCs w:val="22"/>
              </w:rPr>
            </w:pPr>
            <w:r>
              <w:rPr>
                <w:noProof/>
              </w:rPr>
              <w:t>D.1.1. Educația generală modernă – Contextul competențelor de bază</w:t>
            </w:r>
            <w:r>
              <w:rPr>
                <w:noProof/>
              </w:rPr>
              <w:br/>
              <w:t>D.1.1.2. Reorganizarea rețelei școlare</w:t>
            </w:r>
          </w:p>
        </w:tc>
        <w:tc>
          <w:tcPr>
            <w:tcW w:w="1275" w:type="dxa"/>
            <w:shd w:val="clear" w:color="auto" w:fill="EAF1DD" w:themeFill="accent3" w:themeFillTint="33"/>
            <w:hideMark/>
          </w:tcPr>
          <w:p w14:paraId="795A6410" w14:textId="77777777" w:rsidR="00F53E3A" w:rsidRDefault="0036255F">
            <w:pPr>
              <w:pStyle w:val="P68B1DB1-Normal39"/>
              <w:spacing w:after="0"/>
              <w:jc w:val="center"/>
              <w:rPr>
                <w:noProof/>
                <w:szCs w:val="22"/>
              </w:rPr>
            </w:pPr>
            <w:r>
              <w:rPr>
                <w:noProof/>
              </w:rPr>
              <w:t>Etapă</w:t>
            </w:r>
          </w:p>
        </w:tc>
        <w:tc>
          <w:tcPr>
            <w:tcW w:w="3613" w:type="dxa"/>
            <w:shd w:val="clear" w:color="auto" w:fill="EAF1DD" w:themeFill="accent3" w:themeFillTint="33"/>
            <w:hideMark/>
          </w:tcPr>
          <w:p w14:paraId="1BBDAE1B" w14:textId="77777777" w:rsidR="00F53E3A" w:rsidRDefault="0036255F">
            <w:pPr>
              <w:pStyle w:val="P68B1DB1-Normal39"/>
              <w:spacing w:after="0"/>
              <w:jc w:val="both"/>
              <w:rPr>
                <w:noProof/>
                <w:szCs w:val="22"/>
              </w:rPr>
            </w:pPr>
            <w:r>
              <w:rPr>
                <w:noProof/>
              </w:rPr>
              <w:t>Planuri de transformare a rețelei de școli de învățământ general elaborate și aprobate de municipalități în conformitate cu normele nou aprobate pentru dezvoltarea rețelei de școli care pun în aplicare programe de educație formală</w:t>
            </w:r>
          </w:p>
        </w:tc>
      </w:tr>
      <w:tr w:rsidR="00F53E3A" w14:paraId="6AAE1A13" w14:textId="77777777">
        <w:trPr>
          <w:cantSplit/>
          <w:trHeight w:val="300"/>
        </w:trPr>
        <w:tc>
          <w:tcPr>
            <w:tcW w:w="1308" w:type="dxa"/>
            <w:shd w:val="clear" w:color="auto" w:fill="EAF1DD" w:themeFill="accent3" w:themeFillTint="33"/>
            <w:noWrap/>
            <w:vAlign w:val="center"/>
            <w:hideMark/>
          </w:tcPr>
          <w:p w14:paraId="0F60C967" w14:textId="77777777" w:rsidR="00F53E3A" w:rsidRDefault="0036255F">
            <w:pPr>
              <w:pStyle w:val="P68B1DB1-Normal39"/>
              <w:spacing w:after="0"/>
              <w:jc w:val="center"/>
              <w:rPr>
                <w:noProof/>
                <w:szCs w:val="22"/>
              </w:rPr>
            </w:pPr>
            <w:r>
              <w:rPr>
                <w:noProof/>
              </w:rPr>
              <w:t>95</w:t>
            </w:r>
          </w:p>
        </w:tc>
        <w:tc>
          <w:tcPr>
            <w:tcW w:w="3583" w:type="dxa"/>
            <w:shd w:val="clear" w:color="auto" w:fill="EAF1DD" w:themeFill="accent3" w:themeFillTint="33"/>
            <w:hideMark/>
          </w:tcPr>
          <w:p w14:paraId="0F1B2D71" w14:textId="25C03E85" w:rsidR="00F53E3A" w:rsidRDefault="0036255F">
            <w:pPr>
              <w:pStyle w:val="P68B1DB1-Normal39"/>
              <w:spacing w:after="0"/>
              <w:jc w:val="both"/>
              <w:rPr>
                <w:noProof/>
                <w:szCs w:val="22"/>
              </w:rPr>
            </w:pPr>
            <w:r>
              <w:rPr>
                <w:noProof/>
              </w:rPr>
              <w:t>D.1.1. Educația generală modernă – Contextul competențelor de bază D.1.1.3: Programul Școlilor Mileniului</w:t>
            </w:r>
          </w:p>
        </w:tc>
        <w:tc>
          <w:tcPr>
            <w:tcW w:w="1275" w:type="dxa"/>
            <w:shd w:val="clear" w:color="auto" w:fill="EAF1DD" w:themeFill="accent3" w:themeFillTint="33"/>
            <w:hideMark/>
          </w:tcPr>
          <w:p w14:paraId="20AB044C" w14:textId="77777777" w:rsidR="00F53E3A" w:rsidRDefault="0036255F">
            <w:pPr>
              <w:pStyle w:val="P68B1DB1-Normal39"/>
              <w:spacing w:after="0"/>
              <w:jc w:val="center"/>
              <w:rPr>
                <w:noProof/>
                <w:szCs w:val="22"/>
              </w:rPr>
            </w:pPr>
            <w:r>
              <w:rPr>
                <w:noProof/>
              </w:rPr>
              <w:t>Etapă</w:t>
            </w:r>
          </w:p>
        </w:tc>
        <w:tc>
          <w:tcPr>
            <w:tcW w:w="3613" w:type="dxa"/>
            <w:shd w:val="clear" w:color="auto" w:fill="EAF1DD" w:themeFill="accent3" w:themeFillTint="33"/>
            <w:hideMark/>
          </w:tcPr>
          <w:p w14:paraId="5BD08C95" w14:textId="77777777" w:rsidR="00F53E3A" w:rsidRDefault="0036255F">
            <w:pPr>
              <w:pStyle w:val="P68B1DB1-Normal39"/>
              <w:spacing w:after="0"/>
              <w:jc w:val="both"/>
              <w:rPr>
                <w:noProof/>
                <w:szCs w:val="22"/>
              </w:rPr>
            </w:pPr>
            <w:r>
              <w:rPr>
                <w:noProof/>
              </w:rPr>
              <w:t>Intrarea în vigoare a legislației privind Programul de progres școlar al mileniului</w:t>
            </w:r>
          </w:p>
        </w:tc>
      </w:tr>
      <w:tr w:rsidR="00F53E3A" w14:paraId="7C42606D" w14:textId="77777777">
        <w:trPr>
          <w:cantSplit/>
          <w:trHeight w:val="300"/>
        </w:trPr>
        <w:tc>
          <w:tcPr>
            <w:tcW w:w="1308" w:type="dxa"/>
            <w:shd w:val="clear" w:color="auto" w:fill="EAF1DD" w:themeFill="accent3" w:themeFillTint="33"/>
            <w:noWrap/>
            <w:vAlign w:val="center"/>
            <w:hideMark/>
          </w:tcPr>
          <w:p w14:paraId="342B44F6" w14:textId="77777777" w:rsidR="00F53E3A" w:rsidRDefault="0036255F">
            <w:pPr>
              <w:pStyle w:val="P68B1DB1-Normal39"/>
              <w:spacing w:after="0"/>
              <w:jc w:val="center"/>
              <w:rPr>
                <w:noProof/>
                <w:szCs w:val="22"/>
              </w:rPr>
            </w:pPr>
            <w:r>
              <w:rPr>
                <w:noProof/>
              </w:rPr>
              <w:t>105</w:t>
            </w:r>
          </w:p>
        </w:tc>
        <w:tc>
          <w:tcPr>
            <w:tcW w:w="3583" w:type="dxa"/>
            <w:shd w:val="clear" w:color="auto" w:fill="EAF1DD" w:themeFill="accent3" w:themeFillTint="33"/>
            <w:hideMark/>
          </w:tcPr>
          <w:p w14:paraId="7B016715" w14:textId="77777777" w:rsidR="00F53E3A" w:rsidRDefault="0036255F">
            <w:pPr>
              <w:pStyle w:val="P68B1DB1-Normal39"/>
              <w:spacing w:after="0"/>
              <w:jc w:val="both"/>
              <w:rPr>
                <w:noProof/>
                <w:szCs w:val="22"/>
              </w:rPr>
            </w:pPr>
            <w:r>
              <w:rPr>
                <w:noProof/>
              </w:rPr>
              <w:t>D.1.1. Educația generală modernă – Contextul competențelor de bază</w:t>
            </w:r>
            <w:r>
              <w:rPr>
                <w:noProof/>
              </w:rPr>
              <w:br/>
              <w:t>D.1.1.7: Îmbunătățirea educației și îngrijirii copiilor preșcolari</w:t>
            </w:r>
          </w:p>
        </w:tc>
        <w:tc>
          <w:tcPr>
            <w:tcW w:w="1275" w:type="dxa"/>
            <w:shd w:val="clear" w:color="auto" w:fill="EAF1DD" w:themeFill="accent3" w:themeFillTint="33"/>
            <w:hideMark/>
          </w:tcPr>
          <w:p w14:paraId="7FDC8909" w14:textId="77777777" w:rsidR="00F53E3A" w:rsidRDefault="0036255F">
            <w:pPr>
              <w:pStyle w:val="P68B1DB1-Normal39"/>
              <w:spacing w:after="0"/>
              <w:jc w:val="center"/>
              <w:rPr>
                <w:noProof/>
                <w:szCs w:val="22"/>
              </w:rPr>
            </w:pPr>
            <w:r>
              <w:rPr>
                <w:noProof/>
              </w:rPr>
              <w:t>Etapă</w:t>
            </w:r>
          </w:p>
        </w:tc>
        <w:tc>
          <w:tcPr>
            <w:tcW w:w="3613" w:type="dxa"/>
            <w:shd w:val="clear" w:color="auto" w:fill="EAF1DD" w:themeFill="accent3" w:themeFillTint="33"/>
            <w:hideMark/>
          </w:tcPr>
          <w:p w14:paraId="4A821A93" w14:textId="77777777" w:rsidR="00F53E3A" w:rsidRDefault="0036255F">
            <w:pPr>
              <w:pStyle w:val="P68B1DB1-Normal39"/>
              <w:spacing w:after="0"/>
              <w:jc w:val="both"/>
              <w:rPr>
                <w:noProof/>
                <w:szCs w:val="22"/>
              </w:rPr>
            </w:pPr>
            <w:r>
              <w:rPr>
                <w:noProof/>
              </w:rPr>
              <w:t>Studiu privind fezabilitatea dezvoltării infrastructurii de educație timpurie în municipalități</w:t>
            </w:r>
          </w:p>
        </w:tc>
      </w:tr>
      <w:tr w:rsidR="00F53E3A" w14:paraId="3AF4ED16" w14:textId="77777777">
        <w:trPr>
          <w:cantSplit/>
          <w:trHeight w:val="300"/>
        </w:trPr>
        <w:tc>
          <w:tcPr>
            <w:tcW w:w="1308" w:type="dxa"/>
            <w:shd w:val="clear" w:color="auto" w:fill="EAF1DD" w:themeFill="accent3" w:themeFillTint="33"/>
            <w:noWrap/>
            <w:vAlign w:val="center"/>
            <w:hideMark/>
          </w:tcPr>
          <w:p w14:paraId="197A2C70" w14:textId="77777777" w:rsidR="00F53E3A" w:rsidRDefault="0036255F">
            <w:pPr>
              <w:pStyle w:val="P68B1DB1-Normal39"/>
              <w:spacing w:after="0"/>
              <w:jc w:val="center"/>
              <w:rPr>
                <w:noProof/>
                <w:szCs w:val="22"/>
              </w:rPr>
            </w:pPr>
            <w:r>
              <w:rPr>
                <w:noProof/>
              </w:rPr>
              <w:t>110</w:t>
            </w:r>
          </w:p>
        </w:tc>
        <w:tc>
          <w:tcPr>
            <w:tcW w:w="3583" w:type="dxa"/>
            <w:shd w:val="clear" w:color="auto" w:fill="EAF1DD" w:themeFill="accent3" w:themeFillTint="33"/>
            <w:hideMark/>
          </w:tcPr>
          <w:p w14:paraId="7F077B75" w14:textId="77777777" w:rsidR="00F53E3A" w:rsidRDefault="0036255F">
            <w:pPr>
              <w:pStyle w:val="P68B1DB1-Normal39"/>
              <w:spacing w:after="0"/>
              <w:jc w:val="both"/>
              <w:rPr>
                <w:noProof/>
                <w:szCs w:val="22"/>
              </w:rPr>
            </w:pPr>
            <w:r>
              <w:rPr>
                <w:noProof/>
              </w:rPr>
              <w:t>D.1.3. Sistem de orientare profesională pentru echilibrarea cererii și ofertei pe piața forței de muncă</w:t>
            </w:r>
          </w:p>
        </w:tc>
        <w:tc>
          <w:tcPr>
            <w:tcW w:w="1275" w:type="dxa"/>
            <w:shd w:val="clear" w:color="auto" w:fill="EAF1DD" w:themeFill="accent3" w:themeFillTint="33"/>
            <w:hideMark/>
          </w:tcPr>
          <w:p w14:paraId="5D182F3D" w14:textId="77777777" w:rsidR="00F53E3A" w:rsidRDefault="0036255F">
            <w:pPr>
              <w:pStyle w:val="P68B1DB1-Normal39"/>
              <w:spacing w:after="0"/>
              <w:jc w:val="center"/>
              <w:rPr>
                <w:noProof/>
                <w:szCs w:val="22"/>
              </w:rPr>
            </w:pPr>
            <w:r>
              <w:rPr>
                <w:noProof/>
              </w:rPr>
              <w:t>Etapă</w:t>
            </w:r>
          </w:p>
        </w:tc>
        <w:tc>
          <w:tcPr>
            <w:tcW w:w="3613" w:type="dxa"/>
            <w:shd w:val="clear" w:color="auto" w:fill="EAF1DD" w:themeFill="accent3" w:themeFillTint="33"/>
            <w:hideMark/>
          </w:tcPr>
          <w:p w14:paraId="03D91B32" w14:textId="28831124" w:rsidR="00F53E3A" w:rsidRDefault="0036255F">
            <w:pPr>
              <w:spacing w:after="0"/>
              <w:jc w:val="both"/>
              <w:rPr>
                <w:rFonts w:ascii="Times New Roman" w:eastAsia="Times New Roman" w:hAnsi="Times New Roman" w:cs="Times New Roman"/>
                <w:noProof/>
                <w:color w:val="000000"/>
                <w:szCs w:val="22"/>
              </w:rPr>
            </w:pPr>
            <w:r>
              <w:rPr>
                <w:rFonts w:ascii="Times New Roman" w:eastAsia="Times New Roman" w:hAnsi="Times New Roman" w:cs="Times New Roman"/>
                <w:noProof/>
                <w:color w:val="000000"/>
              </w:rPr>
              <w:t>Intrarea în vigoare a</w:t>
            </w:r>
            <w:r w:rsidR="00CB74C1">
              <w:rPr>
                <w:rFonts w:ascii="Times New Roman" w:eastAsia="Times New Roman" w:hAnsi="Times New Roman" w:cs="Times New Roman"/>
                <w:noProof/>
                <w:color w:val="000000"/>
              </w:rPr>
              <w:t xml:space="preserve"> </w:t>
            </w:r>
            <w:r>
              <w:rPr>
                <w:rFonts w:ascii="Times New Roman" w:eastAsia="Times New Roman" w:hAnsi="Times New Roman" w:cs="Times New Roman"/>
                <w:noProof/>
                <w:color w:val="000000"/>
              </w:rPr>
              <w:t>Rezoluției Guvernului privind procedurile care reglementează sistemul de orientare profesională (orientare profesională)</w:t>
            </w:r>
          </w:p>
        </w:tc>
      </w:tr>
      <w:tr w:rsidR="00F53E3A" w14:paraId="21DBC641" w14:textId="77777777">
        <w:trPr>
          <w:cantSplit/>
          <w:trHeight w:val="300"/>
        </w:trPr>
        <w:tc>
          <w:tcPr>
            <w:tcW w:w="1308" w:type="dxa"/>
            <w:shd w:val="clear" w:color="auto" w:fill="EAF1DD" w:themeFill="accent3" w:themeFillTint="33"/>
            <w:noWrap/>
            <w:vAlign w:val="center"/>
            <w:hideMark/>
          </w:tcPr>
          <w:p w14:paraId="61382701" w14:textId="77777777" w:rsidR="00F53E3A" w:rsidRDefault="0036255F">
            <w:pPr>
              <w:pStyle w:val="P68B1DB1-Normal39"/>
              <w:spacing w:after="0"/>
              <w:jc w:val="center"/>
              <w:rPr>
                <w:noProof/>
                <w:szCs w:val="22"/>
              </w:rPr>
            </w:pPr>
            <w:r>
              <w:rPr>
                <w:noProof/>
              </w:rPr>
              <w:t>112</w:t>
            </w:r>
          </w:p>
        </w:tc>
        <w:tc>
          <w:tcPr>
            <w:tcW w:w="3583" w:type="dxa"/>
            <w:shd w:val="clear" w:color="auto" w:fill="EAF1DD" w:themeFill="accent3" w:themeFillTint="33"/>
            <w:hideMark/>
          </w:tcPr>
          <w:p w14:paraId="423D2C2D" w14:textId="69B433B9" w:rsidR="00F53E3A" w:rsidRDefault="0036255F">
            <w:pPr>
              <w:pStyle w:val="P68B1DB1-Normal39"/>
              <w:spacing w:after="0"/>
              <w:jc w:val="both"/>
              <w:rPr>
                <w:noProof/>
                <w:szCs w:val="22"/>
              </w:rPr>
            </w:pPr>
            <w:r>
              <w:rPr>
                <w:noProof/>
              </w:rPr>
              <w:t xml:space="preserve">D.1.4. Competențe pentru transformarea digitală dobândite în educația și formarea profesională </w:t>
            </w:r>
            <w:r>
              <w:rPr>
                <w:noProof/>
              </w:rPr>
              <w:br/>
              <w:t>D.1.4.1 Platforma națională pentru progresul educației și formării profesionale</w:t>
            </w:r>
          </w:p>
        </w:tc>
        <w:tc>
          <w:tcPr>
            <w:tcW w:w="1275" w:type="dxa"/>
            <w:shd w:val="clear" w:color="auto" w:fill="EAF1DD" w:themeFill="accent3" w:themeFillTint="33"/>
            <w:hideMark/>
          </w:tcPr>
          <w:p w14:paraId="3FD499E2" w14:textId="77777777" w:rsidR="00F53E3A" w:rsidRDefault="0036255F">
            <w:pPr>
              <w:pStyle w:val="P68B1DB1-Normal39"/>
              <w:spacing w:after="0"/>
              <w:jc w:val="center"/>
              <w:rPr>
                <w:noProof/>
                <w:szCs w:val="22"/>
              </w:rPr>
            </w:pPr>
            <w:r>
              <w:rPr>
                <w:noProof/>
              </w:rPr>
              <w:t>Etapă</w:t>
            </w:r>
          </w:p>
        </w:tc>
        <w:tc>
          <w:tcPr>
            <w:tcW w:w="3613" w:type="dxa"/>
            <w:shd w:val="clear" w:color="auto" w:fill="EAF1DD" w:themeFill="accent3" w:themeFillTint="33"/>
            <w:hideMark/>
          </w:tcPr>
          <w:p w14:paraId="5A203D48" w14:textId="77777777" w:rsidR="00F53E3A" w:rsidRDefault="0036255F">
            <w:pPr>
              <w:pStyle w:val="P68B1DB1-Normal39"/>
              <w:spacing w:after="0"/>
              <w:jc w:val="both"/>
              <w:rPr>
                <w:noProof/>
                <w:szCs w:val="22"/>
              </w:rPr>
            </w:pPr>
            <w:r>
              <w:rPr>
                <w:noProof/>
              </w:rPr>
              <w:t>Intrarea în vigoare a legislației privind instituirea Platformei naționale pentru progresul educației și formării profesionale</w:t>
            </w:r>
          </w:p>
        </w:tc>
      </w:tr>
      <w:tr w:rsidR="00F53E3A" w14:paraId="40C27B93" w14:textId="77777777">
        <w:trPr>
          <w:cantSplit/>
          <w:trHeight w:val="300"/>
        </w:trPr>
        <w:tc>
          <w:tcPr>
            <w:tcW w:w="1308" w:type="dxa"/>
            <w:shd w:val="clear" w:color="auto" w:fill="EAF1DD" w:themeFill="accent3" w:themeFillTint="33"/>
            <w:noWrap/>
            <w:vAlign w:val="center"/>
            <w:hideMark/>
          </w:tcPr>
          <w:p w14:paraId="07516FF4" w14:textId="77777777" w:rsidR="00F53E3A" w:rsidRDefault="0036255F">
            <w:pPr>
              <w:pStyle w:val="P68B1DB1-Normal39"/>
              <w:spacing w:after="0"/>
              <w:jc w:val="center"/>
              <w:rPr>
                <w:noProof/>
                <w:szCs w:val="22"/>
              </w:rPr>
            </w:pPr>
            <w:r>
              <w:rPr>
                <w:noProof/>
              </w:rPr>
              <w:t>116</w:t>
            </w:r>
          </w:p>
        </w:tc>
        <w:tc>
          <w:tcPr>
            <w:tcW w:w="3583" w:type="dxa"/>
            <w:shd w:val="clear" w:color="auto" w:fill="EAF1DD" w:themeFill="accent3" w:themeFillTint="33"/>
            <w:hideMark/>
          </w:tcPr>
          <w:p w14:paraId="5A4089ED" w14:textId="17086A45" w:rsidR="00F53E3A" w:rsidRDefault="0036255F">
            <w:pPr>
              <w:pStyle w:val="P68B1DB1-Normal39"/>
              <w:spacing w:after="0"/>
              <w:jc w:val="both"/>
              <w:rPr>
                <w:noProof/>
                <w:szCs w:val="22"/>
              </w:rPr>
            </w:pPr>
            <w:r>
              <w:rPr>
                <w:noProof/>
              </w:rPr>
              <w:t xml:space="preserve">D.1.4. Competențe pentru transformarea digitală dobândite în educația și formarea profesională </w:t>
            </w:r>
            <w:r>
              <w:rPr>
                <w:noProof/>
              </w:rPr>
              <w:br/>
              <w:t>D.1.4.3: Ucenicii și cursuri de formare</w:t>
            </w:r>
          </w:p>
        </w:tc>
        <w:tc>
          <w:tcPr>
            <w:tcW w:w="1275" w:type="dxa"/>
            <w:shd w:val="clear" w:color="auto" w:fill="EAF1DD" w:themeFill="accent3" w:themeFillTint="33"/>
            <w:hideMark/>
          </w:tcPr>
          <w:p w14:paraId="78F84254" w14:textId="77777777" w:rsidR="00F53E3A" w:rsidRDefault="0036255F">
            <w:pPr>
              <w:pStyle w:val="P68B1DB1-Normal39"/>
              <w:spacing w:after="0"/>
              <w:jc w:val="center"/>
              <w:rPr>
                <w:noProof/>
                <w:szCs w:val="22"/>
              </w:rPr>
            </w:pPr>
            <w:r>
              <w:rPr>
                <w:noProof/>
              </w:rPr>
              <w:t>Etapă</w:t>
            </w:r>
          </w:p>
        </w:tc>
        <w:tc>
          <w:tcPr>
            <w:tcW w:w="3613" w:type="dxa"/>
            <w:shd w:val="clear" w:color="auto" w:fill="EAF1DD" w:themeFill="accent3" w:themeFillTint="33"/>
            <w:hideMark/>
          </w:tcPr>
          <w:p w14:paraId="67158CAB" w14:textId="77777777" w:rsidR="00F53E3A" w:rsidRDefault="0036255F">
            <w:pPr>
              <w:pStyle w:val="P68B1DB1-Normal39"/>
              <w:spacing w:after="0"/>
              <w:jc w:val="both"/>
              <w:rPr>
                <w:noProof/>
                <w:szCs w:val="22"/>
              </w:rPr>
            </w:pPr>
            <w:r>
              <w:rPr>
                <w:noProof/>
              </w:rPr>
              <w:t>Intrarea în vigoare a legislației de instituire a unui sistem de sprijin pentru ucenicie și învățarea la locul de muncă</w:t>
            </w:r>
          </w:p>
        </w:tc>
      </w:tr>
      <w:tr w:rsidR="00F53E3A" w14:paraId="662C8D3E" w14:textId="77777777">
        <w:trPr>
          <w:cantSplit/>
          <w:trHeight w:val="300"/>
        </w:trPr>
        <w:tc>
          <w:tcPr>
            <w:tcW w:w="1308" w:type="dxa"/>
            <w:shd w:val="clear" w:color="auto" w:fill="EAF1DD" w:themeFill="accent3" w:themeFillTint="33"/>
            <w:noWrap/>
            <w:vAlign w:val="center"/>
            <w:hideMark/>
          </w:tcPr>
          <w:p w14:paraId="000B8F1F" w14:textId="77777777" w:rsidR="00F53E3A" w:rsidRDefault="0036255F">
            <w:pPr>
              <w:pStyle w:val="P68B1DB1-Normal39"/>
              <w:spacing w:after="0"/>
              <w:jc w:val="center"/>
              <w:rPr>
                <w:noProof/>
                <w:szCs w:val="22"/>
              </w:rPr>
            </w:pPr>
            <w:r>
              <w:rPr>
                <w:noProof/>
              </w:rPr>
              <w:t>126</w:t>
            </w:r>
          </w:p>
        </w:tc>
        <w:tc>
          <w:tcPr>
            <w:tcW w:w="3583" w:type="dxa"/>
            <w:shd w:val="clear" w:color="auto" w:fill="EAF1DD" w:themeFill="accent3" w:themeFillTint="33"/>
            <w:hideMark/>
          </w:tcPr>
          <w:p w14:paraId="567E4E22" w14:textId="1EAFF2D9" w:rsidR="00F53E3A" w:rsidRDefault="0036255F">
            <w:pPr>
              <w:pStyle w:val="P68B1DB1-Normal39"/>
              <w:spacing w:after="0"/>
              <w:jc w:val="both"/>
              <w:rPr>
                <w:noProof/>
                <w:szCs w:val="22"/>
              </w:rPr>
            </w:pPr>
            <w:r>
              <w:rPr>
                <w:noProof/>
              </w:rPr>
              <w:t>E.1.1. Învățământ superior de calitate și instituții de învățământ superior puternice – E.1.1.4. Promovarea sistematică a C &amp; D în instituțiile de învățământ superior și analiza cercetării</w:t>
            </w:r>
          </w:p>
        </w:tc>
        <w:tc>
          <w:tcPr>
            <w:tcW w:w="1275" w:type="dxa"/>
            <w:shd w:val="clear" w:color="auto" w:fill="EAF1DD" w:themeFill="accent3" w:themeFillTint="33"/>
            <w:hideMark/>
          </w:tcPr>
          <w:p w14:paraId="46885F32" w14:textId="77777777" w:rsidR="00F53E3A" w:rsidRDefault="0036255F">
            <w:pPr>
              <w:pStyle w:val="P68B1DB1-Normal39"/>
              <w:spacing w:after="0"/>
              <w:jc w:val="center"/>
              <w:rPr>
                <w:noProof/>
                <w:szCs w:val="22"/>
              </w:rPr>
            </w:pPr>
            <w:r>
              <w:rPr>
                <w:noProof/>
              </w:rPr>
              <w:t>Etapă</w:t>
            </w:r>
          </w:p>
        </w:tc>
        <w:tc>
          <w:tcPr>
            <w:tcW w:w="3613" w:type="dxa"/>
            <w:shd w:val="clear" w:color="auto" w:fill="EAF1DD" w:themeFill="accent3" w:themeFillTint="33"/>
            <w:hideMark/>
          </w:tcPr>
          <w:p w14:paraId="78B8D767" w14:textId="77777777" w:rsidR="00F53E3A" w:rsidRDefault="0036255F">
            <w:pPr>
              <w:pStyle w:val="P68B1DB1-Normal39"/>
              <w:spacing w:after="0"/>
              <w:jc w:val="both"/>
              <w:rPr>
                <w:noProof/>
                <w:szCs w:val="22"/>
              </w:rPr>
            </w:pPr>
            <w:r>
              <w:rPr>
                <w:noProof/>
              </w:rPr>
              <w:t>Intrarea în vigoare a actului juridic de instituire a agenției de punere în aplicare a politicii științifice</w:t>
            </w:r>
          </w:p>
        </w:tc>
      </w:tr>
      <w:tr w:rsidR="00F53E3A" w14:paraId="34B3E2AB" w14:textId="77777777">
        <w:trPr>
          <w:cantSplit/>
          <w:trHeight w:val="300"/>
        </w:trPr>
        <w:tc>
          <w:tcPr>
            <w:tcW w:w="1308" w:type="dxa"/>
            <w:shd w:val="clear" w:color="auto" w:fill="EAF1DD" w:themeFill="accent3" w:themeFillTint="33"/>
            <w:noWrap/>
            <w:vAlign w:val="center"/>
            <w:hideMark/>
          </w:tcPr>
          <w:p w14:paraId="5633630E" w14:textId="77777777" w:rsidR="00F53E3A" w:rsidRDefault="0036255F">
            <w:pPr>
              <w:pStyle w:val="P68B1DB1-Normal39"/>
              <w:spacing w:after="0"/>
              <w:jc w:val="center"/>
              <w:rPr>
                <w:noProof/>
                <w:szCs w:val="22"/>
              </w:rPr>
            </w:pPr>
            <w:r>
              <w:rPr>
                <w:noProof/>
              </w:rPr>
              <w:t>127</w:t>
            </w:r>
          </w:p>
        </w:tc>
        <w:tc>
          <w:tcPr>
            <w:tcW w:w="3583" w:type="dxa"/>
            <w:shd w:val="clear" w:color="auto" w:fill="EAF1DD" w:themeFill="accent3" w:themeFillTint="33"/>
            <w:hideMark/>
          </w:tcPr>
          <w:p w14:paraId="0C6C00A2" w14:textId="0AC8080A" w:rsidR="00F53E3A" w:rsidRDefault="0036255F">
            <w:pPr>
              <w:pStyle w:val="P68B1DB1-Normal39"/>
              <w:spacing w:after="0"/>
              <w:jc w:val="both"/>
              <w:rPr>
                <w:noProof/>
                <w:szCs w:val="22"/>
              </w:rPr>
            </w:pPr>
            <w:r>
              <w:rPr>
                <w:noProof/>
              </w:rPr>
              <w:t>E.1.2. Punerea în aplicare eficace a politicii de inovare, creșterea cererii de inovare, sprijinul pentru ecosistemul întreprinderilor nou-înființate și inovarea ecologică – E.1.2.1. Punerea în aplicare eficientă a politicii de inovare prin crearea unei agenții unice de promovare a inovării și optimizarea rețelei de agenții existente</w:t>
            </w:r>
          </w:p>
        </w:tc>
        <w:tc>
          <w:tcPr>
            <w:tcW w:w="1275" w:type="dxa"/>
            <w:shd w:val="clear" w:color="auto" w:fill="EAF1DD" w:themeFill="accent3" w:themeFillTint="33"/>
            <w:hideMark/>
          </w:tcPr>
          <w:p w14:paraId="2660F396" w14:textId="77777777" w:rsidR="00F53E3A" w:rsidRDefault="0036255F">
            <w:pPr>
              <w:pStyle w:val="P68B1DB1-Normal39"/>
              <w:spacing w:after="0"/>
              <w:jc w:val="center"/>
              <w:rPr>
                <w:noProof/>
                <w:szCs w:val="22"/>
              </w:rPr>
            </w:pPr>
            <w:r>
              <w:rPr>
                <w:noProof/>
              </w:rPr>
              <w:t>Etapă</w:t>
            </w:r>
          </w:p>
        </w:tc>
        <w:tc>
          <w:tcPr>
            <w:tcW w:w="3613" w:type="dxa"/>
            <w:shd w:val="clear" w:color="auto" w:fill="EAF1DD" w:themeFill="accent3" w:themeFillTint="33"/>
            <w:hideMark/>
          </w:tcPr>
          <w:p w14:paraId="706D85D3" w14:textId="77777777" w:rsidR="00F53E3A" w:rsidRDefault="0036255F">
            <w:pPr>
              <w:pStyle w:val="P68B1DB1-Normal39"/>
              <w:spacing w:after="0"/>
              <w:jc w:val="both"/>
              <w:rPr>
                <w:noProof/>
                <w:szCs w:val="22"/>
              </w:rPr>
            </w:pPr>
            <w:r>
              <w:rPr>
                <w:noProof/>
              </w:rPr>
              <w:t>Intrarea în vigoare a rezoluției guvernului de înființare a Agenției pentru Inovare și de transfer al funcțiilor de promovare a inovării de la alte agenții</w:t>
            </w:r>
          </w:p>
        </w:tc>
      </w:tr>
      <w:tr w:rsidR="00F53E3A" w14:paraId="0AD2623E" w14:textId="77777777">
        <w:trPr>
          <w:cantSplit/>
          <w:trHeight w:val="300"/>
        </w:trPr>
        <w:tc>
          <w:tcPr>
            <w:tcW w:w="1308" w:type="dxa"/>
            <w:shd w:val="clear" w:color="auto" w:fill="EAF1DD" w:themeFill="accent3" w:themeFillTint="33"/>
            <w:noWrap/>
            <w:vAlign w:val="center"/>
            <w:hideMark/>
          </w:tcPr>
          <w:p w14:paraId="740B8D10" w14:textId="77777777" w:rsidR="00F53E3A" w:rsidRDefault="0036255F">
            <w:pPr>
              <w:pStyle w:val="P68B1DB1-Normal39"/>
              <w:spacing w:after="0"/>
              <w:jc w:val="center"/>
              <w:rPr>
                <w:noProof/>
                <w:szCs w:val="22"/>
              </w:rPr>
            </w:pPr>
            <w:r>
              <w:rPr>
                <w:noProof/>
              </w:rPr>
              <w:t>128</w:t>
            </w:r>
          </w:p>
        </w:tc>
        <w:tc>
          <w:tcPr>
            <w:tcW w:w="3583" w:type="dxa"/>
            <w:shd w:val="clear" w:color="auto" w:fill="EAF1DD" w:themeFill="accent3" w:themeFillTint="33"/>
            <w:hideMark/>
          </w:tcPr>
          <w:p w14:paraId="7A2FA1EF" w14:textId="61813693" w:rsidR="00F53E3A" w:rsidRDefault="0036255F">
            <w:pPr>
              <w:pStyle w:val="P68B1DB1-Normal39"/>
              <w:spacing w:after="0"/>
              <w:jc w:val="both"/>
              <w:rPr>
                <w:noProof/>
                <w:szCs w:val="22"/>
              </w:rPr>
            </w:pPr>
            <w:r>
              <w:rPr>
                <w:noProof/>
              </w:rPr>
              <w:t>E.1.2 Punerea în aplicare eficace a politicii de inovare, creșterea cererii de inovare, sprijinirea ecosistemului de start-upuri și a inovării verzi – E.1.2.1. Punerea în aplicare eficientă a politicii de inovare prin crearea unei agenții unice de promovare a inovării și optimizarea rețelei de agenții existente</w:t>
            </w:r>
          </w:p>
        </w:tc>
        <w:tc>
          <w:tcPr>
            <w:tcW w:w="1275" w:type="dxa"/>
            <w:shd w:val="clear" w:color="auto" w:fill="EAF1DD" w:themeFill="accent3" w:themeFillTint="33"/>
            <w:hideMark/>
          </w:tcPr>
          <w:p w14:paraId="1064493C" w14:textId="77777777" w:rsidR="00F53E3A" w:rsidRDefault="0036255F">
            <w:pPr>
              <w:pStyle w:val="P68B1DB1-Normal39"/>
              <w:spacing w:after="0"/>
              <w:jc w:val="center"/>
              <w:rPr>
                <w:noProof/>
                <w:szCs w:val="22"/>
              </w:rPr>
            </w:pPr>
            <w:r>
              <w:rPr>
                <w:noProof/>
              </w:rPr>
              <w:t>Etapă</w:t>
            </w:r>
          </w:p>
        </w:tc>
        <w:tc>
          <w:tcPr>
            <w:tcW w:w="3613" w:type="dxa"/>
            <w:shd w:val="clear" w:color="auto" w:fill="EAF1DD" w:themeFill="accent3" w:themeFillTint="33"/>
            <w:hideMark/>
          </w:tcPr>
          <w:p w14:paraId="725A3C90" w14:textId="77777777" w:rsidR="00F53E3A" w:rsidRDefault="0036255F">
            <w:pPr>
              <w:pStyle w:val="P68B1DB1-Normal39"/>
              <w:spacing w:after="0"/>
              <w:jc w:val="both"/>
              <w:rPr>
                <w:noProof/>
                <w:szCs w:val="22"/>
              </w:rPr>
            </w:pPr>
            <w:r>
              <w:rPr>
                <w:noProof/>
              </w:rPr>
              <w:t>Intrarea în vigoare a legislației revizuite privind activitățile inovatoare</w:t>
            </w:r>
          </w:p>
        </w:tc>
      </w:tr>
      <w:tr w:rsidR="00F53E3A" w14:paraId="0D29F0CC" w14:textId="77777777">
        <w:trPr>
          <w:cantSplit/>
          <w:trHeight w:val="300"/>
        </w:trPr>
        <w:tc>
          <w:tcPr>
            <w:tcW w:w="1308" w:type="dxa"/>
            <w:shd w:val="clear" w:color="auto" w:fill="EAF1DD" w:themeFill="accent3" w:themeFillTint="33"/>
            <w:noWrap/>
            <w:vAlign w:val="center"/>
            <w:hideMark/>
          </w:tcPr>
          <w:p w14:paraId="440F96CD" w14:textId="77777777" w:rsidR="00F53E3A" w:rsidRDefault="0036255F">
            <w:pPr>
              <w:pStyle w:val="P68B1DB1-Normal39"/>
              <w:spacing w:after="0"/>
              <w:jc w:val="center"/>
              <w:rPr>
                <w:noProof/>
                <w:szCs w:val="22"/>
              </w:rPr>
            </w:pPr>
            <w:r>
              <w:rPr>
                <w:noProof/>
              </w:rPr>
              <w:t>132</w:t>
            </w:r>
          </w:p>
        </w:tc>
        <w:tc>
          <w:tcPr>
            <w:tcW w:w="3583" w:type="dxa"/>
            <w:shd w:val="clear" w:color="auto" w:fill="EAF1DD" w:themeFill="accent3" w:themeFillTint="33"/>
            <w:hideMark/>
          </w:tcPr>
          <w:p w14:paraId="25190BBE" w14:textId="417ECA81" w:rsidR="00F53E3A" w:rsidRDefault="0036255F">
            <w:pPr>
              <w:pStyle w:val="P68B1DB1-Normal39"/>
              <w:spacing w:after="0"/>
              <w:jc w:val="both"/>
              <w:rPr>
                <w:noProof/>
                <w:szCs w:val="22"/>
              </w:rPr>
            </w:pPr>
            <w:r>
              <w:rPr>
                <w:noProof/>
              </w:rPr>
              <w:t>E.1.3. Misiuni comune pentru știință și inovare în specializarea inteligentă – E.1.3.1. Definirea priorităților de specializare inteligentă</w:t>
            </w:r>
          </w:p>
        </w:tc>
        <w:tc>
          <w:tcPr>
            <w:tcW w:w="1275" w:type="dxa"/>
            <w:shd w:val="clear" w:color="auto" w:fill="EAF1DD" w:themeFill="accent3" w:themeFillTint="33"/>
            <w:hideMark/>
          </w:tcPr>
          <w:p w14:paraId="4CE4469F" w14:textId="77777777" w:rsidR="00F53E3A" w:rsidRDefault="0036255F">
            <w:pPr>
              <w:pStyle w:val="P68B1DB1-Normal39"/>
              <w:spacing w:after="0"/>
              <w:jc w:val="center"/>
              <w:rPr>
                <w:noProof/>
                <w:szCs w:val="22"/>
              </w:rPr>
            </w:pPr>
            <w:r>
              <w:rPr>
                <w:noProof/>
              </w:rPr>
              <w:t>Etapă</w:t>
            </w:r>
          </w:p>
        </w:tc>
        <w:tc>
          <w:tcPr>
            <w:tcW w:w="3613" w:type="dxa"/>
            <w:shd w:val="clear" w:color="auto" w:fill="EAF1DD" w:themeFill="accent3" w:themeFillTint="33"/>
            <w:hideMark/>
          </w:tcPr>
          <w:p w14:paraId="6C76305A" w14:textId="77777777" w:rsidR="00F53E3A" w:rsidRDefault="0036255F">
            <w:pPr>
              <w:pStyle w:val="P68B1DB1-Normal39"/>
              <w:spacing w:after="0"/>
              <w:jc w:val="both"/>
              <w:rPr>
                <w:noProof/>
                <w:szCs w:val="22"/>
              </w:rPr>
            </w:pPr>
            <w:r>
              <w:rPr>
                <w:noProof/>
              </w:rPr>
              <w:t>Intrarea în vigoare a conceptului revizuit de specializare inteligentă</w:t>
            </w:r>
          </w:p>
        </w:tc>
      </w:tr>
      <w:tr w:rsidR="00F53E3A" w14:paraId="7CDF9C6F" w14:textId="77777777">
        <w:trPr>
          <w:cantSplit/>
          <w:trHeight w:val="300"/>
        </w:trPr>
        <w:tc>
          <w:tcPr>
            <w:tcW w:w="1308" w:type="dxa"/>
            <w:shd w:val="clear" w:color="auto" w:fill="EAF1DD" w:themeFill="accent3" w:themeFillTint="33"/>
            <w:noWrap/>
            <w:vAlign w:val="center"/>
            <w:hideMark/>
          </w:tcPr>
          <w:p w14:paraId="1D077E94" w14:textId="77777777" w:rsidR="00F53E3A" w:rsidRDefault="0036255F">
            <w:pPr>
              <w:pStyle w:val="P68B1DB1-Normal39"/>
              <w:spacing w:after="0"/>
              <w:jc w:val="center"/>
              <w:rPr>
                <w:noProof/>
                <w:szCs w:val="22"/>
              </w:rPr>
            </w:pPr>
            <w:r>
              <w:rPr>
                <w:noProof/>
              </w:rPr>
              <w:t>142</w:t>
            </w:r>
          </w:p>
        </w:tc>
        <w:tc>
          <w:tcPr>
            <w:tcW w:w="3583" w:type="dxa"/>
            <w:shd w:val="clear" w:color="auto" w:fill="EAF1DD" w:themeFill="accent3" w:themeFillTint="33"/>
            <w:hideMark/>
          </w:tcPr>
          <w:p w14:paraId="438FBDA5" w14:textId="58A85C9D" w:rsidR="00F53E3A" w:rsidRDefault="0036255F">
            <w:pPr>
              <w:pStyle w:val="P68B1DB1-Normal39"/>
              <w:spacing w:after="0"/>
              <w:jc w:val="both"/>
              <w:rPr>
                <w:noProof/>
                <w:szCs w:val="22"/>
              </w:rPr>
            </w:pPr>
            <w:r>
              <w:rPr>
                <w:noProof/>
              </w:rPr>
              <w:t>F.1.2. Un sistem fiscal mai echitabil și mai favorabil creșterii economice. — F.1.2.1. Eliminarea sau reducerea scutirilor fiscale și a regimurilor fiscale speciale care sunt ineficiente, nu mai reflectă prioritățile statului sau nu respectă Pactul verde</w:t>
            </w:r>
          </w:p>
        </w:tc>
        <w:tc>
          <w:tcPr>
            <w:tcW w:w="1275" w:type="dxa"/>
            <w:shd w:val="clear" w:color="auto" w:fill="EAF1DD" w:themeFill="accent3" w:themeFillTint="33"/>
            <w:hideMark/>
          </w:tcPr>
          <w:p w14:paraId="7C6B4086" w14:textId="77777777" w:rsidR="00F53E3A" w:rsidRDefault="0036255F">
            <w:pPr>
              <w:pStyle w:val="P68B1DB1-Normal39"/>
              <w:spacing w:after="0"/>
              <w:jc w:val="center"/>
              <w:rPr>
                <w:noProof/>
                <w:szCs w:val="22"/>
              </w:rPr>
            </w:pPr>
            <w:r>
              <w:rPr>
                <w:noProof/>
              </w:rPr>
              <w:t>Etapă</w:t>
            </w:r>
          </w:p>
        </w:tc>
        <w:tc>
          <w:tcPr>
            <w:tcW w:w="3613" w:type="dxa"/>
            <w:shd w:val="clear" w:color="auto" w:fill="EAF1DD" w:themeFill="accent3" w:themeFillTint="33"/>
            <w:hideMark/>
          </w:tcPr>
          <w:p w14:paraId="39974FDD" w14:textId="77777777" w:rsidR="00F53E3A" w:rsidRDefault="0036255F">
            <w:pPr>
              <w:pStyle w:val="P68B1DB1-Normal39"/>
              <w:spacing w:after="0"/>
              <w:jc w:val="both"/>
              <w:rPr>
                <w:noProof/>
                <w:szCs w:val="22"/>
              </w:rPr>
            </w:pPr>
            <w:r>
              <w:rPr>
                <w:noProof/>
              </w:rPr>
              <w:t>Prezentarea către parlament a propunerilor făcute pe baza unei analize aprofundate privind retragerea scutirilor fiscale și a regimurilor fiscale speciale</w:t>
            </w:r>
          </w:p>
        </w:tc>
      </w:tr>
      <w:tr w:rsidR="00F53E3A" w14:paraId="4226485F" w14:textId="77777777">
        <w:trPr>
          <w:cantSplit/>
          <w:trHeight w:val="300"/>
        </w:trPr>
        <w:tc>
          <w:tcPr>
            <w:tcW w:w="1308" w:type="dxa"/>
            <w:shd w:val="clear" w:color="auto" w:fill="EAF1DD" w:themeFill="accent3" w:themeFillTint="33"/>
            <w:noWrap/>
            <w:vAlign w:val="center"/>
            <w:hideMark/>
          </w:tcPr>
          <w:p w14:paraId="298155A5" w14:textId="77777777" w:rsidR="00F53E3A" w:rsidRDefault="0036255F">
            <w:pPr>
              <w:pStyle w:val="P68B1DB1-Normal39"/>
              <w:spacing w:after="0"/>
              <w:jc w:val="center"/>
              <w:rPr>
                <w:noProof/>
                <w:szCs w:val="22"/>
              </w:rPr>
            </w:pPr>
            <w:r>
              <w:rPr>
                <w:noProof/>
              </w:rPr>
              <w:t>144</w:t>
            </w:r>
          </w:p>
        </w:tc>
        <w:tc>
          <w:tcPr>
            <w:tcW w:w="3583" w:type="dxa"/>
            <w:shd w:val="clear" w:color="auto" w:fill="EAF1DD" w:themeFill="accent3" w:themeFillTint="33"/>
            <w:hideMark/>
          </w:tcPr>
          <w:p w14:paraId="61BF7694" w14:textId="35178BAE" w:rsidR="00F53E3A" w:rsidRDefault="0036255F">
            <w:pPr>
              <w:pStyle w:val="P68B1DB1-Normal39"/>
              <w:spacing w:after="0"/>
              <w:jc w:val="both"/>
              <w:rPr>
                <w:noProof/>
                <w:szCs w:val="22"/>
              </w:rPr>
            </w:pPr>
            <w:r>
              <w:rPr>
                <w:noProof/>
              </w:rPr>
              <w:t>F.1.2. Un sistem fiscal mai echitabil și mai favorabil creșterii economice – F.1.2.2. Submăsura 2: Extinderea în continuare a bazei de impozitare la surse care nu împiedică creșterea economică</w:t>
            </w:r>
          </w:p>
        </w:tc>
        <w:tc>
          <w:tcPr>
            <w:tcW w:w="1275" w:type="dxa"/>
            <w:shd w:val="clear" w:color="auto" w:fill="EAF1DD" w:themeFill="accent3" w:themeFillTint="33"/>
            <w:hideMark/>
          </w:tcPr>
          <w:p w14:paraId="0934EB3A" w14:textId="77777777" w:rsidR="00F53E3A" w:rsidRDefault="0036255F">
            <w:pPr>
              <w:pStyle w:val="P68B1DB1-Normal39"/>
              <w:spacing w:after="0"/>
              <w:jc w:val="center"/>
              <w:rPr>
                <w:noProof/>
                <w:szCs w:val="22"/>
              </w:rPr>
            </w:pPr>
            <w:r>
              <w:rPr>
                <w:noProof/>
              </w:rPr>
              <w:t>Etapă</w:t>
            </w:r>
          </w:p>
        </w:tc>
        <w:tc>
          <w:tcPr>
            <w:tcW w:w="3613" w:type="dxa"/>
            <w:shd w:val="clear" w:color="auto" w:fill="EAF1DD" w:themeFill="accent3" w:themeFillTint="33"/>
            <w:hideMark/>
          </w:tcPr>
          <w:p w14:paraId="4E30D348" w14:textId="77777777" w:rsidR="00F53E3A" w:rsidRDefault="0036255F">
            <w:pPr>
              <w:pStyle w:val="P68B1DB1-Normal39"/>
              <w:spacing w:after="0"/>
              <w:jc w:val="both"/>
              <w:rPr>
                <w:noProof/>
                <w:szCs w:val="22"/>
              </w:rPr>
            </w:pPr>
            <w:r>
              <w:rPr>
                <w:noProof/>
              </w:rPr>
              <w:t>Prezentarea propunerilor de extindere a taxelor de mediu și a impozitării altor surse mai puțin dăunătoare pentru creșterea economică, pe baza unei analize aprofundate în fața parlamentului</w:t>
            </w:r>
          </w:p>
        </w:tc>
      </w:tr>
      <w:tr w:rsidR="00F53E3A" w14:paraId="0C39815B" w14:textId="77777777">
        <w:trPr>
          <w:cantSplit/>
          <w:trHeight w:val="300"/>
        </w:trPr>
        <w:tc>
          <w:tcPr>
            <w:tcW w:w="1308" w:type="dxa"/>
            <w:shd w:val="clear" w:color="auto" w:fill="EAF1DD" w:themeFill="accent3" w:themeFillTint="33"/>
            <w:noWrap/>
            <w:vAlign w:val="center"/>
            <w:hideMark/>
          </w:tcPr>
          <w:p w14:paraId="51B34ED6" w14:textId="77777777" w:rsidR="00F53E3A" w:rsidRDefault="0036255F">
            <w:pPr>
              <w:pStyle w:val="P68B1DB1-Normal39"/>
              <w:spacing w:after="0"/>
              <w:jc w:val="center"/>
              <w:rPr>
                <w:noProof/>
                <w:szCs w:val="22"/>
              </w:rPr>
            </w:pPr>
            <w:r>
              <w:rPr>
                <w:noProof/>
              </w:rPr>
              <w:t>146</w:t>
            </w:r>
          </w:p>
        </w:tc>
        <w:tc>
          <w:tcPr>
            <w:tcW w:w="3583" w:type="dxa"/>
            <w:shd w:val="clear" w:color="auto" w:fill="EAF1DD" w:themeFill="accent3" w:themeFillTint="33"/>
            <w:hideMark/>
          </w:tcPr>
          <w:p w14:paraId="66E437EA" w14:textId="77777777" w:rsidR="00F53E3A" w:rsidRDefault="0036255F">
            <w:pPr>
              <w:pStyle w:val="P68B1DB1-Normal39"/>
              <w:spacing w:after="0"/>
              <w:jc w:val="both"/>
              <w:rPr>
                <w:noProof/>
                <w:szCs w:val="22"/>
              </w:rPr>
            </w:pPr>
            <w:r>
              <w:rPr>
                <w:noProof/>
              </w:rPr>
              <w:t>F.1.2. Un sistem fiscal mai echitabil și mai favorabil creșterii economice – F.1.2.3. O evaluare a eficacității impozitelor și contribuțiilor la asigurările sociale în ceea ce privește prevenirea sărăciei și reducerea inegalității veniturilor</w:t>
            </w:r>
          </w:p>
        </w:tc>
        <w:tc>
          <w:tcPr>
            <w:tcW w:w="1275" w:type="dxa"/>
            <w:shd w:val="clear" w:color="auto" w:fill="EAF1DD" w:themeFill="accent3" w:themeFillTint="33"/>
            <w:hideMark/>
          </w:tcPr>
          <w:p w14:paraId="5C41F37B" w14:textId="77777777" w:rsidR="00F53E3A" w:rsidRDefault="0036255F">
            <w:pPr>
              <w:pStyle w:val="P68B1DB1-Normal39"/>
              <w:spacing w:after="0"/>
              <w:jc w:val="center"/>
              <w:rPr>
                <w:noProof/>
                <w:szCs w:val="22"/>
              </w:rPr>
            </w:pPr>
            <w:r>
              <w:rPr>
                <w:noProof/>
              </w:rPr>
              <w:t>Etapă</w:t>
            </w:r>
          </w:p>
        </w:tc>
        <w:tc>
          <w:tcPr>
            <w:tcW w:w="3613" w:type="dxa"/>
            <w:shd w:val="clear" w:color="auto" w:fill="EAF1DD" w:themeFill="accent3" w:themeFillTint="33"/>
            <w:hideMark/>
          </w:tcPr>
          <w:p w14:paraId="6926AFF7" w14:textId="77777777" w:rsidR="00F53E3A" w:rsidRDefault="0036255F">
            <w:pPr>
              <w:pStyle w:val="P68B1DB1-Normal39"/>
              <w:spacing w:after="0"/>
              <w:jc w:val="both"/>
              <w:rPr>
                <w:noProof/>
                <w:szCs w:val="22"/>
              </w:rPr>
            </w:pPr>
            <w:r>
              <w:rPr>
                <w:noProof/>
              </w:rPr>
              <w:t>Prezentarea studiului privind eficacitatea impozitării veniturilor personale și a contribuțiilor la asigurările sociale în reducerea sărăciei și a inegalității veniturilor</w:t>
            </w:r>
          </w:p>
        </w:tc>
      </w:tr>
      <w:tr w:rsidR="00F53E3A" w14:paraId="4BEAEF49" w14:textId="77777777">
        <w:trPr>
          <w:cantSplit/>
          <w:trHeight w:val="300"/>
        </w:trPr>
        <w:tc>
          <w:tcPr>
            <w:tcW w:w="1308" w:type="dxa"/>
            <w:shd w:val="clear" w:color="auto" w:fill="EAF1DD" w:themeFill="accent3" w:themeFillTint="33"/>
            <w:noWrap/>
            <w:vAlign w:val="center"/>
            <w:hideMark/>
          </w:tcPr>
          <w:p w14:paraId="152445BF" w14:textId="77777777" w:rsidR="00F53E3A" w:rsidRDefault="0036255F">
            <w:pPr>
              <w:pStyle w:val="P68B1DB1-Normal39"/>
              <w:spacing w:after="0"/>
              <w:jc w:val="center"/>
              <w:rPr>
                <w:noProof/>
                <w:szCs w:val="22"/>
              </w:rPr>
            </w:pPr>
            <w:r>
              <w:rPr>
                <w:noProof/>
              </w:rPr>
              <w:t>152</w:t>
            </w:r>
          </w:p>
        </w:tc>
        <w:tc>
          <w:tcPr>
            <w:tcW w:w="3583" w:type="dxa"/>
            <w:shd w:val="clear" w:color="auto" w:fill="EAF1DD" w:themeFill="accent3" w:themeFillTint="33"/>
            <w:hideMark/>
          </w:tcPr>
          <w:p w14:paraId="2B946104" w14:textId="77777777" w:rsidR="00F53E3A" w:rsidRDefault="0036255F">
            <w:pPr>
              <w:pStyle w:val="P68B1DB1-Normal39"/>
              <w:spacing w:after="0"/>
              <w:jc w:val="both"/>
              <w:rPr>
                <w:noProof/>
                <w:szCs w:val="22"/>
              </w:rPr>
            </w:pPr>
            <w:r>
              <w:rPr>
                <w:noProof/>
              </w:rPr>
              <w:t>F.1.3. Sustenabilitatea pe termen lung și transparența bugetului național – F.1.3.4. Promovarea parteneriatelor public-privat</w:t>
            </w:r>
          </w:p>
        </w:tc>
        <w:tc>
          <w:tcPr>
            <w:tcW w:w="1275" w:type="dxa"/>
            <w:shd w:val="clear" w:color="auto" w:fill="EAF1DD" w:themeFill="accent3" w:themeFillTint="33"/>
            <w:hideMark/>
          </w:tcPr>
          <w:p w14:paraId="765AABDE" w14:textId="77777777" w:rsidR="00F53E3A" w:rsidRDefault="0036255F">
            <w:pPr>
              <w:pStyle w:val="P68B1DB1-Normal39"/>
              <w:spacing w:after="0"/>
              <w:jc w:val="center"/>
              <w:rPr>
                <w:noProof/>
                <w:szCs w:val="22"/>
              </w:rPr>
            </w:pPr>
            <w:r>
              <w:rPr>
                <w:noProof/>
              </w:rPr>
              <w:t>Etapă</w:t>
            </w:r>
          </w:p>
        </w:tc>
        <w:tc>
          <w:tcPr>
            <w:tcW w:w="3613" w:type="dxa"/>
            <w:shd w:val="clear" w:color="auto" w:fill="EAF1DD" w:themeFill="accent3" w:themeFillTint="33"/>
            <w:hideMark/>
          </w:tcPr>
          <w:p w14:paraId="0F80668D" w14:textId="77777777" w:rsidR="00F53E3A" w:rsidRDefault="0036255F">
            <w:pPr>
              <w:pStyle w:val="P68B1DB1-Normal39"/>
              <w:spacing w:after="0"/>
              <w:jc w:val="both"/>
              <w:rPr>
                <w:noProof/>
                <w:szCs w:val="22"/>
              </w:rPr>
            </w:pPr>
            <w:r>
              <w:rPr>
                <w:noProof/>
              </w:rPr>
              <w:t>Intrarea în vigoare a modificărilor aduse normelor privind pregătirea și punerea în aplicare a parteneriatelor public-privat</w:t>
            </w:r>
          </w:p>
        </w:tc>
      </w:tr>
      <w:tr w:rsidR="00F53E3A" w14:paraId="30113101" w14:textId="77777777">
        <w:trPr>
          <w:cantSplit/>
          <w:trHeight w:val="300"/>
        </w:trPr>
        <w:tc>
          <w:tcPr>
            <w:tcW w:w="1308" w:type="dxa"/>
            <w:shd w:val="clear" w:color="auto" w:fill="EAF1DD" w:themeFill="accent3" w:themeFillTint="33"/>
            <w:noWrap/>
            <w:vAlign w:val="center"/>
            <w:hideMark/>
          </w:tcPr>
          <w:p w14:paraId="0EEAA8FA" w14:textId="77777777" w:rsidR="00F53E3A" w:rsidRDefault="0036255F">
            <w:pPr>
              <w:pStyle w:val="P68B1DB1-Normal39"/>
              <w:spacing w:after="0"/>
              <w:jc w:val="center"/>
              <w:rPr>
                <w:noProof/>
                <w:szCs w:val="22"/>
              </w:rPr>
            </w:pPr>
            <w:r>
              <w:rPr>
                <w:noProof/>
              </w:rPr>
              <w:t>155</w:t>
            </w:r>
          </w:p>
        </w:tc>
        <w:tc>
          <w:tcPr>
            <w:tcW w:w="3583" w:type="dxa"/>
            <w:shd w:val="clear" w:color="auto" w:fill="EAF1DD" w:themeFill="accent3" w:themeFillTint="33"/>
            <w:hideMark/>
          </w:tcPr>
          <w:p w14:paraId="5B61300C" w14:textId="77777777" w:rsidR="00F53E3A" w:rsidRDefault="0036255F">
            <w:pPr>
              <w:pStyle w:val="P68B1DB1-Normal39"/>
              <w:spacing w:after="0"/>
              <w:jc w:val="both"/>
              <w:rPr>
                <w:noProof/>
                <w:szCs w:val="22"/>
              </w:rPr>
            </w:pPr>
            <w:r>
              <w:rPr>
                <w:noProof/>
              </w:rPr>
              <w:t>F.1.4. Îmbunătățirea respectării obligațiilor fiscale – F.1.4.1. Mai multă transparență în comerțul cu vehicule rulate</w:t>
            </w:r>
          </w:p>
        </w:tc>
        <w:tc>
          <w:tcPr>
            <w:tcW w:w="1275" w:type="dxa"/>
            <w:shd w:val="clear" w:color="auto" w:fill="EAF1DD" w:themeFill="accent3" w:themeFillTint="33"/>
            <w:hideMark/>
          </w:tcPr>
          <w:p w14:paraId="3A7D2329" w14:textId="77777777" w:rsidR="00F53E3A" w:rsidRDefault="0036255F">
            <w:pPr>
              <w:pStyle w:val="P68B1DB1-Normal39"/>
              <w:spacing w:after="0"/>
              <w:jc w:val="center"/>
              <w:rPr>
                <w:noProof/>
                <w:szCs w:val="22"/>
              </w:rPr>
            </w:pPr>
            <w:r>
              <w:rPr>
                <w:noProof/>
              </w:rPr>
              <w:t>Etapă</w:t>
            </w:r>
          </w:p>
        </w:tc>
        <w:tc>
          <w:tcPr>
            <w:tcW w:w="3613" w:type="dxa"/>
            <w:shd w:val="clear" w:color="auto" w:fill="EAF1DD" w:themeFill="accent3" w:themeFillTint="33"/>
            <w:hideMark/>
          </w:tcPr>
          <w:p w14:paraId="6DBABDD3" w14:textId="77777777" w:rsidR="00F53E3A" w:rsidRDefault="0036255F">
            <w:pPr>
              <w:pStyle w:val="P68B1DB1-Normal39"/>
              <w:spacing w:after="0"/>
              <w:jc w:val="both"/>
              <w:rPr>
                <w:noProof/>
                <w:szCs w:val="22"/>
              </w:rPr>
            </w:pPr>
            <w:r>
              <w:rPr>
                <w:noProof/>
              </w:rPr>
              <w:t>Inspectoratul fiscal de stat și autoritățile vamale obțin date privind proprietarii de vehicule din sistemul contabil al proprietarilor de vehicule</w:t>
            </w:r>
          </w:p>
        </w:tc>
      </w:tr>
      <w:tr w:rsidR="00F53E3A" w14:paraId="4B664706" w14:textId="77777777">
        <w:trPr>
          <w:cantSplit/>
          <w:trHeight w:val="300"/>
        </w:trPr>
        <w:tc>
          <w:tcPr>
            <w:tcW w:w="1308" w:type="dxa"/>
            <w:shd w:val="clear" w:color="auto" w:fill="EAF1DD" w:themeFill="accent3" w:themeFillTint="33"/>
            <w:noWrap/>
            <w:vAlign w:val="center"/>
            <w:hideMark/>
          </w:tcPr>
          <w:p w14:paraId="1E91B5D4" w14:textId="77777777" w:rsidR="00F53E3A" w:rsidRDefault="0036255F">
            <w:pPr>
              <w:pStyle w:val="P68B1DB1-Normal39"/>
              <w:spacing w:after="0"/>
              <w:jc w:val="center"/>
              <w:rPr>
                <w:noProof/>
                <w:szCs w:val="22"/>
              </w:rPr>
            </w:pPr>
            <w:r>
              <w:rPr>
                <w:noProof/>
              </w:rPr>
              <w:t>168</w:t>
            </w:r>
          </w:p>
        </w:tc>
        <w:tc>
          <w:tcPr>
            <w:tcW w:w="3583" w:type="dxa"/>
            <w:shd w:val="clear" w:color="auto" w:fill="EAF1DD" w:themeFill="accent3" w:themeFillTint="33"/>
            <w:hideMark/>
          </w:tcPr>
          <w:p w14:paraId="56F93DE9" w14:textId="6AAF8084" w:rsidR="00F53E3A" w:rsidRDefault="0036255F">
            <w:pPr>
              <w:spacing w:after="0"/>
              <w:jc w:val="both"/>
              <w:rPr>
                <w:rFonts w:ascii="Times New Roman" w:eastAsia="Times New Roman" w:hAnsi="Times New Roman" w:cs="Times New Roman"/>
                <w:noProof/>
                <w:color w:val="000000"/>
              </w:rPr>
            </w:pPr>
            <w:r>
              <w:rPr>
                <w:rFonts w:ascii="Times New Roman" w:eastAsia="Times New Roman" w:hAnsi="Times New Roman" w:cs="Times New Roman"/>
                <w:noProof/>
                <w:color w:val="000000" w:themeColor="text1"/>
              </w:rPr>
              <w:t xml:space="preserve">F.1.6. O administrație fiscală </w:t>
            </w:r>
            <w:r>
              <w:rPr>
                <w:rFonts w:ascii="Times New Roman" w:eastAsia="Calibri" w:hAnsi="Times New Roman" w:cs="Times New Roman"/>
                <w:noProof/>
              </w:rPr>
              <w:t>inteligentă pentru a reduce deficitul de încasare a TVA</w:t>
            </w:r>
            <w:r>
              <w:rPr>
                <w:rFonts w:ascii="Times New Roman" w:eastAsia="Times New Roman" w:hAnsi="Times New Roman" w:cs="Times New Roman"/>
                <w:noProof/>
                <w:color w:val="000000" w:themeColor="text1"/>
              </w:rPr>
              <w:t xml:space="preserve"> –</w:t>
            </w:r>
            <w:r>
              <w:rPr>
                <w:rFonts w:ascii="Times New Roman" w:eastAsia="Calibri" w:hAnsi="Times New Roman" w:cs="Times New Roman"/>
                <w:noProof/>
              </w:rPr>
              <w:t xml:space="preserve"> </w:t>
            </w:r>
            <w:r>
              <w:rPr>
                <w:rFonts w:ascii="Times New Roman" w:hAnsi="Times New Roman" w:cs="Times New Roman"/>
                <w:noProof/>
              </w:rPr>
              <w:t>F.1.6.3. Robotizarea proceselor comerciale în cadrul Inspectoratului Fiscal de Stat</w:t>
            </w:r>
          </w:p>
        </w:tc>
        <w:tc>
          <w:tcPr>
            <w:tcW w:w="1275" w:type="dxa"/>
            <w:shd w:val="clear" w:color="auto" w:fill="EAF1DD" w:themeFill="accent3" w:themeFillTint="33"/>
            <w:hideMark/>
          </w:tcPr>
          <w:p w14:paraId="32C900D1" w14:textId="77777777" w:rsidR="00F53E3A" w:rsidRDefault="0036255F">
            <w:pPr>
              <w:pStyle w:val="P68B1DB1-Normal39"/>
              <w:spacing w:after="0"/>
              <w:jc w:val="center"/>
              <w:rPr>
                <w:noProof/>
                <w:szCs w:val="22"/>
              </w:rPr>
            </w:pPr>
            <w:r>
              <w:rPr>
                <w:noProof/>
              </w:rPr>
              <w:t>Etapă</w:t>
            </w:r>
          </w:p>
        </w:tc>
        <w:tc>
          <w:tcPr>
            <w:tcW w:w="3613" w:type="dxa"/>
            <w:shd w:val="clear" w:color="auto" w:fill="EAF1DD" w:themeFill="accent3" w:themeFillTint="33"/>
            <w:hideMark/>
          </w:tcPr>
          <w:p w14:paraId="64311E5A" w14:textId="77777777" w:rsidR="00F53E3A" w:rsidRDefault="0036255F">
            <w:pPr>
              <w:pStyle w:val="P68B1DB1-Normal39"/>
              <w:spacing w:after="0"/>
              <w:jc w:val="both"/>
              <w:rPr>
                <w:noProof/>
                <w:szCs w:val="22"/>
              </w:rPr>
            </w:pPr>
            <w:r>
              <w:rPr>
                <w:noProof/>
              </w:rPr>
              <w:t>Finalizarea automatizării a două procese comerciale desfășurate de Inspectoratul Fiscal de Stat</w:t>
            </w:r>
          </w:p>
        </w:tc>
      </w:tr>
      <w:tr w:rsidR="00F53E3A" w14:paraId="458132BD" w14:textId="77777777">
        <w:trPr>
          <w:cantSplit/>
          <w:trHeight w:val="300"/>
        </w:trPr>
        <w:tc>
          <w:tcPr>
            <w:tcW w:w="1308" w:type="dxa"/>
            <w:shd w:val="clear" w:color="auto" w:fill="EAF1DD" w:themeFill="accent3" w:themeFillTint="33"/>
            <w:noWrap/>
            <w:vAlign w:val="center"/>
            <w:hideMark/>
          </w:tcPr>
          <w:p w14:paraId="2DBF9356" w14:textId="77777777" w:rsidR="00F53E3A" w:rsidRDefault="0036255F">
            <w:pPr>
              <w:pStyle w:val="P68B1DB1-Normal39"/>
              <w:spacing w:after="0"/>
              <w:jc w:val="center"/>
              <w:rPr>
                <w:noProof/>
                <w:szCs w:val="22"/>
              </w:rPr>
            </w:pPr>
            <w:r>
              <w:rPr>
                <w:noProof/>
              </w:rPr>
              <w:t>179</w:t>
            </w:r>
          </w:p>
        </w:tc>
        <w:tc>
          <w:tcPr>
            <w:tcW w:w="3583" w:type="dxa"/>
            <w:shd w:val="clear" w:color="auto" w:fill="EAF1DD" w:themeFill="accent3" w:themeFillTint="33"/>
            <w:hideMark/>
          </w:tcPr>
          <w:p w14:paraId="29842223" w14:textId="77777777" w:rsidR="00F53E3A" w:rsidRDefault="0036255F">
            <w:pPr>
              <w:pStyle w:val="P68B1DB1-Normal39"/>
              <w:spacing w:after="0"/>
              <w:jc w:val="both"/>
              <w:rPr>
                <w:noProof/>
                <w:szCs w:val="22"/>
              </w:rPr>
            </w:pPr>
            <w:r>
              <w:rPr>
                <w:noProof/>
              </w:rPr>
              <w:t>F.1.9. Sistemul de repertorii pentru audit și controale</w:t>
            </w:r>
          </w:p>
        </w:tc>
        <w:tc>
          <w:tcPr>
            <w:tcW w:w="1275" w:type="dxa"/>
            <w:shd w:val="clear" w:color="auto" w:fill="EAF1DD" w:themeFill="accent3" w:themeFillTint="33"/>
            <w:hideMark/>
          </w:tcPr>
          <w:p w14:paraId="4D1E4EAA" w14:textId="77777777" w:rsidR="00F53E3A" w:rsidRDefault="0036255F">
            <w:pPr>
              <w:pStyle w:val="P68B1DB1-Normal39"/>
              <w:spacing w:after="0"/>
              <w:jc w:val="center"/>
              <w:rPr>
                <w:noProof/>
                <w:szCs w:val="22"/>
              </w:rPr>
            </w:pPr>
            <w:r>
              <w:rPr>
                <w:noProof/>
              </w:rPr>
              <w:t>Etapă</w:t>
            </w:r>
          </w:p>
        </w:tc>
        <w:tc>
          <w:tcPr>
            <w:tcW w:w="3613" w:type="dxa"/>
            <w:shd w:val="clear" w:color="auto" w:fill="EAF1DD" w:themeFill="accent3" w:themeFillTint="33"/>
            <w:hideMark/>
          </w:tcPr>
          <w:p w14:paraId="1EBCA135" w14:textId="77777777" w:rsidR="00F53E3A" w:rsidRDefault="0036255F">
            <w:pPr>
              <w:pStyle w:val="P68B1DB1-Normal39"/>
              <w:spacing w:after="0"/>
              <w:jc w:val="both"/>
              <w:rPr>
                <w:noProof/>
                <w:szCs w:val="22"/>
              </w:rPr>
            </w:pPr>
            <w:r>
              <w:rPr>
                <w:noProof/>
              </w:rPr>
              <w:t>Sistemul de repertorii pentru audit și controale: informații pentru monitorizarea punerii în aplicare a Mecanismului de redresare și reziliență</w:t>
            </w:r>
          </w:p>
        </w:tc>
      </w:tr>
      <w:tr w:rsidR="00F53E3A" w14:paraId="2574D6E4" w14:textId="77777777">
        <w:trPr>
          <w:cantSplit/>
          <w:trHeight w:val="300"/>
        </w:trPr>
        <w:tc>
          <w:tcPr>
            <w:tcW w:w="1308" w:type="dxa"/>
            <w:shd w:val="clear" w:color="auto" w:fill="EAF1DD" w:themeFill="accent3" w:themeFillTint="33"/>
            <w:noWrap/>
            <w:vAlign w:val="center"/>
            <w:hideMark/>
          </w:tcPr>
          <w:p w14:paraId="08845741" w14:textId="77777777" w:rsidR="00F53E3A" w:rsidRDefault="0036255F">
            <w:pPr>
              <w:pStyle w:val="P68B1DB1-Normal39"/>
              <w:spacing w:after="0"/>
              <w:jc w:val="center"/>
              <w:rPr>
                <w:noProof/>
                <w:szCs w:val="22"/>
              </w:rPr>
            </w:pPr>
            <w:r>
              <w:rPr>
                <w:noProof/>
              </w:rPr>
              <w:t>182</w:t>
            </w:r>
          </w:p>
        </w:tc>
        <w:tc>
          <w:tcPr>
            <w:tcW w:w="3583" w:type="dxa"/>
            <w:shd w:val="clear" w:color="auto" w:fill="EAF1DD" w:themeFill="accent3" w:themeFillTint="33"/>
            <w:hideMark/>
          </w:tcPr>
          <w:p w14:paraId="5813FCE1" w14:textId="4FB5E489" w:rsidR="00F53E3A" w:rsidRDefault="0036255F">
            <w:pPr>
              <w:pStyle w:val="P68B1DB1-Normal39"/>
              <w:spacing w:after="0"/>
              <w:jc w:val="both"/>
              <w:rPr>
                <w:noProof/>
                <w:szCs w:val="22"/>
              </w:rPr>
            </w:pPr>
            <w:r>
              <w:rPr>
                <w:noProof/>
              </w:rPr>
              <w:t>G.1.1. Protecția venitului minim garantat – G.1.1.2. Măsuri suplimentare pentru a spori caracterul adecvat și sustenabilitatea prestațiilor sociale</w:t>
            </w:r>
          </w:p>
        </w:tc>
        <w:tc>
          <w:tcPr>
            <w:tcW w:w="1275" w:type="dxa"/>
            <w:shd w:val="clear" w:color="auto" w:fill="EAF1DD" w:themeFill="accent3" w:themeFillTint="33"/>
            <w:hideMark/>
          </w:tcPr>
          <w:p w14:paraId="11D91A49" w14:textId="77777777" w:rsidR="00F53E3A" w:rsidRDefault="0036255F">
            <w:pPr>
              <w:pStyle w:val="P68B1DB1-Normal39"/>
              <w:spacing w:after="0"/>
              <w:jc w:val="center"/>
              <w:rPr>
                <w:noProof/>
                <w:szCs w:val="22"/>
              </w:rPr>
            </w:pPr>
            <w:r>
              <w:rPr>
                <w:noProof/>
              </w:rPr>
              <w:t>Etapă</w:t>
            </w:r>
          </w:p>
        </w:tc>
        <w:tc>
          <w:tcPr>
            <w:tcW w:w="3613" w:type="dxa"/>
            <w:shd w:val="clear" w:color="auto" w:fill="EAF1DD" w:themeFill="accent3" w:themeFillTint="33"/>
            <w:hideMark/>
          </w:tcPr>
          <w:p w14:paraId="50D20E21" w14:textId="77777777" w:rsidR="00F53E3A" w:rsidRDefault="0036255F">
            <w:pPr>
              <w:pStyle w:val="P68B1DB1-Normal39"/>
              <w:spacing w:after="0"/>
              <w:jc w:val="both"/>
              <w:rPr>
                <w:noProof/>
                <w:szCs w:val="22"/>
              </w:rPr>
            </w:pPr>
            <w:r>
              <w:rPr>
                <w:noProof/>
              </w:rPr>
              <w:t>Intrarea în vigoare a legislației care introduce o prestație suplimentară pentru persoanele singure cu handicap și persoanele în vârstă</w:t>
            </w:r>
          </w:p>
        </w:tc>
      </w:tr>
      <w:tr w:rsidR="00F53E3A" w14:paraId="682E8DEE" w14:textId="77777777">
        <w:trPr>
          <w:cantSplit/>
          <w:trHeight w:val="300"/>
        </w:trPr>
        <w:tc>
          <w:tcPr>
            <w:tcW w:w="1308" w:type="dxa"/>
            <w:shd w:val="clear" w:color="auto" w:fill="EAF1DD" w:themeFill="accent3" w:themeFillTint="33"/>
            <w:noWrap/>
            <w:vAlign w:val="center"/>
            <w:hideMark/>
          </w:tcPr>
          <w:p w14:paraId="0E64A693" w14:textId="77777777" w:rsidR="00F53E3A" w:rsidRDefault="0036255F">
            <w:pPr>
              <w:pStyle w:val="P68B1DB1-Normal39"/>
              <w:spacing w:after="0"/>
              <w:jc w:val="center"/>
              <w:rPr>
                <w:noProof/>
                <w:szCs w:val="22"/>
              </w:rPr>
            </w:pPr>
            <w:r>
              <w:rPr>
                <w:noProof/>
              </w:rPr>
              <w:t>185</w:t>
            </w:r>
          </w:p>
        </w:tc>
        <w:tc>
          <w:tcPr>
            <w:tcW w:w="3583" w:type="dxa"/>
            <w:shd w:val="clear" w:color="auto" w:fill="EAF1DD" w:themeFill="accent3" w:themeFillTint="33"/>
            <w:hideMark/>
          </w:tcPr>
          <w:p w14:paraId="4656FC4A" w14:textId="77777777" w:rsidR="00F53E3A" w:rsidRDefault="0036255F">
            <w:pPr>
              <w:pStyle w:val="P68B1DB1-Normal39"/>
              <w:spacing w:after="0"/>
              <w:jc w:val="both"/>
              <w:rPr>
                <w:noProof/>
                <w:szCs w:val="22"/>
              </w:rPr>
            </w:pPr>
            <w:r>
              <w:rPr>
                <w:noProof/>
              </w:rPr>
              <w:t>G.1.1. Protecția venitului minim garantat – G.1.1.3. Acreditarea asistenței sociale</w:t>
            </w:r>
          </w:p>
        </w:tc>
        <w:tc>
          <w:tcPr>
            <w:tcW w:w="1275" w:type="dxa"/>
            <w:shd w:val="clear" w:color="auto" w:fill="EAF1DD" w:themeFill="accent3" w:themeFillTint="33"/>
            <w:hideMark/>
          </w:tcPr>
          <w:p w14:paraId="12198724" w14:textId="77777777" w:rsidR="00F53E3A" w:rsidRDefault="0036255F">
            <w:pPr>
              <w:pStyle w:val="P68B1DB1-Normal39"/>
              <w:spacing w:after="0"/>
              <w:jc w:val="center"/>
              <w:rPr>
                <w:noProof/>
                <w:szCs w:val="22"/>
              </w:rPr>
            </w:pPr>
            <w:r>
              <w:rPr>
                <w:noProof/>
              </w:rPr>
              <w:t>Etapă</w:t>
            </w:r>
          </w:p>
        </w:tc>
        <w:tc>
          <w:tcPr>
            <w:tcW w:w="3613" w:type="dxa"/>
            <w:shd w:val="clear" w:color="auto" w:fill="EAF1DD" w:themeFill="accent3" w:themeFillTint="33"/>
            <w:hideMark/>
          </w:tcPr>
          <w:p w14:paraId="786224E6" w14:textId="77777777" w:rsidR="00F53E3A" w:rsidRDefault="0036255F">
            <w:pPr>
              <w:pStyle w:val="P68B1DB1-Normal39"/>
              <w:spacing w:after="0"/>
              <w:jc w:val="both"/>
              <w:rPr>
                <w:noProof/>
                <w:szCs w:val="22"/>
              </w:rPr>
            </w:pPr>
            <w:r>
              <w:rPr>
                <w:noProof/>
              </w:rPr>
              <w:t>Intrarea în vigoare a legislației privind cerințele pentru furnizarea de asistență socială acreditată</w:t>
            </w:r>
          </w:p>
        </w:tc>
      </w:tr>
      <w:tr w:rsidR="00F53E3A" w14:paraId="728763E4" w14:textId="77777777">
        <w:trPr>
          <w:cantSplit/>
          <w:trHeight w:val="300"/>
        </w:trPr>
        <w:tc>
          <w:tcPr>
            <w:tcW w:w="1308" w:type="dxa"/>
            <w:shd w:val="clear" w:color="auto" w:fill="EAF1DD" w:themeFill="accent3" w:themeFillTint="33"/>
            <w:noWrap/>
            <w:vAlign w:val="center"/>
            <w:hideMark/>
          </w:tcPr>
          <w:p w14:paraId="5D07BF66" w14:textId="77777777" w:rsidR="00F53E3A" w:rsidRDefault="0036255F">
            <w:pPr>
              <w:pStyle w:val="P68B1DB1-Normal39"/>
              <w:spacing w:after="0"/>
              <w:jc w:val="center"/>
              <w:rPr>
                <w:noProof/>
                <w:szCs w:val="22"/>
              </w:rPr>
            </w:pPr>
            <w:r>
              <w:rPr>
                <w:noProof/>
              </w:rPr>
              <w:t>186</w:t>
            </w:r>
          </w:p>
        </w:tc>
        <w:tc>
          <w:tcPr>
            <w:tcW w:w="3583" w:type="dxa"/>
            <w:shd w:val="clear" w:color="auto" w:fill="EAF1DD" w:themeFill="accent3" w:themeFillTint="33"/>
            <w:hideMark/>
          </w:tcPr>
          <w:p w14:paraId="0D468107" w14:textId="69E241EF" w:rsidR="00F53E3A" w:rsidRDefault="0036255F">
            <w:pPr>
              <w:pStyle w:val="P68B1DB1-Normal39"/>
              <w:spacing w:after="0"/>
              <w:jc w:val="both"/>
              <w:rPr>
                <w:noProof/>
                <w:szCs w:val="22"/>
              </w:rPr>
            </w:pPr>
            <w:r>
              <w:rPr>
                <w:noProof/>
              </w:rPr>
              <w:t>G.1.2. Sprijin pentru ocuparea forței de muncă orientat către client – G.1.2.1. Optimizarea și digitalizarea proceselor operaționale ale serviciilor de ocupare a forței de muncă, asigurând orientarea sistematică către client</w:t>
            </w:r>
          </w:p>
        </w:tc>
        <w:tc>
          <w:tcPr>
            <w:tcW w:w="1275" w:type="dxa"/>
            <w:shd w:val="clear" w:color="auto" w:fill="EAF1DD" w:themeFill="accent3" w:themeFillTint="33"/>
            <w:hideMark/>
          </w:tcPr>
          <w:p w14:paraId="64D09C44" w14:textId="77777777" w:rsidR="00F53E3A" w:rsidRDefault="0036255F">
            <w:pPr>
              <w:pStyle w:val="P68B1DB1-Normal39"/>
              <w:spacing w:after="0"/>
              <w:jc w:val="center"/>
              <w:rPr>
                <w:noProof/>
                <w:szCs w:val="22"/>
              </w:rPr>
            </w:pPr>
            <w:r>
              <w:rPr>
                <w:noProof/>
              </w:rPr>
              <w:t>Etapă</w:t>
            </w:r>
          </w:p>
        </w:tc>
        <w:tc>
          <w:tcPr>
            <w:tcW w:w="3613" w:type="dxa"/>
            <w:shd w:val="clear" w:color="auto" w:fill="EAF1DD" w:themeFill="accent3" w:themeFillTint="33"/>
            <w:hideMark/>
          </w:tcPr>
          <w:p w14:paraId="3207DBC8" w14:textId="77777777" w:rsidR="00F53E3A" w:rsidRDefault="0036255F">
            <w:pPr>
              <w:pStyle w:val="P68B1DB1-Normal39"/>
              <w:spacing w:after="0"/>
              <w:jc w:val="both"/>
              <w:rPr>
                <w:noProof/>
                <w:szCs w:val="22"/>
              </w:rPr>
            </w:pPr>
            <w:r>
              <w:rPr>
                <w:noProof/>
              </w:rPr>
              <w:t>Intrarea în vigoare a legislației care reglementează procesele operaționale ale Serviciului de ocupare a forței de muncă</w:t>
            </w:r>
          </w:p>
        </w:tc>
      </w:tr>
      <w:tr w:rsidR="00F53E3A" w14:paraId="66FD78FD" w14:textId="77777777">
        <w:trPr>
          <w:cantSplit/>
          <w:trHeight w:val="300"/>
        </w:trPr>
        <w:tc>
          <w:tcPr>
            <w:tcW w:w="1308" w:type="dxa"/>
            <w:shd w:val="clear" w:color="auto" w:fill="EAF1DD" w:themeFill="accent3" w:themeFillTint="33"/>
            <w:noWrap/>
            <w:vAlign w:val="center"/>
            <w:hideMark/>
          </w:tcPr>
          <w:p w14:paraId="4F1012AB" w14:textId="77777777" w:rsidR="00F53E3A" w:rsidRDefault="0036255F">
            <w:pPr>
              <w:pStyle w:val="P68B1DB1-Normal39"/>
              <w:spacing w:after="0"/>
              <w:jc w:val="center"/>
              <w:rPr>
                <w:noProof/>
                <w:szCs w:val="22"/>
              </w:rPr>
            </w:pPr>
            <w:r>
              <w:rPr>
                <w:noProof/>
              </w:rPr>
              <w:t>188</w:t>
            </w:r>
          </w:p>
        </w:tc>
        <w:tc>
          <w:tcPr>
            <w:tcW w:w="3583" w:type="dxa"/>
            <w:shd w:val="clear" w:color="auto" w:fill="EAF1DD" w:themeFill="accent3" w:themeFillTint="33"/>
            <w:hideMark/>
          </w:tcPr>
          <w:p w14:paraId="36A9193E" w14:textId="64C8675A" w:rsidR="00F53E3A" w:rsidRDefault="0036255F">
            <w:pPr>
              <w:pStyle w:val="P68B1DB1-Normal39"/>
              <w:spacing w:after="0"/>
              <w:jc w:val="both"/>
              <w:rPr>
                <w:noProof/>
                <w:szCs w:val="22"/>
              </w:rPr>
            </w:pPr>
            <w:r>
              <w:rPr>
                <w:noProof/>
              </w:rPr>
              <w:t>G.1.2. Sprijin pentru ocuparea forței de muncă orientat către client – G.1.2.2. Extinderea domeniului de aplicare și a diversității măsurilor de sprijinire a ocupării forței de muncă</w:t>
            </w:r>
          </w:p>
        </w:tc>
        <w:tc>
          <w:tcPr>
            <w:tcW w:w="1275" w:type="dxa"/>
            <w:shd w:val="clear" w:color="auto" w:fill="EAF1DD" w:themeFill="accent3" w:themeFillTint="33"/>
            <w:hideMark/>
          </w:tcPr>
          <w:p w14:paraId="103A2150" w14:textId="77777777" w:rsidR="00F53E3A" w:rsidRDefault="0036255F">
            <w:pPr>
              <w:pStyle w:val="P68B1DB1-Normal39"/>
              <w:spacing w:after="0"/>
              <w:jc w:val="center"/>
              <w:rPr>
                <w:noProof/>
                <w:szCs w:val="22"/>
              </w:rPr>
            </w:pPr>
            <w:r>
              <w:rPr>
                <w:noProof/>
              </w:rPr>
              <w:t>Etapă</w:t>
            </w:r>
          </w:p>
        </w:tc>
        <w:tc>
          <w:tcPr>
            <w:tcW w:w="3613" w:type="dxa"/>
            <w:shd w:val="clear" w:color="auto" w:fill="EAF1DD" w:themeFill="accent3" w:themeFillTint="33"/>
            <w:hideMark/>
          </w:tcPr>
          <w:p w14:paraId="53EABAA7" w14:textId="77777777" w:rsidR="00F53E3A" w:rsidRDefault="0036255F">
            <w:pPr>
              <w:pStyle w:val="P68B1DB1-Normal39"/>
              <w:spacing w:after="0"/>
              <w:jc w:val="both"/>
              <w:rPr>
                <w:noProof/>
                <w:szCs w:val="22"/>
              </w:rPr>
            </w:pPr>
            <w:r>
              <w:rPr>
                <w:noProof/>
              </w:rPr>
              <w:t xml:space="preserve">Intrarea în vigoare a legislației care reglementează schema de sprijin pentru ocuparea forței de muncă pentru punerea în aplicare a măsurilor-pilot </w:t>
            </w:r>
          </w:p>
          <w:p w14:paraId="211CBFF9" w14:textId="45EA988A" w:rsidR="00F53E3A" w:rsidRDefault="0036255F">
            <w:pPr>
              <w:pStyle w:val="P68B1DB1-Normal39"/>
              <w:spacing w:after="0"/>
              <w:jc w:val="both"/>
              <w:rPr>
                <w:noProof/>
                <w:szCs w:val="22"/>
              </w:rPr>
            </w:pPr>
            <w:r>
              <w:rPr>
                <w:noProof/>
              </w:rPr>
              <w:t>(Promovarea antreprenoriatului și sprijinirea învățării care oferă calificări și competențe cu valoare adăugată ridicată, cu accent pe tranziția digitală și tranziția verde)</w:t>
            </w:r>
          </w:p>
        </w:tc>
      </w:tr>
      <w:tr w:rsidR="00F53E3A" w14:paraId="1B42C0B9" w14:textId="77777777">
        <w:trPr>
          <w:cantSplit/>
          <w:trHeight w:val="300"/>
        </w:trPr>
        <w:tc>
          <w:tcPr>
            <w:tcW w:w="1308" w:type="dxa"/>
            <w:shd w:val="clear" w:color="auto" w:fill="EAF1DD" w:themeFill="accent3" w:themeFillTint="33"/>
            <w:hideMark/>
          </w:tcPr>
          <w:p w14:paraId="25177155" w14:textId="77777777" w:rsidR="00F53E3A" w:rsidRDefault="00F53E3A">
            <w:pPr>
              <w:spacing w:after="0"/>
              <w:jc w:val="center"/>
              <w:rPr>
                <w:rFonts w:ascii="Times New Roman" w:eastAsia="Times New Roman" w:hAnsi="Times New Roman" w:cs="Times New Roman"/>
                <w:noProof/>
                <w:color w:val="000000"/>
                <w:szCs w:val="22"/>
              </w:rPr>
            </w:pPr>
          </w:p>
        </w:tc>
        <w:tc>
          <w:tcPr>
            <w:tcW w:w="3583" w:type="dxa"/>
            <w:shd w:val="clear" w:color="auto" w:fill="EAF1DD" w:themeFill="accent3" w:themeFillTint="33"/>
            <w:hideMark/>
          </w:tcPr>
          <w:p w14:paraId="0F63812E" w14:textId="77777777" w:rsidR="00F53E3A" w:rsidRDefault="00F53E3A">
            <w:pPr>
              <w:spacing w:after="0"/>
              <w:jc w:val="both"/>
              <w:rPr>
                <w:rFonts w:ascii="Times New Roman" w:eastAsia="Times New Roman" w:hAnsi="Times New Roman" w:cs="Times New Roman"/>
                <w:noProof/>
                <w:szCs w:val="22"/>
              </w:rPr>
            </w:pPr>
          </w:p>
        </w:tc>
        <w:tc>
          <w:tcPr>
            <w:tcW w:w="1275" w:type="dxa"/>
            <w:shd w:val="clear" w:color="auto" w:fill="EAF1DD" w:themeFill="accent3" w:themeFillTint="33"/>
            <w:vAlign w:val="center"/>
            <w:hideMark/>
          </w:tcPr>
          <w:p w14:paraId="775F7722" w14:textId="77777777" w:rsidR="00F53E3A" w:rsidRDefault="0036255F">
            <w:pPr>
              <w:pStyle w:val="P68B1DB1-Normal39"/>
              <w:spacing w:after="0"/>
              <w:jc w:val="center"/>
              <w:rPr>
                <w:noProof/>
                <w:szCs w:val="22"/>
              </w:rPr>
            </w:pPr>
            <w:r>
              <w:rPr>
                <w:noProof/>
              </w:rPr>
              <w:t>Cuantumul tranșei</w:t>
            </w:r>
          </w:p>
        </w:tc>
        <w:tc>
          <w:tcPr>
            <w:tcW w:w="3613" w:type="dxa"/>
            <w:shd w:val="clear" w:color="auto" w:fill="EAF1DD" w:themeFill="accent3" w:themeFillTint="33"/>
            <w:noWrap/>
            <w:vAlign w:val="center"/>
            <w:hideMark/>
          </w:tcPr>
          <w:p w14:paraId="246A40C0" w14:textId="407F7611" w:rsidR="00F53E3A" w:rsidRDefault="0036255F">
            <w:pPr>
              <w:spacing w:after="0"/>
              <w:jc w:val="both"/>
              <w:rPr>
                <w:rFonts w:ascii="Times New Roman" w:eastAsia="Calibri" w:hAnsi="Times New Roman" w:cs="Times New Roman"/>
                <w:noProof/>
                <w:color w:val="000000"/>
              </w:rPr>
            </w:pPr>
            <w:r>
              <w:rPr>
                <w:rFonts w:ascii="Times New Roman" w:eastAsia="Times New Roman" w:hAnsi="Times New Roman" w:cs="Times New Roman"/>
                <w:noProof/>
                <w:color w:val="000000" w:themeColor="text1"/>
              </w:rPr>
              <w:t xml:space="preserve"> </w:t>
            </w:r>
            <w:r>
              <w:rPr>
                <w:rFonts w:ascii="Times New Roman" w:eastAsia="Calibri" w:hAnsi="Times New Roman" w:cs="Times New Roman"/>
                <w:noProof/>
                <w:color w:val="000000" w:themeColor="text1"/>
              </w:rPr>
              <w:t>649</w:t>
            </w:r>
            <w:r>
              <w:rPr>
                <w:rFonts w:ascii="Times New Roman" w:eastAsia="Times New Roman" w:hAnsi="Times New Roman" w:cs="Times New Roman"/>
                <w:noProof/>
                <w:color w:val="000000" w:themeColor="text1"/>
              </w:rPr>
              <w:t xml:space="preserve"> </w:t>
            </w:r>
            <w:r>
              <w:rPr>
                <w:rFonts w:ascii="Times New Roman" w:eastAsia="Calibri" w:hAnsi="Times New Roman" w:cs="Times New Roman"/>
                <w:noProof/>
                <w:color w:val="000000" w:themeColor="text1"/>
              </w:rPr>
              <w:t>543</w:t>
            </w:r>
            <w:r>
              <w:rPr>
                <w:rFonts w:ascii="Times New Roman" w:eastAsia="Times New Roman" w:hAnsi="Times New Roman" w:cs="Times New Roman"/>
                <w:noProof/>
                <w:color w:val="000000" w:themeColor="text1"/>
              </w:rPr>
              <w:t xml:space="preserve"> </w:t>
            </w:r>
            <w:r>
              <w:rPr>
                <w:rFonts w:ascii="Times New Roman" w:eastAsia="Calibri" w:hAnsi="Times New Roman" w:cs="Times New Roman"/>
                <w:noProof/>
                <w:color w:val="000000" w:themeColor="text1"/>
              </w:rPr>
              <w:t>707 MIL.</w:t>
            </w:r>
          </w:p>
        </w:tc>
      </w:tr>
    </w:tbl>
    <w:p w14:paraId="6AE82ACF" w14:textId="2F400850" w:rsidR="00F53E3A" w:rsidRDefault="0036255F">
      <w:pPr>
        <w:pStyle w:val="P68B1DB1-ListParagraph37"/>
        <w:keepNext/>
        <w:keepLines/>
        <w:numPr>
          <w:ilvl w:val="1"/>
          <w:numId w:val="41"/>
        </w:numPr>
        <w:spacing w:before="480" w:line="240" w:lineRule="auto"/>
        <w:jc w:val="both"/>
        <w:rPr>
          <w:noProof/>
        </w:rPr>
      </w:pPr>
      <w:r>
        <w:rPr>
          <w:noProof/>
        </w:rPr>
        <w:t>A doua tranșă (sprijin nerambursabil):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7"/>
        <w:gridCol w:w="3538"/>
        <w:gridCol w:w="1634"/>
        <w:gridCol w:w="3476"/>
      </w:tblGrid>
      <w:tr w:rsidR="00F53E3A" w14:paraId="165F9E90" w14:textId="77777777">
        <w:trPr>
          <w:cantSplit/>
          <w:tblHeader/>
        </w:trPr>
        <w:tc>
          <w:tcPr>
            <w:tcW w:w="1207" w:type="dxa"/>
            <w:shd w:val="clear" w:color="auto" w:fill="BDD7EE"/>
            <w:vAlign w:val="center"/>
          </w:tcPr>
          <w:p w14:paraId="67BF2A7A" w14:textId="77777777" w:rsidR="00F53E3A" w:rsidRDefault="0036255F">
            <w:pPr>
              <w:pStyle w:val="P68B1DB1-Normal38"/>
              <w:keepNext/>
              <w:keepLines/>
              <w:spacing w:after="0"/>
              <w:jc w:val="center"/>
              <w:rPr>
                <w:bCs/>
                <w:noProof/>
                <w:szCs w:val="22"/>
              </w:rPr>
            </w:pPr>
            <w:r>
              <w:rPr>
                <w:noProof/>
              </w:rPr>
              <w:t>Număr secvențial</w:t>
            </w:r>
          </w:p>
        </w:tc>
        <w:tc>
          <w:tcPr>
            <w:tcW w:w="3721" w:type="dxa"/>
            <w:shd w:val="clear" w:color="auto" w:fill="BDD7EE"/>
            <w:vAlign w:val="center"/>
          </w:tcPr>
          <w:p w14:paraId="2BCD7E16" w14:textId="77777777" w:rsidR="00F53E3A" w:rsidRDefault="0036255F">
            <w:pPr>
              <w:pStyle w:val="P68B1DB1-Normal38"/>
              <w:keepNext/>
              <w:keepLines/>
              <w:spacing w:after="0"/>
              <w:jc w:val="center"/>
              <w:rPr>
                <w:bCs/>
                <w:noProof/>
                <w:szCs w:val="22"/>
              </w:rPr>
            </w:pPr>
            <w:r>
              <w:rPr>
                <w:noProof/>
              </w:rPr>
              <w:t xml:space="preserve">Măsură conexă </w:t>
            </w:r>
            <w:r>
              <w:rPr>
                <w:noProof/>
              </w:rPr>
              <w:br/>
              <w:t>(Reformă sau investiție)</w:t>
            </w:r>
          </w:p>
        </w:tc>
        <w:tc>
          <w:tcPr>
            <w:tcW w:w="1276" w:type="dxa"/>
            <w:shd w:val="clear" w:color="auto" w:fill="BDD7EE"/>
            <w:vAlign w:val="center"/>
          </w:tcPr>
          <w:p w14:paraId="056ADDD3" w14:textId="77777777" w:rsidR="00F53E3A" w:rsidRDefault="0036255F">
            <w:pPr>
              <w:pStyle w:val="P68B1DB1-Normal38"/>
              <w:keepNext/>
              <w:keepLines/>
              <w:spacing w:after="0"/>
              <w:jc w:val="center"/>
              <w:rPr>
                <w:bCs/>
                <w:noProof/>
                <w:szCs w:val="22"/>
              </w:rPr>
            </w:pPr>
            <w:r>
              <w:rPr>
                <w:noProof/>
              </w:rPr>
              <w:t>Etapă/Obiectiv</w:t>
            </w:r>
          </w:p>
        </w:tc>
        <w:tc>
          <w:tcPr>
            <w:tcW w:w="3651" w:type="dxa"/>
            <w:shd w:val="clear" w:color="auto" w:fill="BDD7EE"/>
            <w:vAlign w:val="center"/>
          </w:tcPr>
          <w:p w14:paraId="6FCC943B" w14:textId="77777777" w:rsidR="00F53E3A" w:rsidRDefault="0036255F">
            <w:pPr>
              <w:pStyle w:val="P68B1DB1-Normal38"/>
              <w:keepNext/>
              <w:keepLines/>
              <w:spacing w:after="0"/>
              <w:jc w:val="center"/>
              <w:rPr>
                <w:bCs/>
                <w:noProof/>
                <w:szCs w:val="22"/>
              </w:rPr>
            </w:pPr>
            <w:r>
              <w:rPr>
                <w:noProof/>
              </w:rPr>
              <w:t>Nume</w:t>
            </w:r>
          </w:p>
        </w:tc>
      </w:tr>
      <w:tr w:rsidR="00F53E3A" w14:paraId="1020A5B3" w14:textId="77777777">
        <w:trPr>
          <w:cantSplit/>
        </w:trPr>
        <w:tc>
          <w:tcPr>
            <w:tcW w:w="1207" w:type="dxa"/>
            <w:shd w:val="clear" w:color="auto" w:fill="EAF1DD" w:themeFill="accent3" w:themeFillTint="33"/>
            <w:vAlign w:val="center"/>
          </w:tcPr>
          <w:p w14:paraId="6D52A8FE" w14:textId="77777777" w:rsidR="00F53E3A" w:rsidRDefault="0036255F">
            <w:pPr>
              <w:pStyle w:val="P68B1DB1-Normal40"/>
              <w:spacing w:after="0"/>
              <w:jc w:val="center"/>
              <w:rPr>
                <w:noProof/>
                <w:color w:val="000000"/>
                <w:szCs w:val="22"/>
              </w:rPr>
            </w:pPr>
            <w:r>
              <w:rPr>
                <w:noProof/>
              </w:rPr>
              <w:t>1</w:t>
            </w:r>
          </w:p>
        </w:tc>
        <w:tc>
          <w:tcPr>
            <w:tcW w:w="3721" w:type="dxa"/>
            <w:shd w:val="clear" w:color="auto" w:fill="EAF1DD" w:themeFill="accent3" w:themeFillTint="33"/>
          </w:tcPr>
          <w:p w14:paraId="1729F856" w14:textId="4815CC45" w:rsidR="00F53E3A" w:rsidRDefault="0036255F">
            <w:pPr>
              <w:pStyle w:val="P68B1DB1-Normal39"/>
              <w:spacing w:after="0"/>
              <w:jc w:val="both"/>
              <w:textAlignment w:val="baseline"/>
              <w:rPr>
                <w:noProof/>
              </w:rPr>
            </w:pPr>
            <w:r>
              <w:rPr>
                <w:noProof/>
              </w:rPr>
              <w:t>A.1.1. Îmbunătățirea calității și accesibilității serviciilor de sănătate și promovarea inovării</w:t>
            </w:r>
          </w:p>
          <w:p w14:paraId="4028A9A0" w14:textId="77777777" w:rsidR="00F53E3A" w:rsidRDefault="00F53E3A">
            <w:pPr>
              <w:spacing w:after="0"/>
              <w:jc w:val="both"/>
              <w:textAlignment w:val="baseline"/>
              <w:rPr>
                <w:rFonts w:ascii="Times New Roman" w:eastAsia="Times New Roman" w:hAnsi="Times New Roman" w:cs="Times New Roman"/>
                <w:noProof/>
                <w:szCs w:val="22"/>
              </w:rPr>
            </w:pPr>
          </w:p>
          <w:p w14:paraId="7300234F" w14:textId="77777777" w:rsidR="00F53E3A" w:rsidRDefault="0036255F">
            <w:pPr>
              <w:pStyle w:val="P68B1DB1-Normal39"/>
              <w:spacing w:after="0"/>
              <w:jc w:val="both"/>
              <w:rPr>
                <w:noProof/>
                <w:szCs w:val="22"/>
              </w:rPr>
            </w:pPr>
            <w:r>
              <w:rPr>
                <w:noProof/>
              </w:rPr>
              <w:t>A.1.1.1. Cadrul legislativ care reglementează organizarea, gestionarea și furnizarea serviciilor de ambulanță</w:t>
            </w:r>
          </w:p>
        </w:tc>
        <w:tc>
          <w:tcPr>
            <w:tcW w:w="1276" w:type="dxa"/>
            <w:shd w:val="clear" w:color="auto" w:fill="EAF1DD" w:themeFill="accent3" w:themeFillTint="33"/>
          </w:tcPr>
          <w:p w14:paraId="675772C7" w14:textId="77777777" w:rsidR="00F53E3A" w:rsidRDefault="0036255F">
            <w:pPr>
              <w:pStyle w:val="P68B1DB1-Normal39"/>
              <w:spacing w:after="0"/>
              <w:jc w:val="center"/>
              <w:rPr>
                <w:noProof/>
                <w:szCs w:val="22"/>
              </w:rPr>
            </w:pPr>
            <w:r>
              <w:rPr>
                <w:noProof/>
              </w:rPr>
              <w:t>Etapă</w:t>
            </w:r>
          </w:p>
        </w:tc>
        <w:tc>
          <w:tcPr>
            <w:tcW w:w="3651" w:type="dxa"/>
            <w:shd w:val="clear" w:color="auto" w:fill="EAF1DD" w:themeFill="accent3" w:themeFillTint="33"/>
          </w:tcPr>
          <w:p w14:paraId="20DB177C" w14:textId="77777777" w:rsidR="00F53E3A" w:rsidRDefault="0036255F">
            <w:pPr>
              <w:pStyle w:val="P68B1DB1-Normal39"/>
              <w:spacing w:after="0"/>
              <w:jc w:val="both"/>
              <w:rPr>
                <w:noProof/>
                <w:szCs w:val="22"/>
              </w:rPr>
            </w:pPr>
            <w:r>
              <w:rPr>
                <w:noProof/>
              </w:rPr>
              <w:t>Intrarea în vigoare a Legii modificate privind instituțiile de asistență medicală și a Legii privind sistemul de sănătate din Republica Lituania și a legislației conexe</w:t>
            </w:r>
          </w:p>
        </w:tc>
      </w:tr>
      <w:tr w:rsidR="00F53E3A" w14:paraId="78DD6809" w14:textId="77777777">
        <w:trPr>
          <w:cantSplit/>
        </w:trPr>
        <w:tc>
          <w:tcPr>
            <w:tcW w:w="1207" w:type="dxa"/>
            <w:shd w:val="clear" w:color="auto" w:fill="EAF1DD" w:themeFill="accent3" w:themeFillTint="33"/>
            <w:vAlign w:val="center"/>
          </w:tcPr>
          <w:p w14:paraId="4F81799A" w14:textId="77777777" w:rsidR="00F53E3A" w:rsidRDefault="0036255F">
            <w:pPr>
              <w:pStyle w:val="P68B1DB1-Normal40"/>
              <w:spacing w:after="0"/>
              <w:jc w:val="center"/>
              <w:rPr>
                <w:noProof/>
                <w:color w:val="000000"/>
                <w:szCs w:val="22"/>
              </w:rPr>
            </w:pPr>
            <w:r>
              <w:rPr>
                <w:noProof/>
              </w:rPr>
              <w:t>2</w:t>
            </w:r>
          </w:p>
        </w:tc>
        <w:tc>
          <w:tcPr>
            <w:tcW w:w="3721" w:type="dxa"/>
            <w:shd w:val="clear" w:color="auto" w:fill="EAF1DD" w:themeFill="accent3" w:themeFillTint="33"/>
          </w:tcPr>
          <w:p w14:paraId="3522DDEA" w14:textId="56CA9114" w:rsidR="00F53E3A" w:rsidRDefault="0036255F">
            <w:pPr>
              <w:pStyle w:val="P68B1DB1-Normal39"/>
              <w:spacing w:after="0"/>
              <w:jc w:val="both"/>
              <w:textAlignment w:val="baseline"/>
              <w:rPr>
                <w:noProof/>
              </w:rPr>
            </w:pPr>
            <w:r>
              <w:rPr>
                <w:noProof/>
              </w:rPr>
              <w:t>A.1.1. Îmbunătățirea calității și accesibilității serviciilor de sănătate și promovarea inovării</w:t>
            </w:r>
          </w:p>
          <w:p w14:paraId="15A8331A" w14:textId="77777777" w:rsidR="00F53E3A" w:rsidRDefault="00F53E3A">
            <w:pPr>
              <w:spacing w:after="0"/>
              <w:jc w:val="both"/>
              <w:textAlignment w:val="baseline"/>
              <w:rPr>
                <w:rFonts w:ascii="Times New Roman" w:eastAsia="Times New Roman" w:hAnsi="Times New Roman" w:cs="Times New Roman"/>
                <w:noProof/>
                <w:szCs w:val="22"/>
              </w:rPr>
            </w:pPr>
          </w:p>
          <w:p w14:paraId="70BD1ECB" w14:textId="77777777" w:rsidR="00F53E3A" w:rsidRDefault="0036255F">
            <w:pPr>
              <w:pStyle w:val="P68B1DB1-Normal39"/>
              <w:spacing w:after="0"/>
              <w:jc w:val="both"/>
              <w:textAlignment w:val="baseline"/>
              <w:rPr>
                <w:noProof/>
                <w:szCs w:val="22"/>
              </w:rPr>
            </w:pPr>
            <w:r>
              <w:rPr>
                <w:noProof/>
              </w:rPr>
              <w:t>A.1.1.2. Dezvoltarea unui sistem digital de sănătate care să faciliteze utilizarea secundară a datelor privind sănătatea</w:t>
            </w:r>
          </w:p>
        </w:tc>
        <w:tc>
          <w:tcPr>
            <w:tcW w:w="1276" w:type="dxa"/>
            <w:shd w:val="clear" w:color="auto" w:fill="EAF1DD" w:themeFill="accent3" w:themeFillTint="33"/>
          </w:tcPr>
          <w:p w14:paraId="22535459" w14:textId="77777777" w:rsidR="00F53E3A" w:rsidRDefault="0036255F">
            <w:pPr>
              <w:pStyle w:val="P68B1DB1-Normal40"/>
              <w:spacing w:after="0"/>
              <w:jc w:val="center"/>
              <w:rPr>
                <w:noProof/>
                <w:color w:val="000000"/>
                <w:szCs w:val="22"/>
              </w:rPr>
            </w:pPr>
            <w:r>
              <w:rPr>
                <w:noProof/>
              </w:rPr>
              <w:t>Etapă</w:t>
            </w:r>
          </w:p>
        </w:tc>
        <w:tc>
          <w:tcPr>
            <w:tcW w:w="3651" w:type="dxa"/>
            <w:shd w:val="clear" w:color="auto" w:fill="EAF1DD" w:themeFill="accent3" w:themeFillTint="33"/>
          </w:tcPr>
          <w:p w14:paraId="71D7A4E2" w14:textId="77777777" w:rsidR="00F53E3A" w:rsidRDefault="0036255F">
            <w:pPr>
              <w:pStyle w:val="P68B1DB1-Normal39"/>
              <w:spacing w:after="0"/>
              <w:jc w:val="both"/>
              <w:textAlignment w:val="baseline"/>
              <w:rPr>
                <w:noProof/>
                <w:szCs w:val="22"/>
              </w:rPr>
            </w:pPr>
            <w:r>
              <w:rPr>
                <w:noProof/>
              </w:rPr>
              <w:t>Intrarea în vigoare a legislației care reglementează utilizarea secundară a datelor privind sănătatea</w:t>
            </w:r>
          </w:p>
        </w:tc>
      </w:tr>
      <w:tr w:rsidR="00F53E3A" w14:paraId="528CD88E" w14:textId="77777777">
        <w:trPr>
          <w:cantSplit/>
        </w:trPr>
        <w:tc>
          <w:tcPr>
            <w:tcW w:w="1207" w:type="dxa"/>
            <w:shd w:val="clear" w:color="auto" w:fill="EAF1DD" w:themeFill="accent3" w:themeFillTint="33"/>
            <w:vAlign w:val="center"/>
          </w:tcPr>
          <w:p w14:paraId="60ED1DE0" w14:textId="77777777" w:rsidR="00F53E3A" w:rsidRDefault="0036255F">
            <w:pPr>
              <w:pStyle w:val="P68B1DB1-Normal40"/>
              <w:spacing w:after="0"/>
              <w:jc w:val="center"/>
              <w:rPr>
                <w:noProof/>
                <w:color w:val="000000"/>
                <w:szCs w:val="22"/>
              </w:rPr>
            </w:pPr>
            <w:r>
              <w:rPr>
                <w:noProof/>
              </w:rPr>
              <w:t>3</w:t>
            </w:r>
          </w:p>
        </w:tc>
        <w:tc>
          <w:tcPr>
            <w:tcW w:w="3721" w:type="dxa"/>
            <w:shd w:val="clear" w:color="auto" w:fill="EAF1DD" w:themeFill="accent3" w:themeFillTint="33"/>
          </w:tcPr>
          <w:p w14:paraId="039FF6EA" w14:textId="7D760E4E" w:rsidR="00F53E3A" w:rsidRDefault="0036255F">
            <w:pPr>
              <w:pStyle w:val="P68B1DB1-Normal39"/>
              <w:spacing w:after="0"/>
              <w:jc w:val="both"/>
              <w:textAlignment w:val="baseline"/>
              <w:rPr>
                <w:noProof/>
              </w:rPr>
            </w:pPr>
            <w:r>
              <w:rPr>
                <w:noProof/>
              </w:rPr>
              <w:t>A.1.1. Îmbunătățirea calității și accesibilității serviciilor de sănătate și promovarea inovării</w:t>
            </w:r>
          </w:p>
          <w:p w14:paraId="2AD02F00" w14:textId="77777777" w:rsidR="00F53E3A" w:rsidRDefault="00F53E3A">
            <w:pPr>
              <w:spacing w:after="0"/>
              <w:jc w:val="both"/>
              <w:textAlignment w:val="baseline"/>
              <w:rPr>
                <w:rFonts w:ascii="Times New Roman" w:eastAsia="Times New Roman" w:hAnsi="Times New Roman" w:cs="Times New Roman"/>
                <w:noProof/>
                <w:szCs w:val="22"/>
              </w:rPr>
            </w:pPr>
          </w:p>
          <w:p w14:paraId="0FA7CB20" w14:textId="77777777" w:rsidR="00F53E3A" w:rsidRDefault="0036255F">
            <w:pPr>
              <w:pStyle w:val="P68B1DB1-Normal39"/>
              <w:spacing w:after="0"/>
              <w:jc w:val="both"/>
              <w:rPr>
                <w:noProof/>
                <w:szCs w:val="22"/>
              </w:rPr>
            </w:pPr>
            <w:r>
              <w:rPr>
                <w:noProof/>
              </w:rPr>
              <w:t>A.1.1.3. Planul de acțiune privind dezvoltarea medicinei familiale pentru perioada 2016-2025</w:t>
            </w:r>
          </w:p>
        </w:tc>
        <w:tc>
          <w:tcPr>
            <w:tcW w:w="1276" w:type="dxa"/>
            <w:shd w:val="clear" w:color="auto" w:fill="EAF1DD" w:themeFill="accent3" w:themeFillTint="33"/>
          </w:tcPr>
          <w:p w14:paraId="33283FFA" w14:textId="77777777" w:rsidR="00F53E3A" w:rsidRDefault="0036255F">
            <w:pPr>
              <w:pStyle w:val="P68B1DB1-Normal39"/>
              <w:spacing w:after="0"/>
              <w:jc w:val="center"/>
              <w:rPr>
                <w:noProof/>
                <w:szCs w:val="22"/>
              </w:rPr>
            </w:pPr>
            <w:r>
              <w:rPr>
                <w:noProof/>
              </w:rPr>
              <w:t>Etapă</w:t>
            </w:r>
          </w:p>
        </w:tc>
        <w:tc>
          <w:tcPr>
            <w:tcW w:w="3651" w:type="dxa"/>
            <w:shd w:val="clear" w:color="auto" w:fill="EAF1DD" w:themeFill="accent3" w:themeFillTint="33"/>
          </w:tcPr>
          <w:p w14:paraId="2A2B19E3" w14:textId="77777777" w:rsidR="00F53E3A" w:rsidRDefault="0036255F">
            <w:pPr>
              <w:pStyle w:val="P68B1DB1-Normal39"/>
              <w:spacing w:after="0"/>
              <w:jc w:val="both"/>
              <w:rPr>
                <w:noProof/>
                <w:szCs w:val="22"/>
              </w:rPr>
            </w:pPr>
            <w:r>
              <w:rPr>
                <w:noProof/>
              </w:rPr>
              <w:t>Adoptarea Planului de acțiune actualizat privind dezvoltarea medicinei familiale pentru perioada 2016-2025</w:t>
            </w:r>
          </w:p>
        </w:tc>
      </w:tr>
      <w:tr w:rsidR="00F53E3A" w14:paraId="0519F5A9" w14:textId="77777777">
        <w:trPr>
          <w:cantSplit/>
        </w:trPr>
        <w:tc>
          <w:tcPr>
            <w:tcW w:w="1207" w:type="dxa"/>
            <w:shd w:val="clear" w:color="auto" w:fill="EAF1DD" w:themeFill="accent3" w:themeFillTint="33"/>
            <w:vAlign w:val="center"/>
          </w:tcPr>
          <w:p w14:paraId="005C972E" w14:textId="77777777" w:rsidR="00F53E3A" w:rsidRDefault="0036255F">
            <w:pPr>
              <w:pStyle w:val="P68B1DB1-Normal40"/>
              <w:spacing w:after="0"/>
              <w:jc w:val="center"/>
              <w:rPr>
                <w:noProof/>
                <w:color w:val="000000"/>
                <w:szCs w:val="22"/>
              </w:rPr>
            </w:pPr>
            <w:r>
              <w:rPr>
                <w:noProof/>
              </w:rPr>
              <w:t>27</w:t>
            </w:r>
          </w:p>
        </w:tc>
        <w:tc>
          <w:tcPr>
            <w:tcW w:w="3721" w:type="dxa"/>
            <w:shd w:val="clear" w:color="auto" w:fill="EAF1DD" w:themeFill="accent3" w:themeFillTint="33"/>
          </w:tcPr>
          <w:p w14:paraId="7B208025" w14:textId="77777777" w:rsidR="00F53E3A" w:rsidRDefault="0036255F">
            <w:pPr>
              <w:pStyle w:val="P68B1DB1-Normal39"/>
              <w:spacing w:after="0"/>
              <w:jc w:val="both"/>
              <w:rPr>
                <w:noProof/>
                <w:szCs w:val="22"/>
              </w:rPr>
            </w:pPr>
            <w:r>
              <w:rPr>
                <w:noProof/>
              </w:rPr>
              <w:t>B.1.1 Energie electrică mai durabilă produsă în țară – B.1.1.3 Instalarea altor infrastructuri de stocare a energiei electrice</w:t>
            </w:r>
          </w:p>
        </w:tc>
        <w:tc>
          <w:tcPr>
            <w:tcW w:w="1276" w:type="dxa"/>
            <w:shd w:val="clear" w:color="auto" w:fill="EAF1DD" w:themeFill="accent3" w:themeFillTint="33"/>
          </w:tcPr>
          <w:p w14:paraId="28E113BD" w14:textId="77777777" w:rsidR="00F53E3A" w:rsidRDefault="0036255F">
            <w:pPr>
              <w:pStyle w:val="P68B1DB1-Normal39"/>
              <w:spacing w:after="0"/>
              <w:jc w:val="center"/>
              <w:rPr>
                <w:noProof/>
                <w:szCs w:val="22"/>
              </w:rPr>
            </w:pPr>
            <w:r>
              <w:rPr>
                <w:noProof/>
              </w:rPr>
              <w:t>Țintă</w:t>
            </w:r>
          </w:p>
        </w:tc>
        <w:tc>
          <w:tcPr>
            <w:tcW w:w="3651" w:type="dxa"/>
            <w:shd w:val="clear" w:color="auto" w:fill="EAF1DD" w:themeFill="accent3" w:themeFillTint="33"/>
          </w:tcPr>
          <w:p w14:paraId="5DBF0B1B" w14:textId="77777777" w:rsidR="00F53E3A" w:rsidRDefault="0036255F">
            <w:pPr>
              <w:pStyle w:val="P68B1DB1-Normal39"/>
              <w:spacing w:after="0"/>
              <w:jc w:val="both"/>
              <w:rPr>
                <w:noProof/>
                <w:szCs w:val="22"/>
              </w:rPr>
            </w:pPr>
            <w:r>
              <w:rPr>
                <w:noProof/>
              </w:rPr>
              <w:t>Capacitatea instalată a noilor instalații de stocare a energiei electrice (MW)</w:t>
            </w:r>
          </w:p>
        </w:tc>
      </w:tr>
      <w:tr w:rsidR="00F53E3A" w14:paraId="5BBFDE72" w14:textId="77777777">
        <w:trPr>
          <w:cantSplit/>
        </w:trPr>
        <w:tc>
          <w:tcPr>
            <w:tcW w:w="1207" w:type="dxa"/>
            <w:shd w:val="clear" w:color="auto" w:fill="EAF1DD" w:themeFill="accent3" w:themeFillTint="33"/>
            <w:vAlign w:val="center"/>
          </w:tcPr>
          <w:p w14:paraId="4FF2089E" w14:textId="77777777" w:rsidR="00F53E3A" w:rsidRDefault="0036255F">
            <w:pPr>
              <w:pStyle w:val="P68B1DB1-Normal40"/>
              <w:spacing w:after="0"/>
              <w:jc w:val="center"/>
              <w:rPr>
                <w:noProof/>
                <w:color w:val="000000"/>
                <w:szCs w:val="22"/>
              </w:rPr>
            </w:pPr>
            <w:r>
              <w:rPr>
                <w:noProof/>
              </w:rPr>
              <w:t>50</w:t>
            </w:r>
          </w:p>
        </w:tc>
        <w:tc>
          <w:tcPr>
            <w:tcW w:w="3721" w:type="dxa"/>
            <w:shd w:val="clear" w:color="auto" w:fill="EAF1DD" w:themeFill="accent3" w:themeFillTint="33"/>
          </w:tcPr>
          <w:p w14:paraId="13418665" w14:textId="77777777" w:rsidR="00F53E3A" w:rsidRDefault="0036255F">
            <w:pPr>
              <w:pStyle w:val="P68B1DB1-Normal39"/>
              <w:spacing w:after="0"/>
              <w:jc w:val="both"/>
              <w:rPr>
                <w:noProof/>
                <w:szCs w:val="22"/>
              </w:rPr>
            </w:pPr>
            <w:r>
              <w:rPr>
                <w:noProof/>
              </w:rPr>
              <w:t>B.1.3 Accelerarea renovării clădirilor și un mediu urban durabil – B.1.3.2. Instrumente de facilitare a coordonării renovării clădirilor și a asistenței tehnice</w:t>
            </w:r>
          </w:p>
        </w:tc>
        <w:tc>
          <w:tcPr>
            <w:tcW w:w="1276" w:type="dxa"/>
            <w:shd w:val="clear" w:color="auto" w:fill="EAF1DD" w:themeFill="accent3" w:themeFillTint="33"/>
          </w:tcPr>
          <w:p w14:paraId="53CD80DF" w14:textId="77777777" w:rsidR="00F53E3A" w:rsidRDefault="0036255F">
            <w:pPr>
              <w:pStyle w:val="P68B1DB1-Normal39"/>
              <w:spacing w:after="0"/>
              <w:jc w:val="center"/>
              <w:rPr>
                <w:noProof/>
                <w:szCs w:val="22"/>
              </w:rPr>
            </w:pPr>
            <w:r>
              <w:rPr>
                <w:noProof/>
              </w:rPr>
              <w:t>Etapă</w:t>
            </w:r>
          </w:p>
        </w:tc>
        <w:tc>
          <w:tcPr>
            <w:tcW w:w="3651" w:type="dxa"/>
            <w:shd w:val="clear" w:color="auto" w:fill="EAF1DD" w:themeFill="accent3" w:themeFillTint="33"/>
          </w:tcPr>
          <w:p w14:paraId="0DD5BCFD" w14:textId="77777777" w:rsidR="00F53E3A" w:rsidRDefault="0036255F">
            <w:pPr>
              <w:pStyle w:val="P68B1DB1-Normal39"/>
              <w:spacing w:after="0"/>
              <w:jc w:val="both"/>
              <w:rPr>
                <w:noProof/>
                <w:szCs w:val="22"/>
              </w:rPr>
            </w:pPr>
            <w:r>
              <w:rPr>
                <w:noProof/>
              </w:rPr>
              <w:t>Este înființat și operațional Centrul de competențe pentru renovarea clădirilor</w:t>
            </w:r>
          </w:p>
        </w:tc>
      </w:tr>
      <w:tr w:rsidR="00F53E3A" w14:paraId="25A9FB36" w14:textId="77777777">
        <w:trPr>
          <w:cantSplit/>
        </w:trPr>
        <w:tc>
          <w:tcPr>
            <w:tcW w:w="1207" w:type="dxa"/>
            <w:shd w:val="clear" w:color="auto" w:fill="EAF1DD" w:themeFill="accent3" w:themeFillTint="33"/>
            <w:vAlign w:val="center"/>
          </w:tcPr>
          <w:p w14:paraId="6AC59F84" w14:textId="77777777" w:rsidR="00F53E3A" w:rsidRDefault="0036255F">
            <w:pPr>
              <w:pStyle w:val="P68B1DB1-Normal40"/>
              <w:spacing w:after="0"/>
              <w:jc w:val="center"/>
              <w:rPr>
                <w:noProof/>
                <w:color w:val="000000"/>
                <w:szCs w:val="22"/>
              </w:rPr>
            </w:pPr>
            <w:r>
              <w:rPr>
                <w:noProof/>
              </w:rPr>
              <w:t>57</w:t>
            </w:r>
          </w:p>
        </w:tc>
        <w:tc>
          <w:tcPr>
            <w:tcW w:w="3721" w:type="dxa"/>
            <w:shd w:val="clear" w:color="auto" w:fill="EAF1DD" w:themeFill="accent3" w:themeFillTint="33"/>
          </w:tcPr>
          <w:p w14:paraId="3A857E91" w14:textId="7731E38C" w:rsidR="00F53E3A" w:rsidRDefault="0036255F">
            <w:pPr>
              <w:pStyle w:val="P68B1DB1-Normal39"/>
              <w:spacing w:after="0"/>
              <w:jc w:val="both"/>
              <w:rPr>
                <w:noProof/>
              </w:rPr>
            </w:pPr>
            <w:r>
              <w:rPr>
                <w:noProof/>
              </w:rPr>
              <w:t>B.1.4 Menținerea unei capacități tot mai mari de absorbție a GES</w:t>
            </w:r>
          </w:p>
        </w:tc>
        <w:tc>
          <w:tcPr>
            <w:tcW w:w="1276" w:type="dxa"/>
            <w:shd w:val="clear" w:color="auto" w:fill="EAF1DD" w:themeFill="accent3" w:themeFillTint="33"/>
          </w:tcPr>
          <w:p w14:paraId="2E556502" w14:textId="77777777" w:rsidR="00F53E3A" w:rsidRDefault="0036255F">
            <w:pPr>
              <w:pStyle w:val="P68B1DB1-Normal39"/>
              <w:spacing w:after="0"/>
              <w:jc w:val="center"/>
              <w:rPr>
                <w:noProof/>
                <w:szCs w:val="22"/>
              </w:rPr>
            </w:pPr>
            <w:r>
              <w:rPr>
                <w:noProof/>
              </w:rPr>
              <w:t>Etapă</w:t>
            </w:r>
          </w:p>
        </w:tc>
        <w:tc>
          <w:tcPr>
            <w:tcW w:w="3651" w:type="dxa"/>
            <w:shd w:val="clear" w:color="auto" w:fill="EAF1DD" w:themeFill="accent3" w:themeFillTint="33"/>
          </w:tcPr>
          <w:p w14:paraId="1D10B986" w14:textId="77777777" w:rsidR="00F53E3A" w:rsidRDefault="0036255F">
            <w:pPr>
              <w:pStyle w:val="P68B1DB1-Normal39"/>
              <w:spacing w:after="0"/>
              <w:jc w:val="both"/>
              <w:rPr>
                <w:noProof/>
                <w:szCs w:val="22"/>
              </w:rPr>
            </w:pPr>
            <w:r>
              <w:rPr>
                <w:noProof/>
              </w:rPr>
              <w:t>A intrat în vigoare legislația care reglementează refacerea zonelor umede (turbăriile) și protecția suplimentară și utilizarea durabilă a acestora</w:t>
            </w:r>
          </w:p>
        </w:tc>
      </w:tr>
      <w:tr w:rsidR="00F53E3A" w14:paraId="7071E777" w14:textId="77777777">
        <w:trPr>
          <w:cantSplit/>
        </w:trPr>
        <w:tc>
          <w:tcPr>
            <w:tcW w:w="1207" w:type="dxa"/>
            <w:shd w:val="clear" w:color="auto" w:fill="EAF1DD" w:themeFill="accent3" w:themeFillTint="33"/>
            <w:vAlign w:val="center"/>
          </w:tcPr>
          <w:p w14:paraId="0516FC92" w14:textId="77777777" w:rsidR="00F53E3A" w:rsidRDefault="0036255F">
            <w:pPr>
              <w:pStyle w:val="P68B1DB1-Normal40"/>
              <w:spacing w:after="0"/>
              <w:jc w:val="center"/>
              <w:rPr>
                <w:noProof/>
                <w:szCs w:val="22"/>
              </w:rPr>
            </w:pPr>
            <w:r>
              <w:rPr>
                <w:noProof/>
              </w:rPr>
              <w:t>60a</w:t>
            </w:r>
          </w:p>
        </w:tc>
        <w:tc>
          <w:tcPr>
            <w:tcW w:w="3721" w:type="dxa"/>
            <w:shd w:val="clear" w:color="auto" w:fill="EAF1DD" w:themeFill="accent3" w:themeFillTint="33"/>
          </w:tcPr>
          <w:p w14:paraId="5DE4181F" w14:textId="77777777" w:rsidR="00F53E3A" w:rsidRDefault="0036255F">
            <w:pPr>
              <w:pStyle w:val="P68B1DB1-Normal39"/>
              <w:spacing w:after="0"/>
              <w:jc w:val="both"/>
              <w:rPr>
                <w:noProof/>
                <w:szCs w:val="22"/>
              </w:rPr>
            </w:pPr>
            <w:r>
              <w:rPr>
                <w:noProof/>
              </w:rPr>
              <w:t>C.1.1a Transformarea guvernanței tehnologiei informației publice – Dezvoltarea securității cibernetice de stat</w:t>
            </w:r>
          </w:p>
        </w:tc>
        <w:tc>
          <w:tcPr>
            <w:tcW w:w="1276" w:type="dxa"/>
            <w:shd w:val="clear" w:color="auto" w:fill="EAF1DD" w:themeFill="accent3" w:themeFillTint="33"/>
          </w:tcPr>
          <w:p w14:paraId="127E481D" w14:textId="77777777" w:rsidR="00F53E3A" w:rsidRDefault="0036255F">
            <w:pPr>
              <w:pStyle w:val="P68B1DB1-Normal39"/>
              <w:spacing w:after="0"/>
              <w:jc w:val="center"/>
              <w:rPr>
                <w:noProof/>
                <w:szCs w:val="22"/>
              </w:rPr>
            </w:pPr>
            <w:r>
              <w:rPr>
                <w:noProof/>
              </w:rPr>
              <w:t>Etapă</w:t>
            </w:r>
          </w:p>
        </w:tc>
        <w:tc>
          <w:tcPr>
            <w:tcW w:w="3651" w:type="dxa"/>
            <w:shd w:val="clear" w:color="auto" w:fill="EAF1DD" w:themeFill="accent3" w:themeFillTint="33"/>
          </w:tcPr>
          <w:p w14:paraId="11A134C3" w14:textId="5F12CFE1" w:rsidR="00F53E3A" w:rsidRDefault="0036255F">
            <w:pPr>
              <w:pStyle w:val="P68B1DB1-Normal39"/>
              <w:spacing w:after="0"/>
              <w:jc w:val="both"/>
              <w:rPr>
                <w:noProof/>
                <w:szCs w:val="22"/>
              </w:rPr>
            </w:pPr>
            <w:r>
              <w:rPr>
                <w:noProof/>
              </w:rPr>
              <w:t>Adoptarea programului de dezvoltare a securității cibernetice</w:t>
            </w:r>
          </w:p>
        </w:tc>
      </w:tr>
      <w:tr w:rsidR="00F53E3A" w14:paraId="1A7E5E5D" w14:textId="77777777">
        <w:trPr>
          <w:cantSplit/>
        </w:trPr>
        <w:tc>
          <w:tcPr>
            <w:tcW w:w="1207" w:type="dxa"/>
            <w:shd w:val="clear" w:color="auto" w:fill="EAF1DD" w:themeFill="accent3" w:themeFillTint="33"/>
            <w:vAlign w:val="center"/>
          </w:tcPr>
          <w:p w14:paraId="5CC9BD22" w14:textId="77777777" w:rsidR="00F53E3A" w:rsidRDefault="0036255F">
            <w:pPr>
              <w:pStyle w:val="P68B1DB1-Normal40"/>
              <w:spacing w:after="0"/>
              <w:jc w:val="center"/>
              <w:rPr>
                <w:noProof/>
                <w:color w:val="000000"/>
                <w:szCs w:val="22"/>
              </w:rPr>
            </w:pPr>
            <w:r>
              <w:rPr>
                <w:noProof/>
              </w:rPr>
              <w:t>64</w:t>
            </w:r>
          </w:p>
        </w:tc>
        <w:tc>
          <w:tcPr>
            <w:tcW w:w="3721" w:type="dxa"/>
            <w:shd w:val="clear" w:color="auto" w:fill="EAF1DD" w:themeFill="accent3" w:themeFillTint="33"/>
          </w:tcPr>
          <w:p w14:paraId="4269B9C3" w14:textId="517A94C1" w:rsidR="00F53E3A" w:rsidRDefault="0036255F">
            <w:pPr>
              <w:pStyle w:val="P68B1DB1-Normal39"/>
              <w:spacing w:after="0"/>
              <w:jc w:val="both"/>
              <w:rPr>
                <w:noProof/>
                <w:szCs w:val="22"/>
              </w:rPr>
            </w:pPr>
            <w:r>
              <w:rPr>
                <w:noProof/>
              </w:rPr>
              <w:t>C.1.2 Gestionarea datelor și datele deschise</w:t>
            </w:r>
          </w:p>
        </w:tc>
        <w:tc>
          <w:tcPr>
            <w:tcW w:w="1276" w:type="dxa"/>
            <w:shd w:val="clear" w:color="auto" w:fill="EAF1DD" w:themeFill="accent3" w:themeFillTint="33"/>
          </w:tcPr>
          <w:p w14:paraId="6D0843B5" w14:textId="77777777" w:rsidR="00F53E3A" w:rsidRDefault="0036255F">
            <w:pPr>
              <w:pStyle w:val="P68B1DB1-Normal39"/>
              <w:spacing w:after="0"/>
              <w:jc w:val="center"/>
              <w:rPr>
                <w:noProof/>
                <w:szCs w:val="22"/>
              </w:rPr>
            </w:pPr>
            <w:r>
              <w:rPr>
                <w:noProof/>
              </w:rPr>
              <w:t>Etapă</w:t>
            </w:r>
          </w:p>
        </w:tc>
        <w:tc>
          <w:tcPr>
            <w:tcW w:w="3651" w:type="dxa"/>
            <w:shd w:val="clear" w:color="auto" w:fill="EAF1DD" w:themeFill="accent3" w:themeFillTint="33"/>
          </w:tcPr>
          <w:p w14:paraId="711A56BC" w14:textId="6FBDE338" w:rsidR="00F53E3A" w:rsidRDefault="0036255F">
            <w:pPr>
              <w:pStyle w:val="P68B1DB1-Normal39"/>
              <w:spacing w:after="0"/>
              <w:jc w:val="both"/>
              <w:rPr>
                <w:noProof/>
                <w:szCs w:val="22"/>
              </w:rPr>
            </w:pPr>
            <w:r>
              <w:rPr>
                <w:noProof/>
              </w:rPr>
              <w:t>Intrarea în vigoare a legislației privind prelucrarea eficientă a datelor</w:t>
            </w:r>
          </w:p>
        </w:tc>
      </w:tr>
      <w:tr w:rsidR="00F53E3A" w14:paraId="53850E08" w14:textId="77777777">
        <w:trPr>
          <w:cantSplit/>
        </w:trPr>
        <w:tc>
          <w:tcPr>
            <w:tcW w:w="1207" w:type="dxa"/>
            <w:shd w:val="clear" w:color="auto" w:fill="EAF1DD" w:themeFill="accent3" w:themeFillTint="33"/>
            <w:vAlign w:val="center"/>
          </w:tcPr>
          <w:p w14:paraId="7CF6D732" w14:textId="77777777" w:rsidR="00F53E3A" w:rsidRDefault="0036255F">
            <w:pPr>
              <w:pStyle w:val="P68B1DB1-Normal40"/>
              <w:spacing w:after="0"/>
              <w:jc w:val="center"/>
              <w:rPr>
                <w:noProof/>
              </w:rPr>
            </w:pPr>
            <w:r>
              <w:rPr>
                <w:noProof/>
              </w:rPr>
              <w:t>68</w:t>
            </w:r>
          </w:p>
        </w:tc>
        <w:tc>
          <w:tcPr>
            <w:tcW w:w="3721" w:type="dxa"/>
            <w:shd w:val="clear" w:color="auto" w:fill="EAF1DD" w:themeFill="accent3" w:themeFillTint="33"/>
          </w:tcPr>
          <w:p w14:paraId="24AA88F6" w14:textId="77777777" w:rsidR="00F53E3A" w:rsidRDefault="0036255F">
            <w:pPr>
              <w:pStyle w:val="P68B1DB1-Normal39"/>
              <w:spacing w:after="0"/>
              <w:jc w:val="both"/>
              <w:rPr>
                <w:noProof/>
                <w:color w:val="000000" w:themeColor="text1"/>
              </w:rPr>
            </w:pPr>
            <w:r>
              <w:rPr>
                <w:noProof/>
              </w:rPr>
              <w:t>C.1.3 Servicii orientate către clienți</w:t>
            </w:r>
          </w:p>
        </w:tc>
        <w:tc>
          <w:tcPr>
            <w:tcW w:w="1276" w:type="dxa"/>
            <w:shd w:val="clear" w:color="auto" w:fill="EAF1DD" w:themeFill="accent3" w:themeFillTint="33"/>
          </w:tcPr>
          <w:p w14:paraId="3D54F925" w14:textId="77777777" w:rsidR="00F53E3A" w:rsidRDefault="0036255F">
            <w:pPr>
              <w:pStyle w:val="P68B1DB1-Normal39"/>
              <w:spacing w:after="0"/>
              <w:jc w:val="center"/>
              <w:rPr>
                <w:noProof/>
                <w:color w:val="000000" w:themeColor="text1"/>
              </w:rPr>
            </w:pPr>
            <w:r>
              <w:rPr>
                <w:noProof/>
              </w:rPr>
              <w:t>Etapă</w:t>
            </w:r>
          </w:p>
        </w:tc>
        <w:tc>
          <w:tcPr>
            <w:tcW w:w="3651" w:type="dxa"/>
            <w:shd w:val="clear" w:color="auto" w:fill="EAF1DD" w:themeFill="accent3" w:themeFillTint="33"/>
          </w:tcPr>
          <w:p w14:paraId="7FE6C79F" w14:textId="77777777" w:rsidR="00F53E3A" w:rsidRDefault="0036255F">
            <w:pPr>
              <w:pStyle w:val="P68B1DB1-Normal39"/>
              <w:spacing w:after="0"/>
              <w:jc w:val="both"/>
              <w:rPr>
                <w:noProof/>
                <w:color w:val="000000" w:themeColor="text1"/>
              </w:rPr>
            </w:pPr>
            <w:r>
              <w:rPr>
                <w:noProof/>
              </w:rPr>
              <w:t>Intrarea în vigoare a regulamentului modificat privind furnizarea de informații persoanelor cu handicap</w:t>
            </w:r>
          </w:p>
        </w:tc>
      </w:tr>
      <w:tr w:rsidR="00F53E3A" w14:paraId="5192CA2F" w14:textId="77777777">
        <w:trPr>
          <w:cantSplit/>
        </w:trPr>
        <w:tc>
          <w:tcPr>
            <w:tcW w:w="1207" w:type="dxa"/>
            <w:shd w:val="clear" w:color="auto" w:fill="EAF1DD" w:themeFill="accent3" w:themeFillTint="33"/>
            <w:vAlign w:val="center"/>
          </w:tcPr>
          <w:p w14:paraId="327818B5" w14:textId="77777777" w:rsidR="00F53E3A" w:rsidRDefault="0036255F">
            <w:pPr>
              <w:pStyle w:val="P68B1DB1-Normal40"/>
              <w:spacing w:after="0"/>
              <w:jc w:val="center"/>
              <w:rPr>
                <w:noProof/>
              </w:rPr>
            </w:pPr>
            <w:r>
              <w:rPr>
                <w:noProof/>
              </w:rPr>
              <w:t>69</w:t>
            </w:r>
          </w:p>
        </w:tc>
        <w:tc>
          <w:tcPr>
            <w:tcW w:w="3721" w:type="dxa"/>
            <w:shd w:val="clear" w:color="auto" w:fill="EAF1DD" w:themeFill="accent3" w:themeFillTint="33"/>
          </w:tcPr>
          <w:p w14:paraId="44589C63" w14:textId="77777777" w:rsidR="00F53E3A" w:rsidRDefault="0036255F">
            <w:pPr>
              <w:pStyle w:val="P68B1DB1-Normal39"/>
              <w:spacing w:after="0"/>
              <w:jc w:val="both"/>
              <w:rPr>
                <w:noProof/>
                <w:color w:val="000000" w:themeColor="text1"/>
              </w:rPr>
            </w:pPr>
            <w:r>
              <w:rPr>
                <w:noProof/>
              </w:rPr>
              <w:t>C.1.3 Servicii orientate către clienți</w:t>
            </w:r>
          </w:p>
        </w:tc>
        <w:tc>
          <w:tcPr>
            <w:tcW w:w="1276" w:type="dxa"/>
            <w:shd w:val="clear" w:color="auto" w:fill="EAF1DD" w:themeFill="accent3" w:themeFillTint="33"/>
          </w:tcPr>
          <w:p w14:paraId="16746A7E" w14:textId="77777777" w:rsidR="00F53E3A" w:rsidRDefault="0036255F">
            <w:pPr>
              <w:pStyle w:val="P68B1DB1-Normal39"/>
              <w:spacing w:after="0"/>
              <w:jc w:val="center"/>
              <w:rPr>
                <w:noProof/>
                <w:color w:val="000000" w:themeColor="text1"/>
              </w:rPr>
            </w:pPr>
            <w:r>
              <w:rPr>
                <w:noProof/>
              </w:rPr>
              <w:t>Etapă</w:t>
            </w:r>
          </w:p>
        </w:tc>
        <w:tc>
          <w:tcPr>
            <w:tcW w:w="3651" w:type="dxa"/>
            <w:shd w:val="clear" w:color="auto" w:fill="EAF1DD" w:themeFill="accent3" w:themeFillTint="33"/>
          </w:tcPr>
          <w:p w14:paraId="0B26262A" w14:textId="77777777" w:rsidR="00F53E3A" w:rsidRDefault="0036255F">
            <w:pPr>
              <w:pStyle w:val="P68B1DB1-Normal39"/>
              <w:spacing w:after="0"/>
              <w:jc w:val="both"/>
              <w:rPr>
                <w:noProof/>
                <w:color w:val="000000" w:themeColor="text1"/>
              </w:rPr>
            </w:pPr>
            <w:r>
              <w:rPr>
                <w:noProof/>
              </w:rPr>
              <w:t>Publicarea unei cereri de oferte pentru soluții și instrumente inovatoare pentru a asigura oportunități mai bune de comunicare pentru persoanele cu handicap</w:t>
            </w:r>
          </w:p>
        </w:tc>
      </w:tr>
      <w:tr w:rsidR="00F53E3A" w14:paraId="76D0AC3B" w14:textId="77777777">
        <w:trPr>
          <w:cantSplit/>
        </w:trPr>
        <w:tc>
          <w:tcPr>
            <w:tcW w:w="1207" w:type="dxa"/>
            <w:shd w:val="clear" w:color="auto" w:fill="EAF1DD" w:themeFill="accent3" w:themeFillTint="33"/>
            <w:vAlign w:val="center"/>
          </w:tcPr>
          <w:p w14:paraId="07635E5F" w14:textId="77777777" w:rsidR="00F53E3A" w:rsidRDefault="0036255F">
            <w:pPr>
              <w:pStyle w:val="P68B1DB1-Normal40"/>
              <w:spacing w:after="0"/>
              <w:jc w:val="center"/>
              <w:rPr>
                <w:noProof/>
                <w:color w:val="000000"/>
                <w:szCs w:val="22"/>
              </w:rPr>
            </w:pPr>
            <w:r>
              <w:rPr>
                <w:noProof/>
              </w:rPr>
              <w:t>76</w:t>
            </w:r>
          </w:p>
        </w:tc>
        <w:tc>
          <w:tcPr>
            <w:tcW w:w="3721" w:type="dxa"/>
            <w:shd w:val="clear" w:color="auto" w:fill="EAF1DD" w:themeFill="accent3" w:themeFillTint="33"/>
          </w:tcPr>
          <w:p w14:paraId="0A280834" w14:textId="7EBC0E9A" w:rsidR="00F53E3A" w:rsidRDefault="0036255F">
            <w:pPr>
              <w:pStyle w:val="P68B1DB1-Normal39"/>
              <w:spacing w:after="0"/>
              <w:jc w:val="both"/>
              <w:rPr>
                <w:noProof/>
                <w:szCs w:val="22"/>
              </w:rPr>
            </w:pPr>
            <w:r>
              <w:rPr>
                <w:noProof/>
              </w:rPr>
              <w:t>C.1.4 Soluții tehnologice în mediul de afaceri și în viața de zi cu zi – C.1.4.2. Digitalizarea resurselor culturale</w:t>
            </w:r>
          </w:p>
        </w:tc>
        <w:tc>
          <w:tcPr>
            <w:tcW w:w="1276" w:type="dxa"/>
            <w:shd w:val="clear" w:color="auto" w:fill="EAF1DD" w:themeFill="accent3" w:themeFillTint="33"/>
          </w:tcPr>
          <w:p w14:paraId="3CCF7461" w14:textId="77777777" w:rsidR="00F53E3A" w:rsidRDefault="0036255F">
            <w:pPr>
              <w:pStyle w:val="P68B1DB1-Normal39"/>
              <w:spacing w:after="0"/>
              <w:jc w:val="center"/>
              <w:rPr>
                <w:noProof/>
                <w:szCs w:val="22"/>
              </w:rPr>
            </w:pPr>
            <w:r>
              <w:rPr>
                <w:noProof/>
              </w:rPr>
              <w:t>Țintă</w:t>
            </w:r>
          </w:p>
        </w:tc>
        <w:tc>
          <w:tcPr>
            <w:tcW w:w="3651" w:type="dxa"/>
            <w:shd w:val="clear" w:color="auto" w:fill="EAF1DD" w:themeFill="accent3" w:themeFillTint="33"/>
          </w:tcPr>
          <w:p w14:paraId="7DB07DA2" w14:textId="77777777" w:rsidR="00F53E3A" w:rsidRDefault="0036255F">
            <w:pPr>
              <w:pStyle w:val="P68B1DB1-Normal39"/>
              <w:spacing w:after="0"/>
              <w:jc w:val="both"/>
              <w:rPr>
                <w:noProof/>
              </w:rPr>
            </w:pPr>
            <w:r>
              <w:rPr>
                <w:noProof/>
              </w:rPr>
              <w:t>Contracte semnate cu proprietarii resurselor culturale digitale și digitalizate pentru deschiderea resurselor și punerea acestora la dispoziția utilizatorilor</w:t>
            </w:r>
          </w:p>
        </w:tc>
      </w:tr>
      <w:tr w:rsidR="00F53E3A" w14:paraId="6C4A35F0" w14:textId="77777777">
        <w:trPr>
          <w:cantSplit/>
        </w:trPr>
        <w:tc>
          <w:tcPr>
            <w:tcW w:w="1207" w:type="dxa"/>
            <w:shd w:val="clear" w:color="auto" w:fill="EAF1DD" w:themeFill="accent3" w:themeFillTint="33"/>
            <w:vAlign w:val="center"/>
          </w:tcPr>
          <w:p w14:paraId="3E6C415B" w14:textId="77777777" w:rsidR="00F53E3A" w:rsidRDefault="0036255F">
            <w:pPr>
              <w:pStyle w:val="P68B1DB1-Normal40"/>
              <w:spacing w:after="0"/>
              <w:jc w:val="center"/>
              <w:rPr>
                <w:noProof/>
                <w:color w:val="000000"/>
                <w:szCs w:val="22"/>
              </w:rPr>
            </w:pPr>
            <w:r>
              <w:rPr>
                <w:noProof/>
              </w:rPr>
              <w:t>80</w:t>
            </w:r>
          </w:p>
        </w:tc>
        <w:tc>
          <w:tcPr>
            <w:tcW w:w="3721" w:type="dxa"/>
            <w:shd w:val="clear" w:color="auto" w:fill="EAF1DD" w:themeFill="accent3" w:themeFillTint="33"/>
          </w:tcPr>
          <w:p w14:paraId="5A140584" w14:textId="43C3B045" w:rsidR="00F53E3A" w:rsidRDefault="0036255F">
            <w:pPr>
              <w:pStyle w:val="P68B1DB1-Normal39"/>
              <w:spacing w:after="0"/>
              <w:jc w:val="both"/>
              <w:rPr>
                <w:noProof/>
                <w:szCs w:val="22"/>
              </w:rPr>
            </w:pPr>
            <w:r>
              <w:rPr>
                <w:noProof/>
              </w:rPr>
              <w:t>C.1.4 Soluții tehnologice în mediul de afaceri și în viața de zi cu zi – C.1.4.4. Instrumente financiare pentru înființarea de întreprinderi și inovarea digitală</w:t>
            </w:r>
          </w:p>
        </w:tc>
        <w:tc>
          <w:tcPr>
            <w:tcW w:w="1276" w:type="dxa"/>
            <w:shd w:val="clear" w:color="auto" w:fill="EAF1DD" w:themeFill="accent3" w:themeFillTint="33"/>
          </w:tcPr>
          <w:p w14:paraId="4D248167" w14:textId="77777777" w:rsidR="00F53E3A" w:rsidRDefault="0036255F">
            <w:pPr>
              <w:pStyle w:val="P68B1DB1-Normal39"/>
              <w:spacing w:after="0"/>
              <w:jc w:val="center"/>
              <w:rPr>
                <w:noProof/>
                <w:szCs w:val="22"/>
              </w:rPr>
            </w:pPr>
            <w:r>
              <w:rPr>
                <w:noProof/>
              </w:rPr>
              <w:t>Etapă</w:t>
            </w:r>
          </w:p>
        </w:tc>
        <w:tc>
          <w:tcPr>
            <w:tcW w:w="3651" w:type="dxa"/>
            <w:shd w:val="clear" w:color="auto" w:fill="EAF1DD" w:themeFill="accent3" w:themeFillTint="33"/>
          </w:tcPr>
          <w:p w14:paraId="0C852E34" w14:textId="77777777" w:rsidR="00F53E3A" w:rsidRDefault="0036255F">
            <w:pPr>
              <w:pStyle w:val="P68B1DB1-Normal39"/>
              <w:spacing w:after="0"/>
              <w:jc w:val="both"/>
              <w:rPr>
                <w:noProof/>
                <w:szCs w:val="22"/>
              </w:rPr>
            </w:pPr>
            <w:r>
              <w:rPr>
                <w:noProof/>
              </w:rPr>
              <w:t>Publicarea cererii de oferte și aprobarea condițiilor de finanțare pentru dezvoltarea și implementarea de soluții tehnologice inovatoare în întreprinderi</w:t>
            </w:r>
          </w:p>
        </w:tc>
      </w:tr>
      <w:tr w:rsidR="00F53E3A" w14:paraId="4915703E" w14:textId="77777777">
        <w:trPr>
          <w:cantSplit/>
        </w:trPr>
        <w:tc>
          <w:tcPr>
            <w:tcW w:w="1207" w:type="dxa"/>
            <w:shd w:val="clear" w:color="auto" w:fill="EAF1DD" w:themeFill="accent3" w:themeFillTint="33"/>
            <w:vAlign w:val="center"/>
          </w:tcPr>
          <w:p w14:paraId="7604291A" w14:textId="77777777" w:rsidR="00F53E3A" w:rsidRDefault="0036255F">
            <w:pPr>
              <w:pStyle w:val="P68B1DB1-Normal40"/>
              <w:spacing w:after="0"/>
              <w:jc w:val="center"/>
              <w:rPr>
                <w:noProof/>
                <w:color w:val="000000"/>
                <w:szCs w:val="22"/>
              </w:rPr>
            </w:pPr>
            <w:r>
              <w:rPr>
                <w:noProof/>
              </w:rPr>
              <w:t>92</w:t>
            </w:r>
          </w:p>
        </w:tc>
        <w:tc>
          <w:tcPr>
            <w:tcW w:w="3721" w:type="dxa"/>
            <w:shd w:val="clear" w:color="auto" w:fill="EAF1DD" w:themeFill="accent3" w:themeFillTint="33"/>
          </w:tcPr>
          <w:p w14:paraId="18A9C076" w14:textId="77777777" w:rsidR="00F53E3A" w:rsidRDefault="0036255F">
            <w:pPr>
              <w:pStyle w:val="P68B1DB1-Normal39"/>
              <w:spacing w:after="0"/>
              <w:jc w:val="both"/>
              <w:textAlignment w:val="baseline"/>
              <w:rPr>
                <w:noProof/>
                <w:szCs w:val="22"/>
              </w:rPr>
            </w:pPr>
            <w:r>
              <w:rPr>
                <w:noProof/>
              </w:rPr>
              <w:t>D.1.1. Educația generală modernă – Contextul competențelor de bază</w:t>
            </w:r>
          </w:p>
          <w:p w14:paraId="434925A4" w14:textId="77777777" w:rsidR="00F53E3A" w:rsidRDefault="0036255F">
            <w:pPr>
              <w:pStyle w:val="P68B1DB1-Normal39"/>
              <w:spacing w:after="0"/>
              <w:jc w:val="both"/>
              <w:rPr>
                <w:noProof/>
                <w:szCs w:val="22"/>
              </w:rPr>
            </w:pPr>
            <w:r>
              <w:rPr>
                <w:noProof/>
              </w:rPr>
              <w:t>D.1.1.1: Îmbunătățirea calității educației</w:t>
            </w:r>
          </w:p>
        </w:tc>
        <w:tc>
          <w:tcPr>
            <w:tcW w:w="1276" w:type="dxa"/>
            <w:shd w:val="clear" w:color="auto" w:fill="EAF1DD" w:themeFill="accent3" w:themeFillTint="33"/>
          </w:tcPr>
          <w:p w14:paraId="6835D5F3" w14:textId="77777777" w:rsidR="00F53E3A" w:rsidRDefault="0036255F">
            <w:pPr>
              <w:pStyle w:val="P68B1DB1-Normal39"/>
              <w:spacing w:after="0"/>
              <w:jc w:val="center"/>
              <w:rPr>
                <w:noProof/>
                <w:szCs w:val="22"/>
              </w:rPr>
            </w:pPr>
            <w:r>
              <w:rPr>
                <w:noProof/>
              </w:rPr>
              <w:t>Etapă</w:t>
            </w:r>
          </w:p>
        </w:tc>
        <w:tc>
          <w:tcPr>
            <w:tcW w:w="3651" w:type="dxa"/>
            <w:shd w:val="clear" w:color="auto" w:fill="EAF1DD" w:themeFill="accent3" w:themeFillTint="33"/>
          </w:tcPr>
          <w:p w14:paraId="745DAF27" w14:textId="77777777" w:rsidR="00F53E3A" w:rsidRDefault="0036255F">
            <w:pPr>
              <w:pStyle w:val="P68B1DB1-Normal39"/>
              <w:spacing w:after="0"/>
              <w:jc w:val="both"/>
              <w:rPr>
                <w:noProof/>
                <w:szCs w:val="22"/>
              </w:rPr>
            </w:pPr>
            <w:r>
              <w:rPr>
                <w:noProof/>
              </w:rPr>
              <w:t>Intrarea în vigoare a programelor revizuite de învățământ preșcolar, primar, secundar inferior și secundar (programa de învățământ)</w:t>
            </w:r>
          </w:p>
        </w:tc>
      </w:tr>
      <w:tr w:rsidR="00F53E3A" w14:paraId="610DE874" w14:textId="77777777">
        <w:trPr>
          <w:cantSplit/>
        </w:trPr>
        <w:tc>
          <w:tcPr>
            <w:tcW w:w="1207" w:type="dxa"/>
            <w:shd w:val="clear" w:color="auto" w:fill="EAF1DD" w:themeFill="accent3" w:themeFillTint="33"/>
            <w:vAlign w:val="center"/>
          </w:tcPr>
          <w:p w14:paraId="567FC4C7" w14:textId="77777777" w:rsidR="00F53E3A" w:rsidRDefault="0036255F">
            <w:pPr>
              <w:pStyle w:val="P68B1DB1-Normal40"/>
              <w:spacing w:after="0"/>
              <w:jc w:val="center"/>
              <w:rPr>
                <w:noProof/>
                <w:color w:val="000000"/>
                <w:szCs w:val="22"/>
              </w:rPr>
            </w:pPr>
            <w:r>
              <w:rPr>
                <w:noProof/>
              </w:rPr>
              <w:t>99</w:t>
            </w:r>
          </w:p>
        </w:tc>
        <w:tc>
          <w:tcPr>
            <w:tcW w:w="3721" w:type="dxa"/>
            <w:shd w:val="clear" w:color="auto" w:fill="EAF1DD" w:themeFill="accent3" w:themeFillTint="33"/>
          </w:tcPr>
          <w:p w14:paraId="7EACE05A" w14:textId="77777777" w:rsidR="00F53E3A" w:rsidRDefault="0036255F">
            <w:pPr>
              <w:pStyle w:val="P68B1DB1-Normal39"/>
              <w:spacing w:after="0"/>
              <w:jc w:val="both"/>
              <w:textAlignment w:val="baseline"/>
              <w:rPr>
                <w:noProof/>
                <w:szCs w:val="22"/>
              </w:rPr>
            </w:pPr>
            <w:r>
              <w:rPr>
                <w:noProof/>
              </w:rPr>
              <w:t>D.1.1. Educația generală modernă – Contextul competențelor de bază</w:t>
            </w:r>
          </w:p>
          <w:p w14:paraId="4927E9A3" w14:textId="4FF37BBA" w:rsidR="00F53E3A" w:rsidRDefault="0036255F">
            <w:pPr>
              <w:pStyle w:val="P68B1DB1-Normal39"/>
              <w:spacing w:after="0"/>
              <w:jc w:val="both"/>
              <w:rPr>
                <w:noProof/>
                <w:szCs w:val="22"/>
              </w:rPr>
            </w:pPr>
            <w:r>
              <w:rPr>
                <w:noProof/>
              </w:rPr>
              <w:t>D.1.1.4: Formarea personalului pedagogic</w:t>
            </w:r>
          </w:p>
        </w:tc>
        <w:tc>
          <w:tcPr>
            <w:tcW w:w="1276" w:type="dxa"/>
            <w:shd w:val="clear" w:color="auto" w:fill="EAF1DD" w:themeFill="accent3" w:themeFillTint="33"/>
          </w:tcPr>
          <w:p w14:paraId="1B3ADF52" w14:textId="77777777" w:rsidR="00F53E3A" w:rsidRDefault="0036255F">
            <w:pPr>
              <w:pStyle w:val="P68B1DB1-Normal39"/>
              <w:spacing w:after="0"/>
              <w:jc w:val="center"/>
              <w:rPr>
                <w:noProof/>
                <w:szCs w:val="22"/>
              </w:rPr>
            </w:pPr>
            <w:r>
              <w:rPr>
                <w:noProof/>
              </w:rPr>
              <w:t>Etapă</w:t>
            </w:r>
          </w:p>
        </w:tc>
        <w:tc>
          <w:tcPr>
            <w:tcW w:w="3651" w:type="dxa"/>
            <w:shd w:val="clear" w:color="auto" w:fill="EAF1DD" w:themeFill="accent3" w:themeFillTint="33"/>
          </w:tcPr>
          <w:p w14:paraId="3C95FCBE" w14:textId="26A12979" w:rsidR="00F53E3A" w:rsidRDefault="0036255F">
            <w:pPr>
              <w:pStyle w:val="P68B1DB1-Normal39"/>
              <w:spacing w:after="0"/>
              <w:jc w:val="both"/>
              <w:rPr>
                <w:noProof/>
                <w:szCs w:val="22"/>
              </w:rPr>
            </w:pPr>
            <w:r>
              <w:rPr>
                <w:noProof/>
              </w:rPr>
              <w:t>Intrarea în vigoare a legislației de stabilire a cerințelor pentru pregătirea și punerea în aplicare a programelor naționale de dezvoltare a calificărilor pentru personalul pedagogic</w:t>
            </w:r>
          </w:p>
        </w:tc>
      </w:tr>
      <w:tr w:rsidR="00F53E3A" w14:paraId="61313819" w14:textId="77777777">
        <w:tblPrEx>
          <w:tblCellMar>
            <w:top w:w="15" w:type="dxa"/>
            <w:left w:w="70" w:type="dxa"/>
            <w:bottom w:w="15" w:type="dxa"/>
            <w:right w:w="70" w:type="dxa"/>
          </w:tblCellMar>
        </w:tblPrEx>
        <w:trPr>
          <w:cantSplit/>
        </w:trPr>
        <w:tc>
          <w:tcPr>
            <w:tcW w:w="1207" w:type="dxa"/>
            <w:shd w:val="clear" w:color="auto" w:fill="EAF1DD" w:themeFill="accent3" w:themeFillTint="33"/>
            <w:noWrap/>
            <w:vAlign w:val="center"/>
          </w:tcPr>
          <w:p w14:paraId="6D9B8567" w14:textId="77777777" w:rsidR="00F53E3A" w:rsidRDefault="0036255F">
            <w:pPr>
              <w:pStyle w:val="P68B1DB1-Normal40"/>
              <w:spacing w:after="0"/>
              <w:jc w:val="center"/>
              <w:rPr>
                <w:noProof/>
                <w:szCs w:val="22"/>
              </w:rPr>
            </w:pPr>
            <w:r>
              <w:rPr>
                <w:noProof/>
              </w:rPr>
              <w:t>106</w:t>
            </w:r>
          </w:p>
        </w:tc>
        <w:tc>
          <w:tcPr>
            <w:tcW w:w="3721" w:type="dxa"/>
            <w:shd w:val="clear" w:color="auto" w:fill="EAF1DD" w:themeFill="accent3" w:themeFillTint="33"/>
          </w:tcPr>
          <w:p w14:paraId="0259A367" w14:textId="77777777" w:rsidR="00F53E3A" w:rsidRDefault="0036255F">
            <w:pPr>
              <w:pStyle w:val="P68B1DB1-Normal39"/>
              <w:spacing w:after="0" w:line="240" w:lineRule="auto"/>
              <w:jc w:val="both"/>
              <w:textAlignment w:val="baseline"/>
              <w:rPr>
                <w:noProof/>
                <w:szCs w:val="22"/>
              </w:rPr>
            </w:pPr>
            <w:r>
              <w:rPr>
                <w:noProof/>
              </w:rPr>
              <w:t>D.1.1. Educația generală modernă – Contextul competențelor de bază</w:t>
            </w:r>
          </w:p>
          <w:p w14:paraId="43DE57F2" w14:textId="77777777" w:rsidR="00F53E3A" w:rsidRDefault="0036255F">
            <w:pPr>
              <w:pStyle w:val="P68B1DB1-Normal39"/>
              <w:spacing w:after="0" w:line="240" w:lineRule="auto"/>
              <w:jc w:val="both"/>
              <w:rPr>
                <w:noProof/>
              </w:rPr>
            </w:pPr>
            <w:r>
              <w:rPr>
                <w:noProof/>
              </w:rPr>
              <w:t>D.1.1.7: Îmbunătățirea educației și îngrijirii copiilor preșcolari</w:t>
            </w:r>
          </w:p>
        </w:tc>
        <w:tc>
          <w:tcPr>
            <w:tcW w:w="1276" w:type="dxa"/>
            <w:shd w:val="clear" w:color="auto" w:fill="EAF1DD" w:themeFill="accent3" w:themeFillTint="33"/>
          </w:tcPr>
          <w:p w14:paraId="43E0BB3A" w14:textId="77777777" w:rsidR="00F53E3A" w:rsidRDefault="0036255F">
            <w:pPr>
              <w:pStyle w:val="P68B1DB1-Normal39"/>
              <w:spacing w:after="0"/>
              <w:jc w:val="center"/>
              <w:rPr>
                <w:noProof/>
                <w:szCs w:val="22"/>
              </w:rPr>
            </w:pPr>
            <w:r>
              <w:rPr>
                <w:noProof/>
              </w:rPr>
              <w:t>Etapă</w:t>
            </w:r>
          </w:p>
        </w:tc>
        <w:tc>
          <w:tcPr>
            <w:tcW w:w="3651" w:type="dxa"/>
            <w:shd w:val="clear" w:color="auto" w:fill="EAF1DD" w:themeFill="accent3" w:themeFillTint="33"/>
          </w:tcPr>
          <w:p w14:paraId="1F7B8886" w14:textId="77777777" w:rsidR="00F53E3A" w:rsidRDefault="0036255F">
            <w:pPr>
              <w:pStyle w:val="P68B1DB1-Normal39"/>
              <w:spacing w:after="0"/>
              <w:jc w:val="both"/>
              <w:rPr>
                <w:noProof/>
                <w:szCs w:val="22"/>
              </w:rPr>
            </w:pPr>
            <w:r>
              <w:rPr>
                <w:noProof/>
              </w:rPr>
              <w:t>Intrarea în vigoare a legislației privind criteriile (orientările) pentru programa de învățământ preșcolar</w:t>
            </w:r>
          </w:p>
        </w:tc>
      </w:tr>
      <w:tr w:rsidR="00F53E3A" w14:paraId="54CA9E1E" w14:textId="77777777">
        <w:trPr>
          <w:cantSplit/>
        </w:trPr>
        <w:tc>
          <w:tcPr>
            <w:tcW w:w="1207" w:type="dxa"/>
            <w:shd w:val="clear" w:color="auto" w:fill="EAF1DD" w:themeFill="accent3" w:themeFillTint="33"/>
            <w:vAlign w:val="center"/>
          </w:tcPr>
          <w:p w14:paraId="3841F27F" w14:textId="77777777" w:rsidR="00F53E3A" w:rsidRDefault="0036255F">
            <w:pPr>
              <w:pStyle w:val="P68B1DB1-Normal40"/>
              <w:spacing w:after="0"/>
              <w:jc w:val="center"/>
              <w:rPr>
                <w:noProof/>
                <w:color w:val="000000"/>
                <w:szCs w:val="22"/>
              </w:rPr>
            </w:pPr>
            <w:r>
              <w:rPr>
                <w:noProof/>
              </w:rPr>
              <w:t>107</w:t>
            </w:r>
          </w:p>
        </w:tc>
        <w:tc>
          <w:tcPr>
            <w:tcW w:w="3721" w:type="dxa"/>
            <w:shd w:val="clear" w:color="auto" w:fill="EAF1DD" w:themeFill="accent3" w:themeFillTint="33"/>
          </w:tcPr>
          <w:p w14:paraId="5500BCB0" w14:textId="4ADE70CD" w:rsidR="00F53E3A" w:rsidRDefault="0036255F">
            <w:pPr>
              <w:spacing w:after="0"/>
              <w:jc w:val="both"/>
              <w:rPr>
                <w:rFonts w:ascii="Times New Roman" w:eastAsia="Times New Roman" w:hAnsi="Times New Roman" w:cs="Times New Roman"/>
                <w:noProof/>
                <w:color w:val="000000"/>
                <w:szCs w:val="22"/>
              </w:rPr>
            </w:pPr>
            <w:r>
              <w:rPr>
                <w:rFonts w:ascii="Times New Roman" w:eastAsia="Times New Roman" w:hAnsi="Times New Roman" w:cs="Times New Roman"/>
                <w:noProof/>
                <w:color w:val="000000"/>
              </w:rPr>
              <w:t>D.1.2. Accesul</w:t>
            </w:r>
            <w:r>
              <w:rPr>
                <w:noProof/>
              </w:rPr>
              <w:t xml:space="preserve"> </w:t>
            </w:r>
            <w:r>
              <w:rPr>
                <w:rFonts w:ascii="Times New Roman" w:eastAsia="Times New Roman" w:hAnsi="Times New Roman" w:cs="Times New Roman"/>
                <w:noProof/>
                <w:color w:val="000000"/>
              </w:rPr>
              <w:t>adulților</w:t>
            </w:r>
            <w:r>
              <w:rPr>
                <w:noProof/>
              </w:rPr>
              <w:t xml:space="preserve"> la sistemul informatic de învățare pe tot parcursul vieții</w:t>
            </w:r>
          </w:p>
        </w:tc>
        <w:tc>
          <w:tcPr>
            <w:tcW w:w="1276" w:type="dxa"/>
            <w:shd w:val="clear" w:color="auto" w:fill="EAF1DD" w:themeFill="accent3" w:themeFillTint="33"/>
          </w:tcPr>
          <w:p w14:paraId="1853A1E1" w14:textId="77777777" w:rsidR="00F53E3A" w:rsidRDefault="0036255F">
            <w:pPr>
              <w:pStyle w:val="P68B1DB1-Normal39"/>
              <w:spacing w:after="0"/>
              <w:jc w:val="center"/>
              <w:rPr>
                <w:noProof/>
                <w:szCs w:val="22"/>
              </w:rPr>
            </w:pPr>
            <w:r>
              <w:rPr>
                <w:noProof/>
              </w:rPr>
              <w:t>Etapă</w:t>
            </w:r>
          </w:p>
        </w:tc>
        <w:tc>
          <w:tcPr>
            <w:tcW w:w="3651" w:type="dxa"/>
            <w:shd w:val="clear" w:color="auto" w:fill="EAF1DD" w:themeFill="accent3" w:themeFillTint="33"/>
          </w:tcPr>
          <w:p w14:paraId="5B75E477" w14:textId="77777777" w:rsidR="00F53E3A" w:rsidRDefault="0036255F">
            <w:pPr>
              <w:pStyle w:val="P68B1DB1-Normal39"/>
              <w:spacing w:after="0"/>
              <w:jc w:val="both"/>
              <w:rPr>
                <w:noProof/>
                <w:szCs w:val="22"/>
              </w:rPr>
            </w:pPr>
            <w:r>
              <w:rPr>
                <w:noProof/>
              </w:rPr>
              <w:t>Intrarea în vigoare a Legii privind educația adulților de stabilire a unui model coordonat de sistem de învățare pe tot parcursul vieții (LLL) și de stabilire a principiilor de funcționare</w:t>
            </w:r>
          </w:p>
        </w:tc>
      </w:tr>
      <w:tr w:rsidR="00F53E3A" w14:paraId="054E0D2C" w14:textId="77777777">
        <w:trPr>
          <w:cantSplit/>
        </w:trPr>
        <w:tc>
          <w:tcPr>
            <w:tcW w:w="1207" w:type="dxa"/>
            <w:shd w:val="clear" w:color="auto" w:fill="EAF1DD" w:themeFill="accent3" w:themeFillTint="33"/>
            <w:vAlign w:val="center"/>
          </w:tcPr>
          <w:p w14:paraId="7C20CC85" w14:textId="77777777" w:rsidR="00F53E3A" w:rsidRDefault="0036255F">
            <w:pPr>
              <w:pStyle w:val="P68B1DB1-Normal40"/>
              <w:spacing w:after="0"/>
              <w:jc w:val="center"/>
              <w:rPr>
                <w:noProof/>
                <w:color w:val="000000"/>
                <w:szCs w:val="22"/>
              </w:rPr>
            </w:pPr>
            <w:r>
              <w:rPr>
                <w:noProof/>
              </w:rPr>
              <w:t>115</w:t>
            </w:r>
          </w:p>
        </w:tc>
        <w:tc>
          <w:tcPr>
            <w:tcW w:w="3721" w:type="dxa"/>
            <w:shd w:val="clear" w:color="auto" w:fill="EAF1DD" w:themeFill="accent3" w:themeFillTint="33"/>
          </w:tcPr>
          <w:p w14:paraId="1153128A" w14:textId="529A4755" w:rsidR="00F53E3A" w:rsidRDefault="0036255F">
            <w:pPr>
              <w:pStyle w:val="P68B1DB1-Normal39"/>
              <w:spacing w:after="0"/>
              <w:jc w:val="both"/>
              <w:textAlignment w:val="baseline"/>
              <w:rPr>
                <w:noProof/>
                <w:szCs w:val="22"/>
              </w:rPr>
            </w:pPr>
            <w:r>
              <w:rPr>
                <w:noProof/>
              </w:rPr>
              <w:t>D.1.4. Competențe pentru transformarea digitală dobândite în educația și formarea profesională</w:t>
            </w:r>
          </w:p>
          <w:p w14:paraId="3AFAF44D" w14:textId="77777777" w:rsidR="00F53E3A" w:rsidRDefault="0036255F">
            <w:pPr>
              <w:pStyle w:val="P68B1DB1-Normal39"/>
              <w:spacing w:after="0"/>
              <w:jc w:val="both"/>
              <w:rPr>
                <w:noProof/>
                <w:szCs w:val="22"/>
              </w:rPr>
            </w:pPr>
            <w:r>
              <w:rPr>
                <w:noProof/>
              </w:rPr>
              <w:t>D.1.4.2: Evaluarea competențelor</w:t>
            </w:r>
          </w:p>
        </w:tc>
        <w:tc>
          <w:tcPr>
            <w:tcW w:w="1276" w:type="dxa"/>
            <w:shd w:val="clear" w:color="auto" w:fill="EAF1DD" w:themeFill="accent3" w:themeFillTint="33"/>
          </w:tcPr>
          <w:p w14:paraId="487B0257" w14:textId="77777777" w:rsidR="00F53E3A" w:rsidRDefault="0036255F">
            <w:pPr>
              <w:pStyle w:val="P68B1DB1-Normal39"/>
              <w:spacing w:after="0"/>
              <w:jc w:val="center"/>
              <w:rPr>
                <w:noProof/>
                <w:szCs w:val="22"/>
              </w:rPr>
            </w:pPr>
            <w:r>
              <w:rPr>
                <w:noProof/>
              </w:rPr>
              <w:t>Etapă</w:t>
            </w:r>
          </w:p>
        </w:tc>
        <w:tc>
          <w:tcPr>
            <w:tcW w:w="3651" w:type="dxa"/>
            <w:shd w:val="clear" w:color="auto" w:fill="EAF1DD" w:themeFill="accent3" w:themeFillTint="33"/>
          </w:tcPr>
          <w:p w14:paraId="3215B1AD" w14:textId="77777777" w:rsidR="00F53E3A" w:rsidRDefault="0036255F">
            <w:pPr>
              <w:pStyle w:val="P68B1DB1-Normal39"/>
              <w:spacing w:after="0"/>
              <w:jc w:val="both"/>
              <w:rPr>
                <w:noProof/>
                <w:szCs w:val="22"/>
              </w:rPr>
            </w:pPr>
            <w:r>
              <w:rPr>
                <w:noProof/>
              </w:rPr>
              <w:t>Intrarea în vigoare a modificării Legii privind formarea profesională referitoare la centrele de excelență în educație și formare profesională</w:t>
            </w:r>
          </w:p>
        </w:tc>
      </w:tr>
      <w:tr w:rsidR="00F53E3A" w14:paraId="13F8B216" w14:textId="77777777">
        <w:trPr>
          <w:cantSplit/>
        </w:trPr>
        <w:tc>
          <w:tcPr>
            <w:tcW w:w="1207" w:type="dxa"/>
            <w:shd w:val="clear" w:color="auto" w:fill="EAF1DD" w:themeFill="accent3" w:themeFillTint="33"/>
            <w:vAlign w:val="center"/>
          </w:tcPr>
          <w:p w14:paraId="1E5C03DD" w14:textId="77777777" w:rsidR="00F53E3A" w:rsidRDefault="0036255F">
            <w:pPr>
              <w:pStyle w:val="P68B1DB1-Normal40"/>
              <w:spacing w:after="0"/>
              <w:jc w:val="center"/>
              <w:rPr>
                <w:noProof/>
                <w:color w:val="000000"/>
                <w:szCs w:val="22"/>
              </w:rPr>
            </w:pPr>
            <w:r>
              <w:rPr>
                <w:noProof/>
              </w:rPr>
              <w:t>129</w:t>
            </w:r>
          </w:p>
        </w:tc>
        <w:tc>
          <w:tcPr>
            <w:tcW w:w="3721" w:type="dxa"/>
            <w:shd w:val="clear" w:color="auto" w:fill="EAF1DD" w:themeFill="accent3" w:themeFillTint="33"/>
          </w:tcPr>
          <w:p w14:paraId="4B0CF593" w14:textId="2E4BE0CE" w:rsidR="00F53E3A" w:rsidRDefault="0036255F">
            <w:pPr>
              <w:pStyle w:val="P68B1DB1-Normal39"/>
              <w:spacing w:after="0"/>
              <w:jc w:val="both"/>
              <w:rPr>
                <w:noProof/>
                <w:szCs w:val="22"/>
              </w:rPr>
            </w:pPr>
            <w:r>
              <w:rPr>
                <w:noProof/>
              </w:rPr>
              <w:t>E.1.2. Punerea în aplicare eficace a politicii de inovare, creșterea cererii de inovare, sprijinul pentru ecosistemul întreprinderilor nou-înființate și inovarea ecologică – E.1.2.1. Punerea în aplicare eficientă a politicii de inovare prin crearea unei agenții unice de promovare a inovării și optimizarea rețelei de agenții existente</w:t>
            </w:r>
          </w:p>
        </w:tc>
        <w:tc>
          <w:tcPr>
            <w:tcW w:w="1276" w:type="dxa"/>
            <w:shd w:val="clear" w:color="auto" w:fill="EAF1DD" w:themeFill="accent3" w:themeFillTint="33"/>
          </w:tcPr>
          <w:p w14:paraId="4B35DC66" w14:textId="77777777" w:rsidR="00F53E3A" w:rsidRDefault="0036255F">
            <w:pPr>
              <w:pStyle w:val="P68B1DB1-Normal39"/>
              <w:spacing w:after="0"/>
              <w:jc w:val="center"/>
              <w:rPr>
                <w:noProof/>
                <w:szCs w:val="22"/>
              </w:rPr>
            </w:pPr>
            <w:r>
              <w:rPr>
                <w:noProof/>
              </w:rPr>
              <w:t>Etapă</w:t>
            </w:r>
          </w:p>
        </w:tc>
        <w:tc>
          <w:tcPr>
            <w:tcW w:w="3651" w:type="dxa"/>
            <w:shd w:val="clear" w:color="auto" w:fill="EAF1DD" w:themeFill="accent3" w:themeFillTint="33"/>
          </w:tcPr>
          <w:p w14:paraId="6C550048" w14:textId="77777777" w:rsidR="00F53E3A" w:rsidRDefault="0036255F">
            <w:pPr>
              <w:pStyle w:val="P68B1DB1-Normal39"/>
              <w:spacing w:after="0"/>
              <w:jc w:val="both"/>
              <w:rPr>
                <w:noProof/>
                <w:szCs w:val="22"/>
              </w:rPr>
            </w:pPr>
            <w:r>
              <w:rPr>
                <w:noProof/>
              </w:rPr>
              <w:t>Intrarea în vigoare a cadrului reînnoit de stimulente pentru ca întreprinderile să investească în C &amp; D</w:t>
            </w:r>
          </w:p>
        </w:tc>
      </w:tr>
      <w:tr w:rsidR="00F53E3A" w14:paraId="5B0705DB" w14:textId="77777777">
        <w:tblPrEx>
          <w:tblCellMar>
            <w:top w:w="15" w:type="dxa"/>
            <w:left w:w="70" w:type="dxa"/>
            <w:bottom w:w="15" w:type="dxa"/>
            <w:right w:w="70" w:type="dxa"/>
          </w:tblCellMar>
        </w:tblPrEx>
        <w:trPr>
          <w:cantSplit/>
        </w:trPr>
        <w:tc>
          <w:tcPr>
            <w:tcW w:w="1207" w:type="dxa"/>
            <w:shd w:val="clear" w:color="auto" w:fill="EAF1DD" w:themeFill="accent3" w:themeFillTint="33"/>
            <w:noWrap/>
            <w:vAlign w:val="center"/>
          </w:tcPr>
          <w:p w14:paraId="46D4A712" w14:textId="77777777" w:rsidR="00F53E3A" w:rsidRDefault="0036255F">
            <w:pPr>
              <w:pStyle w:val="P68B1DB1-Normal40"/>
              <w:spacing w:after="0"/>
              <w:jc w:val="center"/>
              <w:rPr>
                <w:noProof/>
                <w:szCs w:val="22"/>
              </w:rPr>
            </w:pPr>
            <w:r>
              <w:rPr>
                <w:noProof/>
              </w:rPr>
              <w:t>151</w:t>
            </w:r>
          </w:p>
        </w:tc>
        <w:tc>
          <w:tcPr>
            <w:tcW w:w="3721" w:type="dxa"/>
            <w:shd w:val="clear" w:color="auto" w:fill="EAF1DD" w:themeFill="accent3" w:themeFillTint="33"/>
          </w:tcPr>
          <w:p w14:paraId="671A3667" w14:textId="77777777" w:rsidR="00F53E3A" w:rsidRDefault="0036255F">
            <w:pPr>
              <w:pStyle w:val="P68B1DB1-Normal39"/>
              <w:spacing w:after="0"/>
              <w:jc w:val="both"/>
              <w:rPr>
                <w:noProof/>
                <w:szCs w:val="22"/>
              </w:rPr>
            </w:pPr>
            <w:r>
              <w:rPr>
                <w:noProof/>
              </w:rPr>
              <w:t>F.1.3. Sustenabilitatea pe termen lung și transparența bugetului național – F.1.3.3. Consolidarea structurii veniturilor municipale</w:t>
            </w:r>
          </w:p>
        </w:tc>
        <w:tc>
          <w:tcPr>
            <w:tcW w:w="1276" w:type="dxa"/>
            <w:shd w:val="clear" w:color="auto" w:fill="EAF1DD" w:themeFill="accent3" w:themeFillTint="33"/>
          </w:tcPr>
          <w:p w14:paraId="73A5F797" w14:textId="77777777" w:rsidR="00F53E3A" w:rsidRDefault="0036255F">
            <w:pPr>
              <w:pStyle w:val="P68B1DB1-Normal39"/>
              <w:spacing w:after="0"/>
              <w:jc w:val="center"/>
              <w:rPr>
                <w:noProof/>
                <w:szCs w:val="22"/>
              </w:rPr>
            </w:pPr>
            <w:r>
              <w:rPr>
                <w:noProof/>
              </w:rPr>
              <w:t>Etapă</w:t>
            </w:r>
          </w:p>
        </w:tc>
        <w:tc>
          <w:tcPr>
            <w:tcW w:w="3651" w:type="dxa"/>
            <w:shd w:val="clear" w:color="auto" w:fill="EAF1DD" w:themeFill="accent3" w:themeFillTint="33"/>
          </w:tcPr>
          <w:p w14:paraId="41184475" w14:textId="77777777" w:rsidR="00F53E3A" w:rsidRDefault="0036255F">
            <w:pPr>
              <w:pStyle w:val="P68B1DB1-Normal39"/>
              <w:spacing w:after="0"/>
              <w:jc w:val="both"/>
              <w:rPr>
                <w:noProof/>
                <w:szCs w:val="22"/>
              </w:rPr>
            </w:pPr>
            <w:r>
              <w:rPr>
                <w:noProof/>
              </w:rPr>
              <w:t>Intrarea în vigoare a modificării Legii privind metodologia de stabilire a veniturilor bugetare municipale și publicarea constatărilor privind compararea sistematică a indicatorilor fiscali municipali și evaluarea capacității municipalităților de a crește veniturile</w:t>
            </w:r>
          </w:p>
        </w:tc>
      </w:tr>
      <w:tr w:rsidR="00F53E3A" w14:paraId="2742C50F" w14:textId="77777777">
        <w:tblPrEx>
          <w:tblCellMar>
            <w:top w:w="15" w:type="dxa"/>
            <w:left w:w="70" w:type="dxa"/>
            <w:bottom w:w="15" w:type="dxa"/>
            <w:right w:w="70" w:type="dxa"/>
          </w:tblCellMar>
        </w:tblPrEx>
        <w:trPr>
          <w:cantSplit/>
        </w:trPr>
        <w:tc>
          <w:tcPr>
            <w:tcW w:w="1207" w:type="dxa"/>
            <w:shd w:val="clear" w:color="auto" w:fill="EAF1DD" w:themeFill="accent3" w:themeFillTint="33"/>
            <w:noWrap/>
            <w:vAlign w:val="center"/>
          </w:tcPr>
          <w:p w14:paraId="37789C18" w14:textId="77777777" w:rsidR="00F53E3A" w:rsidRDefault="0036255F">
            <w:pPr>
              <w:pStyle w:val="P68B1DB1-Normal40"/>
              <w:spacing w:after="0"/>
              <w:jc w:val="center"/>
              <w:rPr>
                <w:noProof/>
                <w:szCs w:val="22"/>
              </w:rPr>
            </w:pPr>
            <w:r>
              <w:rPr>
                <w:noProof/>
              </w:rPr>
              <w:t>156</w:t>
            </w:r>
          </w:p>
        </w:tc>
        <w:tc>
          <w:tcPr>
            <w:tcW w:w="3721" w:type="dxa"/>
            <w:shd w:val="clear" w:color="auto" w:fill="EAF1DD" w:themeFill="accent3" w:themeFillTint="33"/>
          </w:tcPr>
          <w:p w14:paraId="29091006" w14:textId="77777777" w:rsidR="00F53E3A" w:rsidRDefault="0036255F">
            <w:pPr>
              <w:pStyle w:val="P68B1DB1-Normal39"/>
              <w:spacing w:after="0"/>
              <w:jc w:val="both"/>
              <w:rPr>
                <w:noProof/>
                <w:szCs w:val="22"/>
              </w:rPr>
            </w:pPr>
            <w:r>
              <w:rPr>
                <w:noProof/>
              </w:rPr>
              <w:t>F.1.4. Îmbunătățirea respectării obligațiilor fiscale – F.1.4.2. Impozitarea echitabilă a activităților economice online</w:t>
            </w:r>
          </w:p>
        </w:tc>
        <w:tc>
          <w:tcPr>
            <w:tcW w:w="1276" w:type="dxa"/>
            <w:shd w:val="clear" w:color="auto" w:fill="EAF1DD" w:themeFill="accent3" w:themeFillTint="33"/>
          </w:tcPr>
          <w:p w14:paraId="5BB87EB5" w14:textId="77777777" w:rsidR="00F53E3A" w:rsidRDefault="0036255F">
            <w:pPr>
              <w:pStyle w:val="P68B1DB1-Normal39"/>
              <w:spacing w:after="0"/>
              <w:jc w:val="center"/>
              <w:rPr>
                <w:noProof/>
                <w:szCs w:val="22"/>
              </w:rPr>
            </w:pPr>
            <w:r>
              <w:rPr>
                <w:noProof/>
              </w:rPr>
              <w:t>Etapă</w:t>
            </w:r>
          </w:p>
        </w:tc>
        <w:tc>
          <w:tcPr>
            <w:tcW w:w="3651" w:type="dxa"/>
            <w:shd w:val="clear" w:color="auto" w:fill="EAF1DD" w:themeFill="accent3" w:themeFillTint="33"/>
          </w:tcPr>
          <w:p w14:paraId="4FE1DF5D" w14:textId="77777777" w:rsidR="00F53E3A" w:rsidRDefault="0036255F">
            <w:pPr>
              <w:pStyle w:val="P68B1DB1-Normal39"/>
              <w:spacing w:after="0"/>
              <w:jc w:val="both"/>
              <w:rPr>
                <w:noProof/>
                <w:szCs w:val="22"/>
              </w:rPr>
            </w:pPr>
            <w:r>
              <w:rPr>
                <w:noProof/>
              </w:rPr>
              <w:t>Intrarea în vigoare a cerinței legale ca operatorii platformelor online să colecteze și să raporteze autorităților fiscale date privind tranzacțiile efectuate pe platformele online</w:t>
            </w:r>
          </w:p>
        </w:tc>
      </w:tr>
      <w:tr w:rsidR="00F53E3A" w14:paraId="68E07F94" w14:textId="77777777">
        <w:trPr>
          <w:cantSplit/>
        </w:trPr>
        <w:tc>
          <w:tcPr>
            <w:tcW w:w="1207" w:type="dxa"/>
            <w:shd w:val="clear" w:color="auto" w:fill="EAF1DD" w:themeFill="accent3" w:themeFillTint="33"/>
            <w:vAlign w:val="center"/>
          </w:tcPr>
          <w:p w14:paraId="478E94DC" w14:textId="77777777" w:rsidR="00F53E3A" w:rsidRDefault="0036255F">
            <w:pPr>
              <w:pStyle w:val="P68B1DB1-Normal40"/>
              <w:spacing w:after="0"/>
              <w:jc w:val="center"/>
              <w:rPr>
                <w:noProof/>
                <w:color w:val="000000"/>
                <w:szCs w:val="22"/>
              </w:rPr>
            </w:pPr>
            <w:r>
              <w:rPr>
                <w:noProof/>
              </w:rPr>
              <w:t>158</w:t>
            </w:r>
          </w:p>
        </w:tc>
        <w:tc>
          <w:tcPr>
            <w:tcW w:w="3721" w:type="dxa"/>
            <w:shd w:val="clear" w:color="auto" w:fill="EAF1DD" w:themeFill="accent3" w:themeFillTint="33"/>
          </w:tcPr>
          <w:p w14:paraId="43F18F8B" w14:textId="77777777" w:rsidR="00F53E3A" w:rsidRDefault="0036255F">
            <w:pPr>
              <w:pStyle w:val="P68B1DB1-Normal39"/>
              <w:spacing w:after="0"/>
              <w:jc w:val="both"/>
              <w:rPr>
                <w:noProof/>
                <w:szCs w:val="22"/>
              </w:rPr>
            </w:pPr>
            <w:r>
              <w:rPr>
                <w:noProof/>
              </w:rPr>
              <w:t>F.1.4. Îmbunătățirea respectării obligațiilor fiscale – F.1.4.3. Limitarea utilizării numerarului</w:t>
            </w:r>
          </w:p>
        </w:tc>
        <w:tc>
          <w:tcPr>
            <w:tcW w:w="1276" w:type="dxa"/>
            <w:shd w:val="clear" w:color="auto" w:fill="EAF1DD" w:themeFill="accent3" w:themeFillTint="33"/>
          </w:tcPr>
          <w:p w14:paraId="251C963F" w14:textId="77777777" w:rsidR="00F53E3A" w:rsidRDefault="0036255F">
            <w:pPr>
              <w:pStyle w:val="P68B1DB1-Normal39"/>
              <w:spacing w:after="0"/>
              <w:jc w:val="center"/>
              <w:rPr>
                <w:noProof/>
                <w:szCs w:val="22"/>
              </w:rPr>
            </w:pPr>
            <w:r>
              <w:rPr>
                <w:noProof/>
              </w:rPr>
              <w:t>Etapă</w:t>
            </w:r>
          </w:p>
        </w:tc>
        <w:tc>
          <w:tcPr>
            <w:tcW w:w="3651" w:type="dxa"/>
            <w:shd w:val="clear" w:color="auto" w:fill="EAF1DD" w:themeFill="accent3" w:themeFillTint="33"/>
          </w:tcPr>
          <w:p w14:paraId="54BCC50E" w14:textId="77777777" w:rsidR="00F53E3A" w:rsidRDefault="0036255F">
            <w:pPr>
              <w:pStyle w:val="P68B1DB1-Normal39"/>
              <w:spacing w:after="0"/>
              <w:jc w:val="both"/>
              <w:rPr>
                <w:noProof/>
                <w:szCs w:val="22"/>
              </w:rPr>
            </w:pPr>
            <w:r>
              <w:rPr>
                <w:noProof/>
              </w:rPr>
              <w:t>Intrarea în vigoare a legislației care limitează plățile în numerar în sectoarele economice riscante și/sau tipurile individuale de tranzacții</w:t>
            </w:r>
          </w:p>
        </w:tc>
      </w:tr>
      <w:tr w:rsidR="00F53E3A" w14:paraId="470311D8" w14:textId="77777777">
        <w:trPr>
          <w:cantSplit/>
        </w:trPr>
        <w:tc>
          <w:tcPr>
            <w:tcW w:w="1207" w:type="dxa"/>
            <w:shd w:val="clear" w:color="auto" w:fill="EAF1DD" w:themeFill="accent3" w:themeFillTint="33"/>
            <w:vAlign w:val="center"/>
          </w:tcPr>
          <w:p w14:paraId="078B3446" w14:textId="77777777" w:rsidR="00F53E3A" w:rsidRDefault="0036255F">
            <w:pPr>
              <w:pStyle w:val="P68B1DB1-Normal40"/>
              <w:spacing w:after="0"/>
              <w:jc w:val="center"/>
              <w:rPr>
                <w:noProof/>
                <w:color w:val="000000"/>
                <w:szCs w:val="22"/>
              </w:rPr>
            </w:pPr>
            <w:r>
              <w:rPr>
                <w:noProof/>
              </w:rPr>
              <w:t>180</w:t>
            </w:r>
          </w:p>
        </w:tc>
        <w:tc>
          <w:tcPr>
            <w:tcW w:w="3721" w:type="dxa"/>
            <w:shd w:val="clear" w:color="auto" w:fill="EAF1DD" w:themeFill="accent3" w:themeFillTint="33"/>
          </w:tcPr>
          <w:p w14:paraId="02611D4D" w14:textId="77777777" w:rsidR="00F53E3A" w:rsidRDefault="0036255F">
            <w:pPr>
              <w:pStyle w:val="P68B1DB1-Normal39"/>
              <w:spacing w:after="0"/>
              <w:jc w:val="both"/>
              <w:rPr>
                <w:noProof/>
                <w:szCs w:val="22"/>
              </w:rPr>
            </w:pPr>
            <w:r>
              <w:rPr>
                <w:noProof/>
              </w:rPr>
              <w:t>G.1.1. Protecția venitului minim garantat – G.1.1.1. Studiu privind sistemul de venit minim și modificările conexe ale legislației</w:t>
            </w:r>
          </w:p>
        </w:tc>
        <w:tc>
          <w:tcPr>
            <w:tcW w:w="1276" w:type="dxa"/>
            <w:shd w:val="clear" w:color="auto" w:fill="EAF1DD" w:themeFill="accent3" w:themeFillTint="33"/>
          </w:tcPr>
          <w:p w14:paraId="62ADCB78" w14:textId="77777777" w:rsidR="00F53E3A" w:rsidRDefault="0036255F">
            <w:pPr>
              <w:pStyle w:val="P68B1DB1-Normal39"/>
              <w:spacing w:after="0"/>
              <w:jc w:val="center"/>
              <w:rPr>
                <w:noProof/>
                <w:szCs w:val="22"/>
              </w:rPr>
            </w:pPr>
            <w:r>
              <w:rPr>
                <w:noProof/>
              </w:rPr>
              <w:t>Etapă</w:t>
            </w:r>
          </w:p>
        </w:tc>
        <w:tc>
          <w:tcPr>
            <w:tcW w:w="3651" w:type="dxa"/>
            <w:shd w:val="clear" w:color="auto" w:fill="EAF1DD" w:themeFill="accent3" w:themeFillTint="33"/>
          </w:tcPr>
          <w:p w14:paraId="406392C9" w14:textId="77777777" w:rsidR="00F53E3A" w:rsidRDefault="0036255F">
            <w:pPr>
              <w:pStyle w:val="P68B1DB1-Normal39"/>
              <w:spacing w:after="0"/>
              <w:jc w:val="both"/>
              <w:rPr>
                <w:noProof/>
                <w:szCs w:val="22"/>
              </w:rPr>
            </w:pPr>
            <w:r>
              <w:rPr>
                <w:noProof/>
              </w:rPr>
              <w:t>Finalizarea unui studiu privind caracterul adecvat al sistemului de venit minim</w:t>
            </w:r>
          </w:p>
        </w:tc>
      </w:tr>
      <w:tr w:rsidR="00F53E3A" w14:paraId="2EAB6FF7" w14:textId="77777777">
        <w:trPr>
          <w:cantSplit/>
        </w:trPr>
        <w:tc>
          <w:tcPr>
            <w:tcW w:w="1207" w:type="dxa"/>
            <w:shd w:val="clear" w:color="auto" w:fill="EAF1DD" w:themeFill="accent3" w:themeFillTint="33"/>
            <w:vAlign w:val="center"/>
          </w:tcPr>
          <w:p w14:paraId="5BD069BA" w14:textId="77777777" w:rsidR="00F53E3A" w:rsidRDefault="0036255F">
            <w:pPr>
              <w:pStyle w:val="P68B1DB1-Normal40"/>
              <w:spacing w:after="0"/>
              <w:jc w:val="center"/>
              <w:rPr>
                <w:noProof/>
                <w:color w:val="000000"/>
                <w:szCs w:val="22"/>
              </w:rPr>
            </w:pPr>
            <w:r>
              <w:rPr>
                <w:noProof/>
              </w:rPr>
              <w:t>184</w:t>
            </w:r>
          </w:p>
        </w:tc>
        <w:tc>
          <w:tcPr>
            <w:tcW w:w="3721" w:type="dxa"/>
            <w:shd w:val="clear" w:color="auto" w:fill="EAF1DD" w:themeFill="accent3" w:themeFillTint="33"/>
          </w:tcPr>
          <w:p w14:paraId="6574F1BD" w14:textId="77777777" w:rsidR="00F53E3A" w:rsidRDefault="0036255F">
            <w:pPr>
              <w:pStyle w:val="P68B1DB1-Normal39"/>
              <w:spacing w:after="0"/>
              <w:jc w:val="both"/>
              <w:rPr>
                <w:noProof/>
                <w:szCs w:val="22"/>
              </w:rPr>
            </w:pPr>
            <w:r>
              <w:rPr>
                <w:noProof/>
              </w:rPr>
              <w:t>G.1.1. Protecția venitului minim garantat – G.1.1.2. Măsuri suplimentare pentru a spori caracterul adecvat și sustenabilitatea prestațiilor sociale</w:t>
            </w:r>
          </w:p>
        </w:tc>
        <w:tc>
          <w:tcPr>
            <w:tcW w:w="1276" w:type="dxa"/>
            <w:shd w:val="clear" w:color="auto" w:fill="EAF1DD" w:themeFill="accent3" w:themeFillTint="33"/>
          </w:tcPr>
          <w:p w14:paraId="526AD273" w14:textId="77777777" w:rsidR="00F53E3A" w:rsidRDefault="0036255F">
            <w:pPr>
              <w:pStyle w:val="P68B1DB1-Normal39"/>
              <w:spacing w:after="0"/>
              <w:jc w:val="center"/>
              <w:rPr>
                <w:noProof/>
                <w:szCs w:val="22"/>
              </w:rPr>
            </w:pPr>
            <w:r>
              <w:rPr>
                <w:noProof/>
              </w:rPr>
              <w:t>Etapă</w:t>
            </w:r>
          </w:p>
        </w:tc>
        <w:tc>
          <w:tcPr>
            <w:tcW w:w="3651" w:type="dxa"/>
            <w:shd w:val="clear" w:color="auto" w:fill="EAF1DD" w:themeFill="accent3" w:themeFillTint="33"/>
          </w:tcPr>
          <w:p w14:paraId="67186A1B" w14:textId="77777777" w:rsidR="00F53E3A" w:rsidRDefault="0036255F">
            <w:pPr>
              <w:pStyle w:val="P68B1DB1-Normal39"/>
              <w:spacing w:after="0"/>
              <w:jc w:val="both"/>
              <w:rPr>
                <w:noProof/>
                <w:szCs w:val="22"/>
              </w:rPr>
            </w:pPr>
            <w:r>
              <w:rPr>
                <w:noProof/>
              </w:rPr>
              <w:t>Intrarea în vigoare a legislației privind modificările mecanismului de indexare a pensiilor</w:t>
            </w:r>
          </w:p>
        </w:tc>
      </w:tr>
      <w:tr w:rsidR="00F53E3A" w14:paraId="3C755509" w14:textId="77777777">
        <w:trPr>
          <w:cantSplit/>
        </w:trPr>
        <w:tc>
          <w:tcPr>
            <w:tcW w:w="1207" w:type="dxa"/>
            <w:shd w:val="clear" w:color="auto" w:fill="EAF1DD" w:themeFill="accent3" w:themeFillTint="33"/>
            <w:vAlign w:val="center"/>
          </w:tcPr>
          <w:p w14:paraId="01F32EA0" w14:textId="77777777" w:rsidR="00F53E3A" w:rsidRDefault="0036255F">
            <w:pPr>
              <w:pStyle w:val="P68B1DB1-Normal40"/>
              <w:spacing w:after="0"/>
              <w:jc w:val="center"/>
              <w:rPr>
                <w:noProof/>
                <w:color w:val="000000"/>
                <w:szCs w:val="22"/>
              </w:rPr>
            </w:pPr>
            <w:r>
              <w:rPr>
                <w:noProof/>
              </w:rPr>
              <w:t>201</w:t>
            </w:r>
          </w:p>
        </w:tc>
        <w:tc>
          <w:tcPr>
            <w:tcW w:w="3721" w:type="dxa"/>
            <w:shd w:val="clear" w:color="auto" w:fill="EAF1DD" w:themeFill="accent3" w:themeFillTint="33"/>
          </w:tcPr>
          <w:p w14:paraId="69506612" w14:textId="77777777" w:rsidR="00F53E3A" w:rsidRDefault="0036255F">
            <w:pPr>
              <w:pStyle w:val="P68B1DB1-Normal39"/>
              <w:spacing w:after="0"/>
              <w:jc w:val="both"/>
              <w:textAlignment w:val="baseline"/>
              <w:rPr>
                <w:noProof/>
                <w:szCs w:val="22"/>
              </w:rPr>
            </w:pPr>
            <w:r>
              <w:rPr>
                <w:noProof/>
              </w:rPr>
              <w:t>H.1.3. Creșterea capacității de producție din SRE</w:t>
            </w:r>
          </w:p>
          <w:p w14:paraId="4C68B85A" w14:textId="3BE804C0" w:rsidR="00F53E3A" w:rsidRDefault="0036255F">
            <w:pPr>
              <w:pStyle w:val="P68B1DB1-Normal39"/>
              <w:spacing w:after="0"/>
              <w:jc w:val="both"/>
              <w:rPr>
                <w:noProof/>
                <w:color w:val="000000" w:themeColor="text1"/>
              </w:rPr>
            </w:pPr>
            <w:r>
              <w:rPr>
                <w:noProof/>
              </w:rPr>
              <w:t>H.1.3.1. Îmbunătățirea mediului de investiții pentru dezvoltatorii de E-SRE</w:t>
            </w:r>
          </w:p>
        </w:tc>
        <w:tc>
          <w:tcPr>
            <w:tcW w:w="1276" w:type="dxa"/>
            <w:shd w:val="clear" w:color="auto" w:fill="EAF1DD" w:themeFill="accent3" w:themeFillTint="33"/>
          </w:tcPr>
          <w:p w14:paraId="6875302E" w14:textId="77777777" w:rsidR="00F53E3A" w:rsidRDefault="0036255F">
            <w:pPr>
              <w:pStyle w:val="P68B1DB1-Normal39"/>
              <w:spacing w:after="0"/>
              <w:jc w:val="center"/>
              <w:rPr>
                <w:noProof/>
                <w:szCs w:val="22"/>
              </w:rPr>
            </w:pPr>
            <w:r>
              <w:rPr>
                <w:noProof/>
              </w:rPr>
              <w:t>Etapă</w:t>
            </w:r>
          </w:p>
        </w:tc>
        <w:tc>
          <w:tcPr>
            <w:tcW w:w="3651" w:type="dxa"/>
            <w:shd w:val="clear" w:color="auto" w:fill="EAF1DD" w:themeFill="accent3" w:themeFillTint="33"/>
          </w:tcPr>
          <w:p w14:paraId="72C64C98" w14:textId="66A71F2B" w:rsidR="00F53E3A" w:rsidRDefault="0036255F">
            <w:pPr>
              <w:pStyle w:val="P68B1DB1-Normal39"/>
              <w:spacing w:after="0"/>
              <w:jc w:val="both"/>
              <w:rPr>
                <w:noProof/>
                <w:color w:val="000000" w:themeColor="text1"/>
              </w:rPr>
            </w:pPr>
            <w:r>
              <w:rPr>
                <w:noProof/>
              </w:rPr>
              <w:t>Intrarea în vigoare a legislației de îmbunătățire a mediului de investiții pentru dezvoltatorii de E-SRE</w:t>
            </w:r>
          </w:p>
        </w:tc>
      </w:tr>
      <w:tr w:rsidR="00F53E3A" w14:paraId="20EFCD1B" w14:textId="77777777">
        <w:trPr>
          <w:cantSplit/>
        </w:trPr>
        <w:tc>
          <w:tcPr>
            <w:tcW w:w="1207" w:type="dxa"/>
            <w:shd w:val="clear" w:color="auto" w:fill="EAF1DD" w:themeFill="accent3" w:themeFillTint="33"/>
          </w:tcPr>
          <w:p w14:paraId="7C4C10CF" w14:textId="77777777" w:rsidR="00F53E3A" w:rsidRDefault="00F53E3A">
            <w:pPr>
              <w:spacing w:after="0"/>
              <w:jc w:val="center"/>
              <w:rPr>
                <w:rFonts w:ascii="Times New Roman" w:eastAsia="Times New Roman" w:hAnsi="Times New Roman" w:cs="Times New Roman"/>
                <w:noProof/>
                <w:color w:val="000000"/>
                <w:szCs w:val="22"/>
              </w:rPr>
            </w:pPr>
          </w:p>
        </w:tc>
        <w:tc>
          <w:tcPr>
            <w:tcW w:w="3721" w:type="dxa"/>
            <w:shd w:val="clear" w:color="auto" w:fill="EAF1DD" w:themeFill="accent3" w:themeFillTint="33"/>
          </w:tcPr>
          <w:p w14:paraId="0D2DCD8A" w14:textId="77777777" w:rsidR="00F53E3A" w:rsidRDefault="00F53E3A">
            <w:pPr>
              <w:spacing w:after="0"/>
              <w:jc w:val="both"/>
              <w:rPr>
                <w:rFonts w:ascii="Times New Roman" w:eastAsia="Times New Roman" w:hAnsi="Times New Roman" w:cs="Times New Roman"/>
                <w:noProof/>
                <w:color w:val="000000"/>
                <w:szCs w:val="22"/>
              </w:rPr>
            </w:pPr>
          </w:p>
        </w:tc>
        <w:tc>
          <w:tcPr>
            <w:tcW w:w="1276" w:type="dxa"/>
            <w:shd w:val="clear" w:color="auto" w:fill="EAF1DD" w:themeFill="accent3" w:themeFillTint="33"/>
            <w:vAlign w:val="center"/>
          </w:tcPr>
          <w:p w14:paraId="3132CFD2" w14:textId="77777777" w:rsidR="00F53E3A" w:rsidRDefault="0036255F">
            <w:pPr>
              <w:pStyle w:val="P68B1DB1-Normal40"/>
              <w:spacing w:after="0"/>
              <w:jc w:val="center"/>
              <w:rPr>
                <w:noProof/>
                <w:color w:val="000000"/>
                <w:szCs w:val="22"/>
              </w:rPr>
            </w:pPr>
            <w:r>
              <w:rPr>
                <w:noProof/>
              </w:rPr>
              <w:t>Cuantumul tranșei</w:t>
            </w:r>
          </w:p>
        </w:tc>
        <w:tc>
          <w:tcPr>
            <w:tcW w:w="3651" w:type="dxa"/>
            <w:shd w:val="clear" w:color="auto" w:fill="EAF1DD" w:themeFill="accent3" w:themeFillTint="33"/>
            <w:vAlign w:val="center"/>
          </w:tcPr>
          <w:p w14:paraId="055B76F8" w14:textId="77E62A8B" w:rsidR="00F53E3A" w:rsidRDefault="0036255F">
            <w:pPr>
              <w:spacing w:after="0"/>
              <w:jc w:val="both"/>
              <w:rPr>
                <w:rFonts w:ascii="Times New Roman" w:eastAsia="Times New Roman" w:hAnsi="Times New Roman" w:cs="Times New Roman"/>
                <w:noProof/>
                <w:color w:val="000000" w:themeColor="text1"/>
              </w:rPr>
            </w:pPr>
            <w:r>
              <w:rPr>
                <w:rFonts w:ascii="Times New Roman" w:eastAsia="Times New Roman" w:hAnsi="Times New Roman" w:cs="Times New Roman"/>
                <w:noProof/>
                <w:color w:val="000000" w:themeColor="text1"/>
              </w:rPr>
              <w:t>221</w:t>
            </w:r>
            <w:r>
              <w:rPr>
                <w:rFonts w:ascii="Times New Roman" w:hAnsi="Times New Roman"/>
                <w:noProof/>
                <w:sz w:val="20"/>
              </w:rPr>
              <w:t xml:space="preserve"> </w:t>
            </w:r>
            <w:r>
              <w:rPr>
                <w:rFonts w:ascii="Times New Roman" w:eastAsia="Times New Roman" w:hAnsi="Times New Roman" w:cs="Times New Roman"/>
                <w:noProof/>
                <w:color w:val="000000" w:themeColor="text1"/>
              </w:rPr>
              <w:t>820</w:t>
            </w:r>
            <w:r>
              <w:rPr>
                <w:rFonts w:ascii="Times New Roman" w:hAnsi="Times New Roman"/>
                <w:noProof/>
                <w:sz w:val="20"/>
              </w:rPr>
              <w:t xml:space="preserve"> </w:t>
            </w:r>
            <w:r>
              <w:rPr>
                <w:rFonts w:ascii="Times New Roman" w:eastAsia="Times New Roman" w:hAnsi="Times New Roman" w:cs="Times New Roman"/>
                <w:noProof/>
                <w:color w:val="000000" w:themeColor="text1"/>
              </w:rPr>
              <w:t>028 MIL.</w:t>
            </w:r>
          </w:p>
        </w:tc>
      </w:tr>
    </w:tbl>
    <w:p w14:paraId="2A9C4373" w14:textId="58B1F021" w:rsidR="00F53E3A" w:rsidRDefault="0036255F">
      <w:pPr>
        <w:pStyle w:val="P68B1DB1-ListParagraph37"/>
        <w:keepNext/>
        <w:keepLines/>
        <w:numPr>
          <w:ilvl w:val="1"/>
          <w:numId w:val="41"/>
        </w:numPr>
        <w:spacing w:before="480" w:line="240" w:lineRule="auto"/>
        <w:jc w:val="both"/>
        <w:rPr>
          <w:noProof/>
        </w:rPr>
      </w:pPr>
      <w:r>
        <w:rPr>
          <w:noProof/>
        </w:rPr>
        <w:t>A treia tranșă (sprijin nerambursabil):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70" w:type="dxa"/>
          <w:bottom w:w="15" w:type="dxa"/>
          <w:right w:w="70" w:type="dxa"/>
        </w:tblCellMar>
        <w:tblLook w:val="04A0" w:firstRow="1" w:lastRow="0" w:firstColumn="1" w:lastColumn="0" w:noHBand="0" w:noVBand="1"/>
      </w:tblPr>
      <w:tblGrid>
        <w:gridCol w:w="1298"/>
        <w:gridCol w:w="3424"/>
        <w:gridCol w:w="1558"/>
        <w:gridCol w:w="3499"/>
      </w:tblGrid>
      <w:tr w:rsidR="00F53E3A" w14:paraId="77749DA5" w14:textId="77777777">
        <w:trPr>
          <w:cantSplit/>
          <w:trHeight w:val="491"/>
          <w:tblHeader/>
        </w:trPr>
        <w:tc>
          <w:tcPr>
            <w:tcW w:w="1298" w:type="dxa"/>
            <w:shd w:val="clear" w:color="auto" w:fill="BDD7EE"/>
            <w:vAlign w:val="center"/>
          </w:tcPr>
          <w:p w14:paraId="47D466EC" w14:textId="77777777" w:rsidR="00F53E3A" w:rsidRDefault="0036255F">
            <w:pPr>
              <w:pStyle w:val="P68B1DB1-Normal38"/>
              <w:spacing w:after="0"/>
              <w:jc w:val="center"/>
              <w:rPr>
                <w:bCs/>
                <w:noProof/>
                <w:szCs w:val="22"/>
              </w:rPr>
            </w:pPr>
            <w:r>
              <w:rPr>
                <w:noProof/>
              </w:rPr>
              <w:t>Număr secvențial</w:t>
            </w:r>
          </w:p>
        </w:tc>
        <w:tc>
          <w:tcPr>
            <w:tcW w:w="3534" w:type="dxa"/>
            <w:shd w:val="clear" w:color="auto" w:fill="BDD7EE"/>
            <w:vAlign w:val="center"/>
          </w:tcPr>
          <w:p w14:paraId="3A7D44E6" w14:textId="77777777" w:rsidR="00F53E3A" w:rsidRDefault="0036255F">
            <w:pPr>
              <w:pStyle w:val="P68B1DB1-Normal38"/>
              <w:spacing w:after="0"/>
              <w:jc w:val="center"/>
              <w:rPr>
                <w:bCs/>
                <w:noProof/>
                <w:szCs w:val="22"/>
              </w:rPr>
            </w:pPr>
            <w:r>
              <w:rPr>
                <w:noProof/>
              </w:rPr>
              <w:t xml:space="preserve">Măsură conexă </w:t>
            </w:r>
            <w:r>
              <w:rPr>
                <w:noProof/>
              </w:rPr>
              <w:br/>
              <w:t>(Reformă sau investiție)</w:t>
            </w:r>
          </w:p>
        </w:tc>
        <w:tc>
          <w:tcPr>
            <w:tcW w:w="1334" w:type="dxa"/>
            <w:shd w:val="clear" w:color="auto" w:fill="BDD7EE"/>
            <w:vAlign w:val="center"/>
          </w:tcPr>
          <w:p w14:paraId="72C90B3C" w14:textId="77777777" w:rsidR="00F53E3A" w:rsidRDefault="0036255F">
            <w:pPr>
              <w:pStyle w:val="P68B1DB1-Normal38"/>
              <w:spacing w:after="0"/>
              <w:jc w:val="center"/>
              <w:rPr>
                <w:bCs/>
                <w:noProof/>
                <w:szCs w:val="22"/>
              </w:rPr>
            </w:pPr>
            <w:r>
              <w:rPr>
                <w:noProof/>
              </w:rPr>
              <w:t>Etapă/Obiectiv</w:t>
            </w:r>
          </w:p>
        </w:tc>
        <w:tc>
          <w:tcPr>
            <w:tcW w:w="3613" w:type="dxa"/>
            <w:shd w:val="clear" w:color="auto" w:fill="BDD7EE"/>
            <w:vAlign w:val="center"/>
          </w:tcPr>
          <w:p w14:paraId="25C0FB47" w14:textId="77777777" w:rsidR="00F53E3A" w:rsidRDefault="0036255F">
            <w:pPr>
              <w:pStyle w:val="P68B1DB1-Normal38"/>
              <w:spacing w:after="0"/>
              <w:jc w:val="center"/>
              <w:rPr>
                <w:bCs/>
                <w:noProof/>
                <w:szCs w:val="22"/>
              </w:rPr>
            </w:pPr>
            <w:r>
              <w:rPr>
                <w:noProof/>
              </w:rPr>
              <w:t>Nume</w:t>
            </w:r>
          </w:p>
        </w:tc>
      </w:tr>
      <w:tr w:rsidR="00F53E3A" w14:paraId="5755C1E3" w14:textId="77777777">
        <w:trPr>
          <w:cantSplit/>
        </w:trPr>
        <w:tc>
          <w:tcPr>
            <w:tcW w:w="1298" w:type="dxa"/>
            <w:shd w:val="clear" w:color="auto" w:fill="EAF1DD" w:themeFill="accent3" w:themeFillTint="33"/>
            <w:noWrap/>
            <w:vAlign w:val="center"/>
          </w:tcPr>
          <w:p w14:paraId="4FD0AE63" w14:textId="77777777" w:rsidR="00F53E3A" w:rsidRDefault="0036255F">
            <w:pPr>
              <w:pStyle w:val="P68B1DB1-Normal40"/>
              <w:spacing w:after="0"/>
              <w:jc w:val="center"/>
              <w:rPr>
                <w:noProof/>
                <w:color w:val="000000"/>
                <w:szCs w:val="22"/>
              </w:rPr>
            </w:pPr>
            <w:r>
              <w:rPr>
                <w:noProof/>
              </w:rPr>
              <w:t>4</w:t>
            </w:r>
          </w:p>
        </w:tc>
        <w:tc>
          <w:tcPr>
            <w:tcW w:w="3534" w:type="dxa"/>
            <w:shd w:val="clear" w:color="auto" w:fill="EAF1DD" w:themeFill="accent3" w:themeFillTint="33"/>
          </w:tcPr>
          <w:p w14:paraId="13BEF817" w14:textId="6E8A4804" w:rsidR="00F53E3A" w:rsidRDefault="0036255F">
            <w:pPr>
              <w:pStyle w:val="P68B1DB1-Normal39"/>
              <w:spacing w:after="0" w:line="240" w:lineRule="auto"/>
              <w:jc w:val="both"/>
              <w:textAlignment w:val="baseline"/>
              <w:rPr>
                <w:noProof/>
              </w:rPr>
            </w:pPr>
            <w:r>
              <w:rPr>
                <w:noProof/>
              </w:rPr>
              <w:t>A.1.1. Îmbunătățirea calității și accesibilității serviciilor de sănătate și promovarea inovării</w:t>
            </w:r>
          </w:p>
          <w:p w14:paraId="5C2EFEF0" w14:textId="77777777" w:rsidR="00F53E3A" w:rsidRDefault="0036255F">
            <w:pPr>
              <w:pStyle w:val="P68B1DB1-Normal39"/>
              <w:spacing w:after="0"/>
              <w:jc w:val="both"/>
              <w:rPr>
                <w:noProof/>
                <w:szCs w:val="22"/>
              </w:rPr>
            </w:pPr>
            <w:r>
              <w:rPr>
                <w:noProof/>
              </w:rPr>
              <w:t>A.1.1.4. Stabilirea unui model de bază de furnizare a serviciilor de sănătate publică</w:t>
            </w:r>
          </w:p>
        </w:tc>
        <w:tc>
          <w:tcPr>
            <w:tcW w:w="1334" w:type="dxa"/>
            <w:shd w:val="clear" w:color="auto" w:fill="EAF1DD" w:themeFill="accent3" w:themeFillTint="33"/>
          </w:tcPr>
          <w:p w14:paraId="11F71A1A" w14:textId="77777777" w:rsidR="00F53E3A" w:rsidRDefault="0036255F">
            <w:pPr>
              <w:pStyle w:val="P68B1DB1-Normal39"/>
              <w:spacing w:after="0"/>
              <w:jc w:val="center"/>
              <w:rPr>
                <w:noProof/>
                <w:szCs w:val="22"/>
              </w:rPr>
            </w:pPr>
            <w:r>
              <w:rPr>
                <w:noProof/>
              </w:rPr>
              <w:t>Etapă</w:t>
            </w:r>
          </w:p>
        </w:tc>
        <w:tc>
          <w:tcPr>
            <w:tcW w:w="3613" w:type="dxa"/>
            <w:shd w:val="clear" w:color="auto" w:fill="EAF1DD" w:themeFill="accent3" w:themeFillTint="33"/>
          </w:tcPr>
          <w:p w14:paraId="4FB113E9" w14:textId="3FBAB5F0" w:rsidR="00F53E3A" w:rsidRDefault="0036255F">
            <w:pPr>
              <w:pStyle w:val="P68B1DB1-Normal39"/>
              <w:spacing w:after="0"/>
              <w:jc w:val="both"/>
              <w:rPr>
                <w:noProof/>
              </w:rPr>
            </w:pPr>
            <w:r>
              <w:rPr>
                <w:noProof/>
              </w:rPr>
              <w:t>Intrarea în vigoare a legislației de stabilire a unui model de bază de furnizare a serviciilor de sănătate publică</w:t>
            </w:r>
          </w:p>
        </w:tc>
      </w:tr>
      <w:tr w:rsidR="00F53E3A" w14:paraId="15C12E3E" w14:textId="77777777">
        <w:trPr>
          <w:cantSplit/>
        </w:trPr>
        <w:tc>
          <w:tcPr>
            <w:tcW w:w="1298" w:type="dxa"/>
            <w:shd w:val="clear" w:color="auto" w:fill="EAF1DD" w:themeFill="accent3" w:themeFillTint="33"/>
            <w:noWrap/>
            <w:vAlign w:val="center"/>
          </w:tcPr>
          <w:p w14:paraId="0FFBFF0E" w14:textId="77777777" w:rsidR="00F53E3A" w:rsidRDefault="0036255F">
            <w:pPr>
              <w:pStyle w:val="P68B1DB1-Normal40"/>
              <w:spacing w:after="0"/>
              <w:jc w:val="center"/>
              <w:rPr>
                <w:noProof/>
                <w:color w:val="000000"/>
                <w:szCs w:val="22"/>
              </w:rPr>
            </w:pPr>
            <w:r>
              <w:rPr>
                <w:noProof/>
              </w:rPr>
              <w:t>5</w:t>
            </w:r>
          </w:p>
        </w:tc>
        <w:tc>
          <w:tcPr>
            <w:tcW w:w="3534" w:type="dxa"/>
            <w:shd w:val="clear" w:color="auto" w:fill="EAF1DD" w:themeFill="accent3" w:themeFillTint="33"/>
          </w:tcPr>
          <w:p w14:paraId="51746A8A" w14:textId="663C7A1E" w:rsidR="00F53E3A" w:rsidRDefault="0036255F">
            <w:pPr>
              <w:pStyle w:val="P68B1DB1-Normal39"/>
              <w:spacing w:after="0" w:line="240" w:lineRule="auto"/>
              <w:jc w:val="both"/>
              <w:textAlignment w:val="baseline"/>
              <w:rPr>
                <w:noProof/>
              </w:rPr>
            </w:pPr>
            <w:r>
              <w:rPr>
                <w:noProof/>
              </w:rPr>
              <w:t>A.1.1. Îmbunătățirea calității și accesibilității serviciilor de sănătate și promovarea inovării</w:t>
            </w:r>
          </w:p>
          <w:p w14:paraId="709FBE42" w14:textId="77777777" w:rsidR="00F53E3A" w:rsidRDefault="0036255F">
            <w:pPr>
              <w:pStyle w:val="P68B1DB1-Normal39"/>
              <w:spacing w:after="0"/>
              <w:jc w:val="both"/>
              <w:rPr>
                <w:noProof/>
                <w:szCs w:val="22"/>
              </w:rPr>
            </w:pPr>
            <w:r>
              <w:rPr>
                <w:noProof/>
              </w:rPr>
              <w:t>A.1.1.5. Îmbunătățirea condițiilor de muncă și a calificărilor profesionale ale cadrelor medicale</w:t>
            </w:r>
          </w:p>
        </w:tc>
        <w:tc>
          <w:tcPr>
            <w:tcW w:w="1334" w:type="dxa"/>
            <w:shd w:val="clear" w:color="auto" w:fill="EAF1DD" w:themeFill="accent3" w:themeFillTint="33"/>
          </w:tcPr>
          <w:p w14:paraId="3B52EBFA" w14:textId="77777777" w:rsidR="00F53E3A" w:rsidRDefault="0036255F">
            <w:pPr>
              <w:pStyle w:val="P68B1DB1-Normal39"/>
              <w:spacing w:after="0"/>
              <w:jc w:val="center"/>
              <w:rPr>
                <w:noProof/>
                <w:szCs w:val="22"/>
              </w:rPr>
            </w:pPr>
            <w:r>
              <w:rPr>
                <w:noProof/>
              </w:rPr>
              <w:t>Etapă</w:t>
            </w:r>
          </w:p>
        </w:tc>
        <w:tc>
          <w:tcPr>
            <w:tcW w:w="3613" w:type="dxa"/>
            <w:shd w:val="clear" w:color="auto" w:fill="EAF1DD" w:themeFill="accent3" w:themeFillTint="33"/>
          </w:tcPr>
          <w:p w14:paraId="7733B55A" w14:textId="77777777" w:rsidR="00F53E3A" w:rsidRDefault="0036255F">
            <w:pPr>
              <w:pStyle w:val="P68B1DB1-Normal39"/>
              <w:spacing w:after="0"/>
              <w:jc w:val="both"/>
              <w:rPr>
                <w:noProof/>
                <w:szCs w:val="22"/>
              </w:rPr>
            </w:pPr>
            <w:r>
              <w:rPr>
                <w:noProof/>
              </w:rPr>
              <w:t>Intrarea în vigoare a legislației privind îmbunătățirea condițiilor de muncă și a calificărilor profesionale ale cadrelor medicale</w:t>
            </w:r>
          </w:p>
        </w:tc>
      </w:tr>
      <w:tr w:rsidR="00F53E3A" w14:paraId="3C419C4A" w14:textId="77777777">
        <w:trPr>
          <w:cantSplit/>
        </w:trPr>
        <w:tc>
          <w:tcPr>
            <w:tcW w:w="1298" w:type="dxa"/>
            <w:shd w:val="clear" w:color="auto" w:fill="EAF1DD" w:themeFill="accent3" w:themeFillTint="33"/>
            <w:noWrap/>
            <w:vAlign w:val="center"/>
          </w:tcPr>
          <w:p w14:paraId="2F17AD68" w14:textId="77777777" w:rsidR="00F53E3A" w:rsidRDefault="0036255F">
            <w:pPr>
              <w:pStyle w:val="P68B1DB1-Normal40"/>
              <w:spacing w:after="0"/>
              <w:jc w:val="center"/>
              <w:rPr>
                <w:noProof/>
                <w:color w:val="000000"/>
                <w:szCs w:val="22"/>
              </w:rPr>
            </w:pPr>
            <w:r>
              <w:rPr>
                <w:noProof/>
              </w:rPr>
              <w:t>6</w:t>
            </w:r>
          </w:p>
        </w:tc>
        <w:tc>
          <w:tcPr>
            <w:tcW w:w="3534" w:type="dxa"/>
            <w:shd w:val="clear" w:color="auto" w:fill="EAF1DD" w:themeFill="accent3" w:themeFillTint="33"/>
          </w:tcPr>
          <w:p w14:paraId="3A64410E" w14:textId="20264808" w:rsidR="00F53E3A" w:rsidRDefault="0036255F">
            <w:pPr>
              <w:pStyle w:val="P68B1DB1-Normal39"/>
              <w:spacing w:after="0" w:line="240" w:lineRule="auto"/>
              <w:jc w:val="both"/>
              <w:textAlignment w:val="baseline"/>
              <w:rPr>
                <w:noProof/>
              </w:rPr>
            </w:pPr>
            <w:r>
              <w:rPr>
                <w:noProof/>
              </w:rPr>
              <w:t>A.1.1. Îmbunătățirea calității și accesibilității serviciilor de sănătate și promovarea inovării</w:t>
            </w:r>
          </w:p>
          <w:p w14:paraId="00082DC3" w14:textId="77777777" w:rsidR="00F53E3A" w:rsidRDefault="0036255F">
            <w:pPr>
              <w:pStyle w:val="P68B1DB1-Normal39"/>
              <w:spacing w:after="0"/>
              <w:jc w:val="both"/>
              <w:rPr>
                <w:noProof/>
                <w:szCs w:val="22"/>
              </w:rPr>
            </w:pPr>
            <w:r>
              <w:rPr>
                <w:noProof/>
              </w:rPr>
              <w:t>A.1.1.6. Crearea unei rețele de instituții de asistență medicală personală pe baza modelului de cooperare regională</w:t>
            </w:r>
          </w:p>
        </w:tc>
        <w:tc>
          <w:tcPr>
            <w:tcW w:w="1334" w:type="dxa"/>
            <w:shd w:val="clear" w:color="auto" w:fill="EAF1DD" w:themeFill="accent3" w:themeFillTint="33"/>
          </w:tcPr>
          <w:p w14:paraId="54D03A3A" w14:textId="77777777" w:rsidR="00F53E3A" w:rsidRDefault="0036255F">
            <w:pPr>
              <w:pStyle w:val="P68B1DB1-Normal39"/>
              <w:spacing w:after="0"/>
              <w:jc w:val="center"/>
              <w:rPr>
                <w:noProof/>
                <w:szCs w:val="22"/>
              </w:rPr>
            </w:pPr>
            <w:r>
              <w:rPr>
                <w:noProof/>
              </w:rPr>
              <w:t>Etapă</w:t>
            </w:r>
          </w:p>
        </w:tc>
        <w:tc>
          <w:tcPr>
            <w:tcW w:w="3613" w:type="dxa"/>
            <w:shd w:val="clear" w:color="auto" w:fill="EAF1DD" w:themeFill="accent3" w:themeFillTint="33"/>
          </w:tcPr>
          <w:p w14:paraId="5356993D" w14:textId="77777777" w:rsidR="00F53E3A" w:rsidRDefault="0036255F">
            <w:pPr>
              <w:pStyle w:val="P68B1DB1-Normal39"/>
              <w:spacing w:after="0"/>
              <w:jc w:val="both"/>
              <w:rPr>
                <w:noProof/>
                <w:szCs w:val="22"/>
              </w:rPr>
            </w:pPr>
            <w:r>
              <w:rPr>
                <w:noProof/>
              </w:rPr>
              <w:t>Intrarea în vigoare a legislației privind înființarea și reglementarea unei rețele de instituții de asistență medicală personală bazate pe modelul centrelor de excelență și al cooperării regionale</w:t>
            </w:r>
          </w:p>
        </w:tc>
      </w:tr>
      <w:tr w:rsidR="00F53E3A" w14:paraId="656DE60A" w14:textId="77777777">
        <w:trPr>
          <w:cantSplit/>
        </w:trPr>
        <w:tc>
          <w:tcPr>
            <w:tcW w:w="1298" w:type="dxa"/>
            <w:shd w:val="clear" w:color="auto" w:fill="EAF1DD" w:themeFill="accent3" w:themeFillTint="33"/>
            <w:noWrap/>
            <w:vAlign w:val="center"/>
          </w:tcPr>
          <w:p w14:paraId="3C15A8A3" w14:textId="77777777" w:rsidR="00F53E3A" w:rsidRDefault="0036255F">
            <w:pPr>
              <w:pStyle w:val="P68B1DB1-Normal40"/>
              <w:spacing w:after="0"/>
              <w:jc w:val="center"/>
              <w:rPr>
                <w:noProof/>
                <w:color w:val="000000"/>
                <w:szCs w:val="22"/>
              </w:rPr>
            </w:pPr>
            <w:r>
              <w:rPr>
                <w:noProof/>
              </w:rPr>
              <w:t>18</w:t>
            </w:r>
          </w:p>
        </w:tc>
        <w:tc>
          <w:tcPr>
            <w:tcW w:w="3534" w:type="dxa"/>
            <w:shd w:val="clear" w:color="auto" w:fill="EAF1DD" w:themeFill="accent3" w:themeFillTint="33"/>
          </w:tcPr>
          <w:p w14:paraId="25F34251" w14:textId="40544E45" w:rsidR="00F53E3A" w:rsidRDefault="0036255F">
            <w:pPr>
              <w:pStyle w:val="P68B1DB1-Normal39"/>
              <w:spacing w:after="0" w:line="240" w:lineRule="auto"/>
              <w:jc w:val="both"/>
              <w:textAlignment w:val="baseline"/>
              <w:rPr>
                <w:noProof/>
                <w:szCs w:val="22"/>
              </w:rPr>
            </w:pPr>
            <w:r>
              <w:rPr>
                <w:noProof/>
              </w:rPr>
              <w:t>A.1.3. Reziliența sistemului de sănătate pentru a face față situațiilor de urgență</w:t>
            </w:r>
          </w:p>
          <w:p w14:paraId="49EAA374" w14:textId="77777777" w:rsidR="00F53E3A" w:rsidRDefault="0036255F">
            <w:pPr>
              <w:pStyle w:val="P68B1DB1-Normal39"/>
              <w:spacing w:after="0"/>
              <w:jc w:val="both"/>
              <w:rPr>
                <w:noProof/>
                <w:szCs w:val="22"/>
              </w:rPr>
            </w:pPr>
            <w:r>
              <w:rPr>
                <w:noProof/>
              </w:rPr>
              <w:t>A.1.3.1. Plan de acțiune pentru îmbunătățirea cooperării dintre instituțiile de asistență medicală și modernizarea infrastructurii pentru situații de urgență</w:t>
            </w:r>
          </w:p>
        </w:tc>
        <w:tc>
          <w:tcPr>
            <w:tcW w:w="1334" w:type="dxa"/>
            <w:shd w:val="clear" w:color="auto" w:fill="EAF1DD" w:themeFill="accent3" w:themeFillTint="33"/>
          </w:tcPr>
          <w:p w14:paraId="498D7468" w14:textId="77777777" w:rsidR="00F53E3A" w:rsidRDefault="0036255F">
            <w:pPr>
              <w:pStyle w:val="P68B1DB1-Normal39"/>
              <w:spacing w:after="0"/>
              <w:jc w:val="center"/>
              <w:rPr>
                <w:noProof/>
                <w:szCs w:val="22"/>
              </w:rPr>
            </w:pPr>
            <w:r>
              <w:rPr>
                <w:noProof/>
              </w:rPr>
              <w:t>Etapă</w:t>
            </w:r>
          </w:p>
        </w:tc>
        <w:tc>
          <w:tcPr>
            <w:tcW w:w="3613" w:type="dxa"/>
            <w:shd w:val="clear" w:color="auto" w:fill="EAF1DD" w:themeFill="accent3" w:themeFillTint="33"/>
          </w:tcPr>
          <w:p w14:paraId="52B784C9" w14:textId="77777777" w:rsidR="00F53E3A" w:rsidRDefault="0036255F">
            <w:pPr>
              <w:pStyle w:val="P68B1DB1-Normal39"/>
              <w:spacing w:after="0"/>
              <w:jc w:val="both"/>
              <w:rPr>
                <w:noProof/>
                <w:szCs w:val="22"/>
              </w:rPr>
            </w:pPr>
            <w:r>
              <w:rPr>
                <w:noProof/>
              </w:rPr>
              <w:t>Intrarea în vigoare a unui plan de acțiune privind îmbunătățirea cooperării dintre instituțiile de asistență medicală și modernizarea infrastructurii pentru situații de urgență</w:t>
            </w:r>
          </w:p>
        </w:tc>
      </w:tr>
      <w:tr w:rsidR="00F53E3A" w14:paraId="512BEF7B" w14:textId="77777777">
        <w:tc>
          <w:tcPr>
            <w:tcW w:w="1298" w:type="dxa"/>
            <w:shd w:val="clear" w:color="auto" w:fill="EAF1DD" w:themeFill="accent3" w:themeFillTint="33"/>
            <w:noWrap/>
            <w:vAlign w:val="center"/>
          </w:tcPr>
          <w:p w14:paraId="441EF15D" w14:textId="77777777" w:rsidR="00F53E3A" w:rsidRDefault="0036255F">
            <w:pPr>
              <w:pStyle w:val="P68B1DB1-Normal40"/>
              <w:spacing w:after="0"/>
              <w:jc w:val="center"/>
              <w:rPr>
                <w:noProof/>
                <w:color w:val="000000"/>
                <w:szCs w:val="22"/>
              </w:rPr>
            </w:pPr>
            <w:r>
              <w:rPr>
                <w:noProof/>
              </w:rPr>
              <w:t>48</w:t>
            </w:r>
          </w:p>
        </w:tc>
        <w:tc>
          <w:tcPr>
            <w:tcW w:w="3534" w:type="dxa"/>
            <w:shd w:val="clear" w:color="auto" w:fill="EAF1DD" w:themeFill="accent3" w:themeFillTint="33"/>
          </w:tcPr>
          <w:p w14:paraId="721E4D8E" w14:textId="4F0AFFCF" w:rsidR="00F53E3A" w:rsidRDefault="0036255F">
            <w:pPr>
              <w:pStyle w:val="P68B1DB1-Normal39"/>
              <w:spacing w:after="0"/>
              <w:jc w:val="both"/>
              <w:rPr>
                <w:noProof/>
                <w:szCs w:val="22"/>
              </w:rPr>
            </w:pPr>
            <w:r>
              <w:rPr>
                <w:noProof/>
              </w:rPr>
              <w:t>B.1.3 Accelerarea renovării clădirilor și un mediu urban durabil – B.1.3.1. Actualizarea pachetelor și standardelor de renovare a clădirilor și crearea unei metodologii pentru dezvoltarea orașelor durabile</w:t>
            </w:r>
          </w:p>
        </w:tc>
        <w:tc>
          <w:tcPr>
            <w:tcW w:w="1334" w:type="dxa"/>
            <w:shd w:val="clear" w:color="auto" w:fill="EAF1DD" w:themeFill="accent3" w:themeFillTint="33"/>
          </w:tcPr>
          <w:p w14:paraId="0F923973" w14:textId="77777777" w:rsidR="00F53E3A" w:rsidRDefault="0036255F">
            <w:pPr>
              <w:pStyle w:val="P68B1DB1-Normal39"/>
              <w:spacing w:after="0"/>
              <w:jc w:val="center"/>
              <w:rPr>
                <w:noProof/>
                <w:szCs w:val="22"/>
              </w:rPr>
            </w:pPr>
            <w:r>
              <w:rPr>
                <w:noProof/>
              </w:rPr>
              <w:t>Etapă</w:t>
            </w:r>
          </w:p>
        </w:tc>
        <w:tc>
          <w:tcPr>
            <w:tcW w:w="3613" w:type="dxa"/>
            <w:shd w:val="clear" w:color="auto" w:fill="EAF1DD" w:themeFill="accent3" w:themeFillTint="33"/>
          </w:tcPr>
          <w:p w14:paraId="77B2A3CD" w14:textId="77777777" w:rsidR="00F53E3A" w:rsidRDefault="0036255F">
            <w:pPr>
              <w:pStyle w:val="P68B1DB1-Normal39"/>
              <w:spacing w:after="0"/>
              <w:jc w:val="both"/>
              <w:textAlignment w:val="baseline"/>
              <w:rPr>
                <w:noProof/>
                <w:szCs w:val="22"/>
              </w:rPr>
            </w:pPr>
            <w:r>
              <w:rPr>
                <w:noProof/>
              </w:rPr>
              <w:t>Intrarea în vigoare a următoarelor acte legislative:</w:t>
            </w:r>
          </w:p>
          <w:p w14:paraId="1B42E410" w14:textId="77777777" w:rsidR="00F53E3A" w:rsidRDefault="0036255F">
            <w:pPr>
              <w:pStyle w:val="P68B1DB1-Normal39"/>
              <w:spacing w:after="0"/>
              <w:jc w:val="both"/>
              <w:textAlignment w:val="baseline"/>
              <w:rPr>
                <w:noProof/>
                <w:szCs w:val="22"/>
              </w:rPr>
            </w:pPr>
            <w:r>
              <w:rPr>
                <w:noProof/>
              </w:rPr>
              <w:t>a) Planul de punere în aplicare a strategiei de renovare a clădirilor pe termen lung,</w:t>
            </w:r>
          </w:p>
          <w:p w14:paraId="70340590" w14:textId="77777777" w:rsidR="00F53E3A" w:rsidRDefault="0036255F">
            <w:pPr>
              <w:pStyle w:val="P68B1DB1-Normal39"/>
              <w:spacing w:after="0"/>
              <w:jc w:val="both"/>
              <w:textAlignment w:val="baseline"/>
              <w:rPr>
                <w:noProof/>
                <w:szCs w:val="22"/>
              </w:rPr>
            </w:pPr>
            <w:r>
              <w:rPr>
                <w:noProof/>
              </w:rPr>
              <w:t>b) Modificarea Regulamentului tehnic de construcție „Proiectarea și certificarea performanței energetice a clădirilor”, aprobat prin Ordinul nr. D2016-11 al ministrului mediului nr. 11-1-754</w:t>
            </w:r>
          </w:p>
          <w:p w14:paraId="16C657A8" w14:textId="77777777" w:rsidR="00F53E3A" w:rsidRDefault="0036255F">
            <w:pPr>
              <w:pStyle w:val="P68B1DB1-Normal39"/>
              <w:spacing w:after="0"/>
              <w:jc w:val="both"/>
              <w:textAlignment w:val="baseline"/>
              <w:rPr>
                <w:noProof/>
                <w:szCs w:val="22"/>
              </w:rPr>
            </w:pPr>
            <w:r>
              <w:rPr>
                <w:noProof/>
              </w:rPr>
              <w:t>c) Orientări pentru dezvoltare urbană durabilă aprobate prin ordin al ministrului mediului</w:t>
            </w:r>
          </w:p>
          <w:p w14:paraId="521D82B3" w14:textId="77777777" w:rsidR="00F53E3A" w:rsidRDefault="0036255F">
            <w:pPr>
              <w:pStyle w:val="P68B1DB1-Normal39"/>
              <w:spacing w:after="0"/>
              <w:jc w:val="both"/>
              <w:rPr>
                <w:noProof/>
                <w:szCs w:val="22"/>
              </w:rPr>
            </w:pPr>
            <w:r>
              <w:rPr>
                <w:noProof/>
              </w:rPr>
              <w:t>d) Modificarea Regulamentului tehnic de construcție CTR 2.05.07: 2005 „Proiectarea structurilor din lemn”, aprobat prin Ordinul nr. D2005-02 al ministrului mediului nr. 10-1-79</w:t>
            </w:r>
          </w:p>
        </w:tc>
      </w:tr>
      <w:tr w:rsidR="00F53E3A" w14:paraId="0F5FC6C6" w14:textId="77777777">
        <w:trPr>
          <w:cantSplit/>
        </w:trPr>
        <w:tc>
          <w:tcPr>
            <w:tcW w:w="1298" w:type="dxa"/>
            <w:shd w:val="clear" w:color="auto" w:fill="EAF1DD" w:themeFill="accent3" w:themeFillTint="33"/>
            <w:noWrap/>
            <w:vAlign w:val="center"/>
          </w:tcPr>
          <w:p w14:paraId="1D8F3573" w14:textId="77777777" w:rsidR="00F53E3A" w:rsidRDefault="0036255F">
            <w:pPr>
              <w:pStyle w:val="P68B1DB1-Normal40"/>
              <w:spacing w:after="0"/>
              <w:jc w:val="center"/>
              <w:rPr>
                <w:noProof/>
                <w:color w:val="000000"/>
                <w:szCs w:val="22"/>
              </w:rPr>
            </w:pPr>
            <w:r>
              <w:rPr>
                <w:noProof/>
              </w:rPr>
              <w:t>58</w:t>
            </w:r>
          </w:p>
        </w:tc>
        <w:tc>
          <w:tcPr>
            <w:tcW w:w="3534" w:type="dxa"/>
            <w:shd w:val="clear" w:color="auto" w:fill="EAF1DD" w:themeFill="accent3" w:themeFillTint="33"/>
          </w:tcPr>
          <w:p w14:paraId="1A02489B" w14:textId="77777777" w:rsidR="00F53E3A" w:rsidRDefault="0036255F">
            <w:pPr>
              <w:pStyle w:val="P68B1DB1-Normal39"/>
              <w:spacing w:after="0"/>
              <w:jc w:val="both"/>
              <w:rPr>
                <w:noProof/>
                <w:szCs w:val="22"/>
              </w:rPr>
            </w:pPr>
            <w:r>
              <w:rPr>
                <w:noProof/>
              </w:rPr>
              <w:t>B.1.5 Spre o economie circulară</w:t>
            </w:r>
          </w:p>
        </w:tc>
        <w:tc>
          <w:tcPr>
            <w:tcW w:w="1334" w:type="dxa"/>
            <w:shd w:val="clear" w:color="auto" w:fill="EAF1DD" w:themeFill="accent3" w:themeFillTint="33"/>
          </w:tcPr>
          <w:p w14:paraId="64A83541" w14:textId="77777777" w:rsidR="00F53E3A" w:rsidRDefault="0036255F">
            <w:pPr>
              <w:pStyle w:val="P68B1DB1-Normal39"/>
              <w:spacing w:after="0"/>
              <w:jc w:val="center"/>
              <w:rPr>
                <w:noProof/>
                <w:szCs w:val="22"/>
              </w:rPr>
            </w:pPr>
            <w:r>
              <w:rPr>
                <w:noProof/>
              </w:rPr>
              <w:t>Etapă</w:t>
            </w:r>
          </w:p>
        </w:tc>
        <w:tc>
          <w:tcPr>
            <w:tcW w:w="3613" w:type="dxa"/>
            <w:shd w:val="clear" w:color="auto" w:fill="EAF1DD" w:themeFill="accent3" w:themeFillTint="33"/>
          </w:tcPr>
          <w:p w14:paraId="240FDB60" w14:textId="78E284FC" w:rsidR="00F53E3A" w:rsidRDefault="0036255F">
            <w:pPr>
              <w:pStyle w:val="P68B1DB1-Normal39"/>
              <w:spacing w:after="0"/>
              <w:jc w:val="both"/>
              <w:rPr>
                <w:noProof/>
              </w:rPr>
            </w:pPr>
            <w:r>
              <w:rPr>
                <w:noProof/>
              </w:rPr>
              <w:t>Aprobarea de către guvern a unui protocol de plan de acțiune pentru tranziția către economia circulară</w:t>
            </w:r>
          </w:p>
        </w:tc>
      </w:tr>
      <w:tr w:rsidR="00F53E3A" w14:paraId="35AAB199" w14:textId="77777777">
        <w:trPr>
          <w:cantSplit/>
        </w:trPr>
        <w:tc>
          <w:tcPr>
            <w:tcW w:w="1298" w:type="dxa"/>
            <w:shd w:val="clear" w:color="auto" w:fill="EAF1DD" w:themeFill="accent3" w:themeFillTint="33"/>
            <w:noWrap/>
            <w:vAlign w:val="center"/>
          </w:tcPr>
          <w:p w14:paraId="685945B0" w14:textId="77777777" w:rsidR="00F53E3A" w:rsidRDefault="0036255F">
            <w:pPr>
              <w:pStyle w:val="P68B1DB1-Normal40"/>
              <w:spacing w:after="0"/>
              <w:jc w:val="center"/>
              <w:rPr>
                <w:noProof/>
                <w:color w:val="000000"/>
                <w:szCs w:val="22"/>
              </w:rPr>
            </w:pPr>
            <w:r>
              <w:rPr>
                <w:noProof/>
              </w:rPr>
              <w:t>108</w:t>
            </w:r>
          </w:p>
        </w:tc>
        <w:tc>
          <w:tcPr>
            <w:tcW w:w="3534" w:type="dxa"/>
            <w:shd w:val="clear" w:color="auto" w:fill="EAF1DD" w:themeFill="accent3" w:themeFillTint="33"/>
          </w:tcPr>
          <w:p w14:paraId="43D34DC6" w14:textId="77777777" w:rsidR="00F53E3A" w:rsidRDefault="0036255F">
            <w:pPr>
              <w:pStyle w:val="P68B1DB1-Normal39"/>
              <w:spacing w:after="0"/>
              <w:jc w:val="both"/>
              <w:rPr>
                <w:noProof/>
                <w:szCs w:val="22"/>
              </w:rPr>
            </w:pPr>
            <w:r>
              <w:rPr>
                <w:noProof/>
              </w:rPr>
              <w:t>D 1.2. Accesul adulților la dezvoltarea competențelor și la recunoașterea calificărilor</w:t>
            </w:r>
          </w:p>
        </w:tc>
        <w:tc>
          <w:tcPr>
            <w:tcW w:w="1334" w:type="dxa"/>
            <w:shd w:val="clear" w:color="auto" w:fill="EAF1DD" w:themeFill="accent3" w:themeFillTint="33"/>
          </w:tcPr>
          <w:p w14:paraId="1C5B80CB" w14:textId="77777777" w:rsidR="00F53E3A" w:rsidRDefault="0036255F">
            <w:pPr>
              <w:pStyle w:val="P68B1DB1-Normal39"/>
              <w:spacing w:after="0"/>
              <w:jc w:val="center"/>
              <w:rPr>
                <w:noProof/>
                <w:szCs w:val="22"/>
              </w:rPr>
            </w:pPr>
            <w:r>
              <w:rPr>
                <w:noProof/>
              </w:rPr>
              <w:t>Etapă</w:t>
            </w:r>
          </w:p>
        </w:tc>
        <w:tc>
          <w:tcPr>
            <w:tcW w:w="3613" w:type="dxa"/>
            <w:shd w:val="clear" w:color="auto" w:fill="EAF1DD" w:themeFill="accent3" w:themeFillTint="33"/>
          </w:tcPr>
          <w:p w14:paraId="7D68B9BE" w14:textId="77777777" w:rsidR="00F53E3A" w:rsidRDefault="0036255F">
            <w:pPr>
              <w:pStyle w:val="P68B1DB1-Normal39"/>
              <w:spacing w:after="0" w:line="240" w:lineRule="auto"/>
              <w:jc w:val="both"/>
              <w:textAlignment w:val="baseline"/>
              <w:rPr>
                <w:noProof/>
                <w:szCs w:val="22"/>
              </w:rPr>
            </w:pPr>
            <w:r>
              <w:rPr>
                <w:noProof/>
              </w:rPr>
              <w:t>Punerea în funcțiune a sistemului de informații de tip ghișeu unic pentru învățarea pe tot parcursul vieții</w:t>
            </w:r>
          </w:p>
        </w:tc>
      </w:tr>
      <w:tr w:rsidR="00F53E3A" w14:paraId="20474F25" w14:textId="77777777">
        <w:trPr>
          <w:cantSplit/>
        </w:trPr>
        <w:tc>
          <w:tcPr>
            <w:tcW w:w="1298" w:type="dxa"/>
            <w:shd w:val="clear" w:color="auto" w:fill="EAF1DD" w:themeFill="accent3" w:themeFillTint="33"/>
            <w:noWrap/>
            <w:vAlign w:val="center"/>
          </w:tcPr>
          <w:p w14:paraId="706C12EB" w14:textId="77777777" w:rsidR="00F53E3A" w:rsidRDefault="0036255F">
            <w:pPr>
              <w:pStyle w:val="P68B1DB1-Normal40"/>
              <w:spacing w:after="0"/>
              <w:jc w:val="center"/>
              <w:rPr>
                <w:noProof/>
                <w:color w:val="000000"/>
                <w:szCs w:val="22"/>
              </w:rPr>
            </w:pPr>
            <w:r>
              <w:rPr>
                <w:noProof/>
              </w:rPr>
              <w:t>121</w:t>
            </w:r>
          </w:p>
        </w:tc>
        <w:tc>
          <w:tcPr>
            <w:tcW w:w="3534" w:type="dxa"/>
            <w:shd w:val="clear" w:color="auto" w:fill="EAF1DD" w:themeFill="accent3" w:themeFillTint="33"/>
          </w:tcPr>
          <w:p w14:paraId="7D1EC77D" w14:textId="77777777" w:rsidR="00F53E3A" w:rsidRDefault="0036255F">
            <w:pPr>
              <w:pStyle w:val="P68B1DB1-Normal39"/>
              <w:spacing w:after="0"/>
              <w:jc w:val="both"/>
              <w:rPr>
                <w:noProof/>
                <w:szCs w:val="22"/>
              </w:rPr>
            </w:pPr>
            <w:r>
              <w:rPr>
                <w:noProof/>
              </w:rPr>
              <w:t>E.1.1. Învățământ superior de calitate și instituții de învățământ superior puternice – E.1.1.1. Îmbunătățirea finanțării învățământului superior și a sistemelor de admitere a studenților</w:t>
            </w:r>
          </w:p>
        </w:tc>
        <w:tc>
          <w:tcPr>
            <w:tcW w:w="1334" w:type="dxa"/>
            <w:shd w:val="clear" w:color="auto" w:fill="EAF1DD" w:themeFill="accent3" w:themeFillTint="33"/>
          </w:tcPr>
          <w:p w14:paraId="20D80C02" w14:textId="77777777" w:rsidR="00F53E3A" w:rsidRDefault="0036255F">
            <w:pPr>
              <w:pStyle w:val="P68B1DB1-Normal39"/>
              <w:spacing w:after="0"/>
              <w:jc w:val="center"/>
              <w:rPr>
                <w:noProof/>
                <w:szCs w:val="22"/>
              </w:rPr>
            </w:pPr>
            <w:r>
              <w:rPr>
                <w:noProof/>
              </w:rPr>
              <w:t>Etapă</w:t>
            </w:r>
          </w:p>
        </w:tc>
        <w:tc>
          <w:tcPr>
            <w:tcW w:w="3613" w:type="dxa"/>
            <w:shd w:val="clear" w:color="auto" w:fill="EAF1DD" w:themeFill="accent3" w:themeFillTint="33"/>
          </w:tcPr>
          <w:p w14:paraId="1B517D79" w14:textId="77777777" w:rsidR="00F53E3A" w:rsidRDefault="0036255F">
            <w:pPr>
              <w:pStyle w:val="P68B1DB1-Normal39"/>
              <w:spacing w:after="0"/>
              <w:jc w:val="both"/>
              <w:rPr>
                <w:noProof/>
                <w:szCs w:val="22"/>
              </w:rPr>
            </w:pPr>
            <w:r>
              <w:rPr>
                <w:noProof/>
              </w:rPr>
              <w:t>Intrarea în vigoare a actelor juridice de instituire a unui sistem de contracte cu instituțiile de învățământ superior</w:t>
            </w:r>
          </w:p>
        </w:tc>
      </w:tr>
      <w:tr w:rsidR="00F53E3A" w14:paraId="40B08DE7" w14:textId="77777777">
        <w:trPr>
          <w:cantSplit/>
        </w:trPr>
        <w:tc>
          <w:tcPr>
            <w:tcW w:w="1298" w:type="dxa"/>
            <w:shd w:val="clear" w:color="auto" w:fill="EAF1DD" w:themeFill="accent3" w:themeFillTint="33"/>
            <w:noWrap/>
            <w:vAlign w:val="center"/>
          </w:tcPr>
          <w:p w14:paraId="6AB3FD27" w14:textId="77777777" w:rsidR="00F53E3A" w:rsidRDefault="0036255F">
            <w:pPr>
              <w:pStyle w:val="P68B1DB1-Normal40"/>
              <w:spacing w:after="0"/>
              <w:jc w:val="center"/>
              <w:rPr>
                <w:noProof/>
                <w:color w:val="000000"/>
                <w:szCs w:val="22"/>
              </w:rPr>
            </w:pPr>
            <w:r>
              <w:rPr>
                <w:noProof/>
              </w:rPr>
              <w:t>122</w:t>
            </w:r>
          </w:p>
        </w:tc>
        <w:tc>
          <w:tcPr>
            <w:tcW w:w="3534" w:type="dxa"/>
            <w:shd w:val="clear" w:color="auto" w:fill="EAF1DD" w:themeFill="accent3" w:themeFillTint="33"/>
          </w:tcPr>
          <w:p w14:paraId="1603C2A6" w14:textId="74047BAB" w:rsidR="00F53E3A" w:rsidRDefault="0036255F">
            <w:pPr>
              <w:pStyle w:val="P68B1DB1-Normal39"/>
              <w:spacing w:after="0"/>
              <w:jc w:val="both"/>
              <w:rPr>
                <w:noProof/>
                <w:szCs w:val="22"/>
              </w:rPr>
            </w:pPr>
            <w:r>
              <w:rPr>
                <w:noProof/>
              </w:rPr>
              <w:t>E.1.1. Învățământ superior de calitate și instituții de învățământ superior puternice – E.1.1.1. Îmbunătățirea finanțării învățământului superior și a sistemelor de admitere a studenților – E.1.1.2. O rețea eficientă de învățământ superior prin perfecționarea misiunilor universităților și colegiilor</w:t>
            </w:r>
          </w:p>
        </w:tc>
        <w:tc>
          <w:tcPr>
            <w:tcW w:w="1334" w:type="dxa"/>
            <w:shd w:val="clear" w:color="auto" w:fill="EAF1DD" w:themeFill="accent3" w:themeFillTint="33"/>
          </w:tcPr>
          <w:p w14:paraId="294F08FD" w14:textId="77777777" w:rsidR="00F53E3A" w:rsidRDefault="0036255F">
            <w:pPr>
              <w:pStyle w:val="P68B1DB1-Normal39"/>
              <w:spacing w:after="0"/>
              <w:jc w:val="center"/>
              <w:rPr>
                <w:noProof/>
                <w:szCs w:val="22"/>
              </w:rPr>
            </w:pPr>
            <w:r>
              <w:rPr>
                <w:noProof/>
              </w:rPr>
              <w:t>Etapă</w:t>
            </w:r>
          </w:p>
        </w:tc>
        <w:tc>
          <w:tcPr>
            <w:tcW w:w="3613" w:type="dxa"/>
            <w:shd w:val="clear" w:color="auto" w:fill="EAF1DD" w:themeFill="accent3" w:themeFillTint="33"/>
          </w:tcPr>
          <w:p w14:paraId="58188B9B" w14:textId="77777777" w:rsidR="00F53E3A" w:rsidRDefault="0036255F">
            <w:pPr>
              <w:pStyle w:val="P68B1DB1-Normal39"/>
              <w:spacing w:after="0"/>
              <w:jc w:val="both"/>
              <w:rPr>
                <w:noProof/>
                <w:szCs w:val="22"/>
              </w:rPr>
            </w:pPr>
            <w:r>
              <w:rPr>
                <w:noProof/>
              </w:rPr>
              <w:t>Intrarea în vigoare a Legii modificate privind cercetarea și studiile, care modifică sistemul de finanțare și de înscriere în învățământul superior</w:t>
            </w:r>
          </w:p>
        </w:tc>
      </w:tr>
      <w:tr w:rsidR="00F53E3A" w14:paraId="4AC1CBBC" w14:textId="77777777">
        <w:trPr>
          <w:cantSplit/>
        </w:trPr>
        <w:tc>
          <w:tcPr>
            <w:tcW w:w="1298" w:type="dxa"/>
            <w:shd w:val="clear" w:color="auto" w:fill="EAF1DD" w:themeFill="accent3" w:themeFillTint="33"/>
            <w:noWrap/>
            <w:vAlign w:val="center"/>
          </w:tcPr>
          <w:p w14:paraId="5040B387" w14:textId="77777777" w:rsidR="00F53E3A" w:rsidRDefault="0036255F">
            <w:pPr>
              <w:pStyle w:val="P68B1DB1-Normal40"/>
              <w:spacing w:after="0"/>
              <w:jc w:val="center"/>
              <w:rPr>
                <w:noProof/>
                <w:color w:val="000000"/>
                <w:szCs w:val="22"/>
              </w:rPr>
            </w:pPr>
            <w:r>
              <w:rPr>
                <w:noProof/>
              </w:rPr>
              <w:t>143</w:t>
            </w:r>
          </w:p>
        </w:tc>
        <w:tc>
          <w:tcPr>
            <w:tcW w:w="3534" w:type="dxa"/>
            <w:shd w:val="clear" w:color="auto" w:fill="EAF1DD" w:themeFill="accent3" w:themeFillTint="33"/>
          </w:tcPr>
          <w:p w14:paraId="5D342F5D" w14:textId="576F956F" w:rsidR="00F53E3A" w:rsidRDefault="0036255F">
            <w:pPr>
              <w:pStyle w:val="P68B1DB1-Normal39"/>
              <w:spacing w:after="0"/>
              <w:jc w:val="both"/>
              <w:rPr>
                <w:noProof/>
                <w:szCs w:val="22"/>
              </w:rPr>
            </w:pPr>
            <w:r>
              <w:rPr>
                <w:noProof/>
              </w:rPr>
              <w:t>F.1.2. Un sistem fiscal mai echitabil și mai favorabil creșterii economice – F.1.2.1. Eliminarea sau reducerea scutirilor fiscale și a regimurilor fiscale speciale care sunt ineficiente, nu mai reflectă prioritățile statului sau nu respectă Pactul verde</w:t>
            </w:r>
          </w:p>
        </w:tc>
        <w:tc>
          <w:tcPr>
            <w:tcW w:w="1334" w:type="dxa"/>
            <w:shd w:val="clear" w:color="auto" w:fill="EAF1DD" w:themeFill="accent3" w:themeFillTint="33"/>
          </w:tcPr>
          <w:p w14:paraId="3609DD26" w14:textId="77777777" w:rsidR="00F53E3A" w:rsidRDefault="0036255F">
            <w:pPr>
              <w:pStyle w:val="P68B1DB1-Normal39"/>
              <w:spacing w:after="0"/>
              <w:jc w:val="center"/>
              <w:rPr>
                <w:noProof/>
                <w:szCs w:val="22"/>
              </w:rPr>
            </w:pPr>
            <w:r>
              <w:rPr>
                <w:noProof/>
              </w:rPr>
              <w:t>Etapă</w:t>
            </w:r>
          </w:p>
        </w:tc>
        <w:tc>
          <w:tcPr>
            <w:tcW w:w="3613" w:type="dxa"/>
            <w:shd w:val="clear" w:color="auto" w:fill="EAF1DD" w:themeFill="accent3" w:themeFillTint="33"/>
          </w:tcPr>
          <w:p w14:paraId="3375D6E5" w14:textId="31B7633F" w:rsidR="00F53E3A" w:rsidRDefault="0036255F">
            <w:pPr>
              <w:pStyle w:val="P68B1DB1-Normal39"/>
              <w:spacing w:after="0"/>
              <w:jc w:val="both"/>
              <w:rPr>
                <w:noProof/>
              </w:rPr>
            </w:pPr>
            <w:r>
              <w:rPr>
                <w:noProof/>
              </w:rPr>
              <w:t>Intrarea în vigoare a modificărilor aduse legislației fiscale prin care se elimină sau se reduc scutirile fiscale și regimurile fiscale speciale</w:t>
            </w:r>
          </w:p>
        </w:tc>
      </w:tr>
      <w:tr w:rsidR="00F53E3A" w14:paraId="514260FE" w14:textId="77777777">
        <w:trPr>
          <w:cantSplit/>
        </w:trPr>
        <w:tc>
          <w:tcPr>
            <w:tcW w:w="1298" w:type="dxa"/>
            <w:shd w:val="clear" w:color="auto" w:fill="EAF1DD" w:themeFill="accent3" w:themeFillTint="33"/>
            <w:noWrap/>
            <w:vAlign w:val="center"/>
          </w:tcPr>
          <w:p w14:paraId="07B1BC26" w14:textId="77777777" w:rsidR="00F53E3A" w:rsidRDefault="0036255F">
            <w:pPr>
              <w:pStyle w:val="P68B1DB1-Normal40"/>
              <w:spacing w:after="0"/>
              <w:jc w:val="center"/>
              <w:rPr>
                <w:noProof/>
                <w:color w:val="000000"/>
                <w:szCs w:val="22"/>
              </w:rPr>
            </w:pPr>
            <w:r>
              <w:rPr>
                <w:noProof/>
              </w:rPr>
              <w:t>145</w:t>
            </w:r>
          </w:p>
        </w:tc>
        <w:tc>
          <w:tcPr>
            <w:tcW w:w="3534" w:type="dxa"/>
            <w:shd w:val="clear" w:color="auto" w:fill="EAF1DD" w:themeFill="accent3" w:themeFillTint="33"/>
          </w:tcPr>
          <w:p w14:paraId="488BB0E8" w14:textId="2FFBFCBA" w:rsidR="00F53E3A" w:rsidRDefault="0036255F">
            <w:pPr>
              <w:pStyle w:val="P68B1DB1-Normal39"/>
              <w:spacing w:after="0"/>
              <w:jc w:val="both"/>
              <w:rPr>
                <w:noProof/>
                <w:szCs w:val="22"/>
              </w:rPr>
            </w:pPr>
            <w:r>
              <w:rPr>
                <w:noProof/>
              </w:rPr>
              <w:t>F.1.2. Un sistem fiscal mai echitabil și mai favorabil creșterii economice – F.1.2.2. Submăsura 2: Extinderea în continuare a bazei de impozitare la surse care nu împiedică creșterea economică</w:t>
            </w:r>
          </w:p>
        </w:tc>
        <w:tc>
          <w:tcPr>
            <w:tcW w:w="1334" w:type="dxa"/>
            <w:shd w:val="clear" w:color="auto" w:fill="EAF1DD" w:themeFill="accent3" w:themeFillTint="33"/>
          </w:tcPr>
          <w:p w14:paraId="320E897A" w14:textId="77777777" w:rsidR="00F53E3A" w:rsidRDefault="0036255F">
            <w:pPr>
              <w:pStyle w:val="P68B1DB1-Normal39"/>
              <w:spacing w:after="0"/>
              <w:jc w:val="center"/>
              <w:rPr>
                <w:noProof/>
                <w:szCs w:val="22"/>
              </w:rPr>
            </w:pPr>
            <w:r>
              <w:rPr>
                <w:noProof/>
              </w:rPr>
              <w:t>Etapă</w:t>
            </w:r>
          </w:p>
        </w:tc>
        <w:tc>
          <w:tcPr>
            <w:tcW w:w="3613" w:type="dxa"/>
            <w:shd w:val="clear" w:color="auto" w:fill="EAF1DD" w:themeFill="accent3" w:themeFillTint="33"/>
          </w:tcPr>
          <w:p w14:paraId="72BCD4F3" w14:textId="77777777" w:rsidR="00F53E3A" w:rsidRDefault="0036255F">
            <w:pPr>
              <w:pStyle w:val="P68B1DB1-Normal39"/>
              <w:spacing w:after="0"/>
              <w:jc w:val="both"/>
              <w:rPr>
                <w:noProof/>
                <w:szCs w:val="22"/>
              </w:rPr>
            </w:pPr>
            <w:r>
              <w:rPr>
                <w:noProof/>
              </w:rPr>
              <w:t>Intrarea în vigoare a modificărilor aduse legislației privind accizele, taxele de mediu și impozitele pe proprietate</w:t>
            </w:r>
          </w:p>
        </w:tc>
      </w:tr>
      <w:tr w:rsidR="00F53E3A" w14:paraId="2EE210BD" w14:textId="77777777">
        <w:trPr>
          <w:cantSplit/>
        </w:trPr>
        <w:tc>
          <w:tcPr>
            <w:tcW w:w="1298" w:type="dxa"/>
            <w:shd w:val="clear" w:color="auto" w:fill="EAF1DD" w:themeFill="accent3" w:themeFillTint="33"/>
            <w:noWrap/>
            <w:vAlign w:val="center"/>
          </w:tcPr>
          <w:p w14:paraId="7A8FCDB5" w14:textId="77777777" w:rsidR="00F53E3A" w:rsidRDefault="0036255F">
            <w:pPr>
              <w:pStyle w:val="P68B1DB1-Normal40"/>
              <w:spacing w:after="0"/>
              <w:jc w:val="center"/>
              <w:rPr>
                <w:noProof/>
                <w:szCs w:val="22"/>
              </w:rPr>
            </w:pPr>
            <w:r>
              <w:rPr>
                <w:noProof/>
              </w:rPr>
              <w:t>147</w:t>
            </w:r>
          </w:p>
        </w:tc>
        <w:tc>
          <w:tcPr>
            <w:tcW w:w="3534" w:type="dxa"/>
            <w:shd w:val="clear" w:color="auto" w:fill="EAF1DD" w:themeFill="accent3" w:themeFillTint="33"/>
          </w:tcPr>
          <w:p w14:paraId="79D385FF" w14:textId="77777777" w:rsidR="00F53E3A" w:rsidRDefault="0036255F">
            <w:pPr>
              <w:pStyle w:val="P68B1DB1-Normal39"/>
              <w:spacing w:after="0"/>
              <w:jc w:val="both"/>
              <w:rPr>
                <w:noProof/>
                <w:szCs w:val="22"/>
              </w:rPr>
            </w:pPr>
            <w:r>
              <w:rPr>
                <w:noProof/>
              </w:rPr>
              <w:t>F.1.2. Un sistem fiscal mai echitabil și mai favorabil creșterii economice – F.1.2.3. O evaluare a eficacității impozitelor și contribuțiilor la asigurările sociale în ceea ce privește prevenirea sărăciei și reducerea inegalității veniturilor</w:t>
            </w:r>
          </w:p>
        </w:tc>
        <w:tc>
          <w:tcPr>
            <w:tcW w:w="1334" w:type="dxa"/>
            <w:shd w:val="clear" w:color="auto" w:fill="EAF1DD" w:themeFill="accent3" w:themeFillTint="33"/>
          </w:tcPr>
          <w:p w14:paraId="42C8818C" w14:textId="77777777" w:rsidR="00F53E3A" w:rsidRDefault="0036255F">
            <w:pPr>
              <w:pStyle w:val="P68B1DB1-Normal39"/>
              <w:spacing w:after="0"/>
              <w:jc w:val="center"/>
              <w:rPr>
                <w:noProof/>
                <w:szCs w:val="22"/>
              </w:rPr>
            </w:pPr>
            <w:r>
              <w:rPr>
                <w:noProof/>
              </w:rPr>
              <w:t>Etapă</w:t>
            </w:r>
          </w:p>
        </w:tc>
        <w:tc>
          <w:tcPr>
            <w:tcW w:w="3613" w:type="dxa"/>
            <w:shd w:val="clear" w:color="auto" w:fill="EAF1DD" w:themeFill="accent3" w:themeFillTint="33"/>
          </w:tcPr>
          <w:p w14:paraId="211E9FB8" w14:textId="77777777" w:rsidR="00F53E3A" w:rsidRDefault="0036255F">
            <w:pPr>
              <w:pStyle w:val="P68B1DB1-Normal39"/>
              <w:spacing w:after="0"/>
              <w:jc w:val="both"/>
              <w:rPr>
                <w:noProof/>
                <w:szCs w:val="22"/>
              </w:rPr>
            </w:pPr>
            <w:r>
              <w:rPr>
                <w:noProof/>
              </w:rPr>
              <w:t>Intrarea în vigoare a modificărilor aduse legislației privind impozitul pe venitul persoanelor fizice și contribuțiile la asigurările sociale</w:t>
            </w:r>
          </w:p>
        </w:tc>
      </w:tr>
      <w:tr w:rsidR="00F53E3A" w14:paraId="6ABEADA7" w14:textId="77777777">
        <w:trPr>
          <w:cantSplit/>
          <w:trHeight w:val="300"/>
        </w:trPr>
        <w:tc>
          <w:tcPr>
            <w:tcW w:w="1298" w:type="dxa"/>
            <w:shd w:val="clear" w:color="auto" w:fill="EAF1DD" w:themeFill="accent3" w:themeFillTint="33"/>
            <w:noWrap/>
            <w:vAlign w:val="center"/>
          </w:tcPr>
          <w:p w14:paraId="31A8F3A9" w14:textId="77777777" w:rsidR="00F53E3A" w:rsidRDefault="0036255F">
            <w:pPr>
              <w:pStyle w:val="P68B1DB1-Normal40"/>
              <w:spacing w:after="0"/>
              <w:jc w:val="center"/>
              <w:rPr>
                <w:noProof/>
                <w:color w:val="000000"/>
                <w:szCs w:val="22"/>
              </w:rPr>
            </w:pPr>
            <w:r>
              <w:rPr>
                <w:noProof/>
              </w:rPr>
              <w:t>153</w:t>
            </w:r>
          </w:p>
        </w:tc>
        <w:tc>
          <w:tcPr>
            <w:tcW w:w="3534" w:type="dxa"/>
            <w:shd w:val="clear" w:color="auto" w:fill="EAF1DD" w:themeFill="accent3" w:themeFillTint="33"/>
          </w:tcPr>
          <w:p w14:paraId="39985B6F" w14:textId="77777777" w:rsidR="00F53E3A" w:rsidRDefault="0036255F">
            <w:pPr>
              <w:pStyle w:val="P68B1DB1-Normal39"/>
              <w:spacing w:after="0"/>
              <w:jc w:val="both"/>
              <w:rPr>
                <w:noProof/>
                <w:szCs w:val="22"/>
              </w:rPr>
            </w:pPr>
            <w:r>
              <w:rPr>
                <w:noProof/>
              </w:rPr>
              <w:t>F.1.3. Sustenabilitatea pe termen lung și transparența bugetului național – F.1.3.4. Promovarea parteneriatelor public-privat</w:t>
            </w:r>
          </w:p>
        </w:tc>
        <w:tc>
          <w:tcPr>
            <w:tcW w:w="1334" w:type="dxa"/>
            <w:shd w:val="clear" w:color="auto" w:fill="EAF1DD" w:themeFill="accent3" w:themeFillTint="33"/>
          </w:tcPr>
          <w:p w14:paraId="24F87E47" w14:textId="77777777" w:rsidR="00F53E3A" w:rsidRDefault="0036255F">
            <w:pPr>
              <w:pStyle w:val="P68B1DB1-Normal39"/>
              <w:spacing w:after="0"/>
              <w:jc w:val="center"/>
              <w:rPr>
                <w:noProof/>
                <w:szCs w:val="22"/>
              </w:rPr>
            </w:pPr>
            <w:r>
              <w:rPr>
                <w:noProof/>
              </w:rPr>
              <w:t>Etapă</w:t>
            </w:r>
          </w:p>
        </w:tc>
        <w:tc>
          <w:tcPr>
            <w:tcW w:w="3613" w:type="dxa"/>
            <w:shd w:val="clear" w:color="auto" w:fill="EAF1DD" w:themeFill="accent3" w:themeFillTint="33"/>
          </w:tcPr>
          <w:p w14:paraId="6C11322C" w14:textId="77777777" w:rsidR="00F53E3A" w:rsidRDefault="0036255F">
            <w:pPr>
              <w:pStyle w:val="P68B1DB1-Normal39"/>
              <w:spacing w:after="0"/>
              <w:jc w:val="both"/>
              <w:rPr>
                <w:noProof/>
                <w:szCs w:val="22"/>
              </w:rPr>
            </w:pPr>
            <w:r>
              <w:rPr>
                <w:noProof/>
              </w:rPr>
              <w:t>Intrarea în vigoare a pachetului legislativ de instituire a unui cadru consolidat pentru utilizarea parteneriatelor public-privat strategice și pe termen lung</w:t>
            </w:r>
          </w:p>
        </w:tc>
      </w:tr>
      <w:tr w:rsidR="00F53E3A" w14:paraId="7C5E3671" w14:textId="77777777">
        <w:trPr>
          <w:cantSplit/>
        </w:trPr>
        <w:tc>
          <w:tcPr>
            <w:tcW w:w="1298" w:type="dxa"/>
            <w:shd w:val="clear" w:color="auto" w:fill="EAF1DD" w:themeFill="accent3" w:themeFillTint="33"/>
            <w:noWrap/>
            <w:vAlign w:val="center"/>
          </w:tcPr>
          <w:p w14:paraId="3018E09F" w14:textId="77777777" w:rsidR="00F53E3A" w:rsidRDefault="0036255F">
            <w:pPr>
              <w:pStyle w:val="P68B1DB1-Normal40"/>
              <w:spacing w:after="0"/>
              <w:jc w:val="center"/>
              <w:rPr>
                <w:noProof/>
                <w:color w:val="000000"/>
                <w:szCs w:val="22"/>
              </w:rPr>
            </w:pPr>
            <w:r>
              <w:rPr>
                <w:noProof/>
              </w:rPr>
              <w:t>154</w:t>
            </w:r>
          </w:p>
        </w:tc>
        <w:tc>
          <w:tcPr>
            <w:tcW w:w="3534" w:type="dxa"/>
            <w:shd w:val="clear" w:color="auto" w:fill="EAF1DD" w:themeFill="accent3" w:themeFillTint="33"/>
          </w:tcPr>
          <w:p w14:paraId="456DFE64" w14:textId="77777777" w:rsidR="00F53E3A" w:rsidRDefault="0036255F">
            <w:pPr>
              <w:pStyle w:val="P68B1DB1-Normal39"/>
              <w:spacing w:after="0"/>
              <w:jc w:val="both"/>
              <w:rPr>
                <w:noProof/>
                <w:szCs w:val="22"/>
              </w:rPr>
            </w:pPr>
            <w:r>
              <w:rPr>
                <w:noProof/>
              </w:rPr>
              <w:t>F.1.3. Sustenabilitatea pe termen lung și transparența bugetului național – F.1.3.5. Consolidarea instituțiilor naționale de dezvoltare</w:t>
            </w:r>
          </w:p>
        </w:tc>
        <w:tc>
          <w:tcPr>
            <w:tcW w:w="1334" w:type="dxa"/>
            <w:shd w:val="clear" w:color="auto" w:fill="EAF1DD" w:themeFill="accent3" w:themeFillTint="33"/>
          </w:tcPr>
          <w:p w14:paraId="27C518DF" w14:textId="77777777" w:rsidR="00F53E3A" w:rsidRDefault="0036255F">
            <w:pPr>
              <w:pStyle w:val="P68B1DB1-Normal39"/>
              <w:spacing w:after="0"/>
              <w:jc w:val="center"/>
              <w:rPr>
                <w:noProof/>
                <w:szCs w:val="22"/>
              </w:rPr>
            </w:pPr>
            <w:r>
              <w:rPr>
                <w:noProof/>
              </w:rPr>
              <w:t>Etapă</w:t>
            </w:r>
          </w:p>
        </w:tc>
        <w:tc>
          <w:tcPr>
            <w:tcW w:w="3613" w:type="dxa"/>
            <w:shd w:val="clear" w:color="auto" w:fill="EAF1DD" w:themeFill="accent3" w:themeFillTint="33"/>
          </w:tcPr>
          <w:p w14:paraId="4F57F4FC" w14:textId="77777777" w:rsidR="00F53E3A" w:rsidRDefault="0036255F">
            <w:pPr>
              <w:pStyle w:val="P68B1DB1-Normal39"/>
              <w:spacing w:after="0"/>
              <w:jc w:val="both"/>
              <w:rPr>
                <w:noProof/>
                <w:szCs w:val="22"/>
              </w:rPr>
            </w:pPr>
            <w:r>
              <w:rPr>
                <w:noProof/>
              </w:rPr>
              <w:t>Intrarea în vigoare a rezoluției guvernului prin care se elimină statutul de instituție națională de dezvoltare pentru trei instituții și se lasă statutul de instituție unică</w:t>
            </w:r>
          </w:p>
        </w:tc>
      </w:tr>
      <w:tr w:rsidR="00F53E3A" w14:paraId="029B0952" w14:textId="77777777">
        <w:trPr>
          <w:cantSplit/>
        </w:trPr>
        <w:tc>
          <w:tcPr>
            <w:tcW w:w="1298" w:type="dxa"/>
            <w:shd w:val="clear" w:color="auto" w:fill="EAF1DD" w:themeFill="accent3" w:themeFillTint="33"/>
            <w:noWrap/>
            <w:vAlign w:val="center"/>
          </w:tcPr>
          <w:p w14:paraId="455B9785" w14:textId="77777777" w:rsidR="00F53E3A" w:rsidRDefault="0036255F">
            <w:pPr>
              <w:pStyle w:val="P68B1DB1-Normal40"/>
              <w:spacing w:after="0"/>
              <w:jc w:val="center"/>
              <w:rPr>
                <w:noProof/>
                <w:color w:val="000000"/>
                <w:szCs w:val="22"/>
              </w:rPr>
            </w:pPr>
            <w:r>
              <w:rPr>
                <w:noProof/>
              </w:rPr>
              <w:t>177</w:t>
            </w:r>
          </w:p>
        </w:tc>
        <w:tc>
          <w:tcPr>
            <w:tcW w:w="3534" w:type="dxa"/>
            <w:shd w:val="clear" w:color="auto" w:fill="EAF1DD" w:themeFill="accent3" w:themeFillTint="33"/>
          </w:tcPr>
          <w:p w14:paraId="65D09691" w14:textId="77777777" w:rsidR="00F53E3A" w:rsidRDefault="0036255F">
            <w:pPr>
              <w:pStyle w:val="P68B1DB1-Normal39"/>
              <w:spacing w:after="0"/>
              <w:jc w:val="both"/>
              <w:rPr>
                <w:noProof/>
                <w:szCs w:val="22"/>
              </w:rPr>
            </w:pPr>
            <w:r>
              <w:rPr>
                <w:noProof/>
              </w:rPr>
              <w:t>F.1.8. Un ghișeu unic pentru plata amenzilor</w:t>
            </w:r>
          </w:p>
        </w:tc>
        <w:tc>
          <w:tcPr>
            <w:tcW w:w="1334" w:type="dxa"/>
            <w:shd w:val="clear" w:color="auto" w:fill="EAF1DD" w:themeFill="accent3" w:themeFillTint="33"/>
          </w:tcPr>
          <w:p w14:paraId="0E2D1CEF" w14:textId="77777777" w:rsidR="00F53E3A" w:rsidRDefault="0036255F">
            <w:pPr>
              <w:pStyle w:val="P68B1DB1-Normal39"/>
              <w:spacing w:after="0"/>
              <w:jc w:val="center"/>
              <w:rPr>
                <w:noProof/>
                <w:szCs w:val="22"/>
              </w:rPr>
            </w:pPr>
            <w:r>
              <w:rPr>
                <w:noProof/>
              </w:rPr>
              <w:t>Etapă</w:t>
            </w:r>
          </w:p>
        </w:tc>
        <w:tc>
          <w:tcPr>
            <w:tcW w:w="3613" w:type="dxa"/>
            <w:shd w:val="clear" w:color="auto" w:fill="EAF1DD" w:themeFill="accent3" w:themeFillTint="33"/>
          </w:tcPr>
          <w:p w14:paraId="73BBB1A5" w14:textId="77777777" w:rsidR="00F53E3A" w:rsidRDefault="0036255F">
            <w:pPr>
              <w:pStyle w:val="P68B1DB1-Normal39"/>
              <w:spacing w:after="0"/>
              <w:jc w:val="both"/>
              <w:rPr>
                <w:noProof/>
                <w:szCs w:val="22"/>
              </w:rPr>
            </w:pPr>
            <w:r>
              <w:rPr>
                <w:noProof/>
              </w:rPr>
              <w:t>Adoptarea modificărilor aduse actelor juridice care permit Inspectoratului Fiscal de Stat să administreze majoritatea amenzilor și a sancțiunilor economice</w:t>
            </w:r>
          </w:p>
        </w:tc>
      </w:tr>
      <w:tr w:rsidR="00F53E3A" w14:paraId="524D4F0E" w14:textId="77777777">
        <w:trPr>
          <w:cantSplit/>
        </w:trPr>
        <w:tc>
          <w:tcPr>
            <w:tcW w:w="1298" w:type="dxa"/>
            <w:shd w:val="clear" w:color="auto" w:fill="EAF1DD" w:themeFill="accent3" w:themeFillTint="33"/>
            <w:noWrap/>
            <w:vAlign w:val="center"/>
          </w:tcPr>
          <w:p w14:paraId="10C1445E" w14:textId="77777777" w:rsidR="00F53E3A" w:rsidRDefault="0036255F">
            <w:pPr>
              <w:pStyle w:val="P68B1DB1-Normal40"/>
              <w:spacing w:after="0"/>
              <w:jc w:val="center"/>
              <w:rPr>
                <w:noProof/>
                <w:color w:val="000000"/>
                <w:szCs w:val="22"/>
              </w:rPr>
            </w:pPr>
            <w:r>
              <w:rPr>
                <w:noProof/>
              </w:rPr>
              <w:t>183</w:t>
            </w:r>
          </w:p>
        </w:tc>
        <w:tc>
          <w:tcPr>
            <w:tcW w:w="3534" w:type="dxa"/>
            <w:shd w:val="clear" w:color="auto" w:fill="EAF1DD" w:themeFill="accent3" w:themeFillTint="33"/>
          </w:tcPr>
          <w:p w14:paraId="616878C1" w14:textId="77777777" w:rsidR="00F53E3A" w:rsidRDefault="0036255F">
            <w:pPr>
              <w:pStyle w:val="P68B1DB1-Normal39"/>
              <w:spacing w:after="0"/>
              <w:jc w:val="both"/>
              <w:rPr>
                <w:noProof/>
                <w:szCs w:val="22"/>
              </w:rPr>
            </w:pPr>
            <w:r>
              <w:rPr>
                <w:noProof/>
              </w:rPr>
              <w:t>G.1.1. Protecția venitului minim garantat – G.1.1.2. Măsuri suplimentare pentru a spori caracterul adecvat și sustenabilitatea prestațiilor sociale</w:t>
            </w:r>
          </w:p>
        </w:tc>
        <w:tc>
          <w:tcPr>
            <w:tcW w:w="1334" w:type="dxa"/>
            <w:shd w:val="clear" w:color="auto" w:fill="EAF1DD" w:themeFill="accent3" w:themeFillTint="33"/>
          </w:tcPr>
          <w:p w14:paraId="7FED7434" w14:textId="77777777" w:rsidR="00F53E3A" w:rsidRDefault="0036255F">
            <w:pPr>
              <w:pStyle w:val="P68B1DB1-Normal39"/>
              <w:spacing w:after="0"/>
              <w:jc w:val="center"/>
              <w:rPr>
                <w:noProof/>
                <w:szCs w:val="22"/>
              </w:rPr>
            </w:pPr>
            <w:r>
              <w:rPr>
                <w:noProof/>
              </w:rPr>
              <w:t>Etapă</w:t>
            </w:r>
          </w:p>
        </w:tc>
        <w:tc>
          <w:tcPr>
            <w:tcW w:w="3613" w:type="dxa"/>
            <w:shd w:val="clear" w:color="auto" w:fill="EAF1DD" w:themeFill="accent3" w:themeFillTint="33"/>
          </w:tcPr>
          <w:p w14:paraId="538FE4E7" w14:textId="48135DBF" w:rsidR="00F53E3A" w:rsidRDefault="0036255F">
            <w:pPr>
              <w:pStyle w:val="P68B1DB1-Normal39"/>
              <w:spacing w:after="0"/>
              <w:jc w:val="both"/>
              <w:rPr>
                <w:noProof/>
              </w:rPr>
            </w:pPr>
            <w:r>
              <w:rPr>
                <w:noProof/>
              </w:rPr>
              <w:t>Intrarea în vigoare a modificării Legii privind asigurările sociale de șomaj, care sporește acoperirea și caracterul adecvat al sistemului de securitate socială de șomaj</w:t>
            </w:r>
          </w:p>
        </w:tc>
      </w:tr>
      <w:tr w:rsidR="00F53E3A" w14:paraId="72437961" w14:textId="77777777">
        <w:trPr>
          <w:cantSplit/>
        </w:trPr>
        <w:tc>
          <w:tcPr>
            <w:tcW w:w="1298" w:type="dxa"/>
            <w:shd w:val="clear" w:color="auto" w:fill="EAF1DD" w:themeFill="accent3" w:themeFillTint="33"/>
            <w:noWrap/>
          </w:tcPr>
          <w:p w14:paraId="7ADE9D74" w14:textId="77777777" w:rsidR="00F53E3A" w:rsidRDefault="00F53E3A">
            <w:pPr>
              <w:spacing w:after="0"/>
              <w:jc w:val="center"/>
              <w:rPr>
                <w:rFonts w:ascii="Times New Roman" w:eastAsia="Times New Roman" w:hAnsi="Times New Roman" w:cs="Times New Roman"/>
                <w:noProof/>
                <w:szCs w:val="22"/>
              </w:rPr>
            </w:pPr>
          </w:p>
        </w:tc>
        <w:tc>
          <w:tcPr>
            <w:tcW w:w="3534" w:type="dxa"/>
            <w:shd w:val="clear" w:color="auto" w:fill="EAF1DD" w:themeFill="accent3" w:themeFillTint="33"/>
          </w:tcPr>
          <w:p w14:paraId="494B7562" w14:textId="77777777" w:rsidR="00F53E3A" w:rsidRDefault="00F53E3A">
            <w:pPr>
              <w:spacing w:after="0"/>
              <w:jc w:val="both"/>
              <w:rPr>
                <w:rFonts w:ascii="Times New Roman" w:eastAsia="Times New Roman" w:hAnsi="Times New Roman" w:cs="Times New Roman"/>
                <w:noProof/>
                <w:color w:val="000000"/>
                <w:szCs w:val="22"/>
              </w:rPr>
            </w:pPr>
          </w:p>
        </w:tc>
        <w:tc>
          <w:tcPr>
            <w:tcW w:w="1334" w:type="dxa"/>
            <w:shd w:val="clear" w:color="auto" w:fill="EAF1DD" w:themeFill="accent3" w:themeFillTint="33"/>
            <w:vAlign w:val="center"/>
          </w:tcPr>
          <w:p w14:paraId="6EE30F62" w14:textId="77777777" w:rsidR="00F53E3A" w:rsidRDefault="0036255F">
            <w:pPr>
              <w:pStyle w:val="P68B1DB1-Normal40"/>
              <w:spacing w:after="0"/>
              <w:jc w:val="center"/>
              <w:rPr>
                <w:noProof/>
                <w:color w:val="000000"/>
                <w:szCs w:val="22"/>
              </w:rPr>
            </w:pPr>
            <w:r>
              <w:rPr>
                <w:noProof/>
              </w:rPr>
              <w:t>Cuantumul tranșei</w:t>
            </w:r>
          </w:p>
        </w:tc>
        <w:tc>
          <w:tcPr>
            <w:tcW w:w="3613" w:type="dxa"/>
            <w:shd w:val="clear" w:color="auto" w:fill="EAF1DD" w:themeFill="accent3" w:themeFillTint="33"/>
            <w:vAlign w:val="center"/>
          </w:tcPr>
          <w:p w14:paraId="17D21A31" w14:textId="39E8F4C5" w:rsidR="00F53E3A" w:rsidRDefault="0036255F">
            <w:pPr>
              <w:spacing w:after="0"/>
              <w:jc w:val="both"/>
              <w:rPr>
                <w:rFonts w:ascii="Times New Roman" w:eastAsia="Times New Roman" w:hAnsi="Times New Roman" w:cs="Times New Roman"/>
                <w:noProof/>
                <w:color w:val="000000"/>
              </w:rPr>
            </w:pPr>
            <w:r>
              <w:rPr>
                <w:rFonts w:ascii="Times New Roman" w:eastAsia="Times New Roman" w:hAnsi="Times New Roman" w:cs="Times New Roman"/>
                <w:noProof/>
                <w:color w:val="000000" w:themeColor="text1"/>
              </w:rPr>
              <w:t>477</w:t>
            </w:r>
            <w:r>
              <w:rPr>
                <w:rFonts w:ascii="Times New Roman" w:hAnsi="Times New Roman"/>
                <w:noProof/>
                <w:sz w:val="20"/>
              </w:rPr>
              <w:t xml:space="preserve"> </w:t>
            </w:r>
            <w:r>
              <w:rPr>
                <w:rFonts w:ascii="Times New Roman" w:eastAsia="Times New Roman" w:hAnsi="Times New Roman" w:cs="Times New Roman"/>
                <w:noProof/>
                <w:color w:val="000000" w:themeColor="text1"/>
              </w:rPr>
              <w:t>534</w:t>
            </w:r>
            <w:r>
              <w:rPr>
                <w:rFonts w:ascii="Times New Roman" w:hAnsi="Times New Roman"/>
                <w:noProof/>
                <w:sz w:val="20"/>
              </w:rPr>
              <w:t xml:space="preserve"> </w:t>
            </w:r>
            <w:r>
              <w:rPr>
                <w:rFonts w:ascii="Times New Roman" w:eastAsia="Times New Roman" w:hAnsi="Times New Roman" w:cs="Times New Roman"/>
                <w:noProof/>
                <w:color w:val="000000" w:themeColor="text1"/>
              </w:rPr>
              <w:t>313 MIL.</w:t>
            </w:r>
          </w:p>
        </w:tc>
      </w:tr>
    </w:tbl>
    <w:p w14:paraId="21946531" w14:textId="6E4116BF" w:rsidR="00F53E3A" w:rsidRDefault="0036255F">
      <w:pPr>
        <w:pStyle w:val="P68B1DB1-ListParagraph37"/>
        <w:keepNext/>
        <w:keepLines/>
        <w:numPr>
          <w:ilvl w:val="1"/>
          <w:numId w:val="41"/>
        </w:numPr>
        <w:spacing w:before="480" w:line="240" w:lineRule="auto"/>
        <w:jc w:val="both"/>
        <w:rPr>
          <w:noProof/>
        </w:rPr>
      </w:pPr>
      <w:r>
        <w:rPr>
          <w:noProof/>
        </w:rPr>
        <w:t>A patra tranșă (sprijin nerambursabil):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70" w:type="dxa"/>
          <w:bottom w:w="15" w:type="dxa"/>
          <w:right w:w="70" w:type="dxa"/>
        </w:tblCellMar>
        <w:tblLook w:val="04A0" w:firstRow="1" w:lastRow="0" w:firstColumn="1" w:lastColumn="0" w:noHBand="0" w:noVBand="1"/>
      </w:tblPr>
      <w:tblGrid>
        <w:gridCol w:w="1298"/>
        <w:gridCol w:w="3450"/>
        <w:gridCol w:w="1418"/>
        <w:gridCol w:w="3613"/>
      </w:tblGrid>
      <w:tr w:rsidR="00F53E3A" w14:paraId="61219AE2" w14:textId="77777777">
        <w:trPr>
          <w:cantSplit/>
          <w:trHeight w:val="491"/>
          <w:tblHeader/>
        </w:trPr>
        <w:tc>
          <w:tcPr>
            <w:tcW w:w="1298" w:type="dxa"/>
            <w:shd w:val="clear" w:color="auto" w:fill="BDD7EE"/>
            <w:vAlign w:val="center"/>
          </w:tcPr>
          <w:p w14:paraId="54FAD274" w14:textId="77777777" w:rsidR="00F53E3A" w:rsidRDefault="0036255F">
            <w:pPr>
              <w:pStyle w:val="P68B1DB1-Normal38"/>
              <w:keepNext/>
              <w:keepLines/>
              <w:spacing w:after="0"/>
              <w:jc w:val="center"/>
              <w:rPr>
                <w:bCs/>
                <w:noProof/>
                <w:szCs w:val="22"/>
              </w:rPr>
            </w:pPr>
            <w:r>
              <w:rPr>
                <w:noProof/>
              </w:rPr>
              <w:t>Număr secvențial</w:t>
            </w:r>
          </w:p>
        </w:tc>
        <w:tc>
          <w:tcPr>
            <w:tcW w:w="3450" w:type="dxa"/>
            <w:shd w:val="clear" w:color="auto" w:fill="BDD7EE"/>
            <w:vAlign w:val="center"/>
          </w:tcPr>
          <w:p w14:paraId="35689B2F" w14:textId="77777777" w:rsidR="00F53E3A" w:rsidRDefault="0036255F">
            <w:pPr>
              <w:pStyle w:val="P68B1DB1-Normal38"/>
              <w:keepNext/>
              <w:keepLines/>
              <w:spacing w:after="0"/>
              <w:jc w:val="center"/>
              <w:rPr>
                <w:bCs/>
                <w:noProof/>
                <w:szCs w:val="22"/>
              </w:rPr>
            </w:pPr>
            <w:r>
              <w:rPr>
                <w:noProof/>
              </w:rPr>
              <w:t xml:space="preserve">Măsură conexă </w:t>
            </w:r>
            <w:r>
              <w:rPr>
                <w:noProof/>
              </w:rPr>
              <w:br/>
              <w:t>(Reformă sau investiție)</w:t>
            </w:r>
          </w:p>
        </w:tc>
        <w:tc>
          <w:tcPr>
            <w:tcW w:w="1418" w:type="dxa"/>
            <w:shd w:val="clear" w:color="auto" w:fill="BDD7EE"/>
            <w:vAlign w:val="center"/>
          </w:tcPr>
          <w:p w14:paraId="09163B43" w14:textId="6115436E" w:rsidR="00F53E3A" w:rsidRDefault="0036255F">
            <w:pPr>
              <w:pStyle w:val="P68B1DB1-Normal38"/>
              <w:keepNext/>
              <w:keepLines/>
              <w:spacing w:after="0"/>
              <w:jc w:val="center"/>
              <w:rPr>
                <w:bCs/>
                <w:noProof/>
                <w:szCs w:val="22"/>
              </w:rPr>
            </w:pPr>
            <w:r>
              <w:rPr>
                <w:noProof/>
              </w:rPr>
              <w:t>Etapă/</w:t>
            </w:r>
            <w:r w:rsidR="00E04E3B">
              <w:rPr>
                <w:noProof/>
              </w:rPr>
              <w:t xml:space="preserve"> </w:t>
            </w:r>
            <w:r>
              <w:rPr>
                <w:noProof/>
              </w:rPr>
              <w:t>Obiectiv</w:t>
            </w:r>
          </w:p>
        </w:tc>
        <w:tc>
          <w:tcPr>
            <w:tcW w:w="3613" w:type="dxa"/>
            <w:shd w:val="clear" w:color="auto" w:fill="BDD7EE"/>
            <w:vAlign w:val="center"/>
          </w:tcPr>
          <w:p w14:paraId="34EC1D02" w14:textId="77777777" w:rsidR="00F53E3A" w:rsidRDefault="0036255F">
            <w:pPr>
              <w:pStyle w:val="P68B1DB1-Normal38"/>
              <w:keepNext/>
              <w:keepLines/>
              <w:spacing w:after="0"/>
              <w:jc w:val="center"/>
              <w:rPr>
                <w:bCs/>
                <w:noProof/>
                <w:szCs w:val="22"/>
              </w:rPr>
            </w:pPr>
            <w:r>
              <w:rPr>
                <w:noProof/>
              </w:rPr>
              <w:t>Nume</w:t>
            </w:r>
          </w:p>
        </w:tc>
      </w:tr>
      <w:tr w:rsidR="00F53E3A" w14:paraId="39C14E6A" w14:textId="77777777">
        <w:trPr>
          <w:cantSplit/>
        </w:trPr>
        <w:tc>
          <w:tcPr>
            <w:tcW w:w="1298" w:type="dxa"/>
            <w:shd w:val="clear" w:color="auto" w:fill="EAF1DD" w:themeFill="accent3" w:themeFillTint="33"/>
            <w:noWrap/>
            <w:vAlign w:val="center"/>
          </w:tcPr>
          <w:p w14:paraId="613FC30A" w14:textId="77777777" w:rsidR="00F53E3A" w:rsidRDefault="0036255F">
            <w:pPr>
              <w:pStyle w:val="P68B1DB1-Normal40"/>
              <w:spacing w:after="0"/>
              <w:jc w:val="center"/>
              <w:rPr>
                <w:noProof/>
                <w:color w:val="000000"/>
                <w:szCs w:val="22"/>
              </w:rPr>
            </w:pPr>
            <w:r>
              <w:rPr>
                <w:noProof/>
              </w:rPr>
              <w:t>15</w:t>
            </w:r>
          </w:p>
        </w:tc>
        <w:tc>
          <w:tcPr>
            <w:tcW w:w="3450" w:type="dxa"/>
            <w:shd w:val="clear" w:color="auto" w:fill="EAF1DD" w:themeFill="accent3" w:themeFillTint="33"/>
            <w:vAlign w:val="center"/>
          </w:tcPr>
          <w:p w14:paraId="662A48E5" w14:textId="35C36168" w:rsidR="00F53E3A" w:rsidRDefault="0036255F">
            <w:pPr>
              <w:pStyle w:val="P68B1DB1-Normal39"/>
              <w:spacing w:after="0"/>
              <w:jc w:val="both"/>
              <w:textAlignment w:val="baseline"/>
              <w:rPr>
                <w:noProof/>
                <w:szCs w:val="22"/>
              </w:rPr>
            </w:pPr>
            <w:r>
              <w:rPr>
                <w:noProof/>
              </w:rPr>
              <w:t>A.1.2. Furnizarea de servicii de îngrijire pe termen lung</w:t>
            </w:r>
          </w:p>
          <w:p w14:paraId="27AFC93C" w14:textId="77777777" w:rsidR="00F53E3A" w:rsidRDefault="0036255F">
            <w:pPr>
              <w:pStyle w:val="P68B1DB1-Normal39"/>
              <w:spacing w:after="0"/>
              <w:jc w:val="both"/>
              <w:rPr>
                <w:noProof/>
                <w:szCs w:val="22"/>
              </w:rPr>
            </w:pPr>
            <w:r>
              <w:rPr>
                <w:noProof/>
              </w:rPr>
              <w:t>A.1.2.1. Adoptarea modelului de îngrijire pe termen lung</w:t>
            </w:r>
          </w:p>
        </w:tc>
        <w:tc>
          <w:tcPr>
            <w:tcW w:w="1418" w:type="dxa"/>
            <w:shd w:val="clear" w:color="auto" w:fill="EAF1DD" w:themeFill="accent3" w:themeFillTint="33"/>
            <w:vAlign w:val="center"/>
          </w:tcPr>
          <w:p w14:paraId="1DC7D825" w14:textId="77777777" w:rsidR="00F53E3A" w:rsidRDefault="0036255F">
            <w:pPr>
              <w:pStyle w:val="P68B1DB1-Normal39"/>
              <w:spacing w:after="0"/>
              <w:jc w:val="center"/>
              <w:rPr>
                <w:noProof/>
                <w:szCs w:val="22"/>
              </w:rPr>
            </w:pPr>
            <w:r>
              <w:rPr>
                <w:noProof/>
              </w:rPr>
              <w:t>Etapă</w:t>
            </w:r>
          </w:p>
        </w:tc>
        <w:tc>
          <w:tcPr>
            <w:tcW w:w="3613" w:type="dxa"/>
            <w:shd w:val="clear" w:color="auto" w:fill="EAF1DD" w:themeFill="accent3" w:themeFillTint="33"/>
            <w:vAlign w:val="center"/>
          </w:tcPr>
          <w:p w14:paraId="16BBB2A6" w14:textId="77777777" w:rsidR="00F53E3A" w:rsidRDefault="0036255F">
            <w:pPr>
              <w:pStyle w:val="P68B1DB1-Normal39"/>
              <w:spacing w:after="0"/>
              <w:jc w:val="both"/>
              <w:rPr>
                <w:noProof/>
                <w:szCs w:val="22"/>
              </w:rPr>
            </w:pPr>
            <w:r>
              <w:rPr>
                <w:noProof/>
              </w:rPr>
              <w:t>Intrarea în vigoare a legislației care reglementează punerea în aplicare a modelului de îngrijire pe termen lung</w:t>
            </w:r>
          </w:p>
        </w:tc>
      </w:tr>
      <w:tr w:rsidR="00F53E3A" w14:paraId="4D44CC22" w14:textId="77777777">
        <w:trPr>
          <w:cantSplit/>
        </w:trPr>
        <w:tc>
          <w:tcPr>
            <w:tcW w:w="1298" w:type="dxa"/>
            <w:shd w:val="clear" w:color="auto" w:fill="EAF1DD" w:themeFill="accent3" w:themeFillTint="33"/>
            <w:noWrap/>
            <w:vAlign w:val="center"/>
          </w:tcPr>
          <w:p w14:paraId="47EA169E" w14:textId="77777777" w:rsidR="00F53E3A" w:rsidRDefault="0036255F">
            <w:pPr>
              <w:pStyle w:val="P68B1DB1-Normal40"/>
              <w:spacing w:after="0"/>
              <w:jc w:val="center"/>
              <w:rPr>
                <w:noProof/>
                <w:color w:val="000000"/>
                <w:szCs w:val="22"/>
              </w:rPr>
            </w:pPr>
            <w:r>
              <w:rPr>
                <w:noProof/>
              </w:rPr>
              <w:t>67</w:t>
            </w:r>
          </w:p>
        </w:tc>
        <w:tc>
          <w:tcPr>
            <w:tcW w:w="3450" w:type="dxa"/>
            <w:shd w:val="clear" w:color="auto" w:fill="EAF1DD" w:themeFill="accent3" w:themeFillTint="33"/>
          </w:tcPr>
          <w:p w14:paraId="7A728AA1" w14:textId="73786A84" w:rsidR="00F53E3A" w:rsidRDefault="0036255F">
            <w:pPr>
              <w:pStyle w:val="P68B1DB1-Normal39"/>
              <w:spacing w:after="0"/>
              <w:jc w:val="both"/>
              <w:rPr>
                <w:noProof/>
                <w:szCs w:val="22"/>
              </w:rPr>
            </w:pPr>
            <w:r>
              <w:rPr>
                <w:noProof/>
              </w:rPr>
              <w:t>C.1.2 Gestionarea datelor și datele deschise</w:t>
            </w:r>
          </w:p>
        </w:tc>
        <w:tc>
          <w:tcPr>
            <w:tcW w:w="1418" w:type="dxa"/>
            <w:shd w:val="clear" w:color="auto" w:fill="EAF1DD" w:themeFill="accent3" w:themeFillTint="33"/>
          </w:tcPr>
          <w:p w14:paraId="173D3D86" w14:textId="77777777" w:rsidR="00F53E3A" w:rsidRDefault="0036255F">
            <w:pPr>
              <w:pStyle w:val="P68B1DB1-Normal39"/>
              <w:spacing w:after="0"/>
              <w:jc w:val="center"/>
              <w:rPr>
                <w:noProof/>
                <w:szCs w:val="22"/>
              </w:rPr>
            </w:pPr>
            <w:r>
              <w:rPr>
                <w:noProof/>
              </w:rPr>
              <w:t>Țintă</w:t>
            </w:r>
          </w:p>
        </w:tc>
        <w:tc>
          <w:tcPr>
            <w:tcW w:w="3613" w:type="dxa"/>
            <w:shd w:val="clear" w:color="auto" w:fill="EAF1DD" w:themeFill="accent3" w:themeFillTint="33"/>
          </w:tcPr>
          <w:p w14:paraId="236DFB0C" w14:textId="77777777" w:rsidR="00F53E3A" w:rsidRDefault="0036255F">
            <w:pPr>
              <w:pStyle w:val="P68B1DB1-Normal39"/>
              <w:spacing w:after="0"/>
              <w:jc w:val="both"/>
              <w:rPr>
                <w:noProof/>
                <w:szCs w:val="22"/>
              </w:rPr>
            </w:pPr>
            <w:r>
              <w:rPr>
                <w:noProof/>
              </w:rPr>
              <w:t>Punerea în funcțiune a instrumentului de schimb de date</w:t>
            </w:r>
          </w:p>
        </w:tc>
      </w:tr>
      <w:tr w:rsidR="00F53E3A" w14:paraId="15FB298B" w14:textId="77777777">
        <w:trPr>
          <w:cantSplit/>
        </w:trPr>
        <w:tc>
          <w:tcPr>
            <w:tcW w:w="1298" w:type="dxa"/>
            <w:shd w:val="clear" w:color="auto" w:fill="EAF1DD" w:themeFill="accent3" w:themeFillTint="33"/>
            <w:noWrap/>
            <w:vAlign w:val="center"/>
          </w:tcPr>
          <w:p w14:paraId="635806D9" w14:textId="77777777" w:rsidR="00F53E3A" w:rsidRDefault="0036255F">
            <w:pPr>
              <w:pStyle w:val="P68B1DB1-Normal40"/>
              <w:spacing w:after="0"/>
              <w:jc w:val="center"/>
              <w:rPr>
                <w:noProof/>
                <w:color w:val="000000"/>
                <w:szCs w:val="22"/>
              </w:rPr>
            </w:pPr>
            <w:r>
              <w:rPr>
                <w:noProof/>
              </w:rPr>
              <w:t>79</w:t>
            </w:r>
          </w:p>
        </w:tc>
        <w:tc>
          <w:tcPr>
            <w:tcW w:w="3450" w:type="dxa"/>
            <w:shd w:val="clear" w:color="auto" w:fill="EAF1DD" w:themeFill="accent3" w:themeFillTint="33"/>
          </w:tcPr>
          <w:p w14:paraId="430B8C26" w14:textId="77777777" w:rsidR="00F53E3A" w:rsidRDefault="0036255F">
            <w:pPr>
              <w:pStyle w:val="P68B1DB1-Normal39"/>
              <w:spacing w:after="0"/>
              <w:jc w:val="both"/>
              <w:rPr>
                <w:noProof/>
                <w:szCs w:val="22"/>
              </w:rPr>
            </w:pPr>
            <w:r>
              <w:rPr>
                <w:noProof/>
              </w:rPr>
              <w:t>C.1.4 Condiții indispensabile pentru soluții tehnologice inovatoare în mediul de afaceri și în viața de zi cu zi – C.1.4.3. Producția de conținut și resurse didactice digitale</w:t>
            </w:r>
          </w:p>
        </w:tc>
        <w:tc>
          <w:tcPr>
            <w:tcW w:w="1418" w:type="dxa"/>
            <w:shd w:val="clear" w:color="auto" w:fill="EAF1DD" w:themeFill="accent3" w:themeFillTint="33"/>
          </w:tcPr>
          <w:p w14:paraId="2D0C5510" w14:textId="77777777" w:rsidR="00F53E3A" w:rsidRDefault="0036255F">
            <w:pPr>
              <w:pStyle w:val="P68B1DB1-Normal39"/>
              <w:spacing w:after="0"/>
              <w:jc w:val="center"/>
              <w:rPr>
                <w:noProof/>
                <w:szCs w:val="22"/>
              </w:rPr>
            </w:pPr>
            <w:r>
              <w:rPr>
                <w:noProof/>
              </w:rPr>
              <w:t>Țintă</w:t>
            </w:r>
          </w:p>
        </w:tc>
        <w:tc>
          <w:tcPr>
            <w:tcW w:w="3613" w:type="dxa"/>
            <w:shd w:val="clear" w:color="auto" w:fill="EAF1DD" w:themeFill="accent3" w:themeFillTint="33"/>
          </w:tcPr>
          <w:p w14:paraId="4D2816B0" w14:textId="77777777" w:rsidR="00F53E3A" w:rsidRDefault="0036255F">
            <w:pPr>
              <w:pStyle w:val="P68B1DB1-Normal39"/>
              <w:spacing w:after="0"/>
              <w:jc w:val="both"/>
              <w:rPr>
                <w:noProof/>
                <w:szCs w:val="22"/>
              </w:rPr>
            </w:pPr>
            <w:r>
              <w:rPr>
                <w:noProof/>
              </w:rPr>
              <w:t>Punerea în funcțiune a facilităților de învățare digitală</w:t>
            </w:r>
          </w:p>
        </w:tc>
      </w:tr>
      <w:tr w:rsidR="00F53E3A" w14:paraId="68411402" w14:textId="77777777">
        <w:trPr>
          <w:cantSplit/>
        </w:trPr>
        <w:tc>
          <w:tcPr>
            <w:tcW w:w="1298" w:type="dxa"/>
            <w:shd w:val="clear" w:color="auto" w:fill="EAF1DD" w:themeFill="accent3" w:themeFillTint="33"/>
            <w:noWrap/>
            <w:vAlign w:val="center"/>
          </w:tcPr>
          <w:p w14:paraId="5F757789" w14:textId="77777777" w:rsidR="00F53E3A" w:rsidRDefault="0036255F">
            <w:pPr>
              <w:pStyle w:val="P68B1DB1-Normal40"/>
              <w:spacing w:after="0"/>
              <w:jc w:val="center"/>
              <w:rPr>
                <w:noProof/>
                <w:color w:val="000000"/>
                <w:szCs w:val="22"/>
              </w:rPr>
            </w:pPr>
            <w:r>
              <w:rPr>
                <w:noProof/>
              </w:rPr>
              <w:t>81</w:t>
            </w:r>
          </w:p>
        </w:tc>
        <w:tc>
          <w:tcPr>
            <w:tcW w:w="3450" w:type="dxa"/>
            <w:shd w:val="clear" w:color="auto" w:fill="EAF1DD" w:themeFill="accent3" w:themeFillTint="33"/>
          </w:tcPr>
          <w:p w14:paraId="3877ABE5" w14:textId="77777777" w:rsidR="00F53E3A" w:rsidRDefault="0036255F">
            <w:pPr>
              <w:pStyle w:val="P68B1DB1-Normal39"/>
              <w:spacing w:after="0"/>
              <w:jc w:val="both"/>
              <w:rPr>
                <w:noProof/>
                <w:szCs w:val="22"/>
              </w:rPr>
            </w:pPr>
            <w:r>
              <w:rPr>
                <w:noProof/>
              </w:rPr>
              <w:t>C.1.4 Condiții indispensabile pentru soluții tehnologice inovatoare în mediul de afaceri și în viața de zi cu zi – C.1.4.4. Instrumente financiare pentru înființarea de întreprinderi și inovarea digitală</w:t>
            </w:r>
          </w:p>
        </w:tc>
        <w:tc>
          <w:tcPr>
            <w:tcW w:w="1418" w:type="dxa"/>
            <w:shd w:val="clear" w:color="auto" w:fill="EAF1DD" w:themeFill="accent3" w:themeFillTint="33"/>
          </w:tcPr>
          <w:p w14:paraId="620A43F6" w14:textId="77777777" w:rsidR="00F53E3A" w:rsidRDefault="0036255F">
            <w:pPr>
              <w:pStyle w:val="P68B1DB1-Normal39"/>
              <w:spacing w:after="0"/>
              <w:jc w:val="center"/>
              <w:rPr>
                <w:noProof/>
                <w:szCs w:val="22"/>
              </w:rPr>
            </w:pPr>
            <w:r>
              <w:rPr>
                <w:noProof/>
              </w:rPr>
              <w:t>Țintă</w:t>
            </w:r>
          </w:p>
        </w:tc>
        <w:tc>
          <w:tcPr>
            <w:tcW w:w="3613" w:type="dxa"/>
            <w:shd w:val="clear" w:color="auto" w:fill="EAF1DD" w:themeFill="accent3" w:themeFillTint="33"/>
          </w:tcPr>
          <w:p w14:paraId="3EDE110E" w14:textId="2514BEB8" w:rsidR="00F53E3A" w:rsidRDefault="0036255F">
            <w:pPr>
              <w:pStyle w:val="P68B1DB1-Normal39"/>
              <w:spacing w:after="0"/>
              <w:jc w:val="both"/>
              <w:rPr>
                <w:noProof/>
              </w:rPr>
            </w:pPr>
            <w:r>
              <w:rPr>
                <w:noProof/>
              </w:rPr>
              <w:t>Semnarea contractelor pentru stimulente financiare pentru înființarea de întreprinderi și inovarea digitală</w:t>
            </w:r>
          </w:p>
        </w:tc>
      </w:tr>
      <w:tr w:rsidR="00F53E3A" w14:paraId="445D5DE8" w14:textId="77777777">
        <w:trPr>
          <w:cantSplit/>
        </w:trPr>
        <w:tc>
          <w:tcPr>
            <w:tcW w:w="1298" w:type="dxa"/>
            <w:shd w:val="clear" w:color="auto" w:fill="EAF1DD" w:themeFill="accent3" w:themeFillTint="33"/>
            <w:noWrap/>
            <w:vAlign w:val="center"/>
          </w:tcPr>
          <w:p w14:paraId="23A98D56" w14:textId="77777777" w:rsidR="00F53E3A" w:rsidRDefault="0036255F">
            <w:pPr>
              <w:pStyle w:val="P68B1DB1-Normal40"/>
              <w:spacing w:after="0"/>
              <w:jc w:val="center"/>
              <w:rPr>
                <w:noProof/>
                <w:color w:val="000000"/>
                <w:szCs w:val="22"/>
              </w:rPr>
            </w:pPr>
            <w:r>
              <w:rPr>
                <w:noProof/>
              </w:rPr>
              <w:t>103</w:t>
            </w:r>
          </w:p>
        </w:tc>
        <w:tc>
          <w:tcPr>
            <w:tcW w:w="3450" w:type="dxa"/>
            <w:shd w:val="clear" w:color="auto" w:fill="EAF1DD" w:themeFill="accent3" w:themeFillTint="33"/>
          </w:tcPr>
          <w:p w14:paraId="3A9FD257" w14:textId="77777777" w:rsidR="00F53E3A" w:rsidRDefault="0036255F">
            <w:pPr>
              <w:pStyle w:val="P68B1DB1-Normal39"/>
              <w:spacing w:after="0"/>
              <w:jc w:val="both"/>
              <w:textAlignment w:val="baseline"/>
              <w:rPr>
                <w:noProof/>
                <w:szCs w:val="22"/>
              </w:rPr>
            </w:pPr>
            <w:r>
              <w:rPr>
                <w:noProof/>
              </w:rPr>
              <w:t>D.1.1. Educația generală modernă – Contextul competențelor de bază</w:t>
            </w:r>
          </w:p>
          <w:p w14:paraId="205532FE" w14:textId="77777777" w:rsidR="00F53E3A" w:rsidRDefault="0036255F">
            <w:pPr>
              <w:pStyle w:val="P68B1DB1-Normal39"/>
              <w:spacing w:after="0"/>
              <w:jc w:val="both"/>
              <w:rPr>
                <w:noProof/>
                <w:szCs w:val="22"/>
              </w:rPr>
            </w:pPr>
            <w:r>
              <w:rPr>
                <w:noProof/>
              </w:rPr>
              <w:t>D.1.1.6: Transformarea educației digitale</w:t>
            </w:r>
          </w:p>
        </w:tc>
        <w:tc>
          <w:tcPr>
            <w:tcW w:w="1418" w:type="dxa"/>
            <w:shd w:val="clear" w:color="auto" w:fill="EAF1DD" w:themeFill="accent3" w:themeFillTint="33"/>
          </w:tcPr>
          <w:p w14:paraId="7F91F683" w14:textId="77777777" w:rsidR="00F53E3A" w:rsidRDefault="0036255F">
            <w:pPr>
              <w:pStyle w:val="P68B1DB1-Normal39"/>
              <w:spacing w:after="0"/>
              <w:jc w:val="center"/>
              <w:rPr>
                <w:noProof/>
                <w:szCs w:val="22"/>
              </w:rPr>
            </w:pPr>
            <w:r>
              <w:rPr>
                <w:noProof/>
              </w:rPr>
              <w:t>Țintă</w:t>
            </w:r>
          </w:p>
        </w:tc>
        <w:tc>
          <w:tcPr>
            <w:tcW w:w="3613" w:type="dxa"/>
            <w:shd w:val="clear" w:color="auto" w:fill="EAF1DD" w:themeFill="accent3" w:themeFillTint="33"/>
          </w:tcPr>
          <w:p w14:paraId="1DAB014B" w14:textId="27E56665" w:rsidR="00F53E3A" w:rsidRDefault="0036255F">
            <w:pPr>
              <w:pStyle w:val="P68B1DB1-Normal39"/>
              <w:spacing w:after="0"/>
              <w:jc w:val="both"/>
              <w:rPr>
                <w:noProof/>
              </w:rPr>
            </w:pPr>
            <w:r>
              <w:rPr>
                <w:noProof/>
              </w:rPr>
              <w:t>Numărul de membri ai personalului universitar care au absolvit cursul de îmbunătățire a competențelor digitale</w:t>
            </w:r>
          </w:p>
        </w:tc>
      </w:tr>
      <w:tr w:rsidR="00F53E3A" w14:paraId="4EB510D3" w14:textId="77777777">
        <w:trPr>
          <w:cantSplit/>
        </w:trPr>
        <w:tc>
          <w:tcPr>
            <w:tcW w:w="1298" w:type="dxa"/>
            <w:shd w:val="clear" w:color="auto" w:fill="EAF1DD" w:themeFill="accent3" w:themeFillTint="33"/>
            <w:noWrap/>
            <w:vAlign w:val="center"/>
          </w:tcPr>
          <w:p w14:paraId="4CE867F2" w14:textId="77777777" w:rsidR="00F53E3A" w:rsidRDefault="0036255F">
            <w:pPr>
              <w:pStyle w:val="P68B1DB1-Normal40"/>
              <w:spacing w:after="0"/>
              <w:jc w:val="center"/>
              <w:rPr>
                <w:noProof/>
                <w:szCs w:val="22"/>
              </w:rPr>
            </w:pPr>
            <w:r>
              <w:rPr>
                <w:noProof/>
              </w:rPr>
              <w:t>104</w:t>
            </w:r>
          </w:p>
        </w:tc>
        <w:tc>
          <w:tcPr>
            <w:tcW w:w="3450" w:type="dxa"/>
            <w:shd w:val="clear" w:color="auto" w:fill="EAF1DD" w:themeFill="accent3" w:themeFillTint="33"/>
          </w:tcPr>
          <w:p w14:paraId="0AE88084" w14:textId="77777777" w:rsidR="00F53E3A" w:rsidRDefault="0036255F">
            <w:pPr>
              <w:pStyle w:val="P68B1DB1-Normal39"/>
              <w:spacing w:after="0"/>
              <w:jc w:val="both"/>
              <w:textAlignment w:val="baseline"/>
              <w:rPr>
                <w:noProof/>
                <w:szCs w:val="22"/>
              </w:rPr>
            </w:pPr>
            <w:r>
              <w:rPr>
                <w:noProof/>
              </w:rPr>
              <w:t>D.1.1. Educația generală modernă – Contextul competențelor de bază</w:t>
            </w:r>
          </w:p>
          <w:p w14:paraId="1496F404" w14:textId="77777777" w:rsidR="00F53E3A" w:rsidRDefault="0036255F">
            <w:pPr>
              <w:pStyle w:val="P68B1DB1-Normal39"/>
              <w:spacing w:after="0"/>
              <w:jc w:val="both"/>
              <w:rPr>
                <w:noProof/>
                <w:szCs w:val="22"/>
              </w:rPr>
            </w:pPr>
            <w:r>
              <w:rPr>
                <w:noProof/>
              </w:rPr>
              <w:t>D.1.1.6: Transformarea educației digitale</w:t>
            </w:r>
          </w:p>
        </w:tc>
        <w:tc>
          <w:tcPr>
            <w:tcW w:w="1418" w:type="dxa"/>
            <w:shd w:val="clear" w:color="auto" w:fill="EAF1DD" w:themeFill="accent3" w:themeFillTint="33"/>
          </w:tcPr>
          <w:p w14:paraId="7E1BE96F" w14:textId="77777777" w:rsidR="00F53E3A" w:rsidRDefault="0036255F">
            <w:pPr>
              <w:pStyle w:val="P68B1DB1-Normal39"/>
              <w:spacing w:after="0"/>
              <w:jc w:val="center"/>
              <w:rPr>
                <w:noProof/>
                <w:szCs w:val="22"/>
              </w:rPr>
            </w:pPr>
            <w:r>
              <w:rPr>
                <w:noProof/>
              </w:rPr>
              <w:t>Țintă</w:t>
            </w:r>
          </w:p>
        </w:tc>
        <w:tc>
          <w:tcPr>
            <w:tcW w:w="3613" w:type="dxa"/>
            <w:shd w:val="clear" w:color="auto" w:fill="EAF1DD" w:themeFill="accent3" w:themeFillTint="33"/>
          </w:tcPr>
          <w:p w14:paraId="0FD73912" w14:textId="651BF535" w:rsidR="00F53E3A" w:rsidRDefault="0036255F">
            <w:pPr>
              <w:pStyle w:val="P68B1DB1-Normal39"/>
              <w:spacing w:after="0"/>
              <w:jc w:val="both"/>
              <w:rPr>
                <w:noProof/>
              </w:rPr>
            </w:pPr>
            <w:r>
              <w:rPr>
                <w:noProof/>
              </w:rPr>
              <w:t>Numărul de membri ai personalului didactic calificați ca profesori de informatică sau absolvenți de masterat în informatică</w:t>
            </w:r>
          </w:p>
        </w:tc>
      </w:tr>
      <w:tr w:rsidR="00F53E3A" w14:paraId="25415C6F" w14:textId="77777777">
        <w:trPr>
          <w:cantSplit/>
        </w:trPr>
        <w:tc>
          <w:tcPr>
            <w:tcW w:w="1298" w:type="dxa"/>
            <w:shd w:val="clear" w:color="auto" w:fill="EAF1DD" w:themeFill="accent3" w:themeFillTint="33"/>
            <w:noWrap/>
            <w:vAlign w:val="center"/>
          </w:tcPr>
          <w:p w14:paraId="13534BB7" w14:textId="77777777" w:rsidR="00F53E3A" w:rsidRDefault="0036255F">
            <w:pPr>
              <w:pStyle w:val="P68B1DB1-Normal40"/>
              <w:spacing w:after="0"/>
              <w:jc w:val="center"/>
              <w:rPr>
                <w:noProof/>
                <w:color w:val="000000"/>
                <w:szCs w:val="22"/>
              </w:rPr>
            </w:pPr>
            <w:r>
              <w:rPr>
                <w:noProof/>
              </w:rPr>
              <w:t>124</w:t>
            </w:r>
          </w:p>
        </w:tc>
        <w:tc>
          <w:tcPr>
            <w:tcW w:w="3450" w:type="dxa"/>
            <w:shd w:val="clear" w:color="auto" w:fill="EAF1DD" w:themeFill="accent3" w:themeFillTint="33"/>
          </w:tcPr>
          <w:p w14:paraId="7D8C75E1" w14:textId="77777777" w:rsidR="00F53E3A" w:rsidRDefault="0036255F">
            <w:pPr>
              <w:pStyle w:val="P68B1DB1-Normal39"/>
              <w:spacing w:after="0"/>
              <w:jc w:val="both"/>
              <w:rPr>
                <w:noProof/>
                <w:szCs w:val="22"/>
              </w:rPr>
            </w:pPr>
            <w:r>
              <w:rPr>
                <w:noProof/>
              </w:rPr>
              <w:t>E.1.1. Învățământ superior de calitate și instituții de învățământ superior puternice – E.1.1.3. Consolidarea competitivității internaționale a instituțiilor de învățământ superior</w:t>
            </w:r>
          </w:p>
        </w:tc>
        <w:tc>
          <w:tcPr>
            <w:tcW w:w="1418" w:type="dxa"/>
            <w:shd w:val="clear" w:color="auto" w:fill="EAF1DD" w:themeFill="accent3" w:themeFillTint="33"/>
          </w:tcPr>
          <w:p w14:paraId="1093471B" w14:textId="77777777" w:rsidR="00F53E3A" w:rsidRDefault="0036255F">
            <w:pPr>
              <w:pStyle w:val="P68B1DB1-Normal39"/>
              <w:spacing w:after="0"/>
              <w:jc w:val="center"/>
              <w:rPr>
                <w:noProof/>
                <w:szCs w:val="22"/>
              </w:rPr>
            </w:pPr>
            <w:r>
              <w:rPr>
                <w:noProof/>
              </w:rPr>
              <w:t>Țintă</w:t>
            </w:r>
          </w:p>
        </w:tc>
        <w:tc>
          <w:tcPr>
            <w:tcW w:w="3613" w:type="dxa"/>
            <w:shd w:val="clear" w:color="auto" w:fill="EAF1DD" w:themeFill="accent3" w:themeFillTint="33"/>
          </w:tcPr>
          <w:p w14:paraId="7D1B8EC7" w14:textId="77777777" w:rsidR="00F53E3A" w:rsidRDefault="0036255F">
            <w:pPr>
              <w:pStyle w:val="P68B1DB1-Normal39"/>
              <w:spacing w:after="0"/>
              <w:jc w:val="both"/>
              <w:rPr>
                <w:noProof/>
                <w:szCs w:val="22"/>
              </w:rPr>
            </w:pPr>
            <w:r>
              <w:rPr>
                <w:noProof/>
              </w:rPr>
              <w:t>Numărul de proiecte de internaționalizare finalizate de instituțiile de învățământ superior</w:t>
            </w:r>
          </w:p>
        </w:tc>
      </w:tr>
      <w:tr w:rsidR="00F53E3A" w14:paraId="2DED7141" w14:textId="77777777">
        <w:trPr>
          <w:cantSplit/>
        </w:trPr>
        <w:tc>
          <w:tcPr>
            <w:tcW w:w="1298" w:type="dxa"/>
            <w:shd w:val="clear" w:color="auto" w:fill="EAF1DD" w:themeFill="accent3" w:themeFillTint="33"/>
            <w:noWrap/>
            <w:vAlign w:val="center"/>
          </w:tcPr>
          <w:p w14:paraId="5783D6C7" w14:textId="77777777" w:rsidR="00F53E3A" w:rsidRDefault="0036255F">
            <w:pPr>
              <w:pStyle w:val="P68B1DB1-Normal40"/>
              <w:spacing w:after="0"/>
              <w:jc w:val="center"/>
              <w:rPr>
                <w:noProof/>
                <w:color w:val="000000"/>
                <w:szCs w:val="22"/>
              </w:rPr>
            </w:pPr>
            <w:r>
              <w:rPr>
                <w:noProof/>
              </w:rPr>
              <w:t>139</w:t>
            </w:r>
          </w:p>
        </w:tc>
        <w:tc>
          <w:tcPr>
            <w:tcW w:w="3450" w:type="dxa"/>
            <w:shd w:val="clear" w:color="auto" w:fill="EAF1DD" w:themeFill="accent3" w:themeFillTint="33"/>
          </w:tcPr>
          <w:p w14:paraId="77D382EE" w14:textId="05199938" w:rsidR="00F53E3A" w:rsidRDefault="0036255F">
            <w:pPr>
              <w:pStyle w:val="P68B1DB1-Normal39"/>
              <w:spacing w:after="0"/>
              <w:jc w:val="both"/>
              <w:rPr>
                <w:noProof/>
                <w:szCs w:val="22"/>
              </w:rPr>
            </w:pPr>
            <w:r>
              <w:rPr>
                <w:noProof/>
              </w:rPr>
              <w:t>F.1.1. Un sector public eficient – F.1.1.2 Crearea unei platforme de învățare la distanță pentru angajații din sectorul public</w:t>
            </w:r>
          </w:p>
        </w:tc>
        <w:tc>
          <w:tcPr>
            <w:tcW w:w="1418" w:type="dxa"/>
            <w:shd w:val="clear" w:color="auto" w:fill="EAF1DD" w:themeFill="accent3" w:themeFillTint="33"/>
          </w:tcPr>
          <w:p w14:paraId="0852E138" w14:textId="77777777" w:rsidR="00F53E3A" w:rsidRDefault="0036255F">
            <w:pPr>
              <w:pStyle w:val="P68B1DB1-Normal39"/>
              <w:spacing w:after="0"/>
              <w:jc w:val="center"/>
              <w:rPr>
                <w:noProof/>
                <w:szCs w:val="22"/>
              </w:rPr>
            </w:pPr>
            <w:r>
              <w:rPr>
                <w:noProof/>
              </w:rPr>
              <w:t>Etapă</w:t>
            </w:r>
          </w:p>
        </w:tc>
        <w:tc>
          <w:tcPr>
            <w:tcW w:w="3613" w:type="dxa"/>
            <w:shd w:val="clear" w:color="auto" w:fill="EAF1DD" w:themeFill="accent3" w:themeFillTint="33"/>
          </w:tcPr>
          <w:p w14:paraId="6E96E573" w14:textId="77777777" w:rsidR="00F53E3A" w:rsidRDefault="0036255F">
            <w:pPr>
              <w:pStyle w:val="P68B1DB1-Normal39"/>
              <w:spacing w:after="0"/>
              <w:jc w:val="both"/>
              <w:rPr>
                <w:noProof/>
              </w:rPr>
            </w:pPr>
            <w:r>
              <w:rPr>
                <w:noProof/>
              </w:rPr>
              <w:t>Orientări strategice și module de formare</w:t>
            </w:r>
          </w:p>
        </w:tc>
      </w:tr>
      <w:tr w:rsidR="00F53E3A" w14:paraId="2A93F2EA" w14:textId="77777777">
        <w:trPr>
          <w:cantSplit/>
        </w:trPr>
        <w:tc>
          <w:tcPr>
            <w:tcW w:w="1298" w:type="dxa"/>
            <w:shd w:val="clear" w:color="auto" w:fill="EAF1DD" w:themeFill="accent3" w:themeFillTint="33"/>
            <w:noWrap/>
            <w:vAlign w:val="center"/>
          </w:tcPr>
          <w:p w14:paraId="091E837D" w14:textId="77777777" w:rsidR="00F53E3A" w:rsidRDefault="0036255F">
            <w:pPr>
              <w:pStyle w:val="P68B1DB1-Normal40"/>
              <w:spacing w:after="0"/>
              <w:jc w:val="center"/>
              <w:rPr>
                <w:noProof/>
                <w:szCs w:val="22"/>
              </w:rPr>
            </w:pPr>
            <w:r>
              <w:rPr>
                <w:noProof/>
              </w:rPr>
              <w:t>148</w:t>
            </w:r>
          </w:p>
        </w:tc>
        <w:tc>
          <w:tcPr>
            <w:tcW w:w="3450" w:type="dxa"/>
            <w:shd w:val="clear" w:color="auto" w:fill="EAF1DD" w:themeFill="accent3" w:themeFillTint="33"/>
          </w:tcPr>
          <w:p w14:paraId="72A700B7" w14:textId="2DC5D482" w:rsidR="00F53E3A" w:rsidRDefault="0036255F">
            <w:pPr>
              <w:pStyle w:val="P68B1DB1-Normal39"/>
              <w:spacing w:after="0"/>
              <w:jc w:val="both"/>
              <w:rPr>
                <w:noProof/>
                <w:szCs w:val="22"/>
              </w:rPr>
            </w:pPr>
            <w:r>
              <w:rPr>
                <w:noProof/>
              </w:rPr>
              <w:t>F.1.3. Sustenabilitatea pe termen lung și transparența bugetului național – F.1.3.1. Cadrul bugetar pe termen mediu</w:t>
            </w:r>
          </w:p>
        </w:tc>
        <w:tc>
          <w:tcPr>
            <w:tcW w:w="1418" w:type="dxa"/>
            <w:shd w:val="clear" w:color="auto" w:fill="EAF1DD" w:themeFill="accent3" w:themeFillTint="33"/>
          </w:tcPr>
          <w:p w14:paraId="0BD35010" w14:textId="77777777" w:rsidR="00F53E3A" w:rsidRDefault="0036255F">
            <w:pPr>
              <w:pStyle w:val="P68B1DB1-Normal39"/>
              <w:spacing w:after="0"/>
              <w:jc w:val="center"/>
              <w:rPr>
                <w:noProof/>
                <w:szCs w:val="22"/>
              </w:rPr>
            </w:pPr>
            <w:r>
              <w:rPr>
                <w:noProof/>
              </w:rPr>
              <w:t>Etapă</w:t>
            </w:r>
          </w:p>
        </w:tc>
        <w:tc>
          <w:tcPr>
            <w:tcW w:w="3613" w:type="dxa"/>
            <w:shd w:val="clear" w:color="auto" w:fill="EAF1DD" w:themeFill="accent3" w:themeFillTint="33"/>
          </w:tcPr>
          <w:p w14:paraId="44B338B9" w14:textId="4F4AC409" w:rsidR="00F53E3A" w:rsidRDefault="0036255F">
            <w:pPr>
              <w:pStyle w:val="P68B1DB1-Normal39"/>
              <w:spacing w:after="0"/>
              <w:jc w:val="both"/>
              <w:rPr>
                <w:noProof/>
                <w:szCs w:val="22"/>
              </w:rPr>
            </w:pPr>
            <w:r>
              <w:rPr>
                <w:noProof/>
              </w:rPr>
              <w:t>Intrarea în vigoare a metodologiei de întocmire a bugetului pe termen mediu, a metodologiei de calcul al costurilor de bază și a modificărilor aduse Legii privind structura bugetului legate de revizuirea bugetului de stat</w:t>
            </w:r>
          </w:p>
        </w:tc>
      </w:tr>
      <w:tr w:rsidR="00F53E3A" w14:paraId="6902D04A" w14:textId="77777777">
        <w:trPr>
          <w:cantSplit/>
        </w:trPr>
        <w:tc>
          <w:tcPr>
            <w:tcW w:w="1298" w:type="dxa"/>
            <w:shd w:val="clear" w:color="auto" w:fill="EAF1DD" w:themeFill="accent3" w:themeFillTint="33"/>
            <w:noWrap/>
            <w:vAlign w:val="center"/>
          </w:tcPr>
          <w:p w14:paraId="08DACF75" w14:textId="77777777" w:rsidR="00F53E3A" w:rsidRDefault="0036255F">
            <w:pPr>
              <w:pStyle w:val="P68B1DB1-Normal40"/>
              <w:spacing w:after="0"/>
              <w:jc w:val="center"/>
              <w:rPr>
                <w:noProof/>
                <w:color w:val="000000"/>
                <w:szCs w:val="22"/>
              </w:rPr>
            </w:pPr>
            <w:r>
              <w:rPr>
                <w:noProof/>
              </w:rPr>
              <w:t>149</w:t>
            </w:r>
          </w:p>
        </w:tc>
        <w:tc>
          <w:tcPr>
            <w:tcW w:w="3450" w:type="dxa"/>
            <w:shd w:val="clear" w:color="auto" w:fill="EAF1DD" w:themeFill="accent3" w:themeFillTint="33"/>
          </w:tcPr>
          <w:p w14:paraId="4D5563D1" w14:textId="44429E0A" w:rsidR="00F53E3A" w:rsidRDefault="0036255F">
            <w:pPr>
              <w:pStyle w:val="P68B1DB1-Normal39"/>
              <w:spacing w:after="0"/>
              <w:jc w:val="both"/>
              <w:rPr>
                <w:noProof/>
                <w:szCs w:val="22"/>
              </w:rPr>
            </w:pPr>
            <w:r>
              <w:rPr>
                <w:noProof/>
              </w:rPr>
              <w:t>F.1.3. Sustenabilitatea pe termen lung și transparența bugetului național – F.1.3.1. Cadrul bugetar pe termen mediu</w:t>
            </w:r>
          </w:p>
        </w:tc>
        <w:tc>
          <w:tcPr>
            <w:tcW w:w="1418" w:type="dxa"/>
            <w:shd w:val="clear" w:color="auto" w:fill="EAF1DD" w:themeFill="accent3" w:themeFillTint="33"/>
          </w:tcPr>
          <w:p w14:paraId="5FE31820" w14:textId="77777777" w:rsidR="00F53E3A" w:rsidRDefault="0036255F">
            <w:pPr>
              <w:pStyle w:val="P68B1DB1-Normal39"/>
              <w:spacing w:after="0"/>
              <w:jc w:val="center"/>
              <w:rPr>
                <w:noProof/>
                <w:szCs w:val="22"/>
              </w:rPr>
            </w:pPr>
            <w:r>
              <w:rPr>
                <w:noProof/>
              </w:rPr>
              <w:t>Etapă</w:t>
            </w:r>
          </w:p>
        </w:tc>
        <w:tc>
          <w:tcPr>
            <w:tcW w:w="3613" w:type="dxa"/>
            <w:shd w:val="clear" w:color="auto" w:fill="EAF1DD" w:themeFill="accent3" w:themeFillTint="33"/>
          </w:tcPr>
          <w:p w14:paraId="26215D3E" w14:textId="2FB62B64" w:rsidR="00F53E3A" w:rsidRDefault="0036255F">
            <w:pPr>
              <w:spacing w:after="0"/>
              <w:jc w:val="both"/>
              <w:rPr>
                <w:rFonts w:ascii="Times New Roman" w:eastAsia="Times New Roman" w:hAnsi="Times New Roman" w:cs="Times New Roman"/>
                <w:noProof/>
                <w:color w:val="000000"/>
                <w:szCs w:val="22"/>
              </w:rPr>
            </w:pPr>
            <w:r>
              <w:rPr>
                <w:rFonts w:ascii="Times New Roman" w:eastAsia="Times New Roman" w:hAnsi="Times New Roman" w:cs="Times New Roman"/>
                <w:noProof/>
                <w:color w:val="000000"/>
              </w:rPr>
              <w:t>Intrarea în vigoare a rezoluției guvernului de aprobare a primului proiect detaliat de buget pe termen mediu pentru perioada 1</w:t>
            </w:r>
            <w:r>
              <w:rPr>
                <w:rFonts w:ascii="Times New Roman" w:hAnsi="Times New Roman" w:cs="Times New Roman"/>
                <w:noProof/>
                <w:sz w:val="20"/>
              </w:rPr>
              <w:t xml:space="preserve"> </w:t>
            </w:r>
            <w:r>
              <w:rPr>
                <w:rFonts w:ascii="Times New Roman" w:eastAsia="Times New Roman" w:hAnsi="Times New Roman" w:cs="Times New Roman"/>
                <w:noProof/>
                <w:color w:val="000000"/>
              </w:rPr>
              <w:t>ianuarie</w:t>
            </w:r>
            <w:r>
              <w:rPr>
                <w:rFonts w:ascii="Times New Roman" w:hAnsi="Times New Roman" w:cs="Times New Roman"/>
                <w:noProof/>
                <w:sz w:val="20"/>
              </w:rPr>
              <w:t xml:space="preserve"> </w:t>
            </w:r>
            <w:r>
              <w:rPr>
                <w:rFonts w:ascii="Times New Roman" w:eastAsia="Times New Roman" w:hAnsi="Times New Roman" w:cs="Times New Roman"/>
                <w:noProof/>
                <w:color w:val="000000"/>
              </w:rPr>
              <w:t>2025-31</w:t>
            </w:r>
            <w:r>
              <w:rPr>
                <w:rFonts w:ascii="Times New Roman" w:hAnsi="Times New Roman" w:cs="Times New Roman"/>
                <w:noProof/>
                <w:sz w:val="20"/>
              </w:rPr>
              <w:t xml:space="preserve"> </w:t>
            </w:r>
            <w:r>
              <w:rPr>
                <w:rFonts w:ascii="Times New Roman" w:eastAsia="Times New Roman" w:hAnsi="Times New Roman" w:cs="Times New Roman"/>
                <w:noProof/>
                <w:color w:val="000000"/>
              </w:rPr>
              <w:t>decembrie</w:t>
            </w:r>
            <w:r>
              <w:rPr>
                <w:rFonts w:ascii="Times New Roman" w:hAnsi="Times New Roman" w:cs="Times New Roman"/>
                <w:noProof/>
                <w:sz w:val="20"/>
              </w:rPr>
              <w:t xml:space="preserve"> </w:t>
            </w:r>
            <w:r>
              <w:rPr>
                <w:rFonts w:ascii="Times New Roman" w:eastAsia="Times New Roman" w:hAnsi="Times New Roman" w:cs="Times New Roman"/>
                <w:noProof/>
                <w:color w:val="000000"/>
              </w:rPr>
              <w:t>2027</w:t>
            </w:r>
          </w:p>
        </w:tc>
      </w:tr>
      <w:tr w:rsidR="00F53E3A" w14:paraId="729A9867" w14:textId="77777777">
        <w:trPr>
          <w:cantSplit/>
        </w:trPr>
        <w:tc>
          <w:tcPr>
            <w:tcW w:w="1298" w:type="dxa"/>
            <w:shd w:val="clear" w:color="auto" w:fill="EAF1DD" w:themeFill="accent3" w:themeFillTint="33"/>
            <w:noWrap/>
            <w:vAlign w:val="center"/>
          </w:tcPr>
          <w:p w14:paraId="2BFD8CA3" w14:textId="77777777" w:rsidR="00F53E3A" w:rsidRDefault="0036255F">
            <w:pPr>
              <w:pStyle w:val="P68B1DB1-Normal40"/>
              <w:spacing w:after="0"/>
              <w:jc w:val="center"/>
              <w:rPr>
                <w:noProof/>
                <w:color w:val="000000"/>
                <w:szCs w:val="22"/>
              </w:rPr>
            </w:pPr>
            <w:r>
              <w:rPr>
                <w:noProof/>
              </w:rPr>
              <w:t>150</w:t>
            </w:r>
          </w:p>
        </w:tc>
        <w:tc>
          <w:tcPr>
            <w:tcW w:w="3450" w:type="dxa"/>
            <w:shd w:val="clear" w:color="auto" w:fill="EAF1DD" w:themeFill="accent3" w:themeFillTint="33"/>
          </w:tcPr>
          <w:p w14:paraId="39091651" w14:textId="77777777" w:rsidR="00F53E3A" w:rsidRDefault="0036255F">
            <w:pPr>
              <w:pStyle w:val="P68B1DB1-Normal39"/>
              <w:spacing w:after="0"/>
              <w:jc w:val="both"/>
              <w:rPr>
                <w:noProof/>
                <w:szCs w:val="22"/>
              </w:rPr>
            </w:pPr>
            <w:r>
              <w:rPr>
                <w:noProof/>
              </w:rPr>
              <w:t>F.1.3. Sustenabilitatea pe termen lung și transparența bugetului național – F.1.3.2. Analize ale cheltuielilor</w:t>
            </w:r>
          </w:p>
        </w:tc>
        <w:tc>
          <w:tcPr>
            <w:tcW w:w="1418" w:type="dxa"/>
            <w:shd w:val="clear" w:color="auto" w:fill="EAF1DD" w:themeFill="accent3" w:themeFillTint="33"/>
          </w:tcPr>
          <w:p w14:paraId="2CA9F7BF" w14:textId="77777777" w:rsidR="00F53E3A" w:rsidRDefault="0036255F">
            <w:pPr>
              <w:pStyle w:val="P68B1DB1-Normal39"/>
              <w:spacing w:after="0"/>
              <w:jc w:val="center"/>
              <w:rPr>
                <w:noProof/>
                <w:szCs w:val="22"/>
              </w:rPr>
            </w:pPr>
            <w:r>
              <w:rPr>
                <w:noProof/>
              </w:rPr>
              <w:t>Etapă</w:t>
            </w:r>
          </w:p>
        </w:tc>
        <w:tc>
          <w:tcPr>
            <w:tcW w:w="3613" w:type="dxa"/>
            <w:shd w:val="clear" w:color="auto" w:fill="EAF1DD" w:themeFill="accent3" w:themeFillTint="33"/>
          </w:tcPr>
          <w:p w14:paraId="0F921775" w14:textId="77777777" w:rsidR="00F53E3A" w:rsidRDefault="0036255F">
            <w:pPr>
              <w:pStyle w:val="P68B1DB1-Normal39"/>
              <w:spacing w:after="0"/>
              <w:jc w:val="both"/>
              <w:rPr>
                <w:noProof/>
                <w:szCs w:val="22"/>
              </w:rPr>
            </w:pPr>
            <w:r>
              <w:rPr>
                <w:noProof/>
              </w:rPr>
              <w:t>Finalizarea revizuirii cuprinzătoare a cheltuielilor bugetare</w:t>
            </w:r>
          </w:p>
        </w:tc>
      </w:tr>
      <w:tr w:rsidR="00F53E3A" w14:paraId="39D756CD" w14:textId="77777777">
        <w:trPr>
          <w:cantSplit/>
        </w:trPr>
        <w:tc>
          <w:tcPr>
            <w:tcW w:w="1298" w:type="dxa"/>
            <w:shd w:val="clear" w:color="auto" w:fill="EAF1DD" w:themeFill="accent3" w:themeFillTint="33"/>
            <w:noWrap/>
            <w:vAlign w:val="center"/>
          </w:tcPr>
          <w:p w14:paraId="2FD58A66" w14:textId="77777777" w:rsidR="00F53E3A" w:rsidRDefault="0036255F">
            <w:pPr>
              <w:pStyle w:val="P68B1DB1-Normal40"/>
              <w:spacing w:after="0"/>
              <w:jc w:val="center"/>
              <w:rPr>
                <w:noProof/>
                <w:color w:val="000000"/>
                <w:szCs w:val="22"/>
              </w:rPr>
            </w:pPr>
            <w:r>
              <w:rPr>
                <w:noProof/>
              </w:rPr>
              <w:t>157</w:t>
            </w:r>
          </w:p>
        </w:tc>
        <w:tc>
          <w:tcPr>
            <w:tcW w:w="3450" w:type="dxa"/>
            <w:shd w:val="clear" w:color="auto" w:fill="EAF1DD" w:themeFill="accent3" w:themeFillTint="33"/>
          </w:tcPr>
          <w:p w14:paraId="2E2B42F2" w14:textId="77777777" w:rsidR="00F53E3A" w:rsidRDefault="0036255F">
            <w:pPr>
              <w:pStyle w:val="P68B1DB1-Normal39"/>
              <w:spacing w:after="0"/>
              <w:jc w:val="both"/>
              <w:rPr>
                <w:noProof/>
                <w:szCs w:val="22"/>
              </w:rPr>
            </w:pPr>
            <w:r>
              <w:rPr>
                <w:noProof/>
              </w:rPr>
              <w:t>F.1.4. Îmbunătățirea respectării obligațiilor fiscale – F.1.4.2. Impozitarea echitabilă a activităților economice online</w:t>
            </w:r>
          </w:p>
        </w:tc>
        <w:tc>
          <w:tcPr>
            <w:tcW w:w="1418" w:type="dxa"/>
            <w:shd w:val="clear" w:color="auto" w:fill="EAF1DD" w:themeFill="accent3" w:themeFillTint="33"/>
          </w:tcPr>
          <w:p w14:paraId="4CB41A3A" w14:textId="77777777" w:rsidR="00F53E3A" w:rsidRDefault="0036255F">
            <w:pPr>
              <w:pStyle w:val="P68B1DB1-Normal39"/>
              <w:spacing w:after="0"/>
              <w:jc w:val="center"/>
              <w:rPr>
                <w:noProof/>
                <w:szCs w:val="22"/>
              </w:rPr>
            </w:pPr>
            <w:r>
              <w:rPr>
                <w:noProof/>
              </w:rPr>
              <w:t>Etapă</w:t>
            </w:r>
          </w:p>
        </w:tc>
        <w:tc>
          <w:tcPr>
            <w:tcW w:w="3613" w:type="dxa"/>
            <w:shd w:val="clear" w:color="auto" w:fill="EAF1DD" w:themeFill="accent3" w:themeFillTint="33"/>
          </w:tcPr>
          <w:p w14:paraId="345EF485" w14:textId="77777777" w:rsidR="00F53E3A" w:rsidRDefault="0036255F">
            <w:pPr>
              <w:pStyle w:val="P68B1DB1-Normal39"/>
              <w:spacing w:after="0"/>
              <w:jc w:val="both"/>
              <w:rPr>
                <w:noProof/>
                <w:szCs w:val="22"/>
              </w:rPr>
            </w:pPr>
            <w:r>
              <w:rPr>
                <w:noProof/>
              </w:rPr>
              <w:t>Inspectoratul fiscal de stat primește date detaliate privind tranzacțiile executate pe platformele online</w:t>
            </w:r>
          </w:p>
        </w:tc>
      </w:tr>
      <w:tr w:rsidR="00F53E3A" w14:paraId="2E900817" w14:textId="77777777">
        <w:trPr>
          <w:cantSplit/>
        </w:trPr>
        <w:tc>
          <w:tcPr>
            <w:tcW w:w="1298" w:type="dxa"/>
            <w:shd w:val="clear" w:color="auto" w:fill="EAF1DD" w:themeFill="accent3" w:themeFillTint="33"/>
            <w:noWrap/>
            <w:vAlign w:val="center"/>
          </w:tcPr>
          <w:p w14:paraId="1529D110" w14:textId="77777777" w:rsidR="00F53E3A" w:rsidRDefault="0036255F">
            <w:pPr>
              <w:pStyle w:val="P68B1DB1-Normal40"/>
              <w:spacing w:after="0"/>
              <w:jc w:val="center"/>
              <w:rPr>
                <w:noProof/>
                <w:color w:val="000000"/>
                <w:szCs w:val="22"/>
              </w:rPr>
            </w:pPr>
            <w:r>
              <w:rPr>
                <w:noProof/>
              </w:rPr>
              <w:t>159</w:t>
            </w:r>
          </w:p>
        </w:tc>
        <w:tc>
          <w:tcPr>
            <w:tcW w:w="3450" w:type="dxa"/>
            <w:shd w:val="clear" w:color="auto" w:fill="EAF1DD" w:themeFill="accent3" w:themeFillTint="33"/>
          </w:tcPr>
          <w:p w14:paraId="00461D72" w14:textId="516FF9F6" w:rsidR="00F53E3A" w:rsidRDefault="0036255F">
            <w:pPr>
              <w:pStyle w:val="P68B1DB1-Normal39"/>
              <w:spacing w:after="0"/>
              <w:jc w:val="both"/>
              <w:rPr>
                <w:noProof/>
                <w:szCs w:val="22"/>
              </w:rPr>
            </w:pPr>
            <w:r>
              <w:rPr>
                <w:noProof/>
              </w:rPr>
              <w:t>F.1.4. Îmbunătățirea respectării obligațiilor fiscale – F.1.4.4. Educarea viitorilor contribuabili în domeniul fiscal</w:t>
            </w:r>
          </w:p>
        </w:tc>
        <w:tc>
          <w:tcPr>
            <w:tcW w:w="1418" w:type="dxa"/>
            <w:shd w:val="clear" w:color="auto" w:fill="EAF1DD" w:themeFill="accent3" w:themeFillTint="33"/>
          </w:tcPr>
          <w:p w14:paraId="1CE44E98" w14:textId="77777777" w:rsidR="00F53E3A" w:rsidRDefault="0036255F">
            <w:pPr>
              <w:pStyle w:val="P68B1DB1-Normal39"/>
              <w:spacing w:after="0"/>
              <w:jc w:val="center"/>
              <w:rPr>
                <w:noProof/>
                <w:szCs w:val="22"/>
              </w:rPr>
            </w:pPr>
            <w:r>
              <w:rPr>
                <w:noProof/>
              </w:rPr>
              <w:t>Țintă</w:t>
            </w:r>
          </w:p>
        </w:tc>
        <w:tc>
          <w:tcPr>
            <w:tcW w:w="3613" w:type="dxa"/>
            <w:shd w:val="clear" w:color="auto" w:fill="EAF1DD" w:themeFill="accent3" w:themeFillTint="33"/>
          </w:tcPr>
          <w:p w14:paraId="7DA7EF30" w14:textId="7C9ACFC3" w:rsidR="00F53E3A" w:rsidRDefault="0036255F">
            <w:pPr>
              <w:pStyle w:val="P68B1DB1-Normal39"/>
              <w:spacing w:after="0"/>
              <w:jc w:val="both"/>
              <w:rPr>
                <w:noProof/>
              </w:rPr>
            </w:pPr>
            <w:r>
              <w:rPr>
                <w:noProof/>
              </w:rPr>
              <w:t>Numărul cardului elevului cu funcție de plată emis</w:t>
            </w:r>
          </w:p>
        </w:tc>
      </w:tr>
      <w:tr w:rsidR="00F53E3A" w14:paraId="10918DE7" w14:textId="77777777">
        <w:trPr>
          <w:cantSplit/>
        </w:trPr>
        <w:tc>
          <w:tcPr>
            <w:tcW w:w="1298" w:type="dxa"/>
            <w:shd w:val="clear" w:color="auto" w:fill="EAF1DD" w:themeFill="accent3" w:themeFillTint="33"/>
            <w:noWrap/>
            <w:vAlign w:val="center"/>
          </w:tcPr>
          <w:p w14:paraId="66931360" w14:textId="77777777" w:rsidR="00F53E3A" w:rsidRDefault="0036255F">
            <w:pPr>
              <w:pStyle w:val="P68B1DB1-Normal40"/>
              <w:spacing w:after="0"/>
              <w:jc w:val="center"/>
              <w:rPr>
                <w:noProof/>
                <w:color w:val="000000"/>
                <w:szCs w:val="22"/>
              </w:rPr>
            </w:pPr>
            <w:r>
              <w:rPr>
                <w:noProof/>
              </w:rPr>
              <w:t>160</w:t>
            </w:r>
          </w:p>
        </w:tc>
        <w:tc>
          <w:tcPr>
            <w:tcW w:w="3450" w:type="dxa"/>
            <w:shd w:val="clear" w:color="auto" w:fill="EAF1DD" w:themeFill="accent3" w:themeFillTint="33"/>
          </w:tcPr>
          <w:p w14:paraId="335B2C7B" w14:textId="1592F715" w:rsidR="00F53E3A" w:rsidRDefault="0036255F">
            <w:pPr>
              <w:pStyle w:val="P68B1DB1-Normal39"/>
              <w:spacing w:after="0"/>
              <w:jc w:val="both"/>
              <w:rPr>
                <w:noProof/>
              </w:rPr>
            </w:pPr>
            <w:r>
              <w:rPr>
                <w:noProof/>
              </w:rPr>
              <w:t>F.1.4. Îmbunătățirea respectării obligațiilor fiscale – F.1.4.4. Educarea viitorilor contribuabili în domeniul fiscal</w:t>
            </w:r>
          </w:p>
        </w:tc>
        <w:tc>
          <w:tcPr>
            <w:tcW w:w="1418" w:type="dxa"/>
            <w:shd w:val="clear" w:color="auto" w:fill="EAF1DD" w:themeFill="accent3" w:themeFillTint="33"/>
          </w:tcPr>
          <w:p w14:paraId="4BC64605" w14:textId="77777777" w:rsidR="00F53E3A" w:rsidRDefault="0036255F">
            <w:pPr>
              <w:pStyle w:val="P68B1DB1-Normal39"/>
              <w:spacing w:after="0"/>
              <w:jc w:val="center"/>
              <w:rPr>
                <w:noProof/>
                <w:szCs w:val="22"/>
              </w:rPr>
            </w:pPr>
            <w:r>
              <w:rPr>
                <w:noProof/>
              </w:rPr>
              <w:t>Țintă</w:t>
            </w:r>
          </w:p>
        </w:tc>
        <w:tc>
          <w:tcPr>
            <w:tcW w:w="3613" w:type="dxa"/>
            <w:shd w:val="clear" w:color="auto" w:fill="EAF1DD" w:themeFill="accent3" w:themeFillTint="33"/>
          </w:tcPr>
          <w:p w14:paraId="107917C5" w14:textId="024F64B7" w:rsidR="00F53E3A" w:rsidRDefault="0036255F">
            <w:pPr>
              <w:pStyle w:val="P68B1DB1-Normal39"/>
              <w:spacing w:after="0"/>
              <w:jc w:val="both"/>
              <w:rPr>
                <w:noProof/>
                <w:szCs w:val="22"/>
              </w:rPr>
            </w:pPr>
            <w:r>
              <w:rPr>
                <w:noProof/>
              </w:rPr>
              <w:t>Numărul de școli (primare, secundare, programatice, săli de sport) cu infrastructură de plată fără numerar nou înființată sau modernizată</w:t>
            </w:r>
          </w:p>
        </w:tc>
      </w:tr>
      <w:tr w:rsidR="00F53E3A" w14:paraId="5692A8DC" w14:textId="77777777">
        <w:trPr>
          <w:cantSplit/>
        </w:trPr>
        <w:tc>
          <w:tcPr>
            <w:tcW w:w="1298" w:type="dxa"/>
            <w:shd w:val="clear" w:color="auto" w:fill="EAF1DD" w:themeFill="accent3" w:themeFillTint="33"/>
            <w:noWrap/>
            <w:vAlign w:val="center"/>
          </w:tcPr>
          <w:p w14:paraId="3AFD8646" w14:textId="77777777" w:rsidR="00F53E3A" w:rsidRDefault="0036255F">
            <w:pPr>
              <w:pStyle w:val="P68B1DB1-Normal40"/>
              <w:spacing w:after="0"/>
              <w:jc w:val="center"/>
              <w:rPr>
                <w:noProof/>
                <w:color w:val="000000"/>
                <w:szCs w:val="22"/>
              </w:rPr>
            </w:pPr>
            <w:r>
              <w:rPr>
                <w:noProof/>
              </w:rPr>
              <w:t>169</w:t>
            </w:r>
          </w:p>
        </w:tc>
        <w:tc>
          <w:tcPr>
            <w:tcW w:w="3450" w:type="dxa"/>
            <w:shd w:val="clear" w:color="auto" w:fill="EAF1DD" w:themeFill="accent3" w:themeFillTint="33"/>
          </w:tcPr>
          <w:p w14:paraId="2B14FD7A" w14:textId="4AB5B2F5" w:rsidR="00F53E3A" w:rsidRDefault="0036255F">
            <w:pPr>
              <w:pStyle w:val="P68B1DB1-Normal39"/>
              <w:spacing w:after="0"/>
              <w:jc w:val="both"/>
              <w:rPr>
                <w:noProof/>
              </w:rPr>
            </w:pPr>
            <w:r>
              <w:rPr>
                <w:noProof/>
              </w:rPr>
              <w:t>F.1.6. O administrație fiscală inteligentă pentru a reduce deficitul de încasare a TVA – F.1.6.4. Digitalizarea timbrelor fiscale</w:t>
            </w:r>
          </w:p>
        </w:tc>
        <w:tc>
          <w:tcPr>
            <w:tcW w:w="1418" w:type="dxa"/>
            <w:shd w:val="clear" w:color="auto" w:fill="EAF1DD" w:themeFill="accent3" w:themeFillTint="33"/>
          </w:tcPr>
          <w:p w14:paraId="5F4D0730" w14:textId="77777777" w:rsidR="00F53E3A" w:rsidRDefault="0036255F">
            <w:pPr>
              <w:pStyle w:val="P68B1DB1-Normal39"/>
              <w:spacing w:after="0"/>
              <w:jc w:val="center"/>
              <w:rPr>
                <w:noProof/>
                <w:szCs w:val="22"/>
              </w:rPr>
            </w:pPr>
            <w:r>
              <w:rPr>
                <w:noProof/>
              </w:rPr>
              <w:t>Etapă</w:t>
            </w:r>
          </w:p>
        </w:tc>
        <w:tc>
          <w:tcPr>
            <w:tcW w:w="3613" w:type="dxa"/>
            <w:shd w:val="clear" w:color="auto" w:fill="EAF1DD" w:themeFill="accent3" w:themeFillTint="33"/>
          </w:tcPr>
          <w:p w14:paraId="29199C6C" w14:textId="77777777" w:rsidR="00F53E3A" w:rsidRDefault="0036255F">
            <w:pPr>
              <w:pStyle w:val="P68B1DB1-Normal39"/>
              <w:spacing w:after="0"/>
              <w:jc w:val="both"/>
              <w:rPr>
                <w:noProof/>
                <w:szCs w:val="22"/>
              </w:rPr>
            </w:pPr>
            <w:r>
              <w:rPr>
                <w:noProof/>
              </w:rPr>
              <w:t>Finalizarea proiectului-pilot privind înlocuirea timbrelor fiscale fizice pentru băuturile alcoolice cu soluții digitale</w:t>
            </w:r>
          </w:p>
        </w:tc>
      </w:tr>
      <w:tr w:rsidR="00F53E3A" w14:paraId="4346ECA1" w14:textId="77777777">
        <w:trPr>
          <w:cantSplit/>
        </w:trPr>
        <w:tc>
          <w:tcPr>
            <w:tcW w:w="1298" w:type="dxa"/>
            <w:shd w:val="clear" w:color="auto" w:fill="EAF1DD" w:themeFill="accent3" w:themeFillTint="33"/>
            <w:noWrap/>
          </w:tcPr>
          <w:p w14:paraId="2BEECDED" w14:textId="77777777" w:rsidR="00F53E3A" w:rsidRDefault="00F53E3A">
            <w:pPr>
              <w:spacing w:after="0"/>
              <w:jc w:val="center"/>
              <w:rPr>
                <w:rFonts w:ascii="Times New Roman" w:eastAsia="Times New Roman" w:hAnsi="Times New Roman" w:cs="Times New Roman"/>
                <w:noProof/>
                <w:color w:val="000000"/>
                <w:szCs w:val="22"/>
              </w:rPr>
            </w:pPr>
          </w:p>
        </w:tc>
        <w:tc>
          <w:tcPr>
            <w:tcW w:w="3450" w:type="dxa"/>
            <w:shd w:val="clear" w:color="auto" w:fill="EAF1DD" w:themeFill="accent3" w:themeFillTint="33"/>
          </w:tcPr>
          <w:p w14:paraId="035ECA81" w14:textId="77777777" w:rsidR="00F53E3A" w:rsidRDefault="00F53E3A">
            <w:pPr>
              <w:spacing w:after="0"/>
              <w:jc w:val="both"/>
              <w:rPr>
                <w:rFonts w:ascii="Times New Roman" w:eastAsia="Times New Roman" w:hAnsi="Times New Roman" w:cs="Times New Roman"/>
                <w:noProof/>
                <w:color w:val="000000"/>
                <w:szCs w:val="22"/>
              </w:rPr>
            </w:pPr>
          </w:p>
        </w:tc>
        <w:tc>
          <w:tcPr>
            <w:tcW w:w="1418" w:type="dxa"/>
            <w:shd w:val="clear" w:color="auto" w:fill="EAF1DD" w:themeFill="accent3" w:themeFillTint="33"/>
            <w:vAlign w:val="center"/>
          </w:tcPr>
          <w:p w14:paraId="668B5C53" w14:textId="77777777" w:rsidR="00F53E3A" w:rsidRDefault="0036255F">
            <w:pPr>
              <w:pStyle w:val="P68B1DB1-Normal40"/>
              <w:spacing w:after="0"/>
              <w:jc w:val="center"/>
              <w:rPr>
                <w:noProof/>
                <w:color w:val="000000"/>
                <w:szCs w:val="22"/>
              </w:rPr>
            </w:pPr>
            <w:r>
              <w:rPr>
                <w:noProof/>
              </w:rPr>
              <w:t>Cuantumul tranșei</w:t>
            </w:r>
          </w:p>
        </w:tc>
        <w:tc>
          <w:tcPr>
            <w:tcW w:w="3613" w:type="dxa"/>
            <w:shd w:val="clear" w:color="auto" w:fill="EAF1DD" w:themeFill="accent3" w:themeFillTint="33"/>
            <w:vAlign w:val="center"/>
          </w:tcPr>
          <w:p w14:paraId="0B61D577" w14:textId="0E344029" w:rsidR="00F53E3A" w:rsidRDefault="0036255F">
            <w:pPr>
              <w:spacing w:after="0"/>
              <w:jc w:val="both"/>
              <w:rPr>
                <w:rFonts w:ascii="Times New Roman" w:eastAsia="Times New Roman" w:hAnsi="Times New Roman" w:cs="Times New Roman"/>
                <w:noProof/>
                <w:color w:val="000000"/>
              </w:rPr>
            </w:pPr>
            <w:r>
              <w:rPr>
                <w:rFonts w:ascii="Times New Roman" w:eastAsia="Times New Roman" w:hAnsi="Times New Roman" w:cs="Times New Roman"/>
                <w:noProof/>
                <w:color w:val="000000" w:themeColor="text1"/>
              </w:rPr>
              <w:t>60</w:t>
            </w:r>
            <w:r>
              <w:rPr>
                <w:rFonts w:ascii="Times New Roman" w:hAnsi="Times New Roman"/>
                <w:noProof/>
                <w:sz w:val="20"/>
              </w:rPr>
              <w:t xml:space="preserve"> </w:t>
            </w:r>
            <w:r>
              <w:rPr>
                <w:rFonts w:ascii="Times New Roman" w:eastAsia="Times New Roman" w:hAnsi="Times New Roman" w:cs="Times New Roman"/>
                <w:noProof/>
                <w:color w:val="000000" w:themeColor="text1"/>
              </w:rPr>
              <w:t>000</w:t>
            </w:r>
            <w:r>
              <w:rPr>
                <w:rFonts w:ascii="Times New Roman" w:hAnsi="Times New Roman"/>
                <w:noProof/>
                <w:sz w:val="20"/>
              </w:rPr>
              <w:t xml:space="preserve"> </w:t>
            </w:r>
            <w:r>
              <w:rPr>
                <w:rFonts w:ascii="Times New Roman" w:eastAsia="Times New Roman" w:hAnsi="Times New Roman" w:cs="Times New Roman"/>
                <w:noProof/>
                <w:color w:val="000000" w:themeColor="text1"/>
              </w:rPr>
              <w:t>000 MIL.</w:t>
            </w:r>
          </w:p>
        </w:tc>
      </w:tr>
    </w:tbl>
    <w:p w14:paraId="12F0B163" w14:textId="4DD47624" w:rsidR="00F53E3A" w:rsidRDefault="0036255F">
      <w:pPr>
        <w:pStyle w:val="P68B1DB1-ListParagraph37"/>
        <w:keepNext/>
        <w:keepLines/>
        <w:numPr>
          <w:ilvl w:val="1"/>
          <w:numId w:val="41"/>
        </w:numPr>
        <w:spacing w:before="480" w:line="240" w:lineRule="auto"/>
        <w:jc w:val="both"/>
        <w:rPr>
          <w:noProof/>
        </w:rPr>
      </w:pPr>
      <w:r>
        <w:rPr>
          <w:noProof/>
        </w:rPr>
        <w:t>A cincea tranșă (sprijin nerambursabil):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70" w:type="dxa"/>
          <w:bottom w:w="15" w:type="dxa"/>
          <w:right w:w="70" w:type="dxa"/>
        </w:tblCellMar>
        <w:tblLook w:val="04A0" w:firstRow="1" w:lastRow="0" w:firstColumn="1" w:lastColumn="0" w:noHBand="0" w:noVBand="1"/>
      </w:tblPr>
      <w:tblGrid>
        <w:gridCol w:w="1298"/>
        <w:gridCol w:w="3592"/>
        <w:gridCol w:w="1177"/>
        <w:gridCol w:w="3712"/>
      </w:tblGrid>
      <w:tr w:rsidR="00F53E3A" w14:paraId="42D530F2" w14:textId="77777777">
        <w:trPr>
          <w:cantSplit/>
          <w:trHeight w:val="491"/>
          <w:tblHeader/>
        </w:trPr>
        <w:tc>
          <w:tcPr>
            <w:tcW w:w="1298" w:type="dxa"/>
            <w:shd w:val="clear" w:color="auto" w:fill="BDD7EE"/>
            <w:vAlign w:val="center"/>
          </w:tcPr>
          <w:p w14:paraId="36D1CEB9" w14:textId="77777777" w:rsidR="00F53E3A" w:rsidRDefault="0036255F">
            <w:pPr>
              <w:pStyle w:val="P68B1DB1-Normal38"/>
              <w:keepNext/>
              <w:keepLines/>
              <w:spacing w:after="0"/>
              <w:jc w:val="center"/>
              <w:rPr>
                <w:bCs/>
                <w:noProof/>
                <w:szCs w:val="22"/>
              </w:rPr>
            </w:pPr>
            <w:r>
              <w:rPr>
                <w:noProof/>
              </w:rPr>
              <w:t>Număr secvențial</w:t>
            </w:r>
          </w:p>
        </w:tc>
        <w:tc>
          <w:tcPr>
            <w:tcW w:w="3592" w:type="dxa"/>
            <w:shd w:val="clear" w:color="auto" w:fill="BDD7EE"/>
            <w:vAlign w:val="center"/>
          </w:tcPr>
          <w:p w14:paraId="29F46C0B" w14:textId="77777777" w:rsidR="00F53E3A" w:rsidRDefault="0036255F">
            <w:pPr>
              <w:pStyle w:val="P68B1DB1-Normal38"/>
              <w:keepNext/>
              <w:keepLines/>
              <w:spacing w:after="0"/>
              <w:jc w:val="center"/>
              <w:rPr>
                <w:bCs/>
                <w:noProof/>
                <w:szCs w:val="22"/>
              </w:rPr>
            </w:pPr>
            <w:r>
              <w:rPr>
                <w:noProof/>
              </w:rPr>
              <w:t xml:space="preserve">Măsură conexă </w:t>
            </w:r>
            <w:r>
              <w:rPr>
                <w:noProof/>
              </w:rPr>
              <w:br/>
              <w:t>(Reformă sau investiție)</w:t>
            </w:r>
          </w:p>
        </w:tc>
        <w:tc>
          <w:tcPr>
            <w:tcW w:w="1177" w:type="dxa"/>
            <w:shd w:val="clear" w:color="auto" w:fill="BDD7EE"/>
            <w:vAlign w:val="center"/>
          </w:tcPr>
          <w:p w14:paraId="20E1BDDC" w14:textId="3FCE1C02" w:rsidR="00F53E3A" w:rsidRDefault="0036255F">
            <w:pPr>
              <w:pStyle w:val="P68B1DB1-Normal38"/>
              <w:keepNext/>
              <w:keepLines/>
              <w:spacing w:after="0"/>
              <w:jc w:val="center"/>
              <w:rPr>
                <w:bCs/>
                <w:noProof/>
                <w:szCs w:val="22"/>
              </w:rPr>
            </w:pPr>
            <w:r>
              <w:rPr>
                <w:noProof/>
              </w:rPr>
              <w:t>Etapă/</w:t>
            </w:r>
            <w:r w:rsidR="00E04E3B">
              <w:rPr>
                <w:noProof/>
              </w:rPr>
              <w:t xml:space="preserve"> </w:t>
            </w:r>
            <w:r>
              <w:rPr>
                <w:noProof/>
              </w:rPr>
              <w:t>Obiectiv</w:t>
            </w:r>
          </w:p>
        </w:tc>
        <w:tc>
          <w:tcPr>
            <w:tcW w:w="3712" w:type="dxa"/>
            <w:shd w:val="clear" w:color="auto" w:fill="BDD7EE"/>
            <w:vAlign w:val="center"/>
          </w:tcPr>
          <w:p w14:paraId="0F3D6EED" w14:textId="77777777" w:rsidR="00F53E3A" w:rsidRDefault="0036255F">
            <w:pPr>
              <w:pStyle w:val="P68B1DB1-Normal38"/>
              <w:keepNext/>
              <w:keepLines/>
              <w:spacing w:after="0"/>
              <w:jc w:val="center"/>
              <w:rPr>
                <w:bCs/>
                <w:noProof/>
                <w:szCs w:val="22"/>
              </w:rPr>
            </w:pPr>
            <w:r>
              <w:rPr>
                <w:noProof/>
              </w:rPr>
              <w:t>Nume</w:t>
            </w:r>
          </w:p>
        </w:tc>
      </w:tr>
      <w:tr w:rsidR="00F53E3A" w14:paraId="280AFD35" w14:textId="77777777">
        <w:trPr>
          <w:cantSplit/>
        </w:trPr>
        <w:tc>
          <w:tcPr>
            <w:tcW w:w="1298" w:type="dxa"/>
            <w:shd w:val="clear" w:color="auto" w:fill="EAF1DD" w:themeFill="accent3" w:themeFillTint="33"/>
            <w:noWrap/>
            <w:vAlign w:val="center"/>
          </w:tcPr>
          <w:p w14:paraId="07C38C42" w14:textId="77777777" w:rsidR="00F53E3A" w:rsidRDefault="0036255F">
            <w:pPr>
              <w:pStyle w:val="P68B1DB1-Normal40"/>
              <w:spacing w:after="0"/>
              <w:jc w:val="center"/>
              <w:rPr>
                <w:noProof/>
                <w:color w:val="000000"/>
                <w:szCs w:val="22"/>
              </w:rPr>
            </w:pPr>
            <w:r>
              <w:rPr>
                <w:noProof/>
              </w:rPr>
              <w:t>10</w:t>
            </w:r>
          </w:p>
        </w:tc>
        <w:tc>
          <w:tcPr>
            <w:tcW w:w="3592" w:type="dxa"/>
            <w:shd w:val="clear" w:color="auto" w:fill="EAF1DD" w:themeFill="accent3" w:themeFillTint="33"/>
          </w:tcPr>
          <w:p w14:paraId="38851099" w14:textId="75BAE5DC" w:rsidR="00F53E3A" w:rsidRDefault="0036255F">
            <w:pPr>
              <w:pStyle w:val="P68B1DB1-Normal39"/>
              <w:spacing w:after="0"/>
              <w:jc w:val="both"/>
              <w:textAlignment w:val="baseline"/>
              <w:rPr>
                <w:noProof/>
              </w:rPr>
            </w:pPr>
            <w:r>
              <w:rPr>
                <w:noProof/>
              </w:rPr>
              <w:t>A.1.1. Îmbunătățirea calității și accesibilității serviciilor de sănătate și promovarea inovării</w:t>
            </w:r>
          </w:p>
          <w:p w14:paraId="63DA8463" w14:textId="77777777" w:rsidR="00F53E3A" w:rsidRDefault="0036255F">
            <w:pPr>
              <w:pStyle w:val="P68B1DB1-Normal39"/>
              <w:spacing w:after="0"/>
              <w:jc w:val="both"/>
              <w:rPr>
                <w:noProof/>
                <w:szCs w:val="22"/>
              </w:rPr>
            </w:pPr>
            <w:r>
              <w:rPr>
                <w:noProof/>
              </w:rPr>
              <w:t>A.1.1.9. Înființarea platformei de competențe pentru profesioniștii din domeniul sănătății</w:t>
            </w:r>
          </w:p>
        </w:tc>
        <w:tc>
          <w:tcPr>
            <w:tcW w:w="1177" w:type="dxa"/>
            <w:shd w:val="clear" w:color="auto" w:fill="EAF1DD" w:themeFill="accent3" w:themeFillTint="33"/>
          </w:tcPr>
          <w:p w14:paraId="5115BCC1" w14:textId="77777777" w:rsidR="00F53E3A" w:rsidRDefault="0036255F">
            <w:pPr>
              <w:pStyle w:val="P68B1DB1-Normal39"/>
              <w:spacing w:after="0"/>
              <w:jc w:val="center"/>
              <w:rPr>
                <w:noProof/>
                <w:szCs w:val="22"/>
              </w:rPr>
            </w:pPr>
            <w:r>
              <w:rPr>
                <w:noProof/>
              </w:rPr>
              <w:t>Etapă</w:t>
            </w:r>
          </w:p>
        </w:tc>
        <w:tc>
          <w:tcPr>
            <w:tcW w:w="3712" w:type="dxa"/>
            <w:shd w:val="clear" w:color="auto" w:fill="EAF1DD" w:themeFill="accent3" w:themeFillTint="33"/>
          </w:tcPr>
          <w:p w14:paraId="49F71C71" w14:textId="77777777" w:rsidR="00F53E3A" w:rsidRDefault="0036255F">
            <w:pPr>
              <w:pStyle w:val="P68B1DB1-Normal39"/>
              <w:spacing w:after="0"/>
              <w:jc w:val="both"/>
              <w:rPr>
                <w:noProof/>
                <w:szCs w:val="22"/>
              </w:rPr>
            </w:pPr>
            <w:r>
              <w:rPr>
                <w:noProof/>
              </w:rPr>
              <w:t>Înființarea unei platforme de competențe pentru profesioniștii din domeniul sănătății</w:t>
            </w:r>
          </w:p>
        </w:tc>
      </w:tr>
      <w:tr w:rsidR="00F53E3A" w14:paraId="404F737A" w14:textId="77777777">
        <w:trPr>
          <w:cantSplit/>
        </w:trPr>
        <w:tc>
          <w:tcPr>
            <w:tcW w:w="1298" w:type="dxa"/>
            <w:shd w:val="clear" w:color="auto" w:fill="EAF1DD" w:themeFill="accent3" w:themeFillTint="33"/>
            <w:noWrap/>
            <w:vAlign w:val="center"/>
          </w:tcPr>
          <w:p w14:paraId="6FC1DB06" w14:textId="77777777" w:rsidR="00F53E3A" w:rsidRDefault="0036255F">
            <w:pPr>
              <w:pStyle w:val="P68B1DB1-Normal40"/>
              <w:spacing w:after="0"/>
              <w:jc w:val="center"/>
              <w:rPr>
                <w:noProof/>
                <w:color w:val="000000"/>
                <w:szCs w:val="22"/>
              </w:rPr>
            </w:pPr>
            <w:r>
              <w:rPr>
                <w:noProof/>
              </w:rPr>
              <w:t>62</w:t>
            </w:r>
          </w:p>
        </w:tc>
        <w:tc>
          <w:tcPr>
            <w:tcW w:w="3592" w:type="dxa"/>
            <w:shd w:val="clear" w:color="auto" w:fill="EAF1DD" w:themeFill="accent3" w:themeFillTint="33"/>
          </w:tcPr>
          <w:p w14:paraId="7AFC72E8" w14:textId="77777777" w:rsidR="00F53E3A" w:rsidRDefault="0036255F">
            <w:pPr>
              <w:pStyle w:val="P68B1DB1-Normal39"/>
              <w:spacing w:after="0"/>
              <w:jc w:val="both"/>
              <w:rPr>
                <w:noProof/>
                <w:szCs w:val="22"/>
              </w:rPr>
            </w:pPr>
            <w:r>
              <w:rPr>
                <w:noProof/>
              </w:rPr>
              <w:t>C.1.1 Transformarea guvernanței tehnologiei informației publice</w:t>
            </w:r>
          </w:p>
        </w:tc>
        <w:tc>
          <w:tcPr>
            <w:tcW w:w="1177" w:type="dxa"/>
            <w:shd w:val="clear" w:color="auto" w:fill="EAF1DD" w:themeFill="accent3" w:themeFillTint="33"/>
          </w:tcPr>
          <w:p w14:paraId="41D126B1" w14:textId="77777777" w:rsidR="00F53E3A" w:rsidRDefault="0036255F">
            <w:pPr>
              <w:pStyle w:val="P68B1DB1-Normal39"/>
              <w:spacing w:after="0"/>
              <w:jc w:val="center"/>
              <w:rPr>
                <w:noProof/>
                <w:szCs w:val="22"/>
              </w:rPr>
            </w:pPr>
            <w:r>
              <w:rPr>
                <w:noProof/>
              </w:rPr>
              <w:t>Țintă</w:t>
            </w:r>
          </w:p>
        </w:tc>
        <w:tc>
          <w:tcPr>
            <w:tcW w:w="3712" w:type="dxa"/>
            <w:shd w:val="clear" w:color="auto" w:fill="EAF1DD" w:themeFill="accent3" w:themeFillTint="33"/>
          </w:tcPr>
          <w:p w14:paraId="0FC62A3F" w14:textId="460C0C9D" w:rsidR="00F53E3A" w:rsidRDefault="0036255F">
            <w:pPr>
              <w:pStyle w:val="P68B1DB1-Normal39"/>
              <w:spacing w:after="0"/>
              <w:jc w:val="both"/>
              <w:rPr>
                <w:noProof/>
              </w:rPr>
            </w:pPr>
            <w:r>
              <w:rPr>
                <w:noProof/>
              </w:rPr>
              <w:t>Agenția de Stat pentru Soluții Digitale furnizează servicii informatice instituțiilor și organismelor de stat</w:t>
            </w:r>
          </w:p>
        </w:tc>
      </w:tr>
      <w:tr w:rsidR="00F53E3A" w14:paraId="29B0660F" w14:textId="77777777">
        <w:trPr>
          <w:cantSplit/>
        </w:trPr>
        <w:tc>
          <w:tcPr>
            <w:tcW w:w="1298" w:type="dxa"/>
            <w:shd w:val="clear" w:color="auto" w:fill="EAF1DD" w:themeFill="accent3" w:themeFillTint="33"/>
            <w:noWrap/>
            <w:vAlign w:val="center"/>
          </w:tcPr>
          <w:p w14:paraId="643FF25B" w14:textId="77777777" w:rsidR="00F53E3A" w:rsidRDefault="0036255F">
            <w:pPr>
              <w:pStyle w:val="P68B1DB1-Normal40"/>
              <w:spacing w:after="0"/>
              <w:jc w:val="center"/>
              <w:rPr>
                <w:noProof/>
                <w:color w:val="000000"/>
                <w:szCs w:val="22"/>
              </w:rPr>
            </w:pPr>
            <w:r>
              <w:rPr>
                <w:noProof/>
              </w:rPr>
              <w:t>71</w:t>
            </w:r>
          </w:p>
        </w:tc>
        <w:tc>
          <w:tcPr>
            <w:tcW w:w="3592" w:type="dxa"/>
            <w:shd w:val="clear" w:color="auto" w:fill="EAF1DD" w:themeFill="accent3" w:themeFillTint="33"/>
          </w:tcPr>
          <w:p w14:paraId="04417B95" w14:textId="77777777" w:rsidR="00F53E3A" w:rsidRDefault="0036255F">
            <w:pPr>
              <w:pStyle w:val="P68B1DB1-Normal39"/>
              <w:spacing w:after="0"/>
              <w:jc w:val="both"/>
              <w:rPr>
                <w:noProof/>
                <w:szCs w:val="22"/>
              </w:rPr>
            </w:pPr>
            <w:r>
              <w:rPr>
                <w:noProof/>
              </w:rPr>
              <w:t>C.1.3 Servicii orientate către clienți</w:t>
            </w:r>
          </w:p>
        </w:tc>
        <w:tc>
          <w:tcPr>
            <w:tcW w:w="1177" w:type="dxa"/>
            <w:shd w:val="clear" w:color="auto" w:fill="EAF1DD" w:themeFill="accent3" w:themeFillTint="33"/>
          </w:tcPr>
          <w:p w14:paraId="5F2EB388" w14:textId="77777777" w:rsidR="00F53E3A" w:rsidRDefault="0036255F">
            <w:pPr>
              <w:pStyle w:val="P68B1DB1-Normal39"/>
              <w:spacing w:after="0"/>
              <w:jc w:val="center"/>
              <w:rPr>
                <w:noProof/>
                <w:szCs w:val="22"/>
              </w:rPr>
            </w:pPr>
            <w:r>
              <w:rPr>
                <w:noProof/>
              </w:rPr>
              <w:t>Țintă</w:t>
            </w:r>
          </w:p>
        </w:tc>
        <w:tc>
          <w:tcPr>
            <w:tcW w:w="3712" w:type="dxa"/>
            <w:shd w:val="clear" w:color="auto" w:fill="EAF1DD" w:themeFill="accent3" w:themeFillTint="33"/>
          </w:tcPr>
          <w:p w14:paraId="1DAA4F49" w14:textId="77777777" w:rsidR="00F53E3A" w:rsidRDefault="0036255F">
            <w:pPr>
              <w:pStyle w:val="P68B1DB1-Normal39"/>
              <w:spacing w:after="0"/>
              <w:jc w:val="both"/>
              <w:rPr>
                <w:noProof/>
                <w:szCs w:val="22"/>
              </w:rPr>
            </w:pPr>
            <w:r>
              <w:rPr>
                <w:noProof/>
              </w:rPr>
              <w:t>Punerea în funcțiune a unor soluții pentru serviciile publice digitale destinate persoanelor cu handicap</w:t>
            </w:r>
          </w:p>
        </w:tc>
      </w:tr>
      <w:tr w:rsidR="00F53E3A" w14:paraId="1519369A" w14:textId="77777777">
        <w:trPr>
          <w:cantSplit/>
        </w:trPr>
        <w:tc>
          <w:tcPr>
            <w:tcW w:w="1298" w:type="dxa"/>
            <w:shd w:val="clear" w:color="auto" w:fill="EAF1DD" w:themeFill="accent3" w:themeFillTint="33"/>
            <w:noWrap/>
            <w:vAlign w:val="center"/>
          </w:tcPr>
          <w:p w14:paraId="6F480C50" w14:textId="77777777" w:rsidR="00F53E3A" w:rsidRDefault="0036255F">
            <w:pPr>
              <w:pStyle w:val="P68B1DB1-Normal40"/>
              <w:spacing w:after="0"/>
              <w:jc w:val="center"/>
              <w:rPr>
                <w:noProof/>
                <w:color w:val="000000"/>
                <w:szCs w:val="22"/>
              </w:rPr>
            </w:pPr>
            <w:r>
              <w:rPr>
                <w:noProof/>
              </w:rPr>
              <w:t>102</w:t>
            </w:r>
          </w:p>
        </w:tc>
        <w:tc>
          <w:tcPr>
            <w:tcW w:w="3592" w:type="dxa"/>
            <w:shd w:val="clear" w:color="auto" w:fill="EAF1DD" w:themeFill="accent3" w:themeFillTint="33"/>
          </w:tcPr>
          <w:p w14:paraId="3A0D421D" w14:textId="77777777" w:rsidR="00F53E3A" w:rsidRDefault="0036255F">
            <w:pPr>
              <w:pStyle w:val="P68B1DB1-Normal39"/>
              <w:spacing w:after="0"/>
              <w:jc w:val="both"/>
              <w:textAlignment w:val="baseline"/>
              <w:rPr>
                <w:noProof/>
                <w:szCs w:val="22"/>
              </w:rPr>
            </w:pPr>
            <w:r>
              <w:rPr>
                <w:noProof/>
              </w:rPr>
              <w:t>D.1.1. Educația generală modernă – Contextul competențelor de bază</w:t>
            </w:r>
          </w:p>
          <w:p w14:paraId="29AE1F7D" w14:textId="77777777" w:rsidR="00F53E3A" w:rsidRDefault="0036255F">
            <w:pPr>
              <w:pStyle w:val="P68B1DB1-Normal39"/>
              <w:spacing w:after="0"/>
              <w:jc w:val="both"/>
              <w:rPr>
                <w:noProof/>
                <w:szCs w:val="22"/>
              </w:rPr>
            </w:pPr>
            <w:r>
              <w:rPr>
                <w:noProof/>
              </w:rPr>
              <w:t>D.1.1.6: Transformarea educației digitale</w:t>
            </w:r>
          </w:p>
        </w:tc>
        <w:tc>
          <w:tcPr>
            <w:tcW w:w="1177" w:type="dxa"/>
            <w:shd w:val="clear" w:color="auto" w:fill="EAF1DD" w:themeFill="accent3" w:themeFillTint="33"/>
          </w:tcPr>
          <w:p w14:paraId="17FAC6CB" w14:textId="77777777" w:rsidR="00F53E3A" w:rsidRDefault="0036255F">
            <w:pPr>
              <w:pStyle w:val="P68B1DB1-Normal39"/>
              <w:spacing w:after="0"/>
              <w:jc w:val="center"/>
              <w:rPr>
                <w:noProof/>
                <w:szCs w:val="22"/>
              </w:rPr>
            </w:pPr>
            <w:r>
              <w:rPr>
                <w:noProof/>
              </w:rPr>
              <w:t>Țintă</w:t>
            </w:r>
          </w:p>
        </w:tc>
        <w:tc>
          <w:tcPr>
            <w:tcW w:w="3712" w:type="dxa"/>
            <w:shd w:val="clear" w:color="auto" w:fill="EAF1DD" w:themeFill="accent3" w:themeFillTint="33"/>
          </w:tcPr>
          <w:p w14:paraId="0AA91F0F" w14:textId="574CB7C7" w:rsidR="00F53E3A" w:rsidRDefault="0036255F">
            <w:pPr>
              <w:pStyle w:val="P68B1DB1-Normal39"/>
              <w:spacing w:after="0"/>
              <w:jc w:val="both"/>
              <w:rPr>
                <w:noProof/>
              </w:rPr>
            </w:pPr>
            <w:r>
              <w:rPr>
                <w:noProof/>
              </w:rPr>
              <w:t>Numărul de membri ai personalului pedagogic care au absolvit cursul de îmbunătățire a competențelor digitale</w:t>
            </w:r>
          </w:p>
        </w:tc>
      </w:tr>
      <w:tr w:rsidR="00F53E3A" w14:paraId="4C6DBFDF" w14:textId="77777777">
        <w:trPr>
          <w:cantSplit/>
        </w:trPr>
        <w:tc>
          <w:tcPr>
            <w:tcW w:w="1298" w:type="dxa"/>
            <w:shd w:val="clear" w:color="auto" w:fill="EAF1DD" w:themeFill="accent3" w:themeFillTint="33"/>
            <w:noWrap/>
            <w:vAlign w:val="center"/>
          </w:tcPr>
          <w:p w14:paraId="0350759C" w14:textId="77777777" w:rsidR="00F53E3A" w:rsidRDefault="0036255F">
            <w:pPr>
              <w:pStyle w:val="P68B1DB1-Normal40"/>
              <w:spacing w:after="0"/>
              <w:jc w:val="center"/>
              <w:rPr>
                <w:noProof/>
                <w:color w:val="000000"/>
                <w:szCs w:val="22"/>
              </w:rPr>
            </w:pPr>
            <w:r>
              <w:rPr>
                <w:noProof/>
              </w:rPr>
              <w:t>111</w:t>
            </w:r>
          </w:p>
        </w:tc>
        <w:tc>
          <w:tcPr>
            <w:tcW w:w="3592" w:type="dxa"/>
            <w:shd w:val="clear" w:color="auto" w:fill="EAF1DD" w:themeFill="accent3" w:themeFillTint="33"/>
          </w:tcPr>
          <w:p w14:paraId="40BC95F9" w14:textId="77777777" w:rsidR="00F53E3A" w:rsidRDefault="0036255F">
            <w:pPr>
              <w:pStyle w:val="P68B1DB1-Normal39"/>
              <w:spacing w:after="0"/>
              <w:jc w:val="both"/>
              <w:rPr>
                <w:noProof/>
                <w:szCs w:val="22"/>
              </w:rPr>
            </w:pPr>
            <w:r>
              <w:rPr>
                <w:noProof/>
              </w:rPr>
              <w:t>D.1.3. Sistem de orientare profesională pentru echilibrarea cererii și ofertei pe piața forței de muncă</w:t>
            </w:r>
          </w:p>
        </w:tc>
        <w:tc>
          <w:tcPr>
            <w:tcW w:w="1177" w:type="dxa"/>
            <w:shd w:val="clear" w:color="auto" w:fill="EAF1DD" w:themeFill="accent3" w:themeFillTint="33"/>
          </w:tcPr>
          <w:p w14:paraId="1DD2430F" w14:textId="77777777" w:rsidR="00F53E3A" w:rsidRDefault="0036255F">
            <w:pPr>
              <w:pStyle w:val="P68B1DB1-Normal39"/>
              <w:spacing w:after="0"/>
              <w:jc w:val="center"/>
              <w:rPr>
                <w:noProof/>
                <w:szCs w:val="22"/>
              </w:rPr>
            </w:pPr>
            <w:r>
              <w:rPr>
                <w:noProof/>
              </w:rPr>
              <w:t>Țintă</w:t>
            </w:r>
          </w:p>
        </w:tc>
        <w:tc>
          <w:tcPr>
            <w:tcW w:w="3712" w:type="dxa"/>
            <w:shd w:val="clear" w:color="auto" w:fill="EAF1DD" w:themeFill="accent3" w:themeFillTint="33"/>
          </w:tcPr>
          <w:p w14:paraId="26635983" w14:textId="77777777" w:rsidR="00F53E3A" w:rsidRDefault="0036255F">
            <w:pPr>
              <w:pStyle w:val="P68B1DB1-Normal39"/>
              <w:spacing w:after="0"/>
              <w:jc w:val="both"/>
              <w:rPr>
                <w:noProof/>
                <w:szCs w:val="22"/>
              </w:rPr>
            </w:pPr>
            <w:r>
              <w:rPr>
                <w:noProof/>
              </w:rPr>
              <w:t>Numărul de specialiști în carieră care prestează servicii în școli</w:t>
            </w:r>
          </w:p>
        </w:tc>
      </w:tr>
      <w:tr w:rsidR="00F53E3A" w14:paraId="5C92F084" w14:textId="77777777">
        <w:trPr>
          <w:cantSplit/>
        </w:trPr>
        <w:tc>
          <w:tcPr>
            <w:tcW w:w="1298" w:type="dxa"/>
            <w:shd w:val="clear" w:color="auto" w:fill="EAF1DD" w:themeFill="accent3" w:themeFillTint="33"/>
            <w:noWrap/>
            <w:vAlign w:val="center"/>
          </w:tcPr>
          <w:p w14:paraId="29669A37" w14:textId="77777777" w:rsidR="00F53E3A" w:rsidRDefault="0036255F">
            <w:pPr>
              <w:pStyle w:val="P68B1DB1-Normal40"/>
              <w:spacing w:after="0"/>
              <w:jc w:val="center"/>
              <w:rPr>
                <w:noProof/>
                <w:color w:val="000000"/>
                <w:szCs w:val="22"/>
              </w:rPr>
            </w:pPr>
            <w:r>
              <w:rPr>
                <w:noProof/>
              </w:rPr>
              <w:t>125</w:t>
            </w:r>
          </w:p>
        </w:tc>
        <w:tc>
          <w:tcPr>
            <w:tcW w:w="3592" w:type="dxa"/>
            <w:shd w:val="clear" w:color="auto" w:fill="EAF1DD" w:themeFill="accent3" w:themeFillTint="33"/>
          </w:tcPr>
          <w:p w14:paraId="6036FF67" w14:textId="77777777" w:rsidR="00F53E3A" w:rsidRDefault="0036255F">
            <w:pPr>
              <w:pStyle w:val="P68B1DB1-Normal39"/>
              <w:spacing w:after="0"/>
              <w:jc w:val="both"/>
              <w:rPr>
                <w:noProof/>
                <w:szCs w:val="22"/>
              </w:rPr>
            </w:pPr>
            <w:r>
              <w:rPr>
                <w:noProof/>
              </w:rPr>
              <w:t>E.1.1. Învățământ superior de calitate și instituții de învățământ superior puternice – E.1.1.3. Consolidarea competitivității internaționale a instituțiilor de învățământ superior</w:t>
            </w:r>
          </w:p>
        </w:tc>
        <w:tc>
          <w:tcPr>
            <w:tcW w:w="1177" w:type="dxa"/>
            <w:shd w:val="clear" w:color="auto" w:fill="EAF1DD" w:themeFill="accent3" w:themeFillTint="33"/>
          </w:tcPr>
          <w:p w14:paraId="38F100F0" w14:textId="77777777" w:rsidR="00F53E3A" w:rsidRDefault="0036255F">
            <w:pPr>
              <w:pStyle w:val="P68B1DB1-Normal39"/>
              <w:spacing w:after="0"/>
              <w:jc w:val="center"/>
              <w:rPr>
                <w:noProof/>
                <w:szCs w:val="22"/>
              </w:rPr>
            </w:pPr>
            <w:r>
              <w:rPr>
                <w:noProof/>
              </w:rPr>
              <w:t>Țintă</w:t>
            </w:r>
          </w:p>
        </w:tc>
        <w:tc>
          <w:tcPr>
            <w:tcW w:w="3712" w:type="dxa"/>
            <w:shd w:val="clear" w:color="auto" w:fill="EAF1DD" w:themeFill="accent3" w:themeFillTint="33"/>
          </w:tcPr>
          <w:p w14:paraId="10BDCDF5" w14:textId="77777777" w:rsidR="00F53E3A" w:rsidRDefault="0036255F">
            <w:pPr>
              <w:pStyle w:val="P68B1DB1-Normal39"/>
              <w:spacing w:after="0"/>
              <w:jc w:val="both"/>
              <w:rPr>
                <w:noProof/>
                <w:szCs w:val="22"/>
              </w:rPr>
            </w:pPr>
            <w:r>
              <w:rPr>
                <w:noProof/>
              </w:rPr>
              <w:t>Numărul de persoane care au beneficiat de sprijin pentru integrarea studenților străini</w:t>
            </w:r>
          </w:p>
        </w:tc>
      </w:tr>
      <w:tr w:rsidR="00F53E3A" w14:paraId="7E825B98" w14:textId="77777777">
        <w:trPr>
          <w:cantSplit/>
        </w:trPr>
        <w:tc>
          <w:tcPr>
            <w:tcW w:w="1298" w:type="dxa"/>
            <w:shd w:val="clear" w:color="auto" w:fill="EAF1DD" w:themeFill="accent3" w:themeFillTint="33"/>
            <w:noWrap/>
            <w:vAlign w:val="center"/>
          </w:tcPr>
          <w:p w14:paraId="0C21E0DB" w14:textId="77777777" w:rsidR="00F53E3A" w:rsidRDefault="0036255F">
            <w:pPr>
              <w:pStyle w:val="P68B1DB1-Normal40"/>
              <w:spacing w:after="0"/>
              <w:jc w:val="center"/>
              <w:rPr>
                <w:noProof/>
                <w:color w:val="000000"/>
                <w:szCs w:val="22"/>
              </w:rPr>
            </w:pPr>
            <w:r>
              <w:rPr>
                <w:noProof/>
              </w:rPr>
              <w:t>135</w:t>
            </w:r>
          </w:p>
        </w:tc>
        <w:tc>
          <w:tcPr>
            <w:tcW w:w="3592" w:type="dxa"/>
            <w:shd w:val="clear" w:color="auto" w:fill="EAF1DD" w:themeFill="accent3" w:themeFillTint="33"/>
          </w:tcPr>
          <w:p w14:paraId="0ABBF06D" w14:textId="77777777" w:rsidR="00F53E3A" w:rsidRDefault="0036255F">
            <w:pPr>
              <w:pStyle w:val="P68B1DB1-Normal39"/>
              <w:spacing w:after="0"/>
              <w:jc w:val="both"/>
              <w:textAlignment w:val="baseline"/>
              <w:rPr>
                <w:noProof/>
                <w:szCs w:val="22"/>
              </w:rPr>
            </w:pPr>
            <w:r>
              <w:rPr>
                <w:noProof/>
              </w:rPr>
              <w:t>E.1.3. Misiuni comune pentru știință și inovare în specializarea inteligentă – E.1.3.3. Încurajarea științei și a întreprinderilor să participe la programul UE pentru cercetare și inovare Orizont Europa și la alte programe internaționale de finanțare</w:t>
            </w:r>
          </w:p>
        </w:tc>
        <w:tc>
          <w:tcPr>
            <w:tcW w:w="1177" w:type="dxa"/>
            <w:shd w:val="clear" w:color="auto" w:fill="EAF1DD" w:themeFill="accent3" w:themeFillTint="33"/>
          </w:tcPr>
          <w:p w14:paraId="67034848" w14:textId="77777777" w:rsidR="00F53E3A" w:rsidRDefault="0036255F">
            <w:pPr>
              <w:pStyle w:val="P68B1DB1-Normal39"/>
              <w:spacing w:after="0"/>
              <w:jc w:val="center"/>
              <w:rPr>
                <w:noProof/>
                <w:szCs w:val="22"/>
              </w:rPr>
            </w:pPr>
            <w:r>
              <w:rPr>
                <w:noProof/>
              </w:rPr>
              <w:t>Țintă</w:t>
            </w:r>
          </w:p>
        </w:tc>
        <w:tc>
          <w:tcPr>
            <w:tcW w:w="3712" w:type="dxa"/>
            <w:shd w:val="clear" w:color="auto" w:fill="EAF1DD" w:themeFill="accent3" w:themeFillTint="33"/>
          </w:tcPr>
          <w:p w14:paraId="03F8E553" w14:textId="353337D8" w:rsidR="00F53E3A" w:rsidRDefault="0036255F">
            <w:pPr>
              <w:pStyle w:val="P68B1DB1-Normal39"/>
              <w:spacing w:after="0"/>
              <w:jc w:val="both"/>
              <w:rPr>
                <w:noProof/>
              </w:rPr>
            </w:pPr>
            <w:r>
              <w:rPr>
                <w:noProof/>
              </w:rPr>
              <w:t>Proiecte și servicii de consiliere pentru potențialii solicitanți ai programului Orizont Europa din partea instituțiilor de învățământ superior și a IMM-urilor cărora li s-a acordat sprijin financiar</w:t>
            </w:r>
          </w:p>
        </w:tc>
      </w:tr>
      <w:tr w:rsidR="00F53E3A" w14:paraId="7F95E305" w14:textId="77777777">
        <w:trPr>
          <w:cantSplit/>
        </w:trPr>
        <w:tc>
          <w:tcPr>
            <w:tcW w:w="1298" w:type="dxa"/>
            <w:shd w:val="clear" w:color="auto" w:fill="EAF1DD" w:themeFill="accent3" w:themeFillTint="33"/>
            <w:noWrap/>
            <w:vAlign w:val="center"/>
          </w:tcPr>
          <w:p w14:paraId="6C1FC1B3" w14:textId="77777777" w:rsidR="00F53E3A" w:rsidRDefault="0036255F">
            <w:pPr>
              <w:pStyle w:val="P68B1DB1-Normal40"/>
              <w:spacing w:after="0"/>
              <w:jc w:val="center"/>
              <w:rPr>
                <w:noProof/>
                <w:color w:val="000000"/>
                <w:szCs w:val="22"/>
              </w:rPr>
            </w:pPr>
            <w:r>
              <w:rPr>
                <w:noProof/>
              </w:rPr>
              <w:t>162</w:t>
            </w:r>
          </w:p>
        </w:tc>
        <w:tc>
          <w:tcPr>
            <w:tcW w:w="3592" w:type="dxa"/>
            <w:shd w:val="clear" w:color="auto" w:fill="EAF1DD" w:themeFill="accent3" w:themeFillTint="33"/>
          </w:tcPr>
          <w:p w14:paraId="1956E25F" w14:textId="77777777" w:rsidR="00F53E3A" w:rsidRDefault="0036255F">
            <w:pPr>
              <w:pStyle w:val="P68B1DB1-Normal39"/>
              <w:spacing w:after="0"/>
              <w:jc w:val="both"/>
              <w:rPr>
                <w:noProof/>
                <w:szCs w:val="22"/>
              </w:rPr>
            </w:pPr>
            <w:r>
              <w:rPr>
                <w:noProof/>
              </w:rPr>
              <w:t>F.1.4. Îmbunătățirea respectării obligațiilor fiscale – F.1.4.5. Mai multă transparență în sectorul construcțiilor</w:t>
            </w:r>
          </w:p>
        </w:tc>
        <w:tc>
          <w:tcPr>
            <w:tcW w:w="1177" w:type="dxa"/>
            <w:shd w:val="clear" w:color="auto" w:fill="EAF1DD" w:themeFill="accent3" w:themeFillTint="33"/>
          </w:tcPr>
          <w:p w14:paraId="3537112E" w14:textId="77777777" w:rsidR="00F53E3A" w:rsidRDefault="0036255F">
            <w:pPr>
              <w:pStyle w:val="P68B1DB1-Normal39"/>
              <w:spacing w:after="0"/>
              <w:jc w:val="center"/>
              <w:rPr>
                <w:noProof/>
                <w:szCs w:val="22"/>
              </w:rPr>
            </w:pPr>
            <w:r>
              <w:rPr>
                <w:noProof/>
              </w:rPr>
              <w:t>Etapă</w:t>
            </w:r>
          </w:p>
        </w:tc>
        <w:tc>
          <w:tcPr>
            <w:tcW w:w="3712" w:type="dxa"/>
            <w:shd w:val="clear" w:color="auto" w:fill="EAF1DD" w:themeFill="accent3" w:themeFillTint="33"/>
          </w:tcPr>
          <w:p w14:paraId="1C9AF42B" w14:textId="77777777" w:rsidR="00F53E3A" w:rsidRDefault="0036255F">
            <w:pPr>
              <w:pStyle w:val="P68B1DB1-Normal39"/>
              <w:spacing w:after="0"/>
              <w:jc w:val="both"/>
              <w:textAlignment w:val="baseline"/>
              <w:rPr>
                <w:noProof/>
                <w:szCs w:val="22"/>
              </w:rPr>
            </w:pPr>
            <w:r>
              <w:rPr>
                <w:noProof/>
              </w:rPr>
              <w:t>Punerea în funcțiune a instrumentelor digitale pentru a permite înregistrarea în timp real a persoanelor care lucrează în sectorul construcțiilor și identificarea celor care lucrează ilegal pe șantierele de construcții</w:t>
            </w:r>
          </w:p>
        </w:tc>
      </w:tr>
      <w:tr w:rsidR="00F53E3A" w14:paraId="2033CD38" w14:textId="77777777">
        <w:trPr>
          <w:cantSplit/>
        </w:trPr>
        <w:tc>
          <w:tcPr>
            <w:tcW w:w="1298" w:type="dxa"/>
            <w:shd w:val="clear" w:color="auto" w:fill="EAF1DD" w:themeFill="accent3" w:themeFillTint="33"/>
            <w:noWrap/>
            <w:vAlign w:val="center"/>
          </w:tcPr>
          <w:p w14:paraId="14E0B122" w14:textId="77777777" w:rsidR="00F53E3A" w:rsidRDefault="0036255F">
            <w:pPr>
              <w:pStyle w:val="P68B1DB1-Normal40"/>
              <w:spacing w:after="0"/>
              <w:jc w:val="center"/>
              <w:rPr>
                <w:noProof/>
                <w:color w:val="000000"/>
                <w:szCs w:val="22"/>
              </w:rPr>
            </w:pPr>
            <w:r>
              <w:rPr>
                <w:noProof/>
              </w:rPr>
              <w:t>175</w:t>
            </w:r>
          </w:p>
        </w:tc>
        <w:tc>
          <w:tcPr>
            <w:tcW w:w="3592" w:type="dxa"/>
            <w:shd w:val="clear" w:color="auto" w:fill="EAF1DD" w:themeFill="accent3" w:themeFillTint="33"/>
          </w:tcPr>
          <w:p w14:paraId="0AF81ADB" w14:textId="379F4C3A" w:rsidR="00F53E3A" w:rsidRDefault="0036255F">
            <w:pPr>
              <w:pStyle w:val="P68B1DB1-Normal39"/>
              <w:spacing w:after="0"/>
              <w:jc w:val="both"/>
              <w:rPr>
                <w:noProof/>
                <w:szCs w:val="22"/>
              </w:rPr>
            </w:pPr>
            <w:r>
              <w:rPr>
                <w:noProof/>
              </w:rPr>
              <w:t>F.1.7. Furnizarea unui ecosistem de documente electronice – F.1.7.1. Submăsura 1. Crearea unei soluții care să permită încasările electronice</w:t>
            </w:r>
          </w:p>
        </w:tc>
        <w:tc>
          <w:tcPr>
            <w:tcW w:w="1177" w:type="dxa"/>
            <w:shd w:val="clear" w:color="auto" w:fill="EAF1DD" w:themeFill="accent3" w:themeFillTint="33"/>
          </w:tcPr>
          <w:p w14:paraId="6B2AEB31" w14:textId="77777777" w:rsidR="00F53E3A" w:rsidRDefault="0036255F">
            <w:pPr>
              <w:pStyle w:val="P68B1DB1-Normal39"/>
              <w:spacing w:after="0"/>
              <w:jc w:val="center"/>
              <w:rPr>
                <w:noProof/>
                <w:szCs w:val="22"/>
              </w:rPr>
            </w:pPr>
            <w:r>
              <w:rPr>
                <w:noProof/>
              </w:rPr>
              <w:t>Etapă</w:t>
            </w:r>
          </w:p>
        </w:tc>
        <w:tc>
          <w:tcPr>
            <w:tcW w:w="3712" w:type="dxa"/>
            <w:shd w:val="clear" w:color="auto" w:fill="EAF1DD" w:themeFill="accent3" w:themeFillTint="33"/>
          </w:tcPr>
          <w:p w14:paraId="688DBA5F" w14:textId="77777777" w:rsidR="00F53E3A" w:rsidRDefault="0036255F">
            <w:pPr>
              <w:pStyle w:val="P68B1DB1-Normal39"/>
              <w:spacing w:after="0"/>
              <w:jc w:val="both"/>
              <w:rPr>
                <w:noProof/>
                <w:szCs w:val="22"/>
              </w:rPr>
            </w:pPr>
            <w:r>
              <w:rPr>
                <w:noProof/>
              </w:rPr>
              <w:t>Punerea în funcțiune a unor soluții tehnologice care să permită utilizarea practică a chitanțelor electronice în procesele operaționale</w:t>
            </w:r>
          </w:p>
        </w:tc>
      </w:tr>
      <w:tr w:rsidR="00F53E3A" w14:paraId="7E156D2F" w14:textId="77777777">
        <w:trPr>
          <w:cantSplit/>
        </w:trPr>
        <w:tc>
          <w:tcPr>
            <w:tcW w:w="1298" w:type="dxa"/>
            <w:shd w:val="clear" w:color="auto" w:fill="EAF1DD" w:themeFill="accent3" w:themeFillTint="33"/>
            <w:noWrap/>
          </w:tcPr>
          <w:p w14:paraId="6A54139A" w14:textId="77777777" w:rsidR="00F53E3A" w:rsidRDefault="00F53E3A">
            <w:pPr>
              <w:spacing w:after="0"/>
              <w:jc w:val="center"/>
              <w:rPr>
                <w:rFonts w:ascii="Times New Roman" w:eastAsia="Times New Roman" w:hAnsi="Times New Roman" w:cs="Times New Roman"/>
                <w:noProof/>
                <w:color w:val="000000"/>
                <w:szCs w:val="22"/>
              </w:rPr>
            </w:pPr>
          </w:p>
        </w:tc>
        <w:tc>
          <w:tcPr>
            <w:tcW w:w="3592" w:type="dxa"/>
            <w:shd w:val="clear" w:color="auto" w:fill="EAF1DD" w:themeFill="accent3" w:themeFillTint="33"/>
          </w:tcPr>
          <w:p w14:paraId="3680E139" w14:textId="77777777" w:rsidR="00F53E3A" w:rsidRDefault="00F53E3A">
            <w:pPr>
              <w:spacing w:after="0"/>
              <w:jc w:val="both"/>
              <w:rPr>
                <w:rFonts w:ascii="Times New Roman" w:eastAsia="Times New Roman" w:hAnsi="Times New Roman" w:cs="Times New Roman"/>
                <w:noProof/>
                <w:color w:val="000000"/>
                <w:szCs w:val="22"/>
              </w:rPr>
            </w:pPr>
          </w:p>
        </w:tc>
        <w:tc>
          <w:tcPr>
            <w:tcW w:w="1177" w:type="dxa"/>
            <w:shd w:val="clear" w:color="auto" w:fill="EAF1DD" w:themeFill="accent3" w:themeFillTint="33"/>
            <w:vAlign w:val="center"/>
          </w:tcPr>
          <w:p w14:paraId="094D1F3A" w14:textId="77777777" w:rsidR="00F53E3A" w:rsidRDefault="0036255F">
            <w:pPr>
              <w:pStyle w:val="P68B1DB1-Normal40"/>
              <w:spacing w:after="0"/>
              <w:jc w:val="center"/>
              <w:rPr>
                <w:noProof/>
                <w:color w:val="000000"/>
                <w:szCs w:val="22"/>
              </w:rPr>
            </w:pPr>
            <w:r>
              <w:rPr>
                <w:noProof/>
              </w:rPr>
              <w:t>Cuantumul tranșei</w:t>
            </w:r>
          </w:p>
        </w:tc>
        <w:tc>
          <w:tcPr>
            <w:tcW w:w="3712" w:type="dxa"/>
            <w:shd w:val="clear" w:color="auto" w:fill="EAF1DD" w:themeFill="accent3" w:themeFillTint="33"/>
            <w:vAlign w:val="center"/>
          </w:tcPr>
          <w:p w14:paraId="6EB3AD8A" w14:textId="391E511B" w:rsidR="00F53E3A" w:rsidRDefault="0036255F">
            <w:pPr>
              <w:spacing w:after="0"/>
              <w:jc w:val="both"/>
              <w:rPr>
                <w:rFonts w:ascii="Times New Roman" w:eastAsia="Times New Roman" w:hAnsi="Times New Roman" w:cs="Times New Roman"/>
                <w:noProof/>
                <w:color w:val="000000"/>
              </w:rPr>
            </w:pPr>
            <w:r>
              <w:rPr>
                <w:rFonts w:ascii="Times New Roman" w:eastAsia="Times New Roman" w:hAnsi="Times New Roman" w:cs="Times New Roman"/>
                <w:noProof/>
                <w:color w:val="000000" w:themeColor="text1"/>
              </w:rPr>
              <w:t>60 000 000 MIL.</w:t>
            </w:r>
          </w:p>
        </w:tc>
      </w:tr>
    </w:tbl>
    <w:p w14:paraId="170A8D34" w14:textId="61D55CF6" w:rsidR="00F53E3A" w:rsidRDefault="0036255F">
      <w:pPr>
        <w:pStyle w:val="P68B1DB1-ListParagraph37"/>
        <w:keepNext/>
        <w:keepLines/>
        <w:numPr>
          <w:ilvl w:val="1"/>
          <w:numId w:val="41"/>
        </w:numPr>
        <w:spacing w:before="480" w:line="240" w:lineRule="auto"/>
        <w:jc w:val="both"/>
        <w:rPr>
          <w:noProof/>
          <w:szCs w:val="24"/>
        </w:rPr>
      </w:pPr>
      <w:r>
        <w:rPr>
          <w:noProof/>
        </w:rPr>
        <w:t>A șasea tranșă (sprijin nerambursabil</w:t>
      </w:r>
      <w:bookmarkStart w:id="22" w:name="_Int_ka88Cdrp"/>
      <w:r>
        <w:rPr>
          <w:noProof/>
        </w:rPr>
        <w:t>):</w:t>
      </w:r>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70" w:type="dxa"/>
          <w:bottom w:w="15" w:type="dxa"/>
          <w:right w:w="70" w:type="dxa"/>
        </w:tblCellMar>
        <w:tblLook w:val="04A0" w:firstRow="1" w:lastRow="0" w:firstColumn="1" w:lastColumn="0" w:noHBand="0" w:noVBand="1"/>
      </w:tblPr>
      <w:tblGrid>
        <w:gridCol w:w="1346"/>
        <w:gridCol w:w="3499"/>
        <w:gridCol w:w="1179"/>
        <w:gridCol w:w="3755"/>
      </w:tblGrid>
      <w:tr w:rsidR="00F53E3A" w14:paraId="1DB486EC" w14:textId="77777777">
        <w:trPr>
          <w:cantSplit/>
          <w:trHeight w:val="491"/>
          <w:tblHeader/>
        </w:trPr>
        <w:tc>
          <w:tcPr>
            <w:tcW w:w="1346" w:type="dxa"/>
            <w:shd w:val="clear" w:color="auto" w:fill="BDD7EE"/>
            <w:vAlign w:val="center"/>
          </w:tcPr>
          <w:p w14:paraId="0AD7B160" w14:textId="77777777" w:rsidR="00F53E3A" w:rsidRDefault="0036255F">
            <w:pPr>
              <w:pStyle w:val="P68B1DB1-Normal38"/>
              <w:keepNext/>
              <w:keepLines/>
              <w:spacing w:after="0"/>
              <w:jc w:val="center"/>
              <w:rPr>
                <w:bCs/>
                <w:noProof/>
                <w:szCs w:val="22"/>
              </w:rPr>
            </w:pPr>
            <w:r>
              <w:rPr>
                <w:noProof/>
              </w:rPr>
              <w:t>Număr secvențial</w:t>
            </w:r>
          </w:p>
        </w:tc>
        <w:tc>
          <w:tcPr>
            <w:tcW w:w="3499" w:type="dxa"/>
            <w:shd w:val="clear" w:color="auto" w:fill="BDD7EE"/>
            <w:vAlign w:val="center"/>
          </w:tcPr>
          <w:p w14:paraId="0FBC6D2B" w14:textId="77777777" w:rsidR="00F53E3A" w:rsidRDefault="0036255F">
            <w:pPr>
              <w:pStyle w:val="P68B1DB1-Normal38"/>
              <w:keepNext/>
              <w:keepLines/>
              <w:spacing w:after="0"/>
              <w:jc w:val="center"/>
              <w:rPr>
                <w:bCs/>
                <w:noProof/>
                <w:szCs w:val="22"/>
              </w:rPr>
            </w:pPr>
            <w:r>
              <w:rPr>
                <w:noProof/>
              </w:rPr>
              <w:t xml:space="preserve">Măsură conexă </w:t>
            </w:r>
            <w:r>
              <w:rPr>
                <w:noProof/>
              </w:rPr>
              <w:br/>
              <w:t>(Reformă sau investiție)</w:t>
            </w:r>
          </w:p>
        </w:tc>
        <w:tc>
          <w:tcPr>
            <w:tcW w:w="1179" w:type="dxa"/>
            <w:shd w:val="clear" w:color="auto" w:fill="BDD7EE"/>
            <w:vAlign w:val="center"/>
          </w:tcPr>
          <w:p w14:paraId="4AB4D46D" w14:textId="07C8B07A" w:rsidR="00F53E3A" w:rsidRDefault="0036255F">
            <w:pPr>
              <w:pStyle w:val="P68B1DB1-Normal38"/>
              <w:keepNext/>
              <w:keepLines/>
              <w:spacing w:after="0"/>
              <w:jc w:val="center"/>
              <w:rPr>
                <w:bCs/>
                <w:noProof/>
                <w:szCs w:val="22"/>
              </w:rPr>
            </w:pPr>
            <w:r>
              <w:rPr>
                <w:noProof/>
              </w:rPr>
              <w:t>Etapă/</w:t>
            </w:r>
            <w:r w:rsidR="00E04E3B">
              <w:rPr>
                <w:noProof/>
              </w:rPr>
              <w:t xml:space="preserve"> </w:t>
            </w:r>
            <w:r>
              <w:rPr>
                <w:noProof/>
              </w:rPr>
              <w:t>Obiectiv</w:t>
            </w:r>
          </w:p>
        </w:tc>
        <w:tc>
          <w:tcPr>
            <w:tcW w:w="3755" w:type="dxa"/>
            <w:shd w:val="clear" w:color="auto" w:fill="BDD7EE"/>
            <w:vAlign w:val="center"/>
          </w:tcPr>
          <w:p w14:paraId="16463038" w14:textId="77777777" w:rsidR="00F53E3A" w:rsidRDefault="0036255F">
            <w:pPr>
              <w:pStyle w:val="P68B1DB1-Normal38"/>
              <w:keepNext/>
              <w:keepLines/>
              <w:spacing w:after="0"/>
              <w:jc w:val="center"/>
              <w:rPr>
                <w:bCs/>
                <w:noProof/>
                <w:szCs w:val="22"/>
              </w:rPr>
            </w:pPr>
            <w:r>
              <w:rPr>
                <w:noProof/>
              </w:rPr>
              <w:t>Nume</w:t>
            </w:r>
          </w:p>
        </w:tc>
      </w:tr>
      <w:tr w:rsidR="00F53E3A" w14:paraId="4DBDE7E5" w14:textId="77777777">
        <w:trPr>
          <w:cantSplit/>
        </w:trPr>
        <w:tc>
          <w:tcPr>
            <w:tcW w:w="1346" w:type="dxa"/>
            <w:shd w:val="clear" w:color="auto" w:fill="EAF1DD" w:themeFill="accent3" w:themeFillTint="33"/>
            <w:noWrap/>
            <w:vAlign w:val="center"/>
          </w:tcPr>
          <w:p w14:paraId="70D499EB" w14:textId="77777777" w:rsidR="00F53E3A" w:rsidRDefault="0036255F">
            <w:pPr>
              <w:pStyle w:val="P68B1DB1-Normal40"/>
              <w:spacing w:after="0"/>
              <w:jc w:val="center"/>
              <w:rPr>
                <w:noProof/>
                <w:color w:val="000000"/>
                <w:szCs w:val="22"/>
              </w:rPr>
            </w:pPr>
            <w:r>
              <w:rPr>
                <w:noProof/>
              </w:rPr>
              <w:t>11</w:t>
            </w:r>
          </w:p>
        </w:tc>
        <w:tc>
          <w:tcPr>
            <w:tcW w:w="3499" w:type="dxa"/>
            <w:shd w:val="clear" w:color="auto" w:fill="EAF1DD" w:themeFill="accent3" w:themeFillTint="33"/>
          </w:tcPr>
          <w:p w14:paraId="2721C083" w14:textId="5B610DF4" w:rsidR="00F53E3A" w:rsidRDefault="0036255F">
            <w:pPr>
              <w:pStyle w:val="P68B1DB1-Normal39"/>
              <w:spacing w:after="0"/>
              <w:jc w:val="both"/>
              <w:textAlignment w:val="baseline"/>
              <w:rPr>
                <w:noProof/>
              </w:rPr>
            </w:pPr>
            <w:r>
              <w:rPr>
                <w:noProof/>
              </w:rPr>
              <w:t>A.1.1. Îmbunătățirea calității și accesibilității serviciilor de sănătate și promovarea inovării</w:t>
            </w:r>
          </w:p>
          <w:p w14:paraId="29D0DAA3" w14:textId="2899ED06" w:rsidR="00F53E3A" w:rsidRDefault="0036255F">
            <w:pPr>
              <w:spacing w:after="0"/>
              <w:jc w:val="both"/>
              <w:rPr>
                <w:rFonts w:ascii="Times New Roman" w:eastAsia="Times New Roman" w:hAnsi="Times New Roman" w:cs="Times New Roman"/>
                <w:noProof/>
                <w:sz w:val="20"/>
              </w:rPr>
            </w:pPr>
            <w:r>
              <w:rPr>
                <w:rFonts w:ascii="Times New Roman" w:eastAsia="Times New Roman" w:hAnsi="Times New Roman" w:cs="Times New Roman"/>
                <w:noProof/>
                <w:color w:val="000000" w:themeColor="text1"/>
              </w:rPr>
              <w:t xml:space="preserve">A.1.1.10. </w:t>
            </w:r>
            <w:r>
              <w:rPr>
                <w:rFonts w:ascii="Times New Roman" w:eastAsia="Segoe UI" w:hAnsi="Times New Roman" w:cs="Times New Roman"/>
                <w:noProof/>
                <w:color w:val="333333"/>
              </w:rPr>
              <w:t>Tabloul de bord</w:t>
            </w:r>
            <w:r>
              <w:rPr>
                <w:rFonts w:ascii="Times New Roman" w:eastAsia="Times New Roman" w:hAnsi="Times New Roman" w:cs="Times New Roman"/>
                <w:noProof/>
                <w:color w:val="000000" w:themeColor="text1"/>
              </w:rPr>
              <w:t xml:space="preserve"> al indicatorilor privind calitatea serviciilor de îngrijire bogate</w:t>
            </w:r>
          </w:p>
        </w:tc>
        <w:tc>
          <w:tcPr>
            <w:tcW w:w="1179" w:type="dxa"/>
            <w:shd w:val="clear" w:color="auto" w:fill="EAF1DD" w:themeFill="accent3" w:themeFillTint="33"/>
          </w:tcPr>
          <w:p w14:paraId="4C60759B" w14:textId="77777777" w:rsidR="00F53E3A" w:rsidRDefault="0036255F">
            <w:pPr>
              <w:pStyle w:val="P68B1DB1-Normal39"/>
              <w:spacing w:after="0"/>
              <w:jc w:val="center"/>
              <w:rPr>
                <w:noProof/>
                <w:szCs w:val="22"/>
              </w:rPr>
            </w:pPr>
            <w:r>
              <w:rPr>
                <w:noProof/>
              </w:rPr>
              <w:t>Țintă</w:t>
            </w:r>
          </w:p>
        </w:tc>
        <w:tc>
          <w:tcPr>
            <w:tcW w:w="3755" w:type="dxa"/>
            <w:shd w:val="clear" w:color="auto" w:fill="EAF1DD" w:themeFill="accent3" w:themeFillTint="33"/>
          </w:tcPr>
          <w:p w14:paraId="2B8CA5B5" w14:textId="0DA41CA5" w:rsidR="00F53E3A" w:rsidRDefault="0036255F">
            <w:pPr>
              <w:pStyle w:val="P68B1DB1-Normal26"/>
              <w:spacing w:before="60" w:after="60"/>
              <w:jc w:val="both"/>
              <w:rPr>
                <w:rFonts w:eastAsia="Times New Roman" w:cs="Times New Roman"/>
                <w:noProof/>
                <w:color w:val="000000"/>
                <w:szCs w:val="22"/>
              </w:rPr>
            </w:pPr>
            <w:r>
              <w:rPr>
                <w:noProof/>
              </w:rPr>
              <w:t>Tabloul de bord al indicatorilor de calitate ai serviciilor de asistență medicală</w:t>
            </w:r>
          </w:p>
        </w:tc>
      </w:tr>
      <w:tr w:rsidR="00F53E3A" w14:paraId="6BBAC262" w14:textId="77777777">
        <w:trPr>
          <w:cantSplit/>
        </w:trPr>
        <w:tc>
          <w:tcPr>
            <w:tcW w:w="1346" w:type="dxa"/>
            <w:shd w:val="clear" w:color="auto" w:fill="EAF1DD" w:themeFill="accent3" w:themeFillTint="33"/>
            <w:noWrap/>
            <w:vAlign w:val="center"/>
          </w:tcPr>
          <w:p w14:paraId="09761F8D" w14:textId="77777777" w:rsidR="00F53E3A" w:rsidRDefault="0036255F">
            <w:pPr>
              <w:pStyle w:val="P68B1DB1-Normal40"/>
              <w:spacing w:after="0"/>
              <w:jc w:val="center"/>
              <w:rPr>
                <w:noProof/>
                <w:color w:val="000000"/>
                <w:szCs w:val="22"/>
              </w:rPr>
            </w:pPr>
            <w:r>
              <w:rPr>
                <w:noProof/>
              </w:rPr>
              <w:t>16</w:t>
            </w:r>
          </w:p>
        </w:tc>
        <w:tc>
          <w:tcPr>
            <w:tcW w:w="3499" w:type="dxa"/>
            <w:shd w:val="clear" w:color="auto" w:fill="EAF1DD" w:themeFill="accent3" w:themeFillTint="33"/>
          </w:tcPr>
          <w:p w14:paraId="13A51228" w14:textId="121A7F98" w:rsidR="00F53E3A" w:rsidRDefault="0036255F">
            <w:pPr>
              <w:pStyle w:val="P68B1DB1-Normal39"/>
              <w:spacing w:after="0"/>
              <w:jc w:val="both"/>
              <w:textAlignment w:val="baseline"/>
              <w:rPr>
                <w:noProof/>
                <w:szCs w:val="22"/>
              </w:rPr>
            </w:pPr>
            <w:r>
              <w:rPr>
                <w:noProof/>
              </w:rPr>
              <w:t>A.1.2. Furnizarea de servicii de îngrijire pe termen lung</w:t>
            </w:r>
          </w:p>
          <w:p w14:paraId="7225B381" w14:textId="56E34386" w:rsidR="00F53E3A" w:rsidRDefault="0036255F">
            <w:pPr>
              <w:pStyle w:val="P68B1DB1-Normal39"/>
              <w:spacing w:after="0"/>
              <w:jc w:val="both"/>
              <w:rPr>
                <w:noProof/>
              </w:rPr>
            </w:pPr>
            <w:r>
              <w:rPr>
                <w:noProof/>
              </w:rPr>
              <w:t>A.1.2.2. Resursele umane și capacitatea infrastructurii pentru furnizarea de servicii de îngrijire pe termen lung</w:t>
            </w:r>
          </w:p>
        </w:tc>
        <w:tc>
          <w:tcPr>
            <w:tcW w:w="1179" w:type="dxa"/>
            <w:shd w:val="clear" w:color="auto" w:fill="EAF1DD" w:themeFill="accent3" w:themeFillTint="33"/>
          </w:tcPr>
          <w:p w14:paraId="2B645B18" w14:textId="247CE2B5" w:rsidR="00F53E3A" w:rsidRDefault="0036255F">
            <w:pPr>
              <w:pStyle w:val="P68B1DB1-Normal39"/>
              <w:spacing w:after="0"/>
              <w:jc w:val="center"/>
              <w:rPr>
                <w:noProof/>
              </w:rPr>
            </w:pPr>
            <w:r>
              <w:rPr>
                <w:noProof/>
              </w:rPr>
              <w:t>Țintă</w:t>
            </w:r>
          </w:p>
        </w:tc>
        <w:tc>
          <w:tcPr>
            <w:tcW w:w="3755" w:type="dxa"/>
            <w:shd w:val="clear" w:color="auto" w:fill="EAF1DD" w:themeFill="accent3" w:themeFillTint="33"/>
          </w:tcPr>
          <w:p w14:paraId="44076BAE" w14:textId="18E1FE82" w:rsidR="00F53E3A" w:rsidRDefault="0036255F">
            <w:pPr>
              <w:pStyle w:val="P68B1DB1-Normal39"/>
              <w:spacing w:before="60" w:after="60"/>
              <w:jc w:val="both"/>
              <w:rPr>
                <w:noProof/>
                <w:szCs w:val="22"/>
              </w:rPr>
            </w:pPr>
            <w:r>
              <w:rPr>
                <w:noProof/>
              </w:rPr>
              <w:t>Resurse umane și capacități de infrastructură</w:t>
            </w:r>
          </w:p>
        </w:tc>
      </w:tr>
      <w:tr w:rsidR="00F53E3A" w14:paraId="7081D459" w14:textId="77777777">
        <w:trPr>
          <w:cantSplit/>
        </w:trPr>
        <w:tc>
          <w:tcPr>
            <w:tcW w:w="1346" w:type="dxa"/>
            <w:shd w:val="clear" w:color="auto" w:fill="EAF1DD" w:themeFill="accent3" w:themeFillTint="33"/>
            <w:noWrap/>
            <w:vAlign w:val="center"/>
          </w:tcPr>
          <w:p w14:paraId="1169FF4B" w14:textId="77777777" w:rsidR="00F53E3A" w:rsidRDefault="0036255F">
            <w:pPr>
              <w:pStyle w:val="P68B1DB1-Normal40"/>
              <w:spacing w:after="0"/>
              <w:jc w:val="center"/>
              <w:rPr>
                <w:noProof/>
                <w:color w:val="000000" w:themeColor="text1"/>
              </w:rPr>
            </w:pPr>
            <w:r>
              <w:rPr>
                <w:noProof/>
              </w:rPr>
              <w:t>22</w:t>
            </w:r>
          </w:p>
        </w:tc>
        <w:tc>
          <w:tcPr>
            <w:tcW w:w="3499" w:type="dxa"/>
            <w:shd w:val="clear" w:color="auto" w:fill="EAF1DD" w:themeFill="accent3" w:themeFillTint="33"/>
          </w:tcPr>
          <w:p w14:paraId="4F6E05D6" w14:textId="2E51139A" w:rsidR="00F53E3A" w:rsidRDefault="0036255F">
            <w:pPr>
              <w:pStyle w:val="P68B1DB1-Normal39"/>
              <w:spacing w:after="0"/>
              <w:jc w:val="both"/>
              <w:rPr>
                <w:noProof/>
                <w:color w:val="000000" w:themeColor="text1"/>
              </w:rPr>
            </w:pPr>
            <w:r>
              <w:rPr>
                <w:noProof/>
              </w:rPr>
              <w:t>B. 1.1 Energie electrică mai durabilă produsă în țară – B.1.1.1 Lucrări pregătitoare pentru centralele eoliene offshore și infrastructura aferentă</w:t>
            </w:r>
          </w:p>
        </w:tc>
        <w:tc>
          <w:tcPr>
            <w:tcW w:w="1179" w:type="dxa"/>
            <w:shd w:val="clear" w:color="auto" w:fill="EAF1DD" w:themeFill="accent3" w:themeFillTint="33"/>
          </w:tcPr>
          <w:p w14:paraId="5747F061" w14:textId="77777777" w:rsidR="00F53E3A" w:rsidRDefault="0036255F">
            <w:pPr>
              <w:pStyle w:val="P68B1DB1-Normal39"/>
              <w:spacing w:after="0"/>
              <w:jc w:val="center"/>
              <w:rPr>
                <w:noProof/>
                <w:color w:val="000000" w:themeColor="text1"/>
              </w:rPr>
            </w:pPr>
            <w:r>
              <w:rPr>
                <w:noProof/>
              </w:rPr>
              <w:t>Etapă</w:t>
            </w:r>
          </w:p>
        </w:tc>
        <w:tc>
          <w:tcPr>
            <w:tcW w:w="3755" w:type="dxa"/>
            <w:shd w:val="clear" w:color="auto" w:fill="EAF1DD" w:themeFill="accent3" w:themeFillTint="33"/>
          </w:tcPr>
          <w:p w14:paraId="24573107" w14:textId="4A841CDF" w:rsidR="00F53E3A" w:rsidRDefault="0036255F">
            <w:pPr>
              <w:pStyle w:val="P68B1DB1-Normal39"/>
              <w:spacing w:before="60" w:after="60"/>
              <w:jc w:val="both"/>
              <w:rPr>
                <w:strike/>
                <w:noProof/>
                <w:color w:val="000000" w:themeColor="text1"/>
                <w:sz w:val="20"/>
              </w:rPr>
            </w:pPr>
            <w:r>
              <w:rPr>
                <w:noProof/>
              </w:rPr>
              <w:t>Efectuarea lucrărilor pregătitoare pentru centralele eoliene offshore și infrastructura aferentă</w:t>
            </w:r>
          </w:p>
        </w:tc>
      </w:tr>
      <w:tr w:rsidR="00F53E3A" w14:paraId="1DB08772" w14:textId="77777777">
        <w:trPr>
          <w:cantSplit/>
        </w:trPr>
        <w:tc>
          <w:tcPr>
            <w:tcW w:w="1346" w:type="dxa"/>
            <w:shd w:val="clear" w:color="auto" w:fill="EAF1DD" w:themeFill="accent3" w:themeFillTint="33"/>
            <w:noWrap/>
            <w:vAlign w:val="center"/>
          </w:tcPr>
          <w:p w14:paraId="19FCC2FA" w14:textId="77777777" w:rsidR="00F53E3A" w:rsidRDefault="0036255F">
            <w:pPr>
              <w:pStyle w:val="P68B1DB1-Normal40"/>
              <w:spacing w:after="0"/>
              <w:jc w:val="center"/>
              <w:rPr>
                <w:noProof/>
                <w:color w:val="000000"/>
                <w:szCs w:val="22"/>
              </w:rPr>
            </w:pPr>
            <w:r>
              <w:rPr>
                <w:noProof/>
              </w:rPr>
              <w:t>51</w:t>
            </w:r>
          </w:p>
        </w:tc>
        <w:tc>
          <w:tcPr>
            <w:tcW w:w="3499" w:type="dxa"/>
            <w:shd w:val="clear" w:color="auto" w:fill="EAF1DD" w:themeFill="accent3" w:themeFillTint="33"/>
          </w:tcPr>
          <w:p w14:paraId="10D0BE4D" w14:textId="77777777" w:rsidR="00F53E3A" w:rsidRDefault="0036255F">
            <w:pPr>
              <w:pStyle w:val="P68B1DB1-Normal39"/>
              <w:spacing w:after="0"/>
              <w:jc w:val="both"/>
              <w:rPr>
                <w:noProof/>
                <w:szCs w:val="22"/>
              </w:rPr>
            </w:pPr>
            <w:r>
              <w:rPr>
                <w:noProof/>
              </w:rPr>
              <w:t>B.1.3 Accelerarea renovării clădirilor și un mediu urban durabil – B.1.3.2. Instrumente de facilitare a coordonării renovării clădirilor și a asistenței tehnice</w:t>
            </w:r>
          </w:p>
        </w:tc>
        <w:tc>
          <w:tcPr>
            <w:tcW w:w="1179" w:type="dxa"/>
            <w:shd w:val="clear" w:color="auto" w:fill="EAF1DD" w:themeFill="accent3" w:themeFillTint="33"/>
          </w:tcPr>
          <w:p w14:paraId="33213C68" w14:textId="77777777" w:rsidR="00F53E3A" w:rsidRDefault="0036255F">
            <w:pPr>
              <w:pStyle w:val="P68B1DB1-Normal39"/>
              <w:spacing w:after="0"/>
              <w:jc w:val="center"/>
              <w:rPr>
                <w:noProof/>
                <w:szCs w:val="22"/>
              </w:rPr>
            </w:pPr>
            <w:r>
              <w:rPr>
                <w:noProof/>
              </w:rPr>
              <w:t>Țintă</w:t>
            </w:r>
          </w:p>
        </w:tc>
        <w:tc>
          <w:tcPr>
            <w:tcW w:w="3755" w:type="dxa"/>
            <w:shd w:val="clear" w:color="auto" w:fill="EAF1DD" w:themeFill="accent3" w:themeFillTint="33"/>
          </w:tcPr>
          <w:p w14:paraId="1D17309C" w14:textId="2046C9D0" w:rsidR="00F53E3A" w:rsidRDefault="0036255F">
            <w:pPr>
              <w:pStyle w:val="P68B1DB1-Normal39"/>
              <w:spacing w:after="0"/>
              <w:jc w:val="both"/>
              <w:rPr>
                <w:noProof/>
              </w:rPr>
            </w:pPr>
            <w:r>
              <w:rPr>
                <w:noProof/>
              </w:rPr>
              <w:t>Furnizarea de instrumente digitale legate de renovare</w:t>
            </w:r>
          </w:p>
        </w:tc>
      </w:tr>
      <w:tr w:rsidR="00F53E3A" w14:paraId="4977ED0B" w14:textId="77777777">
        <w:trPr>
          <w:cantSplit/>
          <w:trHeight w:val="300"/>
        </w:trPr>
        <w:tc>
          <w:tcPr>
            <w:tcW w:w="1346" w:type="dxa"/>
            <w:shd w:val="clear" w:color="auto" w:fill="EAF1DD" w:themeFill="accent3" w:themeFillTint="33"/>
            <w:noWrap/>
            <w:vAlign w:val="center"/>
          </w:tcPr>
          <w:p w14:paraId="5402A35A" w14:textId="463D1DAB" w:rsidR="00F53E3A" w:rsidRDefault="0036255F">
            <w:pPr>
              <w:pStyle w:val="P68B1DB1-Normal40"/>
              <w:jc w:val="center"/>
              <w:rPr>
                <w:noProof/>
              </w:rPr>
            </w:pPr>
            <w:r>
              <w:rPr>
                <w:noProof/>
              </w:rPr>
              <w:t>58c</w:t>
            </w:r>
          </w:p>
        </w:tc>
        <w:tc>
          <w:tcPr>
            <w:tcW w:w="3499" w:type="dxa"/>
            <w:shd w:val="clear" w:color="auto" w:fill="EAF1DD" w:themeFill="accent3" w:themeFillTint="33"/>
          </w:tcPr>
          <w:p w14:paraId="6BE5DEF7" w14:textId="7C1CF79A" w:rsidR="00F53E3A" w:rsidRDefault="0036255F">
            <w:pPr>
              <w:pStyle w:val="P68B1DB1-Normal39"/>
              <w:spacing w:after="0"/>
              <w:jc w:val="both"/>
              <w:rPr>
                <w:noProof/>
                <w:color w:val="000000" w:themeColor="text1"/>
              </w:rPr>
            </w:pPr>
            <w:r>
              <w:rPr>
                <w:noProof/>
              </w:rPr>
              <w:t>B.1.6. Transparența informațiilor privind racordarea la rețeaua de energie electrică</w:t>
            </w:r>
          </w:p>
        </w:tc>
        <w:tc>
          <w:tcPr>
            <w:tcW w:w="1179" w:type="dxa"/>
            <w:shd w:val="clear" w:color="auto" w:fill="EAF1DD" w:themeFill="accent3" w:themeFillTint="33"/>
          </w:tcPr>
          <w:p w14:paraId="1646517E" w14:textId="5345B5D7" w:rsidR="00F53E3A" w:rsidRDefault="0036255F">
            <w:pPr>
              <w:pStyle w:val="P68B1DB1-Normal39"/>
              <w:jc w:val="center"/>
              <w:rPr>
                <w:noProof/>
                <w:color w:val="000000" w:themeColor="text1"/>
              </w:rPr>
            </w:pPr>
            <w:r>
              <w:rPr>
                <w:noProof/>
              </w:rPr>
              <w:t>Etapă</w:t>
            </w:r>
          </w:p>
        </w:tc>
        <w:tc>
          <w:tcPr>
            <w:tcW w:w="3755" w:type="dxa"/>
            <w:shd w:val="clear" w:color="auto" w:fill="EAF1DD" w:themeFill="accent3" w:themeFillTint="33"/>
          </w:tcPr>
          <w:p w14:paraId="1D205072" w14:textId="56973D72" w:rsidR="00F53E3A" w:rsidRDefault="0036255F">
            <w:pPr>
              <w:pStyle w:val="P68B1DB1-Normal39"/>
              <w:spacing w:after="0"/>
              <w:jc w:val="both"/>
              <w:rPr>
                <w:noProof/>
                <w:color w:val="000000" w:themeColor="text1"/>
              </w:rPr>
            </w:pPr>
            <w:r>
              <w:rPr>
                <w:noProof/>
              </w:rPr>
              <w:t>Intrarea în vigoare a legislației</w:t>
            </w:r>
          </w:p>
        </w:tc>
      </w:tr>
      <w:tr w:rsidR="00F53E3A" w14:paraId="4B4F6F0D" w14:textId="77777777">
        <w:trPr>
          <w:cantSplit/>
          <w:trHeight w:val="300"/>
        </w:trPr>
        <w:tc>
          <w:tcPr>
            <w:tcW w:w="1346" w:type="dxa"/>
            <w:shd w:val="clear" w:color="auto" w:fill="EAF1DD" w:themeFill="accent3" w:themeFillTint="33"/>
            <w:noWrap/>
            <w:vAlign w:val="center"/>
          </w:tcPr>
          <w:p w14:paraId="34D46578" w14:textId="3EC0DDA8" w:rsidR="00F53E3A" w:rsidRDefault="0036255F">
            <w:pPr>
              <w:pStyle w:val="P68B1DB1-Normal40"/>
              <w:jc w:val="center"/>
              <w:rPr>
                <w:noProof/>
              </w:rPr>
            </w:pPr>
            <w:r>
              <w:rPr>
                <w:noProof/>
              </w:rPr>
              <w:t>65</w:t>
            </w:r>
          </w:p>
        </w:tc>
        <w:tc>
          <w:tcPr>
            <w:tcW w:w="3499" w:type="dxa"/>
            <w:shd w:val="clear" w:color="auto" w:fill="EAF1DD" w:themeFill="accent3" w:themeFillTint="33"/>
          </w:tcPr>
          <w:p w14:paraId="41584938" w14:textId="7C7441CA" w:rsidR="00F53E3A" w:rsidRDefault="0036255F">
            <w:pPr>
              <w:pStyle w:val="P68B1DB1-Normal39"/>
              <w:jc w:val="both"/>
              <w:rPr>
                <w:noProof/>
                <w:color w:val="000000" w:themeColor="text1"/>
              </w:rPr>
            </w:pPr>
            <w:r>
              <w:rPr>
                <w:noProof/>
              </w:rPr>
              <w:t>C.1.2 Gestionarea datelor și datele deschise</w:t>
            </w:r>
          </w:p>
        </w:tc>
        <w:tc>
          <w:tcPr>
            <w:tcW w:w="1179" w:type="dxa"/>
            <w:shd w:val="clear" w:color="auto" w:fill="EAF1DD" w:themeFill="accent3" w:themeFillTint="33"/>
          </w:tcPr>
          <w:p w14:paraId="6232B082" w14:textId="22ACC23E" w:rsidR="00F53E3A" w:rsidRDefault="0036255F">
            <w:pPr>
              <w:pStyle w:val="P68B1DB1-Normal39"/>
              <w:jc w:val="center"/>
              <w:rPr>
                <w:noProof/>
              </w:rPr>
            </w:pPr>
            <w:r>
              <w:rPr>
                <w:noProof/>
              </w:rPr>
              <w:t>Țintă</w:t>
            </w:r>
          </w:p>
        </w:tc>
        <w:tc>
          <w:tcPr>
            <w:tcW w:w="3755" w:type="dxa"/>
            <w:shd w:val="clear" w:color="auto" w:fill="EAF1DD" w:themeFill="accent3" w:themeFillTint="33"/>
          </w:tcPr>
          <w:p w14:paraId="6DA2F43A" w14:textId="4D60B63C" w:rsidR="00F53E3A" w:rsidRDefault="0036255F">
            <w:pPr>
              <w:pStyle w:val="P68B1DB1-Normal39"/>
              <w:jc w:val="both"/>
              <w:rPr>
                <w:noProof/>
              </w:rPr>
            </w:pPr>
            <w:r>
              <w:rPr>
                <w:noProof/>
              </w:rPr>
              <w:t>Furnizarea modelului de gestionare a datelor</w:t>
            </w:r>
          </w:p>
        </w:tc>
      </w:tr>
      <w:tr w:rsidR="00F53E3A" w14:paraId="40E2D054" w14:textId="77777777">
        <w:trPr>
          <w:cantSplit/>
          <w:trHeight w:val="300"/>
        </w:trPr>
        <w:tc>
          <w:tcPr>
            <w:tcW w:w="1346" w:type="dxa"/>
            <w:shd w:val="clear" w:color="auto" w:fill="EAF1DD" w:themeFill="accent3" w:themeFillTint="33"/>
            <w:noWrap/>
            <w:vAlign w:val="center"/>
          </w:tcPr>
          <w:p w14:paraId="43C0B81A" w14:textId="1ADCE1D5" w:rsidR="00F53E3A" w:rsidRDefault="0036255F">
            <w:pPr>
              <w:pStyle w:val="P68B1DB1-Normal40"/>
              <w:jc w:val="center"/>
              <w:rPr>
                <w:noProof/>
              </w:rPr>
            </w:pPr>
            <w:r>
              <w:rPr>
                <w:noProof/>
              </w:rPr>
              <w:t>78</w:t>
            </w:r>
          </w:p>
        </w:tc>
        <w:tc>
          <w:tcPr>
            <w:tcW w:w="3499" w:type="dxa"/>
            <w:shd w:val="clear" w:color="auto" w:fill="EAF1DD" w:themeFill="accent3" w:themeFillTint="33"/>
          </w:tcPr>
          <w:p w14:paraId="7DDE9C30" w14:textId="0F89352A" w:rsidR="00F53E3A" w:rsidRDefault="0036255F">
            <w:pPr>
              <w:pStyle w:val="P68B1DB1-Normal39"/>
              <w:spacing w:after="0"/>
              <w:jc w:val="both"/>
              <w:rPr>
                <w:noProof/>
                <w:color w:val="000000" w:themeColor="text1"/>
              </w:rPr>
            </w:pPr>
            <w:r>
              <w:rPr>
                <w:noProof/>
              </w:rPr>
              <w:t>C.1.4 Soluții tehnologice în mediul de afaceri și în viața de zi cu zi – C.1.4.2. Digitalizarea resurselor culturale</w:t>
            </w:r>
          </w:p>
        </w:tc>
        <w:tc>
          <w:tcPr>
            <w:tcW w:w="1179" w:type="dxa"/>
            <w:shd w:val="clear" w:color="auto" w:fill="EAF1DD" w:themeFill="accent3" w:themeFillTint="33"/>
          </w:tcPr>
          <w:p w14:paraId="7EE9753F" w14:textId="48090803" w:rsidR="00F53E3A" w:rsidRDefault="0036255F">
            <w:pPr>
              <w:pStyle w:val="P68B1DB1-Normal39"/>
              <w:jc w:val="center"/>
              <w:rPr>
                <w:noProof/>
              </w:rPr>
            </w:pPr>
            <w:r>
              <w:rPr>
                <w:noProof/>
              </w:rPr>
              <w:t>Țintă</w:t>
            </w:r>
          </w:p>
        </w:tc>
        <w:tc>
          <w:tcPr>
            <w:tcW w:w="3755" w:type="dxa"/>
            <w:shd w:val="clear" w:color="auto" w:fill="EAF1DD" w:themeFill="accent3" w:themeFillTint="33"/>
          </w:tcPr>
          <w:p w14:paraId="392F4BE1" w14:textId="48B988EE" w:rsidR="00F53E3A" w:rsidRDefault="0036255F">
            <w:pPr>
              <w:pStyle w:val="P68B1DB1-Normal39"/>
              <w:jc w:val="both"/>
              <w:rPr>
                <w:noProof/>
                <w:color w:val="000000" w:themeColor="text1"/>
              </w:rPr>
            </w:pPr>
            <w:r>
              <w:rPr>
                <w:noProof/>
              </w:rPr>
              <w:t>Resurse digitale (electronice) puse la dispoziția persoanelor cu handicap</w:t>
            </w:r>
          </w:p>
        </w:tc>
      </w:tr>
      <w:tr w:rsidR="00F53E3A" w14:paraId="1B5946CF" w14:textId="77777777">
        <w:trPr>
          <w:cantSplit/>
          <w:trHeight w:val="300"/>
        </w:trPr>
        <w:tc>
          <w:tcPr>
            <w:tcW w:w="1346" w:type="dxa"/>
            <w:shd w:val="clear" w:color="auto" w:fill="EAF1DD" w:themeFill="accent3" w:themeFillTint="33"/>
            <w:noWrap/>
            <w:vAlign w:val="center"/>
          </w:tcPr>
          <w:p w14:paraId="0722084C" w14:textId="558DD12B" w:rsidR="00F53E3A" w:rsidRDefault="0036255F">
            <w:pPr>
              <w:pStyle w:val="P68B1DB1-Normal40"/>
              <w:jc w:val="center"/>
              <w:rPr>
                <w:noProof/>
              </w:rPr>
            </w:pPr>
            <w:r>
              <w:rPr>
                <w:noProof/>
              </w:rPr>
              <w:t>85</w:t>
            </w:r>
          </w:p>
        </w:tc>
        <w:tc>
          <w:tcPr>
            <w:tcW w:w="3499" w:type="dxa"/>
            <w:shd w:val="clear" w:color="auto" w:fill="EAF1DD" w:themeFill="accent3" w:themeFillTint="33"/>
          </w:tcPr>
          <w:p w14:paraId="150DC0F0" w14:textId="6D95981B" w:rsidR="00F53E3A" w:rsidRDefault="0036255F">
            <w:pPr>
              <w:pStyle w:val="P68B1DB1-Normal39"/>
              <w:spacing w:before="60" w:after="60"/>
              <w:jc w:val="both"/>
              <w:rPr>
                <w:noProof/>
                <w:szCs w:val="22"/>
              </w:rPr>
            </w:pPr>
            <w:r>
              <w:rPr>
                <w:noProof/>
              </w:rPr>
              <w:t>C.1.5 Etapa către 5G – C.1.5.1. Foaia de parcurs privind 5G</w:t>
            </w:r>
          </w:p>
        </w:tc>
        <w:tc>
          <w:tcPr>
            <w:tcW w:w="1179" w:type="dxa"/>
            <w:shd w:val="clear" w:color="auto" w:fill="EAF1DD" w:themeFill="accent3" w:themeFillTint="33"/>
          </w:tcPr>
          <w:p w14:paraId="0AA1167C" w14:textId="5F61D839" w:rsidR="00F53E3A" w:rsidRDefault="0036255F">
            <w:pPr>
              <w:pStyle w:val="P68B1DB1-Normal39"/>
              <w:jc w:val="center"/>
              <w:rPr>
                <w:noProof/>
              </w:rPr>
            </w:pPr>
            <w:r>
              <w:rPr>
                <w:noProof/>
              </w:rPr>
              <w:t>Țintă</w:t>
            </w:r>
          </w:p>
        </w:tc>
        <w:tc>
          <w:tcPr>
            <w:tcW w:w="3755" w:type="dxa"/>
            <w:shd w:val="clear" w:color="auto" w:fill="EAF1DD" w:themeFill="accent3" w:themeFillTint="33"/>
          </w:tcPr>
          <w:p w14:paraId="16886261" w14:textId="1154B314" w:rsidR="00F53E3A" w:rsidRDefault="0036255F">
            <w:pPr>
              <w:pStyle w:val="P68B1DB1-Normal39"/>
              <w:spacing w:after="0"/>
              <w:jc w:val="both"/>
              <w:rPr>
                <w:noProof/>
                <w:color w:val="000000" w:themeColor="text1"/>
              </w:rPr>
            </w:pPr>
            <w:r>
              <w:rPr>
                <w:noProof/>
              </w:rPr>
              <w:t>Servicii 5G în zonele urbane și alte drumuri principale și linii de cale ferată de importanță națională, aeroporturi și porturi maritime</w:t>
            </w:r>
          </w:p>
        </w:tc>
      </w:tr>
      <w:tr w:rsidR="00F53E3A" w14:paraId="436B1E9D" w14:textId="77777777">
        <w:trPr>
          <w:cantSplit/>
          <w:trHeight w:val="300"/>
        </w:trPr>
        <w:tc>
          <w:tcPr>
            <w:tcW w:w="1346" w:type="dxa"/>
            <w:shd w:val="clear" w:color="auto" w:fill="EAF1DD" w:themeFill="accent3" w:themeFillTint="33"/>
            <w:noWrap/>
            <w:vAlign w:val="center"/>
          </w:tcPr>
          <w:p w14:paraId="3998AEE7" w14:textId="14176A05" w:rsidR="00F53E3A" w:rsidRDefault="0036255F">
            <w:pPr>
              <w:pStyle w:val="P68B1DB1-Normal40"/>
              <w:jc w:val="center"/>
              <w:rPr>
                <w:noProof/>
              </w:rPr>
            </w:pPr>
            <w:r>
              <w:rPr>
                <w:noProof/>
              </w:rPr>
              <w:t>141</w:t>
            </w:r>
          </w:p>
        </w:tc>
        <w:tc>
          <w:tcPr>
            <w:tcW w:w="3499" w:type="dxa"/>
            <w:shd w:val="clear" w:color="auto" w:fill="EAF1DD" w:themeFill="accent3" w:themeFillTint="33"/>
          </w:tcPr>
          <w:p w14:paraId="437F40EE" w14:textId="7C69DE1B" w:rsidR="00F53E3A" w:rsidRDefault="0036255F">
            <w:pPr>
              <w:pStyle w:val="P68B1DB1-Normal39"/>
              <w:spacing w:after="0"/>
              <w:jc w:val="both"/>
              <w:rPr>
                <w:noProof/>
                <w:color w:val="000000" w:themeColor="text1"/>
              </w:rPr>
            </w:pPr>
            <w:r>
              <w:rPr>
                <w:noProof/>
              </w:rPr>
              <w:t>F.1.1. Un sector public eficient – F.1.1.2 Crearea unei platforme de învățare la distanță pentru angajații din sectorul public</w:t>
            </w:r>
          </w:p>
        </w:tc>
        <w:tc>
          <w:tcPr>
            <w:tcW w:w="1179" w:type="dxa"/>
            <w:shd w:val="clear" w:color="auto" w:fill="EAF1DD" w:themeFill="accent3" w:themeFillTint="33"/>
          </w:tcPr>
          <w:p w14:paraId="0508D07E" w14:textId="3C23173E" w:rsidR="00F53E3A" w:rsidRDefault="0036255F">
            <w:pPr>
              <w:pStyle w:val="P68B1DB1-Normal39"/>
              <w:jc w:val="center"/>
              <w:rPr>
                <w:noProof/>
              </w:rPr>
            </w:pPr>
            <w:r>
              <w:rPr>
                <w:noProof/>
              </w:rPr>
              <w:t>Etapă</w:t>
            </w:r>
          </w:p>
        </w:tc>
        <w:tc>
          <w:tcPr>
            <w:tcW w:w="3755" w:type="dxa"/>
            <w:shd w:val="clear" w:color="auto" w:fill="EAF1DD" w:themeFill="accent3" w:themeFillTint="33"/>
          </w:tcPr>
          <w:p w14:paraId="0C54D81C" w14:textId="3EB78F22" w:rsidR="00F53E3A" w:rsidRDefault="0036255F">
            <w:pPr>
              <w:pStyle w:val="P68B1DB1-Normal39"/>
              <w:jc w:val="both"/>
              <w:rPr>
                <w:noProof/>
                <w:color w:val="000000" w:themeColor="text1"/>
              </w:rPr>
            </w:pPr>
            <w:r>
              <w:rPr>
                <w:noProof/>
              </w:rPr>
              <w:t>Furnizarea de platforme de învățare la distanță pentru competențe digitale, financiare,</w:t>
            </w:r>
            <w:r>
              <w:rPr>
                <w:noProof/>
                <w:highlight w:val="yellow"/>
              </w:rPr>
              <w:t xml:space="preserve"> analitice</w:t>
            </w:r>
            <w:r>
              <w:rPr>
                <w:noProof/>
              </w:rPr>
              <w:t xml:space="preserve"> și de conducere</w:t>
            </w:r>
          </w:p>
        </w:tc>
      </w:tr>
      <w:tr w:rsidR="00F53E3A" w14:paraId="35A2D9E0" w14:textId="77777777">
        <w:trPr>
          <w:cantSplit/>
          <w:trHeight w:val="300"/>
        </w:trPr>
        <w:tc>
          <w:tcPr>
            <w:tcW w:w="1346" w:type="dxa"/>
            <w:shd w:val="clear" w:color="auto" w:fill="EAF1DD" w:themeFill="accent3" w:themeFillTint="33"/>
            <w:noWrap/>
            <w:vAlign w:val="center"/>
          </w:tcPr>
          <w:p w14:paraId="125107A8" w14:textId="20DC7E69" w:rsidR="00F53E3A" w:rsidRDefault="0036255F">
            <w:pPr>
              <w:pStyle w:val="P68B1DB1-Normal40"/>
              <w:jc w:val="center"/>
              <w:rPr>
                <w:noProof/>
              </w:rPr>
            </w:pPr>
            <w:r>
              <w:rPr>
                <w:noProof/>
              </w:rPr>
              <w:t>163</w:t>
            </w:r>
          </w:p>
        </w:tc>
        <w:tc>
          <w:tcPr>
            <w:tcW w:w="3499" w:type="dxa"/>
            <w:shd w:val="clear" w:color="auto" w:fill="EAF1DD" w:themeFill="accent3" w:themeFillTint="33"/>
          </w:tcPr>
          <w:p w14:paraId="79848247" w14:textId="621F56E9" w:rsidR="00F53E3A" w:rsidRDefault="0036255F">
            <w:pPr>
              <w:pStyle w:val="P68B1DB1-Normal39"/>
              <w:spacing w:after="0"/>
              <w:jc w:val="both"/>
              <w:rPr>
                <w:noProof/>
                <w:color w:val="000000" w:themeColor="text1"/>
              </w:rPr>
            </w:pPr>
            <w:r>
              <w:rPr>
                <w:noProof/>
              </w:rPr>
              <w:t>F.1.4. Îmbunătățirea respectării obligațiilor fiscale – F.1.4.5. Mai multă transparență în sectorul construcțiilor</w:t>
            </w:r>
          </w:p>
        </w:tc>
        <w:tc>
          <w:tcPr>
            <w:tcW w:w="1179" w:type="dxa"/>
            <w:shd w:val="clear" w:color="auto" w:fill="EAF1DD" w:themeFill="accent3" w:themeFillTint="33"/>
          </w:tcPr>
          <w:p w14:paraId="54346662" w14:textId="38406503" w:rsidR="00F53E3A" w:rsidRDefault="0036255F">
            <w:pPr>
              <w:pStyle w:val="P68B1DB1-Normal39"/>
              <w:jc w:val="center"/>
              <w:rPr>
                <w:noProof/>
                <w:color w:val="000000" w:themeColor="text1"/>
              </w:rPr>
            </w:pPr>
            <w:r>
              <w:rPr>
                <w:noProof/>
              </w:rPr>
              <w:t>Țintă</w:t>
            </w:r>
          </w:p>
        </w:tc>
        <w:tc>
          <w:tcPr>
            <w:tcW w:w="3755" w:type="dxa"/>
            <w:shd w:val="clear" w:color="auto" w:fill="EAF1DD" w:themeFill="accent3" w:themeFillTint="33"/>
          </w:tcPr>
          <w:p w14:paraId="52424DBC" w14:textId="3315B075" w:rsidR="00F53E3A" w:rsidRDefault="0036255F">
            <w:pPr>
              <w:pStyle w:val="P68B1DB1-Normal39"/>
              <w:spacing w:after="0"/>
              <w:jc w:val="both"/>
              <w:rPr>
                <w:noProof/>
                <w:color w:val="000000" w:themeColor="text1"/>
              </w:rPr>
            </w:pPr>
            <w:r>
              <w:rPr>
                <w:noProof/>
              </w:rPr>
              <w:t>Lucrători identificabili electronic care utilizează identificatorul transparent al lucrătorului pe șantierele de construcții</w:t>
            </w:r>
          </w:p>
        </w:tc>
      </w:tr>
      <w:tr w:rsidR="00F53E3A" w14:paraId="59B812BD" w14:textId="77777777">
        <w:trPr>
          <w:cantSplit/>
          <w:trHeight w:val="300"/>
        </w:trPr>
        <w:tc>
          <w:tcPr>
            <w:tcW w:w="1346" w:type="dxa"/>
            <w:shd w:val="clear" w:color="auto" w:fill="EAF1DD" w:themeFill="accent3" w:themeFillTint="33"/>
            <w:noWrap/>
            <w:vAlign w:val="center"/>
          </w:tcPr>
          <w:p w14:paraId="3C96B2E0" w14:textId="765B9847" w:rsidR="00F53E3A" w:rsidRDefault="0036255F">
            <w:pPr>
              <w:pStyle w:val="P68B1DB1-Normal40"/>
              <w:jc w:val="center"/>
              <w:rPr>
                <w:noProof/>
              </w:rPr>
            </w:pPr>
            <w:r>
              <w:rPr>
                <w:noProof/>
              </w:rPr>
              <w:t>164</w:t>
            </w:r>
          </w:p>
        </w:tc>
        <w:tc>
          <w:tcPr>
            <w:tcW w:w="3499" w:type="dxa"/>
            <w:shd w:val="clear" w:color="auto" w:fill="EAF1DD" w:themeFill="accent3" w:themeFillTint="33"/>
          </w:tcPr>
          <w:p w14:paraId="3E579392" w14:textId="06563BBA" w:rsidR="00F53E3A" w:rsidRDefault="0036255F">
            <w:pPr>
              <w:pStyle w:val="P68B1DB1-Normal39"/>
              <w:spacing w:after="0"/>
              <w:jc w:val="both"/>
              <w:rPr>
                <w:noProof/>
                <w:color w:val="000000" w:themeColor="text1"/>
              </w:rPr>
            </w:pPr>
            <w:r>
              <w:rPr>
                <w:noProof/>
              </w:rPr>
              <w:t>F.1.5. Instrumente aflate la dispoziția întreprinderilor pentru gestionarea riscului de insolvență a întreprinderilor</w:t>
            </w:r>
          </w:p>
        </w:tc>
        <w:tc>
          <w:tcPr>
            <w:tcW w:w="1179" w:type="dxa"/>
            <w:shd w:val="clear" w:color="auto" w:fill="EAF1DD" w:themeFill="accent3" w:themeFillTint="33"/>
          </w:tcPr>
          <w:p w14:paraId="254F479E" w14:textId="1A1BF578" w:rsidR="00F53E3A" w:rsidRDefault="0036255F">
            <w:pPr>
              <w:pStyle w:val="P68B1DB1-Normal39"/>
              <w:jc w:val="center"/>
              <w:rPr>
                <w:noProof/>
              </w:rPr>
            </w:pPr>
            <w:r>
              <w:rPr>
                <w:noProof/>
              </w:rPr>
              <w:t>Etapă</w:t>
            </w:r>
          </w:p>
        </w:tc>
        <w:tc>
          <w:tcPr>
            <w:tcW w:w="3755" w:type="dxa"/>
            <w:shd w:val="clear" w:color="auto" w:fill="EAF1DD" w:themeFill="accent3" w:themeFillTint="33"/>
          </w:tcPr>
          <w:p w14:paraId="006EA761" w14:textId="38C35255" w:rsidR="00F53E3A" w:rsidRDefault="0036255F">
            <w:pPr>
              <w:pStyle w:val="P68B1DB1-Normal39"/>
              <w:spacing w:after="0"/>
              <w:jc w:val="both"/>
              <w:rPr>
                <w:noProof/>
                <w:color w:val="000000" w:themeColor="text1"/>
              </w:rPr>
            </w:pPr>
            <w:r>
              <w:rPr>
                <w:noProof/>
              </w:rPr>
              <w:t>Instrumente digitale pentru gestionarea riscurilor de insolvență a întreprinderilor</w:t>
            </w:r>
          </w:p>
        </w:tc>
      </w:tr>
      <w:tr w:rsidR="00F53E3A" w14:paraId="72319D53" w14:textId="77777777">
        <w:trPr>
          <w:cantSplit/>
          <w:trHeight w:val="300"/>
        </w:trPr>
        <w:tc>
          <w:tcPr>
            <w:tcW w:w="1346" w:type="dxa"/>
            <w:shd w:val="clear" w:color="auto" w:fill="EAF1DD" w:themeFill="accent3" w:themeFillTint="33"/>
            <w:noWrap/>
            <w:vAlign w:val="center"/>
          </w:tcPr>
          <w:p w14:paraId="1D41D0AA" w14:textId="7252F586" w:rsidR="00F53E3A" w:rsidRDefault="0036255F">
            <w:pPr>
              <w:pStyle w:val="P68B1DB1-Normal40"/>
              <w:spacing w:after="0"/>
              <w:jc w:val="center"/>
              <w:rPr>
                <w:noProof/>
                <w:color w:val="000000" w:themeColor="text1"/>
                <w:szCs w:val="22"/>
              </w:rPr>
            </w:pPr>
            <w:r>
              <w:rPr>
                <w:noProof/>
              </w:rPr>
              <w:t>148a</w:t>
            </w:r>
          </w:p>
        </w:tc>
        <w:tc>
          <w:tcPr>
            <w:tcW w:w="3499" w:type="dxa"/>
            <w:shd w:val="clear" w:color="auto" w:fill="EAF1DD" w:themeFill="accent3" w:themeFillTint="33"/>
          </w:tcPr>
          <w:p w14:paraId="00EECA93" w14:textId="100D33E3" w:rsidR="00F53E3A" w:rsidRDefault="0036255F">
            <w:pPr>
              <w:pStyle w:val="P68B1DB1-Normal39"/>
              <w:spacing w:after="0"/>
              <w:jc w:val="both"/>
              <w:rPr>
                <w:noProof/>
                <w:color w:val="000000" w:themeColor="text1"/>
                <w:szCs w:val="22"/>
              </w:rPr>
            </w:pPr>
            <w:r>
              <w:rPr>
                <w:noProof/>
              </w:rPr>
              <w:t>F.1.3. Sustenabilitatea pe termen lung și transparența bugetului național – F.1.3.1. Cadrul bugetar pe termen mediu</w:t>
            </w:r>
          </w:p>
        </w:tc>
        <w:tc>
          <w:tcPr>
            <w:tcW w:w="1179" w:type="dxa"/>
            <w:shd w:val="clear" w:color="auto" w:fill="EAF1DD" w:themeFill="accent3" w:themeFillTint="33"/>
          </w:tcPr>
          <w:p w14:paraId="63DE2172" w14:textId="2A5CA5CD" w:rsidR="00F53E3A" w:rsidRDefault="0036255F">
            <w:pPr>
              <w:pStyle w:val="P68B1DB1-Normal39"/>
              <w:spacing w:after="0"/>
              <w:jc w:val="center"/>
              <w:rPr>
                <w:noProof/>
                <w:color w:val="000000" w:themeColor="text1"/>
                <w:szCs w:val="22"/>
              </w:rPr>
            </w:pPr>
            <w:r>
              <w:rPr>
                <w:noProof/>
              </w:rPr>
              <w:t>Etapă</w:t>
            </w:r>
          </w:p>
        </w:tc>
        <w:tc>
          <w:tcPr>
            <w:tcW w:w="3755" w:type="dxa"/>
            <w:shd w:val="clear" w:color="auto" w:fill="EAF1DD" w:themeFill="accent3" w:themeFillTint="33"/>
          </w:tcPr>
          <w:p w14:paraId="5BB60D85" w14:textId="06236DAE" w:rsidR="00F53E3A" w:rsidRDefault="0036255F">
            <w:pPr>
              <w:pStyle w:val="P68B1DB1-Normal39"/>
              <w:spacing w:after="0"/>
              <w:jc w:val="both"/>
              <w:rPr>
                <w:noProof/>
                <w:color w:val="000000" w:themeColor="text1"/>
              </w:rPr>
            </w:pPr>
            <w:r>
              <w:rPr>
                <w:noProof/>
              </w:rPr>
              <w:t>Punerea în aplicare a instrumentului Sistemului informațional de management strategic care automatizează întocmirea bugetului pe termen mediu</w:t>
            </w:r>
          </w:p>
        </w:tc>
      </w:tr>
      <w:tr w:rsidR="00F53E3A" w14:paraId="22C8FC92" w14:textId="77777777">
        <w:trPr>
          <w:cantSplit/>
          <w:trHeight w:val="300"/>
        </w:trPr>
        <w:tc>
          <w:tcPr>
            <w:tcW w:w="1346" w:type="dxa"/>
            <w:shd w:val="clear" w:color="auto" w:fill="EAF1DD" w:themeFill="accent3" w:themeFillTint="33"/>
            <w:noWrap/>
            <w:vAlign w:val="center"/>
          </w:tcPr>
          <w:p w14:paraId="24753168" w14:textId="5DD3BC9B" w:rsidR="00F53E3A" w:rsidRDefault="0036255F">
            <w:pPr>
              <w:pStyle w:val="P68B1DB1-Normal40"/>
              <w:spacing w:after="0"/>
              <w:jc w:val="center"/>
              <w:rPr>
                <w:noProof/>
                <w:szCs w:val="22"/>
              </w:rPr>
            </w:pPr>
            <w:r>
              <w:rPr>
                <w:noProof/>
              </w:rPr>
              <w:t>170</w:t>
            </w:r>
          </w:p>
        </w:tc>
        <w:tc>
          <w:tcPr>
            <w:tcW w:w="3499" w:type="dxa"/>
            <w:shd w:val="clear" w:color="auto" w:fill="EAF1DD" w:themeFill="accent3" w:themeFillTint="33"/>
          </w:tcPr>
          <w:p w14:paraId="3EF5289D" w14:textId="1EF77B33" w:rsidR="00F53E3A" w:rsidRDefault="0036255F">
            <w:pPr>
              <w:pStyle w:val="P68B1DB1-Normal39"/>
              <w:spacing w:after="0"/>
              <w:jc w:val="both"/>
              <w:rPr>
                <w:noProof/>
                <w:color w:val="000000" w:themeColor="text1"/>
                <w:szCs w:val="22"/>
              </w:rPr>
            </w:pPr>
            <w:r>
              <w:rPr>
                <w:noProof/>
              </w:rPr>
              <w:t>F.1.6. O administrație fiscală inteligentă pentru a reduce deficitul de încasare a TVA – F.1.6.5. Noi instrumente de analiză a datelor și modernizarea sistemelor informatice ale autorităților vamale lituaniene</w:t>
            </w:r>
          </w:p>
        </w:tc>
        <w:tc>
          <w:tcPr>
            <w:tcW w:w="1179" w:type="dxa"/>
            <w:shd w:val="clear" w:color="auto" w:fill="EAF1DD" w:themeFill="accent3" w:themeFillTint="33"/>
          </w:tcPr>
          <w:p w14:paraId="5E23F3F6" w14:textId="173E14CB" w:rsidR="00F53E3A" w:rsidRDefault="0036255F">
            <w:pPr>
              <w:pStyle w:val="P68B1DB1-Normal39"/>
              <w:spacing w:after="0"/>
              <w:jc w:val="center"/>
              <w:rPr>
                <w:noProof/>
                <w:color w:val="000000" w:themeColor="text1"/>
                <w:szCs w:val="22"/>
              </w:rPr>
            </w:pPr>
            <w:r>
              <w:rPr>
                <w:noProof/>
              </w:rPr>
              <w:t>Etapă</w:t>
            </w:r>
          </w:p>
        </w:tc>
        <w:tc>
          <w:tcPr>
            <w:tcW w:w="3755" w:type="dxa"/>
            <w:shd w:val="clear" w:color="auto" w:fill="EAF1DD" w:themeFill="accent3" w:themeFillTint="33"/>
          </w:tcPr>
          <w:p w14:paraId="245317E9" w14:textId="43B06B3D" w:rsidR="00F53E3A" w:rsidRDefault="0036255F">
            <w:pPr>
              <w:pStyle w:val="P68B1DB1-Normal39"/>
              <w:spacing w:after="0"/>
              <w:jc w:val="both"/>
              <w:rPr>
                <w:noProof/>
                <w:color w:val="000000" w:themeColor="text1"/>
              </w:rPr>
            </w:pPr>
            <w:r>
              <w:rPr>
                <w:noProof/>
              </w:rPr>
              <w:t>Furnizarea a cinci noi metode de analiză a datelor pentru gestionarea riscurilor fiscale în domeniul vamal în Lituania</w:t>
            </w:r>
          </w:p>
        </w:tc>
      </w:tr>
      <w:tr w:rsidR="00F53E3A" w14:paraId="748A609C" w14:textId="77777777">
        <w:trPr>
          <w:cantSplit/>
          <w:trHeight w:val="300"/>
        </w:trPr>
        <w:tc>
          <w:tcPr>
            <w:tcW w:w="1346" w:type="dxa"/>
            <w:shd w:val="clear" w:color="auto" w:fill="EAF1DD" w:themeFill="accent3" w:themeFillTint="33"/>
            <w:noWrap/>
            <w:vAlign w:val="center"/>
          </w:tcPr>
          <w:p w14:paraId="15DED4AC" w14:textId="620EE58A" w:rsidR="00F53E3A" w:rsidRDefault="0036255F">
            <w:pPr>
              <w:pStyle w:val="P68B1DB1-Normal40"/>
              <w:spacing w:after="0"/>
              <w:jc w:val="center"/>
              <w:rPr>
                <w:noProof/>
                <w:szCs w:val="22"/>
              </w:rPr>
            </w:pPr>
            <w:r>
              <w:rPr>
                <w:noProof/>
              </w:rPr>
              <w:t>171</w:t>
            </w:r>
          </w:p>
        </w:tc>
        <w:tc>
          <w:tcPr>
            <w:tcW w:w="3499" w:type="dxa"/>
            <w:shd w:val="clear" w:color="auto" w:fill="EAF1DD" w:themeFill="accent3" w:themeFillTint="33"/>
          </w:tcPr>
          <w:p w14:paraId="20918395" w14:textId="7088CBED" w:rsidR="00F53E3A" w:rsidRDefault="0036255F">
            <w:pPr>
              <w:pStyle w:val="P68B1DB1-Normal39"/>
              <w:spacing w:after="0"/>
              <w:jc w:val="both"/>
              <w:rPr>
                <w:noProof/>
                <w:color w:val="000000" w:themeColor="text1"/>
                <w:szCs w:val="22"/>
              </w:rPr>
            </w:pPr>
            <w:r>
              <w:rPr>
                <w:noProof/>
              </w:rPr>
              <w:t>F.1.6. O administrație fiscală inteligentă pentru a reduce deficitul de încasare a TVA – F.1.6.5. Noi instrumente de analiză a datelor și modernizarea sistemelor informatice ale autorităților vamale lituaniene</w:t>
            </w:r>
          </w:p>
        </w:tc>
        <w:tc>
          <w:tcPr>
            <w:tcW w:w="1179" w:type="dxa"/>
            <w:shd w:val="clear" w:color="auto" w:fill="EAF1DD" w:themeFill="accent3" w:themeFillTint="33"/>
          </w:tcPr>
          <w:p w14:paraId="0971AE58" w14:textId="4B043969" w:rsidR="00F53E3A" w:rsidRDefault="0036255F">
            <w:pPr>
              <w:pStyle w:val="P68B1DB1-Normal39"/>
              <w:spacing w:after="0"/>
              <w:jc w:val="center"/>
              <w:rPr>
                <w:noProof/>
                <w:color w:val="000000" w:themeColor="text1"/>
                <w:szCs w:val="22"/>
              </w:rPr>
            </w:pPr>
            <w:r>
              <w:rPr>
                <w:noProof/>
              </w:rPr>
              <w:t>Țintă</w:t>
            </w:r>
          </w:p>
        </w:tc>
        <w:tc>
          <w:tcPr>
            <w:tcW w:w="3755" w:type="dxa"/>
            <w:shd w:val="clear" w:color="auto" w:fill="EAF1DD" w:themeFill="accent3" w:themeFillTint="33"/>
          </w:tcPr>
          <w:p w14:paraId="693A16D2" w14:textId="6611F2B3" w:rsidR="00F53E3A" w:rsidRDefault="0036255F">
            <w:pPr>
              <w:pStyle w:val="P68B1DB1-Normal39"/>
              <w:spacing w:after="0"/>
              <w:jc w:val="both"/>
              <w:rPr>
                <w:noProof/>
                <w:color w:val="000000" w:themeColor="text1"/>
              </w:rPr>
            </w:pPr>
            <w:r>
              <w:rPr>
                <w:noProof/>
              </w:rPr>
              <w:t>Furnizarea sistemului integrat de control al vehiculelor și mărfurilor (TRAKIS) și a interfețelor cu utilizatorii externi</w:t>
            </w:r>
          </w:p>
        </w:tc>
      </w:tr>
      <w:tr w:rsidR="00F53E3A" w14:paraId="20AF86F5" w14:textId="77777777">
        <w:trPr>
          <w:cantSplit/>
          <w:trHeight w:val="300"/>
        </w:trPr>
        <w:tc>
          <w:tcPr>
            <w:tcW w:w="1346" w:type="dxa"/>
            <w:shd w:val="clear" w:color="auto" w:fill="EAF1DD" w:themeFill="accent3" w:themeFillTint="33"/>
            <w:noWrap/>
            <w:vAlign w:val="center"/>
          </w:tcPr>
          <w:p w14:paraId="45FD258D" w14:textId="3D0483A2" w:rsidR="00F53E3A" w:rsidRDefault="0036255F">
            <w:pPr>
              <w:pStyle w:val="P68B1DB1-Normal40"/>
              <w:spacing w:after="0"/>
              <w:jc w:val="center"/>
              <w:rPr>
                <w:noProof/>
                <w:szCs w:val="22"/>
              </w:rPr>
            </w:pPr>
            <w:r>
              <w:rPr>
                <w:noProof/>
              </w:rPr>
              <w:t>172</w:t>
            </w:r>
          </w:p>
        </w:tc>
        <w:tc>
          <w:tcPr>
            <w:tcW w:w="3499" w:type="dxa"/>
            <w:shd w:val="clear" w:color="auto" w:fill="EAF1DD" w:themeFill="accent3" w:themeFillTint="33"/>
          </w:tcPr>
          <w:p w14:paraId="1B9665C5" w14:textId="713AC360" w:rsidR="00F53E3A" w:rsidRDefault="0036255F">
            <w:pPr>
              <w:pStyle w:val="P68B1DB1-Normal39"/>
              <w:spacing w:after="0"/>
              <w:jc w:val="both"/>
              <w:rPr>
                <w:noProof/>
                <w:color w:val="000000" w:themeColor="text1"/>
                <w:szCs w:val="22"/>
              </w:rPr>
            </w:pPr>
            <w:r>
              <w:rPr>
                <w:noProof/>
              </w:rPr>
              <w:t>F.1.6. O administrație fiscală inteligentă pentru a reduce deficitul de încasare a TVA – F.1.6.6. Formarea personalului Inspectoratului fiscal de stat și al vămilor lituaniene</w:t>
            </w:r>
          </w:p>
        </w:tc>
        <w:tc>
          <w:tcPr>
            <w:tcW w:w="1179" w:type="dxa"/>
            <w:shd w:val="clear" w:color="auto" w:fill="EAF1DD" w:themeFill="accent3" w:themeFillTint="33"/>
          </w:tcPr>
          <w:p w14:paraId="73CAFE58" w14:textId="76663ECB" w:rsidR="00F53E3A" w:rsidRDefault="0036255F">
            <w:pPr>
              <w:pStyle w:val="P68B1DB1-Normal39"/>
              <w:spacing w:after="0"/>
              <w:jc w:val="center"/>
              <w:rPr>
                <w:noProof/>
                <w:color w:val="000000" w:themeColor="text1"/>
                <w:szCs w:val="22"/>
              </w:rPr>
            </w:pPr>
            <w:r>
              <w:rPr>
                <w:noProof/>
              </w:rPr>
              <w:t>Etapă</w:t>
            </w:r>
          </w:p>
        </w:tc>
        <w:tc>
          <w:tcPr>
            <w:tcW w:w="3755" w:type="dxa"/>
            <w:shd w:val="clear" w:color="auto" w:fill="EAF1DD" w:themeFill="accent3" w:themeFillTint="33"/>
          </w:tcPr>
          <w:p w14:paraId="4D8C769F" w14:textId="4B83FAF0" w:rsidR="00F53E3A" w:rsidRDefault="0036255F">
            <w:pPr>
              <w:pStyle w:val="P68B1DB1-Normal39"/>
              <w:spacing w:after="0"/>
              <w:jc w:val="both"/>
              <w:rPr>
                <w:noProof/>
                <w:color w:val="000000" w:themeColor="text1"/>
              </w:rPr>
            </w:pPr>
            <w:r>
              <w:rPr>
                <w:noProof/>
              </w:rPr>
              <w:t>Instrumente de gestionare a competențelor Inspectoratului Fiscal de Stat, ale personalului vamal lituanian și ale clienților</w:t>
            </w:r>
          </w:p>
        </w:tc>
      </w:tr>
      <w:tr w:rsidR="00F53E3A" w14:paraId="1D1ECEF7" w14:textId="77777777">
        <w:trPr>
          <w:cantSplit/>
          <w:trHeight w:val="300"/>
        </w:trPr>
        <w:tc>
          <w:tcPr>
            <w:tcW w:w="1346" w:type="dxa"/>
            <w:shd w:val="clear" w:color="auto" w:fill="EAF1DD" w:themeFill="accent3" w:themeFillTint="33"/>
            <w:noWrap/>
            <w:vAlign w:val="center"/>
          </w:tcPr>
          <w:p w14:paraId="6F126FB1" w14:textId="213EB982" w:rsidR="00F53E3A" w:rsidRDefault="0036255F">
            <w:pPr>
              <w:pStyle w:val="P68B1DB1-Normal40"/>
              <w:spacing w:after="0"/>
              <w:jc w:val="center"/>
              <w:rPr>
                <w:noProof/>
                <w:szCs w:val="22"/>
              </w:rPr>
            </w:pPr>
            <w:r>
              <w:rPr>
                <w:noProof/>
              </w:rPr>
              <w:t>173</w:t>
            </w:r>
          </w:p>
        </w:tc>
        <w:tc>
          <w:tcPr>
            <w:tcW w:w="3499" w:type="dxa"/>
            <w:shd w:val="clear" w:color="auto" w:fill="EAF1DD" w:themeFill="accent3" w:themeFillTint="33"/>
          </w:tcPr>
          <w:p w14:paraId="3153C294" w14:textId="3AD772FC" w:rsidR="00F53E3A" w:rsidRDefault="0036255F">
            <w:pPr>
              <w:pStyle w:val="P68B1DB1-Normal39"/>
              <w:spacing w:after="0"/>
              <w:jc w:val="both"/>
              <w:rPr>
                <w:noProof/>
                <w:color w:val="000000" w:themeColor="text1"/>
                <w:szCs w:val="22"/>
              </w:rPr>
            </w:pPr>
            <w:r>
              <w:rPr>
                <w:noProof/>
              </w:rPr>
              <w:t>F.1.6. O administrație fiscală inteligentă pentru a reduce deficitul de încasare a TVA – F.1.6.6. Formarea personalului Inspectoratului fiscal de stat și al vămilor lituaniene</w:t>
            </w:r>
          </w:p>
        </w:tc>
        <w:tc>
          <w:tcPr>
            <w:tcW w:w="1179" w:type="dxa"/>
            <w:shd w:val="clear" w:color="auto" w:fill="EAF1DD" w:themeFill="accent3" w:themeFillTint="33"/>
          </w:tcPr>
          <w:p w14:paraId="755C632E" w14:textId="2E1BCF92" w:rsidR="00F53E3A" w:rsidRDefault="0036255F">
            <w:pPr>
              <w:pStyle w:val="P68B1DB1-Normal39"/>
              <w:spacing w:after="0"/>
              <w:jc w:val="center"/>
              <w:rPr>
                <w:noProof/>
                <w:color w:val="000000" w:themeColor="text1"/>
                <w:szCs w:val="22"/>
              </w:rPr>
            </w:pPr>
            <w:r>
              <w:rPr>
                <w:noProof/>
              </w:rPr>
              <w:t>Țintă</w:t>
            </w:r>
          </w:p>
        </w:tc>
        <w:tc>
          <w:tcPr>
            <w:tcW w:w="3755" w:type="dxa"/>
            <w:shd w:val="clear" w:color="auto" w:fill="EAF1DD" w:themeFill="accent3" w:themeFillTint="33"/>
          </w:tcPr>
          <w:p w14:paraId="7455DD7C" w14:textId="7BF6DFA3" w:rsidR="00F53E3A" w:rsidRDefault="0036255F">
            <w:pPr>
              <w:pStyle w:val="P68B1DB1-Normal39"/>
              <w:spacing w:after="0"/>
              <w:jc w:val="both"/>
              <w:rPr>
                <w:noProof/>
                <w:color w:val="000000" w:themeColor="text1"/>
              </w:rPr>
            </w:pPr>
            <w:r>
              <w:rPr>
                <w:noProof/>
              </w:rPr>
              <w:t>Participarea la activități de formare</w:t>
            </w:r>
          </w:p>
        </w:tc>
      </w:tr>
      <w:tr w:rsidR="00F53E3A" w14:paraId="131FAFB2" w14:textId="77777777">
        <w:trPr>
          <w:cantSplit/>
          <w:trHeight w:val="300"/>
        </w:trPr>
        <w:tc>
          <w:tcPr>
            <w:tcW w:w="1346" w:type="dxa"/>
            <w:shd w:val="clear" w:color="auto" w:fill="EAF1DD" w:themeFill="accent3" w:themeFillTint="33"/>
            <w:noWrap/>
            <w:vAlign w:val="center"/>
          </w:tcPr>
          <w:p w14:paraId="005DE98E" w14:textId="48EE7AFB" w:rsidR="00F53E3A" w:rsidRDefault="0036255F">
            <w:pPr>
              <w:pStyle w:val="P68B1DB1-Normal40"/>
              <w:spacing w:after="0"/>
              <w:jc w:val="center"/>
              <w:rPr>
                <w:noProof/>
                <w:szCs w:val="22"/>
              </w:rPr>
            </w:pPr>
            <w:r>
              <w:rPr>
                <w:noProof/>
              </w:rPr>
              <w:t>174</w:t>
            </w:r>
          </w:p>
        </w:tc>
        <w:tc>
          <w:tcPr>
            <w:tcW w:w="3499" w:type="dxa"/>
            <w:shd w:val="clear" w:color="auto" w:fill="EAF1DD" w:themeFill="accent3" w:themeFillTint="33"/>
          </w:tcPr>
          <w:p w14:paraId="2DD598DF" w14:textId="7FF0D84E" w:rsidR="00F53E3A" w:rsidRDefault="0036255F">
            <w:pPr>
              <w:pStyle w:val="P68B1DB1-Normal39"/>
              <w:spacing w:after="0"/>
              <w:jc w:val="both"/>
              <w:rPr>
                <w:noProof/>
                <w:color w:val="000000" w:themeColor="text1"/>
                <w:szCs w:val="22"/>
              </w:rPr>
            </w:pPr>
            <w:r>
              <w:rPr>
                <w:noProof/>
              </w:rPr>
              <w:t>F.1.7. Furnizarea unui ecosistem de documente electronice</w:t>
            </w:r>
          </w:p>
        </w:tc>
        <w:tc>
          <w:tcPr>
            <w:tcW w:w="1179" w:type="dxa"/>
            <w:shd w:val="clear" w:color="auto" w:fill="EAF1DD" w:themeFill="accent3" w:themeFillTint="33"/>
          </w:tcPr>
          <w:p w14:paraId="765663E6" w14:textId="55A72278" w:rsidR="00F53E3A" w:rsidRDefault="0036255F">
            <w:pPr>
              <w:pStyle w:val="P68B1DB1-Normal39"/>
              <w:spacing w:after="0"/>
              <w:jc w:val="center"/>
              <w:rPr>
                <w:noProof/>
                <w:color w:val="000000" w:themeColor="text1"/>
                <w:szCs w:val="22"/>
              </w:rPr>
            </w:pPr>
            <w:r>
              <w:rPr>
                <w:noProof/>
              </w:rPr>
              <w:t>Etapă</w:t>
            </w:r>
          </w:p>
        </w:tc>
        <w:tc>
          <w:tcPr>
            <w:tcW w:w="3755" w:type="dxa"/>
            <w:shd w:val="clear" w:color="auto" w:fill="EAF1DD" w:themeFill="accent3" w:themeFillTint="33"/>
          </w:tcPr>
          <w:p w14:paraId="6B436251" w14:textId="07E2326F" w:rsidR="00F53E3A" w:rsidRDefault="0036255F">
            <w:pPr>
              <w:pStyle w:val="P68B1DB1-Normal39"/>
              <w:spacing w:after="0"/>
              <w:jc w:val="both"/>
              <w:rPr>
                <w:noProof/>
                <w:color w:val="000000" w:themeColor="text1"/>
              </w:rPr>
            </w:pPr>
            <w:r>
              <w:rPr>
                <w:noProof/>
              </w:rPr>
              <w:t>Intrarea în vigoare a actelor legislative privind registrele de casă și chitanțele electronice</w:t>
            </w:r>
          </w:p>
        </w:tc>
      </w:tr>
      <w:tr w:rsidR="00F53E3A" w14:paraId="5F40DCFA" w14:textId="77777777">
        <w:trPr>
          <w:cantSplit/>
          <w:trHeight w:val="300"/>
        </w:trPr>
        <w:tc>
          <w:tcPr>
            <w:tcW w:w="1346" w:type="dxa"/>
            <w:shd w:val="clear" w:color="auto" w:fill="EAF1DD" w:themeFill="accent3" w:themeFillTint="33"/>
            <w:noWrap/>
            <w:vAlign w:val="center"/>
          </w:tcPr>
          <w:p w14:paraId="6757D2E5" w14:textId="3E49BE36" w:rsidR="00F53E3A" w:rsidRDefault="0036255F">
            <w:pPr>
              <w:pStyle w:val="P68B1DB1-Normal40"/>
              <w:jc w:val="center"/>
              <w:rPr>
                <w:noProof/>
              </w:rPr>
            </w:pPr>
            <w:r>
              <w:rPr>
                <w:noProof/>
              </w:rPr>
              <w:t>181</w:t>
            </w:r>
          </w:p>
        </w:tc>
        <w:tc>
          <w:tcPr>
            <w:tcW w:w="3499" w:type="dxa"/>
            <w:shd w:val="clear" w:color="auto" w:fill="EAF1DD" w:themeFill="accent3" w:themeFillTint="33"/>
          </w:tcPr>
          <w:p w14:paraId="72A95E41" w14:textId="367B4D1F" w:rsidR="00F53E3A" w:rsidRDefault="0036255F">
            <w:pPr>
              <w:pStyle w:val="P68B1DB1-Normal39"/>
              <w:jc w:val="both"/>
              <w:rPr>
                <w:noProof/>
                <w:color w:val="000000" w:themeColor="text1"/>
              </w:rPr>
            </w:pPr>
            <w:r>
              <w:rPr>
                <w:noProof/>
              </w:rPr>
              <w:t>G.1.1. Protecția venitului minim garantat – G.1.1.1. Studiu privind sistemul de venit minim și modificările conexe ale legislației</w:t>
            </w:r>
          </w:p>
        </w:tc>
        <w:tc>
          <w:tcPr>
            <w:tcW w:w="1179" w:type="dxa"/>
            <w:shd w:val="clear" w:color="auto" w:fill="EAF1DD" w:themeFill="accent3" w:themeFillTint="33"/>
          </w:tcPr>
          <w:p w14:paraId="42362F88" w14:textId="6D85AC6D" w:rsidR="00F53E3A" w:rsidRDefault="0036255F">
            <w:pPr>
              <w:pStyle w:val="P68B1DB1-Normal39"/>
              <w:jc w:val="center"/>
              <w:rPr>
                <w:noProof/>
                <w:color w:val="000000" w:themeColor="text1"/>
              </w:rPr>
            </w:pPr>
            <w:r>
              <w:rPr>
                <w:noProof/>
              </w:rPr>
              <w:t>Etapă</w:t>
            </w:r>
          </w:p>
        </w:tc>
        <w:tc>
          <w:tcPr>
            <w:tcW w:w="3755" w:type="dxa"/>
            <w:shd w:val="clear" w:color="auto" w:fill="EAF1DD" w:themeFill="accent3" w:themeFillTint="33"/>
          </w:tcPr>
          <w:p w14:paraId="1400A80E" w14:textId="334A793A" w:rsidR="00F53E3A" w:rsidRDefault="0036255F">
            <w:pPr>
              <w:pStyle w:val="P68B1DB1-Normal39"/>
              <w:spacing w:after="0"/>
              <w:jc w:val="both"/>
              <w:rPr>
                <w:noProof/>
                <w:color w:val="000000" w:themeColor="text1"/>
              </w:rPr>
            </w:pPr>
            <w:r>
              <w:rPr>
                <w:noProof/>
              </w:rPr>
              <w:t>Intrarea în vigoare a modificărilor aduse legilor relevante care reglementează protecția venitului minim</w:t>
            </w:r>
          </w:p>
        </w:tc>
      </w:tr>
      <w:tr w:rsidR="00F53E3A" w14:paraId="31E78B82" w14:textId="77777777">
        <w:trPr>
          <w:cantSplit/>
        </w:trPr>
        <w:tc>
          <w:tcPr>
            <w:tcW w:w="1346" w:type="dxa"/>
            <w:shd w:val="clear" w:color="auto" w:fill="EAF1DD" w:themeFill="accent3" w:themeFillTint="33"/>
            <w:noWrap/>
          </w:tcPr>
          <w:p w14:paraId="1877E42D" w14:textId="77777777" w:rsidR="00F53E3A" w:rsidRDefault="00F53E3A">
            <w:pPr>
              <w:spacing w:after="0"/>
              <w:jc w:val="center"/>
              <w:rPr>
                <w:rFonts w:ascii="Times New Roman" w:eastAsia="Times New Roman" w:hAnsi="Times New Roman" w:cs="Times New Roman"/>
                <w:noProof/>
                <w:color w:val="000000"/>
                <w:szCs w:val="22"/>
              </w:rPr>
            </w:pPr>
          </w:p>
        </w:tc>
        <w:tc>
          <w:tcPr>
            <w:tcW w:w="3499" w:type="dxa"/>
            <w:shd w:val="clear" w:color="auto" w:fill="EAF1DD" w:themeFill="accent3" w:themeFillTint="33"/>
          </w:tcPr>
          <w:p w14:paraId="4A7955A2" w14:textId="77777777" w:rsidR="00F53E3A" w:rsidRDefault="00F53E3A">
            <w:pPr>
              <w:spacing w:after="0"/>
              <w:jc w:val="both"/>
              <w:rPr>
                <w:rFonts w:ascii="Times New Roman" w:eastAsia="Times New Roman" w:hAnsi="Times New Roman" w:cs="Times New Roman"/>
                <w:noProof/>
                <w:color w:val="000000"/>
                <w:szCs w:val="22"/>
              </w:rPr>
            </w:pPr>
          </w:p>
        </w:tc>
        <w:tc>
          <w:tcPr>
            <w:tcW w:w="1179" w:type="dxa"/>
            <w:shd w:val="clear" w:color="auto" w:fill="EAF1DD" w:themeFill="accent3" w:themeFillTint="33"/>
            <w:vAlign w:val="center"/>
          </w:tcPr>
          <w:p w14:paraId="2BD7060A" w14:textId="77777777" w:rsidR="00F53E3A" w:rsidRDefault="0036255F">
            <w:pPr>
              <w:pStyle w:val="P68B1DB1-Normal39"/>
              <w:spacing w:after="0"/>
              <w:jc w:val="center"/>
              <w:rPr>
                <w:noProof/>
                <w:color w:val="000000" w:themeColor="text1"/>
              </w:rPr>
            </w:pPr>
            <w:r>
              <w:rPr>
                <w:noProof/>
              </w:rPr>
              <w:t>Cuantumul tranșei</w:t>
            </w:r>
          </w:p>
        </w:tc>
        <w:tc>
          <w:tcPr>
            <w:tcW w:w="3755" w:type="dxa"/>
            <w:shd w:val="clear" w:color="auto" w:fill="EAF1DD" w:themeFill="accent3" w:themeFillTint="33"/>
            <w:vAlign w:val="center"/>
          </w:tcPr>
          <w:p w14:paraId="730F6D78" w14:textId="4E259137" w:rsidR="00F53E3A" w:rsidRDefault="0036255F">
            <w:pPr>
              <w:spacing w:after="0"/>
              <w:jc w:val="both"/>
              <w:rPr>
                <w:rFonts w:ascii="Times New Roman" w:eastAsia="Times New Roman" w:hAnsi="Times New Roman" w:cs="Times New Roman"/>
                <w:noProof/>
                <w:color w:val="000000" w:themeColor="text1"/>
              </w:rPr>
            </w:pPr>
            <w:r>
              <w:rPr>
                <w:rFonts w:ascii="Times New Roman" w:eastAsia="Times New Roman" w:hAnsi="Times New Roman" w:cs="Times New Roman"/>
                <w:noProof/>
                <w:color w:val="000000" w:themeColor="text1"/>
              </w:rPr>
              <w:t>178</w:t>
            </w:r>
            <w:r>
              <w:rPr>
                <w:rFonts w:ascii="Times New Roman" w:hAnsi="Times New Roman"/>
                <w:noProof/>
                <w:sz w:val="20"/>
              </w:rPr>
              <w:t xml:space="preserve"> </w:t>
            </w:r>
            <w:r>
              <w:rPr>
                <w:rFonts w:ascii="Times New Roman" w:eastAsia="Times New Roman" w:hAnsi="Times New Roman" w:cs="Times New Roman"/>
                <w:noProof/>
                <w:color w:val="000000" w:themeColor="text1"/>
              </w:rPr>
              <w:t>000</w:t>
            </w:r>
            <w:r>
              <w:rPr>
                <w:rFonts w:ascii="Times New Roman" w:hAnsi="Times New Roman"/>
                <w:noProof/>
                <w:sz w:val="20"/>
              </w:rPr>
              <w:t xml:space="preserve"> </w:t>
            </w:r>
            <w:r>
              <w:rPr>
                <w:rFonts w:ascii="Times New Roman" w:eastAsia="Times New Roman" w:hAnsi="Times New Roman" w:cs="Times New Roman"/>
                <w:noProof/>
                <w:color w:val="000000" w:themeColor="text1"/>
              </w:rPr>
              <w:t>000 MIL.</w:t>
            </w:r>
          </w:p>
        </w:tc>
      </w:tr>
    </w:tbl>
    <w:p w14:paraId="1ADFB7E5" w14:textId="235C8209" w:rsidR="00F53E3A" w:rsidRDefault="0036255F">
      <w:pPr>
        <w:pStyle w:val="P68B1DB1-ListParagraph37"/>
        <w:keepNext/>
        <w:keepLines/>
        <w:numPr>
          <w:ilvl w:val="1"/>
          <w:numId w:val="41"/>
        </w:numPr>
        <w:spacing w:before="480" w:line="240" w:lineRule="auto"/>
        <w:jc w:val="both"/>
        <w:rPr>
          <w:noProof/>
        </w:rPr>
      </w:pPr>
      <w:r>
        <w:rPr>
          <w:noProof/>
        </w:rPr>
        <w:t>A șaptea tranșă (sprijin nerambursabil):</w:t>
      </w:r>
    </w:p>
    <w:tbl>
      <w:tblPr>
        <w:tblW w:w="9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70" w:type="dxa"/>
          <w:bottom w:w="15" w:type="dxa"/>
          <w:right w:w="70" w:type="dxa"/>
        </w:tblCellMar>
        <w:tblLook w:val="04A0" w:firstRow="1" w:lastRow="0" w:firstColumn="1" w:lastColumn="0" w:noHBand="0" w:noVBand="1"/>
      </w:tblPr>
      <w:tblGrid>
        <w:gridCol w:w="1204"/>
        <w:gridCol w:w="3402"/>
        <w:gridCol w:w="1594"/>
        <w:gridCol w:w="3579"/>
      </w:tblGrid>
      <w:tr w:rsidR="00F53E3A" w14:paraId="3CAB7FFF" w14:textId="77777777">
        <w:trPr>
          <w:cantSplit/>
          <w:trHeight w:val="491"/>
          <w:tblHeader/>
        </w:trPr>
        <w:tc>
          <w:tcPr>
            <w:tcW w:w="1204" w:type="dxa"/>
            <w:shd w:val="clear" w:color="auto" w:fill="BDD7EE"/>
            <w:vAlign w:val="center"/>
          </w:tcPr>
          <w:p w14:paraId="139E927A" w14:textId="77777777" w:rsidR="00F53E3A" w:rsidRDefault="0036255F">
            <w:pPr>
              <w:pStyle w:val="P68B1DB1-Normal38"/>
              <w:keepNext/>
              <w:keepLines/>
              <w:spacing w:after="0"/>
              <w:jc w:val="center"/>
              <w:rPr>
                <w:bCs/>
                <w:noProof/>
                <w:szCs w:val="22"/>
              </w:rPr>
            </w:pPr>
            <w:r>
              <w:rPr>
                <w:noProof/>
              </w:rPr>
              <w:t>Număr secvențial</w:t>
            </w:r>
          </w:p>
        </w:tc>
        <w:tc>
          <w:tcPr>
            <w:tcW w:w="3402" w:type="dxa"/>
            <w:shd w:val="clear" w:color="auto" w:fill="BDD7EE"/>
            <w:vAlign w:val="center"/>
          </w:tcPr>
          <w:p w14:paraId="45661455" w14:textId="77777777" w:rsidR="00F53E3A" w:rsidRDefault="0036255F">
            <w:pPr>
              <w:pStyle w:val="P68B1DB1-Normal38"/>
              <w:keepNext/>
              <w:keepLines/>
              <w:spacing w:after="0"/>
              <w:jc w:val="center"/>
              <w:rPr>
                <w:bCs/>
                <w:noProof/>
                <w:szCs w:val="22"/>
              </w:rPr>
            </w:pPr>
            <w:r>
              <w:rPr>
                <w:noProof/>
              </w:rPr>
              <w:t xml:space="preserve">Măsură conexă </w:t>
            </w:r>
            <w:r>
              <w:rPr>
                <w:noProof/>
              </w:rPr>
              <w:br/>
              <w:t>(Reformă sau investiție)</w:t>
            </w:r>
          </w:p>
        </w:tc>
        <w:tc>
          <w:tcPr>
            <w:tcW w:w="1594" w:type="dxa"/>
            <w:shd w:val="clear" w:color="auto" w:fill="BDD7EE"/>
            <w:vAlign w:val="center"/>
          </w:tcPr>
          <w:p w14:paraId="7826DBB0" w14:textId="3926DFCF" w:rsidR="00F53E3A" w:rsidRDefault="0036255F">
            <w:pPr>
              <w:pStyle w:val="P68B1DB1-Normal38"/>
              <w:keepNext/>
              <w:keepLines/>
              <w:spacing w:after="0"/>
              <w:jc w:val="center"/>
              <w:rPr>
                <w:bCs/>
                <w:noProof/>
                <w:szCs w:val="22"/>
              </w:rPr>
            </w:pPr>
            <w:r>
              <w:rPr>
                <w:noProof/>
              </w:rPr>
              <w:t>Etapă/</w:t>
            </w:r>
            <w:r w:rsidR="00E04E3B">
              <w:rPr>
                <w:noProof/>
              </w:rPr>
              <w:t xml:space="preserve"> </w:t>
            </w:r>
            <w:r>
              <w:rPr>
                <w:noProof/>
              </w:rPr>
              <w:t>Obiectiv</w:t>
            </w:r>
          </w:p>
        </w:tc>
        <w:tc>
          <w:tcPr>
            <w:tcW w:w="3579" w:type="dxa"/>
            <w:shd w:val="clear" w:color="auto" w:fill="BDD7EE"/>
            <w:vAlign w:val="center"/>
          </w:tcPr>
          <w:p w14:paraId="05C6F4D7" w14:textId="77777777" w:rsidR="00F53E3A" w:rsidRDefault="0036255F">
            <w:pPr>
              <w:pStyle w:val="P68B1DB1-Normal38"/>
              <w:keepNext/>
              <w:keepLines/>
              <w:spacing w:after="0"/>
              <w:jc w:val="center"/>
              <w:rPr>
                <w:bCs/>
                <w:noProof/>
                <w:szCs w:val="22"/>
              </w:rPr>
            </w:pPr>
            <w:r>
              <w:rPr>
                <w:noProof/>
              </w:rPr>
              <w:t>Nume</w:t>
            </w:r>
          </w:p>
        </w:tc>
      </w:tr>
      <w:tr w:rsidR="00F53E3A" w14:paraId="70157B1F" w14:textId="77777777">
        <w:trPr>
          <w:cantSplit/>
          <w:trHeight w:val="300"/>
        </w:trPr>
        <w:tc>
          <w:tcPr>
            <w:tcW w:w="1204" w:type="dxa"/>
            <w:shd w:val="clear" w:color="auto" w:fill="EAF1DD" w:themeFill="accent3" w:themeFillTint="33"/>
            <w:noWrap/>
            <w:vAlign w:val="center"/>
          </w:tcPr>
          <w:p w14:paraId="1A5A33B4" w14:textId="77777777" w:rsidR="00F53E3A" w:rsidRDefault="0036255F">
            <w:pPr>
              <w:pStyle w:val="P68B1DB1-Normal40"/>
              <w:spacing w:after="0"/>
              <w:jc w:val="center"/>
              <w:rPr>
                <w:noProof/>
                <w:color w:val="000000"/>
                <w:szCs w:val="22"/>
              </w:rPr>
            </w:pPr>
            <w:r>
              <w:rPr>
                <w:noProof/>
              </w:rPr>
              <w:t>7</w:t>
            </w:r>
          </w:p>
        </w:tc>
        <w:tc>
          <w:tcPr>
            <w:tcW w:w="3402" w:type="dxa"/>
            <w:shd w:val="clear" w:color="auto" w:fill="EAF1DD" w:themeFill="accent3" w:themeFillTint="33"/>
          </w:tcPr>
          <w:p w14:paraId="117E409B" w14:textId="589DA4E7" w:rsidR="00F53E3A" w:rsidRDefault="0036255F">
            <w:pPr>
              <w:pStyle w:val="P68B1DB1-Normal39"/>
              <w:spacing w:after="0"/>
              <w:jc w:val="both"/>
              <w:textAlignment w:val="baseline"/>
              <w:rPr>
                <w:noProof/>
              </w:rPr>
            </w:pPr>
            <w:r>
              <w:rPr>
                <w:noProof/>
              </w:rPr>
              <w:t>A.1.1. Îmbunătățirea calității și accesibilității serviciilor de sănătate și promovarea inovării</w:t>
            </w:r>
          </w:p>
          <w:p w14:paraId="019A7D98" w14:textId="77777777" w:rsidR="00F53E3A" w:rsidRDefault="0036255F">
            <w:pPr>
              <w:pStyle w:val="P68B1DB1-Normal39"/>
              <w:spacing w:after="0"/>
              <w:jc w:val="both"/>
              <w:rPr>
                <w:noProof/>
                <w:szCs w:val="22"/>
              </w:rPr>
            </w:pPr>
            <w:r>
              <w:rPr>
                <w:noProof/>
              </w:rPr>
              <w:t>A.1.1.7. Crearea Centrului pentru terapii avansate</w:t>
            </w:r>
          </w:p>
        </w:tc>
        <w:tc>
          <w:tcPr>
            <w:tcW w:w="1594" w:type="dxa"/>
            <w:shd w:val="clear" w:color="auto" w:fill="EAF1DD" w:themeFill="accent3" w:themeFillTint="33"/>
          </w:tcPr>
          <w:p w14:paraId="1ED0F169" w14:textId="77777777" w:rsidR="00F53E3A" w:rsidRDefault="0036255F">
            <w:pPr>
              <w:pStyle w:val="P68B1DB1-Normal39"/>
              <w:spacing w:after="0"/>
              <w:jc w:val="center"/>
              <w:rPr>
                <w:noProof/>
                <w:szCs w:val="22"/>
              </w:rPr>
            </w:pPr>
            <w:r>
              <w:rPr>
                <w:noProof/>
              </w:rPr>
              <w:t>Etapă</w:t>
            </w:r>
          </w:p>
        </w:tc>
        <w:tc>
          <w:tcPr>
            <w:tcW w:w="3579" w:type="dxa"/>
            <w:shd w:val="clear" w:color="auto" w:fill="EAF1DD" w:themeFill="accent3" w:themeFillTint="33"/>
          </w:tcPr>
          <w:p w14:paraId="50C9FDAB" w14:textId="7662F15B" w:rsidR="00F53E3A" w:rsidRDefault="0036255F">
            <w:pPr>
              <w:pStyle w:val="P68B1DB1-Normal39"/>
              <w:spacing w:after="0"/>
              <w:jc w:val="both"/>
              <w:rPr>
                <w:noProof/>
              </w:rPr>
            </w:pPr>
            <w:r>
              <w:rPr>
                <w:noProof/>
              </w:rPr>
              <w:t>Centru de terapie avansată</w:t>
            </w:r>
          </w:p>
        </w:tc>
      </w:tr>
      <w:tr w:rsidR="00F53E3A" w14:paraId="1D40E146" w14:textId="77777777">
        <w:trPr>
          <w:cantSplit/>
          <w:trHeight w:val="300"/>
        </w:trPr>
        <w:tc>
          <w:tcPr>
            <w:tcW w:w="1204" w:type="dxa"/>
            <w:shd w:val="clear" w:color="auto" w:fill="EAF1DD" w:themeFill="accent3" w:themeFillTint="33"/>
            <w:noWrap/>
            <w:vAlign w:val="center"/>
          </w:tcPr>
          <w:p w14:paraId="03214F4C" w14:textId="342CA0CC" w:rsidR="00F53E3A" w:rsidRDefault="0036255F">
            <w:pPr>
              <w:pStyle w:val="P68B1DB1-Normal40"/>
              <w:spacing w:after="0"/>
              <w:jc w:val="center"/>
              <w:rPr>
                <w:noProof/>
                <w:color w:val="000000"/>
              </w:rPr>
            </w:pPr>
            <w:r>
              <w:rPr>
                <w:noProof/>
              </w:rPr>
              <w:t>9</w:t>
            </w:r>
          </w:p>
        </w:tc>
        <w:tc>
          <w:tcPr>
            <w:tcW w:w="3402" w:type="dxa"/>
            <w:shd w:val="clear" w:color="auto" w:fill="EAF1DD" w:themeFill="accent3" w:themeFillTint="33"/>
          </w:tcPr>
          <w:p w14:paraId="2FEBD3FA" w14:textId="6899DF0D" w:rsidR="00F53E3A" w:rsidRDefault="0036255F">
            <w:pPr>
              <w:pStyle w:val="P68B1DB1-Normal39"/>
              <w:spacing w:after="0"/>
              <w:jc w:val="both"/>
              <w:textAlignment w:val="baseline"/>
              <w:rPr>
                <w:noProof/>
              </w:rPr>
            </w:pPr>
            <w:r>
              <w:rPr>
                <w:noProof/>
              </w:rPr>
              <w:t>A.1.1. Îmbunătățirea calității și accesibilității serviciilor de sănătate și promovarea inovării</w:t>
            </w:r>
          </w:p>
          <w:p w14:paraId="1AE126B8" w14:textId="6FBDB2F9" w:rsidR="00F53E3A" w:rsidRDefault="0036255F">
            <w:pPr>
              <w:pStyle w:val="P68B1DB1-Normal39"/>
              <w:spacing w:after="0"/>
              <w:jc w:val="both"/>
              <w:rPr>
                <w:noProof/>
                <w:szCs w:val="22"/>
              </w:rPr>
            </w:pPr>
            <w:r>
              <w:rPr>
                <w:noProof/>
              </w:rPr>
              <w:t>A.1.1.8. Colectarea datelor privind genomul de referință</w:t>
            </w:r>
          </w:p>
        </w:tc>
        <w:tc>
          <w:tcPr>
            <w:tcW w:w="1594" w:type="dxa"/>
            <w:shd w:val="clear" w:color="auto" w:fill="EAF1DD" w:themeFill="accent3" w:themeFillTint="33"/>
          </w:tcPr>
          <w:p w14:paraId="4A973117" w14:textId="77777777" w:rsidR="00F53E3A" w:rsidRDefault="0036255F">
            <w:pPr>
              <w:pStyle w:val="P68B1DB1-Normal39"/>
              <w:spacing w:after="0"/>
              <w:jc w:val="center"/>
              <w:rPr>
                <w:noProof/>
                <w:szCs w:val="22"/>
              </w:rPr>
            </w:pPr>
            <w:r>
              <w:rPr>
                <w:noProof/>
              </w:rPr>
              <w:t>Țintă</w:t>
            </w:r>
          </w:p>
        </w:tc>
        <w:tc>
          <w:tcPr>
            <w:tcW w:w="3579" w:type="dxa"/>
            <w:shd w:val="clear" w:color="auto" w:fill="EAF1DD" w:themeFill="accent3" w:themeFillTint="33"/>
          </w:tcPr>
          <w:p w14:paraId="25432DCD" w14:textId="1CC13744" w:rsidR="00F53E3A" w:rsidRDefault="0036255F">
            <w:pPr>
              <w:pStyle w:val="P68B1DB1-Normal39"/>
              <w:spacing w:after="0"/>
              <w:jc w:val="both"/>
              <w:rPr>
                <w:noProof/>
              </w:rPr>
            </w:pPr>
            <w:r>
              <w:rPr>
                <w:noProof/>
              </w:rPr>
              <w:t>Numărul de teste de secvențiere efectuate pentru genomul uman</w:t>
            </w:r>
          </w:p>
        </w:tc>
      </w:tr>
      <w:tr w:rsidR="00F53E3A" w14:paraId="3C7B6365" w14:textId="77777777">
        <w:trPr>
          <w:cantSplit/>
          <w:trHeight w:val="300"/>
        </w:trPr>
        <w:tc>
          <w:tcPr>
            <w:tcW w:w="1204" w:type="dxa"/>
            <w:shd w:val="clear" w:color="auto" w:fill="EAF1DD" w:themeFill="accent3" w:themeFillTint="33"/>
            <w:noWrap/>
            <w:vAlign w:val="center"/>
          </w:tcPr>
          <w:p w14:paraId="1B98DCC4" w14:textId="339C8E46" w:rsidR="00F53E3A" w:rsidRDefault="0036255F">
            <w:pPr>
              <w:pStyle w:val="P68B1DB1-Normal41"/>
              <w:spacing w:after="0"/>
              <w:jc w:val="center"/>
              <w:rPr>
                <w:rFonts w:eastAsia="Times New Roman"/>
                <w:noProof/>
                <w:szCs w:val="24"/>
              </w:rPr>
            </w:pPr>
            <w:r>
              <w:rPr>
                <w:noProof/>
              </w:rPr>
              <w:t>13a</w:t>
            </w:r>
          </w:p>
        </w:tc>
        <w:tc>
          <w:tcPr>
            <w:tcW w:w="3402" w:type="dxa"/>
            <w:shd w:val="clear" w:color="auto" w:fill="EAF1DD" w:themeFill="accent3" w:themeFillTint="33"/>
          </w:tcPr>
          <w:p w14:paraId="180AD72B" w14:textId="541306F0" w:rsidR="00F53E3A" w:rsidRDefault="0036255F">
            <w:pPr>
              <w:pStyle w:val="P68B1DB1-Normal42"/>
              <w:spacing w:after="0"/>
              <w:jc w:val="both"/>
              <w:textAlignment w:val="baseline"/>
              <w:rPr>
                <w:rFonts w:eastAsia="Times New Roman"/>
                <w:noProof/>
              </w:rPr>
            </w:pPr>
            <w:r>
              <w:rPr>
                <w:noProof/>
              </w:rPr>
              <w:t>A.1.1. Îmbunătățirea calității și accesibilității serviciilor de sănătate și promovarea inovării</w:t>
            </w:r>
          </w:p>
          <w:p w14:paraId="525A03FF" w14:textId="72ED47E3" w:rsidR="00F53E3A" w:rsidRDefault="0036255F">
            <w:pPr>
              <w:pStyle w:val="P68B1DB1-Normal42"/>
              <w:spacing w:after="0"/>
              <w:jc w:val="both"/>
              <w:textAlignment w:val="baseline"/>
              <w:rPr>
                <w:rFonts w:eastAsia="Times New Roman"/>
                <w:noProof/>
              </w:rPr>
            </w:pPr>
            <w:r>
              <w:rPr>
                <w:noProof/>
              </w:rPr>
              <w:t xml:space="preserve">A.1.1.11. Digitalizarea sectorului asistenței medicale </w:t>
            </w:r>
          </w:p>
        </w:tc>
        <w:tc>
          <w:tcPr>
            <w:tcW w:w="1594" w:type="dxa"/>
            <w:shd w:val="clear" w:color="auto" w:fill="EAF1DD" w:themeFill="accent3" w:themeFillTint="33"/>
          </w:tcPr>
          <w:p w14:paraId="625841B3" w14:textId="60342A73" w:rsidR="00F53E3A" w:rsidRDefault="0036255F">
            <w:pPr>
              <w:pStyle w:val="P68B1DB1-Normal42"/>
              <w:spacing w:after="0"/>
              <w:jc w:val="center"/>
              <w:rPr>
                <w:rFonts w:eastAsia="Times New Roman"/>
                <w:noProof/>
              </w:rPr>
            </w:pPr>
            <w:r>
              <w:rPr>
                <w:noProof/>
              </w:rPr>
              <w:t>Etapă</w:t>
            </w:r>
          </w:p>
        </w:tc>
        <w:tc>
          <w:tcPr>
            <w:tcW w:w="3579" w:type="dxa"/>
            <w:shd w:val="clear" w:color="auto" w:fill="EAF1DD" w:themeFill="accent3" w:themeFillTint="33"/>
          </w:tcPr>
          <w:p w14:paraId="6EDD57BA" w14:textId="5A974DAB" w:rsidR="00F53E3A" w:rsidRDefault="0036255F">
            <w:pPr>
              <w:pStyle w:val="P68B1DB1-Normal42"/>
              <w:spacing w:before="60" w:after="60"/>
              <w:jc w:val="both"/>
              <w:rPr>
                <w:rFonts w:eastAsia="Times New Roman"/>
                <w:noProof/>
              </w:rPr>
            </w:pPr>
            <w:r>
              <w:rPr>
                <w:noProof/>
              </w:rPr>
              <w:t>Plan de acțiune pentru dezvoltarea sistemului de sănătate digitală și proiecte</w:t>
            </w:r>
          </w:p>
        </w:tc>
      </w:tr>
      <w:tr w:rsidR="00F53E3A" w14:paraId="0C224C64" w14:textId="77777777">
        <w:trPr>
          <w:cantSplit/>
          <w:trHeight w:val="300"/>
        </w:trPr>
        <w:tc>
          <w:tcPr>
            <w:tcW w:w="1204" w:type="dxa"/>
            <w:shd w:val="clear" w:color="auto" w:fill="EAF1DD" w:themeFill="accent3" w:themeFillTint="33"/>
            <w:noWrap/>
            <w:vAlign w:val="center"/>
          </w:tcPr>
          <w:p w14:paraId="61733335" w14:textId="77777777" w:rsidR="00F53E3A" w:rsidRDefault="0036255F">
            <w:pPr>
              <w:pStyle w:val="P68B1DB1-Normal40"/>
              <w:spacing w:after="0"/>
              <w:jc w:val="center"/>
              <w:rPr>
                <w:noProof/>
              </w:rPr>
            </w:pPr>
            <w:r>
              <w:rPr>
                <w:noProof/>
              </w:rPr>
              <w:t>17</w:t>
            </w:r>
          </w:p>
        </w:tc>
        <w:tc>
          <w:tcPr>
            <w:tcW w:w="3402" w:type="dxa"/>
            <w:shd w:val="clear" w:color="auto" w:fill="EAF1DD" w:themeFill="accent3" w:themeFillTint="33"/>
          </w:tcPr>
          <w:p w14:paraId="1B80552B" w14:textId="77E44C63" w:rsidR="00F53E3A" w:rsidRDefault="0036255F">
            <w:pPr>
              <w:pStyle w:val="P68B1DB1-Normal40"/>
              <w:spacing w:after="0"/>
              <w:jc w:val="both"/>
              <w:rPr>
                <w:noProof/>
              </w:rPr>
            </w:pPr>
            <w:r>
              <w:rPr>
                <w:noProof/>
              </w:rPr>
              <w:t>A.1.2. Furnizarea de servicii de îngrijire pe termen lung</w:t>
            </w:r>
          </w:p>
          <w:p w14:paraId="0B5FAF3D" w14:textId="3B71DB82" w:rsidR="00F53E3A" w:rsidRDefault="0036255F">
            <w:pPr>
              <w:pStyle w:val="P68B1DB1-Normal40"/>
              <w:spacing w:after="0"/>
              <w:jc w:val="both"/>
              <w:rPr>
                <w:noProof/>
              </w:rPr>
            </w:pPr>
            <w:r>
              <w:rPr>
                <w:noProof/>
              </w:rPr>
              <w:t>A.1.2.2. Resursele umane și capacitatea infrastructurii pentru furnizarea de servicii de îngrijire pe termen lung</w:t>
            </w:r>
          </w:p>
        </w:tc>
        <w:tc>
          <w:tcPr>
            <w:tcW w:w="1594" w:type="dxa"/>
            <w:shd w:val="clear" w:color="auto" w:fill="EAF1DD" w:themeFill="accent3" w:themeFillTint="33"/>
          </w:tcPr>
          <w:p w14:paraId="70D26E61" w14:textId="399627A2" w:rsidR="00F53E3A" w:rsidRDefault="0036255F">
            <w:pPr>
              <w:pStyle w:val="P68B1DB1-Normal40"/>
              <w:spacing w:after="0"/>
              <w:jc w:val="center"/>
              <w:rPr>
                <w:noProof/>
              </w:rPr>
            </w:pPr>
            <w:r>
              <w:rPr>
                <w:noProof/>
              </w:rPr>
              <w:t>Țintă</w:t>
            </w:r>
          </w:p>
        </w:tc>
        <w:tc>
          <w:tcPr>
            <w:tcW w:w="3579" w:type="dxa"/>
            <w:shd w:val="clear" w:color="auto" w:fill="EAF1DD" w:themeFill="accent3" w:themeFillTint="33"/>
          </w:tcPr>
          <w:p w14:paraId="53E17A6B" w14:textId="4B196D2D" w:rsidR="00F53E3A" w:rsidRDefault="0036255F">
            <w:pPr>
              <w:pStyle w:val="P68B1DB1-Normal40"/>
              <w:spacing w:after="0"/>
              <w:jc w:val="both"/>
              <w:rPr>
                <w:noProof/>
              </w:rPr>
            </w:pPr>
            <w:r>
              <w:rPr>
                <w:noProof/>
              </w:rPr>
              <w:t>Capacități de infrastructură</w:t>
            </w:r>
          </w:p>
        </w:tc>
      </w:tr>
      <w:tr w:rsidR="00F53E3A" w14:paraId="6D87BA89" w14:textId="77777777">
        <w:trPr>
          <w:cantSplit/>
          <w:trHeight w:val="300"/>
        </w:trPr>
        <w:tc>
          <w:tcPr>
            <w:tcW w:w="1204" w:type="dxa"/>
            <w:shd w:val="clear" w:color="auto" w:fill="EAF1DD" w:themeFill="accent3" w:themeFillTint="33"/>
            <w:noWrap/>
            <w:vAlign w:val="center"/>
          </w:tcPr>
          <w:p w14:paraId="3945FB58" w14:textId="07AA6630" w:rsidR="00F53E3A" w:rsidRDefault="0036255F">
            <w:pPr>
              <w:pStyle w:val="P68B1DB1-Normal40"/>
              <w:spacing w:after="0"/>
              <w:jc w:val="center"/>
              <w:rPr>
                <w:noProof/>
              </w:rPr>
            </w:pPr>
            <w:r>
              <w:rPr>
                <w:noProof/>
              </w:rPr>
              <w:t>19</w:t>
            </w:r>
          </w:p>
        </w:tc>
        <w:tc>
          <w:tcPr>
            <w:tcW w:w="3402" w:type="dxa"/>
            <w:shd w:val="clear" w:color="auto" w:fill="EAF1DD" w:themeFill="accent3" w:themeFillTint="33"/>
          </w:tcPr>
          <w:p w14:paraId="6204EC23" w14:textId="507B45C5" w:rsidR="00F53E3A" w:rsidRDefault="0036255F">
            <w:pPr>
              <w:pStyle w:val="P68B1DB1-Normal40"/>
              <w:spacing w:after="0"/>
              <w:jc w:val="both"/>
              <w:rPr>
                <w:noProof/>
              </w:rPr>
            </w:pPr>
            <w:r>
              <w:rPr>
                <w:noProof/>
              </w:rPr>
              <w:t>A.1.3. Reziliența sistemului de sănătate pentru a face față situațiilor de urgență</w:t>
            </w:r>
          </w:p>
          <w:p w14:paraId="4CC82B18" w14:textId="24308131" w:rsidR="00F53E3A" w:rsidRDefault="0036255F">
            <w:pPr>
              <w:pStyle w:val="P68B1DB1-Normal40"/>
              <w:spacing w:after="0"/>
              <w:jc w:val="both"/>
              <w:rPr>
                <w:noProof/>
              </w:rPr>
            </w:pPr>
            <w:r>
              <w:rPr>
                <w:noProof/>
              </w:rPr>
              <w:t>A.1.3.2. Modernizarea centrelor de combatere a bolilor infecțioase</w:t>
            </w:r>
          </w:p>
        </w:tc>
        <w:tc>
          <w:tcPr>
            <w:tcW w:w="1594" w:type="dxa"/>
            <w:shd w:val="clear" w:color="auto" w:fill="EAF1DD" w:themeFill="accent3" w:themeFillTint="33"/>
          </w:tcPr>
          <w:p w14:paraId="362A268A" w14:textId="798B810B" w:rsidR="00F53E3A" w:rsidRDefault="0036255F">
            <w:pPr>
              <w:pStyle w:val="P68B1DB1-Normal40"/>
              <w:spacing w:after="0"/>
              <w:jc w:val="center"/>
              <w:rPr>
                <w:noProof/>
              </w:rPr>
            </w:pPr>
            <w:r>
              <w:rPr>
                <w:noProof/>
              </w:rPr>
              <w:t>Etapă</w:t>
            </w:r>
          </w:p>
        </w:tc>
        <w:tc>
          <w:tcPr>
            <w:tcW w:w="3579" w:type="dxa"/>
            <w:shd w:val="clear" w:color="auto" w:fill="EAF1DD" w:themeFill="accent3" w:themeFillTint="33"/>
          </w:tcPr>
          <w:p w14:paraId="0A15486A" w14:textId="77E280B9" w:rsidR="00F53E3A" w:rsidRDefault="0036255F">
            <w:pPr>
              <w:pStyle w:val="P68B1DB1-Normal40"/>
              <w:spacing w:after="0"/>
              <w:jc w:val="both"/>
              <w:rPr>
                <w:noProof/>
              </w:rPr>
            </w:pPr>
            <w:r>
              <w:rPr>
                <w:noProof/>
              </w:rPr>
              <w:t>Centre specializate în boli infecțioase</w:t>
            </w:r>
          </w:p>
        </w:tc>
      </w:tr>
      <w:tr w:rsidR="00F53E3A" w14:paraId="2587532A" w14:textId="77777777">
        <w:trPr>
          <w:cantSplit/>
          <w:trHeight w:val="300"/>
        </w:trPr>
        <w:tc>
          <w:tcPr>
            <w:tcW w:w="1204" w:type="dxa"/>
            <w:shd w:val="clear" w:color="auto" w:fill="EAF1DD" w:themeFill="accent3" w:themeFillTint="33"/>
            <w:noWrap/>
            <w:vAlign w:val="center"/>
          </w:tcPr>
          <w:p w14:paraId="203246A6" w14:textId="76B55250" w:rsidR="00F53E3A" w:rsidRDefault="0036255F">
            <w:pPr>
              <w:pStyle w:val="P68B1DB1-Normal40"/>
              <w:spacing w:after="0"/>
              <w:jc w:val="center"/>
              <w:rPr>
                <w:noProof/>
              </w:rPr>
            </w:pPr>
            <w:r>
              <w:rPr>
                <w:noProof/>
              </w:rPr>
              <w:t>20</w:t>
            </w:r>
          </w:p>
        </w:tc>
        <w:tc>
          <w:tcPr>
            <w:tcW w:w="3402" w:type="dxa"/>
            <w:shd w:val="clear" w:color="auto" w:fill="EAF1DD" w:themeFill="accent3" w:themeFillTint="33"/>
          </w:tcPr>
          <w:p w14:paraId="54981CDD" w14:textId="73D8FA7B" w:rsidR="00F53E3A" w:rsidRDefault="0036255F">
            <w:pPr>
              <w:pStyle w:val="P68B1DB1-Normal40"/>
              <w:spacing w:after="0"/>
              <w:jc w:val="both"/>
              <w:rPr>
                <w:noProof/>
              </w:rPr>
            </w:pPr>
            <w:r>
              <w:rPr>
                <w:noProof/>
              </w:rPr>
              <w:t>A.1.3. Reziliența sistemului de sănătate pentru a face față situațiilor de urgență</w:t>
            </w:r>
          </w:p>
          <w:p w14:paraId="43CD18EF" w14:textId="1A27CCB4" w:rsidR="00F53E3A" w:rsidRDefault="0036255F">
            <w:pPr>
              <w:pStyle w:val="P68B1DB1-Normal40"/>
              <w:spacing w:after="0"/>
              <w:jc w:val="both"/>
              <w:rPr>
                <w:noProof/>
              </w:rPr>
            </w:pPr>
            <w:r>
              <w:rPr>
                <w:noProof/>
              </w:rPr>
              <w:t>A.1.3.3. Modernizarea serviciilor de urgență și a unităților de resuscitare din spitalele regionale</w:t>
            </w:r>
          </w:p>
        </w:tc>
        <w:tc>
          <w:tcPr>
            <w:tcW w:w="1594" w:type="dxa"/>
            <w:shd w:val="clear" w:color="auto" w:fill="EAF1DD" w:themeFill="accent3" w:themeFillTint="33"/>
          </w:tcPr>
          <w:p w14:paraId="2E425F5E" w14:textId="47B84168" w:rsidR="00F53E3A" w:rsidRDefault="0036255F">
            <w:pPr>
              <w:pStyle w:val="P68B1DB1-Normal40"/>
              <w:spacing w:after="0"/>
              <w:jc w:val="center"/>
              <w:rPr>
                <w:noProof/>
              </w:rPr>
            </w:pPr>
            <w:r>
              <w:rPr>
                <w:noProof/>
              </w:rPr>
              <w:t>Țintă</w:t>
            </w:r>
          </w:p>
        </w:tc>
        <w:tc>
          <w:tcPr>
            <w:tcW w:w="3579" w:type="dxa"/>
            <w:shd w:val="clear" w:color="auto" w:fill="EAF1DD" w:themeFill="accent3" w:themeFillTint="33"/>
          </w:tcPr>
          <w:p w14:paraId="43516B1F" w14:textId="297E3FA6" w:rsidR="00F53E3A" w:rsidRDefault="0036255F">
            <w:pPr>
              <w:pStyle w:val="P68B1DB1-Normal40"/>
              <w:spacing w:after="0"/>
              <w:jc w:val="both"/>
              <w:rPr>
                <w:noProof/>
              </w:rPr>
            </w:pPr>
            <w:r>
              <w:rPr>
                <w:noProof/>
              </w:rPr>
              <w:t>Numărul de spitale cu unități modernizate de urgență, de resuscitare sau de terapie intensivă.</w:t>
            </w:r>
          </w:p>
        </w:tc>
      </w:tr>
      <w:tr w:rsidR="00F53E3A" w14:paraId="62AB76B4" w14:textId="77777777">
        <w:trPr>
          <w:cantSplit/>
          <w:trHeight w:val="300"/>
        </w:trPr>
        <w:tc>
          <w:tcPr>
            <w:tcW w:w="1204" w:type="dxa"/>
            <w:shd w:val="clear" w:color="auto" w:fill="EAF1DD" w:themeFill="accent3" w:themeFillTint="33"/>
            <w:noWrap/>
            <w:vAlign w:val="center"/>
          </w:tcPr>
          <w:p w14:paraId="10B38889" w14:textId="6B5C9726" w:rsidR="00F53E3A" w:rsidRDefault="0036255F">
            <w:pPr>
              <w:pStyle w:val="P68B1DB1-Normal40"/>
              <w:spacing w:after="0"/>
              <w:jc w:val="center"/>
              <w:rPr>
                <w:noProof/>
              </w:rPr>
            </w:pPr>
            <w:r>
              <w:rPr>
                <w:noProof/>
              </w:rPr>
              <w:t>26</w:t>
            </w:r>
          </w:p>
        </w:tc>
        <w:tc>
          <w:tcPr>
            <w:tcW w:w="3402" w:type="dxa"/>
            <w:shd w:val="clear" w:color="auto" w:fill="EAF1DD" w:themeFill="accent3" w:themeFillTint="33"/>
          </w:tcPr>
          <w:p w14:paraId="52899B6A" w14:textId="3E35664A" w:rsidR="00F53E3A" w:rsidRDefault="0036255F">
            <w:pPr>
              <w:pStyle w:val="P68B1DB1-Normal39"/>
              <w:spacing w:after="0"/>
              <w:jc w:val="both"/>
              <w:rPr>
                <w:noProof/>
              </w:rPr>
            </w:pPr>
            <w:r>
              <w:rPr>
                <w:noProof/>
              </w:rPr>
              <w:t>B.1.1 Energie electrică mai durabilă produsă în țară – B.1.1.2</w:t>
            </w:r>
            <w:r>
              <w:rPr>
                <w:noProof/>
                <w:u w:val="single"/>
              </w:rPr>
              <w:t xml:space="preserve"> </w:t>
            </w:r>
            <w:r>
              <w:rPr>
                <w:noProof/>
              </w:rPr>
              <w:t xml:space="preserve">Sprijin pentru construirea de instalații individuale de stocare </w:t>
            </w:r>
          </w:p>
        </w:tc>
        <w:tc>
          <w:tcPr>
            <w:tcW w:w="1594" w:type="dxa"/>
            <w:shd w:val="clear" w:color="auto" w:fill="EAF1DD" w:themeFill="accent3" w:themeFillTint="33"/>
          </w:tcPr>
          <w:p w14:paraId="041C1714" w14:textId="4C4D71EA" w:rsidR="00F53E3A" w:rsidRDefault="0036255F">
            <w:pPr>
              <w:pStyle w:val="P68B1DB1-Normal39"/>
              <w:spacing w:after="0"/>
              <w:jc w:val="center"/>
              <w:rPr>
                <w:noProof/>
              </w:rPr>
            </w:pPr>
            <w:r>
              <w:rPr>
                <w:noProof/>
              </w:rPr>
              <w:t>Țintă</w:t>
            </w:r>
          </w:p>
        </w:tc>
        <w:tc>
          <w:tcPr>
            <w:tcW w:w="3579" w:type="dxa"/>
            <w:shd w:val="clear" w:color="auto" w:fill="EAF1DD" w:themeFill="accent3" w:themeFillTint="33"/>
          </w:tcPr>
          <w:p w14:paraId="44AE02BA" w14:textId="4771319E" w:rsidR="00F53E3A" w:rsidRDefault="0036255F">
            <w:pPr>
              <w:pStyle w:val="P68B1DB1-Normal39"/>
              <w:spacing w:after="0"/>
              <w:jc w:val="both"/>
              <w:rPr>
                <w:noProof/>
              </w:rPr>
            </w:pPr>
            <w:r>
              <w:rPr>
                <w:noProof/>
              </w:rPr>
              <w:t>Capacitatea instalată de stocare a energiei</w:t>
            </w:r>
          </w:p>
        </w:tc>
      </w:tr>
      <w:tr w:rsidR="00F53E3A" w14:paraId="3AFC2D94" w14:textId="77777777">
        <w:trPr>
          <w:cantSplit/>
          <w:trHeight w:val="300"/>
        </w:trPr>
        <w:tc>
          <w:tcPr>
            <w:tcW w:w="1204" w:type="dxa"/>
            <w:shd w:val="clear" w:color="auto" w:fill="EAF1DD" w:themeFill="accent3" w:themeFillTint="33"/>
            <w:noWrap/>
            <w:vAlign w:val="center"/>
          </w:tcPr>
          <w:p w14:paraId="25246619" w14:textId="29C33828" w:rsidR="00F53E3A" w:rsidRDefault="0036255F">
            <w:pPr>
              <w:pStyle w:val="P68B1DB1-Normal40"/>
              <w:spacing w:after="0"/>
              <w:jc w:val="center"/>
              <w:rPr>
                <w:noProof/>
                <w:color w:val="000000" w:themeColor="text1"/>
              </w:rPr>
            </w:pPr>
            <w:r>
              <w:rPr>
                <w:noProof/>
              </w:rPr>
              <w:t>32</w:t>
            </w:r>
          </w:p>
        </w:tc>
        <w:tc>
          <w:tcPr>
            <w:tcW w:w="3402" w:type="dxa"/>
            <w:shd w:val="clear" w:color="auto" w:fill="EAF1DD" w:themeFill="accent3" w:themeFillTint="33"/>
          </w:tcPr>
          <w:p w14:paraId="62770C8C" w14:textId="658C5651" w:rsidR="00F53E3A" w:rsidRDefault="0036255F">
            <w:pPr>
              <w:pStyle w:val="P68B1DB1-Normal39"/>
              <w:spacing w:after="0"/>
              <w:jc w:val="both"/>
              <w:rPr>
                <w:noProof/>
                <w:color w:val="000000" w:themeColor="text1"/>
              </w:rPr>
            </w:pPr>
            <w:r>
              <w:rPr>
                <w:noProof/>
              </w:rPr>
              <w:t>B.1.2. Deplasarea fără poluarea mediului – B.1.2.1. Sprijin pentru livrarea de vehicule nepoluante și pentru mobilitatea durabilă</w:t>
            </w:r>
          </w:p>
        </w:tc>
        <w:tc>
          <w:tcPr>
            <w:tcW w:w="1594" w:type="dxa"/>
            <w:shd w:val="clear" w:color="auto" w:fill="EAF1DD" w:themeFill="accent3" w:themeFillTint="33"/>
          </w:tcPr>
          <w:p w14:paraId="668C7E9F" w14:textId="52180CAD" w:rsidR="00F53E3A" w:rsidRDefault="0036255F">
            <w:pPr>
              <w:pStyle w:val="P68B1DB1-Normal39"/>
              <w:spacing w:after="0"/>
              <w:jc w:val="center"/>
              <w:rPr>
                <w:noProof/>
                <w:color w:val="000000" w:themeColor="text1"/>
              </w:rPr>
            </w:pPr>
            <w:r>
              <w:rPr>
                <w:noProof/>
              </w:rPr>
              <w:t>Țintă</w:t>
            </w:r>
          </w:p>
        </w:tc>
        <w:tc>
          <w:tcPr>
            <w:tcW w:w="3579" w:type="dxa"/>
            <w:shd w:val="clear" w:color="auto" w:fill="EAF1DD" w:themeFill="accent3" w:themeFillTint="33"/>
          </w:tcPr>
          <w:p w14:paraId="5171CDFB" w14:textId="7A767C50" w:rsidR="00F53E3A" w:rsidRDefault="0036255F">
            <w:pPr>
              <w:pStyle w:val="P68B1DB1-Normal39"/>
              <w:spacing w:after="0"/>
              <w:jc w:val="both"/>
              <w:rPr>
                <w:noProof/>
                <w:color w:val="000000" w:themeColor="text1"/>
              </w:rPr>
            </w:pPr>
            <w:r>
              <w:rPr>
                <w:noProof/>
              </w:rPr>
              <w:t xml:space="preserve">Numărul de vehicule de transport nepoluante livrate și înmatriculate în Lituania </w:t>
            </w:r>
          </w:p>
        </w:tc>
      </w:tr>
      <w:tr w:rsidR="00F53E3A" w14:paraId="5F774270" w14:textId="77777777">
        <w:trPr>
          <w:cantSplit/>
          <w:trHeight w:val="300"/>
        </w:trPr>
        <w:tc>
          <w:tcPr>
            <w:tcW w:w="1204" w:type="dxa"/>
            <w:shd w:val="clear" w:color="auto" w:fill="EAF1DD" w:themeFill="accent3" w:themeFillTint="33"/>
            <w:noWrap/>
            <w:vAlign w:val="center"/>
          </w:tcPr>
          <w:p w14:paraId="4BDAB5FF" w14:textId="2E8BFA6E" w:rsidR="00F53E3A" w:rsidRDefault="0036255F">
            <w:pPr>
              <w:pStyle w:val="P68B1DB1-Normal40"/>
              <w:spacing w:after="0"/>
              <w:jc w:val="center"/>
              <w:rPr>
                <w:noProof/>
                <w:color w:val="000000" w:themeColor="text1"/>
              </w:rPr>
            </w:pPr>
            <w:r>
              <w:rPr>
                <w:noProof/>
              </w:rPr>
              <w:t>32a</w:t>
            </w:r>
          </w:p>
        </w:tc>
        <w:tc>
          <w:tcPr>
            <w:tcW w:w="3402" w:type="dxa"/>
            <w:shd w:val="clear" w:color="auto" w:fill="EAF1DD" w:themeFill="accent3" w:themeFillTint="33"/>
          </w:tcPr>
          <w:p w14:paraId="5C0A1F34" w14:textId="3D4A90FA" w:rsidR="00F53E3A" w:rsidRDefault="0036255F">
            <w:pPr>
              <w:pStyle w:val="P68B1DB1-Normal40"/>
              <w:spacing w:after="0"/>
              <w:jc w:val="both"/>
              <w:rPr>
                <w:noProof/>
                <w:color w:val="000000" w:themeColor="text1"/>
              </w:rPr>
            </w:pPr>
            <w:r>
              <w:rPr>
                <w:noProof/>
              </w:rPr>
              <w:t>B.1.2. Deplasarea fără poluarea mediului – B.1.2.1. Sprijin pentru livrarea de vehicule nepoluante și pentru mobilitatea durabilă</w:t>
            </w:r>
          </w:p>
        </w:tc>
        <w:tc>
          <w:tcPr>
            <w:tcW w:w="1594" w:type="dxa"/>
            <w:shd w:val="clear" w:color="auto" w:fill="EAF1DD" w:themeFill="accent3" w:themeFillTint="33"/>
          </w:tcPr>
          <w:p w14:paraId="51F536E1" w14:textId="5C895057" w:rsidR="00F53E3A" w:rsidRDefault="0036255F">
            <w:pPr>
              <w:pStyle w:val="P68B1DB1-Normal40"/>
              <w:spacing w:after="0"/>
              <w:jc w:val="center"/>
              <w:rPr>
                <w:noProof/>
                <w:color w:val="000000" w:themeColor="text1"/>
              </w:rPr>
            </w:pPr>
            <w:r>
              <w:rPr>
                <w:noProof/>
              </w:rPr>
              <w:t xml:space="preserve"> Etapă</w:t>
            </w:r>
          </w:p>
        </w:tc>
        <w:tc>
          <w:tcPr>
            <w:tcW w:w="3579" w:type="dxa"/>
            <w:shd w:val="clear" w:color="auto" w:fill="EAF1DD" w:themeFill="accent3" w:themeFillTint="33"/>
          </w:tcPr>
          <w:p w14:paraId="3119DD21" w14:textId="5A72EBAB" w:rsidR="00F53E3A" w:rsidRDefault="0036255F">
            <w:pPr>
              <w:pStyle w:val="P68B1DB1-Normal40"/>
              <w:spacing w:after="0"/>
              <w:jc w:val="both"/>
              <w:rPr>
                <w:noProof/>
                <w:color w:val="000000" w:themeColor="text1"/>
              </w:rPr>
            </w:pPr>
            <w:r>
              <w:rPr>
                <w:noProof/>
              </w:rPr>
              <w:t>Lungimea pistelor, străzilor sau benzilor pentru biciclete nou construite sau renovate sau a pistelor combinate pentru biciclete și pietoni</w:t>
            </w:r>
          </w:p>
        </w:tc>
      </w:tr>
      <w:tr w:rsidR="00F53E3A" w14:paraId="4EBBC3BD" w14:textId="77777777">
        <w:trPr>
          <w:cantSplit/>
          <w:trHeight w:val="300"/>
        </w:trPr>
        <w:tc>
          <w:tcPr>
            <w:tcW w:w="1204" w:type="dxa"/>
            <w:shd w:val="clear" w:color="auto" w:fill="EAF1DD" w:themeFill="accent3" w:themeFillTint="33"/>
            <w:noWrap/>
            <w:vAlign w:val="center"/>
          </w:tcPr>
          <w:p w14:paraId="03D26AB1" w14:textId="77708AB0" w:rsidR="00F53E3A" w:rsidRDefault="0036255F">
            <w:pPr>
              <w:pStyle w:val="P68B1DB1-Normal40"/>
              <w:spacing w:after="0"/>
              <w:jc w:val="center"/>
              <w:rPr>
                <w:noProof/>
                <w:szCs w:val="22"/>
              </w:rPr>
            </w:pPr>
            <w:r>
              <w:rPr>
                <w:noProof/>
              </w:rPr>
              <w:t>32b</w:t>
            </w:r>
          </w:p>
        </w:tc>
        <w:tc>
          <w:tcPr>
            <w:tcW w:w="3402" w:type="dxa"/>
            <w:shd w:val="clear" w:color="auto" w:fill="EAF1DD" w:themeFill="accent3" w:themeFillTint="33"/>
          </w:tcPr>
          <w:p w14:paraId="3A53B7CE" w14:textId="3385848A" w:rsidR="00F53E3A" w:rsidRDefault="0036255F">
            <w:pPr>
              <w:pStyle w:val="P68B1DB1-Normal40"/>
              <w:spacing w:after="0"/>
              <w:jc w:val="both"/>
              <w:rPr>
                <w:noProof/>
              </w:rPr>
            </w:pPr>
            <w:r>
              <w:rPr>
                <w:noProof/>
              </w:rPr>
              <w:t>B.1.2. Deplasarea fără poluarea mediului – B.1.2.1. Sprijin pentru livrarea de vehicule nepoluante și pentru mobilitatea durabilă</w:t>
            </w:r>
          </w:p>
        </w:tc>
        <w:tc>
          <w:tcPr>
            <w:tcW w:w="1594" w:type="dxa"/>
            <w:shd w:val="clear" w:color="auto" w:fill="EAF1DD" w:themeFill="accent3" w:themeFillTint="33"/>
          </w:tcPr>
          <w:p w14:paraId="38BF39D2" w14:textId="243A6CB0" w:rsidR="00F53E3A" w:rsidRDefault="0036255F">
            <w:pPr>
              <w:pStyle w:val="P68B1DB1-Normal40"/>
              <w:spacing w:after="0"/>
              <w:jc w:val="center"/>
              <w:rPr>
                <w:noProof/>
                <w:szCs w:val="22"/>
              </w:rPr>
            </w:pPr>
            <w:r>
              <w:rPr>
                <w:noProof/>
              </w:rPr>
              <w:t>Etapă</w:t>
            </w:r>
          </w:p>
        </w:tc>
        <w:tc>
          <w:tcPr>
            <w:tcW w:w="3579" w:type="dxa"/>
            <w:shd w:val="clear" w:color="auto" w:fill="EAF1DD" w:themeFill="accent3" w:themeFillTint="33"/>
          </w:tcPr>
          <w:p w14:paraId="1B19FAEB" w14:textId="70686B82" w:rsidR="00F53E3A" w:rsidRDefault="0036255F">
            <w:pPr>
              <w:pStyle w:val="P68B1DB1-Normal40"/>
              <w:spacing w:after="0"/>
              <w:jc w:val="both"/>
              <w:rPr>
                <w:noProof/>
              </w:rPr>
            </w:pPr>
            <w:r>
              <w:rPr>
                <w:noProof/>
              </w:rPr>
              <w:t>Electrificarea segmentelor de cale ferată dintre Radviliškis și Klaipėda</w:t>
            </w:r>
          </w:p>
        </w:tc>
      </w:tr>
      <w:tr w:rsidR="00F53E3A" w14:paraId="1DFBCF89" w14:textId="77777777">
        <w:trPr>
          <w:cantSplit/>
          <w:trHeight w:val="300"/>
        </w:trPr>
        <w:tc>
          <w:tcPr>
            <w:tcW w:w="1204" w:type="dxa"/>
            <w:shd w:val="clear" w:color="auto" w:fill="EAF1DD" w:themeFill="accent3" w:themeFillTint="33"/>
            <w:noWrap/>
            <w:vAlign w:val="center"/>
          </w:tcPr>
          <w:p w14:paraId="2630C3ED" w14:textId="70F156AE" w:rsidR="00F53E3A" w:rsidRDefault="0036255F">
            <w:pPr>
              <w:pStyle w:val="P68B1DB1-Normal40"/>
              <w:spacing w:after="0"/>
              <w:jc w:val="center"/>
              <w:rPr>
                <w:noProof/>
                <w:szCs w:val="22"/>
              </w:rPr>
            </w:pPr>
            <w:r>
              <w:rPr>
                <w:noProof/>
              </w:rPr>
              <w:t>33</w:t>
            </w:r>
          </w:p>
        </w:tc>
        <w:tc>
          <w:tcPr>
            <w:tcW w:w="3402" w:type="dxa"/>
            <w:shd w:val="clear" w:color="auto" w:fill="EAF1DD" w:themeFill="accent3" w:themeFillTint="33"/>
          </w:tcPr>
          <w:p w14:paraId="37D9159E" w14:textId="53D84CDF" w:rsidR="00F53E3A" w:rsidRDefault="0036255F">
            <w:pPr>
              <w:pStyle w:val="P68B1DB1-Normal39"/>
              <w:spacing w:after="0"/>
              <w:jc w:val="both"/>
              <w:rPr>
                <w:noProof/>
              </w:rPr>
            </w:pPr>
            <w:r>
              <w:rPr>
                <w:noProof/>
              </w:rPr>
              <w:t xml:space="preserve">B.1.2. Deplasarea fără poluarea mediului – B.1.2.1. Sprijin pentru livrarea de vehicule nepoluante și pentru mobilitatea durabilă </w:t>
            </w:r>
          </w:p>
        </w:tc>
        <w:tc>
          <w:tcPr>
            <w:tcW w:w="1594" w:type="dxa"/>
            <w:shd w:val="clear" w:color="auto" w:fill="EAF1DD" w:themeFill="accent3" w:themeFillTint="33"/>
          </w:tcPr>
          <w:p w14:paraId="1E1F22EC" w14:textId="7FAB2D8C" w:rsidR="00F53E3A" w:rsidRDefault="0036255F">
            <w:pPr>
              <w:pStyle w:val="P68B1DB1-Normal39"/>
              <w:spacing w:after="0"/>
              <w:jc w:val="center"/>
              <w:rPr>
                <w:noProof/>
                <w:szCs w:val="22"/>
              </w:rPr>
            </w:pPr>
            <w:r>
              <w:rPr>
                <w:noProof/>
              </w:rPr>
              <w:t>Țintă</w:t>
            </w:r>
          </w:p>
        </w:tc>
        <w:tc>
          <w:tcPr>
            <w:tcW w:w="3579" w:type="dxa"/>
            <w:shd w:val="clear" w:color="auto" w:fill="EAF1DD" w:themeFill="accent3" w:themeFillTint="33"/>
          </w:tcPr>
          <w:p w14:paraId="2B8B6704" w14:textId="050E3775" w:rsidR="00F53E3A" w:rsidRDefault="0036255F">
            <w:pPr>
              <w:pStyle w:val="P68B1DB1-Normal39"/>
              <w:spacing w:after="0"/>
              <w:jc w:val="both"/>
              <w:rPr>
                <w:noProof/>
              </w:rPr>
            </w:pPr>
            <w:r>
              <w:rPr>
                <w:noProof/>
              </w:rPr>
              <w:t>Autobuze modernizate</w:t>
            </w:r>
          </w:p>
        </w:tc>
      </w:tr>
      <w:tr w:rsidR="00F53E3A" w14:paraId="6BCCD644" w14:textId="77777777">
        <w:trPr>
          <w:cantSplit/>
          <w:trHeight w:val="300"/>
        </w:trPr>
        <w:tc>
          <w:tcPr>
            <w:tcW w:w="1204" w:type="dxa"/>
            <w:shd w:val="clear" w:color="auto" w:fill="EAF1DD" w:themeFill="accent3" w:themeFillTint="33"/>
            <w:noWrap/>
            <w:vAlign w:val="center"/>
          </w:tcPr>
          <w:p w14:paraId="4B36C475" w14:textId="6BACEE04" w:rsidR="00F53E3A" w:rsidRDefault="0036255F">
            <w:pPr>
              <w:pStyle w:val="P68B1DB1-Normal40"/>
              <w:spacing w:after="0"/>
              <w:jc w:val="center"/>
              <w:rPr>
                <w:noProof/>
                <w:szCs w:val="22"/>
              </w:rPr>
            </w:pPr>
            <w:r>
              <w:rPr>
                <w:noProof/>
              </w:rPr>
              <w:t>34</w:t>
            </w:r>
          </w:p>
        </w:tc>
        <w:tc>
          <w:tcPr>
            <w:tcW w:w="3402" w:type="dxa"/>
            <w:shd w:val="clear" w:color="auto" w:fill="EAF1DD" w:themeFill="accent3" w:themeFillTint="33"/>
          </w:tcPr>
          <w:p w14:paraId="0F1B9A64" w14:textId="6433F4FB" w:rsidR="00F53E3A" w:rsidRDefault="0036255F">
            <w:pPr>
              <w:pStyle w:val="P68B1DB1-Normal39"/>
              <w:spacing w:after="0"/>
              <w:jc w:val="both"/>
              <w:rPr>
                <w:noProof/>
              </w:rPr>
            </w:pPr>
            <w:r>
              <w:rPr>
                <w:noProof/>
              </w:rPr>
              <w:t>B.1.2 Deplasarea fără poluarea mediului – B.1.2.2. Sprijin pentru achiziționarea de vehicule de transport public cu emisii zero</w:t>
            </w:r>
          </w:p>
        </w:tc>
        <w:tc>
          <w:tcPr>
            <w:tcW w:w="1594" w:type="dxa"/>
            <w:shd w:val="clear" w:color="auto" w:fill="EAF1DD" w:themeFill="accent3" w:themeFillTint="33"/>
          </w:tcPr>
          <w:p w14:paraId="30FEB8A9" w14:textId="384A1FD2" w:rsidR="00F53E3A" w:rsidRDefault="0036255F">
            <w:pPr>
              <w:pStyle w:val="P68B1DB1-Normal39"/>
              <w:spacing w:after="0"/>
              <w:jc w:val="center"/>
              <w:rPr>
                <w:noProof/>
                <w:szCs w:val="22"/>
              </w:rPr>
            </w:pPr>
            <w:r>
              <w:rPr>
                <w:noProof/>
              </w:rPr>
              <w:t>Etapă</w:t>
            </w:r>
          </w:p>
        </w:tc>
        <w:tc>
          <w:tcPr>
            <w:tcW w:w="3579" w:type="dxa"/>
            <w:shd w:val="clear" w:color="auto" w:fill="EAF1DD" w:themeFill="accent3" w:themeFillTint="33"/>
          </w:tcPr>
          <w:p w14:paraId="36FEE610" w14:textId="0EB37E94" w:rsidR="00F53E3A" w:rsidRDefault="0036255F">
            <w:pPr>
              <w:pStyle w:val="P68B1DB1-Normal39"/>
              <w:spacing w:after="0"/>
              <w:jc w:val="both"/>
              <w:rPr>
                <w:noProof/>
              </w:rPr>
            </w:pPr>
            <w:r>
              <w:rPr>
                <w:noProof/>
              </w:rPr>
              <w:t>Reforma sistemului de mobilitate interurbană</w:t>
            </w:r>
          </w:p>
        </w:tc>
      </w:tr>
      <w:tr w:rsidR="00F53E3A" w14:paraId="6014638C" w14:textId="77777777">
        <w:trPr>
          <w:cantSplit/>
          <w:trHeight w:val="300"/>
        </w:trPr>
        <w:tc>
          <w:tcPr>
            <w:tcW w:w="1204" w:type="dxa"/>
            <w:shd w:val="clear" w:color="auto" w:fill="EAF1DD" w:themeFill="accent3" w:themeFillTint="33"/>
            <w:noWrap/>
            <w:vAlign w:val="center"/>
          </w:tcPr>
          <w:p w14:paraId="34A943BB" w14:textId="5A1F7075" w:rsidR="00F53E3A" w:rsidRDefault="0036255F">
            <w:pPr>
              <w:pStyle w:val="P68B1DB1-Normal40"/>
              <w:spacing w:after="0"/>
              <w:jc w:val="center"/>
              <w:rPr>
                <w:noProof/>
                <w:szCs w:val="22"/>
              </w:rPr>
            </w:pPr>
            <w:r>
              <w:rPr>
                <w:noProof/>
              </w:rPr>
              <w:t>36</w:t>
            </w:r>
          </w:p>
        </w:tc>
        <w:tc>
          <w:tcPr>
            <w:tcW w:w="3402" w:type="dxa"/>
            <w:shd w:val="clear" w:color="auto" w:fill="EAF1DD" w:themeFill="accent3" w:themeFillTint="33"/>
          </w:tcPr>
          <w:p w14:paraId="5C983905" w14:textId="35C27FB2" w:rsidR="00F53E3A" w:rsidRDefault="0036255F">
            <w:pPr>
              <w:pStyle w:val="P68B1DB1-Normal39"/>
              <w:spacing w:after="0"/>
              <w:jc w:val="both"/>
              <w:rPr>
                <w:noProof/>
              </w:rPr>
            </w:pPr>
            <w:r>
              <w:rPr>
                <w:noProof/>
              </w:rPr>
              <w:t xml:space="preserve">B.1.2 Deplasarea fără poluarea mediului – B.1.2.2. Sprijin pentru achiziționarea de vehicule de transport public cu emisii zero </w:t>
            </w:r>
          </w:p>
        </w:tc>
        <w:tc>
          <w:tcPr>
            <w:tcW w:w="1594" w:type="dxa"/>
            <w:shd w:val="clear" w:color="auto" w:fill="EAF1DD" w:themeFill="accent3" w:themeFillTint="33"/>
          </w:tcPr>
          <w:p w14:paraId="56D057B8" w14:textId="64FF58DB" w:rsidR="00F53E3A" w:rsidRDefault="0036255F">
            <w:pPr>
              <w:pStyle w:val="P68B1DB1-Normal39"/>
              <w:spacing w:after="0"/>
              <w:jc w:val="center"/>
              <w:rPr>
                <w:noProof/>
                <w:szCs w:val="22"/>
              </w:rPr>
            </w:pPr>
            <w:r>
              <w:rPr>
                <w:noProof/>
              </w:rPr>
              <w:t>Țintă</w:t>
            </w:r>
          </w:p>
        </w:tc>
        <w:tc>
          <w:tcPr>
            <w:tcW w:w="3579" w:type="dxa"/>
            <w:shd w:val="clear" w:color="auto" w:fill="EAF1DD" w:themeFill="accent3" w:themeFillTint="33"/>
          </w:tcPr>
          <w:p w14:paraId="11C2250F" w14:textId="0D723E40" w:rsidR="00F53E3A" w:rsidRDefault="0036255F">
            <w:pPr>
              <w:pStyle w:val="P68B1DB1-Normal39"/>
              <w:spacing w:after="0"/>
              <w:jc w:val="both"/>
              <w:rPr>
                <w:noProof/>
              </w:rPr>
            </w:pPr>
            <w:r>
              <w:rPr>
                <w:noProof/>
              </w:rPr>
              <w:t>Livrarea de autobuze electrice</w:t>
            </w:r>
          </w:p>
        </w:tc>
      </w:tr>
      <w:tr w:rsidR="00F53E3A" w14:paraId="32726DCB" w14:textId="77777777">
        <w:trPr>
          <w:cantSplit/>
          <w:trHeight w:val="300"/>
        </w:trPr>
        <w:tc>
          <w:tcPr>
            <w:tcW w:w="1204" w:type="dxa"/>
            <w:shd w:val="clear" w:color="auto" w:fill="EAF1DD" w:themeFill="accent3" w:themeFillTint="33"/>
            <w:noWrap/>
            <w:vAlign w:val="center"/>
          </w:tcPr>
          <w:p w14:paraId="5CCC7133" w14:textId="4B5D061F" w:rsidR="00F53E3A" w:rsidRDefault="0036255F">
            <w:pPr>
              <w:pStyle w:val="P68B1DB1-Normal40"/>
              <w:jc w:val="center"/>
              <w:rPr>
                <w:noProof/>
              </w:rPr>
            </w:pPr>
            <w:r>
              <w:rPr>
                <w:noProof/>
              </w:rPr>
              <w:t>39</w:t>
            </w:r>
          </w:p>
        </w:tc>
        <w:tc>
          <w:tcPr>
            <w:tcW w:w="3402" w:type="dxa"/>
            <w:shd w:val="clear" w:color="auto" w:fill="EAF1DD" w:themeFill="accent3" w:themeFillTint="33"/>
          </w:tcPr>
          <w:p w14:paraId="22CB0C97" w14:textId="72CAE04F" w:rsidR="00F53E3A" w:rsidRDefault="0036255F">
            <w:pPr>
              <w:pStyle w:val="P68B1DB1-Normal39"/>
              <w:jc w:val="both"/>
              <w:rPr>
                <w:noProof/>
                <w:color w:val="000000" w:themeColor="text1"/>
              </w:rPr>
            </w:pPr>
            <w:r>
              <w:rPr>
                <w:noProof/>
              </w:rPr>
              <w:t xml:space="preserve"> B.1.2 Deplasarea fără poluarea mediului – B.1.2.3. Instalarea infrastructurii de reîncărcare a vehiculelor și de alimentare cu combustibili alternativi</w:t>
            </w:r>
          </w:p>
        </w:tc>
        <w:tc>
          <w:tcPr>
            <w:tcW w:w="1594" w:type="dxa"/>
            <w:shd w:val="clear" w:color="auto" w:fill="EAF1DD" w:themeFill="accent3" w:themeFillTint="33"/>
          </w:tcPr>
          <w:p w14:paraId="5BECD9F3" w14:textId="6B4DE618" w:rsidR="00F53E3A" w:rsidRDefault="0036255F">
            <w:pPr>
              <w:pStyle w:val="P68B1DB1-Normal39"/>
              <w:jc w:val="center"/>
              <w:rPr>
                <w:noProof/>
              </w:rPr>
            </w:pPr>
            <w:r>
              <w:rPr>
                <w:noProof/>
              </w:rPr>
              <w:t>Țintă</w:t>
            </w:r>
          </w:p>
        </w:tc>
        <w:tc>
          <w:tcPr>
            <w:tcW w:w="3579" w:type="dxa"/>
            <w:shd w:val="clear" w:color="auto" w:fill="EAF1DD" w:themeFill="accent3" w:themeFillTint="33"/>
          </w:tcPr>
          <w:p w14:paraId="5121B32F" w14:textId="15623CF5" w:rsidR="00F53E3A" w:rsidRDefault="0036255F">
            <w:pPr>
              <w:pStyle w:val="P68B1DB1-Normal39"/>
              <w:jc w:val="both"/>
              <w:rPr>
                <w:noProof/>
                <w:color w:val="000000" w:themeColor="text1"/>
              </w:rPr>
            </w:pPr>
            <w:r>
              <w:rPr>
                <w:noProof/>
              </w:rPr>
              <w:t>Instalarea punctelor de reîncărcare</w:t>
            </w:r>
          </w:p>
        </w:tc>
      </w:tr>
      <w:tr w:rsidR="00F53E3A" w14:paraId="2072D0BC" w14:textId="77777777">
        <w:trPr>
          <w:cantSplit/>
          <w:trHeight w:val="300"/>
        </w:trPr>
        <w:tc>
          <w:tcPr>
            <w:tcW w:w="1204" w:type="dxa"/>
            <w:shd w:val="clear" w:color="auto" w:fill="EAF1DD" w:themeFill="accent3" w:themeFillTint="33"/>
            <w:noWrap/>
            <w:vAlign w:val="center"/>
          </w:tcPr>
          <w:p w14:paraId="46981E14" w14:textId="032A28D3" w:rsidR="00F53E3A" w:rsidRDefault="0036255F">
            <w:pPr>
              <w:pStyle w:val="P68B1DB1-Normal40"/>
              <w:spacing w:after="0"/>
              <w:jc w:val="center"/>
              <w:rPr>
                <w:noProof/>
                <w:szCs w:val="22"/>
              </w:rPr>
            </w:pPr>
            <w:r>
              <w:rPr>
                <w:noProof/>
              </w:rPr>
              <w:t>42</w:t>
            </w:r>
          </w:p>
        </w:tc>
        <w:tc>
          <w:tcPr>
            <w:tcW w:w="3402" w:type="dxa"/>
            <w:shd w:val="clear" w:color="auto" w:fill="EAF1DD" w:themeFill="accent3" w:themeFillTint="33"/>
          </w:tcPr>
          <w:p w14:paraId="54C6B9C9" w14:textId="5F7F292E" w:rsidR="00F53E3A" w:rsidRDefault="0036255F">
            <w:pPr>
              <w:pStyle w:val="P68B1DB1-Normal39"/>
              <w:spacing w:after="0"/>
              <w:jc w:val="both"/>
              <w:rPr>
                <w:noProof/>
              </w:rPr>
            </w:pPr>
            <w:r>
              <w:rPr>
                <w:noProof/>
              </w:rPr>
              <w:t xml:space="preserve">B.1.2 Deplasarea fără poluarea mediului – B.1.2.3. Instalarea infrastructurii de încărcare a vehiculelor și de alimentare cu combustibili alternativi </w:t>
            </w:r>
          </w:p>
        </w:tc>
        <w:tc>
          <w:tcPr>
            <w:tcW w:w="1594" w:type="dxa"/>
            <w:shd w:val="clear" w:color="auto" w:fill="EAF1DD" w:themeFill="accent3" w:themeFillTint="33"/>
          </w:tcPr>
          <w:p w14:paraId="66D229A9" w14:textId="3300B349" w:rsidR="00F53E3A" w:rsidRDefault="0036255F">
            <w:pPr>
              <w:pStyle w:val="P68B1DB1-Normal39"/>
              <w:spacing w:after="0"/>
              <w:jc w:val="center"/>
              <w:rPr>
                <w:noProof/>
                <w:szCs w:val="22"/>
              </w:rPr>
            </w:pPr>
            <w:r>
              <w:rPr>
                <w:noProof/>
              </w:rPr>
              <w:t>Țintă</w:t>
            </w:r>
          </w:p>
        </w:tc>
        <w:tc>
          <w:tcPr>
            <w:tcW w:w="3579" w:type="dxa"/>
            <w:shd w:val="clear" w:color="auto" w:fill="EAF1DD" w:themeFill="accent3" w:themeFillTint="33"/>
          </w:tcPr>
          <w:p w14:paraId="279529D6" w14:textId="74C9302F" w:rsidR="00F53E3A" w:rsidRDefault="0036255F">
            <w:pPr>
              <w:pStyle w:val="P68B1DB1-Normal39"/>
              <w:spacing w:after="0"/>
              <w:jc w:val="both"/>
              <w:rPr>
                <w:noProof/>
              </w:rPr>
            </w:pPr>
            <w:r>
              <w:rPr>
                <w:noProof/>
              </w:rPr>
              <w:t>Instalarea unei stații de realimentare cu hidrogen</w:t>
            </w:r>
          </w:p>
        </w:tc>
      </w:tr>
      <w:tr w:rsidR="00F53E3A" w14:paraId="47C8C95A" w14:textId="77777777">
        <w:trPr>
          <w:cantSplit/>
          <w:trHeight w:val="300"/>
        </w:trPr>
        <w:tc>
          <w:tcPr>
            <w:tcW w:w="1204" w:type="dxa"/>
            <w:shd w:val="clear" w:color="auto" w:fill="EAF1DD" w:themeFill="accent3" w:themeFillTint="33"/>
            <w:noWrap/>
            <w:vAlign w:val="center"/>
          </w:tcPr>
          <w:p w14:paraId="6C4500C5" w14:textId="4D4B4060" w:rsidR="00F53E3A" w:rsidRDefault="0036255F">
            <w:pPr>
              <w:pStyle w:val="P68B1DB1-Normal40"/>
              <w:spacing w:after="0"/>
              <w:jc w:val="center"/>
              <w:rPr>
                <w:noProof/>
                <w:szCs w:val="22"/>
              </w:rPr>
            </w:pPr>
            <w:r>
              <w:rPr>
                <w:noProof/>
              </w:rPr>
              <w:t>45</w:t>
            </w:r>
          </w:p>
        </w:tc>
        <w:tc>
          <w:tcPr>
            <w:tcW w:w="3402" w:type="dxa"/>
            <w:shd w:val="clear" w:color="auto" w:fill="EAF1DD" w:themeFill="accent3" w:themeFillTint="33"/>
          </w:tcPr>
          <w:p w14:paraId="2E3B8326" w14:textId="5AF176A5" w:rsidR="00F53E3A" w:rsidRDefault="0036255F">
            <w:pPr>
              <w:pStyle w:val="P68B1DB1-Normal39"/>
              <w:spacing w:after="0"/>
              <w:jc w:val="both"/>
              <w:rPr>
                <w:noProof/>
              </w:rPr>
            </w:pPr>
            <w:r>
              <w:rPr>
                <w:noProof/>
              </w:rPr>
              <w:t>B.1.2 Deplasarea fără poluarea mediului – B.1.2.4. Sprijin pentru sectorul combustibililor din surse regenerabile (gaz biometan, biocombustibili lichizi de a doua generație pentru transporturi și hidrogen din surse regenerabile)</w:t>
            </w:r>
          </w:p>
        </w:tc>
        <w:tc>
          <w:tcPr>
            <w:tcW w:w="1594" w:type="dxa"/>
            <w:shd w:val="clear" w:color="auto" w:fill="EAF1DD" w:themeFill="accent3" w:themeFillTint="33"/>
          </w:tcPr>
          <w:p w14:paraId="3C230CC4" w14:textId="7C6174A0" w:rsidR="00F53E3A" w:rsidRDefault="0036255F">
            <w:pPr>
              <w:pStyle w:val="P68B1DB1-Normal39"/>
              <w:spacing w:after="0"/>
              <w:jc w:val="center"/>
              <w:rPr>
                <w:noProof/>
                <w:szCs w:val="22"/>
              </w:rPr>
            </w:pPr>
            <w:r>
              <w:rPr>
                <w:noProof/>
              </w:rPr>
              <w:t>Țintă</w:t>
            </w:r>
          </w:p>
        </w:tc>
        <w:tc>
          <w:tcPr>
            <w:tcW w:w="3579" w:type="dxa"/>
            <w:shd w:val="clear" w:color="auto" w:fill="EAF1DD" w:themeFill="accent3" w:themeFillTint="33"/>
          </w:tcPr>
          <w:p w14:paraId="27AD8B61" w14:textId="72B363C8" w:rsidR="00F53E3A" w:rsidRDefault="0036255F">
            <w:pPr>
              <w:pStyle w:val="P68B1DB1-Normal39"/>
              <w:spacing w:after="0"/>
              <w:jc w:val="both"/>
              <w:rPr>
                <w:noProof/>
              </w:rPr>
            </w:pPr>
            <w:r>
              <w:rPr>
                <w:noProof/>
              </w:rPr>
              <w:t>Noi instalații de producere a biometanului, a gazului și a hidrogenului din surse regenerabile</w:t>
            </w:r>
          </w:p>
        </w:tc>
      </w:tr>
      <w:tr w:rsidR="00F53E3A" w14:paraId="45411C7F" w14:textId="77777777">
        <w:trPr>
          <w:cantSplit/>
          <w:trHeight w:val="300"/>
        </w:trPr>
        <w:tc>
          <w:tcPr>
            <w:tcW w:w="1204" w:type="dxa"/>
            <w:shd w:val="clear" w:color="auto" w:fill="EAF1DD" w:themeFill="accent3" w:themeFillTint="33"/>
            <w:noWrap/>
            <w:vAlign w:val="center"/>
          </w:tcPr>
          <w:p w14:paraId="3C553BF2" w14:textId="1A0342C1" w:rsidR="00F53E3A" w:rsidRDefault="0036255F">
            <w:pPr>
              <w:pStyle w:val="P68B1DB1-Normal40"/>
              <w:spacing w:after="0"/>
              <w:jc w:val="center"/>
              <w:rPr>
                <w:noProof/>
                <w:szCs w:val="22"/>
              </w:rPr>
            </w:pPr>
            <w:r>
              <w:rPr>
                <w:noProof/>
              </w:rPr>
              <w:t>46</w:t>
            </w:r>
          </w:p>
        </w:tc>
        <w:tc>
          <w:tcPr>
            <w:tcW w:w="3402" w:type="dxa"/>
            <w:shd w:val="clear" w:color="auto" w:fill="EAF1DD" w:themeFill="accent3" w:themeFillTint="33"/>
          </w:tcPr>
          <w:p w14:paraId="2CE97A53" w14:textId="768D23F1" w:rsidR="00F53E3A" w:rsidRDefault="0036255F">
            <w:pPr>
              <w:pStyle w:val="P68B1DB1-Normal39"/>
              <w:spacing w:after="0"/>
              <w:jc w:val="both"/>
              <w:rPr>
                <w:noProof/>
              </w:rPr>
            </w:pPr>
            <w:r>
              <w:rPr>
                <w:noProof/>
              </w:rPr>
              <w:t xml:space="preserve">B.1.2 Deplasarea fără poluarea mediului – B.1.2.4. Sprijin pentru sectorul combustibililor din surse regenerabile (gaz biometan, biocombustibili lichizi de a doua generație pentru transporturi și hidrogen din surse regenerabile) </w:t>
            </w:r>
          </w:p>
        </w:tc>
        <w:tc>
          <w:tcPr>
            <w:tcW w:w="1594" w:type="dxa"/>
            <w:shd w:val="clear" w:color="auto" w:fill="EAF1DD" w:themeFill="accent3" w:themeFillTint="33"/>
          </w:tcPr>
          <w:p w14:paraId="140687FD" w14:textId="3CEAB64F" w:rsidR="00F53E3A" w:rsidRDefault="0036255F">
            <w:pPr>
              <w:pStyle w:val="P68B1DB1-Normal39"/>
              <w:spacing w:after="0"/>
              <w:jc w:val="center"/>
              <w:rPr>
                <w:noProof/>
                <w:szCs w:val="22"/>
              </w:rPr>
            </w:pPr>
            <w:r>
              <w:rPr>
                <w:noProof/>
              </w:rPr>
              <w:t>Țintă</w:t>
            </w:r>
          </w:p>
        </w:tc>
        <w:tc>
          <w:tcPr>
            <w:tcW w:w="3579" w:type="dxa"/>
            <w:shd w:val="clear" w:color="auto" w:fill="EAF1DD" w:themeFill="accent3" w:themeFillTint="33"/>
          </w:tcPr>
          <w:p w14:paraId="599BB379" w14:textId="63FB7C2A" w:rsidR="00F53E3A" w:rsidRDefault="0036255F">
            <w:pPr>
              <w:pStyle w:val="P68B1DB1-Normal40"/>
              <w:spacing w:after="0"/>
              <w:jc w:val="both"/>
              <w:rPr>
                <w:noProof/>
                <w:szCs w:val="22"/>
              </w:rPr>
            </w:pPr>
            <w:r>
              <w:rPr>
                <w:noProof/>
              </w:rPr>
              <w:t>Echipamente pentru producția de biocombustibili lichizi de a doua generație</w:t>
            </w:r>
          </w:p>
        </w:tc>
      </w:tr>
      <w:tr w:rsidR="00F53E3A" w14:paraId="716A0221" w14:textId="77777777">
        <w:trPr>
          <w:cantSplit/>
          <w:trHeight w:val="300"/>
        </w:trPr>
        <w:tc>
          <w:tcPr>
            <w:tcW w:w="1204" w:type="dxa"/>
            <w:shd w:val="clear" w:color="auto" w:fill="EAF1DD" w:themeFill="accent3" w:themeFillTint="33"/>
            <w:noWrap/>
            <w:vAlign w:val="center"/>
          </w:tcPr>
          <w:p w14:paraId="071A30B8" w14:textId="7BF00652" w:rsidR="00F53E3A" w:rsidRDefault="0036255F">
            <w:pPr>
              <w:pStyle w:val="P68B1DB1-Normal40"/>
              <w:spacing w:after="0"/>
              <w:jc w:val="center"/>
              <w:rPr>
                <w:noProof/>
                <w:szCs w:val="22"/>
              </w:rPr>
            </w:pPr>
            <w:r>
              <w:rPr>
                <w:noProof/>
              </w:rPr>
              <w:t>52</w:t>
            </w:r>
          </w:p>
        </w:tc>
        <w:tc>
          <w:tcPr>
            <w:tcW w:w="3402" w:type="dxa"/>
            <w:shd w:val="clear" w:color="auto" w:fill="EAF1DD" w:themeFill="accent3" w:themeFillTint="33"/>
          </w:tcPr>
          <w:p w14:paraId="12CBC4B5" w14:textId="422F7F1C" w:rsidR="00F53E3A" w:rsidRDefault="0036255F">
            <w:pPr>
              <w:pStyle w:val="P68B1DB1-Normal39"/>
              <w:spacing w:after="0"/>
              <w:jc w:val="both"/>
              <w:rPr>
                <w:noProof/>
              </w:rPr>
            </w:pPr>
            <w:r>
              <w:rPr>
                <w:noProof/>
              </w:rPr>
              <w:t>B.1.3 Accelerarea renovării clădirilor și un mediu urban durabil – B.1.3.3. Furnizarea de produse și servicii pentru construcții care accelerează renovarea clădirilor</w:t>
            </w:r>
          </w:p>
        </w:tc>
        <w:tc>
          <w:tcPr>
            <w:tcW w:w="1594" w:type="dxa"/>
            <w:shd w:val="clear" w:color="auto" w:fill="EAF1DD" w:themeFill="accent3" w:themeFillTint="33"/>
          </w:tcPr>
          <w:p w14:paraId="2E4620A2" w14:textId="332C30CF" w:rsidR="00F53E3A" w:rsidRDefault="0036255F">
            <w:pPr>
              <w:pStyle w:val="P68B1DB1-Normal39"/>
              <w:spacing w:after="0"/>
              <w:jc w:val="center"/>
              <w:rPr>
                <w:noProof/>
                <w:szCs w:val="22"/>
              </w:rPr>
            </w:pPr>
            <w:r>
              <w:rPr>
                <w:noProof/>
              </w:rPr>
              <w:t>Țintă</w:t>
            </w:r>
          </w:p>
        </w:tc>
        <w:tc>
          <w:tcPr>
            <w:tcW w:w="3579" w:type="dxa"/>
            <w:shd w:val="clear" w:color="auto" w:fill="EAF1DD" w:themeFill="accent3" w:themeFillTint="33"/>
          </w:tcPr>
          <w:p w14:paraId="535EA843" w14:textId="68A3BFCD" w:rsidR="00F53E3A" w:rsidRDefault="0036255F">
            <w:pPr>
              <w:pStyle w:val="P68B1DB1-Normal39"/>
              <w:spacing w:after="0"/>
              <w:jc w:val="both"/>
              <w:rPr>
                <w:noProof/>
                <w:szCs w:val="22"/>
              </w:rPr>
            </w:pPr>
            <w:r>
              <w:rPr>
                <w:noProof/>
              </w:rPr>
              <w:t>Capacitatea de producție a structurilor modulare</w:t>
            </w:r>
          </w:p>
        </w:tc>
      </w:tr>
      <w:tr w:rsidR="00F53E3A" w14:paraId="1A8D1835" w14:textId="77777777">
        <w:trPr>
          <w:cantSplit/>
          <w:trHeight w:val="300"/>
        </w:trPr>
        <w:tc>
          <w:tcPr>
            <w:tcW w:w="1204" w:type="dxa"/>
            <w:shd w:val="clear" w:color="auto" w:fill="EAF1DD" w:themeFill="accent3" w:themeFillTint="33"/>
            <w:noWrap/>
            <w:vAlign w:val="center"/>
          </w:tcPr>
          <w:p w14:paraId="784363E8" w14:textId="1B119A9C" w:rsidR="00F53E3A" w:rsidRDefault="0036255F">
            <w:pPr>
              <w:pStyle w:val="P68B1DB1-Normal40"/>
              <w:spacing w:after="0"/>
              <w:jc w:val="center"/>
              <w:rPr>
                <w:noProof/>
                <w:szCs w:val="22"/>
              </w:rPr>
            </w:pPr>
            <w:r>
              <w:rPr>
                <w:noProof/>
              </w:rPr>
              <w:t>54</w:t>
            </w:r>
          </w:p>
        </w:tc>
        <w:tc>
          <w:tcPr>
            <w:tcW w:w="3402" w:type="dxa"/>
            <w:shd w:val="clear" w:color="auto" w:fill="EAF1DD" w:themeFill="accent3" w:themeFillTint="33"/>
          </w:tcPr>
          <w:p w14:paraId="4C5CB317" w14:textId="13C98DAB" w:rsidR="00F53E3A" w:rsidRDefault="0036255F">
            <w:pPr>
              <w:pStyle w:val="P68B1DB1-Normal39"/>
              <w:spacing w:after="0"/>
              <w:jc w:val="both"/>
              <w:rPr>
                <w:noProof/>
              </w:rPr>
            </w:pPr>
            <w:r>
              <w:rPr>
                <w:noProof/>
              </w:rPr>
              <w:t>B.1.3 Accelerarea renovării clădirilor și un mediu urban durabil – B.1.3.4. Sprijin pentru renovarea clădirilor</w:t>
            </w:r>
          </w:p>
        </w:tc>
        <w:tc>
          <w:tcPr>
            <w:tcW w:w="1594" w:type="dxa"/>
            <w:shd w:val="clear" w:color="auto" w:fill="EAF1DD" w:themeFill="accent3" w:themeFillTint="33"/>
          </w:tcPr>
          <w:p w14:paraId="1B4F6448" w14:textId="1360D6C9" w:rsidR="00F53E3A" w:rsidRDefault="0036255F">
            <w:pPr>
              <w:pStyle w:val="P68B1DB1-Normal39"/>
              <w:spacing w:after="0"/>
              <w:jc w:val="center"/>
              <w:rPr>
                <w:noProof/>
                <w:szCs w:val="22"/>
              </w:rPr>
            </w:pPr>
            <w:r>
              <w:rPr>
                <w:noProof/>
              </w:rPr>
              <w:t>Țintă</w:t>
            </w:r>
          </w:p>
        </w:tc>
        <w:tc>
          <w:tcPr>
            <w:tcW w:w="3579" w:type="dxa"/>
            <w:shd w:val="clear" w:color="auto" w:fill="EAF1DD" w:themeFill="accent3" w:themeFillTint="33"/>
          </w:tcPr>
          <w:p w14:paraId="4FC6D959" w14:textId="3069F48A" w:rsidR="00F53E3A" w:rsidRDefault="0036255F">
            <w:pPr>
              <w:pStyle w:val="P68B1DB1-Normal39"/>
              <w:spacing w:after="0"/>
              <w:jc w:val="both"/>
              <w:rPr>
                <w:noProof/>
                <w:szCs w:val="22"/>
              </w:rPr>
            </w:pPr>
            <w:r>
              <w:rPr>
                <w:noProof/>
              </w:rPr>
              <w:t xml:space="preserve">Suprafața clădirilor renovate cu mai multe apartamente </w:t>
            </w:r>
          </w:p>
        </w:tc>
      </w:tr>
      <w:tr w:rsidR="00F53E3A" w14:paraId="7E8C204D" w14:textId="77777777">
        <w:trPr>
          <w:cantSplit/>
          <w:trHeight w:val="300"/>
        </w:trPr>
        <w:tc>
          <w:tcPr>
            <w:tcW w:w="1204" w:type="dxa"/>
            <w:shd w:val="clear" w:color="auto" w:fill="EAF1DD" w:themeFill="accent3" w:themeFillTint="33"/>
            <w:noWrap/>
            <w:vAlign w:val="center"/>
          </w:tcPr>
          <w:p w14:paraId="24041657" w14:textId="6BD71365" w:rsidR="00F53E3A" w:rsidRDefault="0036255F">
            <w:pPr>
              <w:pStyle w:val="P68B1DB1-Normal39"/>
              <w:spacing w:after="0"/>
              <w:jc w:val="center"/>
              <w:rPr>
                <w:noProof/>
                <w:szCs w:val="22"/>
              </w:rPr>
            </w:pPr>
            <w:r>
              <w:rPr>
                <w:noProof/>
              </w:rPr>
              <w:t>55</w:t>
            </w:r>
          </w:p>
        </w:tc>
        <w:tc>
          <w:tcPr>
            <w:tcW w:w="3402" w:type="dxa"/>
            <w:shd w:val="clear" w:color="auto" w:fill="EAF1DD" w:themeFill="accent3" w:themeFillTint="33"/>
          </w:tcPr>
          <w:p w14:paraId="4BD9D4A2" w14:textId="143BF475" w:rsidR="00F53E3A" w:rsidRDefault="0036255F">
            <w:pPr>
              <w:pStyle w:val="P68B1DB1-Normal39"/>
              <w:spacing w:after="0"/>
              <w:jc w:val="both"/>
              <w:rPr>
                <w:noProof/>
              </w:rPr>
            </w:pPr>
            <w:r>
              <w:rPr>
                <w:noProof/>
              </w:rPr>
              <w:t>B.1.4 Menținerea și creșterea capacității de absorbție a GES</w:t>
            </w:r>
          </w:p>
        </w:tc>
        <w:tc>
          <w:tcPr>
            <w:tcW w:w="1594" w:type="dxa"/>
            <w:shd w:val="clear" w:color="auto" w:fill="EAF1DD" w:themeFill="accent3" w:themeFillTint="33"/>
          </w:tcPr>
          <w:p w14:paraId="7EBF1A32" w14:textId="3ECC3C64" w:rsidR="00F53E3A" w:rsidRDefault="0036255F">
            <w:pPr>
              <w:pStyle w:val="P68B1DB1-Normal39"/>
              <w:spacing w:after="0"/>
              <w:jc w:val="center"/>
              <w:rPr>
                <w:noProof/>
                <w:szCs w:val="22"/>
              </w:rPr>
            </w:pPr>
            <w:r>
              <w:rPr>
                <w:noProof/>
              </w:rPr>
              <w:t>Țintă</w:t>
            </w:r>
          </w:p>
        </w:tc>
        <w:tc>
          <w:tcPr>
            <w:tcW w:w="3579" w:type="dxa"/>
            <w:shd w:val="clear" w:color="auto" w:fill="EAF1DD" w:themeFill="accent3" w:themeFillTint="33"/>
          </w:tcPr>
          <w:p w14:paraId="045CFE15" w14:textId="3C359CB3" w:rsidR="00F53E3A" w:rsidRDefault="0036255F">
            <w:pPr>
              <w:pStyle w:val="P68B1DB1-Normal39"/>
              <w:spacing w:after="0"/>
              <w:jc w:val="both"/>
              <w:rPr>
                <w:noProof/>
                <w:szCs w:val="22"/>
              </w:rPr>
            </w:pPr>
            <w:r>
              <w:rPr>
                <w:noProof/>
              </w:rPr>
              <w:t>Zone forestiere bogate în biodiversitate achiziționate</w:t>
            </w:r>
          </w:p>
        </w:tc>
      </w:tr>
      <w:tr w:rsidR="00F53E3A" w14:paraId="6626B80A" w14:textId="77777777">
        <w:trPr>
          <w:cantSplit/>
          <w:trHeight w:val="300"/>
        </w:trPr>
        <w:tc>
          <w:tcPr>
            <w:tcW w:w="1204" w:type="dxa"/>
            <w:shd w:val="clear" w:color="auto" w:fill="EAF1DD" w:themeFill="accent3" w:themeFillTint="33"/>
            <w:noWrap/>
            <w:vAlign w:val="center"/>
          </w:tcPr>
          <w:p w14:paraId="274A018E" w14:textId="6FC946BB" w:rsidR="00F53E3A" w:rsidRDefault="0036255F">
            <w:pPr>
              <w:pStyle w:val="P68B1DB1-Normal40"/>
              <w:spacing w:after="0"/>
              <w:jc w:val="center"/>
              <w:rPr>
                <w:noProof/>
                <w:szCs w:val="22"/>
              </w:rPr>
            </w:pPr>
            <w:r>
              <w:rPr>
                <w:noProof/>
              </w:rPr>
              <w:t>59</w:t>
            </w:r>
          </w:p>
        </w:tc>
        <w:tc>
          <w:tcPr>
            <w:tcW w:w="3402" w:type="dxa"/>
            <w:shd w:val="clear" w:color="auto" w:fill="EAF1DD" w:themeFill="accent3" w:themeFillTint="33"/>
          </w:tcPr>
          <w:p w14:paraId="5D2A713C" w14:textId="17AB6D9F" w:rsidR="00F53E3A" w:rsidRDefault="0036255F">
            <w:pPr>
              <w:pStyle w:val="P68B1DB1-Normal39"/>
              <w:spacing w:after="0"/>
              <w:jc w:val="both"/>
              <w:rPr>
                <w:noProof/>
              </w:rPr>
            </w:pPr>
            <w:r>
              <w:rPr>
                <w:noProof/>
              </w:rPr>
              <w:t xml:space="preserve">C.1.1 Transformarea guvernanței tehnologiei informației publice </w:t>
            </w:r>
          </w:p>
        </w:tc>
        <w:tc>
          <w:tcPr>
            <w:tcW w:w="1594" w:type="dxa"/>
            <w:shd w:val="clear" w:color="auto" w:fill="EAF1DD" w:themeFill="accent3" w:themeFillTint="33"/>
          </w:tcPr>
          <w:p w14:paraId="40470408" w14:textId="051C8795" w:rsidR="00F53E3A" w:rsidRDefault="0036255F">
            <w:pPr>
              <w:pStyle w:val="P68B1DB1-Normal39"/>
              <w:spacing w:after="0"/>
              <w:jc w:val="center"/>
              <w:rPr>
                <w:noProof/>
                <w:szCs w:val="22"/>
              </w:rPr>
            </w:pPr>
            <w:r>
              <w:rPr>
                <w:noProof/>
              </w:rPr>
              <w:t>Etapă</w:t>
            </w:r>
          </w:p>
        </w:tc>
        <w:tc>
          <w:tcPr>
            <w:tcW w:w="3579" w:type="dxa"/>
            <w:shd w:val="clear" w:color="auto" w:fill="EAF1DD" w:themeFill="accent3" w:themeFillTint="33"/>
          </w:tcPr>
          <w:p w14:paraId="7F727CB2" w14:textId="37D0DB95" w:rsidR="00F53E3A" w:rsidRDefault="0036255F">
            <w:pPr>
              <w:pStyle w:val="P68B1DB1-Normal39"/>
              <w:spacing w:after="0"/>
              <w:jc w:val="both"/>
              <w:rPr>
                <w:noProof/>
              </w:rPr>
            </w:pPr>
            <w:r>
              <w:rPr>
                <w:noProof/>
              </w:rPr>
              <w:t xml:space="preserve">Sisteme gestionate de instituții și organisme de stat migrate către o infrastructură de cloud hibridă </w:t>
            </w:r>
          </w:p>
        </w:tc>
      </w:tr>
      <w:tr w:rsidR="00F53E3A" w14:paraId="6F0966A7" w14:textId="77777777">
        <w:trPr>
          <w:cantSplit/>
          <w:trHeight w:val="300"/>
        </w:trPr>
        <w:tc>
          <w:tcPr>
            <w:tcW w:w="1204" w:type="dxa"/>
            <w:shd w:val="clear" w:color="auto" w:fill="EAF1DD" w:themeFill="accent3" w:themeFillTint="33"/>
            <w:noWrap/>
            <w:vAlign w:val="center"/>
          </w:tcPr>
          <w:p w14:paraId="0581634C" w14:textId="7D2B96A4" w:rsidR="00F53E3A" w:rsidRDefault="0036255F">
            <w:pPr>
              <w:pStyle w:val="P68B1DB1-Normal40"/>
              <w:spacing w:after="0"/>
              <w:jc w:val="center"/>
              <w:rPr>
                <w:noProof/>
                <w:szCs w:val="22"/>
              </w:rPr>
            </w:pPr>
            <w:r>
              <w:rPr>
                <w:noProof/>
              </w:rPr>
              <w:t>60b</w:t>
            </w:r>
          </w:p>
        </w:tc>
        <w:tc>
          <w:tcPr>
            <w:tcW w:w="3402" w:type="dxa"/>
            <w:shd w:val="clear" w:color="auto" w:fill="EAF1DD" w:themeFill="accent3" w:themeFillTint="33"/>
          </w:tcPr>
          <w:p w14:paraId="4FCB03F8" w14:textId="6747FA8B" w:rsidR="00F53E3A" w:rsidRDefault="0036255F">
            <w:pPr>
              <w:pStyle w:val="P68B1DB1-Normal39"/>
              <w:spacing w:after="0"/>
              <w:jc w:val="both"/>
              <w:rPr>
                <w:noProof/>
              </w:rPr>
            </w:pPr>
            <w:r>
              <w:rPr>
                <w:noProof/>
              </w:rPr>
              <w:t>C.1.1a Dezvoltarea securității cibernetice de stat</w:t>
            </w:r>
          </w:p>
        </w:tc>
        <w:tc>
          <w:tcPr>
            <w:tcW w:w="1594" w:type="dxa"/>
            <w:shd w:val="clear" w:color="auto" w:fill="EAF1DD" w:themeFill="accent3" w:themeFillTint="33"/>
          </w:tcPr>
          <w:p w14:paraId="3A642520" w14:textId="6869708B" w:rsidR="00F53E3A" w:rsidRDefault="0036255F">
            <w:pPr>
              <w:pStyle w:val="P68B1DB1-Normal39"/>
              <w:spacing w:after="0"/>
              <w:jc w:val="center"/>
              <w:rPr>
                <w:noProof/>
                <w:szCs w:val="22"/>
              </w:rPr>
            </w:pPr>
            <w:r>
              <w:rPr>
                <w:noProof/>
              </w:rPr>
              <w:t>Etapă</w:t>
            </w:r>
          </w:p>
        </w:tc>
        <w:tc>
          <w:tcPr>
            <w:tcW w:w="3579" w:type="dxa"/>
            <w:shd w:val="clear" w:color="auto" w:fill="EAF1DD" w:themeFill="accent3" w:themeFillTint="33"/>
          </w:tcPr>
          <w:p w14:paraId="2EF102E9" w14:textId="300F823A" w:rsidR="00F53E3A" w:rsidRDefault="0036255F">
            <w:pPr>
              <w:pStyle w:val="P68B1DB1-Normal39"/>
              <w:spacing w:after="0"/>
              <w:jc w:val="both"/>
              <w:rPr>
                <w:noProof/>
                <w:szCs w:val="22"/>
              </w:rPr>
            </w:pPr>
            <w:r>
              <w:rPr>
                <w:noProof/>
              </w:rPr>
              <w:t>Furnizarea unui sistem național de monitorizare a securității cibernetice.</w:t>
            </w:r>
          </w:p>
        </w:tc>
      </w:tr>
      <w:tr w:rsidR="00F53E3A" w14:paraId="1887B774" w14:textId="77777777">
        <w:trPr>
          <w:cantSplit/>
          <w:trHeight w:val="300"/>
        </w:trPr>
        <w:tc>
          <w:tcPr>
            <w:tcW w:w="1204" w:type="dxa"/>
            <w:shd w:val="clear" w:color="auto" w:fill="EAF1DD" w:themeFill="accent3" w:themeFillTint="33"/>
            <w:noWrap/>
            <w:vAlign w:val="center"/>
          </w:tcPr>
          <w:p w14:paraId="5577DF65" w14:textId="26E79666" w:rsidR="00F53E3A" w:rsidRDefault="0036255F">
            <w:pPr>
              <w:pStyle w:val="P68B1DB1-Normal40"/>
              <w:spacing w:after="0"/>
              <w:jc w:val="center"/>
              <w:rPr>
                <w:noProof/>
                <w:szCs w:val="22"/>
              </w:rPr>
            </w:pPr>
            <w:r>
              <w:rPr>
                <w:noProof/>
              </w:rPr>
              <w:t>60c</w:t>
            </w:r>
          </w:p>
        </w:tc>
        <w:tc>
          <w:tcPr>
            <w:tcW w:w="3402" w:type="dxa"/>
            <w:shd w:val="clear" w:color="auto" w:fill="EAF1DD" w:themeFill="accent3" w:themeFillTint="33"/>
          </w:tcPr>
          <w:p w14:paraId="72C2169B" w14:textId="036CE4D9" w:rsidR="00F53E3A" w:rsidRDefault="0036255F">
            <w:pPr>
              <w:pStyle w:val="P68B1DB1-Normal39"/>
              <w:spacing w:after="0"/>
              <w:jc w:val="both"/>
              <w:rPr>
                <w:noProof/>
                <w:szCs w:val="22"/>
              </w:rPr>
            </w:pPr>
            <w:r>
              <w:rPr>
                <w:noProof/>
              </w:rPr>
              <w:t>C.1.1a Dezvoltarea securității cibernetice de stat</w:t>
            </w:r>
          </w:p>
        </w:tc>
        <w:tc>
          <w:tcPr>
            <w:tcW w:w="1594" w:type="dxa"/>
            <w:shd w:val="clear" w:color="auto" w:fill="EAF1DD" w:themeFill="accent3" w:themeFillTint="33"/>
          </w:tcPr>
          <w:p w14:paraId="1AEA2E40" w14:textId="109BE7A7" w:rsidR="00F53E3A" w:rsidRDefault="0036255F">
            <w:pPr>
              <w:pStyle w:val="P68B1DB1-Normal39"/>
              <w:spacing w:after="0"/>
              <w:jc w:val="center"/>
              <w:rPr>
                <w:noProof/>
                <w:szCs w:val="22"/>
              </w:rPr>
            </w:pPr>
            <w:r>
              <w:rPr>
                <w:noProof/>
              </w:rPr>
              <w:t>Etapă</w:t>
            </w:r>
          </w:p>
        </w:tc>
        <w:tc>
          <w:tcPr>
            <w:tcW w:w="3579" w:type="dxa"/>
            <w:shd w:val="clear" w:color="auto" w:fill="EAF1DD" w:themeFill="accent3" w:themeFillTint="33"/>
          </w:tcPr>
          <w:p w14:paraId="24FCFD22" w14:textId="014097D0" w:rsidR="00F53E3A" w:rsidRDefault="0036255F">
            <w:pPr>
              <w:pStyle w:val="P68B1DB1-Normal39"/>
              <w:spacing w:after="0"/>
              <w:jc w:val="both"/>
              <w:rPr>
                <w:noProof/>
              </w:rPr>
            </w:pPr>
            <w:r>
              <w:rPr>
                <w:noProof/>
              </w:rPr>
              <w:t xml:space="preserve"> Ancheta privind criminalitatea informatică</w:t>
            </w:r>
          </w:p>
        </w:tc>
      </w:tr>
      <w:tr w:rsidR="00F53E3A" w14:paraId="7294D709" w14:textId="77777777">
        <w:trPr>
          <w:cantSplit/>
          <w:trHeight w:val="300"/>
        </w:trPr>
        <w:tc>
          <w:tcPr>
            <w:tcW w:w="1204" w:type="dxa"/>
            <w:shd w:val="clear" w:color="auto" w:fill="EAF1DD" w:themeFill="accent3" w:themeFillTint="33"/>
            <w:noWrap/>
            <w:vAlign w:val="center"/>
          </w:tcPr>
          <w:p w14:paraId="3954E6C3" w14:textId="0E1FB093" w:rsidR="00F53E3A" w:rsidRDefault="0036255F">
            <w:pPr>
              <w:pStyle w:val="P68B1DB1-Normal40"/>
              <w:spacing w:after="0"/>
              <w:jc w:val="center"/>
              <w:rPr>
                <w:noProof/>
                <w:szCs w:val="22"/>
              </w:rPr>
            </w:pPr>
            <w:r>
              <w:rPr>
                <w:noProof/>
              </w:rPr>
              <w:t>61</w:t>
            </w:r>
          </w:p>
        </w:tc>
        <w:tc>
          <w:tcPr>
            <w:tcW w:w="3402" w:type="dxa"/>
            <w:shd w:val="clear" w:color="auto" w:fill="EAF1DD" w:themeFill="accent3" w:themeFillTint="33"/>
          </w:tcPr>
          <w:p w14:paraId="09258C01" w14:textId="3AF0EA5E" w:rsidR="00F53E3A" w:rsidRDefault="0036255F">
            <w:pPr>
              <w:pStyle w:val="P68B1DB1-Normal39"/>
              <w:spacing w:after="0"/>
              <w:jc w:val="both"/>
              <w:rPr>
                <w:noProof/>
                <w:szCs w:val="22"/>
              </w:rPr>
            </w:pPr>
            <w:r>
              <w:rPr>
                <w:noProof/>
              </w:rPr>
              <w:t>C.1.1a Dezvoltarea securității cibernetice de stat</w:t>
            </w:r>
          </w:p>
        </w:tc>
        <w:tc>
          <w:tcPr>
            <w:tcW w:w="1594" w:type="dxa"/>
            <w:shd w:val="clear" w:color="auto" w:fill="EAF1DD" w:themeFill="accent3" w:themeFillTint="33"/>
          </w:tcPr>
          <w:p w14:paraId="0078A895" w14:textId="6A646978" w:rsidR="00F53E3A" w:rsidRDefault="0036255F">
            <w:pPr>
              <w:pStyle w:val="P68B1DB1-Normal39"/>
              <w:spacing w:after="0"/>
              <w:jc w:val="center"/>
              <w:rPr>
                <w:noProof/>
                <w:szCs w:val="22"/>
              </w:rPr>
            </w:pPr>
            <w:r>
              <w:rPr>
                <w:noProof/>
              </w:rPr>
              <w:t>Țintă</w:t>
            </w:r>
          </w:p>
        </w:tc>
        <w:tc>
          <w:tcPr>
            <w:tcW w:w="3579" w:type="dxa"/>
            <w:shd w:val="clear" w:color="auto" w:fill="EAF1DD" w:themeFill="accent3" w:themeFillTint="33"/>
          </w:tcPr>
          <w:p w14:paraId="2FE801AB" w14:textId="260CBE89" w:rsidR="00F53E3A" w:rsidRDefault="0036255F">
            <w:pPr>
              <w:pStyle w:val="P68B1DB1-Normal39"/>
              <w:spacing w:after="0"/>
              <w:jc w:val="both"/>
              <w:rPr>
                <w:noProof/>
              </w:rPr>
            </w:pPr>
            <w:r>
              <w:rPr>
                <w:noProof/>
              </w:rPr>
              <w:t xml:space="preserve">Finalizarea formării în materie de securitate cibernetică </w:t>
            </w:r>
          </w:p>
        </w:tc>
      </w:tr>
      <w:tr w:rsidR="00F53E3A" w14:paraId="62AA77D4" w14:textId="77777777">
        <w:trPr>
          <w:cantSplit/>
          <w:trHeight w:val="300"/>
        </w:trPr>
        <w:tc>
          <w:tcPr>
            <w:tcW w:w="1204" w:type="dxa"/>
            <w:shd w:val="clear" w:color="auto" w:fill="EAF1DD" w:themeFill="accent3" w:themeFillTint="33"/>
            <w:noWrap/>
            <w:vAlign w:val="center"/>
          </w:tcPr>
          <w:p w14:paraId="7784F6CF" w14:textId="0C77ECE9" w:rsidR="00F53E3A" w:rsidRDefault="0036255F">
            <w:pPr>
              <w:pStyle w:val="P68B1DB1-Normal40"/>
              <w:spacing w:after="0"/>
              <w:jc w:val="center"/>
              <w:rPr>
                <w:noProof/>
                <w:szCs w:val="22"/>
              </w:rPr>
            </w:pPr>
            <w:r>
              <w:rPr>
                <w:noProof/>
              </w:rPr>
              <w:t>63</w:t>
            </w:r>
          </w:p>
        </w:tc>
        <w:tc>
          <w:tcPr>
            <w:tcW w:w="3402" w:type="dxa"/>
            <w:shd w:val="clear" w:color="auto" w:fill="EAF1DD" w:themeFill="accent3" w:themeFillTint="33"/>
          </w:tcPr>
          <w:p w14:paraId="42FD66D9" w14:textId="6FC85FD0" w:rsidR="00F53E3A" w:rsidRDefault="0036255F">
            <w:pPr>
              <w:pStyle w:val="P68B1DB1-Normal39"/>
              <w:spacing w:after="0"/>
              <w:jc w:val="both"/>
              <w:rPr>
                <w:noProof/>
                <w:szCs w:val="22"/>
              </w:rPr>
            </w:pPr>
            <w:r>
              <w:rPr>
                <w:noProof/>
              </w:rPr>
              <w:t xml:space="preserve">C.1.1 Transformarea guvernanței tehnologiei informației publice </w:t>
            </w:r>
          </w:p>
        </w:tc>
        <w:tc>
          <w:tcPr>
            <w:tcW w:w="1594" w:type="dxa"/>
            <w:shd w:val="clear" w:color="auto" w:fill="EAF1DD" w:themeFill="accent3" w:themeFillTint="33"/>
          </w:tcPr>
          <w:p w14:paraId="0E5F7238" w14:textId="328A1933" w:rsidR="00F53E3A" w:rsidRDefault="0036255F">
            <w:pPr>
              <w:pStyle w:val="P68B1DB1-Normal39"/>
              <w:spacing w:after="0"/>
              <w:jc w:val="center"/>
              <w:rPr>
                <w:noProof/>
                <w:szCs w:val="22"/>
              </w:rPr>
            </w:pPr>
            <w:r>
              <w:rPr>
                <w:noProof/>
              </w:rPr>
              <w:t>Țintă</w:t>
            </w:r>
          </w:p>
        </w:tc>
        <w:tc>
          <w:tcPr>
            <w:tcW w:w="3579" w:type="dxa"/>
            <w:shd w:val="clear" w:color="auto" w:fill="EAF1DD" w:themeFill="accent3" w:themeFillTint="33"/>
          </w:tcPr>
          <w:p w14:paraId="7EAD8A95" w14:textId="51F65B8C" w:rsidR="00F53E3A" w:rsidRDefault="0036255F">
            <w:pPr>
              <w:pStyle w:val="P68B1DB1-Normal39"/>
              <w:spacing w:after="0"/>
              <w:jc w:val="both"/>
              <w:rPr>
                <w:noProof/>
              </w:rPr>
            </w:pPr>
            <w:r>
              <w:rPr>
                <w:noProof/>
              </w:rPr>
              <w:t>Agenția de Stat pentru Soluții Digitale furnizează servicii informatice tuturor instituțiilor și organismelor de stat stabilite pe lista instituțiilor și organismelor de stat care primesc servicii centralizate de tehnologie a informației</w:t>
            </w:r>
          </w:p>
        </w:tc>
      </w:tr>
      <w:tr w:rsidR="00F53E3A" w14:paraId="5FB03177" w14:textId="77777777">
        <w:trPr>
          <w:cantSplit/>
          <w:trHeight w:val="300"/>
        </w:trPr>
        <w:tc>
          <w:tcPr>
            <w:tcW w:w="1204" w:type="dxa"/>
            <w:shd w:val="clear" w:color="auto" w:fill="EAF1DD" w:themeFill="accent3" w:themeFillTint="33"/>
            <w:noWrap/>
            <w:vAlign w:val="center"/>
          </w:tcPr>
          <w:p w14:paraId="4A9F4C36" w14:textId="26510C3A" w:rsidR="00F53E3A" w:rsidRDefault="0036255F">
            <w:pPr>
              <w:pStyle w:val="P68B1DB1-Normal40"/>
              <w:spacing w:after="0"/>
              <w:jc w:val="center"/>
              <w:rPr>
                <w:noProof/>
              </w:rPr>
            </w:pPr>
            <w:r>
              <w:rPr>
                <w:noProof/>
              </w:rPr>
              <w:t>66</w:t>
            </w:r>
          </w:p>
        </w:tc>
        <w:tc>
          <w:tcPr>
            <w:tcW w:w="3402" w:type="dxa"/>
            <w:shd w:val="clear" w:color="auto" w:fill="EAF1DD" w:themeFill="accent3" w:themeFillTint="33"/>
          </w:tcPr>
          <w:p w14:paraId="5C3B8583" w14:textId="0E4ED7DA" w:rsidR="00F53E3A" w:rsidRDefault="0036255F">
            <w:pPr>
              <w:pStyle w:val="P68B1DB1-Normal39"/>
              <w:spacing w:after="0"/>
              <w:jc w:val="both"/>
              <w:rPr>
                <w:noProof/>
                <w:color w:val="000000" w:themeColor="text1"/>
              </w:rPr>
            </w:pPr>
            <w:r>
              <w:rPr>
                <w:noProof/>
              </w:rPr>
              <w:t xml:space="preserve">C.1.2 Gestionarea datelor și datele deschise </w:t>
            </w:r>
          </w:p>
        </w:tc>
        <w:tc>
          <w:tcPr>
            <w:tcW w:w="1594" w:type="dxa"/>
            <w:shd w:val="clear" w:color="auto" w:fill="EAF1DD" w:themeFill="accent3" w:themeFillTint="33"/>
          </w:tcPr>
          <w:p w14:paraId="727DE0E2" w14:textId="76F58A99" w:rsidR="00F53E3A" w:rsidRDefault="0036255F">
            <w:pPr>
              <w:pStyle w:val="P68B1DB1-Normal39"/>
              <w:spacing w:after="0"/>
              <w:jc w:val="center"/>
              <w:rPr>
                <w:noProof/>
                <w:color w:val="000000" w:themeColor="text1"/>
              </w:rPr>
            </w:pPr>
            <w:r>
              <w:rPr>
                <w:noProof/>
              </w:rPr>
              <w:t>Țintă</w:t>
            </w:r>
          </w:p>
        </w:tc>
        <w:tc>
          <w:tcPr>
            <w:tcW w:w="3579" w:type="dxa"/>
            <w:shd w:val="clear" w:color="auto" w:fill="EAF1DD" w:themeFill="accent3" w:themeFillTint="33"/>
          </w:tcPr>
          <w:p w14:paraId="62292653" w14:textId="11CFBACC" w:rsidR="00F53E3A" w:rsidRDefault="0036255F">
            <w:pPr>
              <w:pStyle w:val="P68B1DB1-Normal39"/>
              <w:spacing w:after="0"/>
              <w:jc w:val="both"/>
              <w:rPr>
                <w:noProof/>
                <w:color w:val="000000" w:themeColor="text1"/>
              </w:rPr>
            </w:pPr>
            <w:r>
              <w:rPr>
                <w:noProof/>
              </w:rPr>
              <w:t xml:space="preserve">Integrarea resurselor informaționale în lacul de date </w:t>
            </w:r>
          </w:p>
        </w:tc>
      </w:tr>
      <w:tr w:rsidR="00F53E3A" w14:paraId="7D12ACDC" w14:textId="77777777">
        <w:trPr>
          <w:cantSplit/>
          <w:trHeight w:val="300"/>
        </w:trPr>
        <w:tc>
          <w:tcPr>
            <w:tcW w:w="1204" w:type="dxa"/>
            <w:shd w:val="clear" w:color="auto" w:fill="EAF1DD" w:themeFill="accent3" w:themeFillTint="33"/>
            <w:noWrap/>
            <w:vAlign w:val="center"/>
          </w:tcPr>
          <w:p w14:paraId="1274B5B7" w14:textId="693DCD65" w:rsidR="00F53E3A" w:rsidRDefault="0036255F">
            <w:pPr>
              <w:pStyle w:val="P68B1DB1-Normal40"/>
              <w:spacing w:after="0"/>
              <w:jc w:val="center"/>
              <w:rPr>
                <w:noProof/>
              </w:rPr>
            </w:pPr>
            <w:r>
              <w:rPr>
                <w:noProof/>
              </w:rPr>
              <w:t>73</w:t>
            </w:r>
          </w:p>
        </w:tc>
        <w:tc>
          <w:tcPr>
            <w:tcW w:w="3402" w:type="dxa"/>
            <w:shd w:val="clear" w:color="auto" w:fill="EAF1DD" w:themeFill="accent3" w:themeFillTint="33"/>
          </w:tcPr>
          <w:p w14:paraId="226BE887" w14:textId="02FD8FC2" w:rsidR="00F53E3A" w:rsidRDefault="0036255F">
            <w:pPr>
              <w:pStyle w:val="P68B1DB1-Normal39"/>
              <w:spacing w:after="0"/>
              <w:jc w:val="both"/>
              <w:rPr>
                <w:noProof/>
                <w:color w:val="000000" w:themeColor="text1"/>
              </w:rPr>
            </w:pPr>
            <w:r>
              <w:rPr>
                <w:noProof/>
              </w:rPr>
              <w:t xml:space="preserve">C.1.3 Servicii orientate către clienți </w:t>
            </w:r>
          </w:p>
        </w:tc>
        <w:tc>
          <w:tcPr>
            <w:tcW w:w="1594" w:type="dxa"/>
            <w:shd w:val="clear" w:color="auto" w:fill="EAF1DD" w:themeFill="accent3" w:themeFillTint="33"/>
          </w:tcPr>
          <w:p w14:paraId="20C43B9E" w14:textId="44D2FDF4" w:rsidR="00F53E3A" w:rsidRDefault="0036255F">
            <w:pPr>
              <w:pStyle w:val="P68B1DB1-Normal39"/>
              <w:spacing w:after="0"/>
              <w:jc w:val="center"/>
              <w:rPr>
                <w:noProof/>
                <w:color w:val="000000" w:themeColor="text1"/>
              </w:rPr>
            </w:pPr>
            <w:r>
              <w:rPr>
                <w:noProof/>
              </w:rPr>
              <w:t>Țintă</w:t>
            </w:r>
          </w:p>
        </w:tc>
        <w:tc>
          <w:tcPr>
            <w:tcW w:w="3579" w:type="dxa"/>
            <w:shd w:val="clear" w:color="auto" w:fill="EAF1DD" w:themeFill="accent3" w:themeFillTint="33"/>
          </w:tcPr>
          <w:p w14:paraId="232FD532" w14:textId="41D745DA" w:rsidR="00F53E3A" w:rsidRDefault="0036255F">
            <w:pPr>
              <w:pStyle w:val="P68B1DB1-Normal39"/>
              <w:spacing w:after="0"/>
              <w:jc w:val="both"/>
              <w:rPr>
                <w:noProof/>
                <w:color w:val="000000" w:themeColor="text1"/>
              </w:rPr>
            </w:pPr>
            <w:r>
              <w:rPr>
                <w:noProof/>
              </w:rPr>
              <w:t>Realizarea de proiecte de creare sau modernizare a soluțiilor digitale pentru furnizarea de servicii digitale din sectorul public</w:t>
            </w:r>
          </w:p>
        </w:tc>
      </w:tr>
      <w:tr w:rsidR="00F53E3A" w14:paraId="51A9D293" w14:textId="77777777">
        <w:trPr>
          <w:cantSplit/>
          <w:trHeight w:val="300"/>
        </w:trPr>
        <w:tc>
          <w:tcPr>
            <w:tcW w:w="1204" w:type="dxa"/>
            <w:shd w:val="clear" w:color="auto" w:fill="EAF1DD" w:themeFill="accent3" w:themeFillTint="33"/>
            <w:noWrap/>
            <w:vAlign w:val="center"/>
          </w:tcPr>
          <w:p w14:paraId="794074C2" w14:textId="2A60853B" w:rsidR="00F53E3A" w:rsidRDefault="0036255F">
            <w:pPr>
              <w:pStyle w:val="P68B1DB1-Normal40"/>
              <w:spacing w:after="0"/>
              <w:jc w:val="center"/>
              <w:rPr>
                <w:noProof/>
              </w:rPr>
            </w:pPr>
            <w:r>
              <w:rPr>
                <w:noProof/>
              </w:rPr>
              <w:t>75</w:t>
            </w:r>
          </w:p>
        </w:tc>
        <w:tc>
          <w:tcPr>
            <w:tcW w:w="3402" w:type="dxa"/>
            <w:shd w:val="clear" w:color="auto" w:fill="EAF1DD" w:themeFill="accent3" w:themeFillTint="33"/>
          </w:tcPr>
          <w:p w14:paraId="38CC2359" w14:textId="6D49A5EF" w:rsidR="00F53E3A" w:rsidRDefault="0036255F">
            <w:pPr>
              <w:pStyle w:val="P68B1DB1-Normal39"/>
              <w:spacing w:after="0"/>
              <w:jc w:val="both"/>
              <w:rPr>
                <w:noProof/>
                <w:color w:val="000000" w:themeColor="text1"/>
              </w:rPr>
            </w:pPr>
            <w:r>
              <w:rPr>
                <w:noProof/>
              </w:rPr>
              <w:t>C.1.4 Soluții tehnologice în mediul de afaceri și în viața de zi cu zi – C.1.4.1. Resurse tehnologice în limba lituaniană</w:t>
            </w:r>
          </w:p>
        </w:tc>
        <w:tc>
          <w:tcPr>
            <w:tcW w:w="1594" w:type="dxa"/>
            <w:shd w:val="clear" w:color="auto" w:fill="EAF1DD" w:themeFill="accent3" w:themeFillTint="33"/>
          </w:tcPr>
          <w:p w14:paraId="0A74E454" w14:textId="6D65428B" w:rsidR="00F53E3A" w:rsidRDefault="0036255F">
            <w:pPr>
              <w:pStyle w:val="P68B1DB1-Normal39"/>
              <w:spacing w:after="0"/>
              <w:jc w:val="center"/>
              <w:rPr>
                <w:noProof/>
                <w:color w:val="000000" w:themeColor="text1"/>
              </w:rPr>
            </w:pPr>
            <w:r>
              <w:rPr>
                <w:noProof/>
              </w:rPr>
              <w:t>Țintă</w:t>
            </w:r>
          </w:p>
        </w:tc>
        <w:tc>
          <w:tcPr>
            <w:tcW w:w="3579" w:type="dxa"/>
            <w:shd w:val="clear" w:color="auto" w:fill="EAF1DD" w:themeFill="accent3" w:themeFillTint="33"/>
          </w:tcPr>
          <w:p w14:paraId="41681992" w14:textId="21FD2F8E" w:rsidR="00F53E3A" w:rsidRDefault="0036255F">
            <w:pPr>
              <w:pStyle w:val="P68B1DB1-Normal39"/>
              <w:spacing w:after="0"/>
              <w:jc w:val="both"/>
              <w:rPr>
                <w:noProof/>
                <w:color w:val="000000" w:themeColor="text1"/>
              </w:rPr>
            </w:pPr>
            <w:r>
              <w:rPr>
                <w:noProof/>
              </w:rPr>
              <w:t>Furnizarea resurselor lingvistice lituaniene necesare pentru dezvoltarea soluțiilor IA</w:t>
            </w:r>
          </w:p>
        </w:tc>
      </w:tr>
      <w:tr w:rsidR="00F53E3A" w14:paraId="0622BC8B" w14:textId="77777777">
        <w:trPr>
          <w:cantSplit/>
          <w:trHeight w:val="300"/>
        </w:trPr>
        <w:tc>
          <w:tcPr>
            <w:tcW w:w="1204" w:type="dxa"/>
            <w:shd w:val="clear" w:color="auto" w:fill="EAF1DD" w:themeFill="accent3" w:themeFillTint="33"/>
            <w:noWrap/>
            <w:vAlign w:val="center"/>
          </w:tcPr>
          <w:p w14:paraId="025BE66C" w14:textId="719CCB21" w:rsidR="00F53E3A" w:rsidRDefault="0036255F">
            <w:pPr>
              <w:pStyle w:val="P68B1DB1-Normal40"/>
              <w:spacing w:after="0"/>
              <w:jc w:val="center"/>
              <w:rPr>
                <w:noProof/>
              </w:rPr>
            </w:pPr>
            <w:r>
              <w:rPr>
                <w:noProof/>
              </w:rPr>
              <w:t>77</w:t>
            </w:r>
          </w:p>
        </w:tc>
        <w:tc>
          <w:tcPr>
            <w:tcW w:w="3402" w:type="dxa"/>
            <w:shd w:val="clear" w:color="auto" w:fill="EAF1DD" w:themeFill="accent3" w:themeFillTint="33"/>
          </w:tcPr>
          <w:p w14:paraId="1AA367A6" w14:textId="1DC9529E" w:rsidR="00F53E3A" w:rsidRDefault="0036255F">
            <w:pPr>
              <w:pStyle w:val="P68B1DB1-Normal39"/>
              <w:spacing w:after="0"/>
              <w:jc w:val="both"/>
              <w:rPr>
                <w:noProof/>
                <w:color w:val="000000" w:themeColor="text1"/>
              </w:rPr>
            </w:pPr>
            <w:r>
              <w:rPr>
                <w:noProof/>
              </w:rPr>
              <w:t xml:space="preserve">C.1.4 Soluții tehnologice în mediul de afaceri și în viața de zi cu zi – C.1.4.2. Digitalizarea resurselor culturale </w:t>
            </w:r>
          </w:p>
        </w:tc>
        <w:tc>
          <w:tcPr>
            <w:tcW w:w="1594" w:type="dxa"/>
            <w:shd w:val="clear" w:color="auto" w:fill="EAF1DD" w:themeFill="accent3" w:themeFillTint="33"/>
          </w:tcPr>
          <w:p w14:paraId="09CC02F1" w14:textId="0551789F" w:rsidR="00F53E3A" w:rsidRDefault="0036255F">
            <w:pPr>
              <w:pStyle w:val="P68B1DB1-Normal39"/>
              <w:spacing w:after="0"/>
              <w:jc w:val="center"/>
              <w:rPr>
                <w:noProof/>
                <w:color w:val="000000" w:themeColor="text1"/>
              </w:rPr>
            </w:pPr>
            <w:r>
              <w:rPr>
                <w:noProof/>
              </w:rPr>
              <w:t>Etapă</w:t>
            </w:r>
          </w:p>
        </w:tc>
        <w:tc>
          <w:tcPr>
            <w:tcW w:w="3579" w:type="dxa"/>
            <w:shd w:val="clear" w:color="auto" w:fill="EAF1DD" w:themeFill="accent3" w:themeFillTint="33"/>
          </w:tcPr>
          <w:p w14:paraId="72998225" w14:textId="0916279E" w:rsidR="00F53E3A" w:rsidRDefault="0036255F">
            <w:pPr>
              <w:pStyle w:val="P68B1DB1-Normal39"/>
              <w:spacing w:after="0"/>
              <w:jc w:val="both"/>
              <w:rPr>
                <w:noProof/>
                <w:color w:val="000000" w:themeColor="text1"/>
              </w:rPr>
            </w:pPr>
            <w:r>
              <w:rPr>
                <w:noProof/>
              </w:rPr>
              <w:t>Punerea la dispoziție a resurselor culturale</w:t>
            </w:r>
          </w:p>
        </w:tc>
      </w:tr>
      <w:tr w:rsidR="00F53E3A" w14:paraId="13F59C0A" w14:textId="77777777">
        <w:trPr>
          <w:cantSplit/>
          <w:trHeight w:val="300"/>
        </w:trPr>
        <w:tc>
          <w:tcPr>
            <w:tcW w:w="1204" w:type="dxa"/>
            <w:shd w:val="clear" w:color="auto" w:fill="EAF1DD" w:themeFill="accent3" w:themeFillTint="33"/>
            <w:noWrap/>
            <w:vAlign w:val="center"/>
          </w:tcPr>
          <w:p w14:paraId="553FF474" w14:textId="77777777" w:rsidR="00F53E3A" w:rsidRDefault="0036255F">
            <w:pPr>
              <w:pStyle w:val="P68B1DB1-Normal40"/>
              <w:spacing w:after="0"/>
              <w:jc w:val="center"/>
              <w:rPr>
                <w:noProof/>
                <w:color w:val="000000"/>
                <w:szCs w:val="22"/>
              </w:rPr>
            </w:pPr>
            <w:r>
              <w:rPr>
                <w:noProof/>
              </w:rPr>
              <w:t>82</w:t>
            </w:r>
          </w:p>
        </w:tc>
        <w:tc>
          <w:tcPr>
            <w:tcW w:w="3402" w:type="dxa"/>
            <w:shd w:val="clear" w:color="auto" w:fill="EAF1DD" w:themeFill="accent3" w:themeFillTint="33"/>
          </w:tcPr>
          <w:p w14:paraId="1191E90D" w14:textId="27305DFF" w:rsidR="00F53E3A" w:rsidRDefault="0036255F">
            <w:pPr>
              <w:pStyle w:val="P68B1DB1-Normal39"/>
              <w:spacing w:after="0"/>
              <w:jc w:val="both"/>
              <w:rPr>
                <w:noProof/>
                <w:szCs w:val="22"/>
              </w:rPr>
            </w:pPr>
            <w:r>
              <w:rPr>
                <w:noProof/>
              </w:rPr>
              <w:t>C.1.4 Soluții tehnologice în mediul de afaceri și în viața de zi cu zi – C.1.4.5. Centrul de excelență TIC</w:t>
            </w:r>
          </w:p>
        </w:tc>
        <w:tc>
          <w:tcPr>
            <w:tcW w:w="1594" w:type="dxa"/>
            <w:shd w:val="clear" w:color="auto" w:fill="EAF1DD" w:themeFill="accent3" w:themeFillTint="33"/>
          </w:tcPr>
          <w:p w14:paraId="25A64235" w14:textId="77777777" w:rsidR="00F53E3A" w:rsidRDefault="0036255F">
            <w:pPr>
              <w:pStyle w:val="P68B1DB1-Normal39"/>
              <w:spacing w:after="0"/>
              <w:jc w:val="center"/>
              <w:rPr>
                <w:noProof/>
                <w:szCs w:val="22"/>
              </w:rPr>
            </w:pPr>
            <w:r>
              <w:rPr>
                <w:noProof/>
              </w:rPr>
              <w:t>Țintă</w:t>
            </w:r>
          </w:p>
        </w:tc>
        <w:tc>
          <w:tcPr>
            <w:tcW w:w="3579" w:type="dxa"/>
            <w:shd w:val="clear" w:color="auto" w:fill="EAF1DD" w:themeFill="accent3" w:themeFillTint="33"/>
          </w:tcPr>
          <w:p w14:paraId="7646C4B7" w14:textId="0592D715" w:rsidR="00F53E3A" w:rsidRDefault="0036255F">
            <w:pPr>
              <w:pStyle w:val="P68B1DB1-Normal39"/>
              <w:spacing w:after="0"/>
              <w:jc w:val="both"/>
              <w:rPr>
                <w:noProof/>
                <w:szCs w:val="22"/>
              </w:rPr>
            </w:pPr>
            <w:r>
              <w:rPr>
                <w:noProof/>
              </w:rPr>
              <w:t>Centrul de C &amp; D TIC a fost construit, iar echipamentele de C &amp; D au fost livrate </w:t>
            </w:r>
          </w:p>
        </w:tc>
      </w:tr>
      <w:tr w:rsidR="00F53E3A" w14:paraId="674073E8" w14:textId="77777777">
        <w:trPr>
          <w:cantSplit/>
          <w:trHeight w:val="300"/>
        </w:trPr>
        <w:tc>
          <w:tcPr>
            <w:tcW w:w="1204" w:type="dxa"/>
            <w:shd w:val="clear" w:color="auto" w:fill="EAF1DD" w:themeFill="accent3" w:themeFillTint="33"/>
            <w:noWrap/>
            <w:vAlign w:val="center"/>
          </w:tcPr>
          <w:p w14:paraId="6A64259D" w14:textId="1FE56716" w:rsidR="00F53E3A" w:rsidRDefault="0036255F">
            <w:pPr>
              <w:pStyle w:val="P68B1DB1-Normal40"/>
              <w:spacing w:after="0"/>
              <w:jc w:val="center"/>
              <w:rPr>
                <w:noProof/>
                <w:szCs w:val="22"/>
              </w:rPr>
            </w:pPr>
            <w:r>
              <w:rPr>
                <w:noProof/>
              </w:rPr>
              <w:t>88</w:t>
            </w:r>
          </w:p>
        </w:tc>
        <w:tc>
          <w:tcPr>
            <w:tcW w:w="3402" w:type="dxa"/>
            <w:shd w:val="clear" w:color="auto" w:fill="EAF1DD" w:themeFill="accent3" w:themeFillTint="33"/>
          </w:tcPr>
          <w:p w14:paraId="1F03E91B" w14:textId="3EB07A34" w:rsidR="00F53E3A" w:rsidRDefault="0036255F">
            <w:pPr>
              <w:pStyle w:val="P68B1DB1-Normal39"/>
              <w:spacing w:after="0"/>
              <w:jc w:val="both"/>
              <w:rPr>
                <w:noProof/>
                <w:szCs w:val="22"/>
              </w:rPr>
            </w:pPr>
            <w:r>
              <w:rPr>
                <w:noProof/>
              </w:rPr>
              <w:t>C.1.5 Etapa către 5G – C.1.5.2. Continuarea construcției de rețele de conexiune de mare viteză</w:t>
            </w:r>
          </w:p>
        </w:tc>
        <w:tc>
          <w:tcPr>
            <w:tcW w:w="1594" w:type="dxa"/>
            <w:shd w:val="clear" w:color="auto" w:fill="EAF1DD" w:themeFill="accent3" w:themeFillTint="33"/>
          </w:tcPr>
          <w:p w14:paraId="741267F4" w14:textId="60B6C495" w:rsidR="00F53E3A" w:rsidRDefault="0036255F">
            <w:pPr>
              <w:pStyle w:val="P68B1DB1-Normal39"/>
              <w:spacing w:after="0"/>
              <w:jc w:val="center"/>
              <w:rPr>
                <w:noProof/>
                <w:szCs w:val="22"/>
              </w:rPr>
            </w:pPr>
            <w:r>
              <w:rPr>
                <w:noProof/>
              </w:rPr>
              <w:t>Țintă</w:t>
            </w:r>
          </w:p>
        </w:tc>
        <w:tc>
          <w:tcPr>
            <w:tcW w:w="3579" w:type="dxa"/>
            <w:shd w:val="clear" w:color="auto" w:fill="EAF1DD" w:themeFill="accent3" w:themeFillTint="33"/>
          </w:tcPr>
          <w:p w14:paraId="012AEFDC" w14:textId="0A3D9A23" w:rsidR="00F53E3A" w:rsidRDefault="0036255F">
            <w:pPr>
              <w:pStyle w:val="P68B1DB1-Normal39"/>
              <w:spacing w:after="0"/>
              <w:jc w:val="both"/>
              <w:rPr>
                <w:noProof/>
                <w:szCs w:val="22"/>
              </w:rPr>
            </w:pPr>
            <w:r>
              <w:rPr>
                <w:noProof/>
              </w:rPr>
              <w:t>Conexiunea de mare viteză cu factorii socioeconomici</w:t>
            </w:r>
          </w:p>
        </w:tc>
      </w:tr>
      <w:tr w:rsidR="00F53E3A" w14:paraId="71FC9677" w14:textId="77777777">
        <w:trPr>
          <w:cantSplit/>
          <w:trHeight w:val="300"/>
        </w:trPr>
        <w:tc>
          <w:tcPr>
            <w:tcW w:w="1204" w:type="dxa"/>
            <w:shd w:val="clear" w:color="auto" w:fill="EAF1DD" w:themeFill="accent3" w:themeFillTint="33"/>
            <w:noWrap/>
            <w:vAlign w:val="center"/>
          </w:tcPr>
          <w:p w14:paraId="7F58A6AD" w14:textId="0EA9F0C3" w:rsidR="00F53E3A" w:rsidRDefault="0036255F">
            <w:pPr>
              <w:pStyle w:val="P68B1DB1-Normal40"/>
              <w:spacing w:after="0"/>
              <w:jc w:val="center"/>
              <w:rPr>
                <w:noProof/>
                <w:szCs w:val="22"/>
              </w:rPr>
            </w:pPr>
            <w:r>
              <w:rPr>
                <w:noProof/>
              </w:rPr>
              <w:t>90</w:t>
            </w:r>
          </w:p>
        </w:tc>
        <w:tc>
          <w:tcPr>
            <w:tcW w:w="3402" w:type="dxa"/>
            <w:shd w:val="clear" w:color="auto" w:fill="EAF1DD" w:themeFill="accent3" w:themeFillTint="33"/>
          </w:tcPr>
          <w:p w14:paraId="06FF264C" w14:textId="28862575" w:rsidR="00F53E3A" w:rsidRDefault="0036255F">
            <w:pPr>
              <w:pStyle w:val="P68B1DB1-Normal39"/>
              <w:spacing w:after="0"/>
              <w:jc w:val="both"/>
              <w:rPr>
                <w:noProof/>
                <w:szCs w:val="22"/>
              </w:rPr>
            </w:pPr>
            <w:r>
              <w:rPr>
                <w:noProof/>
              </w:rPr>
              <w:t xml:space="preserve">C.1.5 Etapa către 5G – C.1.5.3. Inovarea în domeniul mobilității </w:t>
            </w:r>
          </w:p>
        </w:tc>
        <w:tc>
          <w:tcPr>
            <w:tcW w:w="1594" w:type="dxa"/>
            <w:shd w:val="clear" w:color="auto" w:fill="EAF1DD" w:themeFill="accent3" w:themeFillTint="33"/>
          </w:tcPr>
          <w:p w14:paraId="056CF75F" w14:textId="5EA06C28" w:rsidR="00F53E3A" w:rsidRDefault="0036255F">
            <w:pPr>
              <w:pStyle w:val="P68B1DB1-Normal39"/>
              <w:spacing w:after="0"/>
              <w:jc w:val="center"/>
              <w:rPr>
                <w:noProof/>
                <w:szCs w:val="22"/>
              </w:rPr>
            </w:pPr>
            <w:r>
              <w:rPr>
                <w:noProof/>
              </w:rPr>
              <w:t>Țintă</w:t>
            </w:r>
          </w:p>
        </w:tc>
        <w:tc>
          <w:tcPr>
            <w:tcW w:w="3579" w:type="dxa"/>
            <w:shd w:val="clear" w:color="auto" w:fill="EAF1DD" w:themeFill="accent3" w:themeFillTint="33"/>
          </w:tcPr>
          <w:p w14:paraId="405AAF1C" w14:textId="6D5FA7BB" w:rsidR="00F53E3A" w:rsidRDefault="0036255F">
            <w:pPr>
              <w:pStyle w:val="P68B1DB1-Normal39"/>
              <w:spacing w:after="0"/>
              <w:jc w:val="both"/>
              <w:rPr>
                <w:noProof/>
              </w:rPr>
            </w:pPr>
            <w:r>
              <w:rPr>
                <w:noProof/>
              </w:rPr>
              <w:t xml:space="preserve">Furnizarea de soluții digitale experimentale pentru inovarea în domeniul mobilității </w:t>
            </w:r>
          </w:p>
        </w:tc>
      </w:tr>
      <w:tr w:rsidR="00F53E3A" w14:paraId="71CD29D8" w14:textId="77777777">
        <w:trPr>
          <w:cantSplit/>
          <w:trHeight w:val="300"/>
        </w:trPr>
        <w:tc>
          <w:tcPr>
            <w:tcW w:w="1204" w:type="dxa"/>
            <w:shd w:val="clear" w:color="auto" w:fill="EAF1DD" w:themeFill="accent3" w:themeFillTint="33"/>
            <w:noWrap/>
            <w:vAlign w:val="center"/>
          </w:tcPr>
          <w:p w14:paraId="60F197B3" w14:textId="69C5AC28" w:rsidR="00F53E3A" w:rsidRDefault="0036255F">
            <w:pPr>
              <w:pStyle w:val="P68B1DB1-Normal40"/>
              <w:jc w:val="center"/>
              <w:rPr>
                <w:noProof/>
              </w:rPr>
            </w:pPr>
            <w:r>
              <w:rPr>
                <w:noProof/>
              </w:rPr>
              <w:t>96</w:t>
            </w:r>
          </w:p>
        </w:tc>
        <w:tc>
          <w:tcPr>
            <w:tcW w:w="3402" w:type="dxa"/>
            <w:shd w:val="clear" w:color="auto" w:fill="EAF1DD" w:themeFill="accent3" w:themeFillTint="33"/>
          </w:tcPr>
          <w:p w14:paraId="60219610" w14:textId="236869BF" w:rsidR="00F53E3A" w:rsidRDefault="0036255F">
            <w:pPr>
              <w:pStyle w:val="P68B1DB1-Normal39"/>
              <w:jc w:val="both"/>
              <w:rPr>
                <w:noProof/>
                <w:color w:val="000000" w:themeColor="text1"/>
              </w:rPr>
            </w:pPr>
            <w:r>
              <w:rPr>
                <w:noProof/>
              </w:rPr>
              <w:t>D.1.1 Învățământ general modern – Contextul competențelor de bază D.1.1.3: Programul Școlilor Mileniului</w:t>
            </w:r>
          </w:p>
        </w:tc>
        <w:tc>
          <w:tcPr>
            <w:tcW w:w="1594" w:type="dxa"/>
            <w:shd w:val="clear" w:color="auto" w:fill="EAF1DD" w:themeFill="accent3" w:themeFillTint="33"/>
          </w:tcPr>
          <w:p w14:paraId="7003CEB6" w14:textId="50D4505F" w:rsidR="00F53E3A" w:rsidRDefault="0036255F">
            <w:pPr>
              <w:pStyle w:val="P68B1DB1-Normal39"/>
              <w:jc w:val="center"/>
              <w:rPr>
                <w:noProof/>
              </w:rPr>
            </w:pPr>
            <w:r>
              <w:rPr>
                <w:noProof/>
              </w:rPr>
              <w:t>Țintă</w:t>
            </w:r>
          </w:p>
        </w:tc>
        <w:tc>
          <w:tcPr>
            <w:tcW w:w="3579" w:type="dxa"/>
            <w:shd w:val="clear" w:color="auto" w:fill="EAF1DD" w:themeFill="accent3" w:themeFillTint="33"/>
          </w:tcPr>
          <w:p w14:paraId="4372F2C8" w14:textId="77AD97DB" w:rsidR="00F53E3A" w:rsidRDefault="0036255F">
            <w:pPr>
              <w:pStyle w:val="P68B1DB1-Normal39"/>
              <w:jc w:val="both"/>
              <w:rPr>
                <w:noProof/>
              </w:rPr>
            </w:pPr>
            <w:r>
              <w:rPr>
                <w:noProof/>
              </w:rPr>
              <w:t>Activități executate</w:t>
            </w:r>
          </w:p>
        </w:tc>
      </w:tr>
      <w:tr w:rsidR="00F53E3A" w14:paraId="247C3A45" w14:textId="77777777">
        <w:trPr>
          <w:cantSplit/>
          <w:trHeight w:val="300"/>
        </w:trPr>
        <w:tc>
          <w:tcPr>
            <w:tcW w:w="1204" w:type="dxa"/>
            <w:shd w:val="clear" w:color="auto" w:fill="EAF1DD" w:themeFill="accent3" w:themeFillTint="33"/>
            <w:noWrap/>
            <w:vAlign w:val="center"/>
          </w:tcPr>
          <w:p w14:paraId="2DE22202" w14:textId="1C0C49EC" w:rsidR="00F53E3A" w:rsidRDefault="0036255F">
            <w:pPr>
              <w:pStyle w:val="P68B1DB1-Normal40"/>
              <w:spacing w:after="0"/>
              <w:jc w:val="center"/>
              <w:rPr>
                <w:noProof/>
                <w:szCs w:val="22"/>
              </w:rPr>
            </w:pPr>
            <w:r>
              <w:rPr>
                <w:noProof/>
              </w:rPr>
              <w:t>98</w:t>
            </w:r>
          </w:p>
        </w:tc>
        <w:tc>
          <w:tcPr>
            <w:tcW w:w="3402" w:type="dxa"/>
            <w:shd w:val="clear" w:color="auto" w:fill="EAF1DD" w:themeFill="accent3" w:themeFillTint="33"/>
          </w:tcPr>
          <w:p w14:paraId="1E7CA6FF" w14:textId="77777777" w:rsidR="00F53E3A" w:rsidRDefault="0036255F">
            <w:pPr>
              <w:pStyle w:val="P68B1DB1-Normal39"/>
              <w:spacing w:after="0"/>
              <w:jc w:val="both"/>
              <w:textAlignment w:val="baseline"/>
              <w:rPr>
                <w:noProof/>
                <w:szCs w:val="22"/>
              </w:rPr>
            </w:pPr>
            <w:r>
              <w:rPr>
                <w:noProof/>
              </w:rPr>
              <w:t xml:space="preserve">D.1.1. Educația generală modernă – Contextul competențelor de bază </w:t>
            </w:r>
          </w:p>
          <w:p w14:paraId="573F7C12" w14:textId="2F1F4A52" w:rsidR="00F53E3A" w:rsidRDefault="0036255F">
            <w:pPr>
              <w:pStyle w:val="P68B1DB1-Normal39"/>
              <w:spacing w:after="0"/>
              <w:jc w:val="both"/>
              <w:rPr>
                <w:noProof/>
                <w:szCs w:val="22"/>
              </w:rPr>
            </w:pPr>
            <w:r>
              <w:rPr>
                <w:noProof/>
              </w:rPr>
              <w:t xml:space="preserve">D.1.1.4: Formarea personalului pedagogic </w:t>
            </w:r>
          </w:p>
        </w:tc>
        <w:tc>
          <w:tcPr>
            <w:tcW w:w="1594" w:type="dxa"/>
            <w:shd w:val="clear" w:color="auto" w:fill="EAF1DD" w:themeFill="accent3" w:themeFillTint="33"/>
          </w:tcPr>
          <w:p w14:paraId="3987941C" w14:textId="4B62272D" w:rsidR="00F53E3A" w:rsidRDefault="0036255F">
            <w:pPr>
              <w:pStyle w:val="P68B1DB1-Normal39"/>
              <w:spacing w:after="0"/>
              <w:jc w:val="center"/>
              <w:rPr>
                <w:noProof/>
                <w:szCs w:val="22"/>
              </w:rPr>
            </w:pPr>
            <w:r>
              <w:rPr>
                <w:noProof/>
              </w:rPr>
              <w:t>Țintă</w:t>
            </w:r>
          </w:p>
        </w:tc>
        <w:tc>
          <w:tcPr>
            <w:tcW w:w="3579" w:type="dxa"/>
            <w:shd w:val="clear" w:color="auto" w:fill="EAF1DD" w:themeFill="accent3" w:themeFillTint="33"/>
          </w:tcPr>
          <w:p w14:paraId="2149BA49" w14:textId="7D3E8812" w:rsidR="00F53E3A" w:rsidRDefault="0036255F">
            <w:pPr>
              <w:pStyle w:val="P68B1DB1-Normal43"/>
              <w:spacing w:after="0"/>
              <w:jc w:val="both"/>
              <w:rPr>
                <w:rFonts w:eastAsia="Times New Roman" w:cs="Times New Roman"/>
                <w:noProof/>
                <w:color w:val="000000"/>
                <w:szCs w:val="22"/>
              </w:rPr>
            </w:pPr>
            <w:r>
              <w:rPr>
                <w:noProof/>
              </w:rPr>
              <w:t>Numărul de persoane care au urmat cursuri de formare sau au obținut o diplomă de masterat</w:t>
            </w:r>
          </w:p>
        </w:tc>
      </w:tr>
      <w:tr w:rsidR="00F53E3A" w14:paraId="317F312D" w14:textId="77777777">
        <w:trPr>
          <w:cantSplit/>
          <w:trHeight w:val="300"/>
        </w:trPr>
        <w:tc>
          <w:tcPr>
            <w:tcW w:w="1204" w:type="dxa"/>
            <w:shd w:val="clear" w:color="auto" w:fill="EAF1DD" w:themeFill="accent3" w:themeFillTint="33"/>
            <w:noWrap/>
            <w:vAlign w:val="center"/>
          </w:tcPr>
          <w:p w14:paraId="1A194D7F" w14:textId="62F71D70" w:rsidR="00F53E3A" w:rsidRDefault="0036255F">
            <w:pPr>
              <w:pStyle w:val="P68B1DB1-Normal40"/>
              <w:spacing w:after="0"/>
              <w:jc w:val="center"/>
              <w:rPr>
                <w:noProof/>
                <w:szCs w:val="22"/>
              </w:rPr>
            </w:pPr>
            <w:r>
              <w:rPr>
                <w:noProof/>
              </w:rPr>
              <w:t>100</w:t>
            </w:r>
          </w:p>
        </w:tc>
        <w:tc>
          <w:tcPr>
            <w:tcW w:w="3402" w:type="dxa"/>
            <w:shd w:val="clear" w:color="auto" w:fill="EAF1DD" w:themeFill="accent3" w:themeFillTint="33"/>
          </w:tcPr>
          <w:p w14:paraId="3D31381D" w14:textId="77777777" w:rsidR="00F53E3A" w:rsidRDefault="0036255F">
            <w:pPr>
              <w:pStyle w:val="P68B1DB1-Normal39"/>
              <w:spacing w:after="0"/>
              <w:jc w:val="both"/>
              <w:textAlignment w:val="baseline"/>
              <w:rPr>
                <w:noProof/>
                <w:szCs w:val="22"/>
              </w:rPr>
            </w:pPr>
            <w:r>
              <w:rPr>
                <w:noProof/>
              </w:rPr>
              <w:t xml:space="preserve">D.1.1. Educația generală modernă – Contextul competențelor de bază </w:t>
            </w:r>
          </w:p>
          <w:p w14:paraId="57BEBCEE" w14:textId="018E914C" w:rsidR="00F53E3A" w:rsidRDefault="0036255F">
            <w:pPr>
              <w:pStyle w:val="P68B1DB1-Normal39"/>
              <w:spacing w:after="0"/>
              <w:jc w:val="both"/>
              <w:rPr>
                <w:noProof/>
                <w:szCs w:val="22"/>
              </w:rPr>
            </w:pPr>
            <w:r>
              <w:rPr>
                <w:noProof/>
              </w:rPr>
              <w:t>D.1.1.5: Sprijinirea achiziționării de echipamente pentru centrele STIAM și laboratoarele mobile</w:t>
            </w:r>
          </w:p>
        </w:tc>
        <w:tc>
          <w:tcPr>
            <w:tcW w:w="1594" w:type="dxa"/>
            <w:shd w:val="clear" w:color="auto" w:fill="EAF1DD" w:themeFill="accent3" w:themeFillTint="33"/>
          </w:tcPr>
          <w:p w14:paraId="4B62CE5A" w14:textId="59A793BC" w:rsidR="00F53E3A" w:rsidRDefault="0036255F">
            <w:pPr>
              <w:pStyle w:val="P68B1DB1-Normal39"/>
              <w:spacing w:after="0"/>
              <w:jc w:val="center"/>
              <w:rPr>
                <w:noProof/>
              </w:rPr>
            </w:pPr>
            <w:r>
              <w:rPr>
                <w:noProof/>
              </w:rPr>
              <w:t>Etapă</w:t>
            </w:r>
          </w:p>
        </w:tc>
        <w:tc>
          <w:tcPr>
            <w:tcW w:w="3579" w:type="dxa"/>
            <w:shd w:val="clear" w:color="auto" w:fill="EAF1DD" w:themeFill="accent3" w:themeFillTint="33"/>
          </w:tcPr>
          <w:p w14:paraId="28932F02" w14:textId="507E2F4D" w:rsidR="00F53E3A" w:rsidRDefault="0036255F">
            <w:pPr>
              <w:pStyle w:val="P68B1DB1-Normal39"/>
              <w:spacing w:after="0"/>
              <w:jc w:val="both"/>
              <w:rPr>
                <w:noProof/>
                <w:szCs w:val="22"/>
              </w:rPr>
            </w:pPr>
            <w:r>
              <w:rPr>
                <w:noProof/>
              </w:rPr>
              <w:t>Echipamente achiziționate pentru centrele STIAM și laboratoarele mobile</w:t>
            </w:r>
          </w:p>
        </w:tc>
      </w:tr>
      <w:tr w:rsidR="00F53E3A" w14:paraId="0E2DE417" w14:textId="77777777">
        <w:trPr>
          <w:cantSplit/>
          <w:trHeight w:val="300"/>
        </w:trPr>
        <w:tc>
          <w:tcPr>
            <w:tcW w:w="1204" w:type="dxa"/>
            <w:shd w:val="clear" w:color="auto" w:fill="EAF1DD" w:themeFill="accent3" w:themeFillTint="33"/>
            <w:noWrap/>
            <w:vAlign w:val="center"/>
          </w:tcPr>
          <w:p w14:paraId="505F075B" w14:textId="13E97EE8" w:rsidR="00F53E3A" w:rsidRDefault="0036255F">
            <w:pPr>
              <w:pStyle w:val="P68B1DB1-Normal40"/>
              <w:spacing w:after="0"/>
              <w:jc w:val="center"/>
              <w:rPr>
                <w:noProof/>
                <w:szCs w:val="22"/>
              </w:rPr>
            </w:pPr>
            <w:r>
              <w:rPr>
                <w:noProof/>
              </w:rPr>
              <w:t>109</w:t>
            </w:r>
          </w:p>
        </w:tc>
        <w:tc>
          <w:tcPr>
            <w:tcW w:w="3402" w:type="dxa"/>
            <w:shd w:val="clear" w:color="auto" w:fill="EAF1DD" w:themeFill="accent3" w:themeFillTint="33"/>
          </w:tcPr>
          <w:p w14:paraId="68AA025A" w14:textId="0142673A" w:rsidR="00F53E3A" w:rsidRDefault="0036255F">
            <w:pPr>
              <w:pStyle w:val="P68B1DB1-Normal39"/>
              <w:spacing w:after="0"/>
              <w:jc w:val="both"/>
              <w:rPr>
                <w:noProof/>
              </w:rPr>
            </w:pPr>
            <w:r>
              <w:rPr>
                <w:noProof/>
              </w:rPr>
              <w:t>D.1.2. Accesul adulților la sistemul informatic de învățare pe tot parcursul vieții</w:t>
            </w:r>
          </w:p>
        </w:tc>
        <w:tc>
          <w:tcPr>
            <w:tcW w:w="1594" w:type="dxa"/>
            <w:shd w:val="clear" w:color="auto" w:fill="EAF1DD" w:themeFill="accent3" w:themeFillTint="33"/>
          </w:tcPr>
          <w:p w14:paraId="5D291DCC" w14:textId="1BCB8106" w:rsidR="00F53E3A" w:rsidRDefault="0036255F">
            <w:pPr>
              <w:pStyle w:val="P68B1DB1-Normal39"/>
              <w:spacing w:after="0"/>
              <w:jc w:val="center"/>
              <w:rPr>
                <w:noProof/>
                <w:szCs w:val="22"/>
              </w:rPr>
            </w:pPr>
            <w:r>
              <w:rPr>
                <w:noProof/>
              </w:rPr>
              <w:t>Țintă</w:t>
            </w:r>
          </w:p>
        </w:tc>
        <w:tc>
          <w:tcPr>
            <w:tcW w:w="3579" w:type="dxa"/>
            <w:shd w:val="clear" w:color="auto" w:fill="EAF1DD" w:themeFill="accent3" w:themeFillTint="33"/>
          </w:tcPr>
          <w:p w14:paraId="0D68F28E" w14:textId="4B6EDB20" w:rsidR="00F53E3A" w:rsidRDefault="0036255F">
            <w:pPr>
              <w:pStyle w:val="P68B1DB1-Normal39"/>
              <w:spacing w:after="0"/>
              <w:jc w:val="both"/>
              <w:rPr>
                <w:noProof/>
                <w:szCs w:val="22"/>
              </w:rPr>
            </w:pPr>
            <w:r>
              <w:rPr>
                <w:noProof/>
              </w:rPr>
              <w:t>Persoane instruite utilizând sistemul informatic LLL</w:t>
            </w:r>
          </w:p>
        </w:tc>
      </w:tr>
      <w:tr w:rsidR="00F53E3A" w14:paraId="0F3EC612" w14:textId="77777777">
        <w:trPr>
          <w:cantSplit/>
          <w:trHeight w:val="300"/>
        </w:trPr>
        <w:tc>
          <w:tcPr>
            <w:tcW w:w="1204" w:type="dxa"/>
            <w:shd w:val="clear" w:color="auto" w:fill="EAF1DD" w:themeFill="accent3" w:themeFillTint="33"/>
            <w:noWrap/>
            <w:vAlign w:val="center"/>
          </w:tcPr>
          <w:p w14:paraId="35DEA13B" w14:textId="5E99BA3B" w:rsidR="00F53E3A" w:rsidRDefault="0036255F">
            <w:pPr>
              <w:pStyle w:val="P68B1DB1-Normal40"/>
              <w:spacing w:after="0"/>
              <w:jc w:val="center"/>
              <w:rPr>
                <w:noProof/>
                <w:szCs w:val="22"/>
              </w:rPr>
            </w:pPr>
            <w:r>
              <w:rPr>
                <w:noProof/>
              </w:rPr>
              <w:t>113</w:t>
            </w:r>
          </w:p>
        </w:tc>
        <w:tc>
          <w:tcPr>
            <w:tcW w:w="3402" w:type="dxa"/>
            <w:shd w:val="clear" w:color="auto" w:fill="EAF1DD" w:themeFill="accent3" w:themeFillTint="33"/>
          </w:tcPr>
          <w:p w14:paraId="4A8A575A" w14:textId="77777777" w:rsidR="00F53E3A" w:rsidRDefault="0036255F">
            <w:pPr>
              <w:pStyle w:val="P68B1DB1-Normal39"/>
              <w:spacing w:after="0"/>
              <w:jc w:val="both"/>
              <w:textAlignment w:val="baseline"/>
              <w:rPr>
                <w:noProof/>
                <w:szCs w:val="22"/>
              </w:rPr>
            </w:pPr>
            <w:r>
              <w:rPr>
                <w:noProof/>
              </w:rPr>
              <w:t xml:space="preserve">D.1.4. Competențe pentru transformarea digitală dobândite în educația și formarea profesională </w:t>
            </w:r>
          </w:p>
          <w:p w14:paraId="38DC297A" w14:textId="38460371" w:rsidR="00F53E3A" w:rsidRDefault="0036255F">
            <w:pPr>
              <w:pStyle w:val="P68B1DB1-Normal39"/>
              <w:spacing w:after="0"/>
              <w:jc w:val="both"/>
              <w:rPr>
                <w:noProof/>
                <w:szCs w:val="22"/>
              </w:rPr>
            </w:pPr>
            <w:r>
              <w:rPr>
                <w:noProof/>
              </w:rPr>
              <w:t xml:space="preserve">D.1.4.1 Platforma națională pentru progresul educației și formării profesionale </w:t>
            </w:r>
          </w:p>
        </w:tc>
        <w:tc>
          <w:tcPr>
            <w:tcW w:w="1594" w:type="dxa"/>
            <w:shd w:val="clear" w:color="auto" w:fill="EAF1DD" w:themeFill="accent3" w:themeFillTint="33"/>
          </w:tcPr>
          <w:p w14:paraId="71300D60" w14:textId="69217C59" w:rsidR="00F53E3A" w:rsidRDefault="0036255F">
            <w:pPr>
              <w:pStyle w:val="P68B1DB1-Normal39"/>
              <w:spacing w:after="0"/>
              <w:jc w:val="center"/>
              <w:rPr>
                <w:noProof/>
                <w:szCs w:val="22"/>
              </w:rPr>
            </w:pPr>
            <w:r>
              <w:rPr>
                <w:noProof/>
              </w:rPr>
              <w:t>Țintă</w:t>
            </w:r>
          </w:p>
        </w:tc>
        <w:tc>
          <w:tcPr>
            <w:tcW w:w="3579" w:type="dxa"/>
            <w:shd w:val="clear" w:color="auto" w:fill="EAF1DD" w:themeFill="accent3" w:themeFillTint="33"/>
          </w:tcPr>
          <w:p w14:paraId="5B7E16D5" w14:textId="7E05324E" w:rsidR="00F53E3A" w:rsidRDefault="0036255F">
            <w:pPr>
              <w:pStyle w:val="P68B1DB1-Normal39"/>
              <w:spacing w:after="0"/>
              <w:jc w:val="both"/>
              <w:rPr>
                <w:noProof/>
                <w:szCs w:val="22"/>
              </w:rPr>
            </w:pPr>
            <w:r>
              <w:rPr>
                <w:noProof/>
              </w:rPr>
              <w:t>Programe de formare profesională noi/actualizate înregistrate</w:t>
            </w:r>
          </w:p>
        </w:tc>
      </w:tr>
      <w:tr w:rsidR="00F53E3A" w14:paraId="4B532E92" w14:textId="77777777">
        <w:trPr>
          <w:cantSplit/>
          <w:trHeight w:val="300"/>
        </w:trPr>
        <w:tc>
          <w:tcPr>
            <w:tcW w:w="1204" w:type="dxa"/>
            <w:shd w:val="clear" w:color="auto" w:fill="EAF1DD" w:themeFill="accent3" w:themeFillTint="33"/>
            <w:noWrap/>
            <w:vAlign w:val="center"/>
          </w:tcPr>
          <w:p w14:paraId="7CC07992" w14:textId="2867DBBD" w:rsidR="00F53E3A" w:rsidRDefault="0036255F">
            <w:pPr>
              <w:pStyle w:val="P68B1DB1-Normal40"/>
              <w:spacing w:after="0"/>
              <w:jc w:val="center"/>
              <w:rPr>
                <w:noProof/>
                <w:szCs w:val="22"/>
              </w:rPr>
            </w:pPr>
            <w:r>
              <w:rPr>
                <w:noProof/>
              </w:rPr>
              <w:t>114</w:t>
            </w:r>
          </w:p>
        </w:tc>
        <w:tc>
          <w:tcPr>
            <w:tcW w:w="3402" w:type="dxa"/>
            <w:shd w:val="clear" w:color="auto" w:fill="EAF1DD" w:themeFill="accent3" w:themeFillTint="33"/>
          </w:tcPr>
          <w:p w14:paraId="3365AFD0" w14:textId="77777777" w:rsidR="00F53E3A" w:rsidRDefault="0036255F">
            <w:pPr>
              <w:pStyle w:val="P68B1DB1-Normal39"/>
              <w:spacing w:after="0"/>
              <w:jc w:val="both"/>
              <w:textAlignment w:val="baseline"/>
              <w:rPr>
                <w:noProof/>
                <w:szCs w:val="22"/>
              </w:rPr>
            </w:pPr>
            <w:r>
              <w:rPr>
                <w:noProof/>
              </w:rPr>
              <w:t xml:space="preserve">D.1.4. Competențe pentru transformarea digitală dobândite în educația și formarea profesională </w:t>
            </w:r>
          </w:p>
          <w:p w14:paraId="7F04CBD3" w14:textId="5F168358" w:rsidR="00F53E3A" w:rsidRDefault="0036255F">
            <w:pPr>
              <w:pStyle w:val="P68B1DB1-Normal39"/>
              <w:spacing w:after="0"/>
              <w:jc w:val="both"/>
              <w:rPr>
                <w:noProof/>
                <w:szCs w:val="22"/>
              </w:rPr>
            </w:pPr>
            <w:r>
              <w:rPr>
                <w:noProof/>
              </w:rPr>
              <w:t xml:space="preserve">D.1.4.1 Platforma națională pentru progresul educației și formării profesionale </w:t>
            </w:r>
          </w:p>
        </w:tc>
        <w:tc>
          <w:tcPr>
            <w:tcW w:w="1594" w:type="dxa"/>
            <w:shd w:val="clear" w:color="auto" w:fill="EAF1DD" w:themeFill="accent3" w:themeFillTint="33"/>
          </w:tcPr>
          <w:p w14:paraId="760C4C2B" w14:textId="44AC52E0" w:rsidR="00F53E3A" w:rsidRDefault="0036255F">
            <w:pPr>
              <w:pStyle w:val="P68B1DB1-Normal39"/>
              <w:spacing w:after="0"/>
              <w:jc w:val="center"/>
              <w:rPr>
                <w:noProof/>
                <w:szCs w:val="22"/>
              </w:rPr>
            </w:pPr>
            <w:r>
              <w:rPr>
                <w:noProof/>
              </w:rPr>
              <w:t>Țintă</w:t>
            </w:r>
          </w:p>
        </w:tc>
        <w:tc>
          <w:tcPr>
            <w:tcW w:w="3579" w:type="dxa"/>
            <w:shd w:val="clear" w:color="auto" w:fill="EAF1DD" w:themeFill="accent3" w:themeFillTint="33"/>
          </w:tcPr>
          <w:p w14:paraId="50D30AD3" w14:textId="59A50578" w:rsidR="00F53E3A" w:rsidRDefault="0036255F">
            <w:pPr>
              <w:pStyle w:val="P68B1DB1-Normal39"/>
              <w:spacing w:after="0"/>
              <w:jc w:val="both"/>
              <w:rPr>
                <w:noProof/>
                <w:szCs w:val="22"/>
              </w:rPr>
            </w:pPr>
            <w:r>
              <w:rPr>
                <w:noProof/>
              </w:rPr>
              <w:t>Numărul de certificate de participare la formare eliberate</w:t>
            </w:r>
          </w:p>
        </w:tc>
      </w:tr>
      <w:tr w:rsidR="00F53E3A" w14:paraId="293BC9DC" w14:textId="77777777">
        <w:trPr>
          <w:cantSplit/>
          <w:trHeight w:val="300"/>
        </w:trPr>
        <w:tc>
          <w:tcPr>
            <w:tcW w:w="1204" w:type="dxa"/>
            <w:shd w:val="clear" w:color="auto" w:fill="EAF1DD" w:themeFill="accent3" w:themeFillTint="33"/>
            <w:noWrap/>
            <w:vAlign w:val="center"/>
          </w:tcPr>
          <w:p w14:paraId="766C0C46" w14:textId="2ACFA4A3" w:rsidR="00F53E3A" w:rsidRDefault="0036255F">
            <w:pPr>
              <w:pStyle w:val="P68B1DB1-Normal40"/>
              <w:spacing w:after="0"/>
              <w:jc w:val="center"/>
              <w:rPr>
                <w:noProof/>
                <w:szCs w:val="22"/>
              </w:rPr>
            </w:pPr>
            <w:r>
              <w:rPr>
                <w:noProof/>
              </w:rPr>
              <w:t>117</w:t>
            </w:r>
          </w:p>
        </w:tc>
        <w:tc>
          <w:tcPr>
            <w:tcW w:w="3402" w:type="dxa"/>
            <w:shd w:val="clear" w:color="auto" w:fill="EAF1DD" w:themeFill="accent3" w:themeFillTint="33"/>
          </w:tcPr>
          <w:p w14:paraId="7AEBC519" w14:textId="77777777" w:rsidR="00F53E3A" w:rsidRDefault="0036255F">
            <w:pPr>
              <w:pStyle w:val="P68B1DB1-Normal39"/>
              <w:spacing w:after="0"/>
              <w:jc w:val="both"/>
              <w:textAlignment w:val="baseline"/>
              <w:rPr>
                <w:noProof/>
                <w:szCs w:val="22"/>
              </w:rPr>
            </w:pPr>
            <w:r>
              <w:rPr>
                <w:noProof/>
              </w:rPr>
              <w:t xml:space="preserve">D.1.4. Competențe pentru transformarea digitală dobândite în educația și formarea profesională </w:t>
            </w:r>
          </w:p>
          <w:p w14:paraId="2A1FC973" w14:textId="41F53FA7" w:rsidR="00F53E3A" w:rsidRDefault="0036255F">
            <w:pPr>
              <w:pStyle w:val="P68B1DB1-Normal39"/>
              <w:spacing w:after="0"/>
              <w:jc w:val="both"/>
              <w:rPr>
                <w:noProof/>
                <w:szCs w:val="22"/>
              </w:rPr>
            </w:pPr>
            <w:r>
              <w:rPr>
                <w:noProof/>
              </w:rPr>
              <w:t>D.1.4.3: Ucenicii și cursuri de formare</w:t>
            </w:r>
          </w:p>
        </w:tc>
        <w:tc>
          <w:tcPr>
            <w:tcW w:w="1594" w:type="dxa"/>
            <w:shd w:val="clear" w:color="auto" w:fill="EAF1DD" w:themeFill="accent3" w:themeFillTint="33"/>
          </w:tcPr>
          <w:p w14:paraId="20800989" w14:textId="21F42E79" w:rsidR="00F53E3A" w:rsidRDefault="0036255F">
            <w:pPr>
              <w:pStyle w:val="P68B1DB1-Normal39"/>
              <w:spacing w:after="0"/>
              <w:jc w:val="center"/>
              <w:rPr>
                <w:noProof/>
                <w:szCs w:val="22"/>
              </w:rPr>
            </w:pPr>
            <w:r>
              <w:rPr>
                <w:noProof/>
              </w:rPr>
              <w:t>Țintă</w:t>
            </w:r>
          </w:p>
        </w:tc>
        <w:tc>
          <w:tcPr>
            <w:tcW w:w="3579" w:type="dxa"/>
            <w:shd w:val="clear" w:color="auto" w:fill="EAF1DD" w:themeFill="accent3" w:themeFillTint="33"/>
          </w:tcPr>
          <w:p w14:paraId="6AFA8E8E" w14:textId="6E208755" w:rsidR="00F53E3A" w:rsidRDefault="0036255F">
            <w:pPr>
              <w:pStyle w:val="P68B1DB1-Normal43"/>
              <w:spacing w:after="0"/>
              <w:jc w:val="both"/>
              <w:rPr>
                <w:rFonts w:eastAsia="Times New Roman" w:cs="Times New Roman"/>
                <w:noProof/>
                <w:color w:val="000000"/>
                <w:szCs w:val="22"/>
              </w:rPr>
            </w:pPr>
            <w:r>
              <w:rPr>
                <w:noProof/>
              </w:rPr>
              <w:t>Numărul de certificate de formare profesională eliberate</w:t>
            </w:r>
          </w:p>
        </w:tc>
      </w:tr>
      <w:tr w:rsidR="00F53E3A" w14:paraId="1CA29293" w14:textId="77777777">
        <w:trPr>
          <w:cantSplit/>
          <w:trHeight w:val="300"/>
        </w:trPr>
        <w:tc>
          <w:tcPr>
            <w:tcW w:w="1204" w:type="dxa"/>
            <w:shd w:val="clear" w:color="auto" w:fill="EAF1DD" w:themeFill="accent3" w:themeFillTint="33"/>
            <w:noWrap/>
            <w:vAlign w:val="center"/>
          </w:tcPr>
          <w:p w14:paraId="0D20025E" w14:textId="70F4B1E6" w:rsidR="00F53E3A" w:rsidRDefault="0036255F">
            <w:pPr>
              <w:pStyle w:val="P68B1DB1-Normal40"/>
              <w:spacing w:after="0"/>
              <w:jc w:val="center"/>
              <w:rPr>
                <w:noProof/>
                <w:szCs w:val="22"/>
              </w:rPr>
            </w:pPr>
            <w:r>
              <w:rPr>
                <w:noProof/>
              </w:rPr>
              <w:t>119</w:t>
            </w:r>
          </w:p>
        </w:tc>
        <w:tc>
          <w:tcPr>
            <w:tcW w:w="3402" w:type="dxa"/>
            <w:shd w:val="clear" w:color="auto" w:fill="EAF1DD" w:themeFill="accent3" w:themeFillTint="33"/>
          </w:tcPr>
          <w:p w14:paraId="7659C5A7" w14:textId="14BB7D93" w:rsidR="00F53E3A" w:rsidRDefault="0036255F">
            <w:pPr>
              <w:pStyle w:val="P68B1DB1-Normal39"/>
              <w:spacing w:after="0"/>
              <w:jc w:val="both"/>
              <w:textAlignment w:val="baseline"/>
              <w:rPr>
                <w:noProof/>
                <w:szCs w:val="22"/>
              </w:rPr>
            </w:pPr>
            <w:r>
              <w:rPr>
                <w:noProof/>
              </w:rPr>
              <w:t>D.1.4. Competențe pentru transformarea digitală dobândite în educația și formarea profesională</w:t>
            </w:r>
          </w:p>
          <w:p w14:paraId="20077F81" w14:textId="77CD2393" w:rsidR="00F53E3A" w:rsidRDefault="0036255F">
            <w:pPr>
              <w:pStyle w:val="P68B1DB1-Normal39"/>
              <w:spacing w:after="0"/>
              <w:jc w:val="both"/>
              <w:rPr>
                <w:noProof/>
                <w:szCs w:val="22"/>
              </w:rPr>
            </w:pPr>
            <w:r>
              <w:rPr>
                <w:noProof/>
              </w:rPr>
              <w:t>D.1.4.5. Mai multe oportunități de a studia în module EFP pentru elevii din învățământul general</w:t>
            </w:r>
          </w:p>
        </w:tc>
        <w:tc>
          <w:tcPr>
            <w:tcW w:w="1594" w:type="dxa"/>
            <w:shd w:val="clear" w:color="auto" w:fill="EAF1DD" w:themeFill="accent3" w:themeFillTint="33"/>
          </w:tcPr>
          <w:p w14:paraId="5AB349E9" w14:textId="2FA79C4B" w:rsidR="00F53E3A" w:rsidRDefault="0036255F">
            <w:pPr>
              <w:pStyle w:val="P68B1DB1-Normal39"/>
              <w:spacing w:after="0"/>
              <w:jc w:val="center"/>
              <w:rPr>
                <w:noProof/>
                <w:szCs w:val="22"/>
              </w:rPr>
            </w:pPr>
            <w:r>
              <w:rPr>
                <w:noProof/>
              </w:rPr>
              <w:t>Țintă</w:t>
            </w:r>
          </w:p>
        </w:tc>
        <w:tc>
          <w:tcPr>
            <w:tcW w:w="3579" w:type="dxa"/>
            <w:shd w:val="clear" w:color="auto" w:fill="EAF1DD" w:themeFill="accent3" w:themeFillTint="33"/>
          </w:tcPr>
          <w:p w14:paraId="2B274584" w14:textId="2168AFA9" w:rsidR="00F53E3A" w:rsidRDefault="0036255F">
            <w:pPr>
              <w:pStyle w:val="P68B1DB1-Normal39"/>
              <w:spacing w:after="0"/>
              <w:jc w:val="both"/>
              <w:rPr>
                <w:noProof/>
                <w:szCs w:val="22"/>
              </w:rPr>
            </w:pPr>
            <w:r>
              <w:rPr>
                <w:noProof/>
              </w:rPr>
              <w:t>Elevi înscriși pentru a studia în module EFP sau în programe de formare profesională începând cu clasa a 9-a</w:t>
            </w:r>
          </w:p>
        </w:tc>
      </w:tr>
      <w:tr w:rsidR="00F53E3A" w14:paraId="6295DC78" w14:textId="77777777">
        <w:trPr>
          <w:cantSplit/>
          <w:trHeight w:val="300"/>
        </w:trPr>
        <w:tc>
          <w:tcPr>
            <w:tcW w:w="1204" w:type="dxa"/>
            <w:shd w:val="clear" w:color="auto" w:fill="EAF1DD" w:themeFill="accent3" w:themeFillTint="33"/>
            <w:noWrap/>
            <w:vAlign w:val="center"/>
          </w:tcPr>
          <w:p w14:paraId="07EF0CB6" w14:textId="77777777" w:rsidR="00F53E3A" w:rsidRDefault="0036255F">
            <w:pPr>
              <w:pStyle w:val="P68B1DB1-Normal40"/>
              <w:spacing w:after="0"/>
              <w:jc w:val="center"/>
              <w:rPr>
                <w:noProof/>
                <w:color w:val="000000"/>
                <w:szCs w:val="22"/>
              </w:rPr>
            </w:pPr>
            <w:r>
              <w:rPr>
                <w:noProof/>
              </w:rPr>
              <w:t>123</w:t>
            </w:r>
          </w:p>
        </w:tc>
        <w:tc>
          <w:tcPr>
            <w:tcW w:w="3402" w:type="dxa"/>
            <w:shd w:val="clear" w:color="auto" w:fill="EAF1DD" w:themeFill="accent3" w:themeFillTint="33"/>
          </w:tcPr>
          <w:p w14:paraId="78C74BA0" w14:textId="39F6C492" w:rsidR="00F53E3A" w:rsidRDefault="0036255F">
            <w:pPr>
              <w:pStyle w:val="P68B1DB1-Normal39"/>
              <w:spacing w:after="0"/>
              <w:jc w:val="both"/>
              <w:rPr>
                <w:noProof/>
                <w:szCs w:val="22"/>
              </w:rPr>
            </w:pPr>
            <w:r>
              <w:rPr>
                <w:noProof/>
              </w:rPr>
              <w:t>E.1.1. Învățământ superior de calitate și instituții de învățământ superior puternice – E.1.1.2 Rețea de învățământ superior eficientă prin perfecționarea misiunilor universităților și colegiilor</w:t>
            </w:r>
          </w:p>
        </w:tc>
        <w:tc>
          <w:tcPr>
            <w:tcW w:w="1594" w:type="dxa"/>
            <w:shd w:val="clear" w:color="auto" w:fill="EAF1DD" w:themeFill="accent3" w:themeFillTint="33"/>
          </w:tcPr>
          <w:p w14:paraId="10AD2B18" w14:textId="77777777" w:rsidR="00F53E3A" w:rsidRDefault="0036255F">
            <w:pPr>
              <w:pStyle w:val="P68B1DB1-Normal39"/>
              <w:spacing w:after="0"/>
              <w:jc w:val="center"/>
              <w:rPr>
                <w:noProof/>
                <w:szCs w:val="22"/>
              </w:rPr>
            </w:pPr>
            <w:r>
              <w:rPr>
                <w:noProof/>
              </w:rPr>
              <w:t>Țintă</w:t>
            </w:r>
          </w:p>
        </w:tc>
        <w:tc>
          <w:tcPr>
            <w:tcW w:w="3579" w:type="dxa"/>
            <w:shd w:val="clear" w:color="auto" w:fill="EAF1DD" w:themeFill="accent3" w:themeFillTint="33"/>
          </w:tcPr>
          <w:p w14:paraId="5E5AF5D5" w14:textId="4ADFE570" w:rsidR="00F53E3A" w:rsidRDefault="0036255F">
            <w:pPr>
              <w:pStyle w:val="P68B1DB1-Normal39"/>
              <w:spacing w:after="0"/>
              <w:jc w:val="both"/>
              <w:rPr>
                <w:noProof/>
                <w:szCs w:val="22"/>
              </w:rPr>
            </w:pPr>
            <w:r>
              <w:rPr>
                <w:noProof/>
              </w:rPr>
              <w:t>Fuziuni ale colegiilor</w:t>
            </w:r>
          </w:p>
        </w:tc>
      </w:tr>
      <w:tr w:rsidR="00F53E3A" w14:paraId="10493611" w14:textId="77777777">
        <w:trPr>
          <w:cantSplit/>
          <w:trHeight w:val="300"/>
        </w:trPr>
        <w:tc>
          <w:tcPr>
            <w:tcW w:w="1204" w:type="dxa"/>
            <w:shd w:val="clear" w:color="auto" w:fill="EAF1DD" w:themeFill="accent3" w:themeFillTint="33"/>
            <w:noWrap/>
            <w:vAlign w:val="center"/>
          </w:tcPr>
          <w:p w14:paraId="2A37DD9C" w14:textId="77777777" w:rsidR="00F53E3A" w:rsidRDefault="0036255F">
            <w:pPr>
              <w:pStyle w:val="P68B1DB1-Normal40"/>
              <w:spacing w:after="0"/>
              <w:jc w:val="center"/>
              <w:rPr>
                <w:noProof/>
                <w:color w:val="000000"/>
                <w:szCs w:val="22"/>
              </w:rPr>
            </w:pPr>
            <w:r>
              <w:rPr>
                <w:noProof/>
              </w:rPr>
              <w:t>130</w:t>
            </w:r>
          </w:p>
        </w:tc>
        <w:tc>
          <w:tcPr>
            <w:tcW w:w="3402" w:type="dxa"/>
            <w:shd w:val="clear" w:color="auto" w:fill="EAF1DD" w:themeFill="accent3" w:themeFillTint="33"/>
          </w:tcPr>
          <w:p w14:paraId="3C3D605F" w14:textId="72427426" w:rsidR="00F53E3A" w:rsidRDefault="0036255F">
            <w:pPr>
              <w:pStyle w:val="P68B1DB1-Normal39"/>
              <w:spacing w:after="0"/>
              <w:jc w:val="both"/>
              <w:rPr>
                <w:noProof/>
                <w:szCs w:val="22"/>
              </w:rPr>
            </w:pPr>
            <w:r>
              <w:rPr>
                <w:noProof/>
              </w:rPr>
              <w:t xml:space="preserve">E.1.2. Punerea în aplicare eficace a politicii de inovare, creșterea cererii de inovare, sprijinul pentru ecosistemul întreprinderilor nou-înființate și inovarea ecologică – E.1.2.2. Creșterea cererii de inovare și sprijinirea inovării ecologice în Lituania </w:t>
            </w:r>
          </w:p>
        </w:tc>
        <w:tc>
          <w:tcPr>
            <w:tcW w:w="1594" w:type="dxa"/>
            <w:shd w:val="clear" w:color="auto" w:fill="EAF1DD" w:themeFill="accent3" w:themeFillTint="33"/>
          </w:tcPr>
          <w:p w14:paraId="19A6E6EB" w14:textId="77777777" w:rsidR="00F53E3A" w:rsidRDefault="0036255F">
            <w:pPr>
              <w:pStyle w:val="P68B1DB1-Normal39"/>
              <w:spacing w:after="0"/>
              <w:jc w:val="center"/>
              <w:rPr>
                <w:noProof/>
                <w:szCs w:val="22"/>
              </w:rPr>
            </w:pPr>
            <w:r>
              <w:rPr>
                <w:noProof/>
              </w:rPr>
              <w:t>Etapă</w:t>
            </w:r>
          </w:p>
        </w:tc>
        <w:tc>
          <w:tcPr>
            <w:tcW w:w="3579" w:type="dxa"/>
            <w:shd w:val="clear" w:color="auto" w:fill="EAF1DD" w:themeFill="accent3" w:themeFillTint="33"/>
          </w:tcPr>
          <w:p w14:paraId="32F58702" w14:textId="7BB8DAE4" w:rsidR="00F53E3A" w:rsidRDefault="0036255F">
            <w:pPr>
              <w:pStyle w:val="P68B1DB1-Normal39"/>
              <w:spacing w:after="0"/>
              <w:jc w:val="both"/>
              <w:rPr>
                <w:noProof/>
                <w:szCs w:val="22"/>
              </w:rPr>
            </w:pPr>
            <w:r>
              <w:rPr>
                <w:noProof/>
              </w:rPr>
              <w:t>Bunuri sau servicii inovatoare achiziționate și produse sau proiecte tehnologice ecologice și proiecte sprijinite în cadrul laboratorului industrial 4.0</w:t>
            </w:r>
          </w:p>
        </w:tc>
      </w:tr>
      <w:tr w:rsidR="00F53E3A" w14:paraId="2B0B02A2" w14:textId="77777777">
        <w:trPr>
          <w:cantSplit/>
          <w:trHeight w:val="300"/>
        </w:trPr>
        <w:tc>
          <w:tcPr>
            <w:tcW w:w="1204" w:type="dxa"/>
            <w:shd w:val="clear" w:color="auto" w:fill="EAF1DD" w:themeFill="accent3" w:themeFillTint="33"/>
            <w:noWrap/>
            <w:vAlign w:val="center"/>
          </w:tcPr>
          <w:p w14:paraId="63ABD196" w14:textId="77777777" w:rsidR="00F53E3A" w:rsidRDefault="0036255F">
            <w:pPr>
              <w:pStyle w:val="P68B1DB1-Normal40"/>
              <w:spacing w:after="0"/>
              <w:jc w:val="center"/>
              <w:rPr>
                <w:noProof/>
                <w:color w:val="000000"/>
                <w:szCs w:val="22"/>
              </w:rPr>
            </w:pPr>
            <w:r>
              <w:rPr>
                <w:noProof/>
              </w:rPr>
              <w:t>131</w:t>
            </w:r>
          </w:p>
        </w:tc>
        <w:tc>
          <w:tcPr>
            <w:tcW w:w="3402" w:type="dxa"/>
            <w:shd w:val="clear" w:color="auto" w:fill="EAF1DD" w:themeFill="accent3" w:themeFillTint="33"/>
          </w:tcPr>
          <w:p w14:paraId="51945629" w14:textId="093D1AAB" w:rsidR="00F53E3A" w:rsidRDefault="0036255F">
            <w:pPr>
              <w:pStyle w:val="P68B1DB1-Normal39"/>
              <w:spacing w:after="0"/>
              <w:jc w:val="both"/>
              <w:rPr>
                <w:noProof/>
                <w:szCs w:val="22"/>
              </w:rPr>
            </w:pPr>
            <w:r>
              <w:rPr>
                <w:noProof/>
              </w:rPr>
              <w:t>E.1.2. Punerea în aplicare eficace a politicii de inovare, creșterea cererii de inovare, sprijinul pentru ecosistemul întreprinderilor nou-înființate și inovarea ecologică – E.1.2.3. Sprijinirea ecosistemului întreprinderilor nou-înființate</w:t>
            </w:r>
          </w:p>
        </w:tc>
        <w:tc>
          <w:tcPr>
            <w:tcW w:w="1594" w:type="dxa"/>
            <w:shd w:val="clear" w:color="auto" w:fill="EAF1DD" w:themeFill="accent3" w:themeFillTint="33"/>
          </w:tcPr>
          <w:p w14:paraId="42BA4799" w14:textId="43F09D46" w:rsidR="00F53E3A" w:rsidRDefault="0036255F">
            <w:pPr>
              <w:pStyle w:val="P68B1DB1-Normal39"/>
              <w:spacing w:after="0"/>
              <w:jc w:val="center"/>
              <w:rPr>
                <w:noProof/>
                <w:szCs w:val="22"/>
              </w:rPr>
            </w:pPr>
            <w:r>
              <w:rPr>
                <w:noProof/>
              </w:rPr>
              <w:t>Țintă</w:t>
            </w:r>
          </w:p>
        </w:tc>
        <w:tc>
          <w:tcPr>
            <w:tcW w:w="3579" w:type="dxa"/>
            <w:shd w:val="clear" w:color="auto" w:fill="EAF1DD" w:themeFill="accent3" w:themeFillTint="33"/>
          </w:tcPr>
          <w:p w14:paraId="7F599737" w14:textId="0CDB71C9" w:rsidR="00F53E3A" w:rsidRDefault="0036255F">
            <w:pPr>
              <w:pStyle w:val="P68B1DB1-Normal39"/>
              <w:spacing w:after="0"/>
              <w:jc w:val="both"/>
              <w:rPr>
                <w:noProof/>
                <w:szCs w:val="22"/>
              </w:rPr>
            </w:pPr>
            <w:r>
              <w:rPr>
                <w:noProof/>
              </w:rPr>
              <w:t>Numărul de persoane fizice sau juridice care au primit sprijin</w:t>
            </w:r>
          </w:p>
        </w:tc>
      </w:tr>
      <w:tr w:rsidR="00F53E3A" w14:paraId="5717CD6A" w14:textId="77777777">
        <w:trPr>
          <w:cantSplit/>
          <w:trHeight w:val="300"/>
        </w:trPr>
        <w:tc>
          <w:tcPr>
            <w:tcW w:w="1204" w:type="dxa"/>
            <w:shd w:val="clear" w:color="auto" w:fill="EAF1DD" w:themeFill="accent3" w:themeFillTint="33"/>
            <w:noWrap/>
            <w:vAlign w:val="center"/>
          </w:tcPr>
          <w:p w14:paraId="6070B8D2" w14:textId="77777777" w:rsidR="00F53E3A" w:rsidRDefault="0036255F">
            <w:pPr>
              <w:pStyle w:val="P68B1DB1-Normal40"/>
              <w:spacing w:after="0"/>
              <w:jc w:val="center"/>
              <w:rPr>
                <w:noProof/>
                <w:color w:val="000000"/>
                <w:szCs w:val="22"/>
              </w:rPr>
            </w:pPr>
            <w:r>
              <w:rPr>
                <w:noProof/>
              </w:rPr>
              <w:t>133</w:t>
            </w:r>
          </w:p>
        </w:tc>
        <w:tc>
          <w:tcPr>
            <w:tcW w:w="3402" w:type="dxa"/>
            <w:shd w:val="clear" w:color="auto" w:fill="EAF1DD" w:themeFill="accent3" w:themeFillTint="33"/>
          </w:tcPr>
          <w:p w14:paraId="5F6F446D" w14:textId="06DA598E" w:rsidR="00F53E3A" w:rsidRDefault="0036255F">
            <w:pPr>
              <w:pStyle w:val="P68B1DB1-Normal39"/>
              <w:spacing w:after="0"/>
              <w:jc w:val="both"/>
              <w:rPr>
                <w:noProof/>
                <w:szCs w:val="22"/>
              </w:rPr>
            </w:pPr>
            <w:r>
              <w:rPr>
                <w:noProof/>
              </w:rPr>
              <w:t>E.1.3. Misiuni comune pentru știință și inovare în specializarea inteligentă – E.1.3.2. Sprijinirea cercetării și dezvoltării</w:t>
            </w:r>
          </w:p>
        </w:tc>
        <w:tc>
          <w:tcPr>
            <w:tcW w:w="1594" w:type="dxa"/>
            <w:shd w:val="clear" w:color="auto" w:fill="EAF1DD" w:themeFill="accent3" w:themeFillTint="33"/>
          </w:tcPr>
          <w:p w14:paraId="4AA0F844" w14:textId="59A8E15E" w:rsidR="00F53E3A" w:rsidRDefault="0036255F">
            <w:pPr>
              <w:pStyle w:val="P68B1DB1-Normal39"/>
              <w:spacing w:after="0"/>
              <w:jc w:val="center"/>
              <w:rPr>
                <w:noProof/>
                <w:szCs w:val="22"/>
              </w:rPr>
            </w:pPr>
            <w:r>
              <w:rPr>
                <w:noProof/>
              </w:rPr>
              <w:t>Etapă</w:t>
            </w:r>
          </w:p>
        </w:tc>
        <w:tc>
          <w:tcPr>
            <w:tcW w:w="3579" w:type="dxa"/>
            <w:shd w:val="clear" w:color="auto" w:fill="EAF1DD" w:themeFill="accent3" w:themeFillTint="33"/>
          </w:tcPr>
          <w:p w14:paraId="1C612D69" w14:textId="680E21DA" w:rsidR="00F53E3A" w:rsidRDefault="0036255F">
            <w:pPr>
              <w:pStyle w:val="P68B1DB1-Normal39"/>
              <w:spacing w:after="0"/>
              <w:jc w:val="both"/>
              <w:rPr>
                <w:noProof/>
              </w:rPr>
            </w:pPr>
            <w:r>
              <w:rPr>
                <w:noProof/>
              </w:rPr>
              <w:t>Lucrări de construcții și echipamente</w:t>
            </w:r>
          </w:p>
        </w:tc>
      </w:tr>
      <w:tr w:rsidR="00F53E3A" w14:paraId="74C763F0" w14:textId="77777777">
        <w:trPr>
          <w:cantSplit/>
          <w:trHeight w:val="300"/>
        </w:trPr>
        <w:tc>
          <w:tcPr>
            <w:tcW w:w="1204" w:type="dxa"/>
            <w:shd w:val="clear" w:color="auto" w:fill="EAF1DD" w:themeFill="accent3" w:themeFillTint="33"/>
            <w:noWrap/>
            <w:vAlign w:val="center"/>
          </w:tcPr>
          <w:p w14:paraId="4497EEC3" w14:textId="60D6AD7F" w:rsidR="00F53E3A" w:rsidRDefault="0036255F">
            <w:pPr>
              <w:pStyle w:val="P68B1DB1-Normal40"/>
              <w:spacing w:after="0"/>
              <w:jc w:val="center"/>
              <w:rPr>
                <w:noProof/>
                <w:szCs w:val="22"/>
              </w:rPr>
            </w:pPr>
            <w:r>
              <w:rPr>
                <w:noProof/>
              </w:rPr>
              <w:t>134</w:t>
            </w:r>
          </w:p>
        </w:tc>
        <w:tc>
          <w:tcPr>
            <w:tcW w:w="3402" w:type="dxa"/>
            <w:shd w:val="clear" w:color="auto" w:fill="EAF1DD" w:themeFill="accent3" w:themeFillTint="33"/>
          </w:tcPr>
          <w:p w14:paraId="13AF81A3" w14:textId="26CACBB0" w:rsidR="00F53E3A" w:rsidRDefault="0036255F">
            <w:pPr>
              <w:pStyle w:val="P68B1DB1-Normal39"/>
              <w:spacing w:after="0"/>
              <w:jc w:val="both"/>
              <w:rPr>
                <w:noProof/>
                <w:szCs w:val="22"/>
              </w:rPr>
            </w:pPr>
            <w:r>
              <w:rPr>
                <w:noProof/>
              </w:rPr>
              <w:t>E.1.3. Misiuni comune pentru știință și inovare în specializarea inteligentă – E.1.3.2. Sprijinirea cercetării și dezvoltării</w:t>
            </w:r>
          </w:p>
        </w:tc>
        <w:tc>
          <w:tcPr>
            <w:tcW w:w="1594" w:type="dxa"/>
            <w:shd w:val="clear" w:color="auto" w:fill="EAF1DD" w:themeFill="accent3" w:themeFillTint="33"/>
          </w:tcPr>
          <w:p w14:paraId="4F0D190A" w14:textId="4C23B5E6" w:rsidR="00F53E3A" w:rsidRDefault="0036255F">
            <w:pPr>
              <w:pStyle w:val="P68B1DB1-Normal39"/>
              <w:spacing w:after="0"/>
              <w:jc w:val="center"/>
              <w:rPr>
                <w:noProof/>
                <w:szCs w:val="22"/>
              </w:rPr>
            </w:pPr>
            <w:r>
              <w:rPr>
                <w:noProof/>
              </w:rPr>
              <w:t>Țintă</w:t>
            </w:r>
          </w:p>
        </w:tc>
        <w:tc>
          <w:tcPr>
            <w:tcW w:w="3579" w:type="dxa"/>
            <w:shd w:val="clear" w:color="auto" w:fill="EAF1DD" w:themeFill="accent3" w:themeFillTint="33"/>
          </w:tcPr>
          <w:p w14:paraId="448671C5" w14:textId="68E82AC7" w:rsidR="00F53E3A" w:rsidRDefault="0036255F">
            <w:pPr>
              <w:pStyle w:val="P68B1DB1-Normal39"/>
              <w:spacing w:after="0"/>
              <w:jc w:val="both"/>
              <w:rPr>
                <w:noProof/>
                <w:szCs w:val="22"/>
              </w:rPr>
            </w:pPr>
            <w:r>
              <w:rPr>
                <w:noProof/>
              </w:rPr>
              <w:t>Proiecte de C &amp; D care au beneficiat de sprijin financiar.</w:t>
            </w:r>
          </w:p>
        </w:tc>
      </w:tr>
      <w:tr w:rsidR="00F53E3A" w14:paraId="772A451D" w14:textId="77777777">
        <w:trPr>
          <w:cantSplit/>
          <w:trHeight w:val="300"/>
        </w:trPr>
        <w:tc>
          <w:tcPr>
            <w:tcW w:w="1204" w:type="dxa"/>
            <w:shd w:val="clear" w:color="auto" w:fill="EAF1DD" w:themeFill="accent3" w:themeFillTint="33"/>
            <w:noWrap/>
            <w:vAlign w:val="center"/>
          </w:tcPr>
          <w:p w14:paraId="0B501CFE" w14:textId="2DBE0FB4" w:rsidR="00F53E3A" w:rsidRDefault="0036255F">
            <w:pPr>
              <w:pStyle w:val="P68B1DB1-Normal40"/>
              <w:spacing w:after="0"/>
              <w:jc w:val="center"/>
              <w:rPr>
                <w:noProof/>
                <w:szCs w:val="22"/>
              </w:rPr>
            </w:pPr>
            <w:r>
              <w:rPr>
                <w:noProof/>
              </w:rPr>
              <w:t>136</w:t>
            </w:r>
          </w:p>
        </w:tc>
        <w:tc>
          <w:tcPr>
            <w:tcW w:w="3402" w:type="dxa"/>
            <w:shd w:val="clear" w:color="auto" w:fill="EAF1DD" w:themeFill="accent3" w:themeFillTint="33"/>
          </w:tcPr>
          <w:p w14:paraId="1B74E1F7" w14:textId="0834B8DD" w:rsidR="00F53E3A" w:rsidRDefault="0036255F">
            <w:pPr>
              <w:pStyle w:val="P68B1DB1-Normal39"/>
              <w:spacing w:after="0"/>
              <w:jc w:val="both"/>
              <w:rPr>
                <w:noProof/>
                <w:szCs w:val="22"/>
              </w:rPr>
            </w:pPr>
            <w:r>
              <w:rPr>
                <w:noProof/>
              </w:rPr>
              <w:t xml:space="preserve">E.1.3. Misiuni comune pentru știință și inovare în specializarea inteligentă – E.1.3.3. Încurajarea științei și a întreprinderilor să participe la programul UE pentru cercetare și inovare Orizont Europa și la alte programe internaționale de finanțare </w:t>
            </w:r>
          </w:p>
        </w:tc>
        <w:tc>
          <w:tcPr>
            <w:tcW w:w="1594" w:type="dxa"/>
            <w:shd w:val="clear" w:color="auto" w:fill="EAF1DD" w:themeFill="accent3" w:themeFillTint="33"/>
          </w:tcPr>
          <w:p w14:paraId="6E0D8237" w14:textId="495AEE96" w:rsidR="00F53E3A" w:rsidRDefault="0036255F">
            <w:pPr>
              <w:pStyle w:val="P68B1DB1-Normal39"/>
              <w:spacing w:after="0"/>
              <w:jc w:val="center"/>
              <w:rPr>
                <w:noProof/>
                <w:szCs w:val="22"/>
              </w:rPr>
            </w:pPr>
            <w:r>
              <w:rPr>
                <w:noProof/>
              </w:rPr>
              <w:t>Țintă</w:t>
            </w:r>
          </w:p>
        </w:tc>
        <w:tc>
          <w:tcPr>
            <w:tcW w:w="3579" w:type="dxa"/>
            <w:shd w:val="clear" w:color="auto" w:fill="EAF1DD" w:themeFill="accent3" w:themeFillTint="33"/>
          </w:tcPr>
          <w:p w14:paraId="17496EBF" w14:textId="0233E69C" w:rsidR="00F53E3A" w:rsidRDefault="0036255F">
            <w:pPr>
              <w:pStyle w:val="P68B1DB1-Normal39"/>
              <w:spacing w:after="0"/>
              <w:jc w:val="both"/>
              <w:rPr>
                <w:noProof/>
                <w:szCs w:val="22"/>
              </w:rPr>
            </w:pPr>
            <w:r>
              <w:rPr>
                <w:noProof/>
              </w:rPr>
              <w:t>Proiecte sau servicii de consiliere cărora li s-a acordat sprijin financiar</w:t>
            </w:r>
          </w:p>
        </w:tc>
      </w:tr>
      <w:tr w:rsidR="00F53E3A" w14:paraId="2E85C881" w14:textId="77777777">
        <w:trPr>
          <w:cantSplit/>
          <w:trHeight w:val="300"/>
        </w:trPr>
        <w:tc>
          <w:tcPr>
            <w:tcW w:w="1204" w:type="dxa"/>
            <w:shd w:val="clear" w:color="auto" w:fill="EAF1DD" w:themeFill="accent3" w:themeFillTint="33"/>
            <w:noWrap/>
            <w:vAlign w:val="center"/>
          </w:tcPr>
          <w:p w14:paraId="5FBA7DD9" w14:textId="01EF2BA4" w:rsidR="00F53E3A" w:rsidRDefault="0036255F">
            <w:pPr>
              <w:pStyle w:val="P68B1DB1-Normal40"/>
              <w:spacing w:after="0"/>
              <w:jc w:val="center"/>
              <w:rPr>
                <w:noProof/>
                <w:szCs w:val="22"/>
              </w:rPr>
            </w:pPr>
            <w:r>
              <w:rPr>
                <w:noProof/>
              </w:rPr>
              <w:t>138</w:t>
            </w:r>
          </w:p>
        </w:tc>
        <w:tc>
          <w:tcPr>
            <w:tcW w:w="3402" w:type="dxa"/>
            <w:shd w:val="clear" w:color="auto" w:fill="EAF1DD" w:themeFill="accent3" w:themeFillTint="33"/>
          </w:tcPr>
          <w:p w14:paraId="107ADBD4" w14:textId="1C22AA3E" w:rsidR="00F53E3A" w:rsidRDefault="0036255F">
            <w:pPr>
              <w:pStyle w:val="P68B1DB1-Normal39"/>
              <w:spacing w:after="0"/>
              <w:jc w:val="both"/>
              <w:rPr>
                <w:noProof/>
                <w:szCs w:val="22"/>
              </w:rPr>
            </w:pPr>
            <w:r>
              <w:rPr>
                <w:noProof/>
              </w:rPr>
              <w:t xml:space="preserve">F.1.1. Un sector public eficient – F.1.1.1 Actualizarea gestionării resurselor umane în sectorul public </w:t>
            </w:r>
          </w:p>
        </w:tc>
        <w:tc>
          <w:tcPr>
            <w:tcW w:w="1594" w:type="dxa"/>
            <w:shd w:val="clear" w:color="auto" w:fill="EAF1DD" w:themeFill="accent3" w:themeFillTint="33"/>
          </w:tcPr>
          <w:p w14:paraId="5450205E" w14:textId="11060B6E" w:rsidR="00F53E3A" w:rsidRDefault="0036255F">
            <w:pPr>
              <w:pStyle w:val="P68B1DB1-Normal39"/>
              <w:spacing w:after="0"/>
              <w:jc w:val="center"/>
              <w:rPr>
                <w:noProof/>
                <w:szCs w:val="22"/>
              </w:rPr>
            </w:pPr>
            <w:r>
              <w:rPr>
                <w:noProof/>
              </w:rPr>
              <w:t>Etapă</w:t>
            </w:r>
          </w:p>
        </w:tc>
        <w:tc>
          <w:tcPr>
            <w:tcW w:w="3579" w:type="dxa"/>
            <w:shd w:val="clear" w:color="auto" w:fill="EAF1DD" w:themeFill="accent3" w:themeFillTint="33"/>
          </w:tcPr>
          <w:p w14:paraId="20F69383" w14:textId="5ED1F232" w:rsidR="00F53E3A" w:rsidRDefault="0036255F">
            <w:pPr>
              <w:pStyle w:val="P68B1DB1-Normal39"/>
              <w:spacing w:after="0"/>
              <w:jc w:val="both"/>
              <w:rPr>
                <w:noProof/>
              </w:rPr>
            </w:pPr>
            <w:r>
              <w:rPr>
                <w:noProof/>
              </w:rPr>
              <w:t xml:space="preserve">Actualizarea gestionării resurselor umane </w:t>
            </w:r>
          </w:p>
        </w:tc>
      </w:tr>
      <w:tr w:rsidR="00F53E3A" w14:paraId="0C3A568C" w14:textId="77777777">
        <w:trPr>
          <w:cantSplit/>
          <w:trHeight w:val="300"/>
        </w:trPr>
        <w:tc>
          <w:tcPr>
            <w:tcW w:w="1204" w:type="dxa"/>
            <w:shd w:val="clear" w:color="auto" w:fill="EAF1DD" w:themeFill="accent3" w:themeFillTint="33"/>
            <w:noWrap/>
            <w:vAlign w:val="center"/>
          </w:tcPr>
          <w:p w14:paraId="276115EC" w14:textId="5813B3E1" w:rsidR="00F53E3A" w:rsidRDefault="0036255F">
            <w:pPr>
              <w:pStyle w:val="P68B1DB1-Normal40"/>
              <w:spacing w:after="0"/>
              <w:jc w:val="center"/>
              <w:rPr>
                <w:noProof/>
              </w:rPr>
            </w:pPr>
            <w:r>
              <w:rPr>
                <w:noProof/>
              </w:rPr>
              <w:t>154a</w:t>
            </w:r>
          </w:p>
        </w:tc>
        <w:tc>
          <w:tcPr>
            <w:tcW w:w="3402" w:type="dxa"/>
            <w:shd w:val="clear" w:color="auto" w:fill="EAF1DD" w:themeFill="accent3" w:themeFillTint="33"/>
          </w:tcPr>
          <w:p w14:paraId="5292CFBB" w14:textId="29A6F094" w:rsidR="00F53E3A" w:rsidRDefault="0036255F">
            <w:pPr>
              <w:spacing w:after="0"/>
              <w:jc w:val="both"/>
              <w:rPr>
                <w:rFonts w:ascii="Times New Roman" w:eastAsia="Times New Roman" w:hAnsi="Times New Roman" w:cs="Times New Roman"/>
                <w:noProof/>
                <w:color w:val="000000"/>
                <w:szCs w:val="22"/>
              </w:rPr>
            </w:pPr>
            <w:r>
              <w:rPr>
                <w:rStyle w:val="normaltextrun"/>
                <w:rFonts w:ascii="Times New Roman" w:hAnsi="Times New Roman"/>
                <w:noProof/>
              </w:rPr>
              <w:t>F.1.3. Sustenabilitatea pe termen lung și transparența bugetului național – F.1.3.5. Consolidarea instituțiilor naționale de dezvoltare</w:t>
            </w:r>
          </w:p>
        </w:tc>
        <w:tc>
          <w:tcPr>
            <w:tcW w:w="1594" w:type="dxa"/>
            <w:shd w:val="clear" w:color="auto" w:fill="EAF1DD" w:themeFill="accent3" w:themeFillTint="33"/>
          </w:tcPr>
          <w:p w14:paraId="65382055" w14:textId="2FF12A64" w:rsidR="00F53E3A" w:rsidRDefault="0036255F">
            <w:pPr>
              <w:pStyle w:val="P68B1DB1-Normal39"/>
              <w:spacing w:after="0"/>
              <w:jc w:val="center"/>
              <w:rPr>
                <w:noProof/>
              </w:rPr>
            </w:pPr>
            <w:r>
              <w:rPr>
                <w:noProof/>
              </w:rPr>
              <w:t>Etapă</w:t>
            </w:r>
          </w:p>
        </w:tc>
        <w:tc>
          <w:tcPr>
            <w:tcW w:w="3579" w:type="dxa"/>
            <w:shd w:val="clear" w:color="auto" w:fill="EAF1DD" w:themeFill="accent3" w:themeFillTint="33"/>
          </w:tcPr>
          <w:p w14:paraId="353D5032" w14:textId="6144D6E6" w:rsidR="00F53E3A" w:rsidRDefault="0036255F">
            <w:pPr>
              <w:pStyle w:val="P68B1DB1-Normal39"/>
              <w:spacing w:after="0"/>
              <w:jc w:val="both"/>
              <w:rPr>
                <w:noProof/>
              </w:rPr>
            </w:pPr>
            <w:r>
              <w:rPr>
                <w:noProof/>
              </w:rPr>
              <w:t>Politică de investiții</w:t>
            </w:r>
          </w:p>
        </w:tc>
      </w:tr>
      <w:tr w:rsidR="00F53E3A" w14:paraId="5413831C" w14:textId="77777777">
        <w:trPr>
          <w:cantSplit/>
          <w:trHeight w:val="300"/>
        </w:trPr>
        <w:tc>
          <w:tcPr>
            <w:tcW w:w="1204" w:type="dxa"/>
            <w:shd w:val="clear" w:color="auto" w:fill="EAF1DD" w:themeFill="accent3" w:themeFillTint="33"/>
            <w:noWrap/>
            <w:vAlign w:val="center"/>
          </w:tcPr>
          <w:p w14:paraId="081396ED" w14:textId="44B50384" w:rsidR="00F53E3A" w:rsidRDefault="0036255F">
            <w:pPr>
              <w:pStyle w:val="P68B1DB1-Normal40"/>
              <w:jc w:val="center"/>
              <w:rPr>
                <w:noProof/>
              </w:rPr>
            </w:pPr>
            <w:r>
              <w:rPr>
                <w:noProof/>
              </w:rPr>
              <w:t>154b</w:t>
            </w:r>
          </w:p>
        </w:tc>
        <w:tc>
          <w:tcPr>
            <w:tcW w:w="3402" w:type="dxa"/>
            <w:shd w:val="clear" w:color="auto" w:fill="EAF1DD" w:themeFill="accent3" w:themeFillTint="33"/>
          </w:tcPr>
          <w:p w14:paraId="2EFD1132" w14:textId="4C2CA31B" w:rsidR="00F53E3A" w:rsidRDefault="0036255F">
            <w:pPr>
              <w:spacing w:after="0"/>
              <w:jc w:val="both"/>
              <w:rPr>
                <w:rFonts w:ascii="Times New Roman" w:eastAsia="Times New Roman" w:hAnsi="Times New Roman" w:cs="Times New Roman"/>
                <w:noProof/>
                <w:color w:val="000000" w:themeColor="text1"/>
                <w:szCs w:val="22"/>
              </w:rPr>
            </w:pPr>
            <w:r>
              <w:rPr>
                <w:rStyle w:val="normaltextrun"/>
                <w:rFonts w:ascii="Times New Roman" w:hAnsi="Times New Roman"/>
                <w:noProof/>
              </w:rPr>
              <w:t>F.1.3. Sustenabilitatea pe termen lung și transparența bugetului național – F.1.3.5. Consolidarea instituțiilor naționale de dezvoltare</w:t>
            </w:r>
          </w:p>
        </w:tc>
        <w:tc>
          <w:tcPr>
            <w:tcW w:w="1594" w:type="dxa"/>
            <w:shd w:val="clear" w:color="auto" w:fill="EAF1DD" w:themeFill="accent3" w:themeFillTint="33"/>
          </w:tcPr>
          <w:p w14:paraId="0670F297" w14:textId="0E3A2AAC" w:rsidR="00F53E3A" w:rsidRDefault="0036255F">
            <w:pPr>
              <w:pStyle w:val="P68B1DB1-Normal39"/>
              <w:jc w:val="center"/>
              <w:rPr>
                <w:noProof/>
                <w:color w:val="000000" w:themeColor="text1"/>
              </w:rPr>
            </w:pPr>
            <w:r>
              <w:rPr>
                <w:noProof/>
              </w:rPr>
              <w:t>Etapă</w:t>
            </w:r>
          </w:p>
        </w:tc>
        <w:tc>
          <w:tcPr>
            <w:tcW w:w="3579" w:type="dxa"/>
            <w:shd w:val="clear" w:color="auto" w:fill="EAF1DD" w:themeFill="accent3" w:themeFillTint="33"/>
          </w:tcPr>
          <w:p w14:paraId="0B176604" w14:textId="08CBD9A5" w:rsidR="00F53E3A" w:rsidRDefault="0036255F">
            <w:pPr>
              <w:pStyle w:val="P68B1DB1-Normal39"/>
              <w:jc w:val="both"/>
              <w:rPr>
                <w:noProof/>
                <w:color w:val="000000" w:themeColor="text1"/>
              </w:rPr>
            </w:pPr>
            <w:r>
              <w:rPr>
                <w:noProof/>
              </w:rPr>
              <w:t>Injecție de capital</w:t>
            </w:r>
          </w:p>
        </w:tc>
      </w:tr>
      <w:tr w:rsidR="00F53E3A" w14:paraId="47553CC5" w14:textId="77777777">
        <w:trPr>
          <w:cantSplit/>
          <w:trHeight w:val="300"/>
        </w:trPr>
        <w:tc>
          <w:tcPr>
            <w:tcW w:w="1204" w:type="dxa"/>
            <w:shd w:val="clear" w:color="auto" w:fill="EAF1DD" w:themeFill="accent3" w:themeFillTint="33"/>
            <w:noWrap/>
            <w:vAlign w:val="center"/>
          </w:tcPr>
          <w:p w14:paraId="0DBE5AAB" w14:textId="0C3D3631" w:rsidR="00F53E3A" w:rsidRDefault="0036255F">
            <w:pPr>
              <w:pStyle w:val="P68B1DB1-Normal40"/>
              <w:spacing w:after="0"/>
              <w:jc w:val="center"/>
              <w:rPr>
                <w:noProof/>
                <w:szCs w:val="22"/>
              </w:rPr>
            </w:pPr>
            <w:r>
              <w:rPr>
                <w:noProof/>
              </w:rPr>
              <w:t>161</w:t>
            </w:r>
          </w:p>
        </w:tc>
        <w:tc>
          <w:tcPr>
            <w:tcW w:w="3402" w:type="dxa"/>
            <w:shd w:val="clear" w:color="auto" w:fill="EAF1DD" w:themeFill="accent3" w:themeFillTint="33"/>
          </w:tcPr>
          <w:p w14:paraId="5AA90A77" w14:textId="2354B5CB" w:rsidR="00F53E3A" w:rsidRDefault="0036255F">
            <w:pPr>
              <w:pStyle w:val="P68B1DB1-Normal39"/>
              <w:spacing w:after="0"/>
              <w:jc w:val="both"/>
              <w:rPr>
                <w:noProof/>
                <w:szCs w:val="22"/>
              </w:rPr>
            </w:pPr>
            <w:r>
              <w:rPr>
                <w:noProof/>
              </w:rPr>
              <w:t>F.1.4. Îmbunătățirea respectării obligațiilor fiscale – F.1.4.4. Educarea viitorilor contribuabili în domeniul fiscal</w:t>
            </w:r>
          </w:p>
        </w:tc>
        <w:tc>
          <w:tcPr>
            <w:tcW w:w="1594" w:type="dxa"/>
            <w:shd w:val="clear" w:color="auto" w:fill="EAF1DD" w:themeFill="accent3" w:themeFillTint="33"/>
          </w:tcPr>
          <w:p w14:paraId="220367DA" w14:textId="51F41758" w:rsidR="00F53E3A" w:rsidRDefault="0036255F">
            <w:pPr>
              <w:pStyle w:val="P68B1DB1-Normal39"/>
              <w:spacing w:after="0"/>
              <w:jc w:val="center"/>
              <w:rPr>
                <w:noProof/>
                <w:szCs w:val="22"/>
              </w:rPr>
            </w:pPr>
            <w:r>
              <w:rPr>
                <w:noProof/>
              </w:rPr>
              <w:t>Etapă</w:t>
            </w:r>
          </w:p>
        </w:tc>
        <w:tc>
          <w:tcPr>
            <w:tcW w:w="3579" w:type="dxa"/>
            <w:shd w:val="clear" w:color="auto" w:fill="EAF1DD" w:themeFill="accent3" w:themeFillTint="33"/>
          </w:tcPr>
          <w:p w14:paraId="77B3C9E5" w14:textId="34E83083" w:rsidR="00F53E3A" w:rsidRDefault="0036255F">
            <w:pPr>
              <w:pStyle w:val="P68B1DB1-Normal39"/>
              <w:spacing w:after="0"/>
              <w:jc w:val="both"/>
              <w:rPr>
                <w:noProof/>
                <w:szCs w:val="22"/>
              </w:rPr>
            </w:pPr>
            <w:r>
              <w:rPr>
                <w:noProof/>
              </w:rPr>
              <w:t xml:space="preserve">Materiale educaționale și campanii de alfabetizare fiscală </w:t>
            </w:r>
          </w:p>
        </w:tc>
      </w:tr>
      <w:tr w:rsidR="00F53E3A" w14:paraId="0982D601" w14:textId="77777777">
        <w:trPr>
          <w:cantSplit/>
          <w:trHeight w:val="300"/>
        </w:trPr>
        <w:tc>
          <w:tcPr>
            <w:tcW w:w="1204" w:type="dxa"/>
            <w:shd w:val="clear" w:color="auto" w:fill="EAF1DD" w:themeFill="accent3" w:themeFillTint="33"/>
            <w:noWrap/>
            <w:vAlign w:val="center"/>
          </w:tcPr>
          <w:p w14:paraId="29028B23" w14:textId="57F21DC4" w:rsidR="00F53E3A" w:rsidRDefault="0036255F">
            <w:pPr>
              <w:pStyle w:val="P68B1DB1-Normal40"/>
              <w:spacing w:after="0"/>
              <w:jc w:val="center"/>
              <w:rPr>
                <w:noProof/>
                <w:szCs w:val="22"/>
              </w:rPr>
            </w:pPr>
            <w:r>
              <w:rPr>
                <w:noProof/>
              </w:rPr>
              <w:t>165</w:t>
            </w:r>
          </w:p>
        </w:tc>
        <w:tc>
          <w:tcPr>
            <w:tcW w:w="3402" w:type="dxa"/>
            <w:shd w:val="clear" w:color="auto" w:fill="EAF1DD" w:themeFill="accent3" w:themeFillTint="33"/>
          </w:tcPr>
          <w:p w14:paraId="61A08D70" w14:textId="4886C004" w:rsidR="00F53E3A" w:rsidRDefault="0036255F">
            <w:pPr>
              <w:pStyle w:val="P68B1DB1-Normal39"/>
              <w:spacing w:after="0"/>
              <w:jc w:val="both"/>
              <w:rPr>
                <w:noProof/>
                <w:szCs w:val="22"/>
              </w:rPr>
            </w:pPr>
            <w:r>
              <w:rPr>
                <w:noProof/>
              </w:rPr>
              <w:t xml:space="preserve">F.1.6. O administrație fiscală inteligentă pentru a reduce deficitul de încasare a TVA – F.1.6.1. Furnizarea de noi instrumente de analiză a datelor pentru Inspectoratul Fiscal de Stat </w:t>
            </w:r>
          </w:p>
        </w:tc>
        <w:tc>
          <w:tcPr>
            <w:tcW w:w="1594" w:type="dxa"/>
            <w:shd w:val="clear" w:color="auto" w:fill="EAF1DD" w:themeFill="accent3" w:themeFillTint="33"/>
          </w:tcPr>
          <w:p w14:paraId="675EE5B7" w14:textId="1C305CB8" w:rsidR="00F53E3A" w:rsidRDefault="0036255F">
            <w:pPr>
              <w:pStyle w:val="P68B1DB1-Normal39"/>
              <w:spacing w:after="0"/>
              <w:jc w:val="center"/>
              <w:rPr>
                <w:noProof/>
                <w:szCs w:val="22"/>
              </w:rPr>
            </w:pPr>
            <w:r>
              <w:rPr>
                <w:noProof/>
              </w:rPr>
              <w:t>Etapă</w:t>
            </w:r>
          </w:p>
        </w:tc>
        <w:tc>
          <w:tcPr>
            <w:tcW w:w="3579" w:type="dxa"/>
            <w:shd w:val="clear" w:color="auto" w:fill="EAF1DD" w:themeFill="accent3" w:themeFillTint="33"/>
          </w:tcPr>
          <w:p w14:paraId="3E9F8A20" w14:textId="37456033" w:rsidR="00F53E3A" w:rsidRDefault="0036255F">
            <w:pPr>
              <w:pStyle w:val="P68B1DB1-Normal39"/>
              <w:spacing w:after="0"/>
              <w:jc w:val="both"/>
              <w:rPr>
                <w:noProof/>
              </w:rPr>
            </w:pPr>
            <w:r>
              <w:rPr>
                <w:noProof/>
              </w:rPr>
              <w:t xml:space="preserve">Modele analitice și funcționalități ale sistemului informatic </w:t>
            </w:r>
          </w:p>
        </w:tc>
      </w:tr>
      <w:tr w:rsidR="00F53E3A" w14:paraId="637E2A07" w14:textId="77777777">
        <w:trPr>
          <w:cantSplit/>
          <w:trHeight w:val="300"/>
        </w:trPr>
        <w:tc>
          <w:tcPr>
            <w:tcW w:w="1204" w:type="dxa"/>
            <w:shd w:val="clear" w:color="auto" w:fill="EAF1DD" w:themeFill="accent3" w:themeFillTint="33"/>
            <w:noWrap/>
            <w:vAlign w:val="center"/>
          </w:tcPr>
          <w:p w14:paraId="03177731" w14:textId="2AD193A4" w:rsidR="00F53E3A" w:rsidRDefault="0036255F">
            <w:pPr>
              <w:pStyle w:val="P68B1DB1-Normal40"/>
              <w:spacing w:after="0"/>
              <w:jc w:val="center"/>
              <w:rPr>
                <w:noProof/>
                <w:szCs w:val="22"/>
              </w:rPr>
            </w:pPr>
            <w:r>
              <w:rPr>
                <w:noProof/>
              </w:rPr>
              <w:t>167</w:t>
            </w:r>
          </w:p>
        </w:tc>
        <w:tc>
          <w:tcPr>
            <w:tcW w:w="3402" w:type="dxa"/>
            <w:shd w:val="clear" w:color="auto" w:fill="EAF1DD" w:themeFill="accent3" w:themeFillTint="33"/>
          </w:tcPr>
          <w:p w14:paraId="364439FD" w14:textId="4519CF06" w:rsidR="00F53E3A" w:rsidRDefault="0036255F">
            <w:pPr>
              <w:pStyle w:val="P68B1DB1-Normal39"/>
              <w:spacing w:after="0"/>
              <w:jc w:val="both"/>
              <w:rPr>
                <w:noProof/>
                <w:szCs w:val="22"/>
              </w:rPr>
            </w:pPr>
            <w:r>
              <w:rPr>
                <w:noProof/>
              </w:rPr>
              <w:t xml:space="preserve">F.1.6. O administrație fiscală inteligentă pentru a reduce deficitul de încasare a TVA – F.1.6.2. Monitorizarea calității datelor Inspectoratului Fiscal de Stat și ale altor instituții </w:t>
            </w:r>
          </w:p>
        </w:tc>
        <w:tc>
          <w:tcPr>
            <w:tcW w:w="1594" w:type="dxa"/>
            <w:shd w:val="clear" w:color="auto" w:fill="EAF1DD" w:themeFill="accent3" w:themeFillTint="33"/>
          </w:tcPr>
          <w:p w14:paraId="727178AD" w14:textId="0661B8D8" w:rsidR="00F53E3A" w:rsidRDefault="0036255F">
            <w:pPr>
              <w:pStyle w:val="P68B1DB1-Normal39"/>
              <w:spacing w:after="0"/>
              <w:jc w:val="center"/>
              <w:rPr>
                <w:noProof/>
                <w:szCs w:val="22"/>
              </w:rPr>
            </w:pPr>
            <w:r>
              <w:rPr>
                <w:noProof/>
              </w:rPr>
              <w:t>Etapă</w:t>
            </w:r>
          </w:p>
        </w:tc>
        <w:tc>
          <w:tcPr>
            <w:tcW w:w="3579" w:type="dxa"/>
            <w:shd w:val="clear" w:color="auto" w:fill="EAF1DD" w:themeFill="accent3" w:themeFillTint="33"/>
          </w:tcPr>
          <w:p w14:paraId="062F668F" w14:textId="37F68BC2" w:rsidR="00F53E3A" w:rsidRDefault="0036255F">
            <w:pPr>
              <w:pStyle w:val="P68B1DB1-Normal39"/>
              <w:spacing w:after="0"/>
              <w:jc w:val="both"/>
              <w:rPr>
                <w:noProof/>
                <w:szCs w:val="22"/>
              </w:rPr>
            </w:pPr>
            <w:r>
              <w:rPr>
                <w:noProof/>
              </w:rPr>
              <w:t>Aprobarea și adoptarea actelor șefului Inspectoratului Fiscal de Stat privind integrarea bazei de date cu metadate</w:t>
            </w:r>
          </w:p>
        </w:tc>
      </w:tr>
      <w:tr w:rsidR="00F53E3A" w14:paraId="76B0FD40" w14:textId="77777777">
        <w:trPr>
          <w:cantSplit/>
          <w:trHeight w:val="300"/>
        </w:trPr>
        <w:tc>
          <w:tcPr>
            <w:tcW w:w="1204" w:type="dxa"/>
            <w:shd w:val="clear" w:color="auto" w:fill="EAF1DD" w:themeFill="accent3" w:themeFillTint="33"/>
            <w:noWrap/>
            <w:vAlign w:val="center"/>
          </w:tcPr>
          <w:p w14:paraId="702E7417" w14:textId="35F1CFAB" w:rsidR="00F53E3A" w:rsidRDefault="0036255F">
            <w:pPr>
              <w:pStyle w:val="P68B1DB1-Normal40"/>
              <w:spacing w:after="0"/>
              <w:jc w:val="center"/>
              <w:rPr>
                <w:noProof/>
                <w:szCs w:val="22"/>
              </w:rPr>
            </w:pPr>
            <w:r>
              <w:rPr>
                <w:noProof/>
              </w:rPr>
              <w:t>176</w:t>
            </w:r>
          </w:p>
        </w:tc>
        <w:tc>
          <w:tcPr>
            <w:tcW w:w="3402" w:type="dxa"/>
            <w:shd w:val="clear" w:color="auto" w:fill="EAF1DD" w:themeFill="accent3" w:themeFillTint="33"/>
          </w:tcPr>
          <w:p w14:paraId="41289044" w14:textId="18B8B402" w:rsidR="00F53E3A" w:rsidRDefault="0036255F">
            <w:pPr>
              <w:pStyle w:val="P68B1DB1-Normal39"/>
              <w:spacing w:after="0"/>
              <w:jc w:val="both"/>
              <w:textAlignment w:val="baseline"/>
              <w:rPr>
                <w:noProof/>
                <w:color w:val="000000" w:themeColor="text1"/>
              </w:rPr>
            </w:pPr>
            <w:r>
              <w:rPr>
                <w:noProof/>
              </w:rPr>
              <w:t xml:space="preserve">F.1.7. Furnizarea unui ecosistem de documente electronice – F.1.7.2. Submăsura 2. Livrarea unui prototip al porții eFTI </w:t>
            </w:r>
          </w:p>
        </w:tc>
        <w:tc>
          <w:tcPr>
            <w:tcW w:w="1594" w:type="dxa"/>
            <w:shd w:val="clear" w:color="auto" w:fill="EAF1DD" w:themeFill="accent3" w:themeFillTint="33"/>
          </w:tcPr>
          <w:p w14:paraId="4C33488F" w14:textId="00DE5EE3" w:rsidR="00F53E3A" w:rsidRDefault="0036255F">
            <w:pPr>
              <w:pStyle w:val="P68B1DB1-Normal39"/>
              <w:spacing w:after="0"/>
              <w:jc w:val="center"/>
              <w:rPr>
                <w:noProof/>
                <w:szCs w:val="22"/>
              </w:rPr>
            </w:pPr>
            <w:r>
              <w:rPr>
                <w:noProof/>
              </w:rPr>
              <w:t>Etapă</w:t>
            </w:r>
          </w:p>
        </w:tc>
        <w:tc>
          <w:tcPr>
            <w:tcW w:w="3579" w:type="dxa"/>
            <w:shd w:val="clear" w:color="auto" w:fill="EAF1DD" w:themeFill="accent3" w:themeFillTint="33"/>
          </w:tcPr>
          <w:p w14:paraId="66737734" w14:textId="7B885DEA" w:rsidR="00F53E3A" w:rsidRDefault="0036255F">
            <w:pPr>
              <w:pStyle w:val="P68B1DB1-Normal39"/>
              <w:spacing w:after="0"/>
              <w:jc w:val="both"/>
              <w:rPr>
                <w:noProof/>
                <w:color w:val="000000" w:themeColor="text1"/>
              </w:rPr>
            </w:pPr>
            <w:r>
              <w:rPr>
                <w:noProof/>
              </w:rPr>
              <w:t>Furnizarea unui prototip al funcționalităților i.VAZ</w:t>
            </w:r>
          </w:p>
        </w:tc>
      </w:tr>
      <w:tr w:rsidR="00F53E3A" w14:paraId="7F327AFA" w14:textId="77777777">
        <w:trPr>
          <w:cantSplit/>
          <w:trHeight w:val="300"/>
        </w:trPr>
        <w:tc>
          <w:tcPr>
            <w:tcW w:w="1204" w:type="dxa"/>
            <w:shd w:val="clear" w:color="auto" w:fill="EAF1DD" w:themeFill="accent3" w:themeFillTint="33"/>
            <w:noWrap/>
            <w:vAlign w:val="center"/>
          </w:tcPr>
          <w:p w14:paraId="4332A931" w14:textId="65B03F77" w:rsidR="00F53E3A" w:rsidRDefault="0036255F">
            <w:pPr>
              <w:pStyle w:val="P68B1DB1-Normal40"/>
              <w:spacing w:after="0"/>
              <w:jc w:val="center"/>
              <w:rPr>
                <w:noProof/>
                <w:szCs w:val="22"/>
              </w:rPr>
            </w:pPr>
            <w:r>
              <w:rPr>
                <w:noProof/>
              </w:rPr>
              <w:t>178</w:t>
            </w:r>
          </w:p>
        </w:tc>
        <w:tc>
          <w:tcPr>
            <w:tcW w:w="3402" w:type="dxa"/>
            <w:shd w:val="clear" w:color="auto" w:fill="EAF1DD" w:themeFill="accent3" w:themeFillTint="33"/>
          </w:tcPr>
          <w:p w14:paraId="099195F8" w14:textId="357F9DC2" w:rsidR="00F53E3A" w:rsidRDefault="0036255F">
            <w:pPr>
              <w:pStyle w:val="P68B1DB1-Normal39"/>
              <w:spacing w:after="0"/>
              <w:jc w:val="both"/>
              <w:textAlignment w:val="baseline"/>
              <w:rPr>
                <w:noProof/>
                <w:color w:val="000000" w:themeColor="text1"/>
              </w:rPr>
            </w:pPr>
            <w:r>
              <w:rPr>
                <w:noProof/>
              </w:rPr>
              <w:t xml:space="preserve">F.1.8. Un ghișeu unic pentru plata amenzilor </w:t>
            </w:r>
          </w:p>
        </w:tc>
        <w:tc>
          <w:tcPr>
            <w:tcW w:w="1594" w:type="dxa"/>
            <w:shd w:val="clear" w:color="auto" w:fill="EAF1DD" w:themeFill="accent3" w:themeFillTint="33"/>
          </w:tcPr>
          <w:p w14:paraId="3133046A" w14:textId="7BD3FA08" w:rsidR="00F53E3A" w:rsidRDefault="0036255F">
            <w:pPr>
              <w:pStyle w:val="P68B1DB1-Normal39"/>
              <w:spacing w:after="0"/>
              <w:jc w:val="center"/>
              <w:rPr>
                <w:noProof/>
                <w:szCs w:val="22"/>
              </w:rPr>
            </w:pPr>
            <w:r>
              <w:rPr>
                <w:noProof/>
              </w:rPr>
              <w:t>Etapă</w:t>
            </w:r>
          </w:p>
        </w:tc>
        <w:tc>
          <w:tcPr>
            <w:tcW w:w="3579" w:type="dxa"/>
            <w:shd w:val="clear" w:color="auto" w:fill="EAF1DD" w:themeFill="accent3" w:themeFillTint="33"/>
          </w:tcPr>
          <w:p w14:paraId="0D3D2EA0" w14:textId="0E2C0DF4" w:rsidR="00F53E3A" w:rsidRDefault="0036255F">
            <w:pPr>
              <w:pStyle w:val="P68B1DB1-Normal39"/>
              <w:spacing w:after="0"/>
              <w:jc w:val="both"/>
              <w:rPr>
                <w:noProof/>
                <w:color w:val="000000" w:themeColor="text1"/>
              </w:rPr>
            </w:pPr>
            <w:r>
              <w:rPr>
                <w:noProof/>
              </w:rPr>
              <w:t xml:space="preserve">Interfața pentru amenzi și sancțiuni economice </w:t>
            </w:r>
          </w:p>
        </w:tc>
      </w:tr>
      <w:tr w:rsidR="00F53E3A" w14:paraId="3E0FAAEB" w14:textId="77777777">
        <w:trPr>
          <w:cantSplit/>
          <w:trHeight w:val="300"/>
        </w:trPr>
        <w:tc>
          <w:tcPr>
            <w:tcW w:w="1204" w:type="dxa"/>
            <w:shd w:val="clear" w:color="auto" w:fill="EAF1DD" w:themeFill="accent3" w:themeFillTint="33"/>
            <w:noWrap/>
            <w:vAlign w:val="center"/>
          </w:tcPr>
          <w:p w14:paraId="2A613096" w14:textId="77777777" w:rsidR="00F53E3A" w:rsidRDefault="0036255F">
            <w:pPr>
              <w:pStyle w:val="P68B1DB1-Normal40"/>
              <w:spacing w:after="0"/>
              <w:jc w:val="center"/>
              <w:rPr>
                <w:noProof/>
                <w:color w:val="000000"/>
                <w:szCs w:val="22"/>
              </w:rPr>
            </w:pPr>
            <w:r>
              <w:rPr>
                <w:noProof/>
              </w:rPr>
              <w:t>187</w:t>
            </w:r>
          </w:p>
        </w:tc>
        <w:tc>
          <w:tcPr>
            <w:tcW w:w="3402" w:type="dxa"/>
            <w:shd w:val="clear" w:color="auto" w:fill="EAF1DD" w:themeFill="accent3" w:themeFillTint="33"/>
          </w:tcPr>
          <w:p w14:paraId="6D91B92A" w14:textId="04DD6972" w:rsidR="00F53E3A" w:rsidRDefault="0036255F">
            <w:pPr>
              <w:pStyle w:val="P68B1DB1-Normal39"/>
              <w:spacing w:after="0"/>
              <w:jc w:val="both"/>
              <w:rPr>
                <w:noProof/>
                <w:szCs w:val="22"/>
              </w:rPr>
            </w:pPr>
            <w:r>
              <w:rPr>
                <w:noProof/>
              </w:rPr>
              <w:t>G.1.2. Sprijin pentru ocuparea forței de muncă orientat către client – G.1.2.1. Optimizarea și digitalizarea proceselor operaționale ale serviciilor de ocupare a forței de muncă, asigurând orientarea sistematică către client</w:t>
            </w:r>
          </w:p>
        </w:tc>
        <w:tc>
          <w:tcPr>
            <w:tcW w:w="1594" w:type="dxa"/>
            <w:shd w:val="clear" w:color="auto" w:fill="EAF1DD" w:themeFill="accent3" w:themeFillTint="33"/>
          </w:tcPr>
          <w:p w14:paraId="0A7975D3" w14:textId="3D22FE73" w:rsidR="00F53E3A" w:rsidRDefault="0036255F">
            <w:pPr>
              <w:pStyle w:val="P68B1DB1-Normal39"/>
              <w:spacing w:after="0"/>
              <w:jc w:val="center"/>
              <w:rPr>
                <w:noProof/>
                <w:szCs w:val="22"/>
              </w:rPr>
            </w:pPr>
            <w:r>
              <w:rPr>
                <w:noProof/>
              </w:rPr>
              <w:t>Etapă</w:t>
            </w:r>
          </w:p>
        </w:tc>
        <w:tc>
          <w:tcPr>
            <w:tcW w:w="3579" w:type="dxa"/>
            <w:shd w:val="clear" w:color="auto" w:fill="EAF1DD" w:themeFill="accent3" w:themeFillTint="33"/>
          </w:tcPr>
          <w:p w14:paraId="70A9D2FA" w14:textId="3987CE99" w:rsidR="00F53E3A" w:rsidRDefault="0036255F">
            <w:pPr>
              <w:pStyle w:val="P68B1DB1-Normal26"/>
              <w:spacing w:after="0"/>
              <w:jc w:val="both"/>
              <w:rPr>
                <w:rFonts w:eastAsia="Times New Roman" w:cs="Times New Roman"/>
                <w:noProof/>
                <w:color w:val="000000"/>
                <w:szCs w:val="22"/>
              </w:rPr>
            </w:pPr>
            <w:r>
              <w:rPr>
                <w:noProof/>
              </w:rPr>
              <w:t>Platforma serviciilor de ocupare a forței de muncă</w:t>
            </w:r>
          </w:p>
        </w:tc>
      </w:tr>
      <w:tr w:rsidR="00F53E3A" w14:paraId="784C4D21" w14:textId="77777777">
        <w:trPr>
          <w:cantSplit/>
          <w:trHeight w:val="300"/>
        </w:trPr>
        <w:tc>
          <w:tcPr>
            <w:tcW w:w="1204" w:type="dxa"/>
            <w:shd w:val="clear" w:color="auto" w:fill="EAF1DD" w:themeFill="accent3" w:themeFillTint="33"/>
            <w:noWrap/>
            <w:vAlign w:val="center"/>
          </w:tcPr>
          <w:p w14:paraId="4BC55096" w14:textId="56AFF057" w:rsidR="00F53E3A" w:rsidRDefault="0036255F">
            <w:pPr>
              <w:pStyle w:val="P68B1DB1-Normal40"/>
              <w:spacing w:after="0"/>
              <w:jc w:val="center"/>
              <w:rPr>
                <w:noProof/>
                <w:szCs w:val="22"/>
              </w:rPr>
            </w:pPr>
            <w:r>
              <w:rPr>
                <w:noProof/>
              </w:rPr>
              <w:t>189</w:t>
            </w:r>
          </w:p>
        </w:tc>
        <w:tc>
          <w:tcPr>
            <w:tcW w:w="3402" w:type="dxa"/>
            <w:shd w:val="clear" w:color="auto" w:fill="EAF1DD" w:themeFill="accent3" w:themeFillTint="33"/>
          </w:tcPr>
          <w:p w14:paraId="6BB16BAC" w14:textId="36A41E16" w:rsidR="00F53E3A" w:rsidRDefault="0036255F">
            <w:pPr>
              <w:pStyle w:val="P68B1DB1-Normal39"/>
              <w:spacing w:after="0"/>
              <w:jc w:val="both"/>
              <w:rPr>
                <w:noProof/>
                <w:szCs w:val="22"/>
              </w:rPr>
            </w:pPr>
            <w:r>
              <w:rPr>
                <w:noProof/>
              </w:rPr>
              <w:t xml:space="preserve">G.1.2. Sprijin pentru ocuparea forței de muncă orientat către client – G.1.2.2. Extinderea domeniului de aplicare și a diversității măsurilor de sprijinire a ocupării forței de muncă </w:t>
            </w:r>
          </w:p>
        </w:tc>
        <w:tc>
          <w:tcPr>
            <w:tcW w:w="1594" w:type="dxa"/>
            <w:shd w:val="clear" w:color="auto" w:fill="EAF1DD" w:themeFill="accent3" w:themeFillTint="33"/>
          </w:tcPr>
          <w:p w14:paraId="107C95E1" w14:textId="5122FBB9" w:rsidR="00F53E3A" w:rsidRDefault="0036255F">
            <w:pPr>
              <w:pStyle w:val="P68B1DB1-Normal39"/>
              <w:spacing w:after="0"/>
              <w:jc w:val="center"/>
              <w:rPr>
                <w:noProof/>
                <w:szCs w:val="22"/>
              </w:rPr>
            </w:pPr>
            <w:r>
              <w:rPr>
                <w:noProof/>
              </w:rPr>
              <w:t>Etapă</w:t>
            </w:r>
          </w:p>
        </w:tc>
        <w:tc>
          <w:tcPr>
            <w:tcW w:w="3579" w:type="dxa"/>
            <w:shd w:val="clear" w:color="auto" w:fill="EAF1DD" w:themeFill="accent3" w:themeFillTint="33"/>
          </w:tcPr>
          <w:p w14:paraId="168E9DE6" w14:textId="461FB7DB" w:rsidR="00F53E3A" w:rsidRDefault="0036255F">
            <w:pPr>
              <w:pStyle w:val="P68B1DB1-Normal43"/>
              <w:spacing w:after="0"/>
              <w:jc w:val="both"/>
              <w:rPr>
                <w:noProof/>
                <w:szCs w:val="22"/>
              </w:rPr>
            </w:pPr>
            <w:r>
              <w:rPr>
                <w:noProof/>
              </w:rPr>
              <w:t>Proiectul-pilot de sprijinire a antreprenoriatului</w:t>
            </w:r>
          </w:p>
        </w:tc>
      </w:tr>
      <w:tr w:rsidR="00F53E3A" w14:paraId="31D2892E" w14:textId="77777777">
        <w:trPr>
          <w:cantSplit/>
          <w:trHeight w:val="300"/>
        </w:trPr>
        <w:tc>
          <w:tcPr>
            <w:tcW w:w="1204" w:type="dxa"/>
            <w:shd w:val="clear" w:color="auto" w:fill="EAF1DD" w:themeFill="accent3" w:themeFillTint="33"/>
            <w:noWrap/>
            <w:vAlign w:val="center"/>
          </w:tcPr>
          <w:p w14:paraId="2AE60CC6" w14:textId="5E4663C4" w:rsidR="00F53E3A" w:rsidRDefault="0036255F">
            <w:pPr>
              <w:pStyle w:val="P68B1DB1-Normal40"/>
              <w:jc w:val="center"/>
              <w:rPr>
                <w:noProof/>
              </w:rPr>
            </w:pPr>
            <w:r>
              <w:rPr>
                <w:noProof/>
              </w:rPr>
              <w:t>190</w:t>
            </w:r>
          </w:p>
        </w:tc>
        <w:tc>
          <w:tcPr>
            <w:tcW w:w="3402" w:type="dxa"/>
            <w:shd w:val="clear" w:color="auto" w:fill="EAF1DD" w:themeFill="accent3" w:themeFillTint="33"/>
          </w:tcPr>
          <w:p w14:paraId="664AD04F" w14:textId="162C5A05" w:rsidR="00F53E3A" w:rsidRDefault="0036255F">
            <w:pPr>
              <w:pStyle w:val="P68B1DB1-Normal39"/>
              <w:spacing w:after="0"/>
              <w:jc w:val="both"/>
              <w:rPr>
                <w:noProof/>
                <w:color w:val="000000" w:themeColor="text1"/>
              </w:rPr>
            </w:pPr>
            <w:r>
              <w:rPr>
                <w:noProof/>
              </w:rPr>
              <w:t>G.1.2. Sprijin pentru ocuparea forței de muncă orientat către client – G.1.2.2. Extinderea domeniului de aplicare și a diversității măsurilor de sprijinire a ocupării forței de muncă</w:t>
            </w:r>
          </w:p>
        </w:tc>
        <w:tc>
          <w:tcPr>
            <w:tcW w:w="1594" w:type="dxa"/>
            <w:shd w:val="clear" w:color="auto" w:fill="EAF1DD" w:themeFill="accent3" w:themeFillTint="33"/>
          </w:tcPr>
          <w:p w14:paraId="0AEC0A6E" w14:textId="7015DE85" w:rsidR="00F53E3A" w:rsidRDefault="0036255F">
            <w:pPr>
              <w:pStyle w:val="P68B1DB1-Normal39"/>
              <w:jc w:val="center"/>
              <w:rPr>
                <w:noProof/>
              </w:rPr>
            </w:pPr>
            <w:r>
              <w:rPr>
                <w:noProof/>
              </w:rPr>
              <w:t>Etapă</w:t>
            </w:r>
          </w:p>
        </w:tc>
        <w:tc>
          <w:tcPr>
            <w:tcW w:w="3579" w:type="dxa"/>
            <w:shd w:val="clear" w:color="auto" w:fill="EAF1DD" w:themeFill="accent3" w:themeFillTint="33"/>
          </w:tcPr>
          <w:p w14:paraId="44321D81" w14:textId="5062E006" w:rsidR="00F53E3A" w:rsidRDefault="0036255F">
            <w:pPr>
              <w:pStyle w:val="P68B1DB1-Normal40"/>
              <w:spacing w:after="0"/>
              <w:jc w:val="both"/>
              <w:rPr>
                <w:rFonts w:eastAsia="Calibri" w:cs="Arial"/>
                <w:noProof/>
                <w:szCs w:val="22"/>
              </w:rPr>
            </w:pPr>
            <w:r>
              <w:rPr>
                <w:noProof/>
              </w:rPr>
              <w:t>Persoane care beneficiază de măsura subvenționată privind ocuparea forței de muncă</w:t>
            </w:r>
          </w:p>
        </w:tc>
      </w:tr>
      <w:tr w:rsidR="00F53E3A" w14:paraId="65CED727" w14:textId="77777777">
        <w:trPr>
          <w:cantSplit/>
          <w:trHeight w:val="300"/>
        </w:trPr>
        <w:tc>
          <w:tcPr>
            <w:tcW w:w="1204" w:type="dxa"/>
            <w:shd w:val="clear" w:color="auto" w:fill="EAF1DD" w:themeFill="accent3" w:themeFillTint="33"/>
            <w:noWrap/>
            <w:vAlign w:val="center"/>
          </w:tcPr>
          <w:p w14:paraId="3296EE08" w14:textId="49DD299F" w:rsidR="00F53E3A" w:rsidRDefault="0036255F">
            <w:pPr>
              <w:pStyle w:val="P68B1DB1-Normal40"/>
              <w:spacing w:after="0"/>
              <w:jc w:val="center"/>
              <w:rPr>
                <w:noProof/>
                <w:szCs w:val="22"/>
              </w:rPr>
            </w:pPr>
            <w:r>
              <w:rPr>
                <w:noProof/>
              </w:rPr>
              <w:t>191</w:t>
            </w:r>
          </w:p>
        </w:tc>
        <w:tc>
          <w:tcPr>
            <w:tcW w:w="3402" w:type="dxa"/>
            <w:shd w:val="clear" w:color="auto" w:fill="EAF1DD" w:themeFill="accent3" w:themeFillTint="33"/>
          </w:tcPr>
          <w:p w14:paraId="63367329" w14:textId="4492832A" w:rsidR="00F53E3A" w:rsidRDefault="0036255F">
            <w:pPr>
              <w:pStyle w:val="P68B1DB1-Normal39"/>
              <w:spacing w:after="0"/>
              <w:jc w:val="both"/>
              <w:rPr>
                <w:noProof/>
                <w:szCs w:val="22"/>
              </w:rPr>
            </w:pPr>
            <w:r>
              <w:rPr>
                <w:noProof/>
              </w:rPr>
              <w:t xml:space="preserve">G.1.2. Sprijin pentru ocuparea forței de muncă orientat către client – G.1.2.2. Extinderea domeniului de aplicare și a diversității măsurilor de sprijinire a ocupării forței de muncă </w:t>
            </w:r>
          </w:p>
        </w:tc>
        <w:tc>
          <w:tcPr>
            <w:tcW w:w="1594" w:type="dxa"/>
            <w:shd w:val="clear" w:color="auto" w:fill="EAF1DD" w:themeFill="accent3" w:themeFillTint="33"/>
          </w:tcPr>
          <w:p w14:paraId="3AECC5F5" w14:textId="6DFCDA35" w:rsidR="00F53E3A" w:rsidRDefault="0036255F">
            <w:pPr>
              <w:pStyle w:val="P68B1DB1-Normal39"/>
              <w:spacing w:after="0"/>
              <w:jc w:val="center"/>
              <w:rPr>
                <w:noProof/>
                <w:szCs w:val="22"/>
              </w:rPr>
            </w:pPr>
            <w:r>
              <w:rPr>
                <w:noProof/>
              </w:rPr>
              <w:t>Țintă</w:t>
            </w:r>
          </w:p>
        </w:tc>
        <w:tc>
          <w:tcPr>
            <w:tcW w:w="3579" w:type="dxa"/>
            <w:shd w:val="clear" w:color="auto" w:fill="EAF1DD" w:themeFill="accent3" w:themeFillTint="33"/>
          </w:tcPr>
          <w:p w14:paraId="28732E95" w14:textId="09622451" w:rsidR="00F53E3A" w:rsidRDefault="0036255F">
            <w:pPr>
              <w:pStyle w:val="P68B1DB1-Normal43"/>
              <w:spacing w:after="0"/>
              <w:jc w:val="both"/>
              <w:rPr>
                <w:noProof/>
                <w:szCs w:val="22"/>
              </w:rPr>
            </w:pPr>
            <w:r>
              <w:rPr>
                <w:noProof/>
              </w:rPr>
              <w:t>Cursuri de formare pentru dobândirea de calificări și/sau competențe digitale și de altă natură</w:t>
            </w:r>
          </w:p>
        </w:tc>
      </w:tr>
      <w:tr w:rsidR="00F53E3A" w14:paraId="50EC89C3" w14:textId="77777777">
        <w:trPr>
          <w:cantSplit/>
          <w:trHeight w:val="300"/>
        </w:trPr>
        <w:tc>
          <w:tcPr>
            <w:tcW w:w="1204" w:type="dxa"/>
            <w:shd w:val="clear" w:color="auto" w:fill="EAF1DD" w:themeFill="accent3" w:themeFillTint="33"/>
            <w:noWrap/>
            <w:vAlign w:val="center"/>
          </w:tcPr>
          <w:p w14:paraId="7663C793" w14:textId="1517DED7" w:rsidR="00F53E3A" w:rsidRDefault="0036255F">
            <w:pPr>
              <w:pStyle w:val="P68B1DB1-Normal39"/>
              <w:spacing w:after="0"/>
              <w:jc w:val="center"/>
              <w:rPr>
                <w:noProof/>
                <w:szCs w:val="22"/>
              </w:rPr>
            </w:pPr>
            <w:r>
              <w:rPr>
                <w:noProof/>
              </w:rPr>
              <w:t>195</w:t>
            </w:r>
          </w:p>
        </w:tc>
        <w:tc>
          <w:tcPr>
            <w:tcW w:w="3402" w:type="dxa"/>
            <w:shd w:val="clear" w:color="auto" w:fill="EAF1DD" w:themeFill="accent3" w:themeFillTint="33"/>
          </w:tcPr>
          <w:p w14:paraId="6CEC4C75" w14:textId="4FCCA669" w:rsidR="00F53E3A" w:rsidRDefault="0036255F">
            <w:pPr>
              <w:pStyle w:val="P68B1DB1-Normal39"/>
              <w:spacing w:after="0"/>
              <w:jc w:val="both"/>
              <w:rPr>
                <w:noProof/>
                <w:szCs w:val="22"/>
              </w:rPr>
            </w:pPr>
            <w:r>
              <w:rPr>
                <w:noProof/>
              </w:rPr>
              <w:t>H.1.1 Accelerarea renovării clădirilor – H.1.1.1. Actualizarea pachetelor și a standardelor de renovare</w:t>
            </w:r>
          </w:p>
        </w:tc>
        <w:tc>
          <w:tcPr>
            <w:tcW w:w="1594" w:type="dxa"/>
            <w:shd w:val="clear" w:color="auto" w:fill="EAF1DD" w:themeFill="accent3" w:themeFillTint="33"/>
          </w:tcPr>
          <w:p w14:paraId="403E20A9" w14:textId="7918EED8" w:rsidR="00F53E3A" w:rsidRDefault="0036255F">
            <w:pPr>
              <w:pStyle w:val="P68B1DB1-Normal39"/>
              <w:spacing w:after="0"/>
              <w:jc w:val="center"/>
              <w:rPr>
                <w:noProof/>
                <w:szCs w:val="22"/>
              </w:rPr>
            </w:pPr>
            <w:r>
              <w:rPr>
                <w:noProof/>
              </w:rPr>
              <w:t>Etapă</w:t>
            </w:r>
          </w:p>
        </w:tc>
        <w:tc>
          <w:tcPr>
            <w:tcW w:w="3579" w:type="dxa"/>
            <w:shd w:val="clear" w:color="auto" w:fill="EAF1DD" w:themeFill="accent3" w:themeFillTint="33"/>
          </w:tcPr>
          <w:p w14:paraId="2A77CC7C" w14:textId="4C8FD977" w:rsidR="00F53E3A" w:rsidRDefault="0036255F">
            <w:pPr>
              <w:pStyle w:val="P68B1DB1-Normal39"/>
              <w:spacing w:after="0"/>
              <w:jc w:val="both"/>
              <w:rPr>
                <w:noProof/>
                <w:szCs w:val="22"/>
              </w:rPr>
            </w:pPr>
            <w:r>
              <w:rPr>
                <w:noProof/>
              </w:rPr>
              <w:t>Lucrări pregătitoare pentru renovarea panourilor verzi din clădirile demonstrative</w:t>
            </w:r>
          </w:p>
        </w:tc>
      </w:tr>
      <w:tr w:rsidR="00F53E3A" w14:paraId="4CDBC550" w14:textId="77777777">
        <w:trPr>
          <w:cantSplit/>
          <w:trHeight w:val="300"/>
        </w:trPr>
        <w:tc>
          <w:tcPr>
            <w:tcW w:w="1204" w:type="dxa"/>
            <w:shd w:val="clear" w:color="auto" w:fill="EAF1DD" w:themeFill="accent3" w:themeFillTint="33"/>
            <w:noWrap/>
            <w:vAlign w:val="center"/>
          </w:tcPr>
          <w:p w14:paraId="1B10C0F6" w14:textId="459693F4" w:rsidR="00F53E3A" w:rsidRDefault="0036255F">
            <w:pPr>
              <w:pStyle w:val="P68B1DB1-Normal40"/>
              <w:spacing w:after="0"/>
              <w:jc w:val="center"/>
              <w:rPr>
                <w:noProof/>
                <w:szCs w:val="22"/>
              </w:rPr>
            </w:pPr>
            <w:r>
              <w:rPr>
                <w:noProof/>
              </w:rPr>
              <w:t>196</w:t>
            </w:r>
          </w:p>
        </w:tc>
        <w:tc>
          <w:tcPr>
            <w:tcW w:w="3402" w:type="dxa"/>
            <w:shd w:val="clear" w:color="auto" w:fill="EAF1DD" w:themeFill="accent3" w:themeFillTint="33"/>
          </w:tcPr>
          <w:p w14:paraId="3CB6DCCB" w14:textId="77777777" w:rsidR="00F53E3A" w:rsidRDefault="0036255F">
            <w:pPr>
              <w:pStyle w:val="P68B1DB1-Normal40"/>
              <w:spacing w:after="0"/>
              <w:jc w:val="both"/>
              <w:rPr>
                <w:noProof/>
                <w:szCs w:val="22"/>
              </w:rPr>
            </w:pPr>
            <w:r>
              <w:rPr>
                <w:noProof/>
              </w:rPr>
              <w:t xml:space="preserve">H.1.1 Accelerarea renovării clădirilor </w:t>
            </w:r>
          </w:p>
          <w:p w14:paraId="6CC758C8" w14:textId="4E4139D4" w:rsidR="00F53E3A" w:rsidRDefault="0036255F">
            <w:pPr>
              <w:pStyle w:val="P68B1DB1-Normal40"/>
              <w:spacing w:after="0"/>
              <w:jc w:val="both"/>
              <w:rPr>
                <w:noProof/>
                <w:color w:val="000000"/>
                <w:szCs w:val="22"/>
              </w:rPr>
            </w:pPr>
            <w:r>
              <w:rPr>
                <w:noProof/>
              </w:rPr>
              <w:t>H.1.1.2. Sprijin pentru renovarea clădirilor (extins)</w:t>
            </w:r>
          </w:p>
        </w:tc>
        <w:tc>
          <w:tcPr>
            <w:tcW w:w="1594" w:type="dxa"/>
            <w:shd w:val="clear" w:color="auto" w:fill="EAF1DD" w:themeFill="accent3" w:themeFillTint="33"/>
          </w:tcPr>
          <w:p w14:paraId="36A5F26F" w14:textId="37544AF0" w:rsidR="00F53E3A" w:rsidRDefault="0036255F">
            <w:pPr>
              <w:pStyle w:val="P68B1DB1-Normal40"/>
              <w:spacing w:after="0"/>
              <w:jc w:val="center"/>
              <w:rPr>
                <w:noProof/>
                <w:color w:val="000000"/>
                <w:szCs w:val="22"/>
              </w:rPr>
            </w:pPr>
            <w:r>
              <w:rPr>
                <w:noProof/>
              </w:rPr>
              <w:t>Țintă</w:t>
            </w:r>
          </w:p>
        </w:tc>
        <w:tc>
          <w:tcPr>
            <w:tcW w:w="3579" w:type="dxa"/>
            <w:shd w:val="clear" w:color="auto" w:fill="EAF1DD" w:themeFill="accent3" w:themeFillTint="33"/>
          </w:tcPr>
          <w:p w14:paraId="175256E1" w14:textId="37CBB99F" w:rsidR="00F53E3A" w:rsidRDefault="0036255F">
            <w:pPr>
              <w:pStyle w:val="P68B1DB1-Normal40"/>
              <w:spacing w:after="0"/>
              <w:jc w:val="both"/>
              <w:rPr>
                <w:noProof/>
                <w:sz w:val="20"/>
              </w:rPr>
            </w:pPr>
            <w:r>
              <w:rPr>
                <w:noProof/>
              </w:rPr>
              <w:t>Suprafața clădirilor renovate cu mai multe apartamente</w:t>
            </w:r>
          </w:p>
        </w:tc>
      </w:tr>
      <w:tr w:rsidR="00F53E3A" w14:paraId="51BD8FB1" w14:textId="77777777">
        <w:trPr>
          <w:cantSplit/>
          <w:trHeight w:val="300"/>
        </w:trPr>
        <w:tc>
          <w:tcPr>
            <w:tcW w:w="1204" w:type="dxa"/>
            <w:shd w:val="clear" w:color="auto" w:fill="EAF1DD" w:themeFill="accent3" w:themeFillTint="33"/>
            <w:noWrap/>
            <w:vAlign w:val="center"/>
          </w:tcPr>
          <w:p w14:paraId="32C43495" w14:textId="1D9CD9D6" w:rsidR="00F53E3A" w:rsidRDefault="0036255F">
            <w:pPr>
              <w:pStyle w:val="P68B1DB1-Normal40"/>
              <w:spacing w:after="0"/>
              <w:jc w:val="center"/>
              <w:rPr>
                <w:noProof/>
                <w:szCs w:val="22"/>
              </w:rPr>
            </w:pPr>
            <w:r>
              <w:rPr>
                <w:noProof/>
              </w:rPr>
              <w:t>197</w:t>
            </w:r>
          </w:p>
        </w:tc>
        <w:tc>
          <w:tcPr>
            <w:tcW w:w="3402" w:type="dxa"/>
            <w:shd w:val="clear" w:color="auto" w:fill="EAF1DD" w:themeFill="accent3" w:themeFillTint="33"/>
          </w:tcPr>
          <w:p w14:paraId="2C21F832" w14:textId="2A0D8F56" w:rsidR="00F53E3A" w:rsidRDefault="0036255F">
            <w:pPr>
              <w:pStyle w:val="P68B1DB1-Normal40"/>
              <w:spacing w:after="0"/>
              <w:jc w:val="both"/>
              <w:rPr>
                <w:noProof/>
                <w:color w:val="000000"/>
              </w:rPr>
            </w:pPr>
            <w:r>
              <w:rPr>
                <w:noProof/>
              </w:rPr>
              <w:t>H.1.2. Sprijin pentru achiziționarea de echipamente curate pentru apele interioare</w:t>
            </w:r>
          </w:p>
        </w:tc>
        <w:tc>
          <w:tcPr>
            <w:tcW w:w="1594" w:type="dxa"/>
            <w:shd w:val="clear" w:color="auto" w:fill="EAF1DD" w:themeFill="accent3" w:themeFillTint="33"/>
          </w:tcPr>
          <w:p w14:paraId="2E3B5541" w14:textId="1605C495" w:rsidR="00F53E3A" w:rsidRDefault="0036255F">
            <w:pPr>
              <w:pStyle w:val="P68B1DB1-Normal40"/>
              <w:spacing w:after="0"/>
              <w:jc w:val="center"/>
              <w:rPr>
                <w:noProof/>
                <w:color w:val="000000"/>
                <w:szCs w:val="22"/>
              </w:rPr>
            </w:pPr>
            <w:r>
              <w:rPr>
                <w:noProof/>
              </w:rPr>
              <w:t>Etapă</w:t>
            </w:r>
          </w:p>
        </w:tc>
        <w:tc>
          <w:tcPr>
            <w:tcW w:w="3579" w:type="dxa"/>
            <w:shd w:val="clear" w:color="auto" w:fill="EAF1DD" w:themeFill="accent3" w:themeFillTint="33"/>
          </w:tcPr>
          <w:p w14:paraId="35427635" w14:textId="7B9C1F39" w:rsidR="00F53E3A" w:rsidRDefault="0036255F">
            <w:pPr>
              <w:pStyle w:val="P68B1DB1-Normal40"/>
              <w:spacing w:after="0"/>
              <w:jc w:val="both"/>
              <w:rPr>
                <w:noProof/>
                <w:sz w:val="20"/>
              </w:rPr>
            </w:pPr>
            <w:r>
              <w:rPr>
                <w:noProof/>
              </w:rPr>
              <w:t>Livrarea unei macarale electrice</w:t>
            </w:r>
          </w:p>
        </w:tc>
      </w:tr>
      <w:tr w:rsidR="00F53E3A" w14:paraId="0A7BCA18" w14:textId="77777777">
        <w:trPr>
          <w:cantSplit/>
          <w:trHeight w:val="300"/>
        </w:trPr>
        <w:tc>
          <w:tcPr>
            <w:tcW w:w="1204" w:type="dxa"/>
            <w:shd w:val="clear" w:color="auto" w:fill="EAF1DD" w:themeFill="accent3" w:themeFillTint="33"/>
            <w:noWrap/>
            <w:vAlign w:val="center"/>
          </w:tcPr>
          <w:p w14:paraId="7A1CDB00" w14:textId="4A89ED41" w:rsidR="00F53E3A" w:rsidRDefault="0036255F">
            <w:pPr>
              <w:pStyle w:val="P68B1DB1-Normal39"/>
              <w:spacing w:after="0"/>
              <w:jc w:val="center"/>
              <w:rPr>
                <w:noProof/>
                <w:color w:val="000000" w:themeColor="text1"/>
              </w:rPr>
            </w:pPr>
            <w:r>
              <w:rPr>
                <w:noProof/>
              </w:rPr>
              <w:t>203</w:t>
            </w:r>
          </w:p>
        </w:tc>
        <w:tc>
          <w:tcPr>
            <w:tcW w:w="3402" w:type="dxa"/>
            <w:shd w:val="clear" w:color="auto" w:fill="EAF1DD" w:themeFill="accent3" w:themeFillTint="33"/>
          </w:tcPr>
          <w:p w14:paraId="7E697E90" w14:textId="77777777" w:rsidR="00F53E3A" w:rsidRDefault="0036255F">
            <w:pPr>
              <w:pStyle w:val="P68B1DB1-Normal39"/>
              <w:spacing w:after="0"/>
              <w:jc w:val="both"/>
              <w:rPr>
                <w:noProof/>
                <w:szCs w:val="22"/>
              </w:rPr>
            </w:pPr>
            <w:r>
              <w:rPr>
                <w:noProof/>
              </w:rPr>
              <w:t>H.1.3. Creșterea capacității de producție din SRE</w:t>
            </w:r>
          </w:p>
          <w:p w14:paraId="400A82D7" w14:textId="6C8A5596" w:rsidR="00F53E3A" w:rsidRDefault="0036255F">
            <w:pPr>
              <w:pStyle w:val="P68B1DB1-Normal39"/>
              <w:spacing w:after="0"/>
              <w:jc w:val="both"/>
              <w:rPr>
                <w:noProof/>
              </w:rPr>
            </w:pPr>
            <w:r>
              <w:rPr>
                <w:noProof/>
              </w:rPr>
              <w:t>H.1.3.2. Sprijin pentru construirea de centrale SRE (energie solară)</w:t>
            </w:r>
          </w:p>
        </w:tc>
        <w:tc>
          <w:tcPr>
            <w:tcW w:w="1594" w:type="dxa"/>
            <w:shd w:val="clear" w:color="auto" w:fill="EAF1DD" w:themeFill="accent3" w:themeFillTint="33"/>
          </w:tcPr>
          <w:p w14:paraId="6E4A450C" w14:textId="7B3A75B6" w:rsidR="00F53E3A" w:rsidRDefault="0036255F">
            <w:pPr>
              <w:pStyle w:val="P68B1DB1-Normal39"/>
              <w:spacing w:after="0"/>
              <w:jc w:val="center"/>
              <w:rPr>
                <w:noProof/>
              </w:rPr>
            </w:pPr>
            <w:r>
              <w:rPr>
                <w:noProof/>
              </w:rPr>
              <w:t>Țintă</w:t>
            </w:r>
          </w:p>
        </w:tc>
        <w:tc>
          <w:tcPr>
            <w:tcW w:w="3579" w:type="dxa"/>
            <w:shd w:val="clear" w:color="auto" w:fill="EAF1DD" w:themeFill="accent3" w:themeFillTint="33"/>
          </w:tcPr>
          <w:p w14:paraId="3247E07C" w14:textId="2F66C897" w:rsidR="00F53E3A" w:rsidRDefault="0036255F">
            <w:pPr>
              <w:pStyle w:val="P68B1DB1-Normal39"/>
              <w:spacing w:after="0"/>
              <w:jc w:val="both"/>
              <w:rPr>
                <w:noProof/>
              </w:rPr>
            </w:pPr>
            <w:r>
              <w:rPr>
                <w:noProof/>
              </w:rPr>
              <w:t>Capacitatea solară fotovoltaică instalată și conectată la rețea</w:t>
            </w:r>
          </w:p>
        </w:tc>
      </w:tr>
      <w:tr w:rsidR="00F53E3A" w14:paraId="25A27726" w14:textId="77777777">
        <w:trPr>
          <w:cantSplit/>
          <w:trHeight w:val="300"/>
        </w:trPr>
        <w:tc>
          <w:tcPr>
            <w:tcW w:w="1204" w:type="dxa"/>
            <w:shd w:val="clear" w:color="auto" w:fill="EAF1DD" w:themeFill="accent3" w:themeFillTint="33"/>
            <w:noWrap/>
          </w:tcPr>
          <w:p w14:paraId="4A04B46A" w14:textId="77777777" w:rsidR="00F53E3A" w:rsidRDefault="00F53E3A">
            <w:pPr>
              <w:spacing w:after="0"/>
              <w:jc w:val="center"/>
              <w:rPr>
                <w:rFonts w:ascii="Times New Roman" w:eastAsia="Times New Roman" w:hAnsi="Times New Roman" w:cs="Times New Roman"/>
                <w:noProof/>
                <w:szCs w:val="22"/>
              </w:rPr>
            </w:pPr>
          </w:p>
        </w:tc>
        <w:tc>
          <w:tcPr>
            <w:tcW w:w="3402" w:type="dxa"/>
            <w:shd w:val="clear" w:color="auto" w:fill="EAF1DD" w:themeFill="accent3" w:themeFillTint="33"/>
          </w:tcPr>
          <w:p w14:paraId="318A1B1A" w14:textId="77777777" w:rsidR="00F53E3A" w:rsidRDefault="00F53E3A">
            <w:pPr>
              <w:spacing w:after="0"/>
              <w:jc w:val="both"/>
              <w:rPr>
                <w:rFonts w:ascii="Times New Roman" w:eastAsia="Times New Roman" w:hAnsi="Times New Roman" w:cs="Times New Roman"/>
                <w:noProof/>
                <w:color w:val="000000"/>
                <w:szCs w:val="22"/>
              </w:rPr>
            </w:pPr>
          </w:p>
        </w:tc>
        <w:tc>
          <w:tcPr>
            <w:tcW w:w="1594" w:type="dxa"/>
            <w:shd w:val="clear" w:color="auto" w:fill="EAF1DD" w:themeFill="accent3" w:themeFillTint="33"/>
            <w:vAlign w:val="center"/>
          </w:tcPr>
          <w:p w14:paraId="1A3E910F" w14:textId="77777777" w:rsidR="00F53E3A" w:rsidRDefault="0036255F">
            <w:pPr>
              <w:pStyle w:val="P68B1DB1-Normal40"/>
              <w:spacing w:after="0"/>
              <w:jc w:val="center"/>
              <w:rPr>
                <w:noProof/>
                <w:color w:val="000000"/>
                <w:szCs w:val="22"/>
              </w:rPr>
            </w:pPr>
            <w:r>
              <w:rPr>
                <w:noProof/>
              </w:rPr>
              <w:t>Cuantumul tranșei</w:t>
            </w:r>
          </w:p>
        </w:tc>
        <w:tc>
          <w:tcPr>
            <w:tcW w:w="3579" w:type="dxa"/>
            <w:shd w:val="clear" w:color="auto" w:fill="EAF1DD" w:themeFill="accent3" w:themeFillTint="33"/>
            <w:vAlign w:val="center"/>
          </w:tcPr>
          <w:p w14:paraId="6D4FB367" w14:textId="3B1AE260" w:rsidR="00F53E3A" w:rsidRDefault="0036255F">
            <w:pPr>
              <w:spacing w:after="0"/>
              <w:jc w:val="both"/>
              <w:rPr>
                <w:rFonts w:ascii="Times New Roman" w:eastAsia="Times New Roman" w:hAnsi="Times New Roman" w:cs="Times New Roman"/>
                <w:noProof/>
                <w:color w:val="000000" w:themeColor="text1"/>
              </w:rPr>
            </w:pPr>
            <w:r>
              <w:rPr>
                <w:rFonts w:ascii="Times New Roman" w:eastAsia="Times New Roman" w:hAnsi="Times New Roman" w:cs="Times New Roman"/>
                <w:noProof/>
                <w:color w:val="000000" w:themeColor="text1"/>
              </w:rPr>
              <w:t>650</w:t>
            </w:r>
            <w:r>
              <w:rPr>
                <w:rFonts w:ascii="Times New Roman" w:hAnsi="Times New Roman"/>
                <w:noProof/>
                <w:sz w:val="20"/>
              </w:rPr>
              <w:t xml:space="preserve"> </w:t>
            </w:r>
            <w:r>
              <w:rPr>
                <w:rFonts w:ascii="Times New Roman" w:eastAsia="Times New Roman" w:hAnsi="Times New Roman" w:cs="Times New Roman"/>
                <w:noProof/>
                <w:color w:val="000000" w:themeColor="text1"/>
              </w:rPr>
              <w:t>667</w:t>
            </w:r>
            <w:r>
              <w:rPr>
                <w:rFonts w:ascii="Times New Roman" w:hAnsi="Times New Roman"/>
                <w:noProof/>
                <w:sz w:val="20"/>
              </w:rPr>
              <w:t xml:space="preserve"> </w:t>
            </w:r>
            <w:r>
              <w:rPr>
                <w:rFonts w:ascii="Times New Roman" w:eastAsia="Times New Roman" w:hAnsi="Times New Roman" w:cs="Times New Roman"/>
                <w:noProof/>
                <w:color w:val="000000" w:themeColor="text1"/>
              </w:rPr>
              <w:t>416 MIL.</w:t>
            </w:r>
          </w:p>
        </w:tc>
      </w:tr>
    </w:tbl>
    <w:p w14:paraId="0B548A4A" w14:textId="77777777" w:rsidR="00F53E3A" w:rsidRDefault="0036255F">
      <w:pPr>
        <w:pStyle w:val="P68B1DB1-Normal35"/>
        <w:numPr>
          <w:ilvl w:val="0"/>
          <w:numId w:val="39"/>
        </w:numPr>
        <w:spacing w:before="360" w:after="360" w:line="240" w:lineRule="auto"/>
        <w:jc w:val="both"/>
        <w:rPr>
          <w:noProof/>
        </w:rPr>
      </w:pPr>
      <w:r>
        <w:rPr>
          <w:noProof/>
        </w:rPr>
        <w:t>Împrumut</w:t>
      </w:r>
    </w:p>
    <w:p w14:paraId="4549EA43" w14:textId="77777777" w:rsidR="00F53E3A" w:rsidRDefault="0036255F">
      <w:pPr>
        <w:pStyle w:val="P68B1DB1-Normal20"/>
        <w:spacing w:line="240" w:lineRule="auto"/>
        <w:textAlignment w:val="baseline"/>
        <w:rPr>
          <w:noProof/>
          <w:szCs w:val="24"/>
        </w:rPr>
      </w:pPr>
      <w:r>
        <w:rPr>
          <w:noProof/>
        </w:rPr>
        <w:t>Tranșele menționate la articolul 3 alineatul (2) se organizează după cum urmează:</w:t>
      </w:r>
    </w:p>
    <w:p w14:paraId="3FACF1B5" w14:textId="06A4A0FA" w:rsidR="00F53E3A" w:rsidRDefault="0036255F">
      <w:pPr>
        <w:pStyle w:val="P68B1DB1-ListParagraph37"/>
        <w:keepNext/>
        <w:keepLines/>
        <w:numPr>
          <w:ilvl w:val="1"/>
          <w:numId w:val="42"/>
        </w:numPr>
        <w:spacing w:before="480" w:line="240" w:lineRule="auto"/>
        <w:jc w:val="both"/>
        <w:rPr>
          <w:noProof/>
        </w:rPr>
      </w:pPr>
      <w:r>
        <w:rPr>
          <w:noProof/>
        </w:rPr>
        <w:t>Prima tranșă (sprijin sub formă de împrumut):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70" w:type="dxa"/>
          <w:bottom w:w="15" w:type="dxa"/>
          <w:right w:w="70" w:type="dxa"/>
        </w:tblCellMar>
        <w:tblLook w:val="04A0" w:firstRow="1" w:lastRow="0" w:firstColumn="1" w:lastColumn="0" w:noHBand="0" w:noVBand="1"/>
      </w:tblPr>
      <w:tblGrid>
        <w:gridCol w:w="1298"/>
        <w:gridCol w:w="3097"/>
        <w:gridCol w:w="1629"/>
        <w:gridCol w:w="3755"/>
      </w:tblGrid>
      <w:tr w:rsidR="00F53E3A" w14:paraId="2CB5FC0F" w14:textId="77777777">
        <w:trPr>
          <w:cantSplit/>
          <w:trHeight w:val="491"/>
          <w:tblHeader/>
        </w:trPr>
        <w:tc>
          <w:tcPr>
            <w:tcW w:w="1298" w:type="dxa"/>
            <w:shd w:val="clear" w:color="000000" w:fill="BDD7EE"/>
            <w:vAlign w:val="center"/>
          </w:tcPr>
          <w:p w14:paraId="68C19474" w14:textId="77777777" w:rsidR="00F53E3A" w:rsidRDefault="0036255F">
            <w:pPr>
              <w:pStyle w:val="P68B1DB1-Normal38"/>
              <w:spacing w:after="0"/>
              <w:jc w:val="center"/>
              <w:rPr>
                <w:bCs/>
                <w:noProof/>
                <w:szCs w:val="22"/>
              </w:rPr>
            </w:pPr>
            <w:r>
              <w:rPr>
                <w:noProof/>
              </w:rPr>
              <w:t>Număr secvențial</w:t>
            </w:r>
          </w:p>
        </w:tc>
        <w:tc>
          <w:tcPr>
            <w:tcW w:w="3097" w:type="dxa"/>
            <w:shd w:val="clear" w:color="000000" w:fill="BDD7EE"/>
            <w:vAlign w:val="center"/>
          </w:tcPr>
          <w:p w14:paraId="65690EF7" w14:textId="77777777" w:rsidR="00F53E3A" w:rsidRDefault="0036255F">
            <w:pPr>
              <w:pStyle w:val="P68B1DB1-Normal38"/>
              <w:spacing w:after="0"/>
              <w:jc w:val="center"/>
              <w:rPr>
                <w:bCs/>
                <w:noProof/>
                <w:szCs w:val="22"/>
              </w:rPr>
            </w:pPr>
            <w:r>
              <w:rPr>
                <w:noProof/>
              </w:rPr>
              <w:t xml:space="preserve">Măsură conexă </w:t>
            </w:r>
            <w:r>
              <w:rPr>
                <w:noProof/>
              </w:rPr>
              <w:br/>
              <w:t>(Reformă sau investiție)</w:t>
            </w:r>
          </w:p>
        </w:tc>
        <w:tc>
          <w:tcPr>
            <w:tcW w:w="1629" w:type="dxa"/>
            <w:shd w:val="clear" w:color="000000" w:fill="BDD7EE"/>
            <w:vAlign w:val="center"/>
          </w:tcPr>
          <w:p w14:paraId="0A6FF7FE" w14:textId="6EAB1D89" w:rsidR="00F53E3A" w:rsidRDefault="0036255F">
            <w:pPr>
              <w:pStyle w:val="P68B1DB1-Normal38"/>
              <w:spacing w:after="0"/>
              <w:jc w:val="center"/>
              <w:rPr>
                <w:bCs/>
                <w:noProof/>
                <w:szCs w:val="22"/>
              </w:rPr>
            </w:pPr>
            <w:r>
              <w:rPr>
                <w:noProof/>
              </w:rPr>
              <w:t>Etapă/Obiectiv</w:t>
            </w:r>
          </w:p>
        </w:tc>
        <w:tc>
          <w:tcPr>
            <w:tcW w:w="3755" w:type="dxa"/>
            <w:shd w:val="clear" w:color="000000" w:fill="BDD7EE"/>
            <w:vAlign w:val="center"/>
          </w:tcPr>
          <w:p w14:paraId="04899216" w14:textId="77777777" w:rsidR="00F53E3A" w:rsidRDefault="0036255F">
            <w:pPr>
              <w:pStyle w:val="P68B1DB1-Normal38"/>
              <w:spacing w:after="0"/>
              <w:jc w:val="center"/>
              <w:rPr>
                <w:bCs/>
                <w:noProof/>
                <w:szCs w:val="22"/>
              </w:rPr>
            </w:pPr>
            <w:r>
              <w:rPr>
                <w:noProof/>
              </w:rPr>
              <w:t>Nume</w:t>
            </w:r>
          </w:p>
        </w:tc>
      </w:tr>
      <w:tr w:rsidR="00F53E3A" w14:paraId="38E610D9" w14:textId="77777777">
        <w:trPr>
          <w:cantSplit/>
        </w:trPr>
        <w:tc>
          <w:tcPr>
            <w:tcW w:w="1298" w:type="dxa"/>
            <w:shd w:val="clear" w:color="auto" w:fill="EAF1DD"/>
            <w:noWrap/>
            <w:vAlign w:val="center"/>
          </w:tcPr>
          <w:p w14:paraId="5C93896A" w14:textId="254F6D67" w:rsidR="00F53E3A" w:rsidRDefault="0036255F">
            <w:pPr>
              <w:pStyle w:val="P68B1DB1-Normal39"/>
              <w:spacing w:after="0"/>
              <w:jc w:val="center"/>
              <w:rPr>
                <w:noProof/>
                <w:szCs w:val="22"/>
              </w:rPr>
            </w:pPr>
            <w:r>
              <w:rPr>
                <w:noProof/>
              </w:rPr>
              <w:t>58a</w:t>
            </w:r>
          </w:p>
        </w:tc>
        <w:tc>
          <w:tcPr>
            <w:tcW w:w="3097" w:type="dxa"/>
            <w:shd w:val="clear" w:color="auto" w:fill="EAF1DD"/>
          </w:tcPr>
          <w:p w14:paraId="230B89AA" w14:textId="77777777" w:rsidR="00F53E3A" w:rsidRDefault="0036255F">
            <w:pPr>
              <w:pStyle w:val="P68B1DB1-Normal39"/>
              <w:spacing w:after="0"/>
              <w:jc w:val="both"/>
              <w:rPr>
                <w:noProof/>
                <w:szCs w:val="22"/>
              </w:rPr>
            </w:pPr>
            <w:r>
              <w:rPr>
                <w:noProof/>
              </w:rPr>
              <w:t xml:space="preserve">B.3.1 Dezvoltarea de produse financiare ecologice </w:t>
            </w:r>
          </w:p>
        </w:tc>
        <w:tc>
          <w:tcPr>
            <w:tcW w:w="1629" w:type="dxa"/>
            <w:shd w:val="clear" w:color="auto" w:fill="EAF1DD"/>
          </w:tcPr>
          <w:p w14:paraId="0CAD16A7" w14:textId="7C392B41" w:rsidR="00F53E3A" w:rsidRDefault="0036255F">
            <w:pPr>
              <w:pStyle w:val="P68B1DB1-Normal39"/>
              <w:spacing w:after="0"/>
              <w:jc w:val="center"/>
              <w:rPr>
                <w:noProof/>
                <w:szCs w:val="22"/>
              </w:rPr>
            </w:pPr>
            <w:r>
              <w:rPr>
                <w:noProof/>
              </w:rPr>
              <w:t>Etapă</w:t>
            </w:r>
          </w:p>
        </w:tc>
        <w:tc>
          <w:tcPr>
            <w:tcW w:w="3755" w:type="dxa"/>
            <w:shd w:val="clear" w:color="auto" w:fill="EAF1DD"/>
          </w:tcPr>
          <w:p w14:paraId="674ABA9D" w14:textId="77777777" w:rsidR="00F53E3A" w:rsidRDefault="0036255F">
            <w:pPr>
              <w:pStyle w:val="P68B1DB1-Normal39"/>
              <w:spacing w:after="0"/>
              <w:jc w:val="both"/>
              <w:rPr>
                <w:noProof/>
                <w:szCs w:val="22"/>
              </w:rPr>
            </w:pPr>
            <w:r>
              <w:rPr>
                <w:noProof/>
              </w:rPr>
              <w:t xml:space="preserve">Aprobarea Planului de acțiune privind finanțarea ecologică </w:t>
            </w:r>
          </w:p>
        </w:tc>
      </w:tr>
      <w:tr w:rsidR="00F53E3A" w14:paraId="6AE942D8" w14:textId="77777777">
        <w:trPr>
          <w:cantSplit/>
        </w:trPr>
        <w:tc>
          <w:tcPr>
            <w:tcW w:w="1298" w:type="dxa"/>
            <w:shd w:val="clear" w:color="auto" w:fill="EAF1DD"/>
            <w:noWrap/>
            <w:vAlign w:val="center"/>
          </w:tcPr>
          <w:p w14:paraId="6D211950" w14:textId="7324C21C" w:rsidR="00F53E3A" w:rsidRDefault="0036255F">
            <w:pPr>
              <w:pStyle w:val="P68B1DB1-Normal39"/>
              <w:spacing w:after="0"/>
              <w:jc w:val="center"/>
              <w:rPr>
                <w:noProof/>
                <w:szCs w:val="22"/>
              </w:rPr>
            </w:pPr>
            <w:r>
              <w:rPr>
                <w:noProof/>
              </w:rPr>
              <w:t>137a</w:t>
            </w:r>
          </w:p>
        </w:tc>
        <w:tc>
          <w:tcPr>
            <w:tcW w:w="3097" w:type="dxa"/>
            <w:shd w:val="clear" w:color="auto" w:fill="EAF1DD"/>
          </w:tcPr>
          <w:p w14:paraId="29D51304" w14:textId="77777777" w:rsidR="00F53E3A" w:rsidRDefault="0036255F">
            <w:pPr>
              <w:pStyle w:val="P68B1DB1-Normal39"/>
              <w:spacing w:after="0"/>
              <w:jc w:val="both"/>
              <w:rPr>
                <w:noProof/>
                <w:szCs w:val="22"/>
              </w:rPr>
            </w:pPr>
            <w:r>
              <w:rPr>
                <w:noProof/>
              </w:rPr>
              <w:t>E.3.1. Împrumuturi acordate întreprinderilor pentru dezvoltarea de tehnologii ecologice și cu valoare adăugată ridicată pentru dezvoltarea industrială</w:t>
            </w:r>
          </w:p>
        </w:tc>
        <w:tc>
          <w:tcPr>
            <w:tcW w:w="1629" w:type="dxa"/>
            <w:shd w:val="clear" w:color="auto" w:fill="EAF1DD"/>
          </w:tcPr>
          <w:p w14:paraId="6E474B27" w14:textId="77777777" w:rsidR="00F53E3A" w:rsidRDefault="0036255F">
            <w:pPr>
              <w:pStyle w:val="P68B1DB1-Normal39"/>
              <w:spacing w:after="0"/>
              <w:jc w:val="center"/>
              <w:rPr>
                <w:noProof/>
                <w:szCs w:val="22"/>
              </w:rPr>
            </w:pPr>
            <w:r>
              <w:rPr>
                <w:noProof/>
              </w:rPr>
              <w:t>Etapă</w:t>
            </w:r>
          </w:p>
        </w:tc>
        <w:tc>
          <w:tcPr>
            <w:tcW w:w="3755" w:type="dxa"/>
            <w:shd w:val="clear" w:color="auto" w:fill="EAF1DD"/>
          </w:tcPr>
          <w:p w14:paraId="401B1B0B" w14:textId="77777777" w:rsidR="00F53E3A" w:rsidRDefault="0036255F">
            <w:pPr>
              <w:pStyle w:val="P68B1DB1-Normal39"/>
              <w:spacing w:after="0"/>
              <w:jc w:val="both"/>
              <w:rPr>
                <w:noProof/>
                <w:szCs w:val="22"/>
              </w:rPr>
            </w:pPr>
            <w:r>
              <w:rPr>
                <w:noProof/>
              </w:rPr>
              <w:t>Orientări pentru dezvoltarea industriei de apărare și securitate 2023-2027</w:t>
            </w:r>
          </w:p>
        </w:tc>
      </w:tr>
      <w:tr w:rsidR="00F53E3A" w14:paraId="5F61E87F" w14:textId="77777777">
        <w:trPr>
          <w:cantSplit/>
        </w:trPr>
        <w:tc>
          <w:tcPr>
            <w:tcW w:w="1298" w:type="dxa"/>
            <w:shd w:val="clear" w:color="auto" w:fill="EAF1DD"/>
            <w:noWrap/>
            <w:vAlign w:val="center"/>
          </w:tcPr>
          <w:p w14:paraId="11B64E1C" w14:textId="6437A721" w:rsidR="00F53E3A" w:rsidRDefault="0036255F">
            <w:pPr>
              <w:pStyle w:val="P68B1DB1-Normal39"/>
              <w:spacing w:after="0"/>
              <w:jc w:val="center"/>
              <w:rPr>
                <w:noProof/>
                <w:szCs w:val="22"/>
              </w:rPr>
            </w:pPr>
            <w:r>
              <w:rPr>
                <w:noProof/>
              </w:rPr>
              <w:t>180a</w:t>
            </w:r>
          </w:p>
        </w:tc>
        <w:tc>
          <w:tcPr>
            <w:tcW w:w="3097" w:type="dxa"/>
            <w:shd w:val="clear" w:color="auto" w:fill="EAF1DD"/>
          </w:tcPr>
          <w:p w14:paraId="19DF428B" w14:textId="73CECABA" w:rsidR="00F53E3A" w:rsidRDefault="0036255F">
            <w:pPr>
              <w:pStyle w:val="P68B1DB1-Normal39"/>
              <w:spacing w:after="0"/>
              <w:jc w:val="both"/>
              <w:rPr>
                <w:noProof/>
                <w:szCs w:val="22"/>
              </w:rPr>
            </w:pPr>
            <w:r>
              <w:rPr>
                <w:noProof/>
              </w:rPr>
              <w:t>F.3.1. Creșterea gradului de utilizare a achizițiilor publice centralizate</w:t>
            </w:r>
          </w:p>
        </w:tc>
        <w:tc>
          <w:tcPr>
            <w:tcW w:w="1629" w:type="dxa"/>
            <w:shd w:val="clear" w:color="auto" w:fill="EAF1DD"/>
          </w:tcPr>
          <w:p w14:paraId="25089515" w14:textId="77777777" w:rsidR="00F53E3A" w:rsidRDefault="0036255F">
            <w:pPr>
              <w:pStyle w:val="P68B1DB1-Normal39"/>
              <w:spacing w:after="0"/>
              <w:jc w:val="center"/>
              <w:rPr>
                <w:noProof/>
                <w:szCs w:val="22"/>
              </w:rPr>
            </w:pPr>
            <w:r>
              <w:rPr>
                <w:noProof/>
              </w:rPr>
              <w:t>Etapă</w:t>
            </w:r>
          </w:p>
        </w:tc>
        <w:tc>
          <w:tcPr>
            <w:tcW w:w="3755" w:type="dxa"/>
            <w:shd w:val="clear" w:color="auto" w:fill="EAF1DD"/>
          </w:tcPr>
          <w:p w14:paraId="554BFE26" w14:textId="77777777" w:rsidR="00F53E3A" w:rsidRDefault="0036255F">
            <w:pPr>
              <w:pStyle w:val="P68B1DB1-Normal39"/>
              <w:spacing w:after="0"/>
              <w:jc w:val="both"/>
              <w:rPr>
                <w:noProof/>
                <w:szCs w:val="22"/>
              </w:rPr>
            </w:pPr>
            <w:r>
              <w:rPr>
                <w:noProof/>
              </w:rPr>
              <w:t>Adoptarea unui plan de centralizare a achizițiilor publice ale instituțiilor și agențiilor din domeniul sănătății</w:t>
            </w:r>
          </w:p>
        </w:tc>
      </w:tr>
      <w:tr w:rsidR="00F53E3A" w14:paraId="25DECD18" w14:textId="77777777">
        <w:trPr>
          <w:cantSplit/>
        </w:trPr>
        <w:tc>
          <w:tcPr>
            <w:tcW w:w="1298" w:type="dxa"/>
            <w:shd w:val="clear" w:color="auto" w:fill="EAF1DD"/>
            <w:noWrap/>
            <w:vAlign w:val="center"/>
          </w:tcPr>
          <w:p w14:paraId="4A21312B" w14:textId="461379AD" w:rsidR="00F53E3A" w:rsidRDefault="0036255F">
            <w:pPr>
              <w:pStyle w:val="P68B1DB1-Normal39"/>
              <w:spacing w:after="0"/>
              <w:jc w:val="center"/>
              <w:rPr>
                <w:noProof/>
                <w:szCs w:val="22"/>
              </w:rPr>
            </w:pPr>
            <w:r>
              <w:rPr>
                <w:noProof/>
              </w:rPr>
              <w:t>192</w:t>
            </w:r>
          </w:p>
        </w:tc>
        <w:tc>
          <w:tcPr>
            <w:tcW w:w="3097" w:type="dxa"/>
            <w:shd w:val="clear" w:color="auto" w:fill="EAF1DD"/>
          </w:tcPr>
          <w:p w14:paraId="76682113" w14:textId="77777777" w:rsidR="00F53E3A" w:rsidRDefault="0036255F">
            <w:pPr>
              <w:pStyle w:val="P68B1DB1-Normal39"/>
              <w:spacing w:after="0"/>
              <w:jc w:val="both"/>
              <w:rPr>
                <w:noProof/>
                <w:szCs w:val="22"/>
              </w:rPr>
            </w:pPr>
            <w:r>
              <w:rPr>
                <w:noProof/>
              </w:rPr>
              <w:t xml:space="preserve">G.3.1. Îmbunătățirea calității serviciilor sociale și de ocupare a forței de muncă – G.3.1.1. Creșterea gradului de integrare a serviciilor de ocupare a forței de muncă, a serviciilor sociale și a altor servicii </w:t>
            </w:r>
          </w:p>
        </w:tc>
        <w:tc>
          <w:tcPr>
            <w:tcW w:w="1629" w:type="dxa"/>
            <w:shd w:val="clear" w:color="auto" w:fill="EAF1DD"/>
          </w:tcPr>
          <w:p w14:paraId="13C9C9AB" w14:textId="77777777" w:rsidR="00F53E3A" w:rsidRDefault="0036255F">
            <w:pPr>
              <w:pStyle w:val="P68B1DB1-Normal39"/>
              <w:spacing w:after="0"/>
              <w:jc w:val="center"/>
              <w:rPr>
                <w:noProof/>
                <w:szCs w:val="22"/>
              </w:rPr>
            </w:pPr>
            <w:r>
              <w:rPr>
                <w:noProof/>
              </w:rPr>
              <w:t>Etapă</w:t>
            </w:r>
          </w:p>
        </w:tc>
        <w:tc>
          <w:tcPr>
            <w:tcW w:w="3755" w:type="dxa"/>
            <w:shd w:val="clear" w:color="auto" w:fill="EAF1DD"/>
          </w:tcPr>
          <w:p w14:paraId="3F4A7106" w14:textId="77777777" w:rsidR="00F53E3A" w:rsidRDefault="0036255F">
            <w:pPr>
              <w:pStyle w:val="P68B1DB1-Normal39"/>
              <w:spacing w:after="0"/>
              <w:jc w:val="both"/>
              <w:rPr>
                <w:noProof/>
                <w:szCs w:val="22"/>
              </w:rPr>
            </w:pPr>
            <w:r>
              <w:rPr>
                <w:noProof/>
              </w:rPr>
              <w:t>Modificări ale legislației privind serviciile personalizate furnizate de serviciul de ocupare a forței de muncă și de municipalități pentru șomeri și persoanele înregistrate ca persoane care se pregătesc pentru piața forței de muncă și care se confruntă cu provocări în ceea ce privește ocuparea unui loc de muncă</w:t>
            </w:r>
          </w:p>
        </w:tc>
      </w:tr>
      <w:tr w:rsidR="00F53E3A" w14:paraId="4E888552" w14:textId="77777777">
        <w:trPr>
          <w:cantSplit/>
        </w:trPr>
        <w:tc>
          <w:tcPr>
            <w:tcW w:w="1298" w:type="dxa"/>
            <w:shd w:val="clear" w:color="auto" w:fill="EAF1DD"/>
            <w:noWrap/>
            <w:vAlign w:val="center"/>
          </w:tcPr>
          <w:p w14:paraId="6F6EEA5B" w14:textId="742FAFC5" w:rsidR="00F53E3A" w:rsidRDefault="0036255F">
            <w:pPr>
              <w:pStyle w:val="P68B1DB1-Normal39"/>
              <w:spacing w:after="0"/>
              <w:jc w:val="center"/>
              <w:rPr>
                <w:noProof/>
                <w:szCs w:val="22"/>
              </w:rPr>
            </w:pPr>
            <w:r>
              <w:rPr>
                <w:noProof/>
              </w:rPr>
              <w:t>194</w:t>
            </w:r>
          </w:p>
        </w:tc>
        <w:tc>
          <w:tcPr>
            <w:tcW w:w="3097" w:type="dxa"/>
            <w:shd w:val="clear" w:color="auto" w:fill="EAF1DD"/>
          </w:tcPr>
          <w:p w14:paraId="0D21A0B2" w14:textId="77777777" w:rsidR="00F53E3A" w:rsidRDefault="0036255F">
            <w:pPr>
              <w:pStyle w:val="P68B1DB1-Normal39"/>
              <w:spacing w:after="0"/>
              <w:jc w:val="both"/>
              <w:rPr>
                <w:noProof/>
                <w:szCs w:val="22"/>
              </w:rPr>
            </w:pPr>
            <w:r>
              <w:rPr>
                <w:noProof/>
              </w:rPr>
              <w:t>G.3.1. Îmbunătățirea calității serviciilor sociale și de ocupare a forței de muncă – G.3.1.2. Consolidarea competențelor asistenților sociali</w:t>
            </w:r>
          </w:p>
        </w:tc>
        <w:tc>
          <w:tcPr>
            <w:tcW w:w="1629" w:type="dxa"/>
            <w:shd w:val="clear" w:color="auto" w:fill="EAF1DD"/>
          </w:tcPr>
          <w:p w14:paraId="5E1E750D" w14:textId="77777777" w:rsidR="00F53E3A" w:rsidRDefault="0036255F">
            <w:pPr>
              <w:pStyle w:val="P68B1DB1-Normal39"/>
              <w:spacing w:after="0"/>
              <w:jc w:val="center"/>
              <w:rPr>
                <w:noProof/>
                <w:szCs w:val="22"/>
              </w:rPr>
            </w:pPr>
            <w:r>
              <w:rPr>
                <w:noProof/>
              </w:rPr>
              <w:t>Etapă</w:t>
            </w:r>
          </w:p>
        </w:tc>
        <w:tc>
          <w:tcPr>
            <w:tcW w:w="3755" w:type="dxa"/>
            <w:shd w:val="clear" w:color="auto" w:fill="EAF1DD"/>
          </w:tcPr>
          <w:p w14:paraId="517D49E4" w14:textId="77777777" w:rsidR="00F53E3A" w:rsidRDefault="0036255F">
            <w:pPr>
              <w:pStyle w:val="P68B1DB1-Normal39"/>
              <w:spacing w:after="0"/>
              <w:jc w:val="both"/>
              <w:rPr>
                <w:noProof/>
                <w:szCs w:val="22"/>
              </w:rPr>
            </w:pPr>
            <w:r>
              <w:rPr>
                <w:noProof/>
              </w:rPr>
              <w:t xml:space="preserve">Înființarea unui centru pentru îmbunătățirea competențelor profesionale ale angajaților în domeniul serviciilor sociale </w:t>
            </w:r>
          </w:p>
        </w:tc>
      </w:tr>
      <w:tr w:rsidR="00F53E3A" w14:paraId="6CEBD3BD" w14:textId="77777777">
        <w:trPr>
          <w:cantSplit/>
        </w:trPr>
        <w:tc>
          <w:tcPr>
            <w:tcW w:w="1298" w:type="dxa"/>
            <w:shd w:val="clear" w:color="auto" w:fill="EAF1DD"/>
            <w:noWrap/>
            <w:vAlign w:val="center"/>
          </w:tcPr>
          <w:p w14:paraId="666F7E4B" w14:textId="6477152C" w:rsidR="00F53E3A" w:rsidRDefault="00F53E3A">
            <w:pPr>
              <w:spacing w:after="0"/>
              <w:jc w:val="center"/>
              <w:rPr>
                <w:rFonts w:ascii="Times New Roman" w:eastAsia="Times New Roman" w:hAnsi="Times New Roman" w:cs="Times New Roman"/>
                <w:noProof/>
                <w:color w:val="000000"/>
                <w:szCs w:val="22"/>
              </w:rPr>
            </w:pPr>
          </w:p>
        </w:tc>
        <w:tc>
          <w:tcPr>
            <w:tcW w:w="3097" w:type="dxa"/>
            <w:shd w:val="clear" w:color="auto" w:fill="EAF1DD"/>
            <w:vAlign w:val="center"/>
          </w:tcPr>
          <w:p w14:paraId="5E4CE57A" w14:textId="77777777" w:rsidR="00F53E3A" w:rsidRDefault="0036255F">
            <w:pPr>
              <w:pStyle w:val="P68B1DB1-Normal39"/>
              <w:spacing w:after="0"/>
              <w:jc w:val="both"/>
              <w:rPr>
                <w:noProof/>
                <w:szCs w:val="22"/>
              </w:rPr>
            </w:pPr>
            <w:r>
              <w:rPr>
                <w:noProof/>
              </w:rPr>
              <w:t xml:space="preserve"> </w:t>
            </w:r>
          </w:p>
        </w:tc>
        <w:tc>
          <w:tcPr>
            <w:tcW w:w="1629" w:type="dxa"/>
            <w:shd w:val="clear" w:color="auto" w:fill="EAF1DD"/>
            <w:vAlign w:val="center"/>
          </w:tcPr>
          <w:p w14:paraId="470C582E" w14:textId="383D5E17" w:rsidR="00F53E3A" w:rsidRDefault="0036255F">
            <w:pPr>
              <w:pStyle w:val="P68B1DB1-Normal39"/>
              <w:spacing w:after="0"/>
              <w:jc w:val="center"/>
              <w:rPr>
                <w:noProof/>
                <w:szCs w:val="22"/>
              </w:rPr>
            </w:pPr>
            <w:r>
              <w:rPr>
                <w:noProof/>
              </w:rPr>
              <w:t>Cuantumul tranșei</w:t>
            </w:r>
          </w:p>
        </w:tc>
        <w:tc>
          <w:tcPr>
            <w:tcW w:w="3755" w:type="dxa"/>
            <w:shd w:val="clear" w:color="auto" w:fill="EAF1DD"/>
            <w:vAlign w:val="center"/>
          </w:tcPr>
          <w:p w14:paraId="3F9FB4E7" w14:textId="5E159A36" w:rsidR="00F53E3A" w:rsidRDefault="0036255F">
            <w:pPr>
              <w:spacing w:after="0"/>
              <w:jc w:val="both"/>
              <w:rPr>
                <w:rFonts w:ascii="Times New Roman" w:eastAsia="Times New Roman" w:hAnsi="Times New Roman" w:cs="Times New Roman"/>
                <w:noProof/>
                <w:color w:val="000000"/>
                <w:szCs w:val="22"/>
              </w:rPr>
            </w:pPr>
            <w:r>
              <w:rPr>
                <w:rFonts w:ascii="Times New Roman" w:eastAsia="Times New Roman" w:hAnsi="Times New Roman" w:cs="Times New Roman"/>
                <w:noProof/>
                <w:color w:val="000000" w:themeColor="text1"/>
              </w:rPr>
              <w:t>387</w:t>
            </w:r>
            <w:r>
              <w:rPr>
                <w:rFonts w:ascii="Times New Roman" w:hAnsi="Times New Roman"/>
                <w:noProof/>
                <w:sz w:val="20"/>
              </w:rPr>
              <w:t xml:space="preserve"> </w:t>
            </w:r>
            <w:r>
              <w:rPr>
                <w:rFonts w:ascii="Times New Roman" w:eastAsia="Times New Roman" w:hAnsi="Times New Roman" w:cs="Times New Roman"/>
                <w:noProof/>
                <w:color w:val="000000" w:themeColor="text1"/>
              </w:rPr>
              <w:t>918</w:t>
            </w:r>
            <w:r>
              <w:rPr>
                <w:rFonts w:ascii="Times New Roman" w:hAnsi="Times New Roman"/>
                <w:noProof/>
                <w:sz w:val="20"/>
              </w:rPr>
              <w:t xml:space="preserve"> </w:t>
            </w:r>
            <w:r>
              <w:rPr>
                <w:rFonts w:ascii="Times New Roman" w:eastAsia="Times New Roman" w:hAnsi="Times New Roman" w:cs="Times New Roman"/>
                <w:noProof/>
                <w:color w:val="000000" w:themeColor="text1"/>
              </w:rPr>
              <w:t>090 MIL.</w:t>
            </w:r>
          </w:p>
        </w:tc>
      </w:tr>
    </w:tbl>
    <w:p w14:paraId="2E26E0FD" w14:textId="77777777" w:rsidR="00F53E3A" w:rsidRDefault="0036255F">
      <w:pPr>
        <w:pStyle w:val="P68B1DB1-Normal36"/>
        <w:keepNext/>
        <w:keepLines/>
        <w:numPr>
          <w:ilvl w:val="1"/>
          <w:numId w:val="42"/>
        </w:numPr>
        <w:spacing w:before="480" w:line="240" w:lineRule="auto"/>
        <w:jc w:val="both"/>
        <w:rPr>
          <w:noProof/>
        </w:rPr>
      </w:pPr>
      <w:r>
        <w:rPr>
          <w:noProof/>
        </w:rPr>
        <w:t>A doua tranșă (sprijin sub formă de împrumut):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70" w:type="dxa"/>
          <w:bottom w:w="15" w:type="dxa"/>
          <w:right w:w="70" w:type="dxa"/>
        </w:tblCellMar>
        <w:tblLook w:val="04A0" w:firstRow="1" w:lastRow="0" w:firstColumn="1" w:lastColumn="0" w:noHBand="0" w:noVBand="1"/>
      </w:tblPr>
      <w:tblGrid>
        <w:gridCol w:w="1298"/>
        <w:gridCol w:w="3097"/>
        <w:gridCol w:w="1629"/>
        <w:gridCol w:w="3755"/>
      </w:tblGrid>
      <w:tr w:rsidR="00F53E3A" w14:paraId="4A27A508" w14:textId="77777777">
        <w:trPr>
          <w:cantSplit/>
          <w:trHeight w:val="491"/>
          <w:tblHeader/>
        </w:trPr>
        <w:tc>
          <w:tcPr>
            <w:tcW w:w="1298" w:type="dxa"/>
            <w:shd w:val="clear" w:color="000000" w:fill="BDD7EE"/>
            <w:vAlign w:val="center"/>
          </w:tcPr>
          <w:p w14:paraId="24920FF8" w14:textId="77777777" w:rsidR="00F53E3A" w:rsidRDefault="0036255F">
            <w:pPr>
              <w:pStyle w:val="P68B1DB1-Normal38"/>
              <w:spacing w:after="0"/>
              <w:jc w:val="center"/>
              <w:rPr>
                <w:bCs/>
                <w:noProof/>
                <w:szCs w:val="22"/>
              </w:rPr>
            </w:pPr>
            <w:r>
              <w:rPr>
                <w:noProof/>
              </w:rPr>
              <w:t>Număr secvențial</w:t>
            </w:r>
          </w:p>
        </w:tc>
        <w:tc>
          <w:tcPr>
            <w:tcW w:w="3097" w:type="dxa"/>
            <w:shd w:val="clear" w:color="000000" w:fill="BDD7EE"/>
            <w:vAlign w:val="center"/>
          </w:tcPr>
          <w:p w14:paraId="127B7091" w14:textId="77777777" w:rsidR="00F53E3A" w:rsidRDefault="0036255F">
            <w:pPr>
              <w:pStyle w:val="P68B1DB1-Normal38"/>
              <w:spacing w:after="0"/>
              <w:jc w:val="center"/>
              <w:rPr>
                <w:bCs/>
                <w:noProof/>
                <w:szCs w:val="22"/>
              </w:rPr>
            </w:pPr>
            <w:r>
              <w:rPr>
                <w:noProof/>
              </w:rPr>
              <w:t xml:space="preserve">Măsură conexă </w:t>
            </w:r>
            <w:r>
              <w:rPr>
                <w:noProof/>
              </w:rPr>
              <w:br/>
              <w:t>(Reformă sau investiție)</w:t>
            </w:r>
          </w:p>
        </w:tc>
        <w:tc>
          <w:tcPr>
            <w:tcW w:w="1629" w:type="dxa"/>
            <w:shd w:val="clear" w:color="000000" w:fill="BDD7EE"/>
            <w:vAlign w:val="center"/>
          </w:tcPr>
          <w:p w14:paraId="249A2B7E" w14:textId="77777777" w:rsidR="00F53E3A" w:rsidRDefault="0036255F">
            <w:pPr>
              <w:pStyle w:val="P68B1DB1-Normal38"/>
              <w:spacing w:after="0"/>
              <w:jc w:val="center"/>
              <w:rPr>
                <w:bCs/>
                <w:noProof/>
                <w:szCs w:val="22"/>
              </w:rPr>
            </w:pPr>
            <w:r>
              <w:rPr>
                <w:noProof/>
              </w:rPr>
              <w:t>Etapă/Obiectiv</w:t>
            </w:r>
          </w:p>
        </w:tc>
        <w:tc>
          <w:tcPr>
            <w:tcW w:w="3755" w:type="dxa"/>
            <w:shd w:val="clear" w:color="000000" w:fill="BDD7EE"/>
            <w:vAlign w:val="center"/>
          </w:tcPr>
          <w:p w14:paraId="498338D2" w14:textId="77777777" w:rsidR="00F53E3A" w:rsidRDefault="0036255F">
            <w:pPr>
              <w:pStyle w:val="P68B1DB1-Normal38"/>
              <w:spacing w:after="0"/>
              <w:jc w:val="center"/>
              <w:rPr>
                <w:bCs/>
                <w:noProof/>
                <w:szCs w:val="22"/>
              </w:rPr>
            </w:pPr>
            <w:r>
              <w:rPr>
                <w:noProof/>
              </w:rPr>
              <w:t>Nume</w:t>
            </w:r>
          </w:p>
        </w:tc>
      </w:tr>
      <w:tr w:rsidR="00F53E3A" w14:paraId="5B8F55CF" w14:textId="77777777">
        <w:trPr>
          <w:cantSplit/>
        </w:trPr>
        <w:tc>
          <w:tcPr>
            <w:tcW w:w="1298" w:type="dxa"/>
            <w:shd w:val="clear" w:color="auto" w:fill="EAF1DD"/>
            <w:noWrap/>
            <w:vAlign w:val="center"/>
          </w:tcPr>
          <w:p w14:paraId="6DF30E74" w14:textId="77777777" w:rsidR="00F53E3A" w:rsidRDefault="0036255F">
            <w:pPr>
              <w:pStyle w:val="P68B1DB1-Normal39"/>
              <w:spacing w:after="0"/>
              <w:jc w:val="center"/>
              <w:rPr>
                <w:noProof/>
                <w:szCs w:val="22"/>
              </w:rPr>
            </w:pPr>
            <w:r>
              <w:rPr>
                <w:noProof/>
              </w:rPr>
              <w:t>58b</w:t>
            </w:r>
          </w:p>
        </w:tc>
        <w:tc>
          <w:tcPr>
            <w:tcW w:w="3097" w:type="dxa"/>
            <w:shd w:val="clear" w:color="auto" w:fill="EAF1DD"/>
          </w:tcPr>
          <w:p w14:paraId="207E5D39" w14:textId="77777777" w:rsidR="00F53E3A" w:rsidRDefault="0036255F">
            <w:pPr>
              <w:pStyle w:val="P68B1DB1-Normal39"/>
              <w:spacing w:after="0"/>
              <w:jc w:val="both"/>
              <w:rPr>
                <w:noProof/>
                <w:szCs w:val="22"/>
              </w:rPr>
            </w:pPr>
            <w:r>
              <w:rPr>
                <w:noProof/>
              </w:rPr>
              <w:t xml:space="preserve">B.3.1 Dezvoltarea de produse financiare ecologice </w:t>
            </w:r>
          </w:p>
        </w:tc>
        <w:tc>
          <w:tcPr>
            <w:tcW w:w="1629" w:type="dxa"/>
            <w:shd w:val="clear" w:color="auto" w:fill="EAF1DD"/>
          </w:tcPr>
          <w:p w14:paraId="2ACB0888" w14:textId="7345C80A" w:rsidR="00F53E3A" w:rsidRDefault="0036255F">
            <w:pPr>
              <w:pStyle w:val="P68B1DB1-Normal39"/>
              <w:spacing w:after="0"/>
              <w:jc w:val="center"/>
              <w:rPr>
                <w:noProof/>
                <w:szCs w:val="22"/>
              </w:rPr>
            </w:pPr>
            <w:r>
              <w:rPr>
                <w:noProof/>
              </w:rPr>
              <w:t>Etapă</w:t>
            </w:r>
          </w:p>
        </w:tc>
        <w:tc>
          <w:tcPr>
            <w:tcW w:w="3755" w:type="dxa"/>
            <w:shd w:val="clear" w:color="auto" w:fill="EAF1DD"/>
          </w:tcPr>
          <w:p w14:paraId="4A13256B" w14:textId="77777777" w:rsidR="00F53E3A" w:rsidRDefault="0036255F">
            <w:pPr>
              <w:pStyle w:val="P68B1DB1-Normal39"/>
              <w:spacing w:after="0"/>
              <w:jc w:val="both"/>
              <w:rPr>
                <w:noProof/>
                <w:szCs w:val="22"/>
              </w:rPr>
            </w:pPr>
            <w:r>
              <w:rPr>
                <w:noProof/>
              </w:rPr>
              <w:t xml:space="preserve">Înființarea și punerea în funcțiune a Centrului de competențe și cunoștințe privind finanțarea ecologică </w:t>
            </w:r>
          </w:p>
        </w:tc>
      </w:tr>
      <w:tr w:rsidR="00F53E3A" w14:paraId="69696DF3" w14:textId="77777777">
        <w:trPr>
          <w:cantSplit/>
        </w:trPr>
        <w:tc>
          <w:tcPr>
            <w:tcW w:w="1298" w:type="dxa"/>
            <w:shd w:val="clear" w:color="auto" w:fill="EAF1DD"/>
            <w:noWrap/>
            <w:vAlign w:val="center"/>
          </w:tcPr>
          <w:p w14:paraId="24DBBB2B" w14:textId="77777777" w:rsidR="00F53E3A" w:rsidRDefault="0036255F">
            <w:pPr>
              <w:pStyle w:val="P68B1DB1-Normal39"/>
              <w:spacing w:after="0"/>
              <w:jc w:val="center"/>
              <w:rPr>
                <w:noProof/>
                <w:szCs w:val="22"/>
              </w:rPr>
            </w:pPr>
            <w:r>
              <w:rPr>
                <w:noProof/>
              </w:rPr>
              <w:t>180c</w:t>
            </w:r>
          </w:p>
        </w:tc>
        <w:tc>
          <w:tcPr>
            <w:tcW w:w="3097" w:type="dxa"/>
            <w:shd w:val="clear" w:color="auto" w:fill="EAF1DD"/>
          </w:tcPr>
          <w:p w14:paraId="1CA839B7" w14:textId="77777777" w:rsidR="00F53E3A" w:rsidRDefault="0036255F">
            <w:pPr>
              <w:pStyle w:val="P68B1DB1-Normal39"/>
              <w:spacing w:after="0"/>
              <w:jc w:val="both"/>
              <w:rPr>
                <w:noProof/>
                <w:szCs w:val="22"/>
              </w:rPr>
            </w:pPr>
            <w:r>
              <w:rPr>
                <w:noProof/>
              </w:rPr>
              <w:t>F.3.2. Capitalizarea și reziliența financiară a instituției naționale de promovare</w:t>
            </w:r>
          </w:p>
        </w:tc>
        <w:tc>
          <w:tcPr>
            <w:tcW w:w="1629" w:type="dxa"/>
            <w:shd w:val="clear" w:color="auto" w:fill="EAF1DD"/>
          </w:tcPr>
          <w:p w14:paraId="7CBAD3D4" w14:textId="77777777" w:rsidR="00F53E3A" w:rsidRDefault="0036255F">
            <w:pPr>
              <w:pStyle w:val="P68B1DB1-Normal39"/>
              <w:spacing w:after="0"/>
              <w:jc w:val="center"/>
              <w:rPr>
                <w:noProof/>
                <w:szCs w:val="22"/>
              </w:rPr>
            </w:pPr>
            <w:r>
              <w:rPr>
                <w:noProof/>
              </w:rPr>
              <w:t>Țintă</w:t>
            </w:r>
          </w:p>
        </w:tc>
        <w:tc>
          <w:tcPr>
            <w:tcW w:w="3755" w:type="dxa"/>
            <w:shd w:val="clear" w:color="auto" w:fill="EAF1DD"/>
          </w:tcPr>
          <w:p w14:paraId="265D6E9E" w14:textId="77777777" w:rsidR="00F53E3A" w:rsidRDefault="0036255F">
            <w:pPr>
              <w:pStyle w:val="P68B1DB1-Normal39"/>
              <w:spacing w:after="0"/>
              <w:jc w:val="both"/>
              <w:rPr>
                <w:noProof/>
                <w:szCs w:val="22"/>
              </w:rPr>
            </w:pPr>
            <w:r>
              <w:rPr>
                <w:noProof/>
              </w:rPr>
              <w:t>Transfer de capital de la guvernul lituanian către INVEGA</w:t>
            </w:r>
          </w:p>
        </w:tc>
      </w:tr>
      <w:tr w:rsidR="00F53E3A" w14:paraId="56F66190" w14:textId="77777777">
        <w:trPr>
          <w:cantSplit/>
        </w:trPr>
        <w:tc>
          <w:tcPr>
            <w:tcW w:w="1298" w:type="dxa"/>
            <w:shd w:val="clear" w:color="auto" w:fill="EAF1DD"/>
            <w:noWrap/>
            <w:vAlign w:val="center"/>
          </w:tcPr>
          <w:p w14:paraId="0CABF938" w14:textId="77777777" w:rsidR="00F53E3A" w:rsidRDefault="0036255F">
            <w:pPr>
              <w:pStyle w:val="P68B1DB1-Normal39"/>
              <w:spacing w:after="0"/>
              <w:jc w:val="center"/>
              <w:rPr>
                <w:noProof/>
                <w:szCs w:val="22"/>
              </w:rPr>
            </w:pPr>
            <w:r>
              <w:rPr>
                <w:noProof/>
              </w:rPr>
              <w:t>204</w:t>
            </w:r>
          </w:p>
        </w:tc>
        <w:tc>
          <w:tcPr>
            <w:tcW w:w="3097" w:type="dxa"/>
            <w:shd w:val="clear" w:color="auto" w:fill="EAF1DD"/>
          </w:tcPr>
          <w:p w14:paraId="3C848913" w14:textId="77777777" w:rsidR="00F53E3A" w:rsidRDefault="0036255F">
            <w:pPr>
              <w:pStyle w:val="P68B1DB1-Normal39"/>
              <w:spacing w:after="0"/>
              <w:jc w:val="both"/>
              <w:rPr>
                <w:noProof/>
                <w:szCs w:val="22"/>
              </w:rPr>
            </w:pPr>
            <w:r>
              <w:rPr>
                <w:noProof/>
              </w:rPr>
              <w:t>H.3.1. Sprijin pentru investiții în centrale SRE (solare și eoliene onshore)</w:t>
            </w:r>
          </w:p>
        </w:tc>
        <w:tc>
          <w:tcPr>
            <w:tcW w:w="1629" w:type="dxa"/>
            <w:shd w:val="clear" w:color="auto" w:fill="EAF1DD"/>
          </w:tcPr>
          <w:p w14:paraId="438B6C6D" w14:textId="77777777" w:rsidR="00F53E3A" w:rsidRDefault="0036255F">
            <w:pPr>
              <w:pStyle w:val="P68B1DB1-Normal39"/>
              <w:spacing w:after="0"/>
              <w:jc w:val="center"/>
              <w:rPr>
                <w:noProof/>
                <w:szCs w:val="22"/>
              </w:rPr>
            </w:pPr>
            <w:r>
              <w:rPr>
                <w:noProof/>
              </w:rPr>
              <w:t>Etapă</w:t>
            </w:r>
          </w:p>
        </w:tc>
        <w:tc>
          <w:tcPr>
            <w:tcW w:w="3755" w:type="dxa"/>
            <w:shd w:val="clear" w:color="auto" w:fill="EAF1DD"/>
          </w:tcPr>
          <w:p w14:paraId="56CB7939" w14:textId="77777777" w:rsidR="00F53E3A" w:rsidRDefault="0036255F">
            <w:pPr>
              <w:pStyle w:val="P68B1DB1-Normal40"/>
              <w:spacing w:after="0"/>
              <w:jc w:val="both"/>
              <w:rPr>
                <w:noProof/>
                <w:color w:val="000000"/>
                <w:szCs w:val="22"/>
              </w:rPr>
            </w:pPr>
            <w:r>
              <w:rPr>
                <w:noProof/>
                <w:color w:val="000000" w:themeColor="text1"/>
              </w:rPr>
              <w:t xml:space="preserve">Intrarea în vigoare a acordului de </w:t>
            </w:r>
            <w:r>
              <w:rPr>
                <w:noProof/>
              </w:rPr>
              <w:t>finanțare (sau a unei modificări a unui acord existent privind fondul de fonduri)</w:t>
            </w:r>
          </w:p>
        </w:tc>
      </w:tr>
      <w:tr w:rsidR="00F53E3A" w14:paraId="7515A29A" w14:textId="77777777">
        <w:trPr>
          <w:cantSplit/>
        </w:trPr>
        <w:tc>
          <w:tcPr>
            <w:tcW w:w="1298" w:type="dxa"/>
            <w:shd w:val="clear" w:color="auto" w:fill="EAF1DD"/>
            <w:noWrap/>
            <w:vAlign w:val="center"/>
          </w:tcPr>
          <w:p w14:paraId="4509B3B2" w14:textId="77777777" w:rsidR="00F53E3A" w:rsidRDefault="0036255F">
            <w:pPr>
              <w:pStyle w:val="P68B1DB1-Normal39"/>
              <w:spacing w:after="0"/>
              <w:jc w:val="center"/>
              <w:rPr>
                <w:noProof/>
                <w:szCs w:val="22"/>
              </w:rPr>
            </w:pPr>
            <w:r>
              <w:rPr>
                <w:noProof/>
              </w:rPr>
              <w:t>205</w:t>
            </w:r>
          </w:p>
        </w:tc>
        <w:tc>
          <w:tcPr>
            <w:tcW w:w="3097" w:type="dxa"/>
            <w:shd w:val="clear" w:color="auto" w:fill="EAF1DD"/>
          </w:tcPr>
          <w:p w14:paraId="203F7A19" w14:textId="77777777" w:rsidR="00F53E3A" w:rsidRDefault="0036255F">
            <w:pPr>
              <w:pStyle w:val="P68B1DB1-Normal39"/>
              <w:spacing w:after="0"/>
              <w:jc w:val="both"/>
              <w:rPr>
                <w:noProof/>
                <w:szCs w:val="22"/>
              </w:rPr>
            </w:pPr>
            <w:r>
              <w:rPr>
                <w:noProof/>
              </w:rPr>
              <w:t>H.3.1. Sprijin pentru investiții în centrale SRE (solare și eoliene onshore)</w:t>
            </w:r>
          </w:p>
        </w:tc>
        <w:tc>
          <w:tcPr>
            <w:tcW w:w="1629" w:type="dxa"/>
            <w:shd w:val="clear" w:color="auto" w:fill="EAF1DD"/>
          </w:tcPr>
          <w:p w14:paraId="3E3BE108" w14:textId="77777777" w:rsidR="00F53E3A" w:rsidRDefault="0036255F">
            <w:pPr>
              <w:pStyle w:val="P68B1DB1-Normal39"/>
              <w:spacing w:after="0"/>
              <w:jc w:val="center"/>
              <w:rPr>
                <w:noProof/>
                <w:szCs w:val="22"/>
              </w:rPr>
            </w:pPr>
            <w:r>
              <w:rPr>
                <w:noProof/>
              </w:rPr>
              <w:t>Etapă</w:t>
            </w:r>
          </w:p>
        </w:tc>
        <w:tc>
          <w:tcPr>
            <w:tcW w:w="3755" w:type="dxa"/>
            <w:shd w:val="clear" w:color="auto" w:fill="EAF1DD"/>
          </w:tcPr>
          <w:p w14:paraId="1A34C27B" w14:textId="77777777" w:rsidR="00F53E3A" w:rsidRDefault="0036255F">
            <w:pPr>
              <w:pStyle w:val="P68B1DB1-Normal39"/>
              <w:spacing w:after="0"/>
              <w:jc w:val="both"/>
              <w:rPr>
                <w:noProof/>
                <w:szCs w:val="22"/>
              </w:rPr>
            </w:pPr>
            <w:r>
              <w:rPr>
                <w:noProof/>
              </w:rPr>
              <w:t>Publicarea cererii de candidaturi de către Instituția Națională de Promovare</w:t>
            </w:r>
          </w:p>
        </w:tc>
      </w:tr>
      <w:tr w:rsidR="00F53E3A" w14:paraId="00441CEB" w14:textId="77777777">
        <w:trPr>
          <w:cantSplit/>
        </w:trPr>
        <w:tc>
          <w:tcPr>
            <w:tcW w:w="1298" w:type="dxa"/>
            <w:shd w:val="clear" w:color="auto" w:fill="EAF1DD"/>
            <w:noWrap/>
            <w:vAlign w:val="center"/>
          </w:tcPr>
          <w:p w14:paraId="5A0BD771" w14:textId="77777777" w:rsidR="00F53E3A" w:rsidRDefault="00F53E3A">
            <w:pPr>
              <w:spacing w:after="0"/>
              <w:jc w:val="center"/>
              <w:rPr>
                <w:rFonts w:ascii="Times New Roman" w:eastAsia="Times New Roman" w:hAnsi="Times New Roman" w:cs="Times New Roman"/>
                <w:noProof/>
                <w:color w:val="000000"/>
                <w:szCs w:val="22"/>
              </w:rPr>
            </w:pPr>
          </w:p>
        </w:tc>
        <w:tc>
          <w:tcPr>
            <w:tcW w:w="3097" w:type="dxa"/>
            <w:shd w:val="clear" w:color="auto" w:fill="EAF1DD"/>
            <w:vAlign w:val="center"/>
          </w:tcPr>
          <w:p w14:paraId="135500AA" w14:textId="77777777" w:rsidR="00F53E3A" w:rsidRDefault="00F53E3A">
            <w:pPr>
              <w:spacing w:after="0"/>
              <w:jc w:val="both"/>
              <w:rPr>
                <w:rFonts w:ascii="Times New Roman" w:eastAsia="Times New Roman" w:hAnsi="Times New Roman" w:cs="Times New Roman"/>
                <w:noProof/>
                <w:color w:val="000000"/>
                <w:szCs w:val="22"/>
              </w:rPr>
            </w:pPr>
          </w:p>
        </w:tc>
        <w:tc>
          <w:tcPr>
            <w:tcW w:w="1629" w:type="dxa"/>
            <w:shd w:val="clear" w:color="auto" w:fill="EAF1DD"/>
            <w:vAlign w:val="center"/>
          </w:tcPr>
          <w:p w14:paraId="3F0741D7" w14:textId="57182E0E" w:rsidR="00F53E3A" w:rsidRDefault="0036255F">
            <w:pPr>
              <w:pStyle w:val="P68B1DB1-Normal39"/>
              <w:spacing w:after="0"/>
              <w:jc w:val="center"/>
              <w:rPr>
                <w:noProof/>
                <w:szCs w:val="22"/>
              </w:rPr>
            </w:pPr>
            <w:r>
              <w:rPr>
                <w:noProof/>
              </w:rPr>
              <w:t>Cuantumul tranșei</w:t>
            </w:r>
          </w:p>
        </w:tc>
        <w:tc>
          <w:tcPr>
            <w:tcW w:w="3755" w:type="dxa"/>
            <w:shd w:val="clear" w:color="auto" w:fill="EAF1DD"/>
            <w:vAlign w:val="center"/>
          </w:tcPr>
          <w:p w14:paraId="1475A4E8" w14:textId="47529837" w:rsidR="00F53E3A" w:rsidRDefault="0036255F">
            <w:pPr>
              <w:spacing w:after="0"/>
              <w:jc w:val="both"/>
              <w:rPr>
                <w:rFonts w:ascii="Times New Roman" w:eastAsia="Times New Roman" w:hAnsi="Times New Roman" w:cs="Times New Roman"/>
                <w:noProof/>
                <w:color w:val="000000"/>
                <w:szCs w:val="22"/>
              </w:rPr>
            </w:pPr>
            <w:r>
              <w:rPr>
                <w:rFonts w:ascii="Times New Roman" w:eastAsia="Times New Roman" w:hAnsi="Times New Roman" w:cs="Times New Roman"/>
                <w:noProof/>
                <w:color w:val="000000" w:themeColor="text1"/>
              </w:rPr>
              <w:t>310</w:t>
            </w:r>
            <w:r>
              <w:rPr>
                <w:rFonts w:ascii="Times New Roman" w:hAnsi="Times New Roman"/>
                <w:noProof/>
                <w:sz w:val="20"/>
              </w:rPr>
              <w:t xml:space="preserve"> </w:t>
            </w:r>
            <w:r>
              <w:rPr>
                <w:rFonts w:ascii="Times New Roman" w:eastAsia="Times New Roman" w:hAnsi="Times New Roman" w:cs="Times New Roman"/>
                <w:noProof/>
                <w:color w:val="000000" w:themeColor="text1"/>
              </w:rPr>
              <w:t>334</w:t>
            </w:r>
            <w:r>
              <w:rPr>
                <w:rFonts w:ascii="Times New Roman" w:hAnsi="Times New Roman"/>
                <w:noProof/>
                <w:sz w:val="20"/>
              </w:rPr>
              <w:t xml:space="preserve"> </w:t>
            </w:r>
            <w:r>
              <w:rPr>
                <w:rFonts w:ascii="Times New Roman" w:eastAsia="Times New Roman" w:hAnsi="Times New Roman" w:cs="Times New Roman"/>
                <w:noProof/>
                <w:color w:val="000000" w:themeColor="text1"/>
              </w:rPr>
              <w:t xml:space="preserve">472 MIL. </w:t>
            </w:r>
          </w:p>
        </w:tc>
      </w:tr>
    </w:tbl>
    <w:p w14:paraId="50162588" w14:textId="77777777" w:rsidR="00F53E3A" w:rsidRDefault="0036255F">
      <w:pPr>
        <w:pStyle w:val="P68B1DB1-Normal36"/>
        <w:keepNext/>
        <w:keepLines/>
        <w:numPr>
          <w:ilvl w:val="1"/>
          <w:numId w:val="42"/>
        </w:numPr>
        <w:spacing w:before="480" w:line="240" w:lineRule="auto"/>
        <w:jc w:val="both"/>
        <w:rPr>
          <w:noProof/>
        </w:rPr>
      </w:pPr>
      <w:r>
        <w:rPr>
          <w:noProof/>
        </w:rPr>
        <w:t>A treia tranșă (sprijin sub formă de împrumut):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70" w:type="dxa"/>
          <w:bottom w:w="15" w:type="dxa"/>
          <w:right w:w="70" w:type="dxa"/>
        </w:tblCellMar>
        <w:tblLook w:val="04A0" w:firstRow="1" w:lastRow="0" w:firstColumn="1" w:lastColumn="0" w:noHBand="0" w:noVBand="1"/>
      </w:tblPr>
      <w:tblGrid>
        <w:gridCol w:w="1298"/>
        <w:gridCol w:w="3308"/>
        <w:gridCol w:w="1418"/>
        <w:gridCol w:w="3755"/>
      </w:tblGrid>
      <w:tr w:rsidR="00F53E3A" w14:paraId="30E24262" w14:textId="77777777" w:rsidTr="00E04E3B">
        <w:trPr>
          <w:cantSplit/>
          <w:trHeight w:val="491"/>
          <w:tblHeader/>
        </w:trPr>
        <w:tc>
          <w:tcPr>
            <w:tcW w:w="1298" w:type="dxa"/>
            <w:shd w:val="clear" w:color="auto" w:fill="BDD7EE"/>
            <w:vAlign w:val="center"/>
          </w:tcPr>
          <w:p w14:paraId="7CAABB27" w14:textId="77777777" w:rsidR="00F53E3A" w:rsidRDefault="0036255F">
            <w:pPr>
              <w:pStyle w:val="P68B1DB1-Normal38"/>
              <w:spacing w:after="0"/>
              <w:jc w:val="center"/>
              <w:rPr>
                <w:bCs/>
                <w:noProof/>
                <w:szCs w:val="22"/>
              </w:rPr>
            </w:pPr>
            <w:r>
              <w:rPr>
                <w:noProof/>
              </w:rPr>
              <w:t>Număr secvențial</w:t>
            </w:r>
          </w:p>
        </w:tc>
        <w:tc>
          <w:tcPr>
            <w:tcW w:w="3308" w:type="dxa"/>
            <w:shd w:val="clear" w:color="auto" w:fill="BDD7EE"/>
            <w:vAlign w:val="center"/>
          </w:tcPr>
          <w:p w14:paraId="3CDAD336" w14:textId="77777777" w:rsidR="00F53E3A" w:rsidRDefault="0036255F">
            <w:pPr>
              <w:pStyle w:val="P68B1DB1-Normal38"/>
              <w:spacing w:after="0"/>
              <w:jc w:val="center"/>
              <w:rPr>
                <w:bCs/>
                <w:noProof/>
                <w:szCs w:val="22"/>
              </w:rPr>
            </w:pPr>
            <w:r>
              <w:rPr>
                <w:noProof/>
              </w:rPr>
              <w:t xml:space="preserve">Măsură conexă </w:t>
            </w:r>
            <w:r>
              <w:rPr>
                <w:noProof/>
              </w:rPr>
              <w:br/>
              <w:t>(Reformă sau investiție)</w:t>
            </w:r>
          </w:p>
        </w:tc>
        <w:tc>
          <w:tcPr>
            <w:tcW w:w="1418" w:type="dxa"/>
            <w:shd w:val="clear" w:color="auto" w:fill="BDD7EE"/>
            <w:vAlign w:val="center"/>
          </w:tcPr>
          <w:p w14:paraId="31E584D4" w14:textId="35991625" w:rsidR="00F53E3A" w:rsidRDefault="0036255F">
            <w:pPr>
              <w:pStyle w:val="P68B1DB1-Normal38"/>
              <w:spacing w:after="0"/>
              <w:jc w:val="center"/>
              <w:rPr>
                <w:bCs/>
                <w:noProof/>
                <w:szCs w:val="22"/>
              </w:rPr>
            </w:pPr>
            <w:r>
              <w:rPr>
                <w:noProof/>
              </w:rPr>
              <w:t>Etapă/</w:t>
            </w:r>
            <w:r w:rsidR="00E04E3B">
              <w:rPr>
                <w:noProof/>
              </w:rPr>
              <w:t xml:space="preserve"> </w:t>
            </w:r>
            <w:r>
              <w:rPr>
                <w:noProof/>
              </w:rPr>
              <w:t>Obiectiv</w:t>
            </w:r>
          </w:p>
        </w:tc>
        <w:tc>
          <w:tcPr>
            <w:tcW w:w="3755" w:type="dxa"/>
            <w:shd w:val="clear" w:color="auto" w:fill="BDD7EE"/>
            <w:vAlign w:val="center"/>
          </w:tcPr>
          <w:p w14:paraId="4D25740F" w14:textId="77777777" w:rsidR="00F53E3A" w:rsidRDefault="0036255F">
            <w:pPr>
              <w:pStyle w:val="P68B1DB1-Normal38"/>
              <w:spacing w:after="0"/>
              <w:jc w:val="center"/>
              <w:rPr>
                <w:bCs/>
                <w:noProof/>
                <w:szCs w:val="22"/>
              </w:rPr>
            </w:pPr>
            <w:r>
              <w:rPr>
                <w:noProof/>
              </w:rPr>
              <w:t>Nume</w:t>
            </w:r>
          </w:p>
        </w:tc>
      </w:tr>
      <w:tr w:rsidR="00F53E3A" w14:paraId="5F8D3A0A" w14:textId="77777777" w:rsidTr="00E04E3B">
        <w:trPr>
          <w:cantSplit/>
        </w:trPr>
        <w:tc>
          <w:tcPr>
            <w:tcW w:w="1298" w:type="dxa"/>
            <w:shd w:val="clear" w:color="auto" w:fill="EAF1DD" w:themeFill="accent3" w:themeFillTint="33"/>
            <w:noWrap/>
            <w:vAlign w:val="center"/>
          </w:tcPr>
          <w:p w14:paraId="731988C2" w14:textId="62D0EB34" w:rsidR="00F53E3A" w:rsidRDefault="0036255F">
            <w:pPr>
              <w:pStyle w:val="P68B1DB1-Normal39"/>
              <w:spacing w:after="0"/>
              <w:jc w:val="center"/>
              <w:rPr>
                <w:noProof/>
                <w:szCs w:val="22"/>
              </w:rPr>
            </w:pPr>
            <w:r>
              <w:rPr>
                <w:noProof/>
              </w:rPr>
              <w:t>137b</w:t>
            </w:r>
          </w:p>
        </w:tc>
        <w:tc>
          <w:tcPr>
            <w:tcW w:w="3308" w:type="dxa"/>
            <w:shd w:val="clear" w:color="auto" w:fill="EAF1DD" w:themeFill="accent3" w:themeFillTint="33"/>
          </w:tcPr>
          <w:p w14:paraId="35A06E8B" w14:textId="77777777" w:rsidR="00F53E3A" w:rsidRDefault="0036255F">
            <w:pPr>
              <w:pStyle w:val="P68B1DB1-Normal39"/>
              <w:spacing w:after="0"/>
              <w:jc w:val="both"/>
              <w:rPr>
                <w:noProof/>
                <w:szCs w:val="22"/>
              </w:rPr>
            </w:pPr>
            <w:r>
              <w:rPr>
                <w:noProof/>
              </w:rPr>
              <w:t>E.3.1. Împrumuturi acordate întreprinderilor pentru dezvoltarea de tehnologii ecologice și cu valoare adăugată ridicată pentru dezvoltarea industrială</w:t>
            </w:r>
          </w:p>
        </w:tc>
        <w:tc>
          <w:tcPr>
            <w:tcW w:w="1418" w:type="dxa"/>
            <w:shd w:val="clear" w:color="auto" w:fill="EAF1DD" w:themeFill="accent3" w:themeFillTint="33"/>
          </w:tcPr>
          <w:p w14:paraId="66BD8BE8" w14:textId="77777777" w:rsidR="00F53E3A" w:rsidRDefault="0036255F">
            <w:pPr>
              <w:pStyle w:val="P68B1DB1-Normal39"/>
              <w:spacing w:after="0"/>
              <w:jc w:val="center"/>
              <w:rPr>
                <w:noProof/>
                <w:szCs w:val="22"/>
              </w:rPr>
            </w:pPr>
            <w:r>
              <w:rPr>
                <w:noProof/>
              </w:rPr>
              <w:t>Etapă</w:t>
            </w:r>
          </w:p>
        </w:tc>
        <w:tc>
          <w:tcPr>
            <w:tcW w:w="3755" w:type="dxa"/>
            <w:shd w:val="clear" w:color="auto" w:fill="EAF1DD" w:themeFill="accent3" w:themeFillTint="33"/>
          </w:tcPr>
          <w:p w14:paraId="10AD3314" w14:textId="77777777" w:rsidR="00F53E3A" w:rsidRDefault="0036255F">
            <w:pPr>
              <w:pStyle w:val="P68B1DB1-Normal39"/>
              <w:spacing w:after="0"/>
              <w:jc w:val="both"/>
              <w:rPr>
                <w:noProof/>
                <w:szCs w:val="22"/>
              </w:rPr>
            </w:pPr>
            <w:r>
              <w:rPr>
                <w:noProof/>
              </w:rPr>
              <w:t>Acord de finanțare (sau o modificare a unui acord existent privind fondul de fonduri)</w:t>
            </w:r>
          </w:p>
        </w:tc>
      </w:tr>
      <w:tr w:rsidR="00F53E3A" w14:paraId="283EFD88" w14:textId="77777777" w:rsidTr="00E04E3B">
        <w:trPr>
          <w:cantSplit/>
        </w:trPr>
        <w:tc>
          <w:tcPr>
            <w:tcW w:w="1298" w:type="dxa"/>
            <w:shd w:val="clear" w:color="auto" w:fill="EAF1DD" w:themeFill="accent3" w:themeFillTint="33"/>
            <w:noWrap/>
            <w:vAlign w:val="center"/>
          </w:tcPr>
          <w:p w14:paraId="47F87F2E" w14:textId="03DC1C3C" w:rsidR="00F53E3A" w:rsidRDefault="0036255F">
            <w:pPr>
              <w:pStyle w:val="P68B1DB1-Normal39"/>
              <w:spacing w:after="0"/>
              <w:jc w:val="center"/>
              <w:rPr>
                <w:noProof/>
                <w:szCs w:val="22"/>
              </w:rPr>
            </w:pPr>
            <w:r>
              <w:rPr>
                <w:noProof/>
              </w:rPr>
              <w:t>137c</w:t>
            </w:r>
          </w:p>
        </w:tc>
        <w:tc>
          <w:tcPr>
            <w:tcW w:w="3308" w:type="dxa"/>
            <w:shd w:val="clear" w:color="auto" w:fill="EAF1DD" w:themeFill="accent3" w:themeFillTint="33"/>
          </w:tcPr>
          <w:p w14:paraId="2333D09E" w14:textId="77777777" w:rsidR="00F53E3A" w:rsidRDefault="0036255F">
            <w:pPr>
              <w:pStyle w:val="P68B1DB1-Normal39"/>
              <w:spacing w:after="0"/>
              <w:jc w:val="both"/>
              <w:rPr>
                <w:noProof/>
                <w:szCs w:val="22"/>
              </w:rPr>
            </w:pPr>
            <w:r>
              <w:rPr>
                <w:noProof/>
              </w:rPr>
              <w:t>E.3.1. Împrumuturi acordate întreprinderilor pentru dezvoltarea de tehnologii ecologice și cu valoare adăugată ridicată pentru dezvoltarea industrială</w:t>
            </w:r>
          </w:p>
        </w:tc>
        <w:tc>
          <w:tcPr>
            <w:tcW w:w="1418" w:type="dxa"/>
            <w:shd w:val="clear" w:color="auto" w:fill="EAF1DD" w:themeFill="accent3" w:themeFillTint="33"/>
          </w:tcPr>
          <w:p w14:paraId="15D70D20" w14:textId="01823389" w:rsidR="00F53E3A" w:rsidRDefault="0036255F">
            <w:pPr>
              <w:pStyle w:val="P68B1DB1-Normal39"/>
              <w:spacing w:after="0"/>
              <w:jc w:val="center"/>
              <w:rPr>
                <w:noProof/>
                <w:szCs w:val="22"/>
              </w:rPr>
            </w:pPr>
            <w:r>
              <w:rPr>
                <w:noProof/>
              </w:rPr>
              <w:t>Etapă</w:t>
            </w:r>
          </w:p>
        </w:tc>
        <w:tc>
          <w:tcPr>
            <w:tcW w:w="3755" w:type="dxa"/>
            <w:shd w:val="clear" w:color="auto" w:fill="EAF1DD" w:themeFill="accent3" w:themeFillTint="33"/>
          </w:tcPr>
          <w:p w14:paraId="761F424A" w14:textId="77777777" w:rsidR="00F53E3A" w:rsidRDefault="0036255F">
            <w:pPr>
              <w:pStyle w:val="P68B1DB1-Normal39"/>
              <w:spacing w:after="0"/>
              <w:jc w:val="both"/>
              <w:rPr>
                <w:noProof/>
                <w:szCs w:val="22"/>
              </w:rPr>
            </w:pPr>
            <w:r>
              <w:rPr>
                <w:noProof/>
              </w:rPr>
              <w:t>Publicarea cererii de candidaturi de către INVEGA</w:t>
            </w:r>
          </w:p>
        </w:tc>
      </w:tr>
      <w:tr w:rsidR="00F53E3A" w14:paraId="603E6687" w14:textId="77777777" w:rsidTr="00E04E3B">
        <w:trPr>
          <w:cantSplit/>
        </w:trPr>
        <w:tc>
          <w:tcPr>
            <w:tcW w:w="1298" w:type="dxa"/>
            <w:shd w:val="clear" w:color="auto" w:fill="EAF1DD" w:themeFill="accent3" w:themeFillTint="33"/>
            <w:noWrap/>
            <w:vAlign w:val="center"/>
          </w:tcPr>
          <w:p w14:paraId="13910C92" w14:textId="2E33E451" w:rsidR="00F53E3A" w:rsidRDefault="0036255F">
            <w:pPr>
              <w:pStyle w:val="P68B1DB1-Normal39"/>
              <w:spacing w:after="0"/>
              <w:jc w:val="center"/>
              <w:rPr>
                <w:noProof/>
                <w:szCs w:val="22"/>
              </w:rPr>
            </w:pPr>
            <w:r>
              <w:rPr>
                <w:noProof/>
              </w:rPr>
              <w:t>137d</w:t>
            </w:r>
          </w:p>
        </w:tc>
        <w:tc>
          <w:tcPr>
            <w:tcW w:w="3308" w:type="dxa"/>
            <w:shd w:val="clear" w:color="auto" w:fill="EAF1DD" w:themeFill="accent3" w:themeFillTint="33"/>
          </w:tcPr>
          <w:p w14:paraId="3E9BFF6D" w14:textId="77777777" w:rsidR="00F53E3A" w:rsidRDefault="0036255F">
            <w:pPr>
              <w:pStyle w:val="P68B1DB1-Normal39"/>
              <w:spacing w:after="0"/>
              <w:jc w:val="both"/>
              <w:rPr>
                <w:noProof/>
                <w:szCs w:val="22"/>
              </w:rPr>
            </w:pPr>
            <w:r>
              <w:rPr>
                <w:noProof/>
              </w:rPr>
              <w:t>E.3.1. Împrumuturi acordate întreprinderilor pentru dezvoltarea de tehnologii ecologice și cu valoare adăugată ridicată pentru dezvoltarea industrială</w:t>
            </w:r>
          </w:p>
        </w:tc>
        <w:tc>
          <w:tcPr>
            <w:tcW w:w="1418" w:type="dxa"/>
            <w:shd w:val="clear" w:color="auto" w:fill="EAF1DD" w:themeFill="accent3" w:themeFillTint="33"/>
          </w:tcPr>
          <w:p w14:paraId="01A2CFE5" w14:textId="77777777" w:rsidR="00F53E3A" w:rsidRDefault="0036255F">
            <w:pPr>
              <w:pStyle w:val="P68B1DB1-Normal39"/>
              <w:spacing w:after="0"/>
              <w:jc w:val="center"/>
              <w:rPr>
                <w:noProof/>
                <w:szCs w:val="22"/>
              </w:rPr>
            </w:pPr>
            <w:r>
              <w:rPr>
                <w:noProof/>
              </w:rPr>
              <w:t>Țintă</w:t>
            </w:r>
          </w:p>
        </w:tc>
        <w:tc>
          <w:tcPr>
            <w:tcW w:w="3755" w:type="dxa"/>
            <w:shd w:val="clear" w:color="auto" w:fill="EAF1DD" w:themeFill="accent3" w:themeFillTint="33"/>
          </w:tcPr>
          <w:p w14:paraId="5E0E28C1" w14:textId="77777777" w:rsidR="00F53E3A" w:rsidRDefault="0036255F">
            <w:pPr>
              <w:pStyle w:val="P68B1DB1-Normal39"/>
              <w:spacing w:after="0"/>
              <w:jc w:val="both"/>
              <w:rPr>
                <w:noProof/>
                <w:szCs w:val="22"/>
              </w:rPr>
            </w:pPr>
            <w:r>
              <w:rPr>
                <w:noProof/>
              </w:rPr>
              <w:t>Acorduri juridice semnate cu beneficiarii finali</w:t>
            </w:r>
          </w:p>
        </w:tc>
      </w:tr>
      <w:tr w:rsidR="00F53E3A" w14:paraId="6147C0AA" w14:textId="77777777" w:rsidTr="00E04E3B">
        <w:trPr>
          <w:cantSplit/>
        </w:trPr>
        <w:tc>
          <w:tcPr>
            <w:tcW w:w="1298" w:type="dxa"/>
            <w:shd w:val="clear" w:color="auto" w:fill="EAF1DD" w:themeFill="accent3" w:themeFillTint="33"/>
            <w:noWrap/>
            <w:vAlign w:val="center"/>
          </w:tcPr>
          <w:p w14:paraId="54F03C5B" w14:textId="17CACBF3" w:rsidR="00F53E3A" w:rsidRDefault="0036255F">
            <w:pPr>
              <w:pStyle w:val="P68B1DB1-Normal39"/>
              <w:spacing w:after="0"/>
              <w:jc w:val="center"/>
              <w:rPr>
                <w:noProof/>
                <w:szCs w:val="22"/>
              </w:rPr>
            </w:pPr>
            <w:r>
              <w:rPr>
                <w:noProof/>
              </w:rPr>
              <w:t>180d</w:t>
            </w:r>
          </w:p>
        </w:tc>
        <w:tc>
          <w:tcPr>
            <w:tcW w:w="3308" w:type="dxa"/>
            <w:shd w:val="clear" w:color="auto" w:fill="EAF1DD" w:themeFill="accent3" w:themeFillTint="33"/>
          </w:tcPr>
          <w:p w14:paraId="1F485DCE" w14:textId="77777777" w:rsidR="00F53E3A" w:rsidRDefault="0036255F">
            <w:pPr>
              <w:pStyle w:val="P68B1DB1-Normal39"/>
              <w:spacing w:after="0"/>
              <w:jc w:val="both"/>
              <w:rPr>
                <w:noProof/>
                <w:szCs w:val="22"/>
              </w:rPr>
            </w:pPr>
            <w:r>
              <w:rPr>
                <w:noProof/>
              </w:rPr>
              <w:t>F.3.2. Capitalizarea și reziliența financiară a instituției naționale de promovare</w:t>
            </w:r>
          </w:p>
        </w:tc>
        <w:tc>
          <w:tcPr>
            <w:tcW w:w="1418" w:type="dxa"/>
            <w:shd w:val="clear" w:color="auto" w:fill="EAF1DD" w:themeFill="accent3" w:themeFillTint="33"/>
          </w:tcPr>
          <w:p w14:paraId="36436D25" w14:textId="77777777" w:rsidR="00F53E3A" w:rsidRDefault="0036255F">
            <w:pPr>
              <w:pStyle w:val="P68B1DB1-Normal39"/>
              <w:spacing w:after="0"/>
              <w:jc w:val="center"/>
              <w:rPr>
                <w:noProof/>
                <w:szCs w:val="22"/>
              </w:rPr>
            </w:pPr>
            <w:r>
              <w:rPr>
                <w:noProof/>
              </w:rPr>
              <w:t>Etapă</w:t>
            </w:r>
          </w:p>
        </w:tc>
        <w:tc>
          <w:tcPr>
            <w:tcW w:w="3755" w:type="dxa"/>
            <w:shd w:val="clear" w:color="auto" w:fill="EAF1DD" w:themeFill="accent3" w:themeFillTint="33"/>
          </w:tcPr>
          <w:p w14:paraId="53BEFEF4" w14:textId="77777777" w:rsidR="00F53E3A" w:rsidRDefault="0036255F">
            <w:pPr>
              <w:pStyle w:val="P68B1DB1-Normal39"/>
              <w:spacing w:after="0"/>
              <w:jc w:val="both"/>
              <w:rPr>
                <w:noProof/>
                <w:szCs w:val="22"/>
              </w:rPr>
            </w:pPr>
            <w:r>
              <w:rPr>
                <w:noProof/>
              </w:rPr>
              <w:t>Politica de investiții pentru INVEGA</w:t>
            </w:r>
          </w:p>
        </w:tc>
      </w:tr>
      <w:tr w:rsidR="00F53E3A" w14:paraId="57371EAA" w14:textId="77777777" w:rsidTr="00E04E3B">
        <w:trPr>
          <w:cantSplit/>
        </w:trPr>
        <w:tc>
          <w:tcPr>
            <w:tcW w:w="1298" w:type="dxa"/>
            <w:shd w:val="clear" w:color="auto" w:fill="EAF1DD" w:themeFill="accent3" w:themeFillTint="33"/>
            <w:noWrap/>
            <w:vAlign w:val="center"/>
          </w:tcPr>
          <w:p w14:paraId="18B7146C" w14:textId="59FED88E" w:rsidR="00F53E3A" w:rsidRDefault="0036255F">
            <w:pPr>
              <w:pStyle w:val="P68B1DB1-Normal39"/>
              <w:spacing w:after="0"/>
              <w:jc w:val="center"/>
              <w:rPr>
                <w:noProof/>
                <w:szCs w:val="22"/>
              </w:rPr>
            </w:pPr>
            <w:r>
              <w:rPr>
                <w:noProof/>
              </w:rPr>
              <w:t>206</w:t>
            </w:r>
          </w:p>
        </w:tc>
        <w:tc>
          <w:tcPr>
            <w:tcW w:w="3308" w:type="dxa"/>
            <w:shd w:val="clear" w:color="auto" w:fill="EAF1DD" w:themeFill="accent3" w:themeFillTint="33"/>
          </w:tcPr>
          <w:p w14:paraId="429744D5" w14:textId="77777777" w:rsidR="00F53E3A" w:rsidRDefault="0036255F">
            <w:pPr>
              <w:pStyle w:val="P68B1DB1-Normal39"/>
              <w:spacing w:after="0"/>
              <w:jc w:val="both"/>
              <w:rPr>
                <w:noProof/>
                <w:szCs w:val="22"/>
              </w:rPr>
            </w:pPr>
            <w:r>
              <w:rPr>
                <w:noProof/>
              </w:rPr>
              <w:t>H.3.1. Sprijin pentru investiții în centrale SRE (solare și eoliene onshore)</w:t>
            </w:r>
          </w:p>
        </w:tc>
        <w:tc>
          <w:tcPr>
            <w:tcW w:w="1418" w:type="dxa"/>
            <w:shd w:val="clear" w:color="auto" w:fill="EAF1DD" w:themeFill="accent3" w:themeFillTint="33"/>
          </w:tcPr>
          <w:p w14:paraId="403871CD" w14:textId="77777777" w:rsidR="00F53E3A" w:rsidRDefault="0036255F">
            <w:pPr>
              <w:pStyle w:val="P68B1DB1-Normal40"/>
              <w:spacing w:after="0"/>
              <w:jc w:val="center"/>
              <w:rPr>
                <w:noProof/>
                <w:color w:val="000000"/>
                <w:szCs w:val="22"/>
              </w:rPr>
            </w:pPr>
            <w:r>
              <w:rPr>
                <w:noProof/>
              </w:rPr>
              <w:t>Țintă</w:t>
            </w:r>
          </w:p>
        </w:tc>
        <w:tc>
          <w:tcPr>
            <w:tcW w:w="3755" w:type="dxa"/>
            <w:shd w:val="clear" w:color="auto" w:fill="EAF1DD" w:themeFill="accent3" w:themeFillTint="33"/>
          </w:tcPr>
          <w:p w14:paraId="507297D1" w14:textId="77777777" w:rsidR="00F53E3A" w:rsidRDefault="0036255F">
            <w:pPr>
              <w:pStyle w:val="P68B1DB1-Normal39"/>
              <w:spacing w:after="0"/>
              <w:jc w:val="both"/>
              <w:rPr>
                <w:noProof/>
                <w:szCs w:val="22"/>
              </w:rPr>
            </w:pPr>
            <w:r>
              <w:rPr>
                <w:noProof/>
              </w:rPr>
              <w:t>Acorduri juridice semnate cu beneficiarii finali</w:t>
            </w:r>
          </w:p>
        </w:tc>
      </w:tr>
      <w:tr w:rsidR="00F53E3A" w14:paraId="18EA879D" w14:textId="77777777" w:rsidTr="00E04E3B">
        <w:trPr>
          <w:cantSplit/>
        </w:trPr>
        <w:tc>
          <w:tcPr>
            <w:tcW w:w="1298" w:type="dxa"/>
            <w:shd w:val="clear" w:color="auto" w:fill="EAF1DD" w:themeFill="accent3" w:themeFillTint="33"/>
            <w:noWrap/>
            <w:vAlign w:val="center"/>
          </w:tcPr>
          <w:p w14:paraId="78A0559E" w14:textId="20C6B108" w:rsidR="00F53E3A" w:rsidRDefault="00F53E3A">
            <w:pPr>
              <w:spacing w:after="0"/>
              <w:jc w:val="center"/>
              <w:rPr>
                <w:rFonts w:ascii="Times New Roman" w:eastAsia="Times New Roman" w:hAnsi="Times New Roman" w:cs="Times New Roman"/>
                <w:noProof/>
                <w:color w:val="000000"/>
                <w:szCs w:val="22"/>
              </w:rPr>
            </w:pPr>
          </w:p>
        </w:tc>
        <w:tc>
          <w:tcPr>
            <w:tcW w:w="3308" w:type="dxa"/>
            <w:shd w:val="clear" w:color="auto" w:fill="EAF1DD" w:themeFill="accent3" w:themeFillTint="33"/>
            <w:vAlign w:val="center"/>
          </w:tcPr>
          <w:p w14:paraId="3A0183E3" w14:textId="77777777" w:rsidR="00F53E3A" w:rsidRDefault="0036255F">
            <w:pPr>
              <w:pStyle w:val="P68B1DB1-Normal39"/>
              <w:spacing w:after="0"/>
              <w:jc w:val="both"/>
              <w:rPr>
                <w:noProof/>
                <w:szCs w:val="22"/>
              </w:rPr>
            </w:pPr>
            <w:r>
              <w:rPr>
                <w:noProof/>
              </w:rPr>
              <w:t xml:space="preserve"> </w:t>
            </w:r>
          </w:p>
        </w:tc>
        <w:tc>
          <w:tcPr>
            <w:tcW w:w="1418" w:type="dxa"/>
            <w:shd w:val="clear" w:color="auto" w:fill="EAF1DD" w:themeFill="accent3" w:themeFillTint="33"/>
            <w:vAlign w:val="center"/>
          </w:tcPr>
          <w:p w14:paraId="672D6E1C" w14:textId="7AFFC803" w:rsidR="00F53E3A" w:rsidRDefault="0036255F">
            <w:pPr>
              <w:pStyle w:val="P68B1DB1-Normal39"/>
              <w:spacing w:after="0"/>
              <w:jc w:val="center"/>
              <w:rPr>
                <w:noProof/>
                <w:szCs w:val="22"/>
              </w:rPr>
            </w:pPr>
            <w:r>
              <w:rPr>
                <w:noProof/>
              </w:rPr>
              <w:t>Cuantumul tranșei</w:t>
            </w:r>
          </w:p>
        </w:tc>
        <w:tc>
          <w:tcPr>
            <w:tcW w:w="3755" w:type="dxa"/>
            <w:shd w:val="clear" w:color="auto" w:fill="EAF1DD" w:themeFill="accent3" w:themeFillTint="33"/>
            <w:vAlign w:val="center"/>
          </w:tcPr>
          <w:p w14:paraId="54E60F6C" w14:textId="76CC6BE3" w:rsidR="00F53E3A" w:rsidRDefault="0036255F">
            <w:pPr>
              <w:spacing w:after="0"/>
              <w:jc w:val="both"/>
              <w:rPr>
                <w:rFonts w:ascii="Times New Roman" w:eastAsia="Times New Roman" w:hAnsi="Times New Roman" w:cs="Times New Roman"/>
                <w:noProof/>
                <w:color w:val="000000"/>
              </w:rPr>
            </w:pPr>
            <w:r>
              <w:rPr>
                <w:rFonts w:ascii="Times New Roman" w:eastAsia="Times New Roman" w:hAnsi="Times New Roman" w:cs="Times New Roman"/>
                <w:noProof/>
                <w:color w:val="000000" w:themeColor="text1"/>
              </w:rPr>
              <w:t>387</w:t>
            </w:r>
            <w:r>
              <w:rPr>
                <w:rFonts w:ascii="Times New Roman" w:hAnsi="Times New Roman"/>
                <w:noProof/>
                <w:sz w:val="20"/>
              </w:rPr>
              <w:t xml:space="preserve"> </w:t>
            </w:r>
            <w:r>
              <w:rPr>
                <w:rFonts w:ascii="Times New Roman" w:eastAsia="Times New Roman" w:hAnsi="Times New Roman" w:cs="Times New Roman"/>
                <w:noProof/>
                <w:color w:val="000000" w:themeColor="text1"/>
              </w:rPr>
              <w:t>918</w:t>
            </w:r>
            <w:r>
              <w:rPr>
                <w:rFonts w:ascii="Times New Roman" w:hAnsi="Times New Roman"/>
                <w:noProof/>
                <w:sz w:val="20"/>
              </w:rPr>
              <w:t xml:space="preserve"> </w:t>
            </w:r>
            <w:r>
              <w:rPr>
                <w:rFonts w:ascii="Times New Roman" w:eastAsia="Times New Roman" w:hAnsi="Times New Roman" w:cs="Times New Roman"/>
                <w:noProof/>
                <w:color w:val="000000" w:themeColor="text1"/>
              </w:rPr>
              <w:t>089 MIL.</w:t>
            </w:r>
          </w:p>
        </w:tc>
      </w:tr>
    </w:tbl>
    <w:p w14:paraId="786162A8" w14:textId="77777777" w:rsidR="00F53E3A" w:rsidRDefault="0036255F">
      <w:pPr>
        <w:pStyle w:val="P68B1DB1-Normal36"/>
        <w:keepNext/>
        <w:keepLines/>
        <w:numPr>
          <w:ilvl w:val="1"/>
          <w:numId w:val="42"/>
        </w:numPr>
        <w:spacing w:before="480" w:line="240" w:lineRule="auto"/>
        <w:jc w:val="both"/>
        <w:rPr>
          <w:noProof/>
        </w:rPr>
      </w:pPr>
      <w:r>
        <w:rPr>
          <w:noProof/>
        </w:rPr>
        <w:t>A patra tranșă (sprijin sub formă de împrumut):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70" w:type="dxa"/>
          <w:bottom w:w="15" w:type="dxa"/>
          <w:right w:w="70" w:type="dxa"/>
        </w:tblCellMar>
        <w:tblLook w:val="04A0" w:firstRow="1" w:lastRow="0" w:firstColumn="1" w:lastColumn="0" w:noHBand="0" w:noVBand="1"/>
      </w:tblPr>
      <w:tblGrid>
        <w:gridCol w:w="1298"/>
        <w:gridCol w:w="3097"/>
        <w:gridCol w:w="1629"/>
        <w:gridCol w:w="3755"/>
      </w:tblGrid>
      <w:tr w:rsidR="00F53E3A" w14:paraId="472F7E17" w14:textId="77777777">
        <w:trPr>
          <w:cantSplit/>
          <w:trHeight w:val="491"/>
          <w:tblHeader/>
        </w:trPr>
        <w:tc>
          <w:tcPr>
            <w:tcW w:w="1298" w:type="dxa"/>
            <w:shd w:val="clear" w:color="auto" w:fill="BDD7EE"/>
            <w:vAlign w:val="center"/>
          </w:tcPr>
          <w:p w14:paraId="4B12B1F4" w14:textId="77777777" w:rsidR="00F53E3A" w:rsidRDefault="0036255F">
            <w:pPr>
              <w:pStyle w:val="P68B1DB1-Normal38"/>
              <w:spacing w:after="0"/>
              <w:jc w:val="center"/>
              <w:rPr>
                <w:bCs/>
                <w:noProof/>
                <w:szCs w:val="22"/>
              </w:rPr>
            </w:pPr>
            <w:r>
              <w:rPr>
                <w:noProof/>
              </w:rPr>
              <w:t>Număr secvențial</w:t>
            </w:r>
          </w:p>
        </w:tc>
        <w:tc>
          <w:tcPr>
            <w:tcW w:w="3097" w:type="dxa"/>
            <w:shd w:val="clear" w:color="auto" w:fill="BDD7EE"/>
            <w:vAlign w:val="center"/>
          </w:tcPr>
          <w:p w14:paraId="2741BF46" w14:textId="77777777" w:rsidR="00F53E3A" w:rsidRDefault="0036255F">
            <w:pPr>
              <w:pStyle w:val="P68B1DB1-Normal38"/>
              <w:spacing w:after="0"/>
              <w:jc w:val="center"/>
              <w:rPr>
                <w:bCs/>
                <w:noProof/>
                <w:szCs w:val="22"/>
              </w:rPr>
            </w:pPr>
            <w:r>
              <w:rPr>
                <w:noProof/>
              </w:rPr>
              <w:t xml:space="preserve">Măsură conexă </w:t>
            </w:r>
            <w:r>
              <w:rPr>
                <w:noProof/>
              </w:rPr>
              <w:br/>
              <w:t>(Reformă sau investiție)</w:t>
            </w:r>
          </w:p>
        </w:tc>
        <w:tc>
          <w:tcPr>
            <w:tcW w:w="1629" w:type="dxa"/>
            <w:shd w:val="clear" w:color="auto" w:fill="BDD7EE"/>
            <w:vAlign w:val="center"/>
          </w:tcPr>
          <w:p w14:paraId="2053ADE8" w14:textId="77777777" w:rsidR="00F53E3A" w:rsidRDefault="0036255F">
            <w:pPr>
              <w:pStyle w:val="P68B1DB1-Normal38"/>
              <w:spacing w:after="0"/>
              <w:jc w:val="center"/>
              <w:rPr>
                <w:bCs/>
                <w:noProof/>
                <w:szCs w:val="22"/>
              </w:rPr>
            </w:pPr>
            <w:r>
              <w:rPr>
                <w:noProof/>
              </w:rPr>
              <w:t>Etapă/Obiectiv</w:t>
            </w:r>
          </w:p>
        </w:tc>
        <w:tc>
          <w:tcPr>
            <w:tcW w:w="3755" w:type="dxa"/>
            <w:shd w:val="clear" w:color="auto" w:fill="BDD7EE"/>
            <w:vAlign w:val="center"/>
          </w:tcPr>
          <w:p w14:paraId="45437014" w14:textId="77777777" w:rsidR="00F53E3A" w:rsidRDefault="0036255F">
            <w:pPr>
              <w:pStyle w:val="P68B1DB1-Normal38"/>
              <w:spacing w:after="0"/>
              <w:jc w:val="center"/>
              <w:rPr>
                <w:bCs/>
                <w:noProof/>
                <w:szCs w:val="22"/>
              </w:rPr>
            </w:pPr>
            <w:r>
              <w:rPr>
                <w:noProof/>
              </w:rPr>
              <w:t>Nume</w:t>
            </w:r>
          </w:p>
        </w:tc>
      </w:tr>
      <w:tr w:rsidR="00F53E3A" w14:paraId="25AF4BC2" w14:textId="77777777">
        <w:trPr>
          <w:cantSplit/>
        </w:trPr>
        <w:tc>
          <w:tcPr>
            <w:tcW w:w="1298" w:type="dxa"/>
            <w:shd w:val="clear" w:color="auto" w:fill="EAF1DD" w:themeFill="accent3" w:themeFillTint="33"/>
            <w:noWrap/>
            <w:vAlign w:val="center"/>
          </w:tcPr>
          <w:p w14:paraId="0405157F" w14:textId="680E2BDB" w:rsidR="00F53E3A" w:rsidRDefault="0036255F">
            <w:pPr>
              <w:pStyle w:val="P68B1DB1-Normal39"/>
              <w:spacing w:after="0"/>
              <w:jc w:val="center"/>
              <w:rPr>
                <w:noProof/>
                <w:szCs w:val="22"/>
              </w:rPr>
            </w:pPr>
            <w:r>
              <w:rPr>
                <w:noProof/>
              </w:rPr>
              <w:t>180b</w:t>
            </w:r>
          </w:p>
        </w:tc>
        <w:tc>
          <w:tcPr>
            <w:tcW w:w="3097" w:type="dxa"/>
            <w:shd w:val="clear" w:color="auto" w:fill="EAF1DD" w:themeFill="accent3" w:themeFillTint="33"/>
          </w:tcPr>
          <w:p w14:paraId="52165425" w14:textId="14A077A1" w:rsidR="00F53E3A" w:rsidRDefault="0036255F">
            <w:pPr>
              <w:pStyle w:val="P68B1DB1-Normal39"/>
              <w:spacing w:after="0"/>
              <w:jc w:val="both"/>
              <w:rPr>
                <w:noProof/>
                <w:szCs w:val="22"/>
              </w:rPr>
            </w:pPr>
            <w:r>
              <w:rPr>
                <w:noProof/>
              </w:rPr>
              <w:t>F.3.1. Creșterea gradului de utilizare a achizițiilor publice centralizate</w:t>
            </w:r>
          </w:p>
        </w:tc>
        <w:tc>
          <w:tcPr>
            <w:tcW w:w="1629" w:type="dxa"/>
            <w:shd w:val="clear" w:color="auto" w:fill="EAF1DD" w:themeFill="accent3" w:themeFillTint="33"/>
          </w:tcPr>
          <w:p w14:paraId="3DA6F352" w14:textId="77777777" w:rsidR="00F53E3A" w:rsidRDefault="0036255F">
            <w:pPr>
              <w:pStyle w:val="P68B1DB1-Normal39"/>
              <w:spacing w:after="0"/>
              <w:jc w:val="center"/>
              <w:rPr>
                <w:noProof/>
                <w:szCs w:val="22"/>
              </w:rPr>
            </w:pPr>
            <w:r>
              <w:rPr>
                <w:noProof/>
              </w:rPr>
              <w:t>Țintă</w:t>
            </w:r>
          </w:p>
        </w:tc>
        <w:tc>
          <w:tcPr>
            <w:tcW w:w="3755" w:type="dxa"/>
            <w:shd w:val="clear" w:color="auto" w:fill="EAF1DD" w:themeFill="accent3" w:themeFillTint="33"/>
          </w:tcPr>
          <w:p w14:paraId="48D16F80" w14:textId="77777777" w:rsidR="00F53E3A" w:rsidRDefault="0036255F">
            <w:pPr>
              <w:pStyle w:val="P68B1DB1-Normal39"/>
              <w:spacing w:after="0"/>
              <w:jc w:val="both"/>
              <w:rPr>
                <w:noProof/>
                <w:szCs w:val="22"/>
              </w:rPr>
            </w:pPr>
            <w:r>
              <w:rPr>
                <w:noProof/>
              </w:rPr>
              <w:t>Extinderea catalogului Organizației Centrale de Achiziții (CPO LT)</w:t>
            </w:r>
          </w:p>
        </w:tc>
      </w:tr>
      <w:tr w:rsidR="00F53E3A" w14:paraId="60D30C02" w14:textId="77777777">
        <w:trPr>
          <w:cantSplit/>
        </w:trPr>
        <w:tc>
          <w:tcPr>
            <w:tcW w:w="1298" w:type="dxa"/>
            <w:shd w:val="clear" w:color="auto" w:fill="EAF1DD" w:themeFill="accent3" w:themeFillTint="33"/>
            <w:noWrap/>
            <w:vAlign w:val="center"/>
          </w:tcPr>
          <w:p w14:paraId="50FA052D" w14:textId="02B5703E" w:rsidR="00F53E3A" w:rsidRDefault="0036255F">
            <w:pPr>
              <w:pStyle w:val="P68B1DB1-Normal39"/>
              <w:spacing w:after="0"/>
              <w:jc w:val="center"/>
              <w:rPr>
                <w:noProof/>
                <w:szCs w:val="22"/>
              </w:rPr>
            </w:pPr>
            <w:r>
              <w:rPr>
                <w:noProof/>
              </w:rPr>
              <w:t>193</w:t>
            </w:r>
          </w:p>
        </w:tc>
        <w:tc>
          <w:tcPr>
            <w:tcW w:w="3097" w:type="dxa"/>
            <w:shd w:val="clear" w:color="auto" w:fill="EAF1DD" w:themeFill="accent3" w:themeFillTint="33"/>
          </w:tcPr>
          <w:p w14:paraId="22A575ED" w14:textId="77777777" w:rsidR="00F53E3A" w:rsidRDefault="0036255F">
            <w:pPr>
              <w:pStyle w:val="P68B1DB1-Normal39"/>
              <w:spacing w:after="0"/>
              <w:jc w:val="both"/>
              <w:rPr>
                <w:noProof/>
              </w:rPr>
            </w:pPr>
            <w:r>
              <w:rPr>
                <w:noProof/>
              </w:rPr>
              <w:t xml:space="preserve">G.3.1. Îmbunătățirea calității serviciilor sociale și de ocupare a forței de muncă – G.3.1.1 Creșterea gradului de integrare a serviciilor de ocupare a forței de muncă, a serviciilor sociale și a altor servicii </w:t>
            </w:r>
          </w:p>
        </w:tc>
        <w:tc>
          <w:tcPr>
            <w:tcW w:w="1629" w:type="dxa"/>
            <w:shd w:val="clear" w:color="auto" w:fill="EAF1DD" w:themeFill="accent3" w:themeFillTint="33"/>
          </w:tcPr>
          <w:p w14:paraId="40A9D220" w14:textId="77777777" w:rsidR="00F53E3A" w:rsidRDefault="0036255F">
            <w:pPr>
              <w:pStyle w:val="P68B1DB1-Normal39"/>
              <w:spacing w:after="0"/>
              <w:jc w:val="center"/>
              <w:rPr>
                <w:noProof/>
                <w:szCs w:val="22"/>
              </w:rPr>
            </w:pPr>
            <w:r>
              <w:rPr>
                <w:noProof/>
              </w:rPr>
              <w:t>Țintă</w:t>
            </w:r>
          </w:p>
        </w:tc>
        <w:tc>
          <w:tcPr>
            <w:tcW w:w="3755" w:type="dxa"/>
            <w:shd w:val="clear" w:color="auto" w:fill="EAF1DD" w:themeFill="accent3" w:themeFillTint="33"/>
          </w:tcPr>
          <w:p w14:paraId="4DEEE4F9" w14:textId="673BF4D0" w:rsidR="00F53E3A" w:rsidRDefault="0036255F">
            <w:pPr>
              <w:pStyle w:val="P68B1DB1-Normal39"/>
              <w:spacing w:after="0"/>
              <w:jc w:val="both"/>
              <w:rPr>
                <w:noProof/>
                <w:szCs w:val="22"/>
              </w:rPr>
            </w:pPr>
            <w:r>
              <w:rPr>
                <w:noProof/>
              </w:rPr>
              <w:t>Aprobarea programelor de stimulare a ocupării forței de muncă de către municipalități</w:t>
            </w:r>
          </w:p>
        </w:tc>
      </w:tr>
      <w:tr w:rsidR="00F53E3A" w14:paraId="5833053E" w14:textId="77777777">
        <w:trPr>
          <w:cantSplit/>
        </w:trPr>
        <w:tc>
          <w:tcPr>
            <w:tcW w:w="1298" w:type="dxa"/>
            <w:shd w:val="clear" w:color="auto" w:fill="EAF1DD" w:themeFill="accent3" w:themeFillTint="33"/>
            <w:noWrap/>
            <w:vAlign w:val="center"/>
          </w:tcPr>
          <w:p w14:paraId="1B80839E" w14:textId="059F9B6C" w:rsidR="00F53E3A" w:rsidRDefault="0036255F">
            <w:pPr>
              <w:pStyle w:val="P68B1DB1-Normal39"/>
              <w:spacing w:after="0"/>
              <w:jc w:val="center"/>
              <w:rPr>
                <w:noProof/>
                <w:szCs w:val="22"/>
              </w:rPr>
            </w:pPr>
            <w:r>
              <w:rPr>
                <w:noProof/>
              </w:rPr>
              <w:t>137e</w:t>
            </w:r>
          </w:p>
        </w:tc>
        <w:tc>
          <w:tcPr>
            <w:tcW w:w="3097" w:type="dxa"/>
            <w:shd w:val="clear" w:color="auto" w:fill="EAF1DD" w:themeFill="accent3" w:themeFillTint="33"/>
          </w:tcPr>
          <w:p w14:paraId="2C46048A" w14:textId="77777777" w:rsidR="00F53E3A" w:rsidRDefault="0036255F">
            <w:pPr>
              <w:pStyle w:val="P68B1DB1-Normal39"/>
              <w:spacing w:after="0"/>
              <w:jc w:val="both"/>
              <w:rPr>
                <w:noProof/>
                <w:szCs w:val="22"/>
              </w:rPr>
            </w:pPr>
            <w:r>
              <w:rPr>
                <w:noProof/>
              </w:rPr>
              <w:t>E.3.1. Împrumuturi acordate întreprinderilor pentru dezvoltarea de tehnologii ecologice și cu valoare adăugată ridicată pentru dezvoltarea industrială</w:t>
            </w:r>
          </w:p>
        </w:tc>
        <w:tc>
          <w:tcPr>
            <w:tcW w:w="1629" w:type="dxa"/>
            <w:shd w:val="clear" w:color="auto" w:fill="EAF1DD" w:themeFill="accent3" w:themeFillTint="33"/>
          </w:tcPr>
          <w:p w14:paraId="1528E832" w14:textId="77777777" w:rsidR="00F53E3A" w:rsidRDefault="0036255F">
            <w:pPr>
              <w:pStyle w:val="P68B1DB1-Normal39"/>
              <w:spacing w:after="0"/>
              <w:jc w:val="center"/>
              <w:rPr>
                <w:noProof/>
                <w:szCs w:val="22"/>
              </w:rPr>
            </w:pPr>
            <w:r>
              <w:rPr>
                <w:noProof/>
              </w:rPr>
              <w:t>Țintă</w:t>
            </w:r>
          </w:p>
        </w:tc>
        <w:tc>
          <w:tcPr>
            <w:tcW w:w="3755" w:type="dxa"/>
            <w:shd w:val="clear" w:color="auto" w:fill="EAF1DD" w:themeFill="accent3" w:themeFillTint="33"/>
          </w:tcPr>
          <w:p w14:paraId="5D607345" w14:textId="77777777" w:rsidR="00F53E3A" w:rsidRDefault="0036255F">
            <w:pPr>
              <w:pStyle w:val="P68B1DB1-Normal39"/>
              <w:spacing w:after="0"/>
              <w:jc w:val="both"/>
              <w:rPr>
                <w:noProof/>
                <w:szCs w:val="22"/>
              </w:rPr>
            </w:pPr>
            <w:r>
              <w:rPr>
                <w:noProof/>
              </w:rPr>
              <w:t>Acorduri juridice semnate cu beneficiarii finali</w:t>
            </w:r>
          </w:p>
        </w:tc>
      </w:tr>
      <w:tr w:rsidR="00F53E3A" w14:paraId="31645C22" w14:textId="77777777">
        <w:trPr>
          <w:cantSplit/>
        </w:trPr>
        <w:tc>
          <w:tcPr>
            <w:tcW w:w="1298" w:type="dxa"/>
            <w:shd w:val="clear" w:color="auto" w:fill="EAF1DD" w:themeFill="accent3" w:themeFillTint="33"/>
            <w:noWrap/>
            <w:vAlign w:val="center"/>
          </w:tcPr>
          <w:p w14:paraId="385CF9EF" w14:textId="571A27BF" w:rsidR="00F53E3A" w:rsidRDefault="0036255F">
            <w:pPr>
              <w:pStyle w:val="P68B1DB1-Normal39"/>
              <w:spacing w:after="0"/>
              <w:jc w:val="center"/>
              <w:rPr>
                <w:noProof/>
                <w:szCs w:val="22"/>
              </w:rPr>
            </w:pPr>
            <w:r>
              <w:rPr>
                <w:noProof/>
              </w:rPr>
              <w:t>137f</w:t>
            </w:r>
          </w:p>
        </w:tc>
        <w:tc>
          <w:tcPr>
            <w:tcW w:w="3097" w:type="dxa"/>
            <w:shd w:val="clear" w:color="auto" w:fill="EAF1DD" w:themeFill="accent3" w:themeFillTint="33"/>
          </w:tcPr>
          <w:p w14:paraId="61ED1A91" w14:textId="77777777" w:rsidR="00F53E3A" w:rsidRDefault="0036255F">
            <w:pPr>
              <w:pStyle w:val="P68B1DB1-Normal39"/>
              <w:spacing w:after="0"/>
              <w:jc w:val="both"/>
              <w:rPr>
                <w:noProof/>
                <w:szCs w:val="22"/>
              </w:rPr>
            </w:pPr>
            <w:r>
              <w:rPr>
                <w:noProof/>
              </w:rPr>
              <w:t>E.3.1. Împrumuturi acordate întreprinderilor pentru dezvoltarea de tehnologii ecologice și cu valoare adăugată ridicată pentru dezvoltarea industrială</w:t>
            </w:r>
          </w:p>
        </w:tc>
        <w:tc>
          <w:tcPr>
            <w:tcW w:w="1629" w:type="dxa"/>
            <w:shd w:val="clear" w:color="auto" w:fill="EAF1DD" w:themeFill="accent3" w:themeFillTint="33"/>
          </w:tcPr>
          <w:p w14:paraId="60211739" w14:textId="77777777" w:rsidR="00F53E3A" w:rsidRDefault="0036255F">
            <w:pPr>
              <w:pStyle w:val="P68B1DB1-Normal39"/>
              <w:spacing w:after="0"/>
              <w:jc w:val="center"/>
              <w:rPr>
                <w:noProof/>
                <w:szCs w:val="22"/>
              </w:rPr>
            </w:pPr>
            <w:r>
              <w:rPr>
                <w:noProof/>
              </w:rPr>
              <w:t>Etapă</w:t>
            </w:r>
          </w:p>
        </w:tc>
        <w:tc>
          <w:tcPr>
            <w:tcW w:w="3755" w:type="dxa"/>
            <w:shd w:val="clear" w:color="auto" w:fill="EAF1DD" w:themeFill="accent3" w:themeFillTint="33"/>
          </w:tcPr>
          <w:p w14:paraId="7084CAC8" w14:textId="77777777" w:rsidR="00F53E3A" w:rsidRDefault="0036255F">
            <w:pPr>
              <w:pStyle w:val="P68B1DB1-Normal39"/>
              <w:spacing w:after="0"/>
              <w:jc w:val="both"/>
              <w:rPr>
                <w:noProof/>
                <w:szCs w:val="22"/>
              </w:rPr>
            </w:pPr>
            <w:r>
              <w:rPr>
                <w:noProof/>
              </w:rPr>
              <w:t>Ministerul a finalizat investiția</w:t>
            </w:r>
          </w:p>
        </w:tc>
      </w:tr>
      <w:tr w:rsidR="00F53E3A" w14:paraId="12DCE7DF" w14:textId="77777777">
        <w:trPr>
          <w:cantSplit/>
        </w:trPr>
        <w:tc>
          <w:tcPr>
            <w:tcW w:w="1298" w:type="dxa"/>
            <w:shd w:val="clear" w:color="auto" w:fill="EAF1DD" w:themeFill="accent3" w:themeFillTint="33"/>
            <w:noWrap/>
            <w:vAlign w:val="center"/>
          </w:tcPr>
          <w:p w14:paraId="722F5964" w14:textId="2173ACFC" w:rsidR="00F53E3A" w:rsidRDefault="0036255F">
            <w:pPr>
              <w:pStyle w:val="P68B1DB1-Normal39"/>
              <w:spacing w:after="0"/>
              <w:jc w:val="center"/>
              <w:rPr>
                <w:noProof/>
                <w:szCs w:val="22"/>
              </w:rPr>
            </w:pPr>
            <w:r>
              <w:rPr>
                <w:noProof/>
              </w:rPr>
              <w:t>207</w:t>
            </w:r>
          </w:p>
        </w:tc>
        <w:tc>
          <w:tcPr>
            <w:tcW w:w="3097" w:type="dxa"/>
            <w:shd w:val="clear" w:color="auto" w:fill="EAF1DD" w:themeFill="accent3" w:themeFillTint="33"/>
          </w:tcPr>
          <w:p w14:paraId="1D8557C0" w14:textId="77777777" w:rsidR="00F53E3A" w:rsidRDefault="0036255F">
            <w:pPr>
              <w:pStyle w:val="P68B1DB1-Normal39"/>
              <w:spacing w:after="0"/>
              <w:jc w:val="both"/>
              <w:rPr>
                <w:noProof/>
                <w:szCs w:val="22"/>
              </w:rPr>
            </w:pPr>
            <w:r>
              <w:rPr>
                <w:noProof/>
              </w:rPr>
              <w:t>H.3.1. Sprijin pentru investiții în centrale SRE (solare și eoliene onshore)</w:t>
            </w:r>
          </w:p>
        </w:tc>
        <w:tc>
          <w:tcPr>
            <w:tcW w:w="1629" w:type="dxa"/>
            <w:shd w:val="clear" w:color="auto" w:fill="EAF1DD" w:themeFill="accent3" w:themeFillTint="33"/>
          </w:tcPr>
          <w:p w14:paraId="1F84357F" w14:textId="77777777" w:rsidR="00F53E3A" w:rsidRDefault="0036255F">
            <w:pPr>
              <w:pStyle w:val="P68B1DB1-Normal40"/>
              <w:spacing w:after="0"/>
              <w:jc w:val="center"/>
              <w:rPr>
                <w:noProof/>
                <w:color w:val="000000"/>
                <w:szCs w:val="22"/>
              </w:rPr>
            </w:pPr>
            <w:r>
              <w:rPr>
                <w:noProof/>
              </w:rPr>
              <w:t>Țintă</w:t>
            </w:r>
          </w:p>
        </w:tc>
        <w:tc>
          <w:tcPr>
            <w:tcW w:w="3755" w:type="dxa"/>
            <w:shd w:val="clear" w:color="auto" w:fill="EAF1DD" w:themeFill="accent3" w:themeFillTint="33"/>
          </w:tcPr>
          <w:p w14:paraId="2E050D53" w14:textId="77777777" w:rsidR="00F53E3A" w:rsidRDefault="0036255F">
            <w:pPr>
              <w:pStyle w:val="P68B1DB1-Normal39"/>
              <w:spacing w:after="0"/>
              <w:jc w:val="both"/>
              <w:rPr>
                <w:noProof/>
                <w:szCs w:val="22"/>
              </w:rPr>
            </w:pPr>
            <w:r>
              <w:rPr>
                <w:noProof/>
              </w:rPr>
              <w:t>Acorduri juridice semnate cu beneficiarii finali</w:t>
            </w:r>
          </w:p>
        </w:tc>
      </w:tr>
      <w:tr w:rsidR="00F53E3A" w14:paraId="4833A605" w14:textId="77777777">
        <w:trPr>
          <w:cantSplit/>
        </w:trPr>
        <w:tc>
          <w:tcPr>
            <w:tcW w:w="1298" w:type="dxa"/>
            <w:shd w:val="clear" w:color="auto" w:fill="EAF1DD" w:themeFill="accent3" w:themeFillTint="33"/>
            <w:noWrap/>
            <w:vAlign w:val="center"/>
          </w:tcPr>
          <w:p w14:paraId="3FB80AC3" w14:textId="6DC00B99" w:rsidR="00F53E3A" w:rsidRDefault="0036255F">
            <w:pPr>
              <w:pStyle w:val="P68B1DB1-Normal39"/>
              <w:spacing w:after="0"/>
              <w:jc w:val="center"/>
              <w:rPr>
                <w:noProof/>
                <w:szCs w:val="22"/>
              </w:rPr>
            </w:pPr>
            <w:r>
              <w:rPr>
                <w:noProof/>
              </w:rPr>
              <w:t>208</w:t>
            </w:r>
          </w:p>
        </w:tc>
        <w:tc>
          <w:tcPr>
            <w:tcW w:w="3097" w:type="dxa"/>
            <w:shd w:val="clear" w:color="auto" w:fill="EAF1DD" w:themeFill="accent3" w:themeFillTint="33"/>
          </w:tcPr>
          <w:p w14:paraId="1281AFE3" w14:textId="77777777" w:rsidR="00F53E3A" w:rsidRDefault="0036255F">
            <w:pPr>
              <w:pStyle w:val="P68B1DB1-Normal40"/>
              <w:spacing w:after="0"/>
              <w:jc w:val="both"/>
              <w:rPr>
                <w:noProof/>
                <w:color w:val="000000"/>
                <w:szCs w:val="22"/>
              </w:rPr>
            </w:pPr>
            <w:r>
              <w:rPr>
                <w:noProof/>
              </w:rPr>
              <w:t>H.3.1. Sprijin pentru investiții în centrale SRE (solare și eoliene onshore)</w:t>
            </w:r>
          </w:p>
        </w:tc>
        <w:tc>
          <w:tcPr>
            <w:tcW w:w="1629" w:type="dxa"/>
            <w:shd w:val="clear" w:color="auto" w:fill="EAF1DD" w:themeFill="accent3" w:themeFillTint="33"/>
          </w:tcPr>
          <w:p w14:paraId="1445512A" w14:textId="77777777" w:rsidR="00F53E3A" w:rsidRDefault="0036255F">
            <w:pPr>
              <w:pStyle w:val="P68B1DB1-Normal40"/>
              <w:spacing w:after="0"/>
              <w:jc w:val="center"/>
              <w:rPr>
                <w:noProof/>
                <w:color w:val="000000"/>
                <w:szCs w:val="22"/>
              </w:rPr>
            </w:pPr>
            <w:r>
              <w:rPr>
                <w:noProof/>
              </w:rPr>
              <w:t>Etapă</w:t>
            </w:r>
          </w:p>
        </w:tc>
        <w:tc>
          <w:tcPr>
            <w:tcW w:w="3755" w:type="dxa"/>
            <w:shd w:val="clear" w:color="auto" w:fill="EAF1DD" w:themeFill="accent3" w:themeFillTint="33"/>
          </w:tcPr>
          <w:p w14:paraId="4247667D" w14:textId="022BC248" w:rsidR="00F53E3A" w:rsidRDefault="0036255F">
            <w:pPr>
              <w:pStyle w:val="P68B1DB1-Normal40"/>
              <w:spacing w:after="0"/>
              <w:jc w:val="both"/>
              <w:rPr>
                <w:noProof/>
              </w:rPr>
            </w:pPr>
            <w:r>
              <w:rPr>
                <w:noProof/>
              </w:rPr>
              <w:t>Finalizarea transferurilor de investiții din MRR pentru mecanism</w:t>
            </w:r>
          </w:p>
        </w:tc>
      </w:tr>
      <w:tr w:rsidR="00F53E3A" w14:paraId="4F0DFEF1" w14:textId="77777777">
        <w:trPr>
          <w:cantSplit/>
        </w:trPr>
        <w:tc>
          <w:tcPr>
            <w:tcW w:w="1298" w:type="dxa"/>
            <w:shd w:val="clear" w:color="auto" w:fill="EAF1DD" w:themeFill="accent3" w:themeFillTint="33"/>
            <w:noWrap/>
            <w:vAlign w:val="center"/>
          </w:tcPr>
          <w:p w14:paraId="0074FB24" w14:textId="7B89D46E" w:rsidR="00F53E3A" w:rsidRDefault="00F53E3A">
            <w:pPr>
              <w:spacing w:after="0"/>
              <w:jc w:val="center"/>
              <w:rPr>
                <w:rFonts w:ascii="Times New Roman" w:eastAsia="Times New Roman" w:hAnsi="Times New Roman" w:cs="Times New Roman"/>
                <w:noProof/>
                <w:color w:val="000000" w:themeColor="text1"/>
              </w:rPr>
            </w:pPr>
          </w:p>
        </w:tc>
        <w:tc>
          <w:tcPr>
            <w:tcW w:w="3097" w:type="dxa"/>
            <w:shd w:val="clear" w:color="auto" w:fill="EAF1DD" w:themeFill="accent3" w:themeFillTint="33"/>
            <w:vAlign w:val="center"/>
          </w:tcPr>
          <w:p w14:paraId="22D34815" w14:textId="77777777" w:rsidR="00F53E3A" w:rsidRDefault="0036255F">
            <w:pPr>
              <w:pStyle w:val="P68B1DB1-Normal39"/>
              <w:spacing w:after="0"/>
              <w:jc w:val="both"/>
              <w:rPr>
                <w:noProof/>
                <w:szCs w:val="22"/>
              </w:rPr>
            </w:pPr>
            <w:r>
              <w:rPr>
                <w:noProof/>
              </w:rPr>
              <w:t xml:space="preserve"> </w:t>
            </w:r>
          </w:p>
        </w:tc>
        <w:tc>
          <w:tcPr>
            <w:tcW w:w="1629" w:type="dxa"/>
            <w:shd w:val="clear" w:color="auto" w:fill="EAF1DD" w:themeFill="accent3" w:themeFillTint="33"/>
            <w:vAlign w:val="center"/>
          </w:tcPr>
          <w:p w14:paraId="1E81035B" w14:textId="0E2CCF02" w:rsidR="00F53E3A" w:rsidRDefault="0036255F">
            <w:pPr>
              <w:pStyle w:val="P68B1DB1-Normal39"/>
              <w:spacing w:after="0"/>
              <w:jc w:val="center"/>
              <w:rPr>
                <w:noProof/>
                <w:szCs w:val="22"/>
              </w:rPr>
            </w:pPr>
            <w:r>
              <w:rPr>
                <w:noProof/>
              </w:rPr>
              <w:t>Cuantumul tranșei</w:t>
            </w:r>
          </w:p>
        </w:tc>
        <w:tc>
          <w:tcPr>
            <w:tcW w:w="3755" w:type="dxa"/>
            <w:shd w:val="clear" w:color="auto" w:fill="EAF1DD" w:themeFill="accent3" w:themeFillTint="33"/>
            <w:vAlign w:val="center"/>
          </w:tcPr>
          <w:p w14:paraId="566A821A" w14:textId="7B38358A" w:rsidR="00F53E3A" w:rsidRDefault="0036255F">
            <w:pPr>
              <w:spacing w:after="0"/>
              <w:jc w:val="both"/>
              <w:rPr>
                <w:rFonts w:ascii="Times New Roman" w:eastAsia="Times New Roman" w:hAnsi="Times New Roman" w:cs="Times New Roman"/>
                <w:noProof/>
                <w:color w:val="000000"/>
                <w:szCs w:val="22"/>
              </w:rPr>
            </w:pPr>
            <w:r>
              <w:rPr>
                <w:rFonts w:ascii="Times New Roman" w:eastAsia="Times New Roman" w:hAnsi="Times New Roman" w:cs="Times New Roman"/>
                <w:noProof/>
                <w:color w:val="000000" w:themeColor="text1"/>
              </w:rPr>
              <w:t>465</w:t>
            </w:r>
            <w:r>
              <w:rPr>
                <w:rFonts w:ascii="Times New Roman" w:hAnsi="Times New Roman"/>
                <w:noProof/>
                <w:sz w:val="20"/>
              </w:rPr>
              <w:t xml:space="preserve"> </w:t>
            </w:r>
            <w:r>
              <w:rPr>
                <w:rFonts w:ascii="Times New Roman" w:eastAsia="Times New Roman" w:hAnsi="Times New Roman" w:cs="Times New Roman"/>
                <w:noProof/>
                <w:color w:val="000000" w:themeColor="text1"/>
              </w:rPr>
              <w:t>501</w:t>
            </w:r>
            <w:r>
              <w:rPr>
                <w:rFonts w:ascii="Times New Roman" w:hAnsi="Times New Roman"/>
                <w:noProof/>
                <w:sz w:val="20"/>
              </w:rPr>
              <w:t xml:space="preserve"> </w:t>
            </w:r>
            <w:r>
              <w:rPr>
                <w:rFonts w:ascii="Times New Roman" w:eastAsia="Times New Roman" w:hAnsi="Times New Roman" w:cs="Times New Roman"/>
                <w:noProof/>
                <w:color w:val="000000" w:themeColor="text1"/>
              </w:rPr>
              <w:t>707 MIL.</w:t>
            </w:r>
          </w:p>
        </w:tc>
      </w:tr>
    </w:tbl>
    <w:p w14:paraId="04AFEC7D" w14:textId="6BC2C81A" w:rsidR="00F53E3A" w:rsidRDefault="0036255F">
      <w:pPr>
        <w:pStyle w:val="P68B1DB1-Heading12"/>
        <w:numPr>
          <w:ilvl w:val="0"/>
          <w:numId w:val="0"/>
        </w:numPr>
        <w:spacing w:after="200"/>
        <w:rPr>
          <w:noProof/>
        </w:rPr>
      </w:pPr>
      <w:r>
        <w:rPr>
          <w:noProof/>
        </w:rPr>
        <w:t>Secțiunea 3: Dispoziții suplimentare</w:t>
      </w:r>
    </w:p>
    <w:p w14:paraId="2914D6DF" w14:textId="77777777" w:rsidR="00F53E3A" w:rsidRDefault="0036255F">
      <w:pPr>
        <w:pStyle w:val="P68B1DB1-Normal44"/>
        <w:jc w:val="both"/>
        <w:rPr>
          <w:noProof/>
        </w:rPr>
      </w:pPr>
      <w:r>
        <w:rPr>
          <w:noProof/>
        </w:rPr>
        <w:t xml:space="preserve">1. Modalități de monitorizare și de punere în aplicare a planului de redresare și reziliență </w:t>
      </w:r>
    </w:p>
    <w:p w14:paraId="1F83FE48" w14:textId="5AA216CB" w:rsidR="00F53E3A" w:rsidRDefault="0036255F">
      <w:pPr>
        <w:pStyle w:val="P68B1DB1-Normal36"/>
        <w:jc w:val="both"/>
        <w:rPr>
          <w:noProof/>
        </w:rPr>
      </w:pPr>
      <w:r>
        <w:rPr>
          <w:noProof/>
        </w:rPr>
        <w:t>Monitorizarea și implementarea planului de redresare și reziliență al Lituaniei se desfășoară în conformitate cu următoarele dispoziții:</w:t>
      </w:r>
    </w:p>
    <w:p w14:paraId="25BEDEC2" w14:textId="147EAC3B" w:rsidR="00F53E3A" w:rsidRDefault="0036255F">
      <w:pPr>
        <w:pStyle w:val="P68B1DB1-Normal36"/>
        <w:jc w:val="both"/>
        <w:rPr>
          <w:noProof/>
        </w:rPr>
      </w:pPr>
      <w:r>
        <w:rPr>
          <w:noProof/>
        </w:rPr>
        <w:t>Punerea în aplicare a planului este coordonată de Ministerul Finanțelor, care îndeplinește, de asemenea, funcțiile unei autorități de management. Funcțiile îndeplinite de Ministerul Finanțelor în calitate de autoritate de management sunt separate de celelalte funcții ale sale, inclusiv de cele ale autorității de audit. Autoritatea de Audit, formată din două unități administrative ale Ministerului Finanțelor și independentă de celelalte unități administrative ale ministerului, efectuează audituri în conformitate cu strategia de audit adoptată. Ministerele sectoriale îndeplinesc responsabilitățile care le sunt atribuite, legate în principal de punerea în aplicare practică a planului. Organismul public Agenția Centrală de Gestionare a Proiectelor (CPMA) este autoritatea de administrare responsabilă cu monitorizarea și controlul proiectelor, inclusiv cu controalele la fața locului, precum și cu întocmirea și depunerea cererii de plată, depunerea declarațiilor de gestiune și a rezumatelor auditurilor.</w:t>
      </w:r>
    </w:p>
    <w:p w14:paraId="267480B6" w14:textId="53F57E92" w:rsidR="00F53E3A" w:rsidRDefault="0036255F">
      <w:pPr>
        <w:pStyle w:val="P68B1DB1-Normal36"/>
        <w:jc w:val="both"/>
        <w:rPr>
          <w:noProof/>
        </w:rPr>
      </w:pPr>
      <w:r>
        <w:rPr>
          <w:noProof/>
        </w:rPr>
        <w:t>Punerea în aplicare și monitorizarea planului necesită resurse umane suplimentare. Aproximativ 16</w:t>
      </w:r>
      <w:r w:rsidR="000D38AD">
        <w:rPr>
          <w:noProof/>
        </w:rPr>
        <w:t> </w:t>
      </w:r>
      <w:r>
        <w:rPr>
          <w:noProof/>
        </w:rPr>
        <w:t>de locuri de muncă echivalente cu normă întreagă vor fi alocate în cadrul autorității de management în cadrul resurselor existente ale instituției, iar aproximativ 100 de noi angajați vor fi angajați în cadrul CPMA pentru a exercita funcții legate de planificare.</w:t>
      </w:r>
    </w:p>
    <w:p w14:paraId="5E7A7D7D" w14:textId="77777777" w:rsidR="00F53E3A" w:rsidRDefault="0036255F">
      <w:pPr>
        <w:pStyle w:val="P68B1DB1-Normal44"/>
        <w:jc w:val="both"/>
        <w:rPr>
          <w:noProof/>
        </w:rPr>
      </w:pPr>
      <w:r>
        <w:rPr>
          <w:noProof/>
        </w:rPr>
        <w:t>2. Măsuri pentru asigurarea accesului deplin al Comisiei la datele subiacente</w:t>
      </w:r>
    </w:p>
    <w:p w14:paraId="1C2D072B" w14:textId="254CAFA3" w:rsidR="00F53E3A" w:rsidRDefault="0036255F">
      <w:pPr>
        <w:pStyle w:val="P68B1DB1-Normal36"/>
        <w:jc w:val="both"/>
        <w:rPr>
          <w:noProof/>
        </w:rPr>
      </w:pPr>
      <w:r>
        <w:rPr>
          <w:noProof/>
        </w:rPr>
        <w:t>Pentru a oferi Comisiei acces deplin la datele subiacente relevante, Lituania dispune de următoarele mecanisme:</w:t>
      </w:r>
    </w:p>
    <w:p w14:paraId="0678BF89" w14:textId="7D4CC4CD" w:rsidR="00F53E3A" w:rsidRDefault="0036255F">
      <w:pPr>
        <w:pStyle w:val="P68B1DB1-Normal36"/>
        <w:jc w:val="both"/>
        <w:rPr>
          <w:noProof/>
        </w:rPr>
      </w:pPr>
      <w:r>
        <w:rPr>
          <w:noProof/>
        </w:rPr>
        <w:t>Ministerul Finanțelor, în calitate de organism central de coordonare pentru planul de redresare și reziliență al Lituaniei și pentru punerea în aplicare a acestuia, este responsabil de coordonarea și monitorizarea generală a planului. În special, acesta acționează în calitate de organism de coordonare (împreună cu CPMA) pentru monitorizarea progreselor înregistrate în ceea ce privește jaloanele și țintele și, după caz, pentru punerea în aplicare a activităților de control și audit. CPMA furnizează Comisiei rapoarte și cereri de plată. Acesta coordonează raportarea jaloanelor și a țintelor, a indicatorilor relevanți, dar și a informațiilor financiare calitative și a altor date, cum ar fi cele privind destinatarii finali. Codificarea datelor are loc într-un sistem unic de informații dedicat gestionării planului de redresare și reziliență și a altor fonduri ale UE pentru perioada 2021-2027 (INVESTIS), care va fi instituit și va deveni operațional până la 30 septembrie 2023. Acest sistem colectează informațiile necesare pentru a monitoriza întregul ciclu de viață al reformelor și al investițiilor, inclusiv jaloanele, țintele și rezultatele, precum și alte informații legate de implementarea planului de redresare și reziliență [inclusiv datele necesare în temeiul articolului 22 alineatul (2) litera (d) din Regulamentul (UE) 2021/241]. În cursul perioadei de tranziție (până când INVESTIS devine pe deplin operațional), sistemele naționale de informații existente în prezent sunt utilizate pentru compilarea datelor menționate la articolul 22 litera d) din Regulamentul</w:t>
      </w:r>
      <w:r w:rsidR="000D38AD">
        <w:rPr>
          <w:noProof/>
        </w:rPr>
        <w:t> </w:t>
      </w:r>
      <w:r>
        <w:rPr>
          <w:noProof/>
        </w:rPr>
        <w:t>(UE)</w:t>
      </w:r>
      <w:r w:rsidR="000D38AD">
        <w:rPr>
          <w:noProof/>
        </w:rPr>
        <w:t> </w:t>
      </w:r>
      <w:r>
        <w:rPr>
          <w:noProof/>
        </w:rPr>
        <w:t>2021/241</w:t>
      </w:r>
      <w:r>
        <w:rPr>
          <w:noProof/>
        </w:rPr>
        <w:footnoteReference w:id="25"/>
      </w:r>
      <w:r>
        <w:rPr>
          <w:noProof/>
        </w:rPr>
        <w:t xml:space="preserve">: </w:t>
      </w:r>
    </w:p>
    <w:p w14:paraId="6158A61C" w14:textId="77777777" w:rsidR="00F53E3A" w:rsidRDefault="0036255F">
      <w:pPr>
        <w:pStyle w:val="P68B1DB1-Normal36"/>
        <w:numPr>
          <w:ilvl w:val="0"/>
          <w:numId w:val="24"/>
        </w:numPr>
        <w:jc w:val="both"/>
        <w:rPr>
          <w:noProof/>
        </w:rPr>
      </w:pPr>
      <w:r>
        <w:rPr>
          <w:noProof/>
        </w:rPr>
        <w:t xml:space="preserve">Sistemul informațional de monitorizare (SIS) care conține date privind proiectele de investiții finanțate de la bugetul de stat, și anume titlul, calendarul punerii în aplicare, nevoia de fonduri, sursele de finanțare, indicatorii-țintă, utilizarea fondurilor și alte informații relevante; </w:t>
      </w:r>
    </w:p>
    <w:p w14:paraId="20E97AFB" w14:textId="77777777" w:rsidR="00F53E3A" w:rsidRDefault="0036255F">
      <w:pPr>
        <w:pStyle w:val="P68B1DB1-Normal36"/>
        <w:numPr>
          <w:ilvl w:val="0"/>
          <w:numId w:val="24"/>
        </w:numPr>
        <w:jc w:val="both"/>
        <w:rPr>
          <w:noProof/>
        </w:rPr>
      </w:pPr>
      <w:r>
        <w:rPr>
          <w:noProof/>
        </w:rPr>
        <w:t xml:space="preserve">Sistemul central de informații privind achizițiile publice (IPC IS), care prelucrează datele referitoare la procedurile de achiziții publice și conține numele contractantului și al subcontractantului; </w:t>
      </w:r>
    </w:p>
    <w:p w14:paraId="381FBDDC" w14:textId="77777777" w:rsidR="00F53E3A" w:rsidRDefault="0036255F">
      <w:pPr>
        <w:pStyle w:val="P68B1DB1-Normal36"/>
        <w:numPr>
          <w:ilvl w:val="0"/>
          <w:numId w:val="24"/>
        </w:numPr>
        <w:jc w:val="both"/>
        <w:rPr>
          <w:noProof/>
        </w:rPr>
      </w:pPr>
      <w:r>
        <w:rPr>
          <w:noProof/>
        </w:rPr>
        <w:t xml:space="preserve">Sistemul de informații pentru participanții la entitățile juridice (JADIS), care conține date privind acționarii persoanelor juridice. </w:t>
      </w:r>
    </w:p>
    <w:p w14:paraId="34C3701F" w14:textId="77777777" w:rsidR="00F53E3A" w:rsidRDefault="0036255F">
      <w:pPr>
        <w:pStyle w:val="P68B1DB1-Normal36"/>
        <w:jc w:val="both"/>
        <w:rPr>
          <w:noProof/>
        </w:rPr>
      </w:pPr>
      <w:r>
        <w:rPr>
          <w:noProof/>
        </w:rPr>
        <w:t>Odată ce INVESTIS devine operațional, datele generate în cursul perioadei de tranziție sunt transferate către INVESTIS. Angajamentul de a monitoriza îndeplinirea cerințelor MRR, inclusiv în perioada de tranziție în care vor fi utilizate sisteme informatice alternative, a fost inclus în plan (a se vedea componenta sectorului public).</w:t>
      </w:r>
    </w:p>
    <w:p w14:paraId="48B12EE0" w14:textId="127CDEE1" w:rsidR="00F53E3A" w:rsidRDefault="0036255F">
      <w:pPr>
        <w:pStyle w:val="P68B1DB1-Normal36"/>
        <w:jc w:val="both"/>
        <w:rPr>
          <w:noProof/>
        </w:rPr>
      </w:pPr>
      <w:r>
        <w:rPr>
          <w:noProof/>
        </w:rPr>
        <w:t>În conformitate cu articolul 24 alineatul (2) din Regulamentul (UE) 2021/241, la finalizarea jaloanelor și a țintelor relevante convenite în secțiunea 2.1 din prezenta anexă, Lituania prezintă Comisiei o cerere justificată în mod corespunzător de plată a contribuției financiare. Lituania se asigură că, la cerere, Comisia are acces deplin la datele subiacente relevante care justifică în mod corespunzător cererea de plată, atât pentru evaluarea cererii de plată în conformitate cu articolul 24 alineatul (3) din Regulamentul (UE) 2021/241, cât și în scopuri de audit și control.</w:t>
      </w:r>
    </w:p>
    <w:sectPr w:rsidR="00F53E3A">
      <w:headerReference w:type="even" r:id="rId174"/>
      <w:headerReference w:type="default" r:id="rId175"/>
      <w:footerReference w:type="even" r:id="rId176"/>
      <w:footerReference w:type="default" r:id="rId177"/>
      <w:headerReference w:type="first" r:id="rId178"/>
      <w:footerReference w:type="first" r:id="rId179"/>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C0F7E0" w14:textId="77777777" w:rsidR="00F53E3A" w:rsidRDefault="0036255F">
      <w:pPr>
        <w:spacing w:after="0" w:line="240" w:lineRule="auto"/>
      </w:pPr>
      <w:r>
        <w:separator/>
      </w:r>
    </w:p>
  </w:endnote>
  <w:endnote w:type="continuationSeparator" w:id="0">
    <w:p w14:paraId="037C7205" w14:textId="77777777" w:rsidR="00F53E3A" w:rsidRDefault="0036255F">
      <w:pPr>
        <w:spacing w:after="0" w:line="240" w:lineRule="auto"/>
      </w:pPr>
      <w:r>
        <w:continuationSeparator/>
      </w:r>
    </w:p>
  </w:endnote>
  <w:endnote w:type="continuationNotice" w:id="1">
    <w:p w14:paraId="1820411A" w14:textId="77777777" w:rsidR="00F53E3A" w:rsidRDefault="00F53E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EC Square Sans Pro">
    <w:altName w:val="Segoe UI"/>
    <w:charset w:val="00"/>
    <w:family w:val="swiss"/>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B40D9A" w14:textId="44CD2444" w:rsidR="0064484B" w:rsidRPr="0064484B" w:rsidRDefault="0064484B" w:rsidP="0064484B">
    <w:pPr>
      <w:pStyle w:val="FooterCoverPage"/>
      <w:rPr>
        <w:rFonts w:ascii="Arial" w:hAnsi="Arial" w:cs="Arial"/>
        <w:b/>
        <w:sz w:val="48"/>
      </w:rPr>
    </w:pPr>
    <w:r w:rsidRPr="0064484B">
      <w:rPr>
        <w:rFonts w:ascii="Arial" w:hAnsi="Arial" w:cs="Arial"/>
        <w:b/>
        <w:sz w:val="48"/>
      </w:rPr>
      <w:t>RO</w:t>
    </w:r>
    <w:r w:rsidRPr="0064484B">
      <w:rPr>
        <w:rFonts w:ascii="Arial" w:hAnsi="Arial" w:cs="Arial"/>
        <w:b/>
        <w:sz w:val="48"/>
      </w:rPr>
      <w:tab/>
    </w:r>
    <w:r w:rsidRPr="0064484B">
      <w:rPr>
        <w:rFonts w:ascii="Arial" w:hAnsi="Arial" w:cs="Arial"/>
        <w:b/>
        <w:sz w:val="48"/>
      </w:rPr>
      <w:tab/>
    </w:r>
    <w:r w:rsidRPr="0064484B">
      <w:tab/>
    </w:r>
    <w:r w:rsidRPr="0064484B">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DE694" w14:textId="5974950E" w:rsidR="0064484B" w:rsidRPr="0064484B" w:rsidRDefault="0064484B" w:rsidP="0064484B">
    <w:pPr>
      <w:pStyle w:val="FooterCoverPage"/>
      <w:rPr>
        <w:rFonts w:ascii="Arial" w:hAnsi="Arial" w:cs="Arial"/>
        <w:b/>
        <w:sz w:val="48"/>
      </w:rPr>
    </w:pPr>
    <w:r w:rsidRPr="0064484B">
      <w:rPr>
        <w:rFonts w:ascii="Arial" w:hAnsi="Arial" w:cs="Arial"/>
        <w:b/>
        <w:sz w:val="48"/>
      </w:rPr>
      <w:t>RO</w:t>
    </w:r>
    <w:r w:rsidRPr="0064484B">
      <w:rPr>
        <w:rFonts w:ascii="Arial" w:hAnsi="Arial" w:cs="Arial"/>
        <w:b/>
        <w:sz w:val="48"/>
      </w:rPr>
      <w:tab/>
    </w:r>
    <w:r w:rsidRPr="0064484B">
      <w:rPr>
        <w:rFonts w:ascii="Arial" w:hAnsi="Arial" w:cs="Arial"/>
        <w:b/>
        <w:sz w:val="48"/>
      </w:rPr>
      <w:tab/>
    </w:r>
    <w:r w:rsidRPr="0064484B">
      <w:tab/>
    </w:r>
    <w:r w:rsidRPr="0064484B">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A6E7A9" w14:textId="77777777" w:rsidR="0064484B" w:rsidRPr="0064484B" w:rsidRDefault="0064484B" w:rsidP="0064484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426174" w14:textId="77777777" w:rsidR="00F53E3A" w:rsidRDefault="00F53E3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6013130"/>
      <w:docPartObj>
        <w:docPartGallery w:val="Page Numbers (Bottom of Page)"/>
        <w:docPartUnique/>
      </w:docPartObj>
    </w:sdtPr>
    <w:sdtEndPr/>
    <w:sdtContent>
      <w:p w14:paraId="012C66AF" w14:textId="4E3D5E16" w:rsidR="00F53E3A" w:rsidRDefault="0036255F">
        <w:pPr>
          <w:pStyle w:val="Footer"/>
          <w:jc w:val="center"/>
        </w:pPr>
        <w:r>
          <w:fldChar w:fldCharType="begin"/>
        </w:r>
        <w:r>
          <w:instrText xml:space="preserve"> PAGE   \* MERGEFORMAT </w:instrText>
        </w:r>
        <w:r>
          <w:fldChar w:fldCharType="separate"/>
        </w:r>
        <w:r w:rsidR="0064484B">
          <w:rPr>
            <w:noProof/>
          </w:rPr>
          <w:t>5</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7091064"/>
      <w:docPartObj>
        <w:docPartGallery w:val="Page Numbers (Bottom of Page)"/>
        <w:docPartUnique/>
      </w:docPartObj>
    </w:sdtPr>
    <w:sdtEndPr/>
    <w:sdtContent>
      <w:p w14:paraId="3307A91D" w14:textId="5451B106" w:rsidR="00F53E3A" w:rsidRDefault="0036255F">
        <w:pPr>
          <w:pStyle w:val="Footer"/>
          <w:jc w:val="center"/>
        </w:pPr>
        <w:r>
          <w:fldChar w:fldCharType="begin"/>
        </w:r>
        <w:r>
          <w:instrText xml:space="preserve"> PAGE   \* MERGEFORMAT </w:instrText>
        </w:r>
        <w:r>
          <w:fldChar w:fldCharType="separate"/>
        </w:r>
        <w:r w:rsidR="0064484B">
          <w:rPr>
            <w:noProof/>
          </w:rPr>
          <w:t>1</w:t>
        </w:r>
        <w: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CB9FB" w14:textId="77777777" w:rsidR="00F53E3A" w:rsidRDefault="00F53E3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1653698"/>
      <w:docPartObj>
        <w:docPartGallery w:val="Page Numbers (Bottom of Page)"/>
        <w:docPartUnique/>
      </w:docPartObj>
    </w:sdtPr>
    <w:sdtEndPr/>
    <w:sdtContent>
      <w:p w14:paraId="7AA80BA3" w14:textId="71AFAEE9" w:rsidR="00F53E3A" w:rsidRDefault="0036255F">
        <w:pPr>
          <w:pStyle w:val="Footer"/>
          <w:jc w:val="center"/>
        </w:pPr>
        <w:r>
          <w:fldChar w:fldCharType="begin"/>
        </w:r>
        <w:r>
          <w:instrText xml:space="preserve"> PAGE   \* MERGEFORMAT </w:instrText>
        </w:r>
        <w:r>
          <w:fldChar w:fldCharType="separate"/>
        </w:r>
        <w:r w:rsidR="00A027A2">
          <w:rPr>
            <w:noProof/>
          </w:rPr>
          <w:t>14</w:t>
        </w:r>
        <w:r>
          <w:fldChar w:fldCharType="end"/>
        </w:r>
      </w:p>
    </w:sdtContent>
  </w:sdt>
  <w:p w14:paraId="7D0CE7E5" w14:textId="77777777" w:rsidR="00F53E3A" w:rsidRDefault="00F53E3A">
    <w:pPr>
      <w:pStyle w:val="FooterCouncil"/>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D91F1" w14:textId="77777777" w:rsidR="00F53E3A" w:rsidRDefault="00F53E3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50D87" w14:textId="77777777" w:rsidR="00F53E3A" w:rsidRDefault="00F53E3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0923848"/>
      <w:docPartObj>
        <w:docPartGallery w:val="Page Numbers (Bottom of Page)"/>
        <w:docPartUnique/>
      </w:docPartObj>
    </w:sdtPr>
    <w:sdtEndPr/>
    <w:sdtContent>
      <w:p w14:paraId="0A9D5EB2" w14:textId="46D02C6E" w:rsidR="00F53E3A" w:rsidRDefault="0036255F">
        <w:pPr>
          <w:pStyle w:val="Footer"/>
          <w:jc w:val="center"/>
        </w:pPr>
        <w:r>
          <w:fldChar w:fldCharType="begin"/>
        </w:r>
        <w:r>
          <w:instrText xml:space="preserve"> PAGE   \* MERGEFORMAT </w:instrText>
        </w:r>
        <w:r>
          <w:fldChar w:fldCharType="separate"/>
        </w:r>
        <w:r w:rsidR="00A027A2">
          <w:rPr>
            <w:noProof/>
          </w:rPr>
          <w:t>19</w:t>
        </w:r>
        <w:r>
          <w:fldChar w:fldCharType="end"/>
        </w:r>
      </w:p>
    </w:sdtContent>
  </w:sdt>
  <w:p w14:paraId="391A5606" w14:textId="77777777" w:rsidR="00F53E3A" w:rsidRDefault="00F53E3A">
    <w:pPr>
      <w:pStyle w:val="FooterCouncil"/>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C89B2" w14:textId="77777777" w:rsidR="00F53E3A" w:rsidRDefault="00F53E3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EF5747" w14:textId="77777777" w:rsidR="00F53E3A" w:rsidRDefault="00F53E3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2915079"/>
      <w:docPartObj>
        <w:docPartGallery w:val="Page Numbers (Bottom of Page)"/>
        <w:docPartUnique/>
      </w:docPartObj>
    </w:sdtPr>
    <w:sdtEndPr/>
    <w:sdtContent>
      <w:p w14:paraId="431CD66D" w14:textId="49058634" w:rsidR="00F53E3A" w:rsidRDefault="0036255F">
        <w:pPr>
          <w:pStyle w:val="Footer"/>
          <w:jc w:val="center"/>
        </w:pPr>
        <w:r>
          <w:fldChar w:fldCharType="begin"/>
        </w:r>
        <w:r>
          <w:instrText xml:space="preserve"> PAGE   \* MERGEFORMAT </w:instrText>
        </w:r>
        <w:r>
          <w:fldChar w:fldCharType="separate"/>
        </w:r>
        <w:r w:rsidR="00A027A2">
          <w:rPr>
            <w:noProof/>
          </w:rPr>
          <w:t>20</w:t>
        </w:r>
        <w:r>
          <w:fldChar w:fldCharType="end"/>
        </w:r>
      </w:p>
    </w:sdtContent>
  </w:sdt>
  <w:p w14:paraId="51D4A260" w14:textId="77777777" w:rsidR="00F53E3A" w:rsidRDefault="00F53E3A">
    <w:pPr>
      <w:pStyle w:val="FooterCouncil"/>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E745D" w14:textId="77777777" w:rsidR="00F53E3A" w:rsidRDefault="00F53E3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C00B23" w14:textId="77777777" w:rsidR="00F53E3A" w:rsidRDefault="00F53E3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704930"/>
      <w:docPartObj>
        <w:docPartGallery w:val="Page Numbers (Bottom of Page)"/>
        <w:docPartUnique/>
      </w:docPartObj>
    </w:sdtPr>
    <w:sdtEndPr/>
    <w:sdtContent>
      <w:p w14:paraId="06EA8954" w14:textId="336C4A6B" w:rsidR="00F53E3A" w:rsidRDefault="0036255F">
        <w:pPr>
          <w:pStyle w:val="Footer"/>
          <w:jc w:val="center"/>
        </w:pPr>
        <w:r>
          <w:fldChar w:fldCharType="begin"/>
        </w:r>
        <w:r>
          <w:instrText xml:space="preserve"> PAGE   \* MERGEFORMAT </w:instrText>
        </w:r>
        <w:r>
          <w:fldChar w:fldCharType="separate"/>
        </w:r>
        <w:r>
          <w:t>31</w:t>
        </w:r>
        <w:r>
          <w:fldChar w:fldCharType="end"/>
        </w:r>
      </w:p>
    </w:sdtContent>
  </w:sdt>
  <w:p w14:paraId="7DAF8A49" w14:textId="77777777" w:rsidR="00F53E3A" w:rsidRDefault="00F53E3A">
    <w:pPr>
      <w:pStyle w:val="FooterCouncil"/>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1DB622" w14:textId="77777777" w:rsidR="00F53E3A" w:rsidRDefault="00F53E3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F95096" w14:textId="77777777" w:rsidR="00F53E3A" w:rsidRDefault="00F53E3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2838362"/>
      <w:docPartObj>
        <w:docPartGallery w:val="Page Numbers (Bottom of Page)"/>
        <w:docPartUnique/>
      </w:docPartObj>
    </w:sdtPr>
    <w:sdtEndPr/>
    <w:sdtContent>
      <w:p w14:paraId="26181AF6" w14:textId="7DFBE9F9" w:rsidR="00F53E3A" w:rsidRDefault="0036255F">
        <w:pPr>
          <w:pStyle w:val="Footer"/>
          <w:jc w:val="center"/>
        </w:pPr>
        <w:r>
          <w:fldChar w:fldCharType="begin"/>
        </w:r>
        <w:r>
          <w:instrText xml:space="preserve"> PAGE   \* MERGEFORMAT </w:instrText>
        </w:r>
        <w:r>
          <w:fldChar w:fldCharType="separate"/>
        </w:r>
        <w:r>
          <w:t>32</w:t>
        </w:r>
        <w:r>
          <w:fldChar w:fldCharType="end"/>
        </w:r>
      </w:p>
    </w:sdtContent>
  </w:sdt>
  <w:p w14:paraId="56DE6499" w14:textId="77777777" w:rsidR="00F53E3A" w:rsidRDefault="00F53E3A">
    <w:pPr>
      <w:pStyle w:val="FooterCouncil"/>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45020" w14:textId="77777777" w:rsidR="00F53E3A" w:rsidRDefault="00F53E3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424B31" w14:textId="77777777" w:rsidR="00F53E3A" w:rsidRDefault="00F53E3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2170824"/>
      <w:docPartObj>
        <w:docPartGallery w:val="Page Numbers (Bottom of Page)"/>
        <w:docPartUnique/>
      </w:docPartObj>
    </w:sdtPr>
    <w:sdtEndPr/>
    <w:sdtContent>
      <w:p w14:paraId="71C307CA" w14:textId="1A8847A5" w:rsidR="00F53E3A" w:rsidRDefault="0036255F">
        <w:pPr>
          <w:pStyle w:val="Footer"/>
          <w:jc w:val="center"/>
        </w:pPr>
        <w:r>
          <w:fldChar w:fldCharType="begin"/>
        </w:r>
        <w:r>
          <w:instrText xml:space="preserve"> PAGE   \* MERGEFORMAT </w:instrText>
        </w:r>
        <w:r>
          <w:fldChar w:fldCharType="separate"/>
        </w:r>
        <w:r>
          <w:t>35</w:t>
        </w:r>
        <w:r>
          <w:fldChar w:fldCharType="end"/>
        </w:r>
      </w:p>
    </w:sdtContent>
  </w:sdt>
  <w:p w14:paraId="4EB4EEEA" w14:textId="77777777" w:rsidR="00F53E3A" w:rsidRDefault="00F53E3A">
    <w:pPr>
      <w:pStyle w:val="FooterCouncil"/>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AD2D3" w14:textId="77777777" w:rsidR="00F53E3A" w:rsidRDefault="00F53E3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04FDB" w14:textId="77777777" w:rsidR="00F53E3A" w:rsidRDefault="00F53E3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8458622"/>
      <w:docPartObj>
        <w:docPartGallery w:val="Page Numbers (Bottom of Page)"/>
        <w:docPartUnique/>
      </w:docPartObj>
    </w:sdtPr>
    <w:sdtEndPr/>
    <w:sdtContent>
      <w:p w14:paraId="6F1CC851" w14:textId="15CF5109" w:rsidR="00F53E3A" w:rsidRDefault="0036255F">
        <w:pPr>
          <w:pStyle w:val="Footer"/>
          <w:jc w:val="center"/>
        </w:pPr>
        <w:r>
          <w:fldChar w:fldCharType="begin"/>
        </w:r>
        <w:r>
          <w:instrText xml:space="preserve"> PAGE   \* MERGEFORMAT </w:instrText>
        </w:r>
        <w:r>
          <w:fldChar w:fldCharType="separate"/>
        </w:r>
        <w:r>
          <w:t>45</w:t>
        </w:r>
        <w:r>
          <w:fldChar w:fldCharType="end"/>
        </w:r>
      </w:p>
    </w:sdtContent>
  </w:sdt>
  <w:p w14:paraId="7BBA61D1" w14:textId="77777777" w:rsidR="00F53E3A" w:rsidRDefault="00F53E3A">
    <w:pPr>
      <w:pStyle w:val="FooterCouncil"/>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90CF35" w14:textId="77777777" w:rsidR="00F53E3A" w:rsidRDefault="00F53E3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F76A45" w14:textId="77777777" w:rsidR="00F53E3A" w:rsidRDefault="00F53E3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1179449"/>
      <w:docPartObj>
        <w:docPartGallery w:val="Page Numbers (Bottom of Page)"/>
        <w:docPartUnique/>
      </w:docPartObj>
    </w:sdtPr>
    <w:sdtEndPr/>
    <w:sdtContent>
      <w:p w14:paraId="58514B9C" w14:textId="25213D59" w:rsidR="00F53E3A" w:rsidRDefault="0036255F">
        <w:pPr>
          <w:pStyle w:val="Footer"/>
          <w:jc w:val="center"/>
        </w:pPr>
        <w:r>
          <w:fldChar w:fldCharType="begin"/>
        </w:r>
        <w:r>
          <w:instrText xml:space="preserve"> PAGE   \* MERGEFORMAT </w:instrText>
        </w:r>
        <w:r>
          <w:fldChar w:fldCharType="separate"/>
        </w:r>
        <w:r>
          <w:t>49</w:t>
        </w:r>
        <w:r>
          <w:fldChar w:fldCharType="end"/>
        </w:r>
      </w:p>
    </w:sdtContent>
  </w:sdt>
  <w:p w14:paraId="286E8C24" w14:textId="77777777" w:rsidR="00F53E3A" w:rsidRDefault="00F53E3A">
    <w:pPr>
      <w:pStyle w:val="FooterCouncil"/>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8374B" w14:textId="77777777" w:rsidR="00F53E3A" w:rsidRDefault="00F53E3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40F2B3" w14:textId="77777777" w:rsidR="00F53E3A" w:rsidRDefault="00F53E3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2070532"/>
      <w:docPartObj>
        <w:docPartGallery w:val="Page Numbers (Bottom of Page)"/>
        <w:docPartUnique/>
      </w:docPartObj>
    </w:sdtPr>
    <w:sdtEndPr/>
    <w:sdtContent>
      <w:p w14:paraId="5F84348F" w14:textId="2D1ABE0F" w:rsidR="00F53E3A" w:rsidRDefault="0036255F">
        <w:pPr>
          <w:pStyle w:val="Footer"/>
          <w:jc w:val="center"/>
        </w:pPr>
        <w:r>
          <w:fldChar w:fldCharType="begin"/>
        </w:r>
        <w:r>
          <w:instrText xml:space="preserve"> PAGE   \* MERGEFORMAT </w:instrText>
        </w:r>
        <w:r>
          <w:fldChar w:fldCharType="separate"/>
        </w:r>
        <w:r>
          <w:t>64</w:t>
        </w:r>
        <w:r>
          <w:fldChar w:fldCharType="end"/>
        </w:r>
      </w:p>
    </w:sdtContent>
  </w:sdt>
  <w:p w14:paraId="1C402143" w14:textId="77777777" w:rsidR="00F53E3A" w:rsidRDefault="00F53E3A">
    <w:pPr>
      <w:pStyle w:val="FooterCouncil"/>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F6FD39" w14:textId="77777777" w:rsidR="00F53E3A" w:rsidRDefault="00F53E3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9E89AF" w14:textId="77777777" w:rsidR="00F53E3A" w:rsidRDefault="00F53E3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1277868"/>
      <w:docPartObj>
        <w:docPartGallery w:val="Page Numbers (Bottom of Page)"/>
        <w:docPartUnique/>
      </w:docPartObj>
    </w:sdtPr>
    <w:sdtEndPr/>
    <w:sdtContent>
      <w:p w14:paraId="672B7C0A" w14:textId="6C772758" w:rsidR="00F53E3A" w:rsidRDefault="0036255F">
        <w:pPr>
          <w:pStyle w:val="Footer"/>
          <w:jc w:val="center"/>
        </w:pPr>
        <w:r>
          <w:fldChar w:fldCharType="begin"/>
        </w:r>
        <w:r>
          <w:instrText xml:space="preserve"> PAGE   \* MERGEFORMAT </w:instrText>
        </w:r>
        <w:r>
          <w:fldChar w:fldCharType="separate"/>
        </w:r>
        <w:r>
          <w:t>68</w:t>
        </w:r>
        <w:r>
          <w:fldChar w:fldCharType="end"/>
        </w:r>
      </w:p>
    </w:sdtContent>
  </w:sdt>
  <w:p w14:paraId="1F0D7BDD" w14:textId="77777777" w:rsidR="00F53E3A" w:rsidRDefault="00F53E3A">
    <w:pPr>
      <w:pStyle w:val="FooterCouncil"/>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42B603" w14:textId="77777777" w:rsidR="00F53E3A" w:rsidRDefault="00F53E3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E6D91F" w14:textId="77777777" w:rsidR="00F53E3A" w:rsidRDefault="00F53E3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4279654"/>
      <w:docPartObj>
        <w:docPartGallery w:val="Page Numbers (Bottom of Page)"/>
        <w:docPartUnique/>
      </w:docPartObj>
    </w:sdtPr>
    <w:sdtEndPr/>
    <w:sdtContent>
      <w:p w14:paraId="4554190C" w14:textId="0E0BE9E3" w:rsidR="00F53E3A" w:rsidRDefault="0036255F">
        <w:pPr>
          <w:pStyle w:val="Footer"/>
          <w:jc w:val="center"/>
        </w:pPr>
        <w:r>
          <w:fldChar w:fldCharType="begin"/>
        </w:r>
        <w:r>
          <w:instrText xml:space="preserve"> PAGE   \* MERGEFORMAT </w:instrText>
        </w:r>
        <w:r>
          <w:fldChar w:fldCharType="separate"/>
        </w:r>
        <w:r>
          <w:t>78</w:t>
        </w:r>
        <w:r>
          <w:fldChar w:fldCharType="end"/>
        </w:r>
      </w:p>
    </w:sdtContent>
  </w:sdt>
  <w:p w14:paraId="2DD471B8" w14:textId="77777777" w:rsidR="00F53E3A" w:rsidRDefault="00F53E3A">
    <w:pPr>
      <w:pStyle w:val="FooterCouncil"/>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3DD87" w14:textId="77777777" w:rsidR="00F53E3A" w:rsidRDefault="00F53E3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FC7E16" w14:textId="77777777" w:rsidR="00F53E3A" w:rsidRDefault="00F53E3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4302154"/>
      <w:docPartObj>
        <w:docPartGallery w:val="Page Numbers (Bottom of Page)"/>
        <w:docPartUnique/>
      </w:docPartObj>
    </w:sdtPr>
    <w:sdtEndPr/>
    <w:sdtContent>
      <w:p w14:paraId="6C3CACEC" w14:textId="1480C858" w:rsidR="00F53E3A" w:rsidRDefault="0036255F">
        <w:pPr>
          <w:pStyle w:val="Footer"/>
          <w:jc w:val="center"/>
        </w:pPr>
        <w:r>
          <w:fldChar w:fldCharType="begin"/>
        </w:r>
        <w:r>
          <w:instrText xml:space="preserve"> PAGE   \* MERGEFORMAT </w:instrText>
        </w:r>
        <w:r>
          <w:fldChar w:fldCharType="separate"/>
        </w:r>
        <w:r>
          <w:t>81</w:t>
        </w:r>
        <w:r>
          <w:fldChar w:fldCharType="end"/>
        </w:r>
      </w:p>
    </w:sdtContent>
  </w:sdt>
  <w:p w14:paraId="69510F9C" w14:textId="77777777" w:rsidR="00F53E3A" w:rsidRDefault="00F53E3A">
    <w:pPr>
      <w:pStyle w:val="FooterCouncil"/>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560D6" w14:textId="77777777" w:rsidR="00F53E3A" w:rsidRDefault="00F53E3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E0ADD" w14:textId="77777777" w:rsidR="00F53E3A" w:rsidRDefault="00F53E3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8502556"/>
      <w:docPartObj>
        <w:docPartGallery w:val="Page Numbers (Bottom of Page)"/>
        <w:docPartUnique/>
      </w:docPartObj>
    </w:sdtPr>
    <w:sdtEndPr/>
    <w:sdtContent>
      <w:p w14:paraId="7330B187" w14:textId="395C651D" w:rsidR="00F53E3A" w:rsidRDefault="0036255F">
        <w:pPr>
          <w:pStyle w:val="Footer"/>
          <w:jc w:val="center"/>
        </w:pPr>
        <w:r>
          <w:fldChar w:fldCharType="begin"/>
        </w:r>
        <w:r>
          <w:instrText xml:space="preserve"> PAGE   \* MERGEFORMAT </w:instrText>
        </w:r>
        <w:r>
          <w:fldChar w:fldCharType="separate"/>
        </w:r>
        <w:r>
          <w:t>83</w:t>
        </w:r>
        <w:r>
          <w:fldChar w:fldCharType="end"/>
        </w:r>
      </w:p>
    </w:sdtContent>
  </w:sdt>
  <w:p w14:paraId="7CD07DC7" w14:textId="77777777" w:rsidR="00F53E3A" w:rsidRDefault="00F53E3A">
    <w:pPr>
      <w:pStyle w:val="FooterCouncil"/>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D9F84C" w14:textId="77777777" w:rsidR="00F53E3A" w:rsidRDefault="00F53E3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44E9A" w14:textId="77777777" w:rsidR="00F53E3A" w:rsidRDefault="00F53E3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7657008"/>
      <w:docPartObj>
        <w:docPartGallery w:val="Page Numbers (Bottom of Page)"/>
        <w:docPartUnique/>
      </w:docPartObj>
    </w:sdtPr>
    <w:sdtEndPr/>
    <w:sdtContent>
      <w:p w14:paraId="0C9E3C76" w14:textId="6497D84C" w:rsidR="00F53E3A" w:rsidRDefault="0036255F">
        <w:pPr>
          <w:pStyle w:val="Footer"/>
          <w:jc w:val="center"/>
        </w:pPr>
        <w:r>
          <w:fldChar w:fldCharType="begin"/>
        </w:r>
        <w:r>
          <w:instrText xml:space="preserve"> PAGE   \* MERGEFORMAT </w:instrText>
        </w:r>
        <w:r>
          <w:fldChar w:fldCharType="separate"/>
        </w:r>
        <w:r>
          <w:t>91</w:t>
        </w:r>
        <w:r>
          <w:fldChar w:fldCharType="end"/>
        </w:r>
      </w:p>
    </w:sdtContent>
  </w:sdt>
  <w:p w14:paraId="6F950BF8" w14:textId="77777777" w:rsidR="00F53E3A" w:rsidRDefault="00F53E3A">
    <w:pPr>
      <w:pStyle w:val="FooterCouncil"/>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E184D3" w14:textId="77777777" w:rsidR="00F53E3A" w:rsidRDefault="00F53E3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883142" w14:textId="77777777" w:rsidR="00F53E3A" w:rsidRDefault="00F53E3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2079968"/>
      <w:docPartObj>
        <w:docPartGallery w:val="Page Numbers (Bottom of Page)"/>
        <w:docPartUnique/>
      </w:docPartObj>
    </w:sdtPr>
    <w:sdtEndPr/>
    <w:sdtContent>
      <w:p w14:paraId="62C20B30" w14:textId="703751E4" w:rsidR="00F53E3A" w:rsidRDefault="0036255F">
        <w:pPr>
          <w:pStyle w:val="Footer"/>
          <w:jc w:val="center"/>
        </w:pPr>
        <w:r>
          <w:fldChar w:fldCharType="begin"/>
        </w:r>
        <w:r>
          <w:instrText xml:space="preserve"> PAGE   \* MERGEFORMAT </w:instrText>
        </w:r>
        <w:r>
          <w:fldChar w:fldCharType="separate"/>
        </w:r>
        <w:r>
          <w:t>108</w:t>
        </w:r>
        <w:r>
          <w:fldChar w:fldCharType="end"/>
        </w:r>
      </w:p>
    </w:sdtContent>
  </w:sdt>
  <w:p w14:paraId="59A3C7AD" w14:textId="77777777" w:rsidR="00F53E3A" w:rsidRDefault="00F53E3A">
    <w:pPr>
      <w:pStyle w:val="FooterCouncil"/>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70C85" w14:textId="77777777" w:rsidR="00F53E3A" w:rsidRDefault="00F53E3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859697" w14:textId="77777777" w:rsidR="00F53E3A" w:rsidRDefault="00F53E3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6874411"/>
      <w:docPartObj>
        <w:docPartGallery w:val="Page Numbers (Bottom of Page)"/>
        <w:docPartUnique/>
      </w:docPartObj>
    </w:sdtPr>
    <w:sdtEndPr/>
    <w:sdtContent>
      <w:p w14:paraId="029474F1" w14:textId="5708F94B" w:rsidR="00F53E3A" w:rsidRDefault="0036255F">
        <w:pPr>
          <w:pStyle w:val="Footer"/>
          <w:jc w:val="center"/>
        </w:pPr>
        <w:r>
          <w:fldChar w:fldCharType="begin"/>
        </w:r>
        <w:r>
          <w:instrText xml:space="preserve"> PAGE   \* MERGEFORMAT </w:instrText>
        </w:r>
        <w:r>
          <w:fldChar w:fldCharType="separate"/>
        </w:r>
        <w:r>
          <w:t>110</w:t>
        </w:r>
        <w:r>
          <w:fldChar w:fldCharType="end"/>
        </w:r>
      </w:p>
    </w:sdtContent>
  </w:sdt>
  <w:p w14:paraId="68E3B029" w14:textId="77777777" w:rsidR="00F53E3A" w:rsidRDefault="00F53E3A">
    <w:pPr>
      <w:pStyle w:val="FooterCouncil"/>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4486EB" w14:textId="77777777" w:rsidR="00F53E3A" w:rsidRDefault="00F53E3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756DDE" w14:textId="77777777" w:rsidR="00F53E3A" w:rsidRDefault="00F53E3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2838931"/>
      <w:docPartObj>
        <w:docPartGallery w:val="Page Numbers (Bottom of Page)"/>
        <w:docPartUnique/>
      </w:docPartObj>
    </w:sdtPr>
    <w:sdtEndPr/>
    <w:sdtContent>
      <w:p w14:paraId="517B260C" w14:textId="3C346223" w:rsidR="00F53E3A" w:rsidRDefault="0036255F">
        <w:pPr>
          <w:pStyle w:val="Footer"/>
          <w:jc w:val="center"/>
        </w:pPr>
        <w:r>
          <w:fldChar w:fldCharType="begin"/>
        </w:r>
        <w:r>
          <w:instrText xml:space="preserve"> PAGE   \* MERGEFORMAT </w:instrText>
        </w:r>
        <w:r>
          <w:fldChar w:fldCharType="separate"/>
        </w:r>
        <w:r>
          <w:t>112</w:t>
        </w:r>
        <w:r>
          <w:fldChar w:fldCharType="end"/>
        </w:r>
      </w:p>
    </w:sdtContent>
  </w:sdt>
  <w:p w14:paraId="7B5E70CB" w14:textId="77777777" w:rsidR="00F53E3A" w:rsidRDefault="00F53E3A">
    <w:pPr>
      <w:pStyle w:val="FooterCouncil"/>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CF89F5" w14:textId="77777777" w:rsidR="00F53E3A" w:rsidRDefault="00F53E3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B3693A" w14:textId="77777777" w:rsidR="00F53E3A" w:rsidRDefault="00F53E3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5209767"/>
      <w:docPartObj>
        <w:docPartGallery w:val="Page Numbers (Bottom of Page)"/>
        <w:docPartUnique/>
      </w:docPartObj>
    </w:sdtPr>
    <w:sdtEndPr/>
    <w:sdtContent>
      <w:p w14:paraId="079C133E" w14:textId="06C0E5AC" w:rsidR="00F53E3A" w:rsidRDefault="0036255F">
        <w:pPr>
          <w:pStyle w:val="Footer"/>
          <w:jc w:val="center"/>
        </w:pPr>
        <w:r>
          <w:fldChar w:fldCharType="begin"/>
        </w:r>
        <w:r>
          <w:instrText xml:space="preserve"> PAGE   \* MERGEFORMAT </w:instrText>
        </w:r>
        <w:r>
          <w:fldChar w:fldCharType="separate"/>
        </w:r>
        <w:r>
          <w:t>114</w:t>
        </w:r>
        <w:r>
          <w:fldChar w:fldCharType="end"/>
        </w:r>
      </w:p>
    </w:sdtContent>
  </w:sdt>
  <w:p w14:paraId="62B082D9" w14:textId="77777777" w:rsidR="00F53E3A" w:rsidRDefault="00F53E3A">
    <w:pPr>
      <w:pStyle w:val="FooterCouncil"/>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96152" w14:textId="77777777" w:rsidR="00F53E3A" w:rsidRDefault="00F53E3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03EFA4" w14:textId="77777777" w:rsidR="00F53E3A" w:rsidRDefault="00F53E3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4420810"/>
      <w:docPartObj>
        <w:docPartGallery w:val="Page Numbers (Bottom of Page)"/>
        <w:docPartUnique/>
      </w:docPartObj>
    </w:sdtPr>
    <w:sdtEndPr/>
    <w:sdtContent>
      <w:p w14:paraId="2B2CF437" w14:textId="3E44D2CD" w:rsidR="00F53E3A" w:rsidRDefault="0036255F">
        <w:pPr>
          <w:pStyle w:val="Footer"/>
          <w:jc w:val="center"/>
        </w:pPr>
        <w:r>
          <w:fldChar w:fldCharType="begin"/>
        </w:r>
        <w:r>
          <w:instrText xml:space="preserve"> PAGE   \* MERGEFORMAT </w:instrText>
        </w:r>
        <w:r>
          <w:fldChar w:fldCharType="separate"/>
        </w:r>
        <w:r>
          <w:t>119</w:t>
        </w:r>
        <w:r>
          <w:fldChar w:fldCharType="end"/>
        </w:r>
      </w:p>
    </w:sdtContent>
  </w:sdt>
  <w:p w14:paraId="6D54AFBE" w14:textId="77777777" w:rsidR="00F53E3A" w:rsidRDefault="00F53E3A">
    <w:pPr>
      <w:pStyle w:val="FooterCouncil"/>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EA2EB8" w14:textId="77777777" w:rsidR="00F53E3A" w:rsidRDefault="00F53E3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B1727" w14:textId="77777777" w:rsidR="00F53E3A" w:rsidRDefault="00F53E3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8289555"/>
      <w:docPartObj>
        <w:docPartGallery w:val="Page Numbers (Bottom of Page)"/>
        <w:docPartUnique/>
      </w:docPartObj>
    </w:sdtPr>
    <w:sdtEndPr/>
    <w:sdtContent>
      <w:p w14:paraId="322DCC6F" w14:textId="07C1599C" w:rsidR="00F53E3A" w:rsidRDefault="0036255F">
        <w:pPr>
          <w:pStyle w:val="Footer"/>
          <w:jc w:val="center"/>
        </w:pPr>
        <w:r>
          <w:fldChar w:fldCharType="begin"/>
        </w:r>
        <w:r>
          <w:instrText xml:space="preserve"> PAGE   \* MERGEFORMAT </w:instrText>
        </w:r>
        <w:r>
          <w:fldChar w:fldCharType="separate"/>
        </w:r>
        <w:r>
          <w:t>120</w:t>
        </w:r>
        <w:r>
          <w:fldChar w:fldCharType="end"/>
        </w:r>
      </w:p>
    </w:sdtContent>
  </w:sdt>
  <w:p w14:paraId="495FC416" w14:textId="77777777" w:rsidR="00F53E3A" w:rsidRDefault="00F53E3A">
    <w:pPr>
      <w:pStyle w:val="FooterCouncil"/>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CA43D" w14:textId="77777777" w:rsidR="00F53E3A" w:rsidRDefault="00F53E3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62069" w14:textId="77777777" w:rsidR="00F53E3A" w:rsidRDefault="00F53E3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3602457"/>
      <w:docPartObj>
        <w:docPartGallery w:val="Page Numbers (Bottom of Page)"/>
        <w:docPartUnique/>
      </w:docPartObj>
    </w:sdtPr>
    <w:sdtEndPr/>
    <w:sdtContent>
      <w:p w14:paraId="21D307C0" w14:textId="62176B36" w:rsidR="00F53E3A" w:rsidRDefault="0036255F">
        <w:pPr>
          <w:pStyle w:val="Footer"/>
          <w:jc w:val="center"/>
        </w:pPr>
        <w:r>
          <w:fldChar w:fldCharType="begin"/>
        </w:r>
        <w:r>
          <w:instrText xml:space="preserve"> PAGE   \* MERGEFORMAT </w:instrText>
        </w:r>
        <w:r>
          <w:fldChar w:fldCharType="separate"/>
        </w:r>
        <w:r>
          <w:t>122</w:t>
        </w:r>
        <w:r>
          <w:fldChar w:fldCharType="end"/>
        </w:r>
      </w:p>
    </w:sdtContent>
  </w:sdt>
  <w:p w14:paraId="3352662F" w14:textId="77777777" w:rsidR="00F53E3A" w:rsidRDefault="00F53E3A">
    <w:pPr>
      <w:pStyle w:val="FooterCouncil"/>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A14343" w14:textId="77777777" w:rsidR="00F53E3A" w:rsidRDefault="00F53E3A">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7E2814" w14:textId="77777777" w:rsidR="00F53E3A" w:rsidRDefault="00F53E3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0378201"/>
      <w:docPartObj>
        <w:docPartGallery w:val="Page Numbers (Bottom of Page)"/>
        <w:docPartUnique/>
      </w:docPartObj>
    </w:sdtPr>
    <w:sdtEndPr/>
    <w:sdtContent>
      <w:p w14:paraId="367495FD" w14:textId="0D2CA90C" w:rsidR="00F53E3A" w:rsidRDefault="0036255F">
        <w:pPr>
          <w:pStyle w:val="Footer"/>
          <w:jc w:val="center"/>
        </w:pPr>
        <w:r>
          <w:fldChar w:fldCharType="begin"/>
        </w:r>
        <w:r>
          <w:instrText xml:space="preserve"> PAGE   \* MERGEFORMAT </w:instrText>
        </w:r>
        <w:r>
          <w:fldChar w:fldCharType="separate"/>
        </w:r>
        <w:r>
          <w:t>125</w:t>
        </w:r>
        <w:r>
          <w:fldChar w:fldCharType="end"/>
        </w:r>
      </w:p>
    </w:sdtContent>
  </w:sdt>
  <w:p w14:paraId="631C8E15" w14:textId="77777777" w:rsidR="00F53E3A" w:rsidRDefault="00F53E3A">
    <w:pPr>
      <w:pStyle w:val="FooterCouncil"/>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2EAFF7" w14:textId="77777777" w:rsidR="00F53E3A" w:rsidRDefault="00F53E3A">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29E692" w14:textId="77777777" w:rsidR="00F53E3A" w:rsidRDefault="00F53E3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6239641"/>
      <w:docPartObj>
        <w:docPartGallery w:val="Page Numbers (Bottom of Page)"/>
        <w:docPartUnique/>
      </w:docPartObj>
    </w:sdtPr>
    <w:sdtEndPr/>
    <w:sdtContent>
      <w:p w14:paraId="30AEBED1" w14:textId="48C597C1" w:rsidR="00F53E3A" w:rsidRDefault="0036255F">
        <w:pPr>
          <w:pStyle w:val="Footer"/>
          <w:jc w:val="center"/>
        </w:pPr>
        <w:r>
          <w:fldChar w:fldCharType="begin"/>
        </w:r>
        <w:r>
          <w:instrText xml:space="preserve"> PAGE   \* MERGEFORMAT </w:instrText>
        </w:r>
        <w:r>
          <w:fldChar w:fldCharType="separate"/>
        </w:r>
        <w:r>
          <w:t>128</w:t>
        </w:r>
        <w:r>
          <w:fldChar w:fldCharType="end"/>
        </w:r>
      </w:p>
    </w:sdtContent>
  </w:sdt>
  <w:p w14:paraId="598D8B22" w14:textId="77777777" w:rsidR="00F53E3A" w:rsidRDefault="00F53E3A">
    <w:pPr>
      <w:pStyle w:val="FooterCouncil"/>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E7F653" w14:textId="77777777" w:rsidR="00F53E3A" w:rsidRDefault="00F53E3A">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991DA6" w14:textId="77777777" w:rsidR="00F53E3A" w:rsidRDefault="00F53E3A">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92941"/>
      <w:docPartObj>
        <w:docPartGallery w:val="Page Numbers (Bottom of Page)"/>
        <w:docPartUnique/>
      </w:docPartObj>
    </w:sdtPr>
    <w:sdtEndPr/>
    <w:sdtContent>
      <w:p w14:paraId="1C77966A" w14:textId="557B640E" w:rsidR="00F53E3A" w:rsidRDefault="0036255F">
        <w:pPr>
          <w:pStyle w:val="Footer"/>
          <w:jc w:val="center"/>
        </w:pPr>
        <w:r>
          <w:fldChar w:fldCharType="begin"/>
        </w:r>
        <w:r>
          <w:instrText xml:space="preserve"> PAGE   \* MERGEFORMAT </w:instrText>
        </w:r>
        <w:r>
          <w:fldChar w:fldCharType="separate"/>
        </w:r>
        <w:r>
          <w:t>130</w:t>
        </w:r>
        <w:r>
          <w:fldChar w:fldCharType="end"/>
        </w:r>
      </w:p>
    </w:sdtContent>
  </w:sdt>
  <w:p w14:paraId="3F7AD13A" w14:textId="77777777" w:rsidR="00F53E3A" w:rsidRDefault="00F53E3A">
    <w:pPr>
      <w:pStyle w:val="FooterCouncil"/>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7B1C5" w14:textId="77777777" w:rsidR="00F53E3A" w:rsidRDefault="00F53E3A">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32D7A8" w14:textId="77777777" w:rsidR="00F53E3A" w:rsidRDefault="00F53E3A">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4031536"/>
      <w:docPartObj>
        <w:docPartGallery w:val="Page Numbers (Bottom of Page)"/>
        <w:docPartUnique/>
      </w:docPartObj>
    </w:sdtPr>
    <w:sdtEndPr/>
    <w:sdtContent>
      <w:p w14:paraId="0E80050B" w14:textId="2076A1F2" w:rsidR="00F53E3A" w:rsidRDefault="0036255F">
        <w:pPr>
          <w:pStyle w:val="Footer"/>
          <w:jc w:val="center"/>
        </w:pPr>
        <w:r>
          <w:fldChar w:fldCharType="begin"/>
        </w:r>
        <w:r>
          <w:instrText xml:space="preserve"> PAGE   \* MERGEFORMAT </w:instrText>
        </w:r>
        <w:r>
          <w:fldChar w:fldCharType="separate"/>
        </w:r>
        <w:r>
          <w:t>132</w:t>
        </w:r>
        <w:r>
          <w:fldChar w:fldCharType="end"/>
        </w:r>
      </w:p>
    </w:sdtContent>
  </w:sdt>
  <w:p w14:paraId="54E3FF29" w14:textId="77777777" w:rsidR="00F53E3A" w:rsidRDefault="00F53E3A">
    <w:pPr>
      <w:pStyle w:val="FooterCouncil"/>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AD5DFE" w14:textId="77777777" w:rsidR="00F53E3A" w:rsidRDefault="00F53E3A">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FFE01" w14:textId="77777777" w:rsidR="00F53E3A" w:rsidRDefault="00F53E3A">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7500814"/>
      <w:docPartObj>
        <w:docPartGallery w:val="Page Numbers (Bottom of Page)"/>
        <w:docPartUnique/>
      </w:docPartObj>
    </w:sdtPr>
    <w:sdtEndPr/>
    <w:sdtContent>
      <w:p w14:paraId="1C36A083" w14:textId="7A7A8F07" w:rsidR="00F53E3A" w:rsidRDefault="0036255F">
        <w:pPr>
          <w:pStyle w:val="Footer"/>
          <w:jc w:val="center"/>
        </w:pPr>
        <w:r>
          <w:fldChar w:fldCharType="begin"/>
        </w:r>
        <w:r>
          <w:instrText xml:space="preserve"> PAGE   \* MERGEFORMAT </w:instrText>
        </w:r>
        <w:r>
          <w:fldChar w:fldCharType="separate"/>
        </w:r>
        <w:r>
          <w:t>156</w:t>
        </w:r>
        <w:r>
          <w:fldChar w:fldCharType="end"/>
        </w:r>
      </w:p>
    </w:sdtContent>
  </w:sdt>
  <w:p w14:paraId="58B7A552" w14:textId="77777777" w:rsidR="00F53E3A" w:rsidRDefault="00F53E3A">
    <w:pPr>
      <w:pStyle w:val="FooterCouncil"/>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30C5D" w14:textId="77777777" w:rsidR="00F53E3A" w:rsidRDefault="00F53E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9BB14A" w14:textId="77777777" w:rsidR="00F53E3A" w:rsidRDefault="0036255F">
      <w:pPr>
        <w:spacing w:after="0" w:line="240" w:lineRule="auto"/>
      </w:pPr>
      <w:r>
        <w:separator/>
      </w:r>
    </w:p>
  </w:footnote>
  <w:footnote w:type="continuationSeparator" w:id="0">
    <w:p w14:paraId="0363820D" w14:textId="77777777" w:rsidR="00F53E3A" w:rsidRDefault="0036255F">
      <w:pPr>
        <w:spacing w:after="0" w:line="240" w:lineRule="auto"/>
      </w:pPr>
      <w:r>
        <w:continuationSeparator/>
      </w:r>
    </w:p>
  </w:footnote>
  <w:footnote w:type="continuationNotice" w:id="1">
    <w:p w14:paraId="3C19FFB2" w14:textId="77777777" w:rsidR="00F53E3A" w:rsidRDefault="00F53E3A">
      <w:pPr>
        <w:spacing w:after="0" w:line="240" w:lineRule="auto"/>
      </w:pPr>
    </w:p>
  </w:footnote>
  <w:footnote w:id="2">
    <w:p w14:paraId="4E11A054" w14:textId="77777777" w:rsidR="00F53E3A" w:rsidRDefault="0036255F">
      <w:pPr>
        <w:pStyle w:val="FootnoteText"/>
        <w:ind w:left="0" w:firstLine="0"/>
      </w:pPr>
      <w:r>
        <w:rPr>
          <w:rStyle w:val="FootnoteReference"/>
        </w:rPr>
        <w:footnoteRef/>
      </w:r>
      <w:r>
        <w:t xml:space="preserve"> În cazul în care activitatea sprijinită generează emisii de gaze cu efect de seră preconizate care nu sunt semnificativ mai mici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3">
    <w:p w14:paraId="40511198" w14:textId="74AF48F7" w:rsidR="00F53E3A" w:rsidRDefault="0036255F">
      <w:pPr>
        <w:pStyle w:val="FootnoteText"/>
        <w:ind w:left="0" w:firstLine="0"/>
      </w:pPr>
      <w:r>
        <w:rPr>
          <w:rStyle w:val="FootnoteReference"/>
        </w:rPr>
        <w:footnoteRef/>
      </w:r>
      <w:r>
        <w:t xml:space="preserve"> 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4">
    <w:p w14:paraId="011CDA5A" w14:textId="463659FE" w:rsidR="00F53E3A" w:rsidRDefault="0036255F">
      <w:pPr>
        <w:pStyle w:val="FootnoteText"/>
        <w:ind w:left="0" w:firstLine="0"/>
      </w:pPr>
      <w:r>
        <w:rPr>
          <w:rStyle w:val="FootnoteReference"/>
        </w:rPr>
        <w:footnoteRef/>
      </w:r>
      <w:r>
        <w:t xml:space="preserv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5">
    <w:p w14:paraId="7BC8A16C" w14:textId="0979677C" w:rsidR="00F53E3A" w:rsidRDefault="0036255F">
      <w:pPr>
        <w:pStyle w:val="FootnoteText"/>
        <w:ind w:left="0" w:firstLine="0"/>
      </w:pPr>
      <w:r>
        <w:rPr>
          <w:rStyle w:val="FootnoteReference"/>
        </w:rPr>
        <w:footnoteRef/>
      </w:r>
      <w: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6">
    <w:p w14:paraId="26D99F5C" w14:textId="15D4C3EE" w:rsidR="00F53E3A" w:rsidRDefault="0036255F">
      <w:pPr>
        <w:pStyle w:val="FootnoteText"/>
        <w:ind w:left="0" w:firstLine="0"/>
      </w:pPr>
      <w:r>
        <w:rPr>
          <w:rStyle w:val="FootnoteReference"/>
        </w:rPr>
        <w:footnoteRef/>
      </w:r>
      <w: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7">
    <w:p w14:paraId="15128327" w14:textId="15616991" w:rsidR="00F53E3A" w:rsidRDefault="0036255F">
      <w:pPr>
        <w:pStyle w:val="FootnoteText"/>
        <w:ind w:left="142" w:hanging="142"/>
        <w:rPr>
          <w:sz w:val="18"/>
          <w:szCs w:val="18"/>
        </w:rPr>
      </w:pPr>
      <w:r>
        <w:rPr>
          <w:rStyle w:val="FootnoteReference"/>
          <w:sz w:val="18"/>
        </w:rPr>
        <w:footnoteRef/>
      </w:r>
      <w:r>
        <w:rPr>
          <w:sz w:val="18"/>
        </w:rPr>
        <w:t xml:space="preserve"> 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8">
    <w:p w14:paraId="27B503BB" w14:textId="29C9375B" w:rsidR="00F53E3A" w:rsidRDefault="0036255F">
      <w:pPr>
        <w:pStyle w:val="FootnoteText"/>
        <w:ind w:left="142" w:hanging="142"/>
      </w:pPr>
      <w:r>
        <w:rPr>
          <w:sz w:val="18"/>
        </w:rPr>
        <w:t xml:space="preserve">În </w:t>
      </w:r>
      <w:r>
        <w:rPr>
          <w:rStyle w:val="FootnoteReference"/>
          <w:sz w:val="18"/>
        </w:rPr>
        <w:footnoteRef/>
      </w:r>
      <w:r>
        <w:rPr>
          <w:rStyle w:val="FootnoteReference"/>
          <w:sz w:val="18"/>
        </w:rPr>
        <w:t xml:space="preserve"> </w:t>
      </w:r>
      <w:r>
        <w:rPr>
          <w:sz w:val="18"/>
        </w:rPr>
        <w:t>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9">
    <w:p w14:paraId="665CF0C7" w14:textId="28B7CB9D" w:rsidR="00F53E3A" w:rsidRDefault="0036255F">
      <w:pPr>
        <w:pStyle w:val="FootnoteText"/>
        <w:ind w:left="142" w:hanging="142"/>
      </w:pPr>
      <w:r>
        <w:rPr>
          <w:rStyle w:val="FootnoteReference"/>
          <w:sz w:val="18"/>
        </w:rPr>
        <w:footnoteRef/>
      </w:r>
      <w:r>
        <w:rPr>
          <w:sz w:val="18"/>
        </w:rP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10">
    <w:p w14:paraId="168DFCF4" w14:textId="4E6BB73C" w:rsidR="00F53E3A" w:rsidRDefault="0036255F">
      <w:pPr>
        <w:pStyle w:val="FootnoteText"/>
        <w:ind w:left="142" w:hanging="142"/>
      </w:pPr>
      <w:r>
        <w:rPr>
          <w:rStyle w:val="FootnoteReference"/>
          <w:sz w:val="18"/>
        </w:rPr>
        <w:footnoteRef/>
      </w:r>
      <w:r>
        <w:rPr>
          <w:sz w:val="18"/>
        </w:rPr>
        <w:t xml:space="preserve"> Se consideră că un beneficiar final pune un „accent considerabil” pe un sector sau o activitate economică în cazul în care un astfel de sector sau activitate este identificat (ă) ca fiind o parte esențială a activității beneficiarului final în raport cu venitul brut, profitul sau baza de clienți a beneficiarului final. Veniturile brute generate de sectorul sau de activitatea restricționat (ă) nu vor depăși, în niciun caz, 50 % din venitul brut.</w:t>
      </w:r>
    </w:p>
  </w:footnote>
  <w:footnote w:id="11">
    <w:p w14:paraId="602DDD61" w14:textId="77777777" w:rsidR="00F53E3A" w:rsidRDefault="0036255F">
      <w:pPr>
        <w:pStyle w:val="FootnoteText"/>
        <w:ind w:left="142" w:hanging="142"/>
      </w:pPr>
      <w:r>
        <w:rPr>
          <w:sz w:val="18"/>
        </w:rPr>
        <w:t xml:space="preserve">Cu </w:t>
      </w:r>
      <w:r>
        <w:rPr>
          <w:rStyle w:val="FootnoteReference"/>
          <w:sz w:val="18"/>
        </w:rPr>
        <w:footnoteRef/>
      </w:r>
      <w:r>
        <w:rPr>
          <w:rStyle w:val="FootnoteReference"/>
          <w:sz w:val="18"/>
        </w:rPr>
        <w:t xml:space="preserve"> </w:t>
      </w:r>
      <w:r>
        <w:rPr>
          <w:sz w:val="18"/>
        </w:rPr>
        <w:t>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12">
    <w:p w14:paraId="5A92A9AE" w14:textId="77777777" w:rsidR="00F53E3A" w:rsidRDefault="0036255F">
      <w:pPr>
        <w:pStyle w:val="FootnoteText"/>
        <w:ind w:left="142" w:hanging="142"/>
      </w:pPr>
      <w:r>
        <w:rPr>
          <w:rStyle w:val="FootnoteReference"/>
          <w:sz w:val="18"/>
        </w:rPr>
        <w:footnoteRef/>
      </w:r>
      <w:r>
        <w:rPr>
          <w:rStyle w:val="FootnoteReference"/>
          <w:sz w:val="18"/>
        </w:rPr>
        <w:t xml:space="preserve"> </w:t>
      </w:r>
      <w:r>
        <w:rPr>
          <w:sz w:val="18"/>
        </w:rPr>
        <w:t>Inclusiv activitățile și activele din cadrul sistemului UE de comercializare a certificatelor de emisii (ETS) cu emisii preconizate de gaze cu efect de seră care nu sunt mai mici decât valorile de referință relevante.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13">
    <w:p w14:paraId="47845113" w14:textId="77777777" w:rsidR="00F53E3A" w:rsidRDefault="0036255F">
      <w:pPr>
        <w:pStyle w:val="FootnoteText"/>
      </w:pPr>
      <w:r>
        <w:rPr>
          <w:rStyle w:val="FootnoteReference"/>
          <w:sz w:val="18"/>
        </w:rPr>
        <w:footnoteRef/>
      </w:r>
      <w:r>
        <w:rPr>
          <w:rStyle w:val="FootnoteReference"/>
          <w:sz w:val="18"/>
        </w:rPr>
        <w:t xml:space="preserve"> </w:t>
      </w:r>
      <w:r>
        <w:rPr>
          <w:rFonts w:eastAsia="EC Square Sans Pro"/>
          <w:sz w:val="18"/>
        </w:rPr>
        <w:t>Vehiculele poluante sunt definite ca vehicule fără emisii zero.</w:t>
      </w:r>
    </w:p>
  </w:footnote>
  <w:footnote w:id="14">
    <w:p w14:paraId="3A273014" w14:textId="77777777" w:rsidR="00F53E3A" w:rsidRDefault="0036255F">
      <w:pPr>
        <w:pStyle w:val="FootnoteText"/>
        <w:ind w:left="142" w:hanging="142"/>
      </w:pPr>
      <w:r>
        <w:rPr>
          <w:rStyle w:val="FootnoteReference"/>
          <w:sz w:val="18"/>
        </w:rPr>
        <w:t xml:space="preserve">Această </w:t>
      </w:r>
      <w:r>
        <w:rPr>
          <w:rStyle w:val="FootnoteReference"/>
          <w:sz w:val="18"/>
        </w:rPr>
        <w:footnoteRef/>
      </w:r>
      <w:r>
        <w:rPr>
          <w:rStyle w:val="FootnoteReference"/>
          <w:sz w:val="18"/>
        </w:rPr>
        <w:t xml:space="preserve"> </w:t>
      </w:r>
      <w:r>
        <w:rPr>
          <w:rFonts w:eastAsia="Times New Roman"/>
          <w:sz w:val="18"/>
        </w:rPr>
        <w:t>excludere nu se aplică acțiunilor întreprinse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15">
    <w:p w14:paraId="7327A757" w14:textId="77777777" w:rsidR="00F53E3A" w:rsidRDefault="0036255F">
      <w:pPr>
        <w:pStyle w:val="FootnoteText"/>
        <w:ind w:left="0" w:firstLine="0"/>
      </w:pPr>
      <w:r>
        <w:rPr>
          <w:rStyle w:val="FootnoteReference"/>
        </w:rPr>
        <w:footnoteRef/>
      </w:r>
      <w:r>
        <w:t xml:space="preserve"> </w:t>
      </w:r>
      <w:r>
        <w:rPr>
          <w:rStyle w:val="normaltextrun"/>
          <w:shd w:val="clear" w:color="auto" w:fill="FFFFFF"/>
        </w:rPr>
        <w:t>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16">
    <w:p w14:paraId="534BB2DC" w14:textId="77777777" w:rsidR="00F53E3A" w:rsidRDefault="0036255F">
      <w:pPr>
        <w:pStyle w:val="FootnoteText"/>
        <w:ind w:left="0" w:firstLine="0"/>
      </w:pPr>
      <w:r>
        <w:rPr>
          <w:rStyle w:val="FootnoteReference"/>
        </w:rPr>
        <w:footnoteRef/>
      </w:r>
      <w:r>
        <w:t xml:space="preserve"> În </w:t>
      </w:r>
      <w:r>
        <w:rPr>
          <w:rStyle w:val="normaltextrun"/>
          <w:bdr w:val="none" w:sz="0" w:space="0" w:color="auto" w:frame="1"/>
        </w:rPr>
        <w:t xml:space="preserve">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 </w:t>
      </w:r>
    </w:p>
  </w:footnote>
  <w:footnote w:id="17">
    <w:p w14:paraId="1A197E50" w14:textId="77777777" w:rsidR="00F53E3A" w:rsidRDefault="0036255F">
      <w:pPr>
        <w:pStyle w:val="FootnoteText"/>
        <w:ind w:left="0" w:firstLine="0"/>
      </w:pPr>
      <w:r>
        <w:rPr>
          <w:rStyle w:val="FootnoteReference"/>
        </w:rPr>
        <w:footnoteRef/>
      </w:r>
      <w: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18">
    <w:p w14:paraId="5F0F751D" w14:textId="77777777" w:rsidR="00F53E3A" w:rsidRDefault="0036255F">
      <w:pPr>
        <w:pStyle w:val="FootnoteText"/>
        <w:ind w:left="0" w:firstLine="0"/>
      </w:pPr>
      <w:r>
        <w:rPr>
          <w:rStyle w:val="FootnoteReference"/>
        </w:rPr>
        <w:footnoteRef/>
      </w:r>
      <w: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19">
    <w:p w14:paraId="6F0CC042" w14:textId="55EB88B6" w:rsidR="00F53E3A" w:rsidRDefault="0036255F">
      <w:pPr>
        <w:pStyle w:val="FootnoteText"/>
        <w:ind w:left="0" w:firstLine="0"/>
      </w:pPr>
      <w:r>
        <w:rPr>
          <w:rStyle w:val="FootnoteReference"/>
        </w:rPr>
        <w:footnoteRef/>
      </w:r>
      <w:r>
        <w:t xml:space="preserve"> Se consideră că un beneficiar final pune un „accent considerabil” pe un sector sau o activitate economică în cazul în care un astfel de sector sau activitate este identificat (ă) ca fiind o parte esențială a activității beneficiarului final în raport cu venitul brut, profitul sau baza de clienți a beneficiarului final. Veniturile brute generate de sectorul sau de activitatea restricționat (ă) nu vor depăși, în niciun caz, 50 % din venitul brut.</w:t>
      </w:r>
    </w:p>
  </w:footnote>
  <w:footnote w:id="20">
    <w:p w14:paraId="5738A54D" w14:textId="77777777" w:rsidR="00F53E3A" w:rsidRDefault="0036255F">
      <w:pPr>
        <w:pStyle w:val="FootnoteText"/>
        <w:ind w:left="0" w:firstLine="0"/>
      </w:pPr>
      <w:r>
        <w:rPr>
          <w:rStyle w:val="FootnoteReference"/>
        </w:rPr>
        <w:footnoteRef/>
      </w:r>
      <w:r>
        <w:t xml:space="preserve"> 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21">
    <w:p w14:paraId="332A6898" w14:textId="1042C809" w:rsidR="00F53E3A" w:rsidRDefault="0036255F">
      <w:pPr>
        <w:pStyle w:val="FootnoteText"/>
        <w:ind w:left="0" w:firstLine="0"/>
      </w:pPr>
      <w:r>
        <w:rPr>
          <w:rStyle w:val="FootnoteReference"/>
        </w:rPr>
        <w:footnoteRef/>
      </w:r>
      <w:r>
        <w:t xml:space="preserve"> Inclusiv activitățile și activele din cadrul sistemului UE de comercializare a certificatelor de emisii (ETS) cu emisii preconizate de gaze cu efect de seră care nu sunt mai mici decât valorile de referință relevante.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22">
    <w:p w14:paraId="7CFB5F17" w14:textId="77777777" w:rsidR="00F53E3A" w:rsidRDefault="0036255F">
      <w:pPr>
        <w:spacing w:after="0" w:line="240" w:lineRule="auto"/>
        <w:jc w:val="both"/>
        <w:rPr>
          <w:rFonts w:ascii="Times New Roman" w:eastAsia="Times New Roman" w:hAnsi="Times New Roman" w:cs="Times New Roman"/>
          <w:sz w:val="20"/>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sz w:val="20"/>
        </w:rPr>
        <w:t>Vehiculele poluante sunt definite ca vehicule fără emisii zero.</w:t>
      </w:r>
    </w:p>
  </w:footnote>
  <w:footnote w:id="23">
    <w:p w14:paraId="527BE752" w14:textId="77777777" w:rsidR="00F53E3A" w:rsidRDefault="0036255F">
      <w:pPr>
        <w:pStyle w:val="FootnoteText"/>
        <w:ind w:left="0" w:firstLine="0"/>
      </w:pPr>
      <w:r>
        <w:rPr>
          <w:rStyle w:val="FootnoteReference"/>
        </w:rPr>
        <w:footnoteRef/>
      </w:r>
      <w:r>
        <w:t xml:space="preserve"> Această excludere nu se aplică acțiunilor întreprinse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24">
    <w:p w14:paraId="30D1F195" w14:textId="690A2FBF" w:rsidR="00F53E3A" w:rsidRDefault="0036255F">
      <w:pPr>
        <w:pStyle w:val="FootnoteText"/>
        <w:ind w:left="0" w:firstLine="0"/>
      </w:pPr>
      <w:r>
        <w:rPr>
          <w:rStyle w:val="FootnoteReference"/>
        </w:rPr>
        <w:footnoteRef/>
      </w:r>
      <w:r>
        <w:t xml:space="preserve"> Beneficiarii finali asociați unor proiecte specifice au obligația de a furniza o justificare a domeniului de intervenție selectat pentru fiecare proiect sprijinit, împreună cu o descriere a proiectului, în scopul calculării contribuției în domeniul climei. Partenerul de implementare are, de asemenea, obligația de a furniza statului membru un raport semestrial privind punerea în aplicare a fiecărui proiect/fiecărei activități.</w:t>
      </w:r>
    </w:p>
  </w:footnote>
  <w:footnote w:id="25">
    <w:p w14:paraId="50602A81" w14:textId="4A282E1F" w:rsidR="00F53E3A" w:rsidRDefault="0036255F">
      <w:pPr>
        <w:pStyle w:val="FootnoteText"/>
        <w:ind w:left="0" w:firstLine="0"/>
      </w:pPr>
      <w:r>
        <w:rPr>
          <w:rStyle w:val="FootnoteReference"/>
        </w:rPr>
        <w:footnoteRef/>
      </w:r>
      <w:r>
        <w:t xml:space="preserve"> Datele specifice prevăzute la articolul 22 alineatul (2) litera (d) punctul (iii) din Regulamentul (UE) 2021/241 pot fi stocate în alte baze de date. (CVP IS, JADIS, platforma echipelor CPMA pentru monitorizarea jaloanelor și a țintelor, VBAMS, sistemul CPMA de gestionare a documentelor).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A70910" w14:textId="77777777" w:rsidR="0064484B" w:rsidRPr="0064484B" w:rsidRDefault="0064484B" w:rsidP="0064484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30C7E" w14:textId="77777777" w:rsidR="0064484B" w:rsidRPr="0064484B" w:rsidRDefault="0064484B" w:rsidP="0064484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B6929" w14:textId="77777777" w:rsidR="0064484B" w:rsidRPr="0064484B" w:rsidRDefault="0064484B" w:rsidP="0064484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2A151C" w14:textId="77777777" w:rsidR="00F53E3A" w:rsidRDefault="00F53E3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D6EBF" w14:textId="77777777" w:rsidR="00F53E3A" w:rsidRDefault="00F53E3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FA826C" w14:textId="77777777" w:rsidR="00F53E3A" w:rsidRDefault="00F53E3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01A500" w14:textId="77777777" w:rsidR="00F53E3A" w:rsidRDefault="00F53E3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4935DD" w14:textId="77777777" w:rsidR="00F53E3A" w:rsidRDefault="00F53E3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7E3EF" w14:textId="77777777" w:rsidR="00F53E3A" w:rsidRDefault="00F53E3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26B382" w14:textId="77777777" w:rsidR="00F53E3A" w:rsidRDefault="00F53E3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16A463" w14:textId="77777777" w:rsidR="00F53E3A" w:rsidRDefault="00F53E3A">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B18EFB" w14:textId="77777777" w:rsidR="00F53E3A" w:rsidRDefault="00F53E3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F7259B" w14:textId="77777777" w:rsidR="00F53E3A" w:rsidRDefault="00F53E3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790CA9" w14:textId="77777777" w:rsidR="00F53E3A" w:rsidRDefault="00F53E3A">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10CD17" w14:textId="77777777" w:rsidR="00F53E3A" w:rsidRDefault="00F53E3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84E39" w14:textId="77777777" w:rsidR="00F53E3A" w:rsidRDefault="00F53E3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0D455" w14:textId="77777777" w:rsidR="00F53E3A" w:rsidRDefault="00F53E3A">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53827" w14:textId="77777777" w:rsidR="00F53E3A" w:rsidRDefault="00F53E3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4E42F0" w14:textId="77777777" w:rsidR="00F53E3A" w:rsidRDefault="00F53E3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F53B05" w14:textId="77777777" w:rsidR="00F53E3A" w:rsidRDefault="00F53E3A">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2537C0" w14:textId="77777777" w:rsidR="00F53E3A" w:rsidRDefault="00F53E3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B4790" w14:textId="77777777" w:rsidR="00F53E3A" w:rsidRDefault="00F53E3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376F7" w14:textId="77777777" w:rsidR="00F53E3A" w:rsidRDefault="00F53E3A">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9A6ED" w14:textId="77777777" w:rsidR="00F53E3A" w:rsidRDefault="00F53E3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76D8E" w14:textId="77777777" w:rsidR="00F53E3A" w:rsidRDefault="00F53E3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CC9E1" w14:textId="77777777" w:rsidR="00F53E3A" w:rsidRDefault="00F53E3A">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1750FB" w14:textId="77777777" w:rsidR="00F53E3A" w:rsidRDefault="00F53E3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1192B" w14:textId="77777777" w:rsidR="00F53E3A" w:rsidRDefault="00F53E3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D3B8A6" w14:textId="77777777" w:rsidR="00F53E3A" w:rsidRDefault="00F53E3A">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63B565" w14:textId="77777777" w:rsidR="00F53E3A" w:rsidRDefault="00F53E3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FA6A1" w14:textId="77777777" w:rsidR="00F53E3A" w:rsidRDefault="00F53E3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0947A6" w14:textId="77777777" w:rsidR="00F53E3A" w:rsidRDefault="00F53E3A">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B7498" w14:textId="77777777" w:rsidR="00F53E3A" w:rsidRDefault="00F53E3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D801A" w14:textId="77777777" w:rsidR="00F53E3A" w:rsidRDefault="00F53E3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7E47DA" w14:textId="77777777" w:rsidR="00F53E3A" w:rsidRDefault="00F53E3A">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1527C4" w14:textId="77777777" w:rsidR="00F53E3A" w:rsidRDefault="00F53E3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3C619" w14:textId="77777777" w:rsidR="00F53E3A" w:rsidRDefault="00F53E3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77398" w14:textId="77777777" w:rsidR="00F53E3A" w:rsidRDefault="00F53E3A">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3EF4B" w14:textId="77777777" w:rsidR="00F53E3A" w:rsidRDefault="00F53E3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6CFBC" w14:textId="77777777" w:rsidR="00F53E3A" w:rsidRDefault="00F53E3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9D5AC9" w14:textId="77777777" w:rsidR="00F53E3A" w:rsidRDefault="00F53E3A">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1E62FF" w14:textId="77777777" w:rsidR="00F53E3A" w:rsidRDefault="00F53E3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484987" w14:textId="77777777" w:rsidR="00F53E3A" w:rsidRDefault="00F53E3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BA81E0" w14:textId="77777777" w:rsidR="00F53E3A" w:rsidRDefault="00F53E3A">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E4C3BD" w14:textId="77777777" w:rsidR="00F53E3A" w:rsidRDefault="00F53E3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02D6A3" w14:textId="77777777" w:rsidR="00F53E3A" w:rsidRDefault="00F53E3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E0F90" w14:textId="77777777" w:rsidR="00F53E3A" w:rsidRDefault="00F53E3A">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3EF253" w14:textId="77777777" w:rsidR="00F53E3A" w:rsidRDefault="00F53E3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A6A69C" w14:textId="77777777" w:rsidR="00F53E3A" w:rsidRDefault="00F53E3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03AAC" w14:textId="77777777" w:rsidR="00F53E3A" w:rsidRDefault="00F53E3A">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C405C5" w14:textId="77777777" w:rsidR="00F53E3A" w:rsidRDefault="00F53E3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798D20" w14:textId="77777777" w:rsidR="00F53E3A" w:rsidRDefault="00F53E3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DE7256" w14:textId="77777777" w:rsidR="00F53E3A" w:rsidRDefault="00F53E3A">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2A40EB" w14:textId="77777777" w:rsidR="00F53E3A" w:rsidRDefault="00F53E3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F7367D" w14:textId="77777777" w:rsidR="00F53E3A" w:rsidRDefault="00F53E3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62F73" w14:textId="77777777" w:rsidR="00F53E3A" w:rsidRDefault="00F53E3A">
    <w:pPr>
      <w:pStyle w:val="Header"/>
    </w:pP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52CDA1" w14:textId="77777777" w:rsidR="00F53E3A" w:rsidRDefault="00F53E3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38F572" w14:textId="77777777" w:rsidR="00F53E3A" w:rsidRDefault="00F53E3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17579" w14:textId="77777777" w:rsidR="00F53E3A" w:rsidRDefault="00F53E3A">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565FB" w14:textId="77777777" w:rsidR="00F53E3A" w:rsidRDefault="00F53E3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3A3569" w14:textId="77777777" w:rsidR="00F53E3A" w:rsidRDefault="00F53E3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218740" w14:textId="77777777" w:rsidR="00F53E3A" w:rsidRDefault="00F53E3A">
    <w:pPr>
      <w:pStyle w:val="Header"/>
    </w:pP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A832B" w14:textId="77777777" w:rsidR="00F53E3A" w:rsidRDefault="00F53E3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7CF846" w14:textId="77777777" w:rsidR="00F53E3A" w:rsidRDefault="00F53E3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26BB08" w14:textId="77777777" w:rsidR="00F53E3A" w:rsidRDefault="00F53E3A">
    <w:pPr>
      <w:pStyle w:val="Header"/>
    </w:pP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1EB26E" w14:textId="77777777" w:rsidR="00F53E3A" w:rsidRDefault="00F53E3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0C87F" w14:textId="77777777" w:rsidR="00F53E3A" w:rsidRDefault="00F53E3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3F7600" w14:textId="77777777" w:rsidR="00F53E3A" w:rsidRDefault="00F53E3A">
    <w:pPr>
      <w:pStyle w:val="Header"/>
    </w:pP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D67FD" w14:textId="77777777" w:rsidR="00F53E3A" w:rsidRDefault="00F53E3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623592" w14:textId="77777777" w:rsidR="00F53E3A" w:rsidRDefault="00F53E3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89ADED" w14:textId="77777777" w:rsidR="00F53E3A" w:rsidRDefault="00F53E3A">
    <w:pPr>
      <w:pStyle w:val="Header"/>
    </w:pP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D066CC" w14:textId="77777777" w:rsidR="00F53E3A" w:rsidRDefault="00F53E3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3C9E0" w14:textId="77777777" w:rsidR="00F53E3A" w:rsidRDefault="00F53E3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AEF63" w14:textId="77777777" w:rsidR="00F53E3A" w:rsidRDefault="00F53E3A">
    <w:pPr>
      <w:pStyle w:val="Header"/>
    </w:pP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4855ED" w14:textId="77777777" w:rsidR="00F53E3A" w:rsidRDefault="00F53E3A">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93816" w14:textId="77777777" w:rsidR="00F53E3A" w:rsidRDefault="00F53E3A">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623D5B" w14:textId="77777777" w:rsidR="00F53E3A" w:rsidRDefault="00F53E3A">
    <w:pPr>
      <w:pStyle w:val="Header"/>
    </w:pP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A047BF" w14:textId="77777777" w:rsidR="00F53E3A" w:rsidRDefault="00F53E3A">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0B2FB3" w14:textId="77777777" w:rsidR="00F53E3A" w:rsidRDefault="00F53E3A">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7353F8" w14:textId="77777777" w:rsidR="00F53E3A" w:rsidRDefault="00F53E3A">
    <w:pPr>
      <w:pStyle w:val="Header"/>
    </w:pP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16207D" w14:textId="77777777" w:rsidR="00F53E3A" w:rsidRDefault="00F53E3A">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8EBD96" w14:textId="77777777" w:rsidR="00F53E3A" w:rsidRDefault="00F53E3A">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7B300" w14:textId="77777777" w:rsidR="00F53E3A" w:rsidRDefault="00F53E3A">
    <w:pPr>
      <w:pStyle w:val="Header"/>
    </w:pP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9954F" w14:textId="77777777" w:rsidR="00F53E3A" w:rsidRDefault="00F53E3A">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3E140CA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55A6272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C20270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7168214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BC045F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4EC6180"/>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D788A4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D31E9FD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120668A"/>
    <w:multiLevelType w:val="multilevel"/>
    <w:tmpl w:val="FE62996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588CFD1"/>
    <w:multiLevelType w:val="hybridMultilevel"/>
    <w:tmpl w:val="FFFFFFFF"/>
    <w:lvl w:ilvl="0" w:tplc="9072133E">
      <w:start w:val="1"/>
      <w:numFmt w:val="bullet"/>
      <w:lvlText w:val=""/>
      <w:lvlJc w:val="left"/>
      <w:pPr>
        <w:ind w:left="360" w:hanging="360"/>
      </w:pPr>
      <w:rPr>
        <w:rFonts w:ascii="Symbol" w:hAnsi="Symbol" w:hint="default"/>
      </w:rPr>
    </w:lvl>
    <w:lvl w:ilvl="1" w:tplc="7F069BF8">
      <w:start w:val="1"/>
      <w:numFmt w:val="bullet"/>
      <w:lvlText w:val="o"/>
      <w:lvlJc w:val="left"/>
      <w:pPr>
        <w:ind w:left="1080" w:hanging="360"/>
      </w:pPr>
      <w:rPr>
        <w:rFonts w:ascii="Courier New" w:hAnsi="Courier New" w:hint="default"/>
      </w:rPr>
    </w:lvl>
    <w:lvl w:ilvl="2" w:tplc="EC5077AC">
      <w:start w:val="1"/>
      <w:numFmt w:val="bullet"/>
      <w:lvlText w:val=""/>
      <w:lvlJc w:val="left"/>
      <w:pPr>
        <w:ind w:left="1800" w:hanging="360"/>
      </w:pPr>
      <w:rPr>
        <w:rFonts w:ascii="Wingdings" w:hAnsi="Wingdings" w:hint="default"/>
      </w:rPr>
    </w:lvl>
    <w:lvl w:ilvl="3" w:tplc="A740DAEC">
      <w:start w:val="1"/>
      <w:numFmt w:val="bullet"/>
      <w:lvlText w:val=""/>
      <w:lvlJc w:val="left"/>
      <w:pPr>
        <w:ind w:left="2520" w:hanging="360"/>
      </w:pPr>
      <w:rPr>
        <w:rFonts w:ascii="Symbol" w:hAnsi="Symbol" w:hint="default"/>
      </w:rPr>
    </w:lvl>
    <w:lvl w:ilvl="4" w:tplc="4BA8BC90">
      <w:start w:val="1"/>
      <w:numFmt w:val="bullet"/>
      <w:lvlText w:val="o"/>
      <w:lvlJc w:val="left"/>
      <w:pPr>
        <w:ind w:left="3240" w:hanging="360"/>
      </w:pPr>
      <w:rPr>
        <w:rFonts w:ascii="Courier New" w:hAnsi="Courier New" w:hint="default"/>
      </w:rPr>
    </w:lvl>
    <w:lvl w:ilvl="5" w:tplc="72128CDA">
      <w:start w:val="1"/>
      <w:numFmt w:val="bullet"/>
      <w:lvlText w:val=""/>
      <w:lvlJc w:val="left"/>
      <w:pPr>
        <w:ind w:left="3960" w:hanging="360"/>
      </w:pPr>
      <w:rPr>
        <w:rFonts w:ascii="Wingdings" w:hAnsi="Wingdings" w:hint="default"/>
      </w:rPr>
    </w:lvl>
    <w:lvl w:ilvl="6" w:tplc="FAC2A7AA">
      <w:start w:val="1"/>
      <w:numFmt w:val="bullet"/>
      <w:lvlText w:val=""/>
      <w:lvlJc w:val="left"/>
      <w:pPr>
        <w:ind w:left="4680" w:hanging="360"/>
      </w:pPr>
      <w:rPr>
        <w:rFonts w:ascii="Symbol" w:hAnsi="Symbol" w:hint="default"/>
      </w:rPr>
    </w:lvl>
    <w:lvl w:ilvl="7" w:tplc="8D662972">
      <w:start w:val="1"/>
      <w:numFmt w:val="bullet"/>
      <w:lvlText w:val="o"/>
      <w:lvlJc w:val="left"/>
      <w:pPr>
        <w:ind w:left="5400" w:hanging="360"/>
      </w:pPr>
      <w:rPr>
        <w:rFonts w:ascii="Courier New" w:hAnsi="Courier New" w:hint="default"/>
      </w:rPr>
    </w:lvl>
    <w:lvl w:ilvl="8" w:tplc="71C40AC8">
      <w:start w:val="1"/>
      <w:numFmt w:val="bullet"/>
      <w:lvlText w:val=""/>
      <w:lvlJc w:val="left"/>
      <w:pPr>
        <w:ind w:left="6120" w:hanging="360"/>
      </w:pPr>
      <w:rPr>
        <w:rFonts w:ascii="Wingdings" w:hAnsi="Wingdings" w:hint="default"/>
      </w:rPr>
    </w:lvl>
  </w:abstractNum>
  <w:abstractNum w:abstractNumId="10" w15:restartNumberingAfterBreak="0">
    <w:nsid w:val="06326B7A"/>
    <w:multiLevelType w:val="hybridMultilevel"/>
    <w:tmpl w:val="F9E8C0E6"/>
    <w:lvl w:ilvl="0" w:tplc="C61836AE">
      <w:start w:val="1"/>
      <w:numFmt w:val="decimal"/>
      <w:lvlText w:val="%1)"/>
      <w:lvlJc w:val="left"/>
      <w:pPr>
        <w:ind w:left="1020" w:hanging="360"/>
      </w:pPr>
    </w:lvl>
    <w:lvl w:ilvl="1" w:tplc="3C0C0884">
      <w:start w:val="1"/>
      <w:numFmt w:val="decimal"/>
      <w:lvlText w:val="%2)"/>
      <w:lvlJc w:val="left"/>
      <w:pPr>
        <w:ind w:left="1020" w:hanging="360"/>
      </w:pPr>
    </w:lvl>
    <w:lvl w:ilvl="2" w:tplc="05A29378">
      <w:start w:val="1"/>
      <w:numFmt w:val="decimal"/>
      <w:lvlText w:val="%3)"/>
      <w:lvlJc w:val="left"/>
      <w:pPr>
        <w:ind w:left="1020" w:hanging="360"/>
      </w:pPr>
    </w:lvl>
    <w:lvl w:ilvl="3" w:tplc="11985942">
      <w:start w:val="1"/>
      <w:numFmt w:val="decimal"/>
      <w:lvlText w:val="%4)"/>
      <w:lvlJc w:val="left"/>
      <w:pPr>
        <w:ind w:left="1020" w:hanging="360"/>
      </w:pPr>
    </w:lvl>
    <w:lvl w:ilvl="4" w:tplc="9E965138">
      <w:start w:val="1"/>
      <w:numFmt w:val="decimal"/>
      <w:lvlText w:val="%5)"/>
      <w:lvlJc w:val="left"/>
      <w:pPr>
        <w:ind w:left="1020" w:hanging="360"/>
      </w:pPr>
    </w:lvl>
    <w:lvl w:ilvl="5" w:tplc="5F047AC0">
      <w:start w:val="1"/>
      <w:numFmt w:val="decimal"/>
      <w:lvlText w:val="%6)"/>
      <w:lvlJc w:val="left"/>
      <w:pPr>
        <w:ind w:left="1020" w:hanging="360"/>
      </w:pPr>
    </w:lvl>
    <w:lvl w:ilvl="6" w:tplc="B9686FEC">
      <w:start w:val="1"/>
      <w:numFmt w:val="decimal"/>
      <w:lvlText w:val="%7)"/>
      <w:lvlJc w:val="left"/>
      <w:pPr>
        <w:ind w:left="1020" w:hanging="360"/>
      </w:pPr>
    </w:lvl>
    <w:lvl w:ilvl="7" w:tplc="0A50FB00">
      <w:start w:val="1"/>
      <w:numFmt w:val="decimal"/>
      <w:lvlText w:val="%8)"/>
      <w:lvlJc w:val="left"/>
      <w:pPr>
        <w:ind w:left="1020" w:hanging="360"/>
      </w:pPr>
    </w:lvl>
    <w:lvl w:ilvl="8" w:tplc="F63CF9AA">
      <w:start w:val="1"/>
      <w:numFmt w:val="decimal"/>
      <w:lvlText w:val="%9)"/>
      <w:lvlJc w:val="left"/>
      <w:pPr>
        <w:ind w:left="1020" w:hanging="360"/>
      </w:pPr>
    </w:lvl>
  </w:abstractNum>
  <w:abstractNum w:abstractNumId="11" w15:restartNumberingAfterBreak="0">
    <w:nsid w:val="09A52258"/>
    <w:multiLevelType w:val="hybridMultilevel"/>
    <w:tmpl w:val="97E496B8"/>
    <w:lvl w:ilvl="0" w:tplc="9F54E2B2">
      <w:start w:val="1"/>
      <w:numFmt w:val="lowerLetter"/>
      <w:lvlText w:val="%1."/>
      <w:lvlJc w:val="left"/>
      <w:pPr>
        <w:ind w:left="720" w:hanging="360"/>
      </w:pPr>
    </w:lvl>
    <w:lvl w:ilvl="1" w:tplc="6AC45CAA">
      <w:start w:val="1"/>
      <w:numFmt w:val="lowerLetter"/>
      <w:lvlText w:val="%2."/>
      <w:lvlJc w:val="left"/>
      <w:pPr>
        <w:ind w:left="1440" w:hanging="360"/>
      </w:pPr>
    </w:lvl>
    <w:lvl w:ilvl="2" w:tplc="4ECE9774">
      <w:start w:val="1"/>
      <w:numFmt w:val="lowerRoman"/>
      <w:lvlText w:val="%3."/>
      <w:lvlJc w:val="right"/>
      <w:pPr>
        <w:ind w:left="2160" w:hanging="180"/>
      </w:pPr>
    </w:lvl>
    <w:lvl w:ilvl="3" w:tplc="E7EAA67A">
      <w:start w:val="1"/>
      <w:numFmt w:val="decimal"/>
      <w:lvlText w:val="%4."/>
      <w:lvlJc w:val="left"/>
      <w:pPr>
        <w:ind w:left="2880" w:hanging="360"/>
      </w:pPr>
    </w:lvl>
    <w:lvl w:ilvl="4" w:tplc="0E18063C">
      <w:start w:val="1"/>
      <w:numFmt w:val="lowerLetter"/>
      <w:lvlText w:val="%5."/>
      <w:lvlJc w:val="left"/>
      <w:pPr>
        <w:ind w:left="3600" w:hanging="360"/>
      </w:pPr>
    </w:lvl>
    <w:lvl w:ilvl="5" w:tplc="9356F6C4">
      <w:start w:val="1"/>
      <w:numFmt w:val="lowerRoman"/>
      <w:lvlText w:val="%6."/>
      <w:lvlJc w:val="right"/>
      <w:pPr>
        <w:ind w:left="4320" w:hanging="180"/>
      </w:pPr>
    </w:lvl>
    <w:lvl w:ilvl="6" w:tplc="47BA3094">
      <w:start w:val="1"/>
      <w:numFmt w:val="decimal"/>
      <w:lvlText w:val="%7."/>
      <w:lvlJc w:val="left"/>
      <w:pPr>
        <w:ind w:left="5040" w:hanging="360"/>
      </w:pPr>
    </w:lvl>
    <w:lvl w:ilvl="7" w:tplc="ED9AB3E2">
      <w:start w:val="1"/>
      <w:numFmt w:val="lowerLetter"/>
      <w:lvlText w:val="%8."/>
      <w:lvlJc w:val="left"/>
      <w:pPr>
        <w:ind w:left="5760" w:hanging="360"/>
      </w:pPr>
    </w:lvl>
    <w:lvl w:ilvl="8" w:tplc="8D90701E">
      <w:start w:val="1"/>
      <w:numFmt w:val="lowerRoman"/>
      <w:lvlText w:val="%9."/>
      <w:lvlJc w:val="right"/>
      <w:pPr>
        <w:ind w:left="6480" w:hanging="180"/>
      </w:pPr>
    </w:lvl>
  </w:abstractNum>
  <w:abstractNum w:abstractNumId="12" w15:restartNumberingAfterBreak="0">
    <w:nsid w:val="0A813666"/>
    <w:multiLevelType w:val="hybridMultilevel"/>
    <w:tmpl w:val="6FB63A7C"/>
    <w:lvl w:ilvl="0" w:tplc="33C8DBFA">
      <w:start w:val="1"/>
      <w:numFmt w:val="decimal"/>
      <w:lvlText w:val="%1)"/>
      <w:lvlJc w:val="left"/>
      <w:pPr>
        <w:ind w:left="720" w:hanging="360"/>
      </w:pPr>
    </w:lvl>
    <w:lvl w:ilvl="1" w:tplc="B40EF3B8">
      <w:start w:val="1"/>
      <w:numFmt w:val="decimal"/>
      <w:lvlText w:val="%2)"/>
      <w:lvlJc w:val="left"/>
      <w:pPr>
        <w:ind w:left="720" w:hanging="360"/>
      </w:pPr>
    </w:lvl>
    <w:lvl w:ilvl="2" w:tplc="8F0AF7EE">
      <w:start w:val="1"/>
      <w:numFmt w:val="decimal"/>
      <w:lvlText w:val="%3)"/>
      <w:lvlJc w:val="left"/>
      <w:pPr>
        <w:ind w:left="720" w:hanging="360"/>
      </w:pPr>
    </w:lvl>
    <w:lvl w:ilvl="3" w:tplc="325074B8">
      <w:start w:val="1"/>
      <w:numFmt w:val="decimal"/>
      <w:lvlText w:val="%4)"/>
      <w:lvlJc w:val="left"/>
      <w:pPr>
        <w:ind w:left="720" w:hanging="360"/>
      </w:pPr>
    </w:lvl>
    <w:lvl w:ilvl="4" w:tplc="58902760">
      <w:start w:val="1"/>
      <w:numFmt w:val="decimal"/>
      <w:lvlText w:val="%5)"/>
      <w:lvlJc w:val="left"/>
      <w:pPr>
        <w:ind w:left="720" w:hanging="360"/>
      </w:pPr>
    </w:lvl>
    <w:lvl w:ilvl="5" w:tplc="E1368AA6">
      <w:start w:val="1"/>
      <w:numFmt w:val="decimal"/>
      <w:lvlText w:val="%6)"/>
      <w:lvlJc w:val="left"/>
      <w:pPr>
        <w:ind w:left="720" w:hanging="360"/>
      </w:pPr>
    </w:lvl>
    <w:lvl w:ilvl="6" w:tplc="A68608FE">
      <w:start w:val="1"/>
      <w:numFmt w:val="decimal"/>
      <w:lvlText w:val="%7)"/>
      <w:lvlJc w:val="left"/>
      <w:pPr>
        <w:ind w:left="720" w:hanging="360"/>
      </w:pPr>
    </w:lvl>
    <w:lvl w:ilvl="7" w:tplc="3C8AD2A2">
      <w:start w:val="1"/>
      <w:numFmt w:val="decimal"/>
      <w:lvlText w:val="%8)"/>
      <w:lvlJc w:val="left"/>
      <w:pPr>
        <w:ind w:left="720" w:hanging="360"/>
      </w:pPr>
    </w:lvl>
    <w:lvl w:ilvl="8" w:tplc="2F3EE6D0">
      <w:start w:val="1"/>
      <w:numFmt w:val="decimal"/>
      <w:lvlText w:val="%9)"/>
      <w:lvlJc w:val="left"/>
      <w:pPr>
        <w:ind w:left="720" w:hanging="360"/>
      </w:pPr>
    </w:lvl>
  </w:abstractNum>
  <w:abstractNum w:abstractNumId="13" w15:restartNumberingAfterBreak="0">
    <w:nsid w:val="0B1A0C62"/>
    <w:multiLevelType w:val="hybridMultilevel"/>
    <w:tmpl w:val="1492A846"/>
    <w:lvl w:ilvl="0" w:tplc="08090001">
      <w:start w:val="1"/>
      <w:numFmt w:val="bullet"/>
      <w:lvlText w:val=""/>
      <w:lvlJc w:val="left"/>
      <w:pPr>
        <w:ind w:left="720" w:hanging="360"/>
      </w:pPr>
      <w:rPr>
        <w:rFonts w:ascii="Symbol" w:hAnsi="Symbol" w:hint="default"/>
      </w:rPr>
    </w:lvl>
    <w:lvl w:ilvl="1" w:tplc="F41A130C">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92C32CD"/>
    <w:multiLevelType w:val="hybridMultilevel"/>
    <w:tmpl w:val="FFFFFFFF"/>
    <w:lvl w:ilvl="0" w:tplc="27AEB818">
      <w:start w:val="1"/>
      <w:numFmt w:val="decimal"/>
      <w:lvlText w:val="%1)"/>
      <w:lvlJc w:val="left"/>
      <w:pPr>
        <w:ind w:left="720" w:hanging="360"/>
      </w:pPr>
      <w:rPr>
        <w:rFonts w:ascii="Times New Roman" w:hAnsi="Times New Roman" w:hint="default"/>
      </w:rPr>
    </w:lvl>
    <w:lvl w:ilvl="1" w:tplc="E4A8A928">
      <w:start w:val="1"/>
      <w:numFmt w:val="lowerLetter"/>
      <w:lvlText w:val="%2."/>
      <w:lvlJc w:val="left"/>
      <w:pPr>
        <w:ind w:left="1440" w:hanging="360"/>
      </w:pPr>
    </w:lvl>
    <w:lvl w:ilvl="2" w:tplc="068EF942">
      <w:start w:val="1"/>
      <w:numFmt w:val="lowerRoman"/>
      <w:lvlText w:val="%3."/>
      <w:lvlJc w:val="right"/>
      <w:pPr>
        <w:ind w:left="2160" w:hanging="180"/>
      </w:pPr>
    </w:lvl>
    <w:lvl w:ilvl="3" w:tplc="F21E2D1A">
      <w:start w:val="1"/>
      <w:numFmt w:val="decimal"/>
      <w:lvlText w:val="%4."/>
      <w:lvlJc w:val="left"/>
      <w:pPr>
        <w:ind w:left="2880" w:hanging="360"/>
      </w:pPr>
    </w:lvl>
    <w:lvl w:ilvl="4" w:tplc="C62034B4">
      <w:start w:val="1"/>
      <w:numFmt w:val="lowerLetter"/>
      <w:lvlText w:val="%5."/>
      <w:lvlJc w:val="left"/>
      <w:pPr>
        <w:ind w:left="3600" w:hanging="360"/>
      </w:pPr>
    </w:lvl>
    <w:lvl w:ilvl="5" w:tplc="5DC23848">
      <w:start w:val="1"/>
      <w:numFmt w:val="lowerRoman"/>
      <w:lvlText w:val="%6."/>
      <w:lvlJc w:val="right"/>
      <w:pPr>
        <w:ind w:left="4320" w:hanging="180"/>
      </w:pPr>
    </w:lvl>
    <w:lvl w:ilvl="6" w:tplc="9FA65064">
      <w:start w:val="1"/>
      <w:numFmt w:val="decimal"/>
      <w:lvlText w:val="%7."/>
      <w:lvlJc w:val="left"/>
      <w:pPr>
        <w:ind w:left="5040" w:hanging="360"/>
      </w:pPr>
    </w:lvl>
    <w:lvl w:ilvl="7" w:tplc="924A9306">
      <w:start w:val="1"/>
      <w:numFmt w:val="lowerLetter"/>
      <w:lvlText w:val="%8."/>
      <w:lvlJc w:val="left"/>
      <w:pPr>
        <w:ind w:left="5760" w:hanging="360"/>
      </w:pPr>
    </w:lvl>
    <w:lvl w:ilvl="8" w:tplc="DA962F4C">
      <w:start w:val="1"/>
      <w:numFmt w:val="lowerRoman"/>
      <w:lvlText w:val="%9."/>
      <w:lvlJc w:val="right"/>
      <w:pPr>
        <w:ind w:left="6480" w:hanging="180"/>
      </w:pPr>
    </w:lvl>
  </w:abstractNum>
  <w:abstractNum w:abstractNumId="1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6" w15:restartNumberingAfterBreak="0">
    <w:nsid w:val="214641DC"/>
    <w:multiLevelType w:val="hybridMultilevel"/>
    <w:tmpl w:val="667292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22E44180"/>
    <w:multiLevelType w:val="multilevel"/>
    <w:tmpl w:val="544C66BC"/>
    <w:name w:val="NumPar"/>
    <w:lvl w:ilvl="0">
      <w:start w:val="1"/>
      <w:numFmt w:val="decimal"/>
      <w:lvlRestart w:val="0"/>
      <w:pStyle w:val="NumPar1"/>
      <w:lvlText w:val="%1."/>
      <w:lvlJc w:val="left"/>
      <w:pPr>
        <w:tabs>
          <w:tab w:val="num" w:pos="850"/>
        </w:tabs>
        <w:ind w:left="850" w:hanging="850"/>
      </w:pPr>
      <w:rPr>
        <w:rFonts w:hint="default"/>
      </w:rPr>
    </w:lvl>
    <w:lvl w:ilvl="1">
      <w:start w:val="1"/>
      <w:numFmt w:val="decimal"/>
      <w:pStyle w:val="NumPar2"/>
      <w:lvlText w:val="%1.%2."/>
      <w:lvlJc w:val="left"/>
      <w:pPr>
        <w:tabs>
          <w:tab w:val="num" w:pos="850"/>
        </w:tabs>
        <w:ind w:left="850" w:hanging="850"/>
      </w:pPr>
      <w:rPr>
        <w:rFonts w:hint="default"/>
      </w:rPr>
    </w:lvl>
    <w:lvl w:ilvl="2">
      <w:start w:val="1"/>
      <w:numFmt w:val="decimal"/>
      <w:pStyle w:val="NumPar3"/>
      <w:lvlText w:val="%1.%2.%3."/>
      <w:lvlJc w:val="left"/>
      <w:pPr>
        <w:tabs>
          <w:tab w:val="num" w:pos="850"/>
        </w:tabs>
        <w:ind w:left="850" w:hanging="850"/>
      </w:pPr>
      <w:rPr>
        <w:rFonts w:hint="default"/>
      </w:rPr>
    </w:lvl>
    <w:lvl w:ilvl="3">
      <w:start w:val="1"/>
      <w:numFmt w:val="decimal"/>
      <w:pStyle w:val="NumPar4"/>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9"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20" w15:restartNumberingAfterBreak="0">
    <w:nsid w:val="2D0604E0"/>
    <w:multiLevelType w:val="hybridMultilevel"/>
    <w:tmpl w:val="79B23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5DD0C05"/>
    <w:multiLevelType w:val="hybridMultilevel"/>
    <w:tmpl w:val="0D501D78"/>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A5B0681"/>
    <w:multiLevelType w:val="hybridMultilevel"/>
    <w:tmpl w:val="6254C76C"/>
    <w:lvl w:ilvl="0" w:tplc="184EAF02">
      <w:start w:val="1"/>
      <w:numFmt w:val="bullet"/>
      <w:lvlText w:val="-"/>
      <w:lvlJc w:val="left"/>
      <w:pPr>
        <w:ind w:left="720" w:hanging="360"/>
      </w:pPr>
      <w:rPr>
        <w:rFonts w:ascii="Calibri" w:hAnsi="Calibri" w:hint="default"/>
      </w:rPr>
    </w:lvl>
    <w:lvl w:ilvl="1" w:tplc="67DE06D6">
      <w:start w:val="1"/>
      <w:numFmt w:val="bullet"/>
      <w:lvlText w:val="o"/>
      <w:lvlJc w:val="left"/>
      <w:pPr>
        <w:ind w:left="1440" w:hanging="360"/>
      </w:pPr>
      <w:rPr>
        <w:rFonts w:ascii="Courier New" w:hAnsi="Courier New" w:hint="default"/>
      </w:rPr>
    </w:lvl>
    <w:lvl w:ilvl="2" w:tplc="8E2468E0">
      <w:start w:val="1"/>
      <w:numFmt w:val="bullet"/>
      <w:lvlText w:val=""/>
      <w:lvlJc w:val="left"/>
      <w:pPr>
        <w:ind w:left="2160" w:hanging="360"/>
      </w:pPr>
      <w:rPr>
        <w:rFonts w:ascii="Wingdings" w:hAnsi="Wingdings" w:hint="default"/>
      </w:rPr>
    </w:lvl>
    <w:lvl w:ilvl="3" w:tplc="FA10E83A">
      <w:start w:val="1"/>
      <w:numFmt w:val="bullet"/>
      <w:lvlText w:val=""/>
      <w:lvlJc w:val="left"/>
      <w:pPr>
        <w:ind w:left="2880" w:hanging="360"/>
      </w:pPr>
      <w:rPr>
        <w:rFonts w:ascii="Symbol" w:hAnsi="Symbol" w:hint="default"/>
      </w:rPr>
    </w:lvl>
    <w:lvl w:ilvl="4" w:tplc="B40E0E92">
      <w:start w:val="1"/>
      <w:numFmt w:val="bullet"/>
      <w:lvlText w:val="o"/>
      <w:lvlJc w:val="left"/>
      <w:pPr>
        <w:ind w:left="3600" w:hanging="360"/>
      </w:pPr>
      <w:rPr>
        <w:rFonts w:ascii="Courier New" w:hAnsi="Courier New" w:hint="default"/>
      </w:rPr>
    </w:lvl>
    <w:lvl w:ilvl="5" w:tplc="483A4B7E">
      <w:start w:val="1"/>
      <w:numFmt w:val="bullet"/>
      <w:lvlText w:val=""/>
      <w:lvlJc w:val="left"/>
      <w:pPr>
        <w:ind w:left="4320" w:hanging="360"/>
      </w:pPr>
      <w:rPr>
        <w:rFonts w:ascii="Wingdings" w:hAnsi="Wingdings" w:hint="default"/>
      </w:rPr>
    </w:lvl>
    <w:lvl w:ilvl="6" w:tplc="854C1D3E">
      <w:start w:val="1"/>
      <w:numFmt w:val="bullet"/>
      <w:lvlText w:val=""/>
      <w:lvlJc w:val="left"/>
      <w:pPr>
        <w:ind w:left="5040" w:hanging="360"/>
      </w:pPr>
      <w:rPr>
        <w:rFonts w:ascii="Symbol" w:hAnsi="Symbol" w:hint="default"/>
      </w:rPr>
    </w:lvl>
    <w:lvl w:ilvl="7" w:tplc="4228701A">
      <w:start w:val="1"/>
      <w:numFmt w:val="bullet"/>
      <w:lvlText w:val="o"/>
      <w:lvlJc w:val="left"/>
      <w:pPr>
        <w:ind w:left="5760" w:hanging="360"/>
      </w:pPr>
      <w:rPr>
        <w:rFonts w:ascii="Courier New" w:hAnsi="Courier New" w:hint="default"/>
      </w:rPr>
    </w:lvl>
    <w:lvl w:ilvl="8" w:tplc="023E642E">
      <w:start w:val="1"/>
      <w:numFmt w:val="bullet"/>
      <w:lvlText w:val=""/>
      <w:lvlJc w:val="left"/>
      <w:pPr>
        <w:ind w:left="6480" w:hanging="360"/>
      </w:pPr>
      <w:rPr>
        <w:rFonts w:ascii="Wingdings" w:hAnsi="Wingdings" w:hint="default"/>
      </w:rPr>
    </w:lvl>
  </w:abstractNum>
  <w:abstractNum w:abstractNumId="2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5" w15:restartNumberingAfterBreak="0">
    <w:nsid w:val="44A82FE9"/>
    <w:multiLevelType w:val="hybridMultilevel"/>
    <w:tmpl w:val="934C760C"/>
    <w:lvl w:ilvl="0" w:tplc="0AA81D4C">
      <w:start w:val="1"/>
      <w:numFmt w:val="decimal"/>
      <w:lvlText w:val="%1)"/>
      <w:lvlJc w:val="left"/>
      <w:pPr>
        <w:ind w:left="1020" w:hanging="360"/>
      </w:pPr>
    </w:lvl>
    <w:lvl w:ilvl="1" w:tplc="46A8F1C8">
      <w:start w:val="1"/>
      <w:numFmt w:val="decimal"/>
      <w:lvlText w:val="%2)"/>
      <w:lvlJc w:val="left"/>
      <w:pPr>
        <w:ind w:left="1020" w:hanging="360"/>
      </w:pPr>
    </w:lvl>
    <w:lvl w:ilvl="2" w:tplc="47AE3372">
      <w:start w:val="1"/>
      <w:numFmt w:val="decimal"/>
      <w:lvlText w:val="%3)"/>
      <w:lvlJc w:val="left"/>
      <w:pPr>
        <w:ind w:left="1020" w:hanging="360"/>
      </w:pPr>
    </w:lvl>
    <w:lvl w:ilvl="3" w:tplc="EC5643DC">
      <w:start w:val="1"/>
      <w:numFmt w:val="decimal"/>
      <w:lvlText w:val="%4)"/>
      <w:lvlJc w:val="left"/>
      <w:pPr>
        <w:ind w:left="1020" w:hanging="360"/>
      </w:pPr>
    </w:lvl>
    <w:lvl w:ilvl="4" w:tplc="C53E83D4">
      <w:start w:val="1"/>
      <w:numFmt w:val="decimal"/>
      <w:lvlText w:val="%5)"/>
      <w:lvlJc w:val="left"/>
      <w:pPr>
        <w:ind w:left="1020" w:hanging="360"/>
      </w:pPr>
    </w:lvl>
    <w:lvl w:ilvl="5" w:tplc="E7705A7A">
      <w:start w:val="1"/>
      <w:numFmt w:val="decimal"/>
      <w:lvlText w:val="%6)"/>
      <w:lvlJc w:val="left"/>
      <w:pPr>
        <w:ind w:left="1020" w:hanging="360"/>
      </w:pPr>
    </w:lvl>
    <w:lvl w:ilvl="6" w:tplc="7BD40CC0">
      <w:start w:val="1"/>
      <w:numFmt w:val="decimal"/>
      <w:lvlText w:val="%7)"/>
      <w:lvlJc w:val="left"/>
      <w:pPr>
        <w:ind w:left="1020" w:hanging="360"/>
      </w:pPr>
    </w:lvl>
    <w:lvl w:ilvl="7" w:tplc="5E8C755E">
      <w:start w:val="1"/>
      <w:numFmt w:val="decimal"/>
      <w:lvlText w:val="%8)"/>
      <w:lvlJc w:val="left"/>
      <w:pPr>
        <w:ind w:left="1020" w:hanging="360"/>
      </w:pPr>
    </w:lvl>
    <w:lvl w:ilvl="8" w:tplc="F3AA6DC2">
      <w:start w:val="1"/>
      <w:numFmt w:val="decimal"/>
      <w:lvlText w:val="%9)"/>
      <w:lvlJc w:val="left"/>
      <w:pPr>
        <w:ind w:left="1020" w:hanging="360"/>
      </w:pPr>
    </w:lvl>
  </w:abstractNum>
  <w:abstractNum w:abstractNumId="2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7" w15:restartNumberingAfterBreak="0">
    <w:nsid w:val="4E7808BF"/>
    <w:multiLevelType w:val="hybridMultilevel"/>
    <w:tmpl w:val="DCF41042"/>
    <w:lvl w:ilvl="0" w:tplc="28B2943C">
      <w:start w:val="1"/>
      <w:numFmt w:val="decimal"/>
      <w:lvlText w:val="%1."/>
      <w:lvlJc w:val="left"/>
      <w:pPr>
        <w:ind w:left="720" w:hanging="360"/>
      </w:pPr>
      <w:rPr>
        <w:lang w:val="en-G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4FB226A4"/>
    <w:multiLevelType w:val="hybridMultilevel"/>
    <w:tmpl w:val="DE088634"/>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0" w15:restartNumberingAfterBreak="0">
    <w:nsid w:val="56C536AF"/>
    <w:multiLevelType w:val="hybridMultilevel"/>
    <w:tmpl w:val="FFFFFFFF"/>
    <w:lvl w:ilvl="0" w:tplc="6F3845F0">
      <w:start w:val="1"/>
      <w:numFmt w:val="bullet"/>
      <w:lvlText w:val=""/>
      <w:lvlJc w:val="left"/>
      <w:pPr>
        <w:ind w:left="720" w:hanging="360"/>
      </w:pPr>
      <w:rPr>
        <w:rFonts w:ascii="Symbol" w:hAnsi="Symbol" w:hint="default"/>
      </w:rPr>
    </w:lvl>
    <w:lvl w:ilvl="1" w:tplc="81BC6F16">
      <w:start w:val="1"/>
      <w:numFmt w:val="bullet"/>
      <w:lvlText w:val="o"/>
      <w:lvlJc w:val="left"/>
      <w:pPr>
        <w:ind w:left="1440" w:hanging="360"/>
      </w:pPr>
      <w:rPr>
        <w:rFonts w:ascii="Courier New" w:hAnsi="Courier New" w:hint="default"/>
      </w:rPr>
    </w:lvl>
    <w:lvl w:ilvl="2" w:tplc="23889B10">
      <w:start w:val="1"/>
      <w:numFmt w:val="bullet"/>
      <w:lvlText w:val=""/>
      <w:lvlJc w:val="left"/>
      <w:pPr>
        <w:ind w:left="2160" w:hanging="360"/>
      </w:pPr>
      <w:rPr>
        <w:rFonts w:ascii="Wingdings" w:hAnsi="Wingdings" w:hint="default"/>
      </w:rPr>
    </w:lvl>
    <w:lvl w:ilvl="3" w:tplc="1C9AB6A2">
      <w:start w:val="1"/>
      <w:numFmt w:val="bullet"/>
      <w:lvlText w:val=""/>
      <w:lvlJc w:val="left"/>
      <w:pPr>
        <w:ind w:left="2880" w:hanging="360"/>
      </w:pPr>
      <w:rPr>
        <w:rFonts w:ascii="Symbol" w:hAnsi="Symbol" w:hint="default"/>
      </w:rPr>
    </w:lvl>
    <w:lvl w:ilvl="4" w:tplc="00F6448E">
      <w:start w:val="1"/>
      <w:numFmt w:val="bullet"/>
      <w:lvlText w:val="o"/>
      <w:lvlJc w:val="left"/>
      <w:pPr>
        <w:ind w:left="3600" w:hanging="360"/>
      </w:pPr>
      <w:rPr>
        <w:rFonts w:ascii="Courier New" w:hAnsi="Courier New" w:hint="default"/>
      </w:rPr>
    </w:lvl>
    <w:lvl w:ilvl="5" w:tplc="5344F1D4">
      <w:start w:val="1"/>
      <w:numFmt w:val="bullet"/>
      <w:lvlText w:val=""/>
      <w:lvlJc w:val="left"/>
      <w:pPr>
        <w:ind w:left="4320" w:hanging="360"/>
      </w:pPr>
      <w:rPr>
        <w:rFonts w:ascii="Wingdings" w:hAnsi="Wingdings" w:hint="default"/>
      </w:rPr>
    </w:lvl>
    <w:lvl w:ilvl="6" w:tplc="DAF233BA">
      <w:start w:val="1"/>
      <w:numFmt w:val="bullet"/>
      <w:lvlText w:val=""/>
      <w:lvlJc w:val="left"/>
      <w:pPr>
        <w:ind w:left="5040" w:hanging="360"/>
      </w:pPr>
      <w:rPr>
        <w:rFonts w:ascii="Symbol" w:hAnsi="Symbol" w:hint="default"/>
      </w:rPr>
    </w:lvl>
    <w:lvl w:ilvl="7" w:tplc="B9186092">
      <w:start w:val="1"/>
      <w:numFmt w:val="bullet"/>
      <w:lvlText w:val="o"/>
      <w:lvlJc w:val="left"/>
      <w:pPr>
        <w:ind w:left="5760" w:hanging="360"/>
      </w:pPr>
      <w:rPr>
        <w:rFonts w:ascii="Courier New" w:hAnsi="Courier New" w:hint="default"/>
      </w:rPr>
    </w:lvl>
    <w:lvl w:ilvl="8" w:tplc="5F1E7BB2">
      <w:start w:val="1"/>
      <w:numFmt w:val="bullet"/>
      <w:lvlText w:val=""/>
      <w:lvlJc w:val="left"/>
      <w:pPr>
        <w:ind w:left="6480" w:hanging="360"/>
      </w:pPr>
      <w:rPr>
        <w:rFonts w:ascii="Wingdings" w:hAnsi="Wingdings" w:hint="default"/>
      </w:rPr>
    </w:lvl>
  </w:abstractNum>
  <w:abstractNum w:abstractNumId="3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4" w15:restartNumberingAfterBreak="0">
    <w:nsid w:val="60586764"/>
    <w:multiLevelType w:val="hybridMultilevel"/>
    <w:tmpl w:val="649AFA08"/>
    <w:lvl w:ilvl="0" w:tplc="BA32C386">
      <w:start w:val="1"/>
      <w:numFmt w:val="bullet"/>
      <w:lvlText w:val="-"/>
      <w:lvlJc w:val="left"/>
      <w:pPr>
        <w:ind w:left="360" w:hanging="360"/>
      </w:pPr>
      <w:rPr>
        <w:rFonts w:ascii="Calibri" w:hAnsi="Calibri" w:hint="default"/>
      </w:rPr>
    </w:lvl>
    <w:lvl w:ilvl="1" w:tplc="6BEA513E">
      <w:start w:val="1"/>
      <w:numFmt w:val="bullet"/>
      <w:lvlText w:val="o"/>
      <w:lvlJc w:val="left"/>
      <w:pPr>
        <w:ind w:left="1080" w:hanging="360"/>
      </w:pPr>
      <w:rPr>
        <w:rFonts w:ascii="Courier New" w:hAnsi="Courier New" w:hint="default"/>
      </w:rPr>
    </w:lvl>
    <w:lvl w:ilvl="2" w:tplc="2AD8EAF0">
      <w:start w:val="1"/>
      <w:numFmt w:val="bullet"/>
      <w:lvlText w:val=""/>
      <w:lvlJc w:val="left"/>
      <w:pPr>
        <w:ind w:left="1800" w:hanging="360"/>
      </w:pPr>
      <w:rPr>
        <w:rFonts w:ascii="Wingdings" w:hAnsi="Wingdings" w:hint="default"/>
      </w:rPr>
    </w:lvl>
    <w:lvl w:ilvl="3" w:tplc="8600303C">
      <w:start w:val="1"/>
      <w:numFmt w:val="bullet"/>
      <w:lvlText w:val=""/>
      <w:lvlJc w:val="left"/>
      <w:pPr>
        <w:ind w:left="2520" w:hanging="360"/>
      </w:pPr>
      <w:rPr>
        <w:rFonts w:ascii="Symbol" w:hAnsi="Symbol" w:hint="default"/>
      </w:rPr>
    </w:lvl>
    <w:lvl w:ilvl="4" w:tplc="D9E23B9A">
      <w:start w:val="1"/>
      <w:numFmt w:val="bullet"/>
      <w:lvlText w:val="o"/>
      <w:lvlJc w:val="left"/>
      <w:pPr>
        <w:ind w:left="3240" w:hanging="360"/>
      </w:pPr>
      <w:rPr>
        <w:rFonts w:ascii="Courier New" w:hAnsi="Courier New" w:hint="default"/>
      </w:rPr>
    </w:lvl>
    <w:lvl w:ilvl="5" w:tplc="CCBA9910">
      <w:start w:val="1"/>
      <w:numFmt w:val="bullet"/>
      <w:lvlText w:val=""/>
      <w:lvlJc w:val="left"/>
      <w:pPr>
        <w:ind w:left="3960" w:hanging="360"/>
      </w:pPr>
      <w:rPr>
        <w:rFonts w:ascii="Wingdings" w:hAnsi="Wingdings" w:hint="default"/>
      </w:rPr>
    </w:lvl>
    <w:lvl w:ilvl="6" w:tplc="912CC7D4">
      <w:start w:val="1"/>
      <w:numFmt w:val="bullet"/>
      <w:lvlText w:val=""/>
      <w:lvlJc w:val="left"/>
      <w:pPr>
        <w:ind w:left="4680" w:hanging="360"/>
      </w:pPr>
      <w:rPr>
        <w:rFonts w:ascii="Symbol" w:hAnsi="Symbol" w:hint="default"/>
      </w:rPr>
    </w:lvl>
    <w:lvl w:ilvl="7" w:tplc="B16028F4">
      <w:start w:val="1"/>
      <w:numFmt w:val="bullet"/>
      <w:lvlText w:val="o"/>
      <w:lvlJc w:val="left"/>
      <w:pPr>
        <w:ind w:left="5400" w:hanging="360"/>
      </w:pPr>
      <w:rPr>
        <w:rFonts w:ascii="Courier New" w:hAnsi="Courier New" w:hint="default"/>
      </w:rPr>
    </w:lvl>
    <w:lvl w:ilvl="8" w:tplc="5B821FAC">
      <w:start w:val="1"/>
      <w:numFmt w:val="bullet"/>
      <w:lvlText w:val=""/>
      <w:lvlJc w:val="left"/>
      <w:pPr>
        <w:ind w:left="6120" w:hanging="360"/>
      </w:pPr>
      <w:rPr>
        <w:rFonts w:ascii="Wingdings" w:hAnsi="Wingdings" w:hint="default"/>
      </w:rPr>
    </w:lvl>
  </w:abstractNum>
  <w:abstractNum w:abstractNumId="35" w15:restartNumberingAfterBreak="0">
    <w:nsid w:val="62994388"/>
    <w:multiLevelType w:val="hybridMultilevel"/>
    <w:tmpl w:val="F5185388"/>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36" w15:restartNumberingAfterBreak="0">
    <w:nsid w:val="62B4658B"/>
    <w:multiLevelType w:val="hybridMultilevel"/>
    <w:tmpl w:val="C6B4A1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4A12FA4"/>
    <w:multiLevelType w:val="multilevel"/>
    <w:tmpl w:val="BC1C158C"/>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b/>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64BD7E39"/>
    <w:multiLevelType w:val="hybridMultilevel"/>
    <w:tmpl w:val="6010C0C6"/>
    <w:lvl w:ilvl="0" w:tplc="B2945C9A">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66E8322C"/>
    <w:multiLevelType w:val="hybridMultilevel"/>
    <w:tmpl w:val="2B48F81C"/>
    <w:lvl w:ilvl="0" w:tplc="FC50279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675A2A41"/>
    <w:multiLevelType w:val="multilevel"/>
    <w:tmpl w:val="770C83D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77C56C3"/>
    <w:multiLevelType w:val="hybridMultilevel"/>
    <w:tmpl w:val="6AA0F88C"/>
    <w:lvl w:ilvl="0" w:tplc="9BD60EE0">
      <w:start w:val="1"/>
      <w:numFmt w:val="bullet"/>
      <w:lvlText w:val="-"/>
      <w:lvlJc w:val="left"/>
      <w:pPr>
        <w:ind w:left="720" w:hanging="360"/>
      </w:pPr>
      <w:rPr>
        <w:rFonts w:ascii="Calibri" w:hAnsi="Calibri" w:hint="default"/>
      </w:rPr>
    </w:lvl>
    <w:lvl w:ilvl="1" w:tplc="11A409A8">
      <w:start w:val="1"/>
      <w:numFmt w:val="bullet"/>
      <w:lvlText w:val="o"/>
      <w:lvlJc w:val="left"/>
      <w:pPr>
        <w:ind w:left="1440" w:hanging="360"/>
      </w:pPr>
      <w:rPr>
        <w:rFonts w:ascii="Courier New" w:hAnsi="Courier New" w:hint="default"/>
      </w:rPr>
    </w:lvl>
    <w:lvl w:ilvl="2" w:tplc="C23AC772">
      <w:start w:val="1"/>
      <w:numFmt w:val="bullet"/>
      <w:lvlText w:val=""/>
      <w:lvlJc w:val="left"/>
      <w:pPr>
        <w:ind w:left="2160" w:hanging="360"/>
      </w:pPr>
      <w:rPr>
        <w:rFonts w:ascii="Wingdings" w:hAnsi="Wingdings" w:hint="default"/>
      </w:rPr>
    </w:lvl>
    <w:lvl w:ilvl="3" w:tplc="D8B2D6FE">
      <w:start w:val="1"/>
      <w:numFmt w:val="bullet"/>
      <w:lvlText w:val=""/>
      <w:lvlJc w:val="left"/>
      <w:pPr>
        <w:ind w:left="2880" w:hanging="360"/>
      </w:pPr>
      <w:rPr>
        <w:rFonts w:ascii="Symbol" w:hAnsi="Symbol" w:hint="default"/>
      </w:rPr>
    </w:lvl>
    <w:lvl w:ilvl="4" w:tplc="53EC0940">
      <w:start w:val="1"/>
      <w:numFmt w:val="bullet"/>
      <w:lvlText w:val="o"/>
      <w:lvlJc w:val="left"/>
      <w:pPr>
        <w:ind w:left="3600" w:hanging="360"/>
      </w:pPr>
      <w:rPr>
        <w:rFonts w:ascii="Courier New" w:hAnsi="Courier New" w:hint="default"/>
      </w:rPr>
    </w:lvl>
    <w:lvl w:ilvl="5" w:tplc="39D8A282">
      <w:start w:val="1"/>
      <w:numFmt w:val="bullet"/>
      <w:lvlText w:val=""/>
      <w:lvlJc w:val="left"/>
      <w:pPr>
        <w:ind w:left="4320" w:hanging="360"/>
      </w:pPr>
      <w:rPr>
        <w:rFonts w:ascii="Wingdings" w:hAnsi="Wingdings" w:hint="default"/>
      </w:rPr>
    </w:lvl>
    <w:lvl w:ilvl="6" w:tplc="049AC9DC">
      <w:start w:val="1"/>
      <w:numFmt w:val="bullet"/>
      <w:lvlText w:val=""/>
      <w:lvlJc w:val="left"/>
      <w:pPr>
        <w:ind w:left="5040" w:hanging="360"/>
      </w:pPr>
      <w:rPr>
        <w:rFonts w:ascii="Symbol" w:hAnsi="Symbol" w:hint="default"/>
      </w:rPr>
    </w:lvl>
    <w:lvl w:ilvl="7" w:tplc="9A5671AA">
      <w:start w:val="1"/>
      <w:numFmt w:val="bullet"/>
      <w:lvlText w:val="o"/>
      <w:lvlJc w:val="left"/>
      <w:pPr>
        <w:ind w:left="5760" w:hanging="360"/>
      </w:pPr>
      <w:rPr>
        <w:rFonts w:ascii="Courier New" w:hAnsi="Courier New" w:hint="default"/>
      </w:rPr>
    </w:lvl>
    <w:lvl w:ilvl="8" w:tplc="19FC244E">
      <w:start w:val="1"/>
      <w:numFmt w:val="bullet"/>
      <w:lvlText w:val=""/>
      <w:lvlJc w:val="left"/>
      <w:pPr>
        <w:ind w:left="6480" w:hanging="360"/>
      </w:pPr>
      <w:rPr>
        <w:rFonts w:ascii="Wingdings" w:hAnsi="Wingdings" w:hint="default"/>
      </w:rPr>
    </w:lvl>
  </w:abstractNum>
  <w:abstractNum w:abstractNumId="4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43" w15:restartNumberingAfterBreak="0">
    <w:nsid w:val="6B101945"/>
    <w:multiLevelType w:val="hybridMultilevel"/>
    <w:tmpl w:val="C9EAB23E"/>
    <w:lvl w:ilvl="0" w:tplc="FFECB1E2">
      <w:start w:val="1"/>
      <w:numFmt w:val="decimal"/>
      <w:lvlText w:val="%1."/>
      <w:lvlJc w:val="left"/>
      <w:pPr>
        <w:ind w:left="720" w:hanging="360"/>
      </w:pPr>
      <w:rPr>
        <w:rFonts w:eastAsia="Calibr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71312283"/>
    <w:multiLevelType w:val="hybridMultilevel"/>
    <w:tmpl w:val="8142414E"/>
    <w:lvl w:ilvl="0" w:tplc="535EC3BC">
      <w:start w:val="1"/>
      <w:numFmt w:val="lowerLetter"/>
      <w:lvlText w:val="%1."/>
      <w:lvlJc w:val="left"/>
      <w:pPr>
        <w:ind w:left="836" w:hanging="360"/>
      </w:pPr>
      <w:rPr>
        <w:rFonts w:ascii="Times New Roman" w:hAnsi="Times New Roman" w:hint="default"/>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7C0D5804"/>
    <w:multiLevelType w:val="hybridMultilevel"/>
    <w:tmpl w:val="0A525564"/>
    <w:lvl w:ilvl="0" w:tplc="4FFCFE9A">
      <w:start w:val="1"/>
      <w:numFmt w:val="lowerLetter"/>
      <w:lvlText w:val="%1."/>
      <w:lvlJc w:val="left"/>
      <w:pPr>
        <w:ind w:left="836" w:hanging="360"/>
      </w:pPr>
      <w:rPr>
        <w:rFonts w:ascii="Times New Roman" w:hAnsi="Times New Roman" w:hint="default"/>
        <w:sz w:val="24"/>
      </w:rPr>
    </w:lvl>
    <w:lvl w:ilvl="1" w:tplc="18090019" w:tentative="1">
      <w:start w:val="1"/>
      <w:numFmt w:val="lowerLetter"/>
      <w:lvlText w:val="%2."/>
      <w:lvlJc w:val="left"/>
      <w:pPr>
        <w:ind w:left="1556" w:hanging="360"/>
      </w:pPr>
    </w:lvl>
    <w:lvl w:ilvl="2" w:tplc="1809001B" w:tentative="1">
      <w:start w:val="1"/>
      <w:numFmt w:val="lowerRoman"/>
      <w:lvlText w:val="%3."/>
      <w:lvlJc w:val="right"/>
      <w:pPr>
        <w:ind w:left="2276" w:hanging="180"/>
      </w:pPr>
    </w:lvl>
    <w:lvl w:ilvl="3" w:tplc="1809000F" w:tentative="1">
      <w:start w:val="1"/>
      <w:numFmt w:val="decimal"/>
      <w:lvlText w:val="%4."/>
      <w:lvlJc w:val="left"/>
      <w:pPr>
        <w:ind w:left="2996" w:hanging="360"/>
      </w:pPr>
    </w:lvl>
    <w:lvl w:ilvl="4" w:tplc="18090019" w:tentative="1">
      <w:start w:val="1"/>
      <w:numFmt w:val="lowerLetter"/>
      <w:lvlText w:val="%5."/>
      <w:lvlJc w:val="left"/>
      <w:pPr>
        <w:ind w:left="3716" w:hanging="360"/>
      </w:pPr>
    </w:lvl>
    <w:lvl w:ilvl="5" w:tplc="1809001B" w:tentative="1">
      <w:start w:val="1"/>
      <w:numFmt w:val="lowerRoman"/>
      <w:lvlText w:val="%6."/>
      <w:lvlJc w:val="right"/>
      <w:pPr>
        <w:ind w:left="4436" w:hanging="180"/>
      </w:pPr>
    </w:lvl>
    <w:lvl w:ilvl="6" w:tplc="1809000F" w:tentative="1">
      <w:start w:val="1"/>
      <w:numFmt w:val="decimal"/>
      <w:lvlText w:val="%7."/>
      <w:lvlJc w:val="left"/>
      <w:pPr>
        <w:ind w:left="5156" w:hanging="360"/>
      </w:pPr>
    </w:lvl>
    <w:lvl w:ilvl="7" w:tplc="18090019" w:tentative="1">
      <w:start w:val="1"/>
      <w:numFmt w:val="lowerLetter"/>
      <w:lvlText w:val="%8."/>
      <w:lvlJc w:val="left"/>
      <w:pPr>
        <w:ind w:left="5876" w:hanging="360"/>
      </w:pPr>
    </w:lvl>
    <w:lvl w:ilvl="8" w:tplc="1809001B" w:tentative="1">
      <w:start w:val="1"/>
      <w:numFmt w:val="lowerRoman"/>
      <w:lvlText w:val="%9."/>
      <w:lvlJc w:val="right"/>
      <w:pPr>
        <w:ind w:left="6596" w:hanging="180"/>
      </w:pPr>
    </w:lvl>
  </w:abstractNum>
  <w:abstractNum w:abstractNumId="4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47" w15:restartNumberingAfterBreak="0">
    <w:nsid w:val="7E8A506A"/>
    <w:multiLevelType w:val="hybridMultilevel"/>
    <w:tmpl w:val="14C08DEE"/>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11"/>
  </w:num>
  <w:num w:numId="2">
    <w:abstractNumId w:val="33"/>
  </w:num>
  <w:num w:numId="3">
    <w:abstractNumId w:val="23"/>
  </w:num>
  <w:num w:numId="4">
    <w:abstractNumId w:val="42"/>
  </w:num>
  <w:num w:numId="5">
    <w:abstractNumId w:val="19"/>
  </w:num>
  <w:num w:numId="6">
    <w:abstractNumId w:val="24"/>
  </w:num>
  <w:num w:numId="7">
    <w:abstractNumId w:val="37"/>
  </w:num>
  <w:num w:numId="8">
    <w:abstractNumId w:val="15"/>
  </w:num>
  <w:num w:numId="9">
    <w:abstractNumId w:val="26"/>
  </w:num>
  <w:num w:numId="10">
    <w:abstractNumId w:val="31"/>
  </w:num>
  <w:num w:numId="11">
    <w:abstractNumId w:val="32"/>
  </w:num>
  <w:num w:numId="12">
    <w:abstractNumId w:val="18"/>
  </w:num>
  <w:num w:numId="13">
    <w:abstractNumId w:val="29"/>
  </w:num>
  <w:num w:numId="14">
    <w:abstractNumId w:val="46"/>
  </w:num>
  <w:num w:numId="15">
    <w:abstractNumId w:val="7"/>
  </w:num>
  <w:num w:numId="16">
    <w:abstractNumId w:val="5"/>
  </w:num>
  <w:num w:numId="17">
    <w:abstractNumId w:val="4"/>
  </w:num>
  <w:num w:numId="18">
    <w:abstractNumId w:val="3"/>
  </w:num>
  <w:num w:numId="19">
    <w:abstractNumId w:val="17"/>
  </w:num>
  <w:num w:numId="20">
    <w:abstractNumId w:val="6"/>
  </w:num>
  <w:num w:numId="21">
    <w:abstractNumId w:val="2"/>
  </w:num>
  <w:num w:numId="22">
    <w:abstractNumId w:val="1"/>
  </w:num>
  <w:num w:numId="23">
    <w:abstractNumId w:val="0"/>
  </w:num>
  <w:num w:numId="24">
    <w:abstractNumId w:val="34"/>
  </w:num>
  <w:num w:numId="25">
    <w:abstractNumId w:val="41"/>
  </w:num>
  <w:num w:numId="26">
    <w:abstractNumId w:val="22"/>
  </w:num>
  <w:num w:numId="27">
    <w:abstractNumId w:val="13"/>
  </w:num>
  <w:num w:numId="28">
    <w:abstractNumId w:val="38"/>
  </w:num>
  <w:num w:numId="29">
    <w:abstractNumId w:val="16"/>
  </w:num>
  <w:num w:numId="30">
    <w:abstractNumId w:val="27"/>
  </w:num>
  <w:num w:numId="31">
    <w:abstractNumId w:val="30"/>
  </w:num>
  <w:num w:numId="32">
    <w:abstractNumId w:val="21"/>
  </w:num>
  <w:num w:numId="33">
    <w:abstractNumId w:val="35"/>
  </w:num>
  <w:num w:numId="3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7"/>
  </w:num>
  <w:num w:numId="37">
    <w:abstractNumId w:val="28"/>
  </w:num>
  <w:num w:numId="38">
    <w:abstractNumId w:val="44"/>
  </w:num>
  <w:num w:numId="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0"/>
  </w:num>
  <w:num w:numId="41">
    <w:abstractNumId w:val="8"/>
  </w:num>
  <w:num w:numId="42">
    <w:abstractNumId w:val="40"/>
  </w:num>
  <w:num w:numId="43">
    <w:abstractNumId w:val="39"/>
  </w:num>
  <w:num w:numId="44">
    <w:abstractNumId w:val="14"/>
  </w:num>
  <w:num w:numId="45">
    <w:abstractNumId w:val="9"/>
  </w:num>
  <w:num w:numId="46">
    <w:abstractNumId w:val="36"/>
  </w:num>
  <w:num w:numId="47">
    <w:abstractNumId w:val="10"/>
  </w:num>
  <w:num w:numId="48">
    <w:abstractNumId w:val="25"/>
  </w:num>
  <w:num w:numId="49">
    <w:abstractNumId w:val="12"/>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fr-BE"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doNotExpandShiftReturn/>
    <w:doNotUseHTMLParagraphAutoSpacing/>
    <w:splitPgBreakAndParaMark/>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uncil" w:val="true"/>
    <w:docVar w:name="CoverPageOnWordDoc" w:val="false"/>
    <w:docVar w:name="DocStatus" w:val="Green"/>
    <w:docVar w:name="DocuWriteMetaData" w:val="&lt;metadataset docuwriteversion=&quot;4.8.5&quot; technicalblockguid=&quot;5266006079004576043&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6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12&quot; text=&quot;Cover Pag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gt;_x000d__x000a_    &lt;basicdatatype&gt;_x000d__x000a_      &lt;dgname key=&quot;&quot; /&gt;_x000d__x000a_    &lt;/basicdatatype&gt;_x000d__x000a_  &lt;/metadata&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3-10-27&lt;/text&gt;_x000d__x000a_  &lt;/metadata&gt;_x000d__x000a_  &lt;metadata key=&quot;md_Prefix&quot;&gt;_x000d__x000a_    &lt;text&gt;&lt;/text&gt;_x000d__x000a_  &lt;/metadata&gt;_x000d__x000a_  &lt;metadata key=&quot;md_DocumentNumber&quot;&gt;_x000d__x000a_    &lt;text&gt;14637&lt;/text&gt;_x000d__x000a_  &lt;/metadata&gt;_x000d__x000a_  &lt;metadata key=&quot;md_YearDocumentNumber&quot;&gt;_x000d__x000a_    &lt;text&gt;2023&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1087&lt;/text&gt;_x000d__x000a_      &lt;text&gt;FIN 1092&lt;/text&gt;_x000d__x000a_      &lt;text&gt;UEM 338&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3/0387(NLE)&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ANNEX to the COUNCIL IMPLEMENTING DECISION amending Implementing Decision of 20 July 2021 on the approval of the assessment of the recovery and resilience plan for Lithuania&quot;&gt;&amp;lt;FlowDocument FontFamily=&quot;Segoe UI&quot; FontSize=&quot;12&quot; LineHeight=&quot;6&quot; PageWidth=&quot;329&quot; PagePadding=&quot;2,2,2,2&quot; AllowDrop=&quot;False&quot; xmlns=&quot;http://schemas.microsoft.com/winfx/2006/xaml/presentation&quot;&amp;gt;&amp;lt;Paragraph&amp;gt;ANNEX to the COUNCIL IMPLEMENTING DECISION amending Implementing Decision of 20 July 2021 on the approval of the assessment of the recovery and resilience plan for Lithuania&amp;lt;/Paragraph&amp;gt;&amp;lt;/FlowDocument&amp;gt;&lt;/xaml&gt;_x000d__x000a_  &lt;/metadata&gt;_x000d__x000a_  &lt;metadata key=&quot;md_SubjectFootnote&quot; /&gt;_x000d__x000a_  &lt;metadata key=&quot;md_DG&quot;&gt;_x000d__x000a_    &lt;text&gt;ECOFIN 1A&lt;/text&gt;_x000d__x000a_  &lt;/metadata&gt;_x000d__x000a_  &lt;metadata key=&quot;md_Initials&quot;&gt;_x000d__x000a_    &lt;text&gt;JGR/sr&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3&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lt;/text&gt;_x000d__x000a_  &lt;/metadata&gt;_x000d__x000a_  &lt;metadata key=&quot;md_Rectif_Source2_Suffixes&quot;&gt;_x000d__x000a_    &lt;text&gt;&lt;/text&gt;_x000d__x000a_  &lt;/metadata&gt;_x000d__x000a_  &lt;metadata key=&quot;md_CoverPageDocWithCouncilFooter&quot;&gt;_x000d__x000a_    &lt;text&gt;true&lt;/text&gt;_x000d__x000a_  &lt;/metadata&gt;_x000d__x000a_  &lt;metadata key=&quot;md_SourceDocLanguage&quot;&gt;_x000d__x000a_    &lt;text&gt;EN&lt;/text&gt;_x000d__x000a_  &lt;/metadata&gt;_x000d__x000a_  &lt;metadata key=&quot;md_SourceDocType&quot;&gt;_x000d__x000a_    &lt;text&gt;ANNEX_x000d__x000a_&lt;/text&gt;_x000d__x000a_  &lt;/metadata&gt;_x000d__x000a_  &lt;metadata key=&quot;md_SourceDocTitle&quot;&gt;_x000d__x000a_    &lt;text&gt;to the _x000d__x000a_Proposal for a COUNCIL IMPLEMENTING DECISION _x000d__x000a_{b}amending Implementing Decision (EU) (ST 10477/21 INIT; ST 10477/21 ADD 1) of 20 July 2021 on the approval of the assessment of the recovery and resilience plan for Lithuania{/b}_x000d__x000a__x000d__x000a__x000d__x000a__x000d__x000a_&lt;/text&gt;_x000d__x000a_  &lt;/metadata&gt;_x000d__x000a_  &lt;metadata key=&quot;md_SourceDocIsCECDoc&quot;&gt;_x000d__x000a_    &lt;text&gt;true&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ocuWriteMetaDataSource1" w:val="&lt;metadataset docuwriteversion=&quot;4.8.5&quot; technicalblockguid=&quot;5492152671919235678&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64&quot; text=&quot;COVER NOTE&quot; /&gt;_x000d__x000a_    &lt;/basicdatatype&gt;_x000d__x000a_  &lt;/metadata&gt;_x000d__x000a_  &lt;metadata key=&quot;md_HeadingText&quot;&gt;_x000d__x000a_    &lt;headingtext text=&quot;COVER NOTE&quot;&gt;_x000d__x000a_      &lt;formattedtext&gt;_x000d__x000a_        &lt;xaml text=&quot;COVER NOTE&quot;&gt;&amp;lt;FlowDocument xmlns=&quot;http://schemas.microsoft.com/winfx/2006/xaml/presentation&quot;&amp;gt;&amp;lt;Paragraph&amp;gt;COVER NOTE&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12&quot; text=&quot;Cover Pag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gt;_x000d__x000a_    &lt;basicdatatype&gt;_x000d__x000a_      &lt;dgname key=&quot;&quot; /&gt;_x000d__x000a_    &lt;/basicdatatype&gt;_x000d__x000a_  &lt;/metadata&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3-10-24&lt;/text&gt;_x000d__x000a_  &lt;/metadata&gt;_x000d__x000a_  &lt;metadata key=&quot;md_Prefix&quot;&gt;_x000d__x000a_    &lt;text&gt;&lt;/text&gt;_x000d__x000a_  &lt;/metadata&gt;_x000d__x000a_  &lt;metadata key=&quot;md_DocumentNumber&quot;&gt;_x000d__x000a_    &lt;text&gt;14635&lt;/text&gt;_x000d__x000a_  &lt;/metadata&gt;_x000d__x000a_  &lt;metadata key=&quot;md_YearDocumentNumber&quot;&gt;_x000d__x000a_    &lt;text&gt;2023&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1086&lt;/text&gt;_x000d__x000a_      &lt;text&gt;FIN 1091&lt;/text&gt;_x000d__x000a_      &lt;text&gt;UEM 337&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3/0387(NLE)&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33&quot; text=&quot;Secretary-General of the European Commission, signed by Ms Martine DEPREZ, Director&quot; /&gt;_x000d__x000a_    &lt;/basicdatatype&gt;_x000d__x000a_  &lt;/metadata&gt;_x000d__x000a_  &lt;metadata key=&quot;md_Recipient&quot;&gt;_x000d__x000a_    &lt;basicdatatype&gt;_x000d__x000a_      &lt;recipient key=&quot;re_47&quot; text=&quot;Ms Thérèse BLANCHET, Secretary-General of the Council of the European Union&quot; /&gt;_x000d__x000a_    &lt;/basicdatatype&gt;_x000d__x000a_  &lt;/metadata&gt;_x000d__x000a_  &lt;metadata key=&quot;md_DateOfReceipt&quot;&gt;_x000d__x000a_    &lt;text&gt;2023-10-24&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gt;_x000d__x000a_      &lt;text&gt;COM(2023) 685 final&lt;/text&gt;_x000d__x000a_    &lt;/textlist&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ANNEX to the Proposal for a COUNCIL IMPLEMENTING DECISION amending Implementing Decision (EU) (ST 10477/21 INIT; ST 10477/21 ADD 1) of 20 July 2021 on the approval of the assessment of the recovery and resilience plan for Lithuania&quot;&gt;&amp;lt;FlowDocument FontFamily=&quot;Segoe UI&quot; FontSize=&quot;12&quot; LineHeight=&quot;6&quot; PageWidth=&quot;329&quot; PagePadding=&quot;2,2,2,2&quot; AllowDrop=&quot;False&quot; xmlns=&quot;http://schemas.microsoft.com/winfx/2006/xaml/presentation&quot;&amp;gt;&amp;lt;Paragraph&amp;gt;ANNEX to the Proposal for a COUNCIL IMPLEMENTING DECISION amending Implementing Decision (EU) (ST 10477/21 INIT; ST 10477/21 ADD 1) of 20 July 2021 on the approval of the assessment of the recovery and resilience plan for Lithuania&amp;lt;/Paragraph&amp;gt;&amp;lt;/FlowDocument&amp;gt;&lt;/xaml&gt;_x000d__x000a_  &lt;/metadata&gt;_x000d__x000a_  &lt;metadata key=&quot;md_SubjectFootnote&quot; /&gt;_x000d__x000a_  &lt;metadata key=&quot;md_DG&quot;&gt;_x000d__x000a_    &lt;text&gt;ECOFIN 1A&lt;/text&gt;_x000d__x000a_  &lt;/metadata&gt;_x000d__x000a_  &lt;metadata key=&quot;md_Initials&quot;&gt;_x000d__x000a_    &lt;text&gt;JGR/sr&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3&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3&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EN&lt;/text&gt;_x000d__x000a_  &lt;/metadata&gt;_x000d__x000a_  &lt;metadata key=&quot;md_SourceDocType&quot;&gt;_x000d__x000a_    &lt;text&gt;ANNEX_x000d__x000a_&lt;/text&gt;_x000d__x000a_  &lt;/metadata&gt;_x000d__x000a_  &lt;metadata key=&quot;md_SourceDocTitle&quot;&gt;_x000d__x000a_    &lt;text&gt;to the _x000d__x000a_Proposal for a COUNCIL IMPLEMENTING DECISION _x000d__x000a_{b}amending Implementing Decision (EU) (ST 10477/21 INIT; ST 10477/21 ADD 1) of 20 July 2021 on the approval of the assessment of the recovery and resilience plan for Lithuania{/b}_x000d__x000a__x000d__x000a__x000d__x000a__x000d__x000a_&lt;/text&gt;_x000d__x000a_  &lt;/metadata&gt;_x000d__x000a_  &lt;metadata key=&quot;md_SourceDocIsCECDoc&quot;&gt;_x000d__x000a_    &lt;text&gt;true&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KeepCompatibilityMode" w:val="true"/>
    <w:docVar w:name="EPKit_DocumentHasBeenSaved" w:val="true"/>
    <w:docVar w:name="LW_ACCOMPAGNANT.CP" w:val="la"/>
    <w:docVar w:name="LW_ANNEX_NBR_FIRST" w:val="1"/>
    <w:docVar w:name="LW_ANNEX_NBR_LAST" w:val="1"/>
    <w:docVar w:name="LW_ANNEX_UNIQUE" w:val="1"/>
    <w:docVar w:name="LW_CORRIGENDUM" w:val="&lt;UNUSED&gt;"/>
    <w:docVar w:name="LW_COVERPAGE_EXISTS" w:val="True"/>
    <w:docVar w:name="LW_COVERPAGE_GUID" w:val="DA1E05D4-8AE7-4D0A-8C25-0E061607E557"/>
    <w:docVar w:name="LW_COVERPAGE_TYPE" w:val="1"/>
    <w:docVar w:name="LW_CROSSREFERENCE" w:val="{SWD(2026) 158 final}"/>
    <w:docVar w:name="LW_DocType" w:val="NORMAL"/>
    <w:docVar w:name="LW_EMISSION" w:val="15.6.2026"/>
    <w:docVar w:name="LW_EMISSION_ISODATE" w:val="2026-06-15"/>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lt;FMT:Font=Aptos&gt;de modificare a Deciziei de punere în aplicare din 28 iulie 2021 de aprobare a evalu\u259?rii planului de redresare \u537?i rezilien\u539?\u259? al Lituaniei&lt;/FMT&gt;"/>
    <w:docVar w:name="LW_PART_NBR" w:val="1"/>
    <w:docVar w:name="LW_PART_NBR_TOTAL" w:val="1"/>
    <w:docVar w:name="LW_REF.INST.NEW" w:val="COM"/>
    <w:docVar w:name="LW_REF.INST.NEW_ADOPTED" w:val="final"/>
    <w:docVar w:name="LW_REF.INST.NEW_TEXT" w:val="(2026) 28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DE PUNERE ÎN APLICARE A CONSILIULUI"/>
    <w:docVar w:name="LwApiVersions" w:val="LW4CoDe 1.24.5.0; LW 9.2, Build 20251112"/>
  </w:docVars>
  <w:rsids>
    <w:rsidRoot w:val="002502B1"/>
    <w:rsid w:val="0000012C"/>
    <w:rsid w:val="00000236"/>
    <w:rsid w:val="0000029B"/>
    <w:rsid w:val="000004DE"/>
    <w:rsid w:val="000005A2"/>
    <w:rsid w:val="000005D5"/>
    <w:rsid w:val="000005EF"/>
    <w:rsid w:val="00000671"/>
    <w:rsid w:val="0000068C"/>
    <w:rsid w:val="000006DA"/>
    <w:rsid w:val="000006E9"/>
    <w:rsid w:val="0000073B"/>
    <w:rsid w:val="0000088D"/>
    <w:rsid w:val="0000094E"/>
    <w:rsid w:val="00000A1C"/>
    <w:rsid w:val="00000A9C"/>
    <w:rsid w:val="00000B6C"/>
    <w:rsid w:val="00000BB0"/>
    <w:rsid w:val="00000BCD"/>
    <w:rsid w:val="00000BE1"/>
    <w:rsid w:val="00000CB9"/>
    <w:rsid w:val="00000E19"/>
    <w:rsid w:val="00000F74"/>
    <w:rsid w:val="00000F92"/>
    <w:rsid w:val="00000FC2"/>
    <w:rsid w:val="00000FF6"/>
    <w:rsid w:val="000012D5"/>
    <w:rsid w:val="00001388"/>
    <w:rsid w:val="000013EE"/>
    <w:rsid w:val="00001489"/>
    <w:rsid w:val="000014B5"/>
    <w:rsid w:val="00001694"/>
    <w:rsid w:val="000016D2"/>
    <w:rsid w:val="0000176F"/>
    <w:rsid w:val="0000178A"/>
    <w:rsid w:val="0000179F"/>
    <w:rsid w:val="000018D1"/>
    <w:rsid w:val="000019DD"/>
    <w:rsid w:val="000019FF"/>
    <w:rsid w:val="00001ACF"/>
    <w:rsid w:val="00001B6D"/>
    <w:rsid w:val="00001BD8"/>
    <w:rsid w:val="00001BE0"/>
    <w:rsid w:val="00001C91"/>
    <w:rsid w:val="00001CF3"/>
    <w:rsid w:val="00001D10"/>
    <w:rsid w:val="00001DCA"/>
    <w:rsid w:val="00001DEF"/>
    <w:rsid w:val="00001E63"/>
    <w:rsid w:val="00002020"/>
    <w:rsid w:val="00002066"/>
    <w:rsid w:val="00002119"/>
    <w:rsid w:val="00002280"/>
    <w:rsid w:val="000023BD"/>
    <w:rsid w:val="00002436"/>
    <w:rsid w:val="00002459"/>
    <w:rsid w:val="000024E0"/>
    <w:rsid w:val="00002618"/>
    <w:rsid w:val="00002646"/>
    <w:rsid w:val="00002686"/>
    <w:rsid w:val="000026A4"/>
    <w:rsid w:val="000026BC"/>
    <w:rsid w:val="00002751"/>
    <w:rsid w:val="000028FC"/>
    <w:rsid w:val="00002978"/>
    <w:rsid w:val="00002986"/>
    <w:rsid w:val="00002A9B"/>
    <w:rsid w:val="00002AD4"/>
    <w:rsid w:val="00002BAB"/>
    <w:rsid w:val="00002BD6"/>
    <w:rsid w:val="00002BF0"/>
    <w:rsid w:val="00002CB8"/>
    <w:rsid w:val="00002CC1"/>
    <w:rsid w:val="00002CD5"/>
    <w:rsid w:val="00002E05"/>
    <w:rsid w:val="00002EF6"/>
    <w:rsid w:val="00002F59"/>
    <w:rsid w:val="00002F62"/>
    <w:rsid w:val="00003040"/>
    <w:rsid w:val="0000309B"/>
    <w:rsid w:val="000030AD"/>
    <w:rsid w:val="00003107"/>
    <w:rsid w:val="00003241"/>
    <w:rsid w:val="00003266"/>
    <w:rsid w:val="000033DA"/>
    <w:rsid w:val="00003439"/>
    <w:rsid w:val="00003458"/>
    <w:rsid w:val="0000352B"/>
    <w:rsid w:val="00003701"/>
    <w:rsid w:val="0000395B"/>
    <w:rsid w:val="00003A01"/>
    <w:rsid w:val="00003A07"/>
    <w:rsid w:val="00003B35"/>
    <w:rsid w:val="00003C0F"/>
    <w:rsid w:val="00003CEC"/>
    <w:rsid w:val="00003D6A"/>
    <w:rsid w:val="00003D71"/>
    <w:rsid w:val="00003D76"/>
    <w:rsid w:val="00003ECC"/>
    <w:rsid w:val="00003FEE"/>
    <w:rsid w:val="00004097"/>
    <w:rsid w:val="000040E6"/>
    <w:rsid w:val="00004138"/>
    <w:rsid w:val="0000414E"/>
    <w:rsid w:val="00004173"/>
    <w:rsid w:val="0000418D"/>
    <w:rsid w:val="000042F3"/>
    <w:rsid w:val="0000435B"/>
    <w:rsid w:val="00004434"/>
    <w:rsid w:val="00004556"/>
    <w:rsid w:val="00004583"/>
    <w:rsid w:val="000045FF"/>
    <w:rsid w:val="00004707"/>
    <w:rsid w:val="0000470B"/>
    <w:rsid w:val="00004719"/>
    <w:rsid w:val="0000471F"/>
    <w:rsid w:val="00004767"/>
    <w:rsid w:val="0000483E"/>
    <w:rsid w:val="00004B4B"/>
    <w:rsid w:val="00004BE6"/>
    <w:rsid w:val="00004C43"/>
    <w:rsid w:val="00004DD7"/>
    <w:rsid w:val="000053B4"/>
    <w:rsid w:val="000054C2"/>
    <w:rsid w:val="000054C6"/>
    <w:rsid w:val="0000550B"/>
    <w:rsid w:val="000055F3"/>
    <w:rsid w:val="000055F6"/>
    <w:rsid w:val="000056D1"/>
    <w:rsid w:val="000056E8"/>
    <w:rsid w:val="000057AF"/>
    <w:rsid w:val="000057DC"/>
    <w:rsid w:val="000057E2"/>
    <w:rsid w:val="0000580F"/>
    <w:rsid w:val="000058EE"/>
    <w:rsid w:val="000058FE"/>
    <w:rsid w:val="00005A0B"/>
    <w:rsid w:val="00005AA7"/>
    <w:rsid w:val="00005AEA"/>
    <w:rsid w:val="00005B13"/>
    <w:rsid w:val="00005D0A"/>
    <w:rsid w:val="00005E63"/>
    <w:rsid w:val="00005F1E"/>
    <w:rsid w:val="000061B0"/>
    <w:rsid w:val="000062C3"/>
    <w:rsid w:val="00006322"/>
    <w:rsid w:val="000063BC"/>
    <w:rsid w:val="0000641B"/>
    <w:rsid w:val="000064AB"/>
    <w:rsid w:val="0000659B"/>
    <w:rsid w:val="000065BD"/>
    <w:rsid w:val="000067CE"/>
    <w:rsid w:val="000067F4"/>
    <w:rsid w:val="0000690D"/>
    <w:rsid w:val="000069E0"/>
    <w:rsid w:val="00006A0C"/>
    <w:rsid w:val="00006A61"/>
    <w:rsid w:val="00006B4B"/>
    <w:rsid w:val="00006BE6"/>
    <w:rsid w:val="00006BEA"/>
    <w:rsid w:val="00006D87"/>
    <w:rsid w:val="00006E5A"/>
    <w:rsid w:val="00006E79"/>
    <w:rsid w:val="00006EE1"/>
    <w:rsid w:val="00006F6F"/>
    <w:rsid w:val="00006FDC"/>
    <w:rsid w:val="00007006"/>
    <w:rsid w:val="000070C9"/>
    <w:rsid w:val="000072AC"/>
    <w:rsid w:val="00007356"/>
    <w:rsid w:val="0000754E"/>
    <w:rsid w:val="000075D0"/>
    <w:rsid w:val="00007607"/>
    <w:rsid w:val="000076D5"/>
    <w:rsid w:val="00007713"/>
    <w:rsid w:val="0000774A"/>
    <w:rsid w:val="00007838"/>
    <w:rsid w:val="00007848"/>
    <w:rsid w:val="00007927"/>
    <w:rsid w:val="0000792C"/>
    <w:rsid w:val="0000799A"/>
    <w:rsid w:val="000079B5"/>
    <w:rsid w:val="00007A54"/>
    <w:rsid w:val="00007B21"/>
    <w:rsid w:val="00007C0B"/>
    <w:rsid w:val="00007C49"/>
    <w:rsid w:val="00007C67"/>
    <w:rsid w:val="00007C99"/>
    <w:rsid w:val="00007CF5"/>
    <w:rsid w:val="00007DA4"/>
    <w:rsid w:val="00007E0C"/>
    <w:rsid w:val="00007E28"/>
    <w:rsid w:val="00007F51"/>
    <w:rsid w:val="00007F7C"/>
    <w:rsid w:val="00007FE6"/>
    <w:rsid w:val="00010019"/>
    <w:rsid w:val="0001003E"/>
    <w:rsid w:val="00010081"/>
    <w:rsid w:val="000100C2"/>
    <w:rsid w:val="00010169"/>
    <w:rsid w:val="00010194"/>
    <w:rsid w:val="000101E3"/>
    <w:rsid w:val="0001028C"/>
    <w:rsid w:val="00010321"/>
    <w:rsid w:val="0001036A"/>
    <w:rsid w:val="0001048E"/>
    <w:rsid w:val="000104F9"/>
    <w:rsid w:val="00010B66"/>
    <w:rsid w:val="00010C08"/>
    <w:rsid w:val="00010C0A"/>
    <w:rsid w:val="00010C61"/>
    <w:rsid w:val="00010CB8"/>
    <w:rsid w:val="00010CC3"/>
    <w:rsid w:val="00010CE9"/>
    <w:rsid w:val="00010D68"/>
    <w:rsid w:val="00010E7C"/>
    <w:rsid w:val="00011021"/>
    <w:rsid w:val="00011086"/>
    <w:rsid w:val="000112D0"/>
    <w:rsid w:val="0001134A"/>
    <w:rsid w:val="000113CB"/>
    <w:rsid w:val="0001146D"/>
    <w:rsid w:val="00011495"/>
    <w:rsid w:val="0001149A"/>
    <w:rsid w:val="0001151D"/>
    <w:rsid w:val="00011757"/>
    <w:rsid w:val="0001176B"/>
    <w:rsid w:val="00011A20"/>
    <w:rsid w:val="00011A6A"/>
    <w:rsid w:val="00011A6B"/>
    <w:rsid w:val="00011A94"/>
    <w:rsid w:val="00011BAA"/>
    <w:rsid w:val="00011BEC"/>
    <w:rsid w:val="00011BF1"/>
    <w:rsid w:val="00011CE4"/>
    <w:rsid w:val="00011F08"/>
    <w:rsid w:val="000120B7"/>
    <w:rsid w:val="00012150"/>
    <w:rsid w:val="00012233"/>
    <w:rsid w:val="0001223F"/>
    <w:rsid w:val="00012258"/>
    <w:rsid w:val="0001228D"/>
    <w:rsid w:val="000123D4"/>
    <w:rsid w:val="00012400"/>
    <w:rsid w:val="0001248D"/>
    <w:rsid w:val="000125FF"/>
    <w:rsid w:val="000126BE"/>
    <w:rsid w:val="000126D6"/>
    <w:rsid w:val="0001273A"/>
    <w:rsid w:val="00012789"/>
    <w:rsid w:val="0001286F"/>
    <w:rsid w:val="00012903"/>
    <w:rsid w:val="00012948"/>
    <w:rsid w:val="0001296D"/>
    <w:rsid w:val="000129D9"/>
    <w:rsid w:val="00012B93"/>
    <w:rsid w:val="00012C8C"/>
    <w:rsid w:val="00012C99"/>
    <w:rsid w:val="00012CB2"/>
    <w:rsid w:val="00012D08"/>
    <w:rsid w:val="00012E21"/>
    <w:rsid w:val="00012EF9"/>
    <w:rsid w:val="00012F6C"/>
    <w:rsid w:val="0001306D"/>
    <w:rsid w:val="00013081"/>
    <w:rsid w:val="00013083"/>
    <w:rsid w:val="00013344"/>
    <w:rsid w:val="00013363"/>
    <w:rsid w:val="000133AD"/>
    <w:rsid w:val="00013401"/>
    <w:rsid w:val="00013431"/>
    <w:rsid w:val="000136CB"/>
    <w:rsid w:val="0001373C"/>
    <w:rsid w:val="0001375D"/>
    <w:rsid w:val="000137BA"/>
    <w:rsid w:val="0001382F"/>
    <w:rsid w:val="000138C2"/>
    <w:rsid w:val="0001395A"/>
    <w:rsid w:val="00013AB9"/>
    <w:rsid w:val="00013C15"/>
    <w:rsid w:val="00013C8B"/>
    <w:rsid w:val="00013E6D"/>
    <w:rsid w:val="00013EA2"/>
    <w:rsid w:val="00013F04"/>
    <w:rsid w:val="000140AC"/>
    <w:rsid w:val="00014323"/>
    <w:rsid w:val="000143C2"/>
    <w:rsid w:val="00014424"/>
    <w:rsid w:val="000144A5"/>
    <w:rsid w:val="0001452E"/>
    <w:rsid w:val="000145DE"/>
    <w:rsid w:val="00014619"/>
    <w:rsid w:val="00014623"/>
    <w:rsid w:val="0001469D"/>
    <w:rsid w:val="00014752"/>
    <w:rsid w:val="0001480B"/>
    <w:rsid w:val="00014843"/>
    <w:rsid w:val="0001489C"/>
    <w:rsid w:val="000148FE"/>
    <w:rsid w:val="00014AD8"/>
    <w:rsid w:val="00014B03"/>
    <w:rsid w:val="00014BBF"/>
    <w:rsid w:val="00014CE6"/>
    <w:rsid w:val="00014D11"/>
    <w:rsid w:val="00014D13"/>
    <w:rsid w:val="00014DAF"/>
    <w:rsid w:val="00014E98"/>
    <w:rsid w:val="00014EE1"/>
    <w:rsid w:val="00014FA3"/>
    <w:rsid w:val="00014FB3"/>
    <w:rsid w:val="0001506C"/>
    <w:rsid w:val="000151F7"/>
    <w:rsid w:val="00015317"/>
    <w:rsid w:val="00015337"/>
    <w:rsid w:val="00015418"/>
    <w:rsid w:val="0001541E"/>
    <w:rsid w:val="00015470"/>
    <w:rsid w:val="00015516"/>
    <w:rsid w:val="00015692"/>
    <w:rsid w:val="0001574D"/>
    <w:rsid w:val="0001592D"/>
    <w:rsid w:val="0001598A"/>
    <w:rsid w:val="00015A6E"/>
    <w:rsid w:val="00015B9B"/>
    <w:rsid w:val="00015D39"/>
    <w:rsid w:val="00015F2B"/>
    <w:rsid w:val="00015F67"/>
    <w:rsid w:val="00015F70"/>
    <w:rsid w:val="00015FE7"/>
    <w:rsid w:val="00016129"/>
    <w:rsid w:val="00016262"/>
    <w:rsid w:val="0001626E"/>
    <w:rsid w:val="0001627A"/>
    <w:rsid w:val="0001630D"/>
    <w:rsid w:val="00016316"/>
    <w:rsid w:val="000163CC"/>
    <w:rsid w:val="00016478"/>
    <w:rsid w:val="00016519"/>
    <w:rsid w:val="00016679"/>
    <w:rsid w:val="0001669F"/>
    <w:rsid w:val="000166AA"/>
    <w:rsid w:val="00016744"/>
    <w:rsid w:val="0001681D"/>
    <w:rsid w:val="000168E4"/>
    <w:rsid w:val="0001699B"/>
    <w:rsid w:val="00016A16"/>
    <w:rsid w:val="00016AF4"/>
    <w:rsid w:val="00016AFB"/>
    <w:rsid w:val="00016B1D"/>
    <w:rsid w:val="00016B1E"/>
    <w:rsid w:val="00016B21"/>
    <w:rsid w:val="00016BB2"/>
    <w:rsid w:val="00016BE1"/>
    <w:rsid w:val="00016C0F"/>
    <w:rsid w:val="00016C99"/>
    <w:rsid w:val="00016DB3"/>
    <w:rsid w:val="00016DED"/>
    <w:rsid w:val="00016F84"/>
    <w:rsid w:val="00016FB8"/>
    <w:rsid w:val="00016FBD"/>
    <w:rsid w:val="000170A0"/>
    <w:rsid w:val="00017176"/>
    <w:rsid w:val="000171E0"/>
    <w:rsid w:val="0001721F"/>
    <w:rsid w:val="00017365"/>
    <w:rsid w:val="00017370"/>
    <w:rsid w:val="000173E1"/>
    <w:rsid w:val="00017424"/>
    <w:rsid w:val="00017468"/>
    <w:rsid w:val="0001747D"/>
    <w:rsid w:val="0001753D"/>
    <w:rsid w:val="000175A4"/>
    <w:rsid w:val="000175B0"/>
    <w:rsid w:val="00017710"/>
    <w:rsid w:val="0001784F"/>
    <w:rsid w:val="00017925"/>
    <w:rsid w:val="000179B6"/>
    <w:rsid w:val="00017A0F"/>
    <w:rsid w:val="00017B08"/>
    <w:rsid w:val="00017D29"/>
    <w:rsid w:val="00017E44"/>
    <w:rsid w:val="00017EF7"/>
    <w:rsid w:val="00020137"/>
    <w:rsid w:val="000201B8"/>
    <w:rsid w:val="000201BA"/>
    <w:rsid w:val="000203C8"/>
    <w:rsid w:val="000204A4"/>
    <w:rsid w:val="000206E7"/>
    <w:rsid w:val="000206F9"/>
    <w:rsid w:val="000206FF"/>
    <w:rsid w:val="000207A9"/>
    <w:rsid w:val="000209A0"/>
    <w:rsid w:val="000209CF"/>
    <w:rsid w:val="00020C6A"/>
    <w:rsid w:val="00020D69"/>
    <w:rsid w:val="00020E49"/>
    <w:rsid w:val="000212EE"/>
    <w:rsid w:val="000212EF"/>
    <w:rsid w:val="000212FA"/>
    <w:rsid w:val="000212FE"/>
    <w:rsid w:val="00021307"/>
    <w:rsid w:val="000214DE"/>
    <w:rsid w:val="00021615"/>
    <w:rsid w:val="00021725"/>
    <w:rsid w:val="00021754"/>
    <w:rsid w:val="00021850"/>
    <w:rsid w:val="00021A2D"/>
    <w:rsid w:val="00021AA7"/>
    <w:rsid w:val="00021ABE"/>
    <w:rsid w:val="00021AFC"/>
    <w:rsid w:val="00021B18"/>
    <w:rsid w:val="00021C69"/>
    <w:rsid w:val="00021CB1"/>
    <w:rsid w:val="00021DE5"/>
    <w:rsid w:val="00021E49"/>
    <w:rsid w:val="00021E70"/>
    <w:rsid w:val="00021ECD"/>
    <w:rsid w:val="00021F86"/>
    <w:rsid w:val="000221DC"/>
    <w:rsid w:val="000221F4"/>
    <w:rsid w:val="000221F5"/>
    <w:rsid w:val="000222F8"/>
    <w:rsid w:val="000223FD"/>
    <w:rsid w:val="000224DF"/>
    <w:rsid w:val="000226AC"/>
    <w:rsid w:val="000226CA"/>
    <w:rsid w:val="00022883"/>
    <w:rsid w:val="0002288E"/>
    <w:rsid w:val="0002289E"/>
    <w:rsid w:val="000228C6"/>
    <w:rsid w:val="000228D4"/>
    <w:rsid w:val="00022914"/>
    <w:rsid w:val="00022A0E"/>
    <w:rsid w:val="00022A94"/>
    <w:rsid w:val="00022C00"/>
    <w:rsid w:val="00022CD2"/>
    <w:rsid w:val="00022D35"/>
    <w:rsid w:val="00022DF6"/>
    <w:rsid w:val="00022E26"/>
    <w:rsid w:val="00022FC5"/>
    <w:rsid w:val="00023063"/>
    <w:rsid w:val="00023066"/>
    <w:rsid w:val="000231CD"/>
    <w:rsid w:val="00023273"/>
    <w:rsid w:val="00023349"/>
    <w:rsid w:val="00023403"/>
    <w:rsid w:val="00023451"/>
    <w:rsid w:val="0002350A"/>
    <w:rsid w:val="000235BA"/>
    <w:rsid w:val="000236D5"/>
    <w:rsid w:val="000237C7"/>
    <w:rsid w:val="00023850"/>
    <w:rsid w:val="0002385A"/>
    <w:rsid w:val="000238F4"/>
    <w:rsid w:val="0002392E"/>
    <w:rsid w:val="0002394F"/>
    <w:rsid w:val="00023985"/>
    <w:rsid w:val="00023B10"/>
    <w:rsid w:val="00023B48"/>
    <w:rsid w:val="00023D93"/>
    <w:rsid w:val="00023EC4"/>
    <w:rsid w:val="00023F0A"/>
    <w:rsid w:val="000241A5"/>
    <w:rsid w:val="000241BA"/>
    <w:rsid w:val="000241DC"/>
    <w:rsid w:val="00024393"/>
    <w:rsid w:val="00024443"/>
    <w:rsid w:val="0002458F"/>
    <w:rsid w:val="000245F0"/>
    <w:rsid w:val="00024654"/>
    <w:rsid w:val="000247B2"/>
    <w:rsid w:val="00024892"/>
    <w:rsid w:val="000248F4"/>
    <w:rsid w:val="0002490B"/>
    <w:rsid w:val="00024949"/>
    <w:rsid w:val="00024987"/>
    <w:rsid w:val="000249D1"/>
    <w:rsid w:val="00024B1C"/>
    <w:rsid w:val="00024B2F"/>
    <w:rsid w:val="00024B54"/>
    <w:rsid w:val="00024C03"/>
    <w:rsid w:val="00024C4B"/>
    <w:rsid w:val="00025023"/>
    <w:rsid w:val="00025089"/>
    <w:rsid w:val="000250C0"/>
    <w:rsid w:val="000250EE"/>
    <w:rsid w:val="000251A8"/>
    <w:rsid w:val="000251B8"/>
    <w:rsid w:val="00025330"/>
    <w:rsid w:val="000253D0"/>
    <w:rsid w:val="0002547F"/>
    <w:rsid w:val="000254B6"/>
    <w:rsid w:val="0002550E"/>
    <w:rsid w:val="00025535"/>
    <w:rsid w:val="00025613"/>
    <w:rsid w:val="00025643"/>
    <w:rsid w:val="000256E0"/>
    <w:rsid w:val="00025704"/>
    <w:rsid w:val="000257C4"/>
    <w:rsid w:val="000257D8"/>
    <w:rsid w:val="00025A30"/>
    <w:rsid w:val="00025AAC"/>
    <w:rsid w:val="00025C21"/>
    <w:rsid w:val="00025CE7"/>
    <w:rsid w:val="00025D83"/>
    <w:rsid w:val="00025F87"/>
    <w:rsid w:val="00025FEF"/>
    <w:rsid w:val="00026160"/>
    <w:rsid w:val="0002616F"/>
    <w:rsid w:val="00026291"/>
    <w:rsid w:val="000262B1"/>
    <w:rsid w:val="000262C3"/>
    <w:rsid w:val="000262FD"/>
    <w:rsid w:val="00026388"/>
    <w:rsid w:val="000263AE"/>
    <w:rsid w:val="000263D4"/>
    <w:rsid w:val="0002655D"/>
    <w:rsid w:val="000267D4"/>
    <w:rsid w:val="00026802"/>
    <w:rsid w:val="00026844"/>
    <w:rsid w:val="0002689B"/>
    <w:rsid w:val="00026915"/>
    <w:rsid w:val="000269A8"/>
    <w:rsid w:val="000269E0"/>
    <w:rsid w:val="00026A4C"/>
    <w:rsid w:val="00026B27"/>
    <w:rsid w:val="00026C09"/>
    <w:rsid w:val="00026C28"/>
    <w:rsid w:val="00026C87"/>
    <w:rsid w:val="00026DAD"/>
    <w:rsid w:val="00026E35"/>
    <w:rsid w:val="00026E7E"/>
    <w:rsid w:val="00026EB6"/>
    <w:rsid w:val="00026F81"/>
    <w:rsid w:val="00026FCA"/>
    <w:rsid w:val="0002708E"/>
    <w:rsid w:val="000270C8"/>
    <w:rsid w:val="00027194"/>
    <w:rsid w:val="0002723D"/>
    <w:rsid w:val="00027386"/>
    <w:rsid w:val="0002742C"/>
    <w:rsid w:val="0002759F"/>
    <w:rsid w:val="00027646"/>
    <w:rsid w:val="000278BC"/>
    <w:rsid w:val="000278C5"/>
    <w:rsid w:val="00027B0E"/>
    <w:rsid w:val="00027B1E"/>
    <w:rsid w:val="00027BEC"/>
    <w:rsid w:val="00027E3E"/>
    <w:rsid w:val="00027E8D"/>
    <w:rsid w:val="0002FCF1"/>
    <w:rsid w:val="00030031"/>
    <w:rsid w:val="0003004F"/>
    <w:rsid w:val="00030204"/>
    <w:rsid w:val="00030215"/>
    <w:rsid w:val="00030279"/>
    <w:rsid w:val="00030347"/>
    <w:rsid w:val="00030375"/>
    <w:rsid w:val="0003047F"/>
    <w:rsid w:val="00030534"/>
    <w:rsid w:val="00030571"/>
    <w:rsid w:val="0003064F"/>
    <w:rsid w:val="000306AB"/>
    <w:rsid w:val="000306BD"/>
    <w:rsid w:val="0003084E"/>
    <w:rsid w:val="00030857"/>
    <w:rsid w:val="00030974"/>
    <w:rsid w:val="00030B7B"/>
    <w:rsid w:val="00030BAD"/>
    <w:rsid w:val="00030C62"/>
    <w:rsid w:val="00030CA1"/>
    <w:rsid w:val="00030D9A"/>
    <w:rsid w:val="00030E8F"/>
    <w:rsid w:val="00030EBE"/>
    <w:rsid w:val="00030EE4"/>
    <w:rsid w:val="00030F6F"/>
    <w:rsid w:val="00030F96"/>
    <w:rsid w:val="00030FB4"/>
    <w:rsid w:val="00031032"/>
    <w:rsid w:val="0003109E"/>
    <w:rsid w:val="00031170"/>
    <w:rsid w:val="00031240"/>
    <w:rsid w:val="00031385"/>
    <w:rsid w:val="000313CD"/>
    <w:rsid w:val="00031573"/>
    <w:rsid w:val="000315AB"/>
    <w:rsid w:val="0003161A"/>
    <w:rsid w:val="00031706"/>
    <w:rsid w:val="0003190F"/>
    <w:rsid w:val="0003197A"/>
    <w:rsid w:val="00031A00"/>
    <w:rsid w:val="00031F54"/>
    <w:rsid w:val="00031FF6"/>
    <w:rsid w:val="00032027"/>
    <w:rsid w:val="000320B7"/>
    <w:rsid w:val="00032198"/>
    <w:rsid w:val="00032216"/>
    <w:rsid w:val="00032331"/>
    <w:rsid w:val="00032336"/>
    <w:rsid w:val="00032486"/>
    <w:rsid w:val="00032578"/>
    <w:rsid w:val="0003257D"/>
    <w:rsid w:val="00032592"/>
    <w:rsid w:val="000325A0"/>
    <w:rsid w:val="000326A0"/>
    <w:rsid w:val="000326E4"/>
    <w:rsid w:val="00032753"/>
    <w:rsid w:val="00032761"/>
    <w:rsid w:val="000327CA"/>
    <w:rsid w:val="000327D4"/>
    <w:rsid w:val="000327F2"/>
    <w:rsid w:val="00032996"/>
    <w:rsid w:val="00032B5D"/>
    <w:rsid w:val="00032B63"/>
    <w:rsid w:val="00032BB5"/>
    <w:rsid w:val="00032D06"/>
    <w:rsid w:val="00032D2C"/>
    <w:rsid w:val="00032DD3"/>
    <w:rsid w:val="00032E77"/>
    <w:rsid w:val="00032F20"/>
    <w:rsid w:val="00032FB1"/>
    <w:rsid w:val="00033053"/>
    <w:rsid w:val="000330BB"/>
    <w:rsid w:val="00033140"/>
    <w:rsid w:val="0003321E"/>
    <w:rsid w:val="0003326A"/>
    <w:rsid w:val="00033286"/>
    <w:rsid w:val="000333EE"/>
    <w:rsid w:val="00033471"/>
    <w:rsid w:val="0003349F"/>
    <w:rsid w:val="000334C4"/>
    <w:rsid w:val="00033557"/>
    <w:rsid w:val="00033594"/>
    <w:rsid w:val="0003359D"/>
    <w:rsid w:val="000336B2"/>
    <w:rsid w:val="00033871"/>
    <w:rsid w:val="00033950"/>
    <w:rsid w:val="00033A63"/>
    <w:rsid w:val="00033A74"/>
    <w:rsid w:val="00033AC8"/>
    <w:rsid w:val="00033B61"/>
    <w:rsid w:val="00033B77"/>
    <w:rsid w:val="00033B7C"/>
    <w:rsid w:val="00033CF7"/>
    <w:rsid w:val="00033EE0"/>
    <w:rsid w:val="00034020"/>
    <w:rsid w:val="00034183"/>
    <w:rsid w:val="000341E1"/>
    <w:rsid w:val="00034216"/>
    <w:rsid w:val="0003428C"/>
    <w:rsid w:val="000342C0"/>
    <w:rsid w:val="00034322"/>
    <w:rsid w:val="00034353"/>
    <w:rsid w:val="00034442"/>
    <w:rsid w:val="00034491"/>
    <w:rsid w:val="00034515"/>
    <w:rsid w:val="0003462F"/>
    <w:rsid w:val="000346BD"/>
    <w:rsid w:val="000346E5"/>
    <w:rsid w:val="00034700"/>
    <w:rsid w:val="00034774"/>
    <w:rsid w:val="00034871"/>
    <w:rsid w:val="00034872"/>
    <w:rsid w:val="000348FA"/>
    <w:rsid w:val="00034A5F"/>
    <w:rsid w:val="00034BA1"/>
    <w:rsid w:val="00034BC3"/>
    <w:rsid w:val="00034BC8"/>
    <w:rsid w:val="00034C3F"/>
    <w:rsid w:val="00034C63"/>
    <w:rsid w:val="00034C83"/>
    <w:rsid w:val="00034CCB"/>
    <w:rsid w:val="00034DCF"/>
    <w:rsid w:val="00034EC3"/>
    <w:rsid w:val="00034F07"/>
    <w:rsid w:val="00034F6F"/>
    <w:rsid w:val="00034F7F"/>
    <w:rsid w:val="00034FB3"/>
    <w:rsid w:val="0003503D"/>
    <w:rsid w:val="00035074"/>
    <w:rsid w:val="0003507B"/>
    <w:rsid w:val="00035148"/>
    <w:rsid w:val="0003516A"/>
    <w:rsid w:val="00035261"/>
    <w:rsid w:val="00035289"/>
    <w:rsid w:val="000352A4"/>
    <w:rsid w:val="0003530E"/>
    <w:rsid w:val="000353A8"/>
    <w:rsid w:val="0003548B"/>
    <w:rsid w:val="000354DD"/>
    <w:rsid w:val="0003550A"/>
    <w:rsid w:val="00035A29"/>
    <w:rsid w:val="00035A46"/>
    <w:rsid w:val="00035C06"/>
    <w:rsid w:val="00035C70"/>
    <w:rsid w:val="00035D6D"/>
    <w:rsid w:val="00035DB6"/>
    <w:rsid w:val="00035E4A"/>
    <w:rsid w:val="00036154"/>
    <w:rsid w:val="00036205"/>
    <w:rsid w:val="00036233"/>
    <w:rsid w:val="00036378"/>
    <w:rsid w:val="00036405"/>
    <w:rsid w:val="0003645A"/>
    <w:rsid w:val="0003647D"/>
    <w:rsid w:val="000364A1"/>
    <w:rsid w:val="000366BF"/>
    <w:rsid w:val="000366CB"/>
    <w:rsid w:val="0003677D"/>
    <w:rsid w:val="00036817"/>
    <w:rsid w:val="000368BE"/>
    <w:rsid w:val="00036A31"/>
    <w:rsid w:val="00036ADE"/>
    <w:rsid w:val="00036C06"/>
    <w:rsid w:val="00036C5F"/>
    <w:rsid w:val="00036CB7"/>
    <w:rsid w:val="00036DD0"/>
    <w:rsid w:val="000372B7"/>
    <w:rsid w:val="00037305"/>
    <w:rsid w:val="00037311"/>
    <w:rsid w:val="000373CB"/>
    <w:rsid w:val="00037444"/>
    <w:rsid w:val="000374B9"/>
    <w:rsid w:val="0003759C"/>
    <w:rsid w:val="00037606"/>
    <w:rsid w:val="0003761A"/>
    <w:rsid w:val="000376CC"/>
    <w:rsid w:val="0003798A"/>
    <w:rsid w:val="00037A6C"/>
    <w:rsid w:val="00037B58"/>
    <w:rsid w:val="00037C3F"/>
    <w:rsid w:val="00037E9B"/>
    <w:rsid w:val="00037EC9"/>
    <w:rsid w:val="00037EF1"/>
    <w:rsid w:val="00037FC3"/>
    <w:rsid w:val="000400A1"/>
    <w:rsid w:val="0004039E"/>
    <w:rsid w:val="000404B2"/>
    <w:rsid w:val="00040541"/>
    <w:rsid w:val="000406AE"/>
    <w:rsid w:val="000406AF"/>
    <w:rsid w:val="000406E4"/>
    <w:rsid w:val="00040751"/>
    <w:rsid w:val="000407F6"/>
    <w:rsid w:val="0004083A"/>
    <w:rsid w:val="000408FE"/>
    <w:rsid w:val="00040903"/>
    <w:rsid w:val="00040A2A"/>
    <w:rsid w:val="00040C9F"/>
    <w:rsid w:val="00040F1F"/>
    <w:rsid w:val="00040FCE"/>
    <w:rsid w:val="000410AC"/>
    <w:rsid w:val="00041165"/>
    <w:rsid w:val="00041260"/>
    <w:rsid w:val="00041386"/>
    <w:rsid w:val="000413F7"/>
    <w:rsid w:val="00041441"/>
    <w:rsid w:val="00041444"/>
    <w:rsid w:val="000414A4"/>
    <w:rsid w:val="000414CC"/>
    <w:rsid w:val="00041526"/>
    <w:rsid w:val="0004162F"/>
    <w:rsid w:val="000416EA"/>
    <w:rsid w:val="000416F8"/>
    <w:rsid w:val="0004181F"/>
    <w:rsid w:val="0004186D"/>
    <w:rsid w:val="000418A3"/>
    <w:rsid w:val="0004197F"/>
    <w:rsid w:val="000419D1"/>
    <w:rsid w:val="00041A4F"/>
    <w:rsid w:val="00041BF4"/>
    <w:rsid w:val="00041C26"/>
    <w:rsid w:val="00041C2B"/>
    <w:rsid w:val="00041C59"/>
    <w:rsid w:val="00041D94"/>
    <w:rsid w:val="00041E49"/>
    <w:rsid w:val="00041EB3"/>
    <w:rsid w:val="000421DF"/>
    <w:rsid w:val="000422F7"/>
    <w:rsid w:val="0004249C"/>
    <w:rsid w:val="0004257E"/>
    <w:rsid w:val="000426DC"/>
    <w:rsid w:val="000427DC"/>
    <w:rsid w:val="000427F8"/>
    <w:rsid w:val="0004285E"/>
    <w:rsid w:val="0004289A"/>
    <w:rsid w:val="000428AD"/>
    <w:rsid w:val="00042907"/>
    <w:rsid w:val="0004296A"/>
    <w:rsid w:val="0004296C"/>
    <w:rsid w:val="000429CE"/>
    <w:rsid w:val="00042B0E"/>
    <w:rsid w:val="00042C1D"/>
    <w:rsid w:val="00042CF0"/>
    <w:rsid w:val="00042D5D"/>
    <w:rsid w:val="00042EBF"/>
    <w:rsid w:val="00042EDC"/>
    <w:rsid w:val="00042F9F"/>
    <w:rsid w:val="0004302B"/>
    <w:rsid w:val="00043052"/>
    <w:rsid w:val="00043133"/>
    <w:rsid w:val="000433BB"/>
    <w:rsid w:val="000434D4"/>
    <w:rsid w:val="000434F4"/>
    <w:rsid w:val="00043568"/>
    <w:rsid w:val="0004360C"/>
    <w:rsid w:val="000436E9"/>
    <w:rsid w:val="000437CF"/>
    <w:rsid w:val="00043800"/>
    <w:rsid w:val="0004381E"/>
    <w:rsid w:val="0004389E"/>
    <w:rsid w:val="000438DD"/>
    <w:rsid w:val="00043997"/>
    <w:rsid w:val="00043A0C"/>
    <w:rsid w:val="00043A2F"/>
    <w:rsid w:val="00043CA9"/>
    <w:rsid w:val="00043D28"/>
    <w:rsid w:val="00043D62"/>
    <w:rsid w:val="00043E7C"/>
    <w:rsid w:val="00043E82"/>
    <w:rsid w:val="00043EA1"/>
    <w:rsid w:val="00043EAB"/>
    <w:rsid w:val="00044061"/>
    <w:rsid w:val="000440B1"/>
    <w:rsid w:val="000441BB"/>
    <w:rsid w:val="000441BC"/>
    <w:rsid w:val="00044207"/>
    <w:rsid w:val="0004426E"/>
    <w:rsid w:val="000442A1"/>
    <w:rsid w:val="000443D9"/>
    <w:rsid w:val="000444CB"/>
    <w:rsid w:val="00044587"/>
    <w:rsid w:val="000445D7"/>
    <w:rsid w:val="0004462D"/>
    <w:rsid w:val="00044683"/>
    <w:rsid w:val="000446D3"/>
    <w:rsid w:val="00044782"/>
    <w:rsid w:val="00044791"/>
    <w:rsid w:val="000448A3"/>
    <w:rsid w:val="000448AE"/>
    <w:rsid w:val="00044924"/>
    <w:rsid w:val="000449A3"/>
    <w:rsid w:val="00044B04"/>
    <w:rsid w:val="00044B1B"/>
    <w:rsid w:val="00044BAB"/>
    <w:rsid w:val="00044CE9"/>
    <w:rsid w:val="00045151"/>
    <w:rsid w:val="00045209"/>
    <w:rsid w:val="0004535C"/>
    <w:rsid w:val="00045373"/>
    <w:rsid w:val="00045396"/>
    <w:rsid w:val="000456B3"/>
    <w:rsid w:val="0004585E"/>
    <w:rsid w:val="00045878"/>
    <w:rsid w:val="000458BF"/>
    <w:rsid w:val="00045A82"/>
    <w:rsid w:val="00045A91"/>
    <w:rsid w:val="00045B66"/>
    <w:rsid w:val="00045B69"/>
    <w:rsid w:val="00045C67"/>
    <w:rsid w:val="00045CB0"/>
    <w:rsid w:val="00045CE4"/>
    <w:rsid w:val="00045D32"/>
    <w:rsid w:val="00045D40"/>
    <w:rsid w:val="00045DA0"/>
    <w:rsid w:val="00045E46"/>
    <w:rsid w:val="00045E76"/>
    <w:rsid w:val="00045EEE"/>
    <w:rsid w:val="00045EFE"/>
    <w:rsid w:val="00045F01"/>
    <w:rsid w:val="00045F58"/>
    <w:rsid w:val="00045F5D"/>
    <w:rsid w:val="00045FF4"/>
    <w:rsid w:val="00046053"/>
    <w:rsid w:val="00046062"/>
    <w:rsid w:val="00046092"/>
    <w:rsid w:val="00046093"/>
    <w:rsid w:val="000461AB"/>
    <w:rsid w:val="00046352"/>
    <w:rsid w:val="000463B6"/>
    <w:rsid w:val="00046439"/>
    <w:rsid w:val="00046547"/>
    <w:rsid w:val="00046583"/>
    <w:rsid w:val="000465DB"/>
    <w:rsid w:val="000465EE"/>
    <w:rsid w:val="00046601"/>
    <w:rsid w:val="00046619"/>
    <w:rsid w:val="0004669E"/>
    <w:rsid w:val="000466CB"/>
    <w:rsid w:val="0004673B"/>
    <w:rsid w:val="000467C8"/>
    <w:rsid w:val="000467DB"/>
    <w:rsid w:val="00046805"/>
    <w:rsid w:val="0004690A"/>
    <w:rsid w:val="00046911"/>
    <w:rsid w:val="00046A52"/>
    <w:rsid w:val="00046A55"/>
    <w:rsid w:val="00046B30"/>
    <w:rsid w:val="00046B69"/>
    <w:rsid w:val="00046BB6"/>
    <w:rsid w:val="00046BD3"/>
    <w:rsid w:val="00046C5C"/>
    <w:rsid w:val="00046CE6"/>
    <w:rsid w:val="00046D9D"/>
    <w:rsid w:val="00046DA9"/>
    <w:rsid w:val="00046E30"/>
    <w:rsid w:val="00046EE7"/>
    <w:rsid w:val="00046FED"/>
    <w:rsid w:val="000470D0"/>
    <w:rsid w:val="00047126"/>
    <w:rsid w:val="0004716F"/>
    <w:rsid w:val="00047181"/>
    <w:rsid w:val="0004718F"/>
    <w:rsid w:val="00047235"/>
    <w:rsid w:val="000472D3"/>
    <w:rsid w:val="00047375"/>
    <w:rsid w:val="00047438"/>
    <w:rsid w:val="0004750D"/>
    <w:rsid w:val="000475A2"/>
    <w:rsid w:val="000475BB"/>
    <w:rsid w:val="00047618"/>
    <w:rsid w:val="0004766E"/>
    <w:rsid w:val="0004784D"/>
    <w:rsid w:val="00047902"/>
    <w:rsid w:val="00047979"/>
    <w:rsid w:val="00047B0C"/>
    <w:rsid w:val="00047B26"/>
    <w:rsid w:val="00047B39"/>
    <w:rsid w:val="00047BFA"/>
    <w:rsid w:val="00047CD5"/>
    <w:rsid w:val="00047D69"/>
    <w:rsid w:val="00047D95"/>
    <w:rsid w:val="00047ED7"/>
    <w:rsid w:val="00050087"/>
    <w:rsid w:val="00050188"/>
    <w:rsid w:val="00050255"/>
    <w:rsid w:val="00050334"/>
    <w:rsid w:val="00050486"/>
    <w:rsid w:val="0005061D"/>
    <w:rsid w:val="00050628"/>
    <w:rsid w:val="00050809"/>
    <w:rsid w:val="000508A7"/>
    <w:rsid w:val="00050B27"/>
    <w:rsid w:val="00050B70"/>
    <w:rsid w:val="00050B92"/>
    <w:rsid w:val="00050BB7"/>
    <w:rsid w:val="00050CED"/>
    <w:rsid w:val="00050D8A"/>
    <w:rsid w:val="00050DDE"/>
    <w:rsid w:val="00050DEC"/>
    <w:rsid w:val="00050E42"/>
    <w:rsid w:val="00050E7C"/>
    <w:rsid w:val="00050F12"/>
    <w:rsid w:val="000510D0"/>
    <w:rsid w:val="000510E8"/>
    <w:rsid w:val="000511F7"/>
    <w:rsid w:val="00051209"/>
    <w:rsid w:val="0005145F"/>
    <w:rsid w:val="0005159E"/>
    <w:rsid w:val="00051669"/>
    <w:rsid w:val="000516AE"/>
    <w:rsid w:val="00051755"/>
    <w:rsid w:val="000517D8"/>
    <w:rsid w:val="00051961"/>
    <w:rsid w:val="0005196B"/>
    <w:rsid w:val="00051970"/>
    <w:rsid w:val="000519E2"/>
    <w:rsid w:val="00051A7D"/>
    <w:rsid w:val="00051B4D"/>
    <w:rsid w:val="00051BF1"/>
    <w:rsid w:val="00051DD2"/>
    <w:rsid w:val="000520FA"/>
    <w:rsid w:val="00052153"/>
    <w:rsid w:val="000523E5"/>
    <w:rsid w:val="000524A6"/>
    <w:rsid w:val="00052546"/>
    <w:rsid w:val="0005257B"/>
    <w:rsid w:val="000525B1"/>
    <w:rsid w:val="0005260D"/>
    <w:rsid w:val="00052641"/>
    <w:rsid w:val="0005267F"/>
    <w:rsid w:val="000526BE"/>
    <w:rsid w:val="000526FC"/>
    <w:rsid w:val="0005273B"/>
    <w:rsid w:val="00052791"/>
    <w:rsid w:val="000527BF"/>
    <w:rsid w:val="00052854"/>
    <w:rsid w:val="000528FB"/>
    <w:rsid w:val="000529A2"/>
    <w:rsid w:val="000529A9"/>
    <w:rsid w:val="00052CD7"/>
    <w:rsid w:val="00052D21"/>
    <w:rsid w:val="00052E9D"/>
    <w:rsid w:val="00052F46"/>
    <w:rsid w:val="00052F83"/>
    <w:rsid w:val="00052F86"/>
    <w:rsid w:val="00052FCA"/>
    <w:rsid w:val="00053087"/>
    <w:rsid w:val="00053089"/>
    <w:rsid w:val="0005308B"/>
    <w:rsid w:val="00053097"/>
    <w:rsid w:val="00053144"/>
    <w:rsid w:val="000531A2"/>
    <w:rsid w:val="00053237"/>
    <w:rsid w:val="000532E2"/>
    <w:rsid w:val="0005335C"/>
    <w:rsid w:val="000533E0"/>
    <w:rsid w:val="00053514"/>
    <w:rsid w:val="00053517"/>
    <w:rsid w:val="000535A4"/>
    <w:rsid w:val="000535C0"/>
    <w:rsid w:val="000535E9"/>
    <w:rsid w:val="00053770"/>
    <w:rsid w:val="000537C0"/>
    <w:rsid w:val="00053806"/>
    <w:rsid w:val="0005385D"/>
    <w:rsid w:val="0005387F"/>
    <w:rsid w:val="00053911"/>
    <w:rsid w:val="00053938"/>
    <w:rsid w:val="00053AA0"/>
    <w:rsid w:val="00053AC2"/>
    <w:rsid w:val="00053ACB"/>
    <w:rsid w:val="00053BAA"/>
    <w:rsid w:val="00053C29"/>
    <w:rsid w:val="00053C3C"/>
    <w:rsid w:val="00053CB0"/>
    <w:rsid w:val="00053DC2"/>
    <w:rsid w:val="00053E87"/>
    <w:rsid w:val="00053EA2"/>
    <w:rsid w:val="0005428B"/>
    <w:rsid w:val="000542B0"/>
    <w:rsid w:val="00054364"/>
    <w:rsid w:val="00054381"/>
    <w:rsid w:val="000543B9"/>
    <w:rsid w:val="000543CC"/>
    <w:rsid w:val="000543ED"/>
    <w:rsid w:val="00054406"/>
    <w:rsid w:val="000544F1"/>
    <w:rsid w:val="000545D5"/>
    <w:rsid w:val="000547D1"/>
    <w:rsid w:val="000547F7"/>
    <w:rsid w:val="0005482B"/>
    <w:rsid w:val="000548EC"/>
    <w:rsid w:val="00054A69"/>
    <w:rsid w:val="00054AE7"/>
    <w:rsid w:val="00054C21"/>
    <w:rsid w:val="00054C38"/>
    <w:rsid w:val="00054C56"/>
    <w:rsid w:val="00054C6A"/>
    <w:rsid w:val="00054C84"/>
    <w:rsid w:val="00054DBF"/>
    <w:rsid w:val="00054DD3"/>
    <w:rsid w:val="00054E0F"/>
    <w:rsid w:val="00054E6B"/>
    <w:rsid w:val="00054F33"/>
    <w:rsid w:val="00054F3A"/>
    <w:rsid w:val="0005527A"/>
    <w:rsid w:val="000553BA"/>
    <w:rsid w:val="000554A2"/>
    <w:rsid w:val="000554C5"/>
    <w:rsid w:val="000554DD"/>
    <w:rsid w:val="000555B2"/>
    <w:rsid w:val="00055620"/>
    <w:rsid w:val="000556F6"/>
    <w:rsid w:val="0005577F"/>
    <w:rsid w:val="000557B8"/>
    <w:rsid w:val="000557F8"/>
    <w:rsid w:val="00055805"/>
    <w:rsid w:val="0005585C"/>
    <w:rsid w:val="0005590B"/>
    <w:rsid w:val="00055933"/>
    <w:rsid w:val="000559A1"/>
    <w:rsid w:val="000559C4"/>
    <w:rsid w:val="00055A1C"/>
    <w:rsid w:val="00055A68"/>
    <w:rsid w:val="00055A9B"/>
    <w:rsid w:val="00055AB7"/>
    <w:rsid w:val="00055BCE"/>
    <w:rsid w:val="00055C28"/>
    <w:rsid w:val="00055C81"/>
    <w:rsid w:val="00055D0C"/>
    <w:rsid w:val="00055D1D"/>
    <w:rsid w:val="00055D45"/>
    <w:rsid w:val="00055E6C"/>
    <w:rsid w:val="00055FD7"/>
    <w:rsid w:val="0005604C"/>
    <w:rsid w:val="00056071"/>
    <w:rsid w:val="000560C1"/>
    <w:rsid w:val="000560E9"/>
    <w:rsid w:val="00056103"/>
    <w:rsid w:val="000561CA"/>
    <w:rsid w:val="000561DD"/>
    <w:rsid w:val="000562A5"/>
    <w:rsid w:val="000562B1"/>
    <w:rsid w:val="000562E1"/>
    <w:rsid w:val="000562E3"/>
    <w:rsid w:val="000562EC"/>
    <w:rsid w:val="000562F0"/>
    <w:rsid w:val="000562FE"/>
    <w:rsid w:val="00056A80"/>
    <w:rsid w:val="00056B8F"/>
    <w:rsid w:val="00056C4F"/>
    <w:rsid w:val="00056C6E"/>
    <w:rsid w:val="00056CA2"/>
    <w:rsid w:val="00056D0D"/>
    <w:rsid w:val="00056DCA"/>
    <w:rsid w:val="000572BC"/>
    <w:rsid w:val="0005736F"/>
    <w:rsid w:val="00057382"/>
    <w:rsid w:val="0005755F"/>
    <w:rsid w:val="0005759C"/>
    <w:rsid w:val="00057619"/>
    <w:rsid w:val="00057643"/>
    <w:rsid w:val="00057848"/>
    <w:rsid w:val="00057851"/>
    <w:rsid w:val="00057886"/>
    <w:rsid w:val="000578DD"/>
    <w:rsid w:val="00057920"/>
    <w:rsid w:val="0005794B"/>
    <w:rsid w:val="000579A8"/>
    <w:rsid w:val="000579F9"/>
    <w:rsid w:val="000579FD"/>
    <w:rsid w:val="00057B31"/>
    <w:rsid w:val="00057B3C"/>
    <w:rsid w:val="00057BEF"/>
    <w:rsid w:val="00057BFC"/>
    <w:rsid w:val="00057C80"/>
    <w:rsid w:val="00057C86"/>
    <w:rsid w:val="00057CB4"/>
    <w:rsid w:val="00057E56"/>
    <w:rsid w:val="00057FD8"/>
    <w:rsid w:val="0005CA18"/>
    <w:rsid w:val="00060055"/>
    <w:rsid w:val="00060138"/>
    <w:rsid w:val="000601B4"/>
    <w:rsid w:val="000601CA"/>
    <w:rsid w:val="0006022C"/>
    <w:rsid w:val="0006025B"/>
    <w:rsid w:val="0006026A"/>
    <w:rsid w:val="00060287"/>
    <w:rsid w:val="0006030E"/>
    <w:rsid w:val="00060355"/>
    <w:rsid w:val="000603A6"/>
    <w:rsid w:val="00060630"/>
    <w:rsid w:val="00060672"/>
    <w:rsid w:val="00060680"/>
    <w:rsid w:val="00060712"/>
    <w:rsid w:val="00060954"/>
    <w:rsid w:val="000609A5"/>
    <w:rsid w:val="00060ABE"/>
    <w:rsid w:val="00060C17"/>
    <w:rsid w:val="00060CEA"/>
    <w:rsid w:val="00060D1B"/>
    <w:rsid w:val="00060D8E"/>
    <w:rsid w:val="00060DC2"/>
    <w:rsid w:val="00061132"/>
    <w:rsid w:val="0006116D"/>
    <w:rsid w:val="0006117E"/>
    <w:rsid w:val="0006118A"/>
    <w:rsid w:val="000611BB"/>
    <w:rsid w:val="000611EF"/>
    <w:rsid w:val="000611FA"/>
    <w:rsid w:val="00061324"/>
    <w:rsid w:val="000613E1"/>
    <w:rsid w:val="00061452"/>
    <w:rsid w:val="00061618"/>
    <w:rsid w:val="0006163B"/>
    <w:rsid w:val="0006166F"/>
    <w:rsid w:val="00061694"/>
    <w:rsid w:val="0006172A"/>
    <w:rsid w:val="00061744"/>
    <w:rsid w:val="0006186A"/>
    <w:rsid w:val="000619B2"/>
    <w:rsid w:val="000619CB"/>
    <w:rsid w:val="00061B2C"/>
    <w:rsid w:val="00061C17"/>
    <w:rsid w:val="00061C19"/>
    <w:rsid w:val="00061CFD"/>
    <w:rsid w:val="00061DCE"/>
    <w:rsid w:val="00061FAF"/>
    <w:rsid w:val="00061FFD"/>
    <w:rsid w:val="00062058"/>
    <w:rsid w:val="00062073"/>
    <w:rsid w:val="00062096"/>
    <w:rsid w:val="00062105"/>
    <w:rsid w:val="00062120"/>
    <w:rsid w:val="0006220F"/>
    <w:rsid w:val="00062286"/>
    <w:rsid w:val="0006228D"/>
    <w:rsid w:val="000622EF"/>
    <w:rsid w:val="0006233A"/>
    <w:rsid w:val="00062457"/>
    <w:rsid w:val="00062531"/>
    <w:rsid w:val="000625FE"/>
    <w:rsid w:val="0006283E"/>
    <w:rsid w:val="000628AD"/>
    <w:rsid w:val="00062959"/>
    <w:rsid w:val="0006298A"/>
    <w:rsid w:val="00062BAF"/>
    <w:rsid w:val="00062C2A"/>
    <w:rsid w:val="00062CF5"/>
    <w:rsid w:val="00062D4F"/>
    <w:rsid w:val="00062EBA"/>
    <w:rsid w:val="00062F4F"/>
    <w:rsid w:val="00062F7C"/>
    <w:rsid w:val="00063019"/>
    <w:rsid w:val="000632AE"/>
    <w:rsid w:val="000632D5"/>
    <w:rsid w:val="00063317"/>
    <w:rsid w:val="0006334B"/>
    <w:rsid w:val="000633F1"/>
    <w:rsid w:val="000633F5"/>
    <w:rsid w:val="00063438"/>
    <w:rsid w:val="00063473"/>
    <w:rsid w:val="00063482"/>
    <w:rsid w:val="000634DD"/>
    <w:rsid w:val="000638D8"/>
    <w:rsid w:val="00063A1E"/>
    <w:rsid w:val="00063A2C"/>
    <w:rsid w:val="00063ACC"/>
    <w:rsid w:val="00063AE5"/>
    <w:rsid w:val="00063C1D"/>
    <w:rsid w:val="00063C2C"/>
    <w:rsid w:val="00063D20"/>
    <w:rsid w:val="00063F6B"/>
    <w:rsid w:val="00064038"/>
    <w:rsid w:val="00064089"/>
    <w:rsid w:val="0006424F"/>
    <w:rsid w:val="0006427C"/>
    <w:rsid w:val="000643C2"/>
    <w:rsid w:val="0006440C"/>
    <w:rsid w:val="0006441C"/>
    <w:rsid w:val="0006445F"/>
    <w:rsid w:val="00064460"/>
    <w:rsid w:val="00064779"/>
    <w:rsid w:val="00064819"/>
    <w:rsid w:val="000648C9"/>
    <w:rsid w:val="0006499B"/>
    <w:rsid w:val="000649AD"/>
    <w:rsid w:val="00064AB2"/>
    <w:rsid w:val="00064AB9"/>
    <w:rsid w:val="00064AE7"/>
    <w:rsid w:val="00064B10"/>
    <w:rsid w:val="00064B30"/>
    <w:rsid w:val="00064B84"/>
    <w:rsid w:val="00064C0F"/>
    <w:rsid w:val="00064CDD"/>
    <w:rsid w:val="00064E3A"/>
    <w:rsid w:val="00064F6B"/>
    <w:rsid w:val="000650BF"/>
    <w:rsid w:val="00065118"/>
    <w:rsid w:val="00065123"/>
    <w:rsid w:val="00065191"/>
    <w:rsid w:val="0006519F"/>
    <w:rsid w:val="0006537E"/>
    <w:rsid w:val="0006546B"/>
    <w:rsid w:val="000654E5"/>
    <w:rsid w:val="000655A1"/>
    <w:rsid w:val="000655EC"/>
    <w:rsid w:val="00065669"/>
    <w:rsid w:val="000656EB"/>
    <w:rsid w:val="000656F8"/>
    <w:rsid w:val="0006574D"/>
    <w:rsid w:val="0006583F"/>
    <w:rsid w:val="00065844"/>
    <w:rsid w:val="0006588F"/>
    <w:rsid w:val="000658A4"/>
    <w:rsid w:val="00065ACF"/>
    <w:rsid w:val="00065B41"/>
    <w:rsid w:val="00065D0F"/>
    <w:rsid w:val="00065D1A"/>
    <w:rsid w:val="00065D50"/>
    <w:rsid w:val="00065DDB"/>
    <w:rsid w:val="00065FB3"/>
    <w:rsid w:val="00065FB5"/>
    <w:rsid w:val="00065FF5"/>
    <w:rsid w:val="00065FF8"/>
    <w:rsid w:val="00066097"/>
    <w:rsid w:val="0006612C"/>
    <w:rsid w:val="000661C3"/>
    <w:rsid w:val="0006639B"/>
    <w:rsid w:val="000663ED"/>
    <w:rsid w:val="00066459"/>
    <w:rsid w:val="0006657C"/>
    <w:rsid w:val="00066602"/>
    <w:rsid w:val="00066644"/>
    <w:rsid w:val="00066650"/>
    <w:rsid w:val="0006665D"/>
    <w:rsid w:val="000666BE"/>
    <w:rsid w:val="00066705"/>
    <w:rsid w:val="0006671E"/>
    <w:rsid w:val="00066881"/>
    <w:rsid w:val="0006696A"/>
    <w:rsid w:val="00066A7D"/>
    <w:rsid w:val="00066ADB"/>
    <w:rsid w:val="00066BED"/>
    <w:rsid w:val="00066D00"/>
    <w:rsid w:val="00066E5D"/>
    <w:rsid w:val="00066E8D"/>
    <w:rsid w:val="00066ED7"/>
    <w:rsid w:val="00066F0D"/>
    <w:rsid w:val="00066FAF"/>
    <w:rsid w:val="00066FBD"/>
    <w:rsid w:val="00067071"/>
    <w:rsid w:val="0006728E"/>
    <w:rsid w:val="0006734B"/>
    <w:rsid w:val="00067374"/>
    <w:rsid w:val="000673F9"/>
    <w:rsid w:val="000675ED"/>
    <w:rsid w:val="000676D7"/>
    <w:rsid w:val="00067723"/>
    <w:rsid w:val="00067795"/>
    <w:rsid w:val="00067818"/>
    <w:rsid w:val="00067856"/>
    <w:rsid w:val="000678FF"/>
    <w:rsid w:val="00067923"/>
    <w:rsid w:val="00067937"/>
    <w:rsid w:val="000679DE"/>
    <w:rsid w:val="000679F1"/>
    <w:rsid w:val="000679FF"/>
    <w:rsid w:val="00067A57"/>
    <w:rsid w:val="00067A81"/>
    <w:rsid w:val="00067ABE"/>
    <w:rsid w:val="00067AFF"/>
    <w:rsid w:val="00067B8F"/>
    <w:rsid w:val="00067B97"/>
    <w:rsid w:val="00067CA4"/>
    <w:rsid w:val="00067D0E"/>
    <w:rsid w:val="00067D6B"/>
    <w:rsid w:val="00070039"/>
    <w:rsid w:val="00070146"/>
    <w:rsid w:val="0007015A"/>
    <w:rsid w:val="00070223"/>
    <w:rsid w:val="000702DA"/>
    <w:rsid w:val="0007036F"/>
    <w:rsid w:val="00070497"/>
    <w:rsid w:val="00070502"/>
    <w:rsid w:val="00070577"/>
    <w:rsid w:val="0007061B"/>
    <w:rsid w:val="0007075F"/>
    <w:rsid w:val="000707DF"/>
    <w:rsid w:val="0007090E"/>
    <w:rsid w:val="0007093B"/>
    <w:rsid w:val="00070A23"/>
    <w:rsid w:val="00070ABB"/>
    <w:rsid w:val="00070C7F"/>
    <w:rsid w:val="00070CE9"/>
    <w:rsid w:val="00070D4C"/>
    <w:rsid w:val="00070D79"/>
    <w:rsid w:val="00070E3F"/>
    <w:rsid w:val="00070EAB"/>
    <w:rsid w:val="00070ED1"/>
    <w:rsid w:val="00070FB9"/>
    <w:rsid w:val="000710A1"/>
    <w:rsid w:val="000710B4"/>
    <w:rsid w:val="00071192"/>
    <w:rsid w:val="0007121A"/>
    <w:rsid w:val="000712D1"/>
    <w:rsid w:val="00071359"/>
    <w:rsid w:val="000713DD"/>
    <w:rsid w:val="000714BA"/>
    <w:rsid w:val="000715B9"/>
    <w:rsid w:val="000715D4"/>
    <w:rsid w:val="00071623"/>
    <w:rsid w:val="0007163B"/>
    <w:rsid w:val="00071706"/>
    <w:rsid w:val="0007175B"/>
    <w:rsid w:val="000717A2"/>
    <w:rsid w:val="00071824"/>
    <w:rsid w:val="0007187E"/>
    <w:rsid w:val="000718C9"/>
    <w:rsid w:val="00071A38"/>
    <w:rsid w:val="00071A9B"/>
    <w:rsid w:val="00071BB9"/>
    <w:rsid w:val="00071DCA"/>
    <w:rsid w:val="00071E95"/>
    <w:rsid w:val="00071ECF"/>
    <w:rsid w:val="00071F74"/>
    <w:rsid w:val="000720C8"/>
    <w:rsid w:val="00072337"/>
    <w:rsid w:val="000723E5"/>
    <w:rsid w:val="00072521"/>
    <w:rsid w:val="0007273F"/>
    <w:rsid w:val="000727FD"/>
    <w:rsid w:val="0007285F"/>
    <w:rsid w:val="000728FC"/>
    <w:rsid w:val="00072AF2"/>
    <w:rsid w:val="00072B55"/>
    <w:rsid w:val="00072BD3"/>
    <w:rsid w:val="00072BD5"/>
    <w:rsid w:val="00072D75"/>
    <w:rsid w:val="00072E83"/>
    <w:rsid w:val="00073007"/>
    <w:rsid w:val="00073250"/>
    <w:rsid w:val="00073288"/>
    <w:rsid w:val="0007329A"/>
    <w:rsid w:val="0007330D"/>
    <w:rsid w:val="00073345"/>
    <w:rsid w:val="00073352"/>
    <w:rsid w:val="00073373"/>
    <w:rsid w:val="000733A3"/>
    <w:rsid w:val="0007347B"/>
    <w:rsid w:val="0007347F"/>
    <w:rsid w:val="000735F6"/>
    <w:rsid w:val="00073846"/>
    <w:rsid w:val="000738AA"/>
    <w:rsid w:val="000738E4"/>
    <w:rsid w:val="00073962"/>
    <w:rsid w:val="0007396A"/>
    <w:rsid w:val="00073A58"/>
    <w:rsid w:val="00073A63"/>
    <w:rsid w:val="00073B10"/>
    <w:rsid w:val="00073CDA"/>
    <w:rsid w:val="00073DF9"/>
    <w:rsid w:val="00073E38"/>
    <w:rsid w:val="00073EF5"/>
    <w:rsid w:val="00073F19"/>
    <w:rsid w:val="00073FF3"/>
    <w:rsid w:val="0007400F"/>
    <w:rsid w:val="00074084"/>
    <w:rsid w:val="00074288"/>
    <w:rsid w:val="0007437A"/>
    <w:rsid w:val="000743D0"/>
    <w:rsid w:val="00074480"/>
    <w:rsid w:val="000744A7"/>
    <w:rsid w:val="000744B1"/>
    <w:rsid w:val="00074609"/>
    <w:rsid w:val="00074624"/>
    <w:rsid w:val="000746F8"/>
    <w:rsid w:val="0007470C"/>
    <w:rsid w:val="0007471D"/>
    <w:rsid w:val="0007498C"/>
    <w:rsid w:val="00074A1A"/>
    <w:rsid w:val="00074A1D"/>
    <w:rsid w:val="00074A7B"/>
    <w:rsid w:val="00074B1D"/>
    <w:rsid w:val="00074B66"/>
    <w:rsid w:val="00074C2E"/>
    <w:rsid w:val="00074D2B"/>
    <w:rsid w:val="00074D8A"/>
    <w:rsid w:val="00074E3A"/>
    <w:rsid w:val="00074E7F"/>
    <w:rsid w:val="00075038"/>
    <w:rsid w:val="00075088"/>
    <w:rsid w:val="000751E8"/>
    <w:rsid w:val="000752A9"/>
    <w:rsid w:val="000752D5"/>
    <w:rsid w:val="000752F7"/>
    <w:rsid w:val="000753A5"/>
    <w:rsid w:val="000753F0"/>
    <w:rsid w:val="000754DA"/>
    <w:rsid w:val="000754F7"/>
    <w:rsid w:val="00075574"/>
    <w:rsid w:val="00075598"/>
    <w:rsid w:val="000759A1"/>
    <w:rsid w:val="000759B8"/>
    <w:rsid w:val="00075B2D"/>
    <w:rsid w:val="00075C5A"/>
    <w:rsid w:val="00075C78"/>
    <w:rsid w:val="00075EA1"/>
    <w:rsid w:val="00075EC1"/>
    <w:rsid w:val="00075F20"/>
    <w:rsid w:val="0007603F"/>
    <w:rsid w:val="000760FD"/>
    <w:rsid w:val="0007634B"/>
    <w:rsid w:val="00076351"/>
    <w:rsid w:val="0007638D"/>
    <w:rsid w:val="00076492"/>
    <w:rsid w:val="00076661"/>
    <w:rsid w:val="00076679"/>
    <w:rsid w:val="0007669F"/>
    <w:rsid w:val="0007673F"/>
    <w:rsid w:val="00076819"/>
    <w:rsid w:val="00076847"/>
    <w:rsid w:val="00076917"/>
    <w:rsid w:val="0007698B"/>
    <w:rsid w:val="00076D10"/>
    <w:rsid w:val="00076D4F"/>
    <w:rsid w:val="00076DAA"/>
    <w:rsid w:val="00076ECE"/>
    <w:rsid w:val="00076F05"/>
    <w:rsid w:val="00076F27"/>
    <w:rsid w:val="00076F2D"/>
    <w:rsid w:val="00076F74"/>
    <w:rsid w:val="00076F7B"/>
    <w:rsid w:val="00077014"/>
    <w:rsid w:val="00077016"/>
    <w:rsid w:val="00077017"/>
    <w:rsid w:val="000771CB"/>
    <w:rsid w:val="00077258"/>
    <w:rsid w:val="000772F7"/>
    <w:rsid w:val="00077303"/>
    <w:rsid w:val="0007736B"/>
    <w:rsid w:val="000773EF"/>
    <w:rsid w:val="0007742D"/>
    <w:rsid w:val="00077433"/>
    <w:rsid w:val="000774A0"/>
    <w:rsid w:val="00077504"/>
    <w:rsid w:val="00077530"/>
    <w:rsid w:val="00077570"/>
    <w:rsid w:val="0007764A"/>
    <w:rsid w:val="000776A6"/>
    <w:rsid w:val="00077700"/>
    <w:rsid w:val="0007774C"/>
    <w:rsid w:val="00077846"/>
    <w:rsid w:val="0007787A"/>
    <w:rsid w:val="000778E0"/>
    <w:rsid w:val="000778E6"/>
    <w:rsid w:val="00077961"/>
    <w:rsid w:val="00077999"/>
    <w:rsid w:val="00077A6D"/>
    <w:rsid w:val="00077B1E"/>
    <w:rsid w:val="00077B5F"/>
    <w:rsid w:val="00077C02"/>
    <w:rsid w:val="00077C71"/>
    <w:rsid w:val="00077C81"/>
    <w:rsid w:val="00077CFC"/>
    <w:rsid w:val="00077D1F"/>
    <w:rsid w:val="00077D78"/>
    <w:rsid w:val="00077DB8"/>
    <w:rsid w:val="00077E9B"/>
    <w:rsid w:val="00077FA5"/>
    <w:rsid w:val="00077FC1"/>
    <w:rsid w:val="0008008F"/>
    <w:rsid w:val="000800BC"/>
    <w:rsid w:val="00080126"/>
    <w:rsid w:val="0008014D"/>
    <w:rsid w:val="00080296"/>
    <w:rsid w:val="0008029B"/>
    <w:rsid w:val="0008034C"/>
    <w:rsid w:val="000803E9"/>
    <w:rsid w:val="000805E8"/>
    <w:rsid w:val="00080673"/>
    <w:rsid w:val="00080712"/>
    <w:rsid w:val="000807F0"/>
    <w:rsid w:val="0008091F"/>
    <w:rsid w:val="00080B2D"/>
    <w:rsid w:val="00080BAE"/>
    <w:rsid w:val="00080BEC"/>
    <w:rsid w:val="00080C46"/>
    <w:rsid w:val="00080C49"/>
    <w:rsid w:val="00080D57"/>
    <w:rsid w:val="00080E64"/>
    <w:rsid w:val="00080EB6"/>
    <w:rsid w:val="00081086"/>
    <w:rsid w:val="000810F7"/>
    <w:rsid w:val="000811CD"/>
    <w:rsid w:val="000811CF"/>
    <w:rsid w:val="00081236"/>
    <w:rsid w:val="00081283"/>
    <w:rsid w:val="0008134C"/>
    <w:rsid w:val="000813FF"/>
    <w:rsid w:val="000815CB"/>
    <w:rsid w:val="0008192C"/>
    <w:rsid w:val="00081A6E"/>
    <w:rsid w:val="00081BA1"/>
    <w:rsid w:val="00081D87"/>
    <w:rsid w:val="00081E6A"/>
    <w:rsid w:val="00081EA4"/>
    <w:rsid w:val="00081F66"/>
    <w:rsid w:val="00081FB9"/>
    <w:rsid w:val="00082098"/>
    <w:rsid w:val="000821F9"/>
    <w:rsid w:val="0008227A"/>
    <w:rsid w:val="000822C7"/>
    <w:rsid w:val="00082304"/>
    <w:rsid w:val="00082345"/>
    <w:rsid w:val="000823F8"/>
    <w:rsid w:val="0008242A"/>
    <w:rsid w:val="0008243A"/>
    <w:rsid w:val="000824E8"/>
    <w:rsid w:val="000826AE"/>
    <w:rsid w:val="000827B0"/>
    <w:rsid w:val="00082839"/>
    <w:rsid w:val="00082850"/>
    <w:rsid w:val="00082A33"/>
    <w:rsid w:val="00082A7C"/>
    <w:rsid w:val="00082B19"/>
    <w:rsid w:val="00082C3E"/>
    <w:rsid w:val="00082C4E"/>
    <w:rsid w:val="00082CE2"/>
    <w:rsid w:val="00082D7B"/>
    <w:rsid w:val="00082E7A"/>
    <w:rsid w:val="00082F78"/>
    <w:rsid w:val="00082FB4"/>
    <w:rsid w:val="00082FFA"/>
    <w:rsid w:val="0008301C"/>
    <w:rsid w:val="0008305A"/>
    <w:rsid w:val="00083130"/>
    <w:rsid w:val="0008319C"/>
    <w:rsid w:val="000832B7"/>
    <w:rsid w:val="00083359"/>
    <w:rsid w:val="00083395"/>
    <w:rsid w:val="00083397"/>
    <w:rsid w:val="0008345D"/>
    <w:rsid w:val="00083575"/>
    <w:rsid w:val="0008358B"/>
    <w:rsid w:val="0008364B"/>
    <w:rsid w:val="000836DC"/>
    <w:rsid w:val="0008371E"/>
    <w:rsid w:val="0008387B"/>
    <w:rsid w:val="000838A7"/>
    <w:rsid w:val="00083A51"/>
    <w:rsid w:val="00083A64"/>
    <w:rsid w:val="00083A67"/>
    <w:rsid w:val="00083B43"/>
    <w:rsid w:val="00083B7A"/>
    <w:rsid w:val="00083D8D"/>
    <w:rsid w:val="00083E59"/>
    <w:rsid w:val="0008417F"/>
    <w:rsid w:val="00084199"/>
    <w:rsid w:val="000842BD"/>
    <w:rsid w:val="000842FC"/>
    <w:rsid w:val="000843C3"/>
    <w:rsid w:val="000843D1"/>
    <w:rsid w:val="00084411"/>
    <w:rsid w:val="00084462"/>
    <w:rsid w:val="000844A4"/>
    <w:rsid w:val="0008470B"/>
    <w:rsid w:val="000847BC"/>
    <w:rsid w:val="00084909"/>
    <w:rsid w:val="00084B91"/>
    <w:rsid w:val="00084C6E"/>
    <w:rsid w:val="00084D41"/>
    <w:rsid w:val="00084D4E"/>
    <w:rsid w:val="00084DC3"/>
    <w:rsid w:val="00084DD2"/>
    <w:rsid w:val="00084E00"/>
    <w:rsid w:val="00084EBF"/>
    <w:rsid w:val="00084F46"/>
    <w:rsid w:val="00084F73"/>
    <w:rsid w:val="00084FF7"/>
    <w:rsid w:val="0008526D"/>
    <w:rsid w:val="000854F7"/>
    <w:rsid w:val="00085649"/>
    <w:rsid w:val="000856E6"/>
    <w:rsid w:val="0008578A"/>
    <w:rsid w:val="000857CC"/>
    <w:rsid w:val="00085AAB"/>
    <w:rsid w:val="00085B18"/>
    <w:rsid w:val="00085B4D"/>
    <w:rsid w:val="00085BCE"/>
    <w:rsid w:val="00085BE5"/>
    <w:rsid w:val="00085C3E"/>
    <w:rsid w:val="00085C6A"/>
    <w:rsid w:val="00085DD7"/>
    <w:rsid w:val="00085DEB"/>
    <w:rsid w:val="00085E14"/>
    <w:rsid w:val="00085E8A"/>
    <w:rsid w:val="00085F13"/>
    <w:rsid w:val="00085F52"/>
    <w:rsid w:val="00086009"/>
    <w:rsid w:val="00086059"/>
    <w:rsid w:val="0008610B"/>
    <w:rsid w:val="0008614D"/>
    <w:rsid w:val="0008645A"/>
    <w:rsid w:val="0008647D"/>
    <w:rsid w:val="000864E6"/>
    <w:rsid w:val="0008677C"/>
    <w:rsid w:val="000867A6"/>
    <w:rsid w:val="000867C6"/>
    <w:rsid w:val="0008682C"/>
    <w:rsid w:val="00086923"/>
    <w:rsid w:val="00086A06"/>
    <w:rsid w:val="00086A95"/>
    <w:rsid w:val="00086AF7"/>
    <w:rsid w:val="00086B40"/>
    <w:rsid w:val="00086B7E"/>
    <w:rsid w:val="00086B93"/>
    <w:rsid w:val="00086BA0"/>
    <w:rsid w:val="00086C7C"/>
    <w:rsid w:val="00086DDB"/>
    <w:rsid w:val="00086E31"/>
    <w:rsid w:val="00086E6E"/>
    <w:rsid w:val="00086EAC"/>
    <w:rsid w:val="00086F2C"/>
    <w:rsid w:val="00086F3A"/>
    <w:rsid w:val="00086F80"/>
    <w:rsid w:val="00086FD2"/>
    <w:rsid w:val="00086FE0"/>
    <w:rsid w:val="00087055"/>
    <w:rsid w:val="000870BA"/>
    <w:rsid w:val="00087139"/>
    <w:rsid w:val="0008713A"/>
    <w:rsid w:val="000871EC"/>
    <w:rsid w:val="00087332"/>
    <w:rsid w:val="00087347"/>
    <w:rsid w:val="00087425"/>
    <w:rsid w:val="00087484"/>
    <w:rsid w:val="00087510"/>
    <w:rsid w:val="0008755E"/>
    <w:rsid w:val="000875E1"/>
    <w:rsid w:val="00087668"/>
    <w:rsid w:val="0008771C"/>
    <w:rsid w:val="00087787"/>
    <w:rsid w:val="00087A14"/>
    <w:rsid w:val="00087ACF"/>
    <w:rsid w:val="00087C97"/>
    <w:rsid w:val="00087CF2"/>
    <w:rsid w:val="00087D27"/>
    <w:rsid w:val="00087D36"/>
    <w:rsid w:val="00087DBF"/>
    <w:rsid w:val="00087DC9"/>
    <w:rsid w:val="00087ED7"/>
    <w:rsid w:val="00087F18"/>
    <w:rsid w:val="00087F69"/>
    <w:rsid w:val="00087FC8"/>
    <w:rsid w:val="00090008"/>
    <w:rsid w:val="00090047"/>
    <w:rsid w:val="00090085"/>
    <w:rsid w:val="0009023F"/>
    <w:rsid w:val="000902A3"/>
    <w:rsid w:val="000904B8"/>
    <w:rsid w:val="000904E6"/>
    <w:rsid w:val="0009050D"/>
    <w:rsid w:val="0009052C"/>
    <w:rsid w:val="000905A4"/>
    <w:rsid w:val="00090604"/>
    <w:rsid w:val="000906D7"/>
    <w:rsid w:val="00090712"/>
    <w:rsid w:val="000908DB"/>
    <w:rsid w:val="0009090C"/>
    <w:rsid w:val="0009092C"/>
    <w:rsid w:val="0009097F"/>
    <w:rsid w:val="00090AE2"/>
    <w:rsid w:val="00090BA3"/>
    <w:rsid w:val="00090C2C"/>
    <w:rsid w:val="00090CAD"/>
    <w:rsid w:val="00090D21"/>
    <w:rsid w:val="00090E2D"/>
    <w:rsid w:val="00090FAF"/>
    <w:rsid w:val="0009108A"/>
    <w:rsid w:val="0009121C"/>
    <w:rsid w:val="0009126F"/>
    <w:rsid w:val="000912E9"/>
    <w:rsid w:val="000913B3"/>
    <w:rsid w:val="0009142E"/>
    <w:rsid w:val="0009148C"/>
    <w:rsid w:val="00091547"/>
    <w:rsid w:val="000915BD"/>
    <w:rsid w:val="000915ED"/>
    <w:rsid w:val="00091753"/>
    <w:rsid w:val="000917A7"/>
    <w:rsid w:val="000917B1"/>
    <w:rsid w:val="000917C3"/>
    <w:rsid w:val="00091882"/>
    <w:rsid w:val="000918BB"/>
    <w:rsid w:val="000919AE"/>
    <w:rsid w:val="000919D1"/>
    <w:rsid w:val="00091A0C"/>
    <w:rsid w:val="00091CF7"/>
    <w:rsid w:val="00091DC4"/>
    <w:rsid w:val="00091DD6"/>
    <w:rsid w:val="00091E04"/>
    <w:rsid w:val="00091E2E"/>
    <w:rsid w:val="00091E34"/>
    <w:rsid w:val="00091E8B"/>
    <w:rsid w:val="00091F1B"/>
    <w:rsid w:val="00091F77"/>
    <w:rsid w:val="00092012"/>
    <w:rsid w:val="0009208A"/>
    <w:rsid w:val="00092214"/>
    <w:rsid w:val="00092241"/>
    <w:rsid w:val="000922A5"/>
    <w:rsid w:val="0009240B"/>
    <w:rsid w:val="00092430"/>
    <w:rsid w:val="00092477"/>
    <w:rsid w:val="000924B3"/>
    <w:rsid w:val="00092542"/>
    <w:rsid w:val="000926A3"/>
    <w:rsid w:val="0009279E"/>
    <w:rsid w:val="00092837"/>
    <w:rsid w:val="000928C2"/>
    <w:rsid w:val="00092A77"/>
    <w:rsid w:val="00092B16"/>
    <w:rsid w:val="00092BDF"/>
    <w:rsid w:val="00092C1C"/>
    <w:rsid w:val="00092CD2"/>
    <w:rsid w:val="00092D6E"/>
    <w:rsid w:val="00093030"/>
    <w:rsid w:val="00093034"/>
    <w:rsid w:val="0009313D"/>
    <w:rsid w:val="00093153"/>
    <w:rsid w:val="0009348D"/>
    <w:rsid w:val="000936E2"/>
    <w:rsid w:val="000937B5"/>
    <w:rsid w:val="000937FB"/>
    <w:rsid w:val="00093855"/>
    <w:rsid w:val="00093991"/>
    <w:rsid w:val="000939B7"/>
    <w:rsid w:val="00093AE5"/>
    <w:rsid w:val="00093AE9"/>
    <w:rsid w:val="00093B06"/>
    <w:rsid w:val="00093B49"/>
    <w:rsid w:val="00093DAD"/>
    <w:rsid w:val="00093FA1"/>
    <w:rsid w:val="00094020"/>
    <w:rsid w:val="000940CD"/>
    <w:rsid w:val="000940DB"/>
    <w:rsid w:val="0009412C"/>
    <w:rsid w:val="00094411"/>
    <w:rsid w:val="000944E8"/>
    <w:rsid w:val="00094618"/>
    <w:rsid w:val="0009468B"/>
    <w:rsid w:val="000948A4"/>
    <w:rsid w:val="0009495B"/>
    <w:rsid w:val="00094997"/>
    <w:rsid w:val="00094B02"/>
    <w:rsid w:val="00094B81"/>
    <w:rsid w:val="00094BD7"/>
    <w:rsid w:val="00094ED0"/>
    <w:rsid w:val="00094EE1"/>
    <w:rsid w:val="00094FA7"/>
    <w:rsid w:val="00094FC9"/>
    <w:rsid w:val="00094FE5"/>
    <w:rsid w:val="000950B6"/>
    <w:rsid w:val="000951F7"/>
    <w:rsid w:val="00095295"/>
    <w:rsid w:val="00095297"/>
    <w:rsid w:val="000952E6"/>
    <w:rsid w:val="00095549"/>
    <w:rsid w:val="00095564"/>
    <w:rsid w:val="00095637"/>
    <w:rsid w:val="000956AE"/>
    <w:rsid w:val="000956DD"/>
    <w:rsid w:val="000956EC"/>
    <w:rsid w:val="00095737"/>
    <w:rsid w:val="000957EB"/>
    <w:rsid w:val="000957EC"/>
    <w:rsid w:val="00095889"/>
    <w:rsid w:val="000958A1"/>
    <w:rsid w:val="00095966"/>
    <w:rsid w:val="00095967"/>
    <w:rsid w:val="000959BC"/>
    <w:rsid w:val="00095A09"/>
    <w:rsid w:val="00095A35"/>
    <w:rsid w:val="00095A7D"/>
    <w:rsid w:val="00095A8A"/>
    <w:rsid w:val="00095B54"/>
    <w:rsid w:val="00095B8B"/>
    <w:rsid w:val="00095BB2"/>
    <w:rsid w:val="00095C91"/>
    <w:rsid w:val="00095CF0"/>
    <w:rsid w:val="00095CFF"/>
    <w:rsid w:val="00095E4D"/>
    <w:rsid w:val="00095F7B"/>
    <w:rsid w:val="0009604B"/>
    <w:rsid w:val="00096150"/>
    <w:rsid w:val="0009618B"/>
    <w:rsid w:val="000961E3"/>
    <w:rsid w:val="0009620F"/>
    <w:rsid w:val="00096245"/>
    <w:rsid w:val="00096302"/>
    <w:rsid w:val="00096329"/>
    <w:rsid w:val="00096331"/>
    <w:rsid w:val="000963C9"/>
    <w:rsid w:val="000964EC"/>
    <w:rsid w:val="0009650E"/>
    <w:rsid w:val="00096511"/>
    <w:rsid w:val="0009655B"/>
    <w:rsid w:val="0009660B"/>
    <w:rsid w:val="00096657"/>
    <w:rsid w:val="00096695"/>
    <w:rsid w:val="000966A6"/>
    <w:rsid w:val="000966F6"/>
    <w:rsid w:val="0009684F"/>
    <w:rsid w:val="00096899"/>
    <w:rsid w:val="00096A96"/>
    <w:rsid w:val="00096C71"/>
    <w:rsid w:val="00096CDB"/>
    <w:rsid w:val="00096D42"/>
    <w:rsid w:val="00096D64"/>
    <w:rsid w:val="00096DBA"/>
    <w:rsid w:val="00096E2B"/>
    <w:rsid w:val="00096E56"/>
    <w:rsid w:val="00096ED1"/>
    <w:rsid w:val="00096FC8"/>
    <w:rsid w:val="00096FD1"/>
    <w:rsid w:val="000972B6"/>
    <w:rsid w:val="0009731A"/>
    <w:rsid w:val="00097340"/>
    <w:rsid w:val="0009742B"/>
    <w:rsid w:val="000974A5"/>
    <w:rsid w:val="000975A2"/>
    <w:rsid w:val="00097778"/>
    <w:rsid w:val="00097790"/>
    <w:rsid w:val="000977DC"/>
    <w:rsid w:val="000977E6"/>
    <w:rsid w:val="000978F8"/>
    <w:rsid w:val="00097902"/>
    <w:rsid w:val="00097956"/>
    <w:rsid w:val="000979A2"/>
    <w:rsid w:val="00097ACE"/>
    <w:rsid w:val="00097B61"/>
    <w:rsid w:val="00097D58"/>
    <w:rsid w:val="00097E9B"/>
    <w:rsid w:val="00097F07"/>
    <w:rsid w:val="000A00C2"/>
    <w:rsid w:val="000A01C0"/>
    <w:rsid w:val="000A0207"/>
    <w:rsid w:val="000A039D"/>
    <w:rsid w:val="000A040B"/>
    <w:rsid w:val="000A05F3"/>
    <w:rsid w:val="000A065C"/>
    <w:rsid w:val="000A073B"/>
    <w:rsid w:val="000A082F"/>
    <w:rsid w:val="000A083F"/>
    <w:rsid w:val="000A0899"/>
    <w:rsid w:val="000A089D"/>
    <w:rsid w:val="000A0943"/>
    <w:rsid w:val="000A0A0E"/>
    <w:rsid w:val="000A0A6C"/>
    <w:rsid w:val="000A0B06"/>
    <w:rsid w:val="000A0B5E"/>
    <w:rsid w:val="000A0C13"/>
    <w:rsid w:val="000A0C1F"/>
    <w:rsid w:val="000A0CB3"/>
    <w:rsid w:val="000A0D69"/>
    <w:rsid w:val="000A0DF4"/>
    <w:rsid w:val="000A100E"/>
    <w:rsid w:val="000A104B"/>
    <w:rsid w:val="000A105C"/>
    <w:rsid w:val="000A126E"/>
    <w:rsid w:val="000A13EA"/>
    <w:rsid w:val="000A1426"/>
    <w:rsid w:val="000A15F9"/>
    <w:rsid w:val="000A1685"/>
    <w:rsid w:val="000A1756"/>
    <w:rsid w:val="000A175E"/>
    <w:rsid w:val="000A1760"/>
    <w:rsid w:val="000A178B"/>
    <w:rsid w:val="000A19B7"/>
    <w:rsid w:val="000A1A60"/>
    <w:rsid w:val="000A1AA8"/>
    <w:rsid w:val="000A1B1B"/>
    <w:rsid w:val="000A1B4D"/>
    <w:rsid w:val="000A1B6C"/>
    <w:rsid w:val="000A1DAE"/>
    <w:rsid w:val="000A1DF1"/>
    <w:rsid w:val="000A1E53"/>
    <w:rsid w:val="000A1E97"/>
    <w:rsid w:val="000A1FB8"/>
    <w:rsid w:val="000A1FCD"/>
    <w:rsid w:val="000A2087"/>
    <w:rsid w:val="000A20F5"/>
    <w:rsid w:val="000A2107"/>
    <w:rsid w:val="000A217B"/>
    <w:rsid w:val="000A237B"/>
    <w:rsid w:val="000A246D"/>
    <w:rsid w:val="000A2528"/>
    <w:rsid w:val="000A25FC"/>
    <w:rsid w:val="000A26B2"/>
    <w:rsid w:val="000A2824"/>
    <w:rsid w:val="000A2953"/>
    <w:rsid w:val="000A29A7"/>
    <w:rsid w:val="000A2AC8"/>
    <w:rsid w:val="000A2BA6"/>
    <w:rsid w:val="000A2BC0"/>
    <w:rsid w:val="000A2BF4"/>
    <w:rsid w:val="000A2C1F"/>
    <w:rsid w:val="000A2CDC"/>
    <w:rsid w:val="000A2D07"/>
    <w:rsid w:val="000A2D52"/>
    <w:rsid w:val="000A2D78"/>
    <w:rsid w:val="000A2DA1"/>
    <w:rsid w:val="000A2DAF"/>
    <w:rsid w:val="000A30DB"/>
    <w:rsid w:val="000A322C"/>
    <w:rsid w:val="000A3360"/>
    <w:rsid w:val="000A33A7"/>
    <w:rsid w:val="000A34F9"/>
    <w:rsid w:val="000A352B"/>
    <w:rsid w:val="000A3565"/>
    <w:rsid w:val="000A35C1"/>
    <w:rsid w:val="000A36C7"/>
    <w:rsid w:val="000A3813"/>
    <w:rsid w:val="000A3864"/>
    <w:rsid w:val="000A386A"/>
    <w:rsid w:val="000A38AB"/>
    <w:rsid w:val="000A3969"/>
    <w:rsid w:val="000A3998"/>
    <w:rsid w:val="000A3A6A"/>
    <w:rsid w:val="000A3ADC"/>
    <w:rsid w:val="000A3AEB"/>
    <w:rsid w:val="000A3B1A"/>
    <w:rsid w:val="000A3B59"/>
    <w:rsid w:val="000A3C2E"/>
    <w:rsid w:val="000A3DBF"/>
    <w:rsid w:val="000A3E05"/>
    <w:rsid w:val="000A3E13"/>
    <w:rsid w:val="000A3EF2"/>
    <w:rsid w:val="000A3EF4"/>
    <w:rsid w:val="000A3FAE"/>
    <w:rsid w:val="000A40BC"/>
    <w:rsid w:val="000A4256"/>
    <w:rsid w:val="000A42F5"/>
    <w:rsid w:val="000A43C8"/>
    <w:rsid w:val="000A43F5"/>
    <w:rsid w:val="000A44A2"/>
    <w:rsid w:val="000A450D"/>
    <w:rsid w:val="000A451B"/>
    <w:rsid w:val="000A456E"/>
    <w:rsid w:val="000A45D0"/>
    <w:rsid w:val="000A462D"/>
    <w:rsid w:val="000A466D"/>
    <w:rsid w:val="000A46AE"/>
    <w:rsid w:val="000A46BF"/>
    <w:rsid w:val="000A477F"/>
    <w:rsid w:val="000A47D0"/>
    <w:rsid w:val="000A484B"/>
    <w:rsid w:val="000A48C4"/>
    <w:rsid w:val="000A48E6"/>
    <w:rsid w:val="000A49DC"/>
    <w:rsid w:val="000A4A59"/>
    <w:rsid w:val="000A4B35"/>
    <w:rsid w:val="000A4C11"/>
    <w:rsid w:val="000A4CC5"/>
    <w:rsid w:val="000A4E88"/>
    <w:rsid w:val="000A4E8A"/>
    <w:rsid w:val="000A4F27"/>
    <w:rsid w:val="000A4FFD"/>
    <w:rsid w:val="000A500D"/>
    <w:rsid w:val="000A50BC"/>
    <w:rsid w:val="000A51F3"/>
    <w:rsid w:val="000A52A1"/>
    <w:rsid w:val="000A52E0"/>
    <w:rsid w:val="000A5352"/>
    <w:rsid w:val="000A537A"/>
    <w:rsid w:val="000A5540"/>
    <w:rsid w:val="000A5780"/>
    <w:rsid w:val="000A587E"/>
    <w:rsid w:val="000A5969"/>
    <w:rsid w:val="000A5983"/>
    <w:rsid w:val="000A59A4"/>
    <w:rsid w:val="000A5A09"/>
    <w:rsid w:val="000A5A1B"/>
    <w:rsid w:val="000A5B0E"/>
    <w:rsid w:val="000A5B3A"/>
    <w:rsid w:val="000A5D96"/>
    <w:rsid w:val="000A5E2F"/>
    <w:rsid w:val="000A5F0E"/>
    <w:rsid w:val="000A5F52"/>
    <w:rsid w:val="000A5F66"/>
    <w:rsid w:val="000A5FD9"/>
    <w:rsid w:val="000A5FFD"/>
    <w:rsid w:val="000A60D7"/>
    <w:rsid w:val="000A6179"/>
    <w:rsid w:val="000A61A8"/>
    <w:rsid w:val="000A61CB"/>
    <w:rsid w:val="000A61CF"/>
    <w:rsid w:val="000A6245"/>
    <w:rsid w:val="000A627E"/>
    <w:rsid w:val="000A62A2"/>
    <w:rsid w:val="000A632E"/>
    <w:rsid w:val="000A6341"/>
    <w:rsid w:val="000A65C8"/>
    <w:rsid w:val="000A65DE"/>
    <w:rsid w:val="000A6600"/>
    <w:rsid w:val="000A6630"/>
    <w:rsid w:val="000A67F2"/>
    <w:rsid w:val="000A6841"/>
    <w:rsid w:val="000A696F"/>
    <w:rsid w:val="000A6982"/>
    <w:rsid w:val="000A6A1B"/>
    <w:rsid w:val="000A6AAD"/>
    <w:rsid w:val="000A6BAB"/>
    <w:rsid w:val="000A6CA5"/>
    <w:rsid w:val="000A6CF2"/>
    <w:rsid w:val="000A6D00"/>
    <w:rsid w:val="000A6D39"/>
    <w:rsid w:val="000A6E57"/>
    <w:rsid w:val="000A6EB9"/>
    <w:rsid w:val="000A6FC8"/>
    <w:rsid w:val="000A7065"/>
    <w:rsid w:val="000A708E"/>
    <w:rsid w:val="000A70A1"/>
    <w:rsid w:val="000A718B"/>
    <w:rsid w:val="000A7336"/>
    <w:rsid w:val="000A7344"/>
    <w:rsid w:val="000A7405"/>
    <w:rsid w:val="000A740F"/>
    <w:rsid w:val="000A7415"/>
    <w:rsid w:val="000A7571"/>
    <w:rsid w:val="000A7591"/>
    <w:rsid w:val="000A75A0"/>
    <w:rsid w:val="000A764B"/>
    <w:rsid w:val="000A7692"/>
    <w:rsid w:val="000A7696"/>
    <w:rsid w:val="000A7803"/>
    <w:rsid w:val="000A7995"/>
    <w:rsid w:val="000A799A"/>
    <w:rsid w:val="000A79D4"/>
    <w:rsid w:val="000A7AED"/>
    <w:rsid w:val="000A7D91"/>
    <w:rsid w:val="000A7DE5"/>
    <w:rsid w:val="000A7E55"/>
    <w:rsid w:val="000A7F33"/>
    <w:rsid w:val="000A7F7C"/>
    <w:rsid w:val="000B0074"/>
    <w:rsid w:val="000B012B"/>
    <w:rsid w:val="000B013B"/>
    <w:rsid w:val="000B021D"/>
    <w:rsid w:val="000B026E"/>
    <w:rsid w:val="000B02B0"/>
    <w:rsid w:val="000B030E"/>
    <w:rsid w:val="000B0358"/>
    <w:rsid w:val="000B0451"/>
    <w:rsid w:val="000B05C9"/>
    <w:rsid w:val="000B05F6"/>
    <w:rsid w:val="000B0696"/>
    <w:rsid w:val="000B0783"/>
    <w:rsid w:val="000B086C"/>
    <w:rsid w:val="000B0B76"/>
    <w:rsid w:val="000B0CE0"/>
    <w:rsid w:val="000B0D1A"/>
    <w:rsid w:val="000B0D4A"/>
    <w:rsid w:val="000B0E0A"/>
    <w:rsid w:val="000B0E7A"/>
    <w:rsid w:val="000B0E80"/>
    <w:rsid w:val="000B0EA1"/>
    <w:rsid w:val="000B0EAD"/>
    <w:rsid w:val="000B0EEE"/>
    <w:rsid w:val="000B0F25"/>
    <w:rsid w:val="000B1187"/>
    <w:rsid w:val="000B11D7"/>
    <w:rsid w:val="000B1213"/>
    <w:rsid w:val="000B126D"/>
    <w:rsid w:val="000B13D0"/>
    <w:rsid w:val="000B14E5"/>
    <w:rsid w:val="000B15CC"/>
    <w:rsid w:val="000B16DF"/>
    <w:rsid w:val="000B174F"/>
    <w:rsid w:val="000B1783"/>
    <w:rsid w:val="000B17CE"/>
    <w:rsid w:val="000B19D3"/>
    <w:rsid w:val="000B1A1F"/>
    <w:rsid w:val="000B1A92"/>
    <w:rsid w:val="000B1ABE"/>
    <w:rsid w:val="000B1C21"/>
    <w:rsid w:val="000B1D11"/>
    <w:rsid w:val="000B1D22"/>
    <w:rsid w:val="000B1D8A"/>
    <w:rsid w:val="000B1DE5"/>
    <w:rsid w:val="000B1F01"/>
    <w:rsid w:val="000B1FC3"/>
    <w:rsid w:val="000B1FFE"/>
    <w:rsid w:val="000B210C"/>
    <w:rsid w:val="000B2134"/>
    <w:rsid w:val="000B213B"/>
    <w:rsid w:val="000B2376"/>
    <w:rsid w:val="000B2482"/>
    <w:rsid w:val="000B2596"/>
    <w:rsid w:val="000B2627"/>
    <w:rsid w:val="000B2703"/>
    <w:rsid w:val="000B2753"/>
    <w:rsid w:val="000B275F"/>
    <w:rsid w:val="000B27FC"/>
    <w:rsid w:val="000B2845"/>
    <w:rsid w:val="000B299F"/>
    <w:rsid w:val="000B29F9"/>
    <w:rsid w:val="000B2A33"/>
    <w:rsid w:val="000B2B34"/>
    <w:rsid w:val="000B2C54"/>
    <w:rsid w:val="000B2D48"/>
    <w:rsid w:val="000B2E9E"/>
    <w:rsid w:val="000B2FD7"/>
    <w:rsid w:val="000B301A"/>
    <w:rsid w:val="000B3044"/>
    <w:rsid w:val="000B3148"/>
    <w:rsid w:val="000B32CC"/>
    <w:rsid w:val="000B34D0"/>
    <w:rsid w:val="000B34D6"/>
    <w:rsid w:val="000B3547"/>
    <w:rsid w:val="000B3687"/>
    <w:rsid w:val="000B37F5"/>
    <w:rsid w:val="000B380E"/>
    <w:rsid w:val="000B38BC"/>
    <w:rsid w:val="000B3A14"/>
    <w:rsid w:val="000B3B3B"/>
    <w:rsid w:val="000B3CCE"/>
    <w:rsid w:val="000B3D34"/>
    <w:rsid w:val="000B3D4F"/>
    <w:rsid w:val="000B3E08"/>
    <w:rsid w:val="000B3E09"/>
    <w:rsid w:val="000B3E88"/>
    <w:rsid w:val="000B3F45"/>
    <w:rsid w:val="000B3FE1"/>
    <w:rsid w:val="000B4091"/>
    <w:rsid w:val="000B40A4"/>
    <w:rsid w:val="000B41C1"/>
    <w:rsid w:val="000B41F7"/>
    <w:rsid w:val="000B420F"/>
    <w:rsid w:val="000B435D"/>
    <w:rsid w:val="000B436D"/>
    <w:rsid w:val="000B43BA"/>
    <w:rsid w:val="000B43E8"/>
    <w:rsid w:val="000B4421"/>
    <w:rsid w:val="000B46F5"/>
    <w:rsid w:val="000B47F8"/>
    <w:rsid w:val="000B482F"/>
    <w:rsid w:val="000B489E"/>
    <w:rsid w:val="000B48A5"/>
    <w:rsid w:val="000B49BA"/>
    <w:rsid w:val="000B4A6E"/>
    <w:rsid w:val="000B4AA4"/>
    <w:rsid w:val="000B4B14"/>
    <w:rsid w:val="000B4B65"/>
    <w:rsid w:val="000B4B68"/>
    <w:rsid w:val="000B4BB5"/>
    <w:rsid w:val="000B4C65"/>
    <w:rsid w:val="000B4CD1"/>
    <w:rsid w:val="000B4D54"/>
    <w:rsid w:val="000B4D79"/>
    <w:rsid w:val="000B4DDF"/>
    <w:rsid w:val="000B4F29"/>
    <w:rsid w:val="000B4F42"/>
    <w:rsid w:val="000B4F7D"/>
    <w:rsid w:val="000B4FDD"/>
    <w:rsid w:val="000B5065"/>
    <w:rsid w:val="000B5144"/>
    <w:rsid w:val="000B52CB"/>
    <w:rsid w:val="000B5339"/>
    <w:rsid w:val="000B5382"/>
    <w:rsid w:val="000B5446"/>
    <w:rsid w:val="000B54EE"/>
    <w:rsid w:val="000B5516"/>
    <w:rsid w:val="000B55CB"/>
    <w:rsid w:val="000B56C0"/>
    <w:rsid w:val="000B56CE"/>
    <w:rsid w:val="000B58C2"/>
    <w:rsid w:val="000B5993"/>
    <w:rsid w:val="000B5A2F"/>
    <w:rsid w:val="000B5AD4"/>
    <w:rsid w:val="000B5B16"/>
    <w:rsid w:val="000B5B17"/>
    <w:rsid w:val="000B5CF3"/>
    <w:rsid w:val="000B5CFB"/>
    <w:rsid w:val="000B5D20"/>
    <w:rsid w:val="000B5DD4"/>
    <w:rsid w:val="000B5DF9"/>
    <w:rsid w:val="000B5E9B"/>
    <w:rsid w:val="000B5EDF"/>
    <w:rsid w:val="000B5F92"/>
    <w:rsid w:val="000B6047"/>
    <w:rsid w:val="000B60E1"/>
    <w:rsid w:val="000B6133"/>
    <w:rsid w:val="000B618E"/>
    <w:rsid w:val="000B63C1"/>
    <w:rsid w:val="000B6476"/>
    <w:rsid w:val="000B65B9"/>
    <w:rsid w:val="000B68C2"/>
    <w:rsid w:val="000B68DC"/>
    <w:rsid w:val="000B6B99"/>
    <w:rsid w:val="000B6D62"/>
    <w:rsid w:val="000B6D66"/>
    <w:rsid w:val="000B6D8D"/>
    <w:rsid w:val="000B6E16"/>
    <w:rsid w:val="000B6E55"/>
    <w:rsid w:val="000B6EEB"/>
    <w:rsid w:val="000B6F9F"/>
    <w:rsid w:val="000B6FD3"/>
    <w:rsid w:val="000B7003"/>
    <w:rsid w:val="000B7188"/>
    <w:rsid w:val="000B71B6"/>
    <w:rsid w:val="000B7281"/>
    <w:rsid w:val="000B734C"/>
    <w:rsid w:val="000B7385"/>
    <w:rsid w:val="000B73EB"/>
    <w:rsid w:val="000B749D"/>
    <w:rsid w:val="000B7582"/>
    <w:rsid w:val="000B770A"/>
    <w:rsid w:val="000B77E6"/>
    <w:rsid w:val="000B786D"/>
    <w:rsid w:val="000B787F"/>
    <w:rsid w:val="000B78DD"/>
    <w:rsid w:val="000B7986"/>
    <w:rsid w:val="000B79F0"/>
    <w:rsid w:val="000B7A04"/>
    <w:rsid w:val="000B7B0D"/>
    <w:rsid w:val="000B7CBF"/>
    <w:rsid w:val="000B7CD1"/>
    <w:rsid w:val="000B7D0A"/>
    <w:rsid w:val="000B7DD5"/>
    <w:rsid w:val="000B7E48"/>
    <w:rsid w:val="000B7E69"/>
    <w:rsid w:val="000B7E9A"/>
    <w:rsid w:val="000B7F26"/>
    <w:rsid w:val="000B88C2"/>
    <w:rsid w:val="000C00AD"/>
    <w:rsid w:val="000C0130"/>
    <w:rsid w:val="000C0197"/>
    <w:rsid w:val="000C022C"/>
    <w:rsid w:val="000C028F"/>
    <w:rsid w:val="000C045C"/>
    <w:rsid w:val="000C04E8"/>
    <w:rsid w:val="000C060F"/>
    <w:rsid w:val="000C068B"/>
    <w:rsid w:val="000C06B7"/>
    <w:rsid w:val="000C06EB"/>
    <w:rsid w:val="000C0712"/>
    <w:rsid w:val="000C08FE"/>
    <w:rsid w:val="000C090B"/>
    <w:rsid w:val="000C0A23"/>
    <w:rsid w:val="000C0A34"/>
    <w:rsid w:val="000C0A4E"/>
    <w:rsid w:val="000C0A7C"/>
    <w:rsid w:val="000C0AFE"/>
    <w:rsid w:val="000C0B34"/>
    <w:rsid w:val="000C0B62"/>
    <w:rsid w:val="000C0B9F"/>
    <w:rsid w:val="000C0BAC"/>
    <w:rsid w:val="000C0C7D"/>
    <w:rsid w:val="000C0DB6"/>
    <w:rsid w:val="000C0DEA"/>
    <w:rsid w:val="000C0EE3"/>
    <w:rsid w:val="000C103B"/>
    <w:rsid w:val="000C107A"/>
    <w:rsid w:val="000C10AA"/>
    <w:rsid w:val="000C10ED"/>
    <w:rsid w:val="000C13AE"/>
    <w:rsid w:val="000C149D"/>
    <w:rsid w:val="000C16F9"/>
    <w:rsid w:val="000C1727"/>
    <w:rsid w:val="000C18E0"/>
    <w:rsid w:val="000C18EB"/>
    <w:rsid w:val="000C190A"/>
    <w:rsid w:val="000C1949"/>
    <w:rsid w:val="000C1A1D"/>
    <w:rsid w:val="000C1A7A"/>
    <w:rsid w:val="000C1AC8"/>
    <w:rsid w:val="000C1ACA"/>
    <w:rsid w:val="000C1AE1"/>
    <w:rsid w:val="000C1B1B"/>
    <w:rsid w:val="000C1B75"/>
    <w:rsid w:val="000C1CBA"/>
    <w:rsid w:val="000C1D11"/>
    <w:rsid w:val="000C1D64"/>
    <w:rsid w:val="000C1E9C"/>
    <w:rsid w:val="000C1F09"/>
    <w:rsid w:val="000C1F16"/>
    <w:rsid w:val="000C1F61"/>
    <w:rsid w:val="000C1FA4"/>
    <w:rsid w:val="000C1FAB"/>
    <w:rsid w:val="000C1FB7"/>
    <w:rsid w:val="000C21B7"/>
    <w:rsid w:val="000C2307"/>
    <w:rsid w:val="000C239A"/>
    <w:rsid w:val="000C2400"/>
    <w:rsid w:val="000C24CF"/>
    <w:rsid w:val="000C2624"/>
    <w:rsid w:val="000C2641"/>
    <w:rsid w:val="000C26A5"/>
    <w:rsid w:val="000C26E8"/>
    <w:rsid w:val="000C2705"/>
    <w:rsid w:val="000C2738"/>
    <w:rsid w:val="000C274C"/>
    <w:rsid w:val="000C285B"/>
    <w:rsid w:val="000C28D1"/>
    <w:rsid w:val="000C2923"/>
    <w:rsid w:val="000C297A"/>
    <w:rsid w:val="000C2996"/>
    <w:rsid w:val="000C2B4E"/>
    <w:rsid w:val="000C2B97"/>
    <w:rsid w:val="000C2B98"/>
    <w:rsid w:val="000C2BE4"/>
    <w:rsid w:val="000C2C4B"/>
    <w:rsid w:val="000C2D64"/>
    <w:rsid w:val="000C2E0F"/>
    <w:rsid w:val="000C2FD8"/>
    <w:rsid w:val="000C3025"/>
    <w:rsid w:val="000C31AF"/>
    <w:rsid w:val="000C32B5"/>
    <w:rsid w:val="000C32C7"/>
    <w:rsid w:val="000C339D"/>
    <w:rsid w:val="000C3463"/>
    <w:rsid w:val="000C3491"/>
    <w:rsid w:val="000C3494"/>
    <w:rsid w:val="000C34CE"/>
    <w:rsid w:val="000C35B7"/>
    <w:rsid w:val="000C35CC"/>
    <w:rsid w:val="000C364E"/>
    <w:rsid w:val="000C3652"/>
    <w:rsid w:val="000C3691"/>
    <w:rsid w:val="000C36C8"/>
    <w:rsid w:val="000C36D6"/>
    <w:rsid w:val="000C36D8"/>
    <w:rsid w:val="000C3737"/>
    <w:rsid w:val="000C3784"/>
    <w:rsid w:val="000C37FB"/>
    <w:rsid w:val="000C3886"/>
    <w:rsid w:val="000C388C"/>
    <w:rsid w:val="000C3A1F"/>
    <w:rsid w:val="000C3A78"/>
    <w:rsid w:val="000C3AD4"/>
    <w:rsid w:val="000C3B0A"/>
    <w:rsid w:val="000C4008"/>
    <w:rsid w:val="000C4034"/>
    <w:rsid w:val="000C4098"/>
    <w:rsid w:val="000C40A6"/>
    <w:rsid w:val="000C40BC"/>
    <w:rsid w:val="000C416A"/>
    <w:rsid w:val="000C41CD"/>
    <w:rsid w:val="000C41DE"/>
    <w:rsid w:val="000C421A"/>
    <w:rsid w:val="000C42A3"/>
    <w:rsid w:val="000C42F1"/>
    <w:rsid w:val="000C4354"/>
    <w:rsid w:val="000C43B5"/>
    <w:rsid w:val="000C442F"/>
    <w:rsid w:val="000C473B"/>
    <w:rsid w:val="000C4765"/>
    <w:rsid w:val="000C4882"/>
    <w:rsid w:val="000C489D"/>
    <w:rsid w:val="000C4921"/>
    <w:rsid w:val="000C4A1A"/>
    <w:rsid w:val="000C4B2C"/>
    <w:rsid w:val="000C4BA7"/>
    <w:rsid w:val="000C4C31"/>
    <w:rsid w:val="000C4C3E"/>
    <w:rsid w:val="000C4D7D"/>
    <w:rsid w:val="000C4DBB"/>
    <w:rsid w:val="000C4DCC"/>
    <w:rsid w:val="000C4DDA"/>
    <w:rsid w:val="000C4DF0"/>
    <w:rsid w:val="000C4E26"/>
    <w:rsid w:val="000C4F8E"/>
    <w:rsid w:val="000C50FF"/>
    <w:rsid w:val="000C511D"/>
    <w:rsid w:val="000C51CE"/>
    <w:rsid w:val="000C525C"/>
    <w:rsid w:val="000C54A9"/>
    <w:rsid w:val="000C5508"/>
    <w:rsid w:val="000C5518"/>
    <w:rsid w:val="000C561A"/>
    <w:rsid w:val="000C5660"/>
    <w:rsid w:val="000C569A"/>
    <w:rsid w:val="000C56CB"/>
    <w:rsid w:val="000C56E3"/>
    <w:rsid w:val="000C5866"/>
    <w:rsid w:val="000C598C"/>
    <w:rsid w:val="000C5AD1"/>
    <w:rsid w:val="000C5B65"/>
    <w:rsid w:val="000C5C77"/>
    <w:rsid w:val="000C5DE4"/>
    <w:rsid w:val="000C5EFC"/>
    <w:rsid w:val="000C5F80"/>
    <w:rsid w:val="000C6002"/>
    <w:rsid w:val="000C60A6"/>
    <w:rsid w:val="000C62BA"/>
    <w:rsid w:val="000C62FF"/>
    <w:rsid w:val="000C639A"/>
    <w:rsid w:val="000C63E0"/>
    <w:rsid w:val="000C646C"/>
    <w:rsid w:val="000C64EA"/>
    <w:rsid w:val="000C6691"/>
    <w:rsid w:val="000C6776"/>
    <w:rsid w:val="000C6781"/>
    <w:rsid w:val="000C6812"/>
    <w:rsid w:val="000C6890"/>
    <w:rsid w:val="000C68C0"/>
    <w:rsid w:val="000C6904"/>
    <w:rsid w:val="000C690A"/>
    <w:rsid w:val="000C6910"/>
    <w:rsid w:val="000C6969"/>
    <w:rsid w:val="000C69F1"/>
    <w:rsid w:val="000C6B28"/>
    <w:rsid w:val="000C6BE6"/>
    <w:rsid w:val="000C6C73"/>
    <w:rsid w:val="000C6D49"/>
    <w:rsid w:val="000C6D68"/>
    <w:rsid w:val="000C6D7D"/>
    <w:rsid w:val="000C6DA1"/>
    <w:rsid w:val="000C6DA2"/>
    <w:rsid w:val="000C6DBC"/>
    <w:rsid w:val="000C6DF7"/>
    <w:rsid w:val="000C7001"/>
    <w:rsid w:val="000C706B"/>
    <w:rsid w:val="000C70D5"/>
    <w:rsid w:val="000C70E2"/>
    <w:rsid w:val="000C70FE"/>
    <w:rsid w:val="000C7198"/>
    <w:rsid w:val="000C723F"/>
    <w:rsid w:val="000C72DB"/>
    <w:rsid w:val="000C74FD"/>
    <w:rsid w:val="000C7560"/>
    <w:rsid w:val="000C76F3"/>
    <w:rsid w:val="000C7853"/>
    <w:rsid w:val="000C786B"/>
    <w:rsid w:val="000C788C"/>
    <w:rsid w:val="000C7A11"/>
    <w:rsid w:val="000C7AAC"/>
    <w:rsid w:val="000C7B47"/>
    <w:rsid w:val="000C7B74"/>
    <w:rsid w:val="000C7B9E"/>
    <w:rsid w:val="000C7C33"/>
    <w:rsid w:val="000C7C49"/>
    <w:rsid w:val="000C7C60"/>
    <w:rsid w:val="000C7CCA"/>
    <w:rsid w:val="000C7CE2"/>
    <w:rsid w:val="000C7D46"/>
    <w:rsid w:val="000C7FDA"/>
    <w:rsid w:val="000C7FEA"/>
    <w:rsid w:val="000D0273"/>
    <w:rsid w:val="000D0315"/>
    <w:rsid w:val="000D0325"/>
    <w:rsid w:val="000D039A"/>
    <w:rsid w:val="000D03D2"/>
    <w:rsid w:val="000D03D5"/>
    <w:rsid w:val="000D03E2"/>
    <w:rsid w:val="000D03F5"/>
    <w:rsid w:val="000D047E"/>
    <w:rsid w:val="000D0648"/>
    <w:rsid w:val="000D06D4"/>
    <w:rsid w:val="000D070F"/>
    <w:rsid w:val="000D07BA"/>
    <w:rsid w:val="000D07D4"/>
    <w:rsid w:val="000D07E2"/>
    <w:rsid w:val="000D07F3"/>
    <w:rsid w:val="000D07F5"/>
    <w:rsid w:val="000D08DC"/>
    <w:rsid w:val="000D09C2"/>
    <w:rsid w:val="000D0A23"/>
    <w:rsid w:val="000D0A31"/>
    <w:rsid w:val="000D0A3D"/>
    <w:rsid w:val="000D0B45"/>
    <w:rsid w:val="000D0B8D"/>
    <w:rsid w:val="000D0B96"/>
    <w:rsid w:val="000D0BAB"/>
    <w:rsid w:val="000D0C6C"/>
    <w:rsid w:val="000D0D02"/>
    <w:rsid w:val="000D0D58"/>
    <w:rsid w:val="000D0D7A"/>
    <w:rsid w:val="000D0E43"/>
    <w:rsid w:val="000D0EFA"/>
    <w:rsid w:val="000D10C9"/>
    <w:rsid w:val="000D10FE"/>
    <w:rsid w:val="000D1189"/>
    <w:rsid w:val="000D11E2"/>
    <w:rsid w:val="000D1236"/>
    <w:rsid w:val="000D1285"/>
    <w:rsid w:val="000D12CC"/>
    <w:rsid w:val="000D1377"/>
    <w:rsid w:val="000D149E"/>
    <w:rsid w:val="000D14E9"/>
    <w:rsid w:val="000D14F3"/>
    <w:rsid w:val="000D1566"/>
    <w:rsid w:val="000D15F1"/>
    <w:rsid w:val="000D160B"/>
    <w:rsid w:val="000D166F"/>
    <w:rsid w:val="000D177F"/>
    <w:rsid w:val="000D1806"/>
    <w:rsid w:val="000D1A7C"/>
    <w:rsid w:val="000D1B05"/>
    <w:rsid w:val="000D1B9F"/>
    <w:rsid w:val="000D1C33"/>
    <w:rsid w:val="000D1D4F"/>
    <w:rsid w:val="000D1D82"/>
    <w:rsid w:val="000D1E64"/>
    <w:rsid w:val="000D1E6F"/>
    <w:rsid w:val="000D1F31"/>
    <w:rsid w:val="000D1F7A"/>
    <w:rsid w:val="000D1F7E"/>
    <w:rsid w:val="000D219D"/>
    <w:rsid w:val="000D2343"/>
    <w:rsid w:val="000D23A2"/>
    <w:rsid w:val="000D2432"/>
    <w:rsid w:val="000D2488"/>
    <w:rsid w:val="000D24AF"/>
    <w:rsid w:val="000D2546"/>
    <w:rsid w:val="000D256B"/>
    <w:rsid w:val="000D25B0"/>
    <w:rsid w:val="000D271C"/>
    <w:rsid w:val="000D27B7"/>
    <w:rsid w:val="000D27BA"/>
    <w:rsid w:val="000D2861"/>
    <w:rsid w:val="000D286C"/>
    <w:rsid w:val="000D2877"/>
    <w:rsid w:val="000D292D"/>
    <w:rsid w:val="000D2A74"/>
    <w:rsid w:val="000D2AEB"/>
    <w:rsid w:val="000D2B17"/>
    <w:rsid w:val="000D2B84"/>
    <w:rsid w:val="000D2BCB"/>
    <w:rsid w:val="000D2BDA"/>
    <w:rsid w:val="000D2BEB"/>
    <w:rsid w:val="000D2DF0"/>
    <w:rsid w:val="000D2E77"/>
    <w:rsid w:val="000D2E82"/>
    <w:rsid w:val="000D2EB2"/>
    <w:rsid w:val="000D2EE9"/>
    <w:rsid w:val="000D2F68"/>
    <w:rsid w:val="000D30FC"/>
    <w:rsid w:val="000D314E"/>
    <w:rsid w:val="000D318B"/>
    <w:rsid w:val="000D31FE"/>
    <w:rsid w:val="000D31FF"/>
    <w:rsid w:val="000D3220"/>
    <w:rsid w:val="000D3289"/>
    <w:rsid w:val="000D3321"/>
    <w:rsid w:val="000D3451"/>
    <w:rsid w:val="000D3536"/>
    <w:rsid w:val="000D3577"/>
    <w:rsid w:val="000D35BD"/>
    <w:rsid w:val="000D360B"/>
    <w:rsid w:val="000D3644"/>
    <w:rsid w:val="000D3687"/>
    <w:rsid w:val="000D37EC"/>
    <w:rsid w:val="000D38AD"/>
    <w:rsid w:val="000D38DF"/>
    <w:rsid w:val="000D3A30"/>
    <w:rsid w:val="000D3C19"/>
    <w:rsid w:val="000D3CF3"/>
    <w:rsid w:val="000D3EEB"/>
    <w:rsid w:val="000D3FCE"/>
    <w:rsid w:val="000D404B"/>
    <w:rsid w:val="000D4220"/>
    <w:rsid w:val="000D42CE"/>
    <w:rsid w:val="000D4467"/>
    <w:rsid w:val="000D44AD"/>
    <w:rsid w:val="000D458F"/>
    <w:rsid w:val="000D45B8"/>
    <w:rsid w:val="000D45BB"/>
    <w:rsid w:val="000D462B"/>
    <w:rsid w:val="000D467F"/>
    <w:rsid w:val="000D469C"/>
    <w:rsid w:val="000D46D5"/>
    <w:rsid w:val="000D47AA"/>
    <w:rsid w:val="000D489A"/>
    <w:rsid w:val="000D48E3"/>
    <w:rsid w:val="000D49F0"/>
    <w:rsid w:val="000D49FB"/>
    <w:rsid w:val="000D4A12"/>
    <w:rsid w:val="000D4A14"/>
    <w:rsid w:val="000D4C7A"/>
    <w:rsid w:val="000D4D3B"/>
    <w:rsid w:val="000D4EB1"/>
    <w:rsid w:val="000D4F0B"/>
    <w:rsid w:val="000D4FE3"/>
    <w:rsid w:val="000D5007"/>
    <w:rsid w:val="000D50D6"/>
    <w:rsid w:val="000D510D"/>
    <w:rsid w:val="000D5113"/>
    <w:rsid w:val="000D51CF"/>
    <w:rsid w:val="000D523C"/>
    <w:rsid w:val="000D52A5"/>
    <w:rsid w:val="000D52EF"/>
    <w:rsid w:val="000D54CD"/>
    <w:rsid w:val="000D551E"/>
    <w:rsid w:val="000D5618"/>
    <w:rsid w:val="000D5684"/>
    <w:rsid w:val="000D56CC"/>
    <w:rsid w:val="000D573B"/>
    <w:rsid w:val="000D574C"/>
    <w:rsid w:val="000D5783"/>
    <w:rsid w:val="000D57E8"/>
    <w:rsid w:val="000D584A"/>
    <w:rsid w:val="000D584E"/>
    <w:rsid w:val="000D594D"/>
    <w:rsid w:val="000D59B8"/>
    <w:rsid w:val="000D5A02"/>
    <w:rsid w:val="000D5A15"/>
    <w:rsid w:val="000D5A2C"/>
    <w:rsid w:val="000D5AB4"/>
    <w:rsid w:val="000D5AD3"/>
    <w:rsid w:val="000D5B3A"/>
    <w:rsid w:val="000D5B82"/>
    <w:rsid w:val="000D5B95"/>
    <w:rsid w:val="000D5BA3"/>
    <w:rsid w:val="000D5C39"/>
    <w:rsid w:val="000D5D1F"/>
    <w:rsid w:val="000D5E01"/>
    <w:rsid w:val="000D5E26"/>
    <w:rsid w:val="000D5E84"/>
    <w:rsid w:val="000D5EDD"/>
    <w:rsid w:val="000D6019"/>
    <w:rsid w:val="000D611C"/>
    <w:rsid w:val="000D62F1"/>
    <w:rsid w:val="000D6332"/>
    <w:rsid w:val="000D6358"/>
    <w:rsid w:val="000D64E6"/>
    <w:rsid w:val="000D65C4"/>
    <w:rsid w:val="000D65F4"/>
    <w:rsid w:val="000D67C4"/>
    <w:rsid w:val="000D6896"/>
    <w:rsid w:val="000D68CD"/>
    <w:rsid w:val="000D6A70"/>
    <w:rsid w:val="000D6AB5"/>
    <w:rsid w:val="000D6AD9"/>
    <w:rsid w:val="000D6B9C"/>
    <w:rsid w:val="000D6BE1"/>
    <w:rsid w:val="000D7072"/>
    <w:rsid w:val="000D7162"/>
    <w:rsid w:val="000D71B4"/>
    <w:rsid w:val="000D71B5"/>
    <w:rsid w:val="000D7269"/>
    <w:rsid w:val="000D72CC"/>
    <w:rsid w:val="000D73A6"/>
    <w:rsid w:val="000D7438"/>
    <w:rsid w:val="000D7482"/>
    <w:rsid w:val="000D75B5"/>
    <w:rsid w:val="000D7678"/>
    <w:rsid w:val="000D771E"/>
    <w:rsid w:val="000D777D"/>
    <w:rsid w:val="000D78A5"/>
    <w:rsid w:val="000D78BD"/>
    <w:rsid w:val="000D7956"/>
    <w:rsid w:val="000D7ACE"/>
    <w:rsid w:val="000D7B09"/>
    <w:rsid w:val="000D7B41"/>
    <w:rsid w:val="000D7BB7"/>
    <w:rsid w:val="000D7BE5"/>
    <w:rsid w:val="000D7C09"/>
    <w:rsid w:val="000D7C32"/>
    <w:rsid w:val="000D7CF5"/>
    <w:rsid w:val="000D7D8B"/>
    <w:rsid w:val="000D7F92"/>
    <w:rsid w:val="000E001E"/>
    <w:rsid w:val="000E0154"/>
    <w:rsid w:val="000E018D"/>
    <w:rsid w:val="000E01A6"/>
    <w:rsid w:val="000E01C8"/>
    <w:rsid w:val="000E0372"/>
    <w:rsid w:val="000E0408"/>
    <w:rsid w:val="000E042B"/>
    <w:rsid w:val="000E0468"/>
    <w:rsid w:val="000E0599"/>
    <w:rsid w:val="000E059A"/>
    <w:rsid w:val="000E05C0"/>
    <w:rsid w:val="000E05E8"/>
    <w:rsid w:val="000E0639"/>
    <w:rsid w:val="000E07D6"/>
    <w:rsid w:val="000E080B"/>
    <w:rsid w:val="000E090B"/>
    <w:rsid w:val="000E091C"/>
    <w:rsid w:val="000E0943"/>
    <w:rsid w:val="000E0BCB"/>
    <w:rsid w:val="000E0C51"/>
    <w:rsid w:val="000E0D72"/>
    <w:rsid w:val="000E0F8E"/>
    <w:rsid w:val="000E0FB0"/>
    <w:rsid w:val="000E10CC"/>
    <w:rsid w:val="000E130E"/>
    <w:rsid w:val="000E1422"/>
    <w:rsid w:val="000E1493"/>
    <w:rsid w:val="000E1495"/>
    <w:rsid w:val="000E1581"/>
    <w:rsid w:val="000E1680"/>
    <w:rsid w:val="000E1818"/>
    <w:rsid w:val="000E1848"/>
    <w:rsid w:val="000E194E"/>
    <w:rsid w:val="000E19E0"/>
    <w:rsid w:val="000E1CC4"/>
    <w:rsid w:val="000E1D26"/>
    <w:rsid w:val="000E1EA2"/>
    <w:rsid w:val="000E2089"/>
    <w:rsid w:val="000E21F1"/>
    <w:rsid w:val="000E242C"/>
    <w:rsid w:val="000E243A"/>
    <w:rsid w:val="000E246D"/>
    <w:rsid w:val="000E2489"/>
    <w:rsid w:val="000E2508"/>
    <w:rsid w:val="000E2564"/>
    <w:rsid w:val="000E256F"/>
    <w:rsid w:val="000E25D1"/>
    <w:rsid w:val="000E267A"/>
    <w:rsid w:val="000E26D4"/>
    <w:rsid w:val="000E26EC"/>
    <w:rsid w:val="000E2848"/>
    <w:rsid w:val="000E293D"/>
    <w:rsid w:val="000E2978"/>
    <w:rsid w:val="000E29D8"/>
    <w:rsid w:val="000E2B18"/>
    <w:rsid w:val="000E2C72"/>
    <w:rsid w:val="000E2CFE"/>
    <w:rsid w:val="000E2D7D"/>
    <w:rsid w:val="000E2DA8"/>
    <w:rsid w:val="000E2EE0"/>
    <w:rsid w:val="000E2F16"/>
    <w:rsid w:val="000E3008"/>
    <w:rsid w:val="000E31A4"/>
    <w:rsid w:val="000E3372"/>
    <w:rsid w:val="000E3440"/>
    <w:rsid w:val="000E36EA"/>
    <w:rsid w:val="000E3715"/>
    <w:rsid w:val="000E3780"/>
    <w:rsid w:val="000E389B"/>
    <w:rsid w:val="000E3904"/>
    <w:rsid w:val="000E3C52"/>
    <w:rsid w:val="000E3C83"/>
    <w:rsid w:val="000E3D43"/>
    <w:rsid w:val="000E4073"/>
    <w:rsid w:val="000E41AD"/>
    <w:rsid w:val="000E4230"/>
    <w:rsid w:val="000E42CC"/>
    <w:rsid w:val="000E4455"/>
    <w:rsid w:val="000E445A"/>
    <w:rsid w:val="000E4474"/>
    <w:rsid w:val="000E455A"/>
    <w:rsid w:val="000E4722"/>
    <w:rsid w:val="000E476B"/>
    <w:rsid w:val="000E477B"/>
    <w:rsid w:val="000E4815"/>
    <w:rsid w:val="000E487A"/>
    <w:rsid w:val="000E495C"/>
    <w:rsid w:val="000E49F4"/>
    <w:rsid w:val="000E4A04"/>
    <w:rsid w:val="000E4BBA"/>
    <w:rsid w:val="000E4BDA"/>
    <w:rsid w:val="000E4CAC"/>
    <w:rsid w:val="000E4CD4"/>
    <w:rsid w:val="000E4D06"/>
    <w:rsid w:val="000E4E49"/>
    <w:rsid w:val="000E4EA7"/>
    <w:rsid w:val="000E4EEE"/>
    <w:rsid w:val="000E4F52"/>
    <w:rsid w:val="000E4FBB"/>
    <w:rsid w:val="000E501A"/>
    <w:rsid w:val="000E5119"/>
    <w:rsid w:val="000E5138"/>
    <w:rsid w:val="000E522B"/>
    <w:rsid w:val="000E5361"/>
    <w:rsid w:val="000E5376"/>
    <w:rsid w:val="000E53DC"/>
    <w:rsid w:val="000E53FD"/>
    <w:rsid w:val="000E5543"/>
    <w:rsid w:val="000E5547"/>
    <w:rsid w:val="000E559B"/>
    <w:rsid w:val="000E55DD"/>
    <w:rsid w:val="000E569F"/>
    <w:rsid w:val="000E56FF"/>
    <w:rsid w:val="000E58E6"/>
    <w:rsid w:val="000E5A91"/>
    <w:rsid w:val="000E5B47"/>
    <w:rsid w:val="000E5D38"/>
    <w:rsid w:val="000E5ECE"/>
    <w:rsid w:val="000E5F8E"/>
    <w:rsid w:val="000E5FBF"/>
    <w:rsid w:val="000E60F0"/>
    <w:rsid w:val="000E6173"/>
    <w:rsid w:val="000E633F"/>
    <w:rsid w:val="000E66A0"/>
    <w:rsid w:val="000E6743"/>
    <w:rsid w:val="000E6800"/>
    <w:rsid w:val="000E6866"/>
    <w:rsid w:val="000E6A10"/>
    <w:rsid w:val="000E6A1C"/>
    <w:rsid w:val="000E6A72"/>
    <w:rsid w:val="000E6AAA"/>
    <w:rsid w:val="000E6BEB"/>
    <w:rsid w:val="000E6C6D"/>
    <w:rsid w:val="000E6D38"/>
    <w:rsid w:val="000E6D50"/>
    <w:rsid w:val="000E6D79"/>
    <w:rsid w:val="000E6DB4"/>
    <w:rsid w:val="000E6ED0"/>
    <w:rsid w:val="000E6F0E"/>
    <w:rsid w:val="000E7017"/>
    <w:rsid w:val="000E7092"/>
    <w:rsid w:val="000E70CE"/>
    <w:rsid w:val="000E711A"/>
    <w:rsid w:val="000E73C9"/>
    <w:rsid w:val="000E73DA"/>
    <w:rsid w:val="000E7458"/>
    <w:rsid w:val="000E7511"/>
    <w:rsid w:val="000E755F"/>
    <w:rsid w:val="000E75E9"/>
    <w:rsid w:val="000E7619"/>
    <w:rsid w:val="000E76B7"/>
    <w:rsid w:val="000E77D9"/>
    <w:rsid w:val="000E780D"/>
    <w:rsid w:val="000E7948"/>
    <w:rsid w:val="000E79E8"/>
    <w:rsid w:val="000E7A4B"/>
    <w:rsid w:val="000E7AB0"/>
    <w:rsid w:val="000E7AF0"/>
    <w:rsid w:val="000E7C0C"/>
    <w:rsid w:val="000E7D68"/>
    <w:rsid w:val="000E7E67"/>
    <w:rsid w:val="000E7E93"/>
    <w:rsid w:val="000E7EDB"/>
    <w:rsid w:val="000E7F87"/>
    <w:rsid w:val="000F00CB"/>
    <w:rsid w:val="000F0118"/>
    <w:rsid w:val="000F012E"/>
    <w:rsid w:val="000F017A"/>
    <w:rsid w:val="000F0372"/>
    <w:rsid w:val="000F0599"/>
    <w:rsid w:val="000F05F3"/>
    <w:rsid w:val="000F061C"/>
    <w:rsid w:val="000F061F"/>
    <w:rsid w:val="000F06CC"/>
    <w:rsid w:val="000F06F7"/>
    <w:rsid w:val="000F07B2"/>
    <w:rsid w:val="000F07CA"/>
    <w:rsid w:val="000F0828"/>
    <w:rsid w:val="000F0851"/>
    <w:rsid w:val="000F0884"/>
    <w:rsid w:val="000F08CD"/>
    <w:rsid w:val="000F0960"/>
    <w:rsid w:val="000F09AE"/>
    <w:rsid w:val="000F0C98"/>
    <w:rsid w:val="000F0CAB"/>
    <w:rsid w:val="000F0E2B"/>
    <w:rsid w:val="000F0F82"/>
    <w:rsid w:val="000F0FC6"/>
    <w:rsid w:val="000F1320"/>
    <w:rsid w:val="000F1388"/>
    <w:rsid w:val="000F1450"/>
    <w:rsid w:val="000F145E"/>
    <w:rsid w:val="000F1539"/>
    <w:rsid w:val="000F15A8"/>
    <w:rsid w:val="000F1636"/>
    <w:rsid w:val="000F163C"/>
    <w:rsid w:val="000F163D"/>
    <w:rsid w:val="000F1643"/>
    <w:rsid w:val="000F1699"/>
    <w:rsid w:val="000F16D1"/>
    <w:rsid w:val="000F1731"/>
    <w:rsid w:val="000F1954"/>
    <w:rsid w:val="000F1A04"/>
    <w:rsid w:val="000F1B31"/>
    <w:rsid w:val="000F1D8F"/>
    <w:rsid w:val="000F1DB6"/>
    <w:rsid w:val="000F1DE9"/>
    <w:rsid w:val="000F1EBB"/>
    <w:rsid w:val="000F2059"/>
    <w:rsid w:val="000F20D2"/>
    <w:rsid w:val="000F214E"/>
    <w:rsid w:val="000F22CE"/>
    <w:rsid w:val="000F239D"/>
    <w:rsid w:val="000F2529"/>
    <w:rsid w:val="000F2699"/>
    <w:rsid w:val="000F26FD"/>
    <w:rsid w:val="000F2728"/>
    <w:rsid w:val="000F2781"/>
    <w:rsid w:val="000F28DE"/>
    <w:rsid w:val="000F2918"/>
    <w:rsid w:val="000F2961"/>
    <w:rsid w:val="000F29CA"/>
    <w:rsid w:val="000F2A73"/>
    <w:rsid w:val="000F2A8F"/>
    <w:rsid w:val="000F2AD6"/>
    <w:rsid w:val="000F2BDD"/>
    <w:rsid w:val="000F2BE1"/>
    <w:rsid w:val="000F2C0F"/>
    <w:rsid w:val="000F2C11"/>
    <w:rsid w:val="000F2C47"/>
    <w:rsid w:val="000F2C94"/>
    <w:rsid w:val="000F2D4E"/>
    <w:rsid w:val="000F2DB0"/>
    <w:rsid w:val="000F2E21"/>
    <w:rsid w:val="000F2F38"/>
    <w:rsid w:val="000F2F7C"/>
    <w:rsid w:val="000F2FD0"/>
    <w:rsid w:val="000F30EC"/>
    <w:rsid w:val="000F31E9"/>
    <w:rsid w:val="000F325A"/>
    <w:rsid w:val="000F32EB"/>
    <w:rsid w:val="000F341C"/>
    <w:rsid w:val="000F345F"/>
    <w:rsid w:val="000F34E4"/>
    <w:rsid w:val="000F3550"/>
    <w:rsid w:val="000F3748"/>
    <w:rsid w:val="000F37C8"/>
    <w:rsid w:val="000F38DF"/>
    <w:rsid w:val="000F3914"/>
    <w:rsid w:val="000F3920"/>
    <w:rsid w:val="000F3928"/>
    <w:rsid w:val="000F399B"/>
    <w:rsid w:val="000F39C0"/>
    <w:rsid w:val="000F3A4C"/>
    <w:rsid w:val="000F3B00"/>
    <w:rsid w:val="000F3B2D"/>
    <w:rsid w:val="000F3BCB"/>
    <w:rsid w:val="000F3C82"/>
    <w:rsid w:val="000F3D12"/>
    <w:rsid w:val="000F3DBA"/>
    <w:rsid w:val="000F3DC5"/>
    <w:rsid w:val="000F3DCA"/>
    <w:rsid w:val="000F3FD2"/>
    <w:rsid w:val="000F4047"/>
    <w:rsid w:val="000F4096"/>
    <w:rsid w:val="000F40DA"/>
    <w:rsid w:val="000F4190"/>
    <w:rsid w:val="000F423E"/>
    <w:rsid w:val="000F4272"/>
    <w:rsid w:val="000F428A"/>
    <w:rsid w:val="000F42F5"/>
    <w:rsid w:val="000F44AB"/>
    <w:rsid w:val="000F45E2"/>
    <w:rsid w:val="000F466C"/>
    <w:rsid w:val="000F46DF"/>
    <w:rsid w:val="000F47F9"/>
    <w:rsid w:val="000F483B"/>
    <w:rsid w:val="000F4976"/>
    <w:rsid w:val="000F49C2"/>
    <w:rsid w:val="000F4AA0"/>
    <w:rsid w:val="000F4B18"/>
    <w:rsid w:val="000F4C0F"/>
    <w:rsid w:val="000F4CFC"/>
    <w:rsid w:val="000F4D41"/>
    <w:rsid w:val="000F4D79"/>
    <w:rsid w:val="000F4E41"/>
    <w:rsid w:val="000F4EDE"/>
    <w:rsid w:val="000F5015"/>
    <w:rsid w:val="000F509D"/>
    <w:rsid w:val="000F51C1"/>
    <w:rsid w:val="000F528A"/>
    <w:rsid w:val="000F5306"/>
    <w:rsid w:val="000F5311"/>
    <w:rsid w:val="000F53C8"/>
    <w:rsid w:val="000F558E"/>
    <w:rsid w:val="000F5659"/>
    <w:rsid w:val="000F57B5"/>
    <w:rsid w:val="000F5839"/>
    <w:rsid w:val="000F589A"/>
    <w:rsid w:val="000F58B0"/>
    <w:rsid w:val="000F5A52"/>
    <w:rsid w:val="000F5C63"/>
    <w:rsid w:val="000F5D88"/>
    <w:rsid w:val="000F5E3D"/>
    <w:rsid w:val="000F5EF8"/>
    <w:rsid w:val="000F5F01"/>
    <w:rsid w:val="000F5F92"/>
    <w:rsid w:val="000F6058"/>
    <w:rsid w:val="000F6106"/>
    <w:rsid w:val="000F614E"/>
    <w:rsid w:val="000F6199"/>
    <w:rsid w:val="000F63ED"/>
    <w:rsid w:val="000F6571"/>
    <w:rsid w:val="000F659C"/>
    <w:rsid w:val="000F6665"/>
    <w:rsid w:val="000F6714"/>
    <w:rsid w:val="000F6750"/>
    <w:rsid w:val="000F675E"/>
    <w:rsid w:val="000F680D"/>
    <w:rsid w:val="000F6960"/>
    <w:rsid w:val="000F69F7"/>
    <w:rsid w:val="000F6AAD"/>
    <w:rsid w:val="000F6AF3"/>
    <w:rsid w:val="000F6B11"/>
    <w:rsid w:val="000F6C0D"/>
    <w:rsid w:val="000F6C18"/>
    <w:rsid w:val="000F6D67"/>
    <w:rsid w:val="000F6D6E"/>
    <w:rsid w:val="000F6D7E"/>
    <w:rsid w:val="000F6DFF"/>
    <w:rsid w:val="000F6F12"/>
    <w:rsid w:val="000F7024"/>
    <w:rsid w:val="000F70C0"/>
    <w:rsid w:val="000F70CC"/>
    <w:rsid w:val="000F7144"/>
    <w:rsid w:val="000F72D3"/>
    <w:rsid w:val="000F747D"/>
    <w:rsid w:val="000F7547"/>
    <w:rsid w:val="000F754B"/>
    <w:rsid w:val="000F7633"/>
    <w:rsid w:val="000F775A"/>
    <w:rsid w:val="000F792F"/>
    <w:rsid w:val="000F7948"/>
    <w:rsid w:val="000F7B64"/>
    <w:rsid w:val="000F7BC7"/>
    <w:rsid w:val="000F7CDC"/>
    <w:rsid w:val="000F7D4E"/>
    <w:rsid w:val="000F7DE3"/>
    <w:rsid w:val="000F7FD3"/>
    <w:rsid w:val="001000E5"/>
    <w:rsid w:val="0010013A"/>
    <w:rsid w:val="00100199"/>
    <w:rsid w:val="0010047B"/>
    <w:rsid w:val="001004A0"/>
    <w:rsid w:val="001004A9"/>
    <w:rsid w:val="001004D5"/>
    <w:rsid w:val="001005C5"/>
    <w:rsid w:val="001006D2"/>
    <w:rsid w:val="0010072B"/>
    <w:rsid w:val="00100875"/>
    <w:rsid w:val="00100962"/>
    <w:rsid w:val="00100988"/>
    <w:rsid w:val="00100A3B"/>
    <w:rsid w:val="00100B11"/>
    <w:rsid w:val="00100B5C"/>
    <w:rsid w:val="00100E01"/>
    <w:rsid w:val="00100E23"/>
    <w:rsid w:val="00100F2B"/>
    <w:rsid w:val="00101047"/>
    <w:rsid w:val="0010115B"/>
    <w:rsid w:val="001011B1"/>
    <w:rsid w:val="00101213"/>
    <w:rsid w:val="00101214"/>
    <w:rsid w:val="0010128B"/>
    <w:rsid w:val="00101325"/>
    <w:rsid w:val="001013C0"/>
    <w:rsid w:val="001013E1"/>
    <w:rsid w:val="001015AF"/>
    <w:rsid w:val="001015BD"/>
    <w:rsid w:val="001015C9"/>
    <w:rsid w:val="001015DE"/>
    <w:rsid w:val="00101674"/>
    <w:rsid w:val="0010169F"/>
    <w:rsid w:val="001016CE"/>
    <w:rsid w:val="00101B07"/>
    <w:rsid w:val="00101B50"/>
    <w:rsid w:val="00101BBB"/>
    <w:rsid w:val="00101BFB"/>
    <w:rsid w:val="00101CCA"/>
    <w:rsid w:val="00101CCB"/>
    <w:rsid w:val="00101CD8"/>
    <w:rsid w:val="00101FA1"/>
    <w:rsid w:val="00102030"/>
    <w:rsid w:val="00102087"/>
    <w:rsid w:val="0010209A"/>
    <w:rsid w:val="001020DA"/>
    <w:rsid w:val="00102106"/>
    <w:rsid w:val="00102258"/>
    <w:rsid w:val="00102293"/>
    <w:rsid w:val="00102301"/>
    <w:rsid w:val="001023C8"/>
    <w:rsid w:val="00102484"/>
    <w:rsid w:val="00102630"/>
    <w:rsid w:val="00102697"/>
    <w:rsid w:val="001027D3"/>
    <w:rsid w:val="00102851"/>
    <w:rsid w:val="001029EE"/>
    <w:rsid w:val="00102A17"/>
    <w:rsid w:val="00102A2C"/>
    <w:rsid w:val="00102ADF"/>
    <w:rsid w:val="00102DD3"/>
    <w:rsid w:val="00102F27"/>
    <w:rsid w:val="00102F75"/>
    <w:rsid w:val="0010301A"/>
    <w:rsid w:val="0010304B"/>
    <w:rsid w:val="0010307C"/>
    <w:rsid w:val="001031C4"/>
    <w:rsid w:val="001031F0"/>
    <w:rsid w:val="001033B4"/>
    <w:rsid w:val="00103474"/>
    <w:rsid w:val="001034A7"/>
    <w:rsid w:val="0010357B"/>
    <w:rsid w:val="001035FB"/>
    <w:rsid w:val="001037B2"/>
    <w:rsid w:val="00103851"/>
    <w:rsid w:val="00103A50"/>
    <w:rsid w:val="00103A69"/>
    <w:rsid w:val="00103B30"/>
    <w:rsid w:val="00103C20"/>
    <w:rsid w:val="00103CAC"/>
    <w:rsid w:val="00103D1C"/>
    <w:rsid w:val="00104005"/>
    <w:rsid w:val="00104057"/>
    <w:rsid w:val="001040D0"/>
    <w:rsid w:val="00104188"/>
    <w:rsid w:val="001041C2"/>
    <w:rsid w:val="0010425A"/>
    <w:rsid w:val="00104302"/>
    <w:rsid w:val="001043E6"/>
    <w:rsid w:val="00104674"/>
    <w:rsid w:val="0010473F"/>
    <w:rsid w:val="001047EA"/>
    <w:rsid w:val="0010486C"/>
    <w:rsid w:val="00104871"/>
    <w:rsid w:val="001048DF"/>
    <w:rsid w:val="001048E5"/>
    <w:rsid w:val="00104AEB"/>
    <w:rsid w:val="00104B58"/>
    <w:rsid w:val="00104B59"/>
    <w:rsid w:val="00104BEC"/>
    <w:rsid w:val="00104C86"/>
    <w:rsid w:val="00104CD8"/>
    <w:rsid w:val="00104D02"/>
    <w:rsid w:val="00104D16"/>
    <w:rsid w:val="00104D1B"/>
    <w:rsid w:val="00104F49"/>
    <w:rsid w:val="00105005"/>
    <w:rsid w:val="001050B8"/>
    <w:rsid w:val="001050BB"/>
    <w:rsid w:val="001050DD"/>
    <w:rsid w:val="00105140"/>
    <w:rsid w:val="001051F5"/>
    <w:rsid w:val="0010529D"/>
    <w:rsid w:val="0010530B"/>
    <w:rsid w:val="00105511"/>
    <w:rsid w:val="00105535"/>
    <w:rsid w:val="0010558C"/>
    <w:rsid w:val="0010561D"/>
    <w:rsid w:val="0010566D"/>
    <w:rsid w:val="00105958"/>
    <w:rsid w:val="00105E60"/>
    <w:rsid w:val="00105EC4"/>
    <w:rsid w:val="00105F3B"/>
    <w:rsid w:val="00105F58"/>
    <w:rsid w:val="00106082"/>
    <w:rsid w:val="001060A4"/>
    <w:rsid w:val="00106209"/>
    <w:rsid w:val="00106236"/>
    <w:rsid w:val="001062D5"/>
    <w:rsid w:val="001062E0"/>
    <w:rsid w:val="0010639F"/>
    <w:rsid w:val="0010642C"/>
    <w:rsid w:val="001064DD"/>
    <w:rsid w:val="0010650A"/>
    <w:rsid w:val="001065A2"/>
    <w:rsid w:val="001065D2"/>
    <w:rsid w:val="001065FB"/>
    <w:rsid w:val="0010671F"/>
    <w:rsid w:val="00106728"/>
    <w:rsid w:val="00106907"/>
    <w:rsid w:val="00106AB8"/>
    <w:rsid w:val="00106AE6"/>
    <w:rsid w:val="00106C5E"/>
    <w:rsid w:val="00106D1F"/>
    <w:rsid w:val="00106E57"/>
    <w:rsid w:val="00106F52"/>
    <w:rsid w:val="00106F9A"/>
    <w:rsid w:val="0010708D"/>
    <w:rsid w:val="001071EB"/>
    <w:rsid w:val="0010730E"/>
    <w:rsid w:val="001073B9"/>
    <w:rsid w:val="00107405"/>
    <w:rsid w:val="0010741C"/>
    <w:rsid w:val="001074D3"/>
    <w:rsid w:val="00107510"/>
    <w:rsid w:val="0010752A"/>
    <w:rsid w:val="001075D1"/>
    <w:rsid w:val="0010764C"/>
    <w:rsid w:val="001076A0"/>
    <w:rsid w:val="00107726"/>
    <w:rsid w:val="0010773E"/>
    <w:rsid w:val="00107755"/>
    <w:rsid w:val="0010777B"/>
    <w:rsid w:val="001077EB"/>
    <w:rsid w:val="00107808"/>
    <w:rsid w:val="00107869"/>
    <w:rsid w:val="001078C4"/>
    <w:rsid w:val="00107980"/>
    <w:rsid w:val="00107A02"/>
    <w:rsid w:val="00107C7E"/>
    <w:rsid w:val="00107CC0"/>
    <w:rsid w:val="00107D9B"/>
    <w:rsid w:val="00107E65"/>
    <w:rsid w:val="00107F5D"/>
    <w:rsid w:val="00107FC4"/>
    <w:rsid w:val="001100AD"/>
    <w:rsid w:val="001100B8"/>
    <w:rsid w:val="001100EC"/>
    <w:rsid w:val="00110193"/>
    <w:rsid w:val="001102BA"/>
    <w:rsid w:val="001103E4"/>
    <w:rsid w:val="00110406"/>
    <w:rsid w:val="001104D9"/>
    <w:rsid w:val="00110626"/>
    <w:rsid w:val="001106E2"/>
    <w:rsid w:val="001107DD"/>
    <w:rsid w:val="001107F8"/>
    <w:rsid w:val="00110834"/>
    <w:rsid w:val="001108D6"/>
    <w:rsid w:val="001108FB"/>
    <w:rsid w:val="00110949"/>
    <w:rsid w:val="00110963"/>
    <w:rsid w:val="00110A8C"/>
    <w:rsid w:val="00110AF6"/>
    <w:rsid w:val="00110B90"/>
    <w:rsid w:val="00110BA3"/>
    <w:rsid w:val="00110D4E"/>
    <w:rsid w:val="00110FC0"/>
    <w:rsid w:val="00111013"/>
    <w:rsid w:val="00111226"/>
    <w:rsid w:val="00111267"/>
    <w:rsid w:val="00111275"/>
    <w:rsid w:val="00111353"/>
    <w:rsid w:val="001114F8"/>
    <w:rsid w:val="00111579"/>
    <w:rsid w:val="00111645"/>
    <w:rsid w:val="001117F4"/>
    <w:rsid w:val="00111846"/>
    <w:rsid w:val="00111889"/>
    <w:rsid w:val="00111891"/>
    <w:rsid w:val="00111926"/>
    <w:rsid w:val="00111947"/>
    <w:rsid w:val="001119BD"/>
    <w:rsid w:val="00111AA0"/>
    <w:rsid w:val="00111BC6"/>
    <w:rsid w:val="00111C0E"/>
    <w:rsid w:val="00111CD2"/>
    <w:rsid w:val="00111CD3"/>
    <w:rsid w:val="00111D1C"/>
    <w:rsid w:val="00111D22"/>
    <w:rsid w:val="00111DDE"/>
    <w:rsid w:val="00111DF3"/>
    <w:rsid w:val="00111E2C"/>
    <w:rsid w:val="00111EA0"/>
    <w:rsid w:val="00111EE5"/>
    <w:rsid w:val="00111EF2"/>
    <w:rsid w:val="00112147"/>
    <w:rsid w:val="0011246A"/>
    <w:rsid w:val="00112537"/>
    <w:rsid w:val="00112551"/>
    <w:rsid w:val="0011271A"/>
    <w:rsid w:val="00112741"/>
    <w:rsid w:val="001127CD"/>
    <w:rsid w:val="001129FA"/>
    <w:rsid w:val="00112A0A"/>
    <w:rsid w:val="00112AD1"/>
    <w:rsid w:val="00112C37"/>
    <w:rsid w:val="00112E0E"/>
    <w:rsid w:val="00112E62"/>
    <w:rsid w:val="00112EEA"/>
    <w:rsid w:val="00112F77"/>
    <w:rsid w:val="00112F80"/>
    <w:rsid w:val="00113124"/>
    <w:rsid w:val="001131D0"/>
    <w:rsid w:val="001132C1"/>
    <w:rsid w:val="001132DC"/>
    <w:rsid w:val="00113330"/>
    <w:rsid w:val="00113440"/>
    <w:rsid w:val="00113589"/>
    <w:rsid w:val="001137A2"/>
    <w:rsid w:val="001137F5"/>
    <w:rsid w:val="001138DF"/>
    <w:rsid w:val="001138F5"/>
    <w:rsid w:val="0011392C"/>
    <w:rsid w:val="00113967"/>
    <w:rsid w:val="0011396A"/>
    <w:rsid w:val="001139B9"/>
    <w:rsid w:val="00113B9D"/>
    <w:rsid w:val="00113CD7"/>
    <w:rsid w:val="00113F01"/>
    <w:rsid w:val="00113F1E"/>
    <w:rsid w:val="00113FDB"/>
    <w:rsid w:val="00113FEC"/>
    <w:rsid w:val="001141BF"/>
    <w:rsid w:val="00114263"/>
    <w:rsid w:val="001143A3"/>
    <w:rsid w:val="00114498"/>
    <w:rsid w:val="00114552"/>
    <w:rsid w:val="001145B9"/>
    <w:rsid w:val="001145D0"/>
    <w:rsid w:val="00114651"/>
    <w:rsid w:val="00114794"/>
    <w:rsid w:val="00114923"/>
    <w:rsid w:val="0011496B"/>
    <w:rsid w:val="00114A55"/>
    <w:rsid w:val="00114A90"/>
    <w:rsid w:val="00114B33"/>
    <w:rsid w:val="00114B4C"/>
    <w:rsid w:val="00114BC2"/>
    <w:rsid w:val="00114C2B"/>
    <w:rsid w:val="00114CA4"/>
    <w:rsid w:val="00114CAB"/>
    <w:rsid w:val="00114D8B"/>
    <w:rsid w:val="00114E17"/>
    <w:rsid w:val="00114E18"/>
    <w:rsid w:val="00114F69"/>
    <w:rsid w:val="00115018"/>
    <w:rsid w:val="001150A2"/>
    <w:rsid w:val="001150C2"/>
    <w:rsid w:val="0011529C"/>
    <w:rsid w:val="001152CC"/>
    <w:rsid w:val="001152FA"/>
    <w:rsid w:val="00115369"/>
    <w:rsid w:val="0011536D"/>
    <w:rsid w:val="00115462"/>
    <w:rsid w:val="001154D0"/>
    <w:rsid w:val="001154E8"/>
    <w:rsid w:val="00115896"/>
    <w:rsid w:val="001158B0"/>
    <w:rsid w:val="00115961"/>
    <w:rsid w:val="00115A3D"/>
    <w:rsid w:val="00115A60"/>
    <w:rsid w:val="00115A89"/>
    <w:rsid w:val="00115B5C"/>
    <w:rsid w:val="00115BEA"/>
    <w:rsid w:val="00115D6C"/>
    <w:rsid w:val="00115DC3"/>
    <w:rsid w:val="00115E31"/>
    <w:rsid w:val="00115FA6"/>
    <w:rsid w:val="00115FEE"/>
    <w:rsid w:val="001161A5"/>
    <w:rsid w:val="001161AF"/>
    <w:rsid w:val="001162B4"/>
    <w:rsid w:val="00116495"/>
    <w:rsid w:val="001164BE"/>
    <w:rsid w:val="00116508"/>
    <w:rsid w:val="00116750"/>
    <w:rsid w:val="001167EA"/>
    <w:rsid w:val="0011682A"/>
    <w:rsid w:val="001168ED"/>
    <w:rsid w:val="00116976"/>
    <w:rsid w:val="001169ED"/>
    <w:rsid w:val="00116A2A"/>
    <w:rsid w:val="00116A4F"/>
    <w:rsid w:val="00116A84"/>
    <w:rsid w:val="00116ACE"/>
    <w:rsid w:val="00116DD4"/>
    <w:rsid w:val="00116DE8"/>
    <w:rsid w:val="00116E25"/>
    <w:rsid w:val="00116E76"/>
    <w:rsid w:val="00116E98"/>
    <w:rsid w:val="00116ECE"/>
    <w:rsid w:val="00116ED2"/>
    <w:rsid w:val="00116F0D"/>
    <w:rsid w:val="00116F57"/>
    <w:rsid w:val="00116FAE"/>
    <w:rsid w:val="00117181"/>
    <w:rsid w:val="0011731A"/>
    <w:rsid w:val="00117419"/>
    <w:rsid w:val="00117474"/>
    <w:rsid w:val="00117531"/>
    <w:rsid w:val="00117619"/>
    <w:rsid w:val="00117786"/>
    <w:rsid w:val="00117808"/>
    <w:rsid w:val="00117901"/>
    <w:rsid w:val="00117927"/>
    <w:rsid w:val="00117B0C"/>
    <w:rsid w:val="00117BA7"/>
    <w:rsid w:val="00117CA2"/>
    <w:rsid w:val="00117CB1"/>
    <w:rsid w:val="00117D6D"/>
    <w:rsid w:val="00117EF6"/>
    <w:rsid w:val="00117FF9"/>
    <w:rsid w:val="00120037"/>
    <w:rsid w:val="00120038"/>
    <w:rsid w:val="001200C0"/>
    <w:rsid w:val="00120197"/>
    <w:rsid w:val="00120200"/>
    <w:rsid w:val="0012022A"/>
    <w:rsid w:val="00120231"/>
    <w:rsid w:val="00120278"/>
    <w:rsid w:val="00120299"/>
    <w:rsid w:val="0012044A"/>
    <w:rsid w:val="0012045B"/>
    <w:rsid w:val="001204C2"/>
    <w:rsid w:val="0012054F"/>
    <w:rsid w:val="00120694"/>
    <w:rsid w:val="001206E1"/>
    <w:rsid w:val="001207B3"/>
    <w:rsid w:val="001207FB"/>
    <w:rsid w:val="0012081B"/>
    <w:rsid w:val="0012088A"/>
    <w:rsid w:val="00120A50"/>
    <w:rsid w:val="00120B1A"/>
    <w:rsid w:val="00120B28"/>
    <w:rsid w:val="00120B50"/>
    <w:rsid w:val="00120B85"/>
    <w:rsid w:val="00120BD9"/>
    <w:rsid w:val="00120BFE"/>
    <w:rsid w:val="00120C4B"/>
    <w:rsid w:val="00120C56"/>
    <w:rsid w:val="00120EBA"/>
    <w:rsid w:val="00120F9E"/>
    <w:rsid w:val="00120FA5"/>
    <w:rsid w:val="00120FB3"/>
    <w:rsid w:val="00120FF1"/>
    <w:rsid w:val="00121067"/>
    <w:rsid w:val="0012119F"/>
    <w:rsid w:val="001211AA"/>
    <w:rsid w:val="001212AD"/>
    <w:rsid w:val="001212D5"/>
    <w:rsid w:val="0012134E"/>
    <w:rsid w:val="00121499"/>
    <w:rsid w:val="001215F0"/>
    <w:rsid w:val="0012162C"/>
    <w:rsid w:val="001217A3"/>
    <w:rsid w:val="001217DA"/>
    <w:rsid w:val="00121894"/>
    <w:rsid w:val="001219D4"/>
    <w:rsid w:val="00121BB7"/>
    <w:rsid w:val="00121C04"/>
    <w:rsid w:val="00121C48"/>
    <w:rsid w:val="00121C4A"/>
    <w:rsid w:val="00121CF6"/>
    <w:rsid w:val="00121D33"/>
    <w:rsid w:val="00121E05"/>
    <w:rsid w:val="00121E67"/>
    <w:rsid w:val="00121EA0"/>
    <w:rsid w:val="00121EB0"/>
    <w:rsid w:val="00122032"/>
    <w:rsid w:val="0012219B"/>
    <w:rsid w:val="0012222E"/>
    <w:rsid w:val="00122244"/>
    <w:rsid w:val="00122267"/>
    <w:rsid w:val="00122349"/>
    <w:rsid w:val="001223DB"/>
    <w:rsid w:val="00122451"/>
    <w:rsid w:val="0012249E"/>
    <w:rsid w:val="00122511"/>
    <w:rsid w:val="00122676"/>
    <w:rsid w:val="001226A9"/>
    <w:rsid w:val="001226BC"/>
    <w:rsid w:val="001226D3"/>
    <w:rsid w:val="0012271F"/>
    <w:rsid w:val="00122731"/>
    <w:rsid w:val="001227CC"/>
    <w:rsid w:val="001227D7"/>
    <w:rsid w:val="0012289C"/>
    <w:rsid w:val="0012297E"/>
    <w:rsid w:val="001229CB"/>
    <w:rsid w:val="00122A09"/>
    <w:rsid w:val="00122A6F"/>
    <w:rsid w:val="00122A80"/>
    <w:rsid w:val="00122ABA"/>
    <w:rsid w:val="00122D48"/>
    <w:rsid w:val="00122E1F"/>
    <w:rsid w:val="00122E8D"/>
    <w:rsid w:val="00122FB3"/>
    <w:rsid w:val="00122FBA"/>
    <w:rsid w:val="00122FC2"/>
    <w:rsid w:val="0012301D"/>
    <w:rsid w:val="001230A9"/>
    <w:rsid w:val="0012324F"/>
    <w:rsid w:val="001232F5"/>
    <w:rsid w:val="00123307"/>
    <w:rsid w:val="0012338C"/>
    <w:rsid w:val="0012339C"/>
    <w:rsid w:val="00123474"/>
    <w:rsid w:val="001234BF"/>
    <w:rsid w:val="001234EE"/>
    <w:rsid w:val="00123531"/>
    <w:rsid w:val="00123569"/>
    <w:rsid w:val="00123589"/>
    <w:rsid w:val="001235BD"/>
    <w:rsid w:val="001235D8"/>
    <w:rsid w:val="00123690"/>
    <w:rsid w:val="0012385A"/>
    <w:rsid w:val="00123923"/>
    <w:rsid w:val="00123975"/>
    <w:rsid w:val="001239E7"/>
    <w:rsid w:val="00123A3B"/>
    <w:rsid w:val="00123AD1"/>
    <w:rsid w:val="00123AF5"/>
    <w:rsid w:val="00123B27"/>
    <w:rsid w:val="00123B71"/>
    <w:rsid w:val="00123C6B"/>
    <w:rsid w:val="00123CA6"/>
    <w:rsid w:val="00123CC2"/>
    <w:rsid w:val="00123CE9"/>
    <w:rsid w:val="00123D3C"/>
    <w:rsid w:val="00123DEF"/>
    <w:rsid w:val="00123EC1"/>
    <w:rsid w:val="00123F25"/>
    <w:rsid w:val="00123F8E"/>
    <w:rsid w:val="00123FB8"/>
    <w:rsid w:val="00123FF3"/>
    <w:rsid w:val="001240E8"/>
    <w:rsid w:val="0012417A"/>
    <w:rsid w:val="0012417D"/>
    <w:rsid w:val="00124229"/>
    <w:rsid w:val="0012431A"/>
    <w:rsid w:val="0012434F"/>
    <w:rsid w:val="0012449B"/>
    <w:rsid w:val="001244A0"/>
    <w:rsid w:val="001244D3"/>
    <w:rsid w:val="001244D6"/>
    <w:rsid w:val="001245D4"/>
    <w:rsid w:val="001245F6"/>
    <w:rsid w:val="00124659"/>
    <w:rsid w:val="001246A2"/>
    <w:rsid w:val="00124770"/>
    <w:rsid w:val="00124818"/>
    <w:rsid w:val="00124825"/>
    <w:rsid w:val="0012484C"/>
    <w:rsid w:val="00124870"/>
    <w:rsid w:val="001248B4"/>
    <w:rsid w:val="0012492D"/>
    <w:rsid w:val="001249C3"/>
    <w:rsid w:val="001249CA"/>
    <w:rsid w:val="00124A9C"/>
    <w:rsid w:val="00124B02"/>
    <w:rsid w:val="00124C42"/>
    <w:rsid w:val="00124C43"/>
    <w:rsid w:val="00124C7B"/>
    <w:rsid w:val="00124CA5"/>
    <w:rsid w:val="00124D3F"/>
    <w:rsid w:val="00124E63"/>
    <w:rsid w:val="00124F25"/>
    <w:rsid w:val="00124F3B"/>
    <w:rsid w:val="0012501E"/>
    <w:rsid w:val="00125080"/>
    <w:rsid w:val="001250EC"/>
    <w:rsid w:val="00125111"/>
    <w:rsid w:val="00125195"/>
    <w:rsid w:val="001252BA"/>
    <w:rsid w:val="00125352"/>
    <w:rsid w:val="0012535F"/>
    <w:rsid w:val="00125364"/>
    <w:rsid w:val="001253A7"/>
    <w:rsid w:val="001253E5"/>
    <w:rsid w:val="00125474"/>
    <w:rsid w:val="001254B5"/>
    <w:rsid w:val="00125551"/>
    <w:rsid w:val="0012569C"/>
    <w:rsid w:val="0012577A"/>
    <w:rsid w:val="0012581E"/>
    <w:rsid w:val="0012585B"/>
    <w:rsid w:val="00125957"/>
    <w:rsid w:val="00125BB2"/>
    <w:rsid w:val="00125BFF"/>
    <w:rsid w:val="00125C8F"/>
    <w:rsid w:val="00125EED"/>
    <w:rsid w:val="00125FE3"/>
    <w:rsid w:val="0012605F"/>
    <w:rsid w:val="00126197"/>
    <w:rsid w:val="001261DA"/>
    <w:rsid w:val="001261F1"/>
    <w:rsid w:val="001261FF"/>
    <w:rsid w:val="00126290"/>
    <w:rsid w:val="00126392"/>
    <w:rsid w:val="001264B0"/>
    <w:rsid w:val="001264BA"/>
    <w:rsid w:val="00126502"/>
    <w:rsid w:val="00126546"/>
    <w:rsid w:val="001265B3"/>
    <w:rsid w:val="0012667E"/>
    <w:rsid w:val="0012679C"/>
    <w:rsid w:val="001268EC"/>
    <w:rsid w:val="00126B4D"/>
    <w:rsid w:val="00126BAE"/>
    <w:rsid w:val="00126C61"/>
    <w:rsid w:val="00126D75"/>
    <w:rsid w:val="00126D8B"/>
    <w:rsid w:val="00126E02"/>
    <w:rsid w:val="00126F92"/>
    <w:rsid w:val="00126FB9"/>
    <w:rsid w:val="00127022"/>
    <w:rsid w:val="001270D9"/>
    <w:rsid w:val="001271CC"/>
    <w:rsid w:val="0012720F"/>
    <w:rsid w:val="00127254"/>
    <w:rsid w:val="001272C7"/>
    <w:rsid w:val="00127403"/>
    <w:rsid w:val="0012745A"/>
    <w:rsid w:val="001274FD"/>
    <w:rsid w:val="0012752A"/>
    <w:rsid w:val="0012756B"/>
    <w:rsid w:val="001275A4"/>
    <w:rsid w:val="001275FD"/>
    <w:rsid w:val="00127608"/>
    <w:rsid w:val="001278B6"/>
    <w:rsid w:val="00127A40"/>
    <w:rsid w:val="00127AD0"/>
    <w:rsid w:val="00127AD3"/>
    <w:rsid w:val="00127BA0"/>
    <w:rsid w:val="00127BAB"/>
    <w:rsid w:val="00127BE5"/>
    <w:rsid w:val="00127BEC"/>
    <w:rsid w:val="00127C54"/>
    <w:rsid w:val="00127CD1"/>
    <w:rsid w:val="00127E4B"/>
    <w:rsid w:val="00127F93"/>
    <w:rsid w:val="001301F3"/>
    <w:rsid w:val="00130207"/>
    <w:rsid w:val="0013020B"/>
    <w:rsid w:val="00130357"/>
    <w:rsid w:val="0013046C"/>
    <w:rsid w:val="00130511"/>
    <w:rsid w:val="00130580"/>
    <w:rsid w:val="001305A1"/>
    <w:rsid w:val="00130610"/>
    <w:rsid w:val="00130702"/>
    <w:rsid w:val="001307F4"/>
    <w:rsid w:val="00130828"/>
    <w:rsid w:val="001308CE"/>
    <w:rsid w:val="0013098F"/>
    <w:rsid w:val="001309B3"/>
    <w:rsid w:val="001309CC"/>
    <w:rsid w:val="00130A33"/>
    <w:rsid w:val="00130ADB"/>
    <w:rsid w:val="00130CBB"/>
    <w:rsid w:val="00130D7D"/>
    <w:rsid w:val="00130DC5"/>
    <w:rsid w:val="00130F00"/>
    <w:rsid w:val="00130F5F"/>
    <w:rsid w:val="0013127A"/>
    <w:rsid w:val="00131422"/>
    <w:rsid w:val="001314D6"/>
    <w:rsid w:val="00131518"/>
    <w:rsid w:val="00131888"/>
    <w:rsid w:val="00131898"/>
    <w:rsid w:val="001318D1"/>
    <w:rsid w:val="0013190E"/>
    <w:rsid w:val="001319BD"/>
    <w:rsid w:val="00131A22"/>
    <w:rsid w:val="00131A99"/>
    <w:rsid w:val="00131ADD"/>
    <w:rsid w:val="00131B1F"/>
    <w:rsid w:val="00131C73"/>
    <w:rsid w:val="00131E61"/>
    <w:rsid w:val="00131E6E"/>
    <w:rsid w:val="00131ECA"/>
    <w:rsid w:val="00131F28"/>
    <w:rsid w:val="00132020"/>
    <w:rsid w:val="001320E1"/>
    <w:rsid w:val="00132107"/>
    <w:rsid w:val="001322EF"/>
    <w:rsid w:val="00132391"/>
    <w:rsid w:val="001323EF"/>
    <w:rsid w:val="001323FE"/>
    <w:rsid w:val="0013251F"/>
    <w:rsid w:val="00132555"/>
    <w:rsid w:val="00132594"/>
    <w:rsid w:val="001325D1"/>
    <w:rsid w:val="001325E2"/>
    <w:rsid w:val="0013260D"/>
    <w:rsid w:val="00132771"/>
    <w:rsid w:val="001328AB"/>
    <w:rsid w:val="001328E7"/>
    <w:rsid w:val="00132A61"/>
    <w:rsid w:val="00132D10"/>
    <w:rsid w:val="00132D2B"/>
    <w:rsid w:val="00132D66"/>
    <w:rsid w:val="00132D67"/>
    <w:rsid w:val="00132F35"/>
    <w:rsid w:val="00132F6E"/>
    <w:rsid w:val="00132FD2"/>
    <w:rsid w:val="001330A0"/>
    <w:rsid w:val="001330DC"/>
    <w:rsid w:val="00133101"/>
    <w:rsid w:val="0013317F"/>
    <w:rsid w:val="00133247"/>
    <w:rsid w:val="00133460"/>
    <w:rsid w:val="00133556"/>
    <w:rsid w:val="001335CB"/>
    <w:rsid w:val="0013364C"/>
    <w:rsid w:val="0013364F"/>
    <w:rsid w:val="001336A7"/>
    <w:rsid w:val="00133759"/>
    <w:rsid w:val="00133893"/>
    <w:rsid w:val="001338A4"/>
    <w:rsid w:val="0013392E"/>
    <w:rsid w:val="00133940"/>
    <w:rsid w:val="001339D5"/>
    <w:rsid w:val="001339ED"/>
    <w:rsid w:val="00133B97"/>
    <w:rsid w:val="00133C94"/>
    <w:rsid w:val="00133D8D"/>
    <w:rsid w:val="00133EED"/>
    <w:rsid w:val="00133F8C"/>
    <w:rsid w:val="00133FB1"/>
    <w:rsid w:val="001340E7"/>
    <w:rsid w:val="00134156"/>
    <w:rsid w:val="0013434E"/>
    <w:rsid w:val="001343CA"/>
    <w:rsid w:val="00134424"/>
    <w:rsid w:val="0013449F"/>
    <w:rsid w:val="0013452F"/>
    <w:rsid w:val="00134720"/>
    <w:rsid w:val="00134750"/>
    <w:rsid w:val="0013475B"/>
    <w:rsid w:val="001347D2"/>
    <w:rsid w:val="0013487E"/>
    <w:rsid w:val="00134928"/>
    <w:rsid w:val="00134A47"/>
    <w:rsid w:val="00134D57"/>
    <w:rsid w:val="00134F64"/>
    <w:rsid w:val="00134FE3"/>
    <w:rsid w:val="001350C0"/>
    <w:rsid w:val="00135119"/>
    <w:rsid w:val="00135145"/>
    <w:rsid w:val="00135195"/>
    <w:rsid w:val="00135428"/>
    <w:rsid w:val="0013548F"/>
    <w:rsid w:val="00135558"/>
    <w:rsid w:val="00135774"/>
    <w:rsid w:val="001357BA"/>
    <w:rsid w:val="001357C7"/>
    <w:rsid w:val="001357DD"/>
    <w:rsid w:val="001358D5"/>
    <w:rsid w:val="00135925"/>
    <w:rsid w:val="0013592E"/>
    <w:rsid w:val="00135963"/>
    <w:rsid w:val="00135C92"/>
    <w:rsid w:val="00135D2D"/>
    <w:rsid w:val="00135DD1"/>
    <w:rsid w:val="00135EAA"/>
    <w:rsid w:val="00136142"/>
    <w:rsid w:val="001362A2"/>
    <w:rsid w:val="00136484"/>
    <w:rsid w:val="0013649A"/>
    <w:rsid w:val="0013653E"/>
    <w:rsid w:val="00136766"/>
    <w:rsid w:val="0013680E"/>
    <w:rsid w:val="0013683C"/>
    <w:rsid w:val="00136917"/>
    <w:rsid w:val="00136987"/>
    <w:rsid w:val="00136A7D"/>
    <w:rsid w:val="00136B01"/>
    <w:rsid w:val="00136B56"/>
    <w:rsid w:val="00136B87"/>
    <w:rsid w:val="00136CDA"/>
    <w:rsid w:val="00136D85"/>
    <w:rsid w:val="00136D9C"/>
    <w:rsid w:val="00136FA9"/>
    <w:rsid w:val="001370B8"/>
    <w:rsid w:val="0013711A"/>
    <w:rsid w:val="00137151"/>
    <w:rsid w:val="0013718E"/>
    <w:rsid w:val="001372C1"/>
    <w:rsid w:val="001372CA"/>
    <w:rsid w:val="001372D7"/>
    <w:rsid w:val="00137333"/>
    <w:rsid w:val="0013742B"/>
    <w:rsid w:val="001374EC"/>
    <w:rsid w:val="001375C1"/>
    <w:rsid w:val="001375D6"/>
    <w:rsid w:val="00137635"/>
    <w:rsid w:val="00137656"/>
    <w:rsid w:val="00137690"/>
    <w:rsid w:val="00137844"/>
    <w:rsid w:val="001378AD"/>
    <w:rsid w:val="001379F3"/>
    <w:rsid w:val="00137B51"/>
    <w:rsid w:val="00137B88"/>
    <w:rsid w:val="00137BDA"/>
    <w:rsid w:val="00137CF7"/>
    <w:rsid w:val="00137CFB"/>
    <w:rsid w:val="00137E02"/>
    <w:rsid w:val="00137EA9"/>
    <w:rsid w:val="00137FCF"/>
    <w:rsid w:val="00137FD4"/>
    <w:rsid w:val="00140073"/>
    <w:rsid w:val="001400F4"/>
    <w:rsid w:val="00140201"/>
    <w:rsid w:val="001402AD"/>
    <w:rsid w:val="001402F7"/>
    <w:rsid w:val="0014034A"/>
    <w:rsid w:val="00140537"/>
    <w:rsid w:val="0014084F"/>
    <w:rsid w:val="00140A65"/>
    <w:rsid w:val="00140AB3"/>
    <w:rsid w:val="00140B1E"/>
    <w:rsid w:val="00140BA0"/>
    <w:rsid w:val="00140D56"/>
    <w:rsid w:val="00140D57"/>
    <w:rsid w:val="00140E69"/>
    <w:rsid w:val="00140EBD"/>
    <w:rsid w:val="001410CF"/>
    <w:rsid w:val="001410DD"/>
    <w:rsid w:val="001411C8"/>
    <w:rsid w:val="001413D6"/>
    <w:rsid w:val="001415F5"/>
    <w:rsid w:val="0014163C"/>
    <w:rsid w:val="00141790"/>
    <w:rsid w:val="0014195F"/>
    <w:rsid w:val="001419FB"/>
    <w:rsid w:val="00141A25"/>
    <w:rsid w:val="00141A52"/>
    <w:rsid w:val="00141A6C"/>
    <w:rsid w:val="00141B07"/>
    <w:rsid w:val="00141B80"/>
    <w:rsid w:val="00141C0F"/>
    <w:rsid w:val="00141C13"/>
    <w:rsid w:val="00141C19"/>
    <w:rsid w:val="00141CA9"/>
    <w:rsid w:val="00141D00"/>
    <w:rsid w:val="00141D72"/>
    <w:rsid w:val="00141E53"/>
    <w:rsid w:val="00141FCF"/>
    <w:rsid w:val="00142194"/>
    <w:rsid w:val="001421F1"/>
    <w:rsid w:val="00142280"/>
    <w:rsid w:val="00142285"/>
    <w:rsid w:val="00142346"/>
    <w:rsid w:val="001423FA"/>
    <w:rsid w:val="00142464"/>
    <w:rsid w:val="001424B3"/>
    <w:rsid w:val="001424D0"/>
    <w:rsid w:val="001425D1"/>
    <w:rsid w:val="00142659"/>
    <w:rsid w:val="00142731"/>
    <w:rsid w:val="0014274A"/>
    <w:rsid w:val="00142758"/>
    <w:rsid w:val="001427FD"/>
    <w:rsid w:val="0014282D"/>
    <w:rsid w:val="001428B3"/>
    <w:rsid w:val="0014291A"/>
    <w:rsid w:val="00142968"/>
    <w:rsid w:val="00142A3F"/>
    <w:rsid w:val="00142AF1"/>
    <w:rsid w:val="00142B53"/>
    <w:rsid w:val="00142B8C"/>
    <w:rsid w:val="00142CB3"/>
    <w:rsid w:val="00142D98"/>
    <w:rsid w:val="00142DDF"/>
    <w:rsid w:val="00142DE1"/>
    <w:rsid w:val="00142FD0"/>
    <w:rsid w:val="001432C2"/>
    <w:rsid w:val="001432F1"/>
    <w:rsid w:val="00143474"/>
    <w:rsid w:val="0014357D"/>
    <w:rsid w:val="00143691"/>
    <w:rsid w:val="001437E8"/>
    <w:rsid w:val="00143875"/>
    <w:rsid w:val="0014389A"/>
    <w:rsid w:val="001438A2"/>
    <w:rsid w:val="001439AC"/>
    <w:rsid w:val="001439FA"/>
    <w:rsid w:val="00143A86"/>
    <w:rsid w:val="00143ABC"/>
    <w:rsid w:val="00143ADE"/>
    <w:rsid w:val="00143C07"/>
    <w:rsid w:val="00143C5C"/>
    <w:rsid w:val="00143C73"/>
    <w:rsid w:val="00143D01"/>
    <w:rsid w:val="00143D2A"/>
    <w:rsid w:val="00143D68"/>
    <w:rsid w:val="00143E29"/>
    <w:rsid w:val="00143E9A"/>
    <w:rsid w:val="00143F13"/>
    <w:rsid w:val="00143FE0"/>
    <w:rsid w:val="001440E3"/>
    <w:rsid w:val="001440FB"/>
    <w:rsid w:val="00144118"/>
    <w:rsid w:val="0014412B"/>
    <w:rsid w:val="00144176"/>
    <w:rsid w:val="00144213"/>
    <w:rsid w:val="001442D2"/>
    <w:rsid w:val="00144371"/>
    <w:rsid w:val="0014438C"/>
    <w:rsid w:val="001443EB"/>
    <w:rsid w:val="00144419"/>
    <w:rsid w:val="001445FA"/>
    <w:rsid w:val="00144632"/>
    <w:rsid w:val="00144709"/>
    <w:rsid w:val="0014483A"/>
    <w:rsid w:val="00144911"/>
    <w:rsid w:val="00144AED"/>
    <w:rsid w:val="00144AFF"/>
    <w:rsid w:val="00144BB9"/>
    <w:rsid w:val="00144C3E"/>
    <w:rsid w:val="00144CE0"/>
    <w:rsid w:val="00144CFF"/>
    <w:rsid w:val="00144D27"/>
    <w:rsid w:val="00144D37"/>
    <w:rsid w:val="00144D96"/>
    <w:rsid w:val="0014500B"/>
    <w:rsid w:val="00145189"/>
    <w:rsid w:val="0014525D"/>
    <w:rsid w:val="0014549C"/>
    <w:rsid w:val="0014553A"/>
    <w:rsid w:val="0014556C"/>
    <w:rsid w:val="00145623"/>
    <w:rsid w:val="001457B2"/>
    <w:rsid w:val="001458B3"/>
    <w:rsid w:val="001459BD"/>
    <w:rsid w:val="00145ADE"/>
    <w:rsid w:val="00145C94"/>
    <w:rsid w:val="00145D56"/>
    <w:rsid w:val="00145D7B"/>
    <w:rsid w:val="00145E54"/>
    <w:rsid w:val="00145F3B"/>
    <w:rsid w:val="00145F9B"/>
    <w:rsid w:val="00145FEB"/>
    <w:rsid w:val="001460D0"/>
    <w:rsid w:val="0014611A"/>
    <w:rsid w:val="00146122"/>
    <w:rsid w:val="00146134"/>
    <w:rsid w:val="0014617A"/>
    <w:rsid w:val="00146314"/>
    <w:rsid w:val="00146456"/>
    <w:rsid w:val="00146648"/>
    <w:rsid w:val="00146693"/>
    <w:rsid w:val="001466B7"/>
    <w:rsid w:val="001466EF"/>
    <w:rsid w:val="001469A2"/>
    <w:rsid w:val="00146AC1"/>
    <w:rsid w:val="00146AEE"/>
    <w:rsid w:val="00146DDD"/>
    <w:rsid w:val="00146E2A"/>
    <w:rsid w:val="00146F67"/>
    <w:rsid w:val="00146FCC"/>
    <w:rsid w:val="0014702A"/>
    <w:rsid w:val="00147081"/>
    <w:rsid w:val="001470F9"/>
    <w:rsid w:val="0014711F"/>
    <w:rsid w:val="001471E5"/>
    <w:rsid w:val="001471EE"/>
    <w:rsid w:val="00147307"/>
    <w:rsid w:val="00147310"/>
    <w:rsid w:val="001475D3"/>
    <w:rsid w:val="001475DA"/>
    <w:rsid w:val="0014767B"/>
    <w:rsid w:val="0014769C"/>
    <w:rsid w:val="0014769F"/>
    <w:rsid w:val="001477BF"/>
    <w:rsid w:val="00147865"/>
    <w:rsid w:val="001478EC"/>
    <w:rsid w:val="00147A76"/>
    <w:rsid w:val="00147A85"/>
    <w:rsid w:val="00147B2A"/>
    <w:rsid w:val="00147C98"/>
    <w:rsid w:val="00147CE7"/>
    <w:rsid w:val="00147D39"/>
    <w:rsid w:val="00147E7D"/>
    <w:rsid w:val="00150084"/>
    <w:rsid w:val="001500B3"/>
    <w:rsid w:val="0015011F"/>
    <w:rsid w:val="00150148"/>
    <w:rsid w:val="001501B9"/>
    <w:rsid w:val="00150309"/>
    <w:rsid w:val="001503B0"/>
    <w:rsid w:val="001504BC"/>
    <w:rsid w:val="00150536"/>
    <w:rsid w:val="00150582"/>
    <w:rsid w:val="001506D0"/>
    <w:rsid w:val="001506E9"/>
    <w:rsid w:val="0015078C"/>
    <w:rsid w:val="0015095F"/>
    <w:rsid w:val="001509B3"/>
    <w:rsid w:val="00150A80"/>
    <w:rsid w:val="00150BAB"/>
    <w:rsid w:val="00150D09"/>
    <w:rsid w:val="00150D6E"/>
    <w:rsid w:val="00150E40"/>
    <w:rsid w:val="00150E51"/>
    <w:rsid w:val="00150EA5"/>
    <w:rsid w:val="00150F1B"/>
    <w:rsid w:val="0015105C"/>
    <w:rsid w:val="0015108E"/>
    <w:rsid w:val="0015117E"/>
    <w:rsid w:val="001511D1"/>
    <w:rsid w:val="001512A6"/>
    <w:rsid w:val="001512AA"/>
    <w:rsid w:val="00151327"/>
    <w:rsid w:val="001513D6"/>
    <w:rsid w:val="0015154E"/>
    <w:rsid w:val="0015155C"/>
    <w:rsid w:val="0015158E"/>
    <w:rsid w:val="00151591"/>
    <w:rsid w:val="001515A0"/>
    <w:rsid w:val="001515A9"/>
    <w:rsid w:val="00151628"/>
    <w:rsid w:val="00151656"/>
    <w:rsid w:val="0015169C"/>
    <w:rsid w:val="001516F5"/>
    <w:rsid w:val="00151813"/>
    <w:rsid w:val="00151839"/>
    <w:rsid w:val="00151867"/>
    <w:rsid w:val="0015193B"/>
    <w:rsid w:val="001519A6"/>
    <w:rsid w:val="001519C7"/>
    <w:rsid w:val="00151AB4"/>
    <w:rsid w:val="00151D8D"/>
    <w:rsid w:val="00151E37"/>
    <w:rsid w:val="00151E8F"/>
    <w:rsid w:val="00151FE8"/>
    <w:rsid w:val="00151FEE"/>
    <w:rsid w:val="00152055"/>
    <w:rsid w:val="0015208E"/>
    <w:rsid w:val="001520F9"/>
    <w:rsid w:val="00152165"/>
    <w:rsid w:val="001521D8"/>
    <w:rsid w:val="00152216"/>
    <w:rsid w:val="00152293"/>
    <w:rsid w:val="001523B5"/>
    <w:rsid w:val="00152419"/>
    <w:rsid w:val="00152438"/>
    <w:rsid w:val="00152576"/>
    <w:rsid w:val="0015274D"/>
    <w:rsid w:val="00152818"/>
    <w:rsid w:val="001528AB"/>
    <w:rsid w:val="00152A31"/>
    <w:rsid w:val="00152A79"/>
    <w:rsid w:val="00152AAB"/>
    <w:rsid w:val="00152AE8"/>
    <w:rsid w:val="00152B88"/>
    <w:rsid w:val="00152B9E"/>
    <w:rsid w:val="00152BF4"/>
    <w:rsid w:val="00152CB1"/>
    <w:rsid w:val="00152D42"/>
    <w:rsid w:val="00152D69"/>
    <w:rsid w:val="00152E05"/>
    <w:rsid w:val="00152E43"/>
    <w:rsid w:val="00152E8F"/>
    <w:rsid w:val="00152EF3"/>
    <w:rsid w:val="001530C9"/>
    <w:rsid w:val="00153148"/>
    <w:rsid w:val="001533AA"/>
    <w:rsid w:val="00153469"/>
    <w:rsid w:val="001534BD"/>
    <w:rsid w:val="0015354D"/>
    <w:rsid w:val="0015356C"/>
    <w:rsid w:val="0015358F"/>
    <w:rsid w:val="00153632"/>
    <w:rsid w:val="0015368D"/>
    <w:rsid w:val="001536F5"/>
    <w:rsid w:val="0015370F"/>
    <w:rsid w:val="0015371D"/>
    <w:rsid w:val="001537AF"/>
    <w:rsid w:val="00153822"/>
    <w:rsid w:val="001538DC"/>
    <w:rsid w:val="00153935"/>
    <w:rsid w:val="00153941"/>
    <w:rsid w:val="00153A02"/>
    <w:rsid w:val="00153A1B"/>
    <w:rsid w:val="00153A34"/>
    <w:rsid w:val="00153CDC"/>
    <w:rsid w:val="00153D89"/>
    <w:rsid w:val="00153E0F"/>
    <w:rsid w:val="00153EF9"/>
    <w:rsid w:val="00153F4A"/>
    <w:rsid w:val="00154086"/>
    <w:rsid w:val="00154173"/>
    <w:rsid w:val="001542B4"/>
    <w:rsid w:val="00154424"/>
    <w:rsid w:val="0015477A"/>
    <w:rsid w:val="00154884"/>
    <w:rsid w:val="001548BA"/>
    <w:rsid w:val="001548EE"/>
    <w:rsid w:val="0015490A"/>
    <w:rsid w:val="00154957"/>
    <w:rsid w:val="00154A2F"/>
    <w:rsid w:val="00154A84"/>
    <w:rsid w:val="00154AFA"/>
    <w:rsid w:val="00154B35"/>
    <w:rsid w:val="00154C26"/>
    <w:rsid w:val="00154C3B"/>
    <w:rsid w:val="00154C72"/>
    <w:rsid w:val="00154E58"/>
    <w:rsid w:val="00154F32"/>
    <w:rsid w:val="00155055"/>
    <w:rsid w:val="001550AD"/>
    <w:rsid w:val="0015516C"/>
    <w:rsid w:val="001552D5"/>
    <w:rsid w:val="001554DC"/>
    <w:rsid w:val="0015553F"/>
    <w:rsid w:val="00155554"/>
    <w:rsid w:val="001556FC"/>
    <w:rsid w:val="0015570F"/>
    <w:rsid w:val="00155749"/>
    <w:rsid w:val="0015574F"/>
    <w:rsid w:val="00155772"/>
    <w:rsid w:val="001557CB"/>
    <w:rsid w:val="00155809"/>
    <w:rsid w:val="001559A8"/>
    <w:rsid w:val="001559EB"/>
    <w:rsid w:val="00155A2A"/>
    <w:rsid w:val="00155AA7"/>
    <w:rsid w:val="00155C0A"/>
    <w:rsid w:val="00155C36"/>
    <w:rsid w:val="00155C92"/>
    <w:rsid w:val="00155CAE"/>
    <w:rsid w:val="00155CC6"/>
    <w:rsid w:val="00155E71"/>
    <w:rsid w:val="00155F43"/>
    <w:rsid w:val="00156359"/>
    <w:rsid w:val="0015647F"/>
    <w:rsid w:val="00156482"/>
    <w:rsid w:val="001564A0"/>
    <w:rsid w:val="00156634"/>
    <w:rsid w:val="001567DF"/>
    <w:rsid w:val="001567FD"/>
    <w:rsid w:val="00156846"/>
    <w:rsid w:val="001568EE"/>
    <w:rsid w:val="001568F9"/>
    <w:rsid w:val="00156902"/>
    <w:rsid w:val="00156950"/>
    <w:rsid w:val="00156B41"/>
    <w:rsid w:val="00156C23"/>
    <w:rsid w:val="00156C3D"/>
    <w:rsid w:val="00156C9E"/>
    <w:rsid w:val="00156D87"/>
    <w:rsid w:val="00156DFB"/>
    <w:rsid w:val="00156E2F"/>
    <w:rsid w:val="00156E67"/>
    <w:rsid w:val="00156EA8"/>
    <w:rsid w:val="00156EF1"/>
    <w:rsid w:val="001570AC"/>
    <w:rsid w:val="0015720E"/>
    <w:rsid w:val="00157444"/>
    <w:rsid w:val="00157473"/>
    <w:rsid w:val="001574A0"/>
    <w:rsid w:val="0015758D"/>
    <w:rsid w:val="001575E6"/>
    <w:rsid w:val="00157619"/>
    <w:rsid w:val="00157647"/>
    <w:rsid w:val="001576BD"/>
    <w:rsid w:val="0015780B"/>
    <w:rsid w:val="001579D0"/>
    <w:rsid w:val="001579F5"/>
    <w:rsid w:val="00157C72"/>
    <w:rsid w:val="00157EE3"/>
    <w:rsid w:val="00157F63"/>
    <w:rsid w:val="00157FCB"/>
    <w:rsid w:val="00160083"/>
    <w:rsid w:val="001600FD"/>
    <w:rsid w:val="00160151"/>
    <w:rsid w:val="00160209"/>
    <w:rsid w:val="00160251"/>
    <w:rsid w:val="00160418"/>
    <w:rsid w:val="00160465"/>
    <w:rsid w:val="001604A6"/>
    <w:rsid w:val="001604ED"/>
    <w:rsid w:val="0016055A"/>
    <w:rsid w:val="0016065A"/>
    <w:rsid w:val="0016066B"/>
    <w:rsid w:val="00160729"/>
    <w:rsid w:val="001608C4"/>
    <w:rsid w:val="00160C24"/>
    <w:rsid w:val="00160C33"/>
    <w:rsid w:val="00160CCD"/>
    <w:rsid w:val="00160D1D"/>
    <w:rsid w:val="00160D67"/>
    <w:rsid w:val="00160D71"/>
    <w:rsid w:val="00160ECA"/>
    <w:rsid w:val="00160F1C"/>
    <w:rsid w:val="00160F1F"/>
    <w:rsid w:val="00160F30"/>
    <w:rsid w:val="00160F5C"/>
    <w:rsid w:val="001610B5"/>
    <w:rsid w:val="001612FF"/>
    <w:rsid w:val="00161478"/>
    <w:rsid w:val="001614C9"/>
    <w:rsid w:val="0016156E"/>
    <w:rsid w:val="001615B1"/>
    <w:rsid w:val="00161822"/>
    <w:rsid w:val="0016185E"/>
    <w:rsid w:val="001618A6"/>
    <w:rsid w:val="00161A38"/>
    <w:rsid w:val="00161ABC"/>
    <w:rsid w:val="00161CBE"/>
    <w:rsid w:val="00161D1C"/>
    <w:rsid w:val="00161DAD"/>
    <w:rsid w:val="00161EFE"/>
    <w:rsid w:val="00161F0F"/>
    <w:rsid w:val="00161FE2"/>
    <w:rsid w:val="0016218B"/>
    <w:rsid w:val="00162205"/>
    <w:rsid w:val="0016227B"/>
    <w:rsid w:val="0016244B"/>
    <w:rsid w:val="00162555"/>
    <w:rsid w:val="00162690"/>
    <w:rsid w:val="00162695"/>
    <w:rsid w:val="001627D2"/>
    <w:rsid w:val="00162810"/>
    <w:rsid w:val="001628DC"/>
    <w:rsid w:val="001628F2"/>
    <w:rsid w:val="001629C1"/>
    <w:rsid w:val="001629F2"/>
    <w:rsid w:val="001629FF"/>
    <w:rsid w:val="00162C98"/>
    <w:rsid w:val="00162EAD"/>
    <w:rsid w:val="00163028"/>
    <w:rsid w:val="001630B1"/>
    <w:rsid w:val="001633FE"/>
    <w:rsid w:val="001634FD"/>
    <w:rsid w:val="0016375F"/>
    <w:rsid w:val="00163820"/>
    <w:rsid w:val="0016384D"/>
    <w:rsid w:val="00163873"/>
    <w:rsid w:val="001638D2"/>
    <w:rsid w:val="00163901"/>
    <w:rsid w:val="00163927"/>
    <w:rsid w:val="00163937"/>
    <w:rsid w:val="00163994"/>
    <w:rsid w:val="00163C8F"/>
    <w:rsid w:val="00163C9F"/>
    <w:rsid w:val="00163CB1"/>
    <w:rsid w:val="00163CFB"/>
    <w:rsid w:val="00163DA5"/>
    <w:rsid w:val="00163F16"/>
    <w:rsid w:val="00163F28"/>
    <w:rsid w:val="00163FA4"/>
    <w:rsid w:val="00163FEC"/>
    <w:rsid w:val="0016418C"/>
    <w:rsid w:val="001641B0"/>
    <w:rsid w:val="0016421D"/>
    <w:rsid w:val="00164225"/>
    <w:rsid w:val="001642DF"/>
    <w:rsid w:val="00164349"/>
    <w:rsid w:val="00164569"/>
    <w:rsid w:val="0016458A"/>
    <w:rsid w:val="001645A5"/>
    <w:rsid w:val="00164744"/>
    <w:rsid w:val="0016481A"/>
    <w:rsid w:val="00164950"/>
    <w:rsid w:val="001649BC"/>
    <w:rsid w:val="001649DB"/>
    <w:rsid w:val="001649DE"/>
    <w:rsid w:val="00164A17"/>
    <w:rsid w:val="00164A24"/>
    <w:rsid w:val="00164ADF"/>
    <w:rsid w:val="00164B8B"/>
    <w:rsid w:val="00164E7F"/>
    <w:rsid w:val="00164EAF"/>
    <w:rsid w:val="0016504C"/>
    <w:rsid w:val="0016504F"/>
    <w:rsid w:val="00165113"/>
    <w:rsid w:val="0016513C"/>
    <w:rsid w:val="001651C4"/>
    <w:rsid w:val="001651F5"/>
    <w:rsid w:val="00165247"/>
    <w:rsid w:val="0016524D"/>
    <w:rsid w:val="0016529F"/>
    <w:rsid w:val="001652BB"/>
    <w:rsid w:val="00165308"/>
    <w:rsid w:val="00165328"/>
    <w:rsid w:val="00165341"/>
    <w:rsid w:val="0016538F"/>
    <w:rsid w:val="001653FC"/>
    <w:rsid w:val="00165469"/>
    <w:rsid w:val="00165546"/>
    <w:rsid w:val="0016556E"/>
    <w:rsid w:val="001655C0"/>
    <w:rsid w:val="001655D1"/>
    <w:rsid w:val="00165621"/>
    <w:rsid w:val="00165736"/>
    <w:rsid w:val="001657A0"/>
    <w:rsid w:val="001657C9"/>
    <w:rsid w:val="0016585F"/>
    <w:rsid w:val="001658C3"/>
    <w:rsid w:val="00165980"/>
    <w:rsid w:val="00165A93"/>
    <w:rsid w:val="00165B4B"/>
    <w:rsid w:val="00165BE3"/>
    <w:rsid w:val="00165C27"/>
    <w:rsid w:val="00165CC0"/>
    <w:rsid w:val="00165DD1"/>
    <w:rsid w:val="00165E19"/>
    <w:rsid w:val="00165E1D"/>
    <w:rsid w:val="00165E31"/>
    <w:rsid w:val="00165E70"/>
    <w:rsid w:val="001660ED"/>
    <w:rsid w:val="001663D3"/>
    <w:rsid w:val="001663EC"/>
    <w:rsid w:val="00166401"/>
    <w:rsid w:val="0016642F"/>
    <w:rsid w:val="00166547"/>
    <w:rsid w:val="00166590"/>
    <w:rsid w:val="001665AB"/>
    <w:rsid w:val="00166622"/>
    <w:rsid w:val="00166682"/>
    <w:rsid w:val="00166751"/>
    <w:rsid w:val="0016675E"/>
    <w:rsid w:val="00166816"/>
    <w:rsid w:val="001669E0"/>
    <w:rsid w:val="00166AE7"/>
    <w:rsid w:val="00166BA6"/>
    <w:rsid w:val="00166D3B"/>
    <w:rsid w:val="00166DC1"/>
    <w:rsid w:val="00166DE8"/>
    <w:rsid w:val="00167060"/>
    <w:rsid w:val="001671D6"/>
    <w:rsid w:val="001672C6"/>
    <w:rsid w:val="001672D3"/>
    <w:rsid w:val="0016739B"/>
    <w:rsid w:val="001673B5"/>
    <w:rsid w:val="001673DA"/>
    <w:rsid w:val="001673E8"/>
    <w:rsid w:val="00167427"/>
    <w:rsid w:val="001674A3"/>
    <w:rsid w:val="0016760D"/>
    <w:rsid w:val="00167617"/>
    <w:rsid w:val="0016774D"/>
    <w:rsid w:val="00167896"/>
    <w:rsid w:val="00167914"/>
    <w:rsid w:val="001679F6"/>
    <w:rsid w:val="001679FD"/>
    <w:rsid w:val="00167AB8"/>
    <w:rsid w:val="00167B93"/>
    <w:rsid w:val="00167D53"/>
    <w:rsid w:val="00167D91"/>
    <w:rsid w:val="00167E8E"/>
    <w:rsid w:val="00167ED2"/>
    <w:rsid w:val="0017005E"/>
    <w:rsid w:val="001700A3"/>
    <w:rsid w:val="001700E9"/>
    <w:rsid w:val="001701AB"/>
    <w:rsid w:val="001701EF"/>
    <w:rsid w:val="00170205"/>
    <w:rsid w:val="00170495"/>
    <w:rsid w:val="001704B4"/>
    <w:rsid w:val="0017050F"/>
    <w:rsid w:val="00170551"/>
    <w:rsid w:val="001705C6"/>
    <w:rsid w:val="001705E9"/>
    <w:rsid w:val="00170676"/>
    <w:rsid w:val="001706B6"/>
    <w:rsid w:val="001706DA"/>
    <w:rsid w:val="00170757"/>
    <w:rsid w:val="0017095E"/>
    <w:rsid w:val="00170A46"/>
    <w:rsid w:val="00170A86"/>
    <w:rsid w:val="00170B8E"/>
    <w:rsid w:val="00170C0F"/>
    <w:rsid w:val="00170C33"/>
    <w:rsid w:val="00170C4A"/>
    <w:rsid w:val="00170C7E"/>
    <w:rsid w:val="00170D43"/>
    <w:rsid w:val="00170D73"/>
    <w:rsid w:val="00170D9E"/>
    <w:rsid w:val="00170EFA"/>
    <w:rsid w:val="00170F64"/>
    <w:rsid w:val="00170F9B"/>
    <w:rsid w:val="0017121C"/>
    <w:rsid w:val="001713B0"/>
    <w:rsid w:val="0017142B"/>
    <w:rsid w:val="0017149C"/>
    <w:rsid w:val="00171583"/>
    <w:rsid w:val="00171625"/>
    <w:rsid w:val="0017167D"/>
    <w:rsid w:val="001716AD"/>
    <w:rsid w:val="00171738"/>
    <w:rsid w:val="00171821"/>
    <w:rsid w:val="001718C6"/>
    <w:rsid w:val="0017197C"/>
    <w:rsid w:val="00171981"/>
    <w:rsid w:val="001719A7"/>
    <w:rsid w:val="001719EF"/>
    <w:rsid w:val="00171A02"/>
    <w:rsid w:val="00171B8F"/>
    <w:rsid w:val="00171B97"/>
    <w:rsid w:val="00171BBC"/>
    <w:rsid w:val="00171C16"/>
    <w:rsid w:val="00171DB7"/>
    <w:rsid w:val="00171DCD"/>
    <w:rsid w:val="00171E5A"/>
    <w:rsid w:val="00171EBC"/>
    <w:rsid w:val="00171ED8"/>
    <w:rsid w:val="00171F22"/>
    <w:rsid w:val="00171FCC"/>
    <w:rsid w:val="00172094"/>
    <w:rsid w:val="0017232E"/>
    <w:rsid w:val="001723BA"/>
    <w:rsid w:val="001725C7"/>
    <w:rsid w:val="00172632"/>
    <w:rsid w:val="0017263B"/>
    <w:rsid w:val="001728EB"/>
    <w:rsid w:val="001728F8"/>
    <w:rsid w:val="001729E5"/>
    <w:rsid w:val="00172AD8"/>
    <w:rsid w:val="00172B5C"/>
    <w:rsid w:val="00172B64"/>
    <w:rsid w:val="00172C3D"/>
    <w:rsid w:val="00172C6D"/>
    <w:rsid w:val="00172C91"/>
    <w:rsid w:val="00172E03"/>
    <w:rsid w:val="00172E3B"/>
    <w:rsid w:val="00173161"/>
    <w:rsid w:val="001731AC"/>
    <w:rsid w:val="001731F4"/>
    <w:rsid w:val="00173228"/>
    <w:rsid w:val="001732A8"/>
    <w:rsid w:val="001732D6"/>
    <w:rsid w:val="00173477"/>
    <w:rsid w:val="00173541"/>
    <w:rsid w:val="00173618"/>
    <w:rsid w:val="0017376B"/>
    <w:rsid w:val="00173829"/>
    <w:rsid w:val="00173854"/>
    <w:rsid w:val="00173886"/>
    <w:rsid w:val="0017389F"/>
    <w:rsid w:val="001738D9"/>
    <w:rsid w:val="0017392A"/>
    <w:rsid w:val="00173A56"/>
    <w:rsid w:val="00173AAE"/>
    <w:rsid w:val="00173B5E"/>
    <w:rsid w:val="00173D8A"/>
    <w:rsid w:val="00173DE1"/>
    <w:rsid w:val="00173FC6"/>
    <w:rsid w:val="0017409E"/>
    <w:rsid w:val="0017419F"/>
    <w:rsid w:val="00174250"/>
    <w:rsid w:val="001742E9"/>
    <w:rsid w:val="00174349"/>
    <w:rsid w:val="00174443"/>
    <w:rsid w:val="0017446A"/>
    <w:rsid w:val="001744B0"/>
    <w:rsid w:val="00174524"/>
    <w:rsid w:val="00174549"/>
    <w:rsid w:val="0017455D"/>
    <w:rsid w:val="00174711"/>
    <w:rsid w:val="00174719"/>
    <w:rsid w:val="00174790"/>
    <w:rsid w:val="001748DF"/>
    <w:rsid w:val="0017494F"/>
    <w:rsid w:val="00174956"/>
    <w:rsid w:val="00174A09"/>
    <w:rsid w:val="00174BB6"/>
    <w:rsid w:val="00174BD1"/>
    <w:rsid w:val="00174C09"/>
    <w:rsid w:val="00174C41"/>
    <w:rsid w:val="00174C45"/>
    <w:rsid w:val="00174CD1"/>
    <w:rsid w:val="00174D4E"/>
    <w:rsid w:val="00174D61"/>
    <w:rsid w:val="00174E47"/>
    <w:rsid w:val="00174F02"/>
    <w:rsid w:val="00174F1A"/>
    <w:rsid w:val="00174FC1"/>
    <w:rsid w:val="00175044"/>
    <w:rsid w:val="0017512E"/>
    <w:rsid w:val="00175160"/>
    <w:rsid w:val="00175257"/>
    <w:rsid w:val="001752AA"/>
    <w:rsid w:val="001753DA"/>
    <w:rsid w:val="00175477"/>
    <w:rsid w:val="00175555"/>
    <w:rsid w:val="001755A8"/>
    <w:rsid w:val="001757A4"/>
    <w:rsid w:val="0017587C"/>
    <w:rsid w:val="00175AA8"/>
    <w:rsid w:val="00175AF0"/>
    <w:rsid w:val="00175C6B"/>
    <w:rsid w:val="00175C79"/>
    <w:rsid w:val="00175FD6"/>
    <w:rsid w:val="00175FF1"/>
    <w:rsid w:val="00176085"/>
    <w:rsid w:val="00176091"/>
    <w:rsid w:val="0017615D"/>
    <w:rsid w:val="001762E9"/>
    <w:rsid w:val="001763C3"/>
    <w:rsid w:val="001763F8"/>
    <w:rsid w:val="0017671F"/>
    <w:rsid w:val="0017672D"/>
    <w:rsid w:val="00176733"/>
    <w:rsid w:val="00176762"/>
    <w:rsid w:val="001767F2"/>
    <w:rsid w:val="0017682C"/>
    <w:rsid w:val="001768FB"/>
    <w:rsid w:val="00176983"/>
    <w:rsid w:val="00176987"/>
    <w:rsid w:val="001769C5"/>
    <w:rsid w:val="00176A85"/>
    <w:rsid w:val="00176AD7"/>
    <w:rsid w:val="00176B30"/>
    <w:rsid w:val="00176BF7"/>
    <w:rsid w:val="00176D6C"/>
    <w:rsid w:val="00176D8E"/>
    <w:rsid w:val="00176E44"/>
    <w:rsid w:val="00176E55"/>
    <w:rsid w:val="00176E65"/>
    <w:rsid w:val="00176E6E"/>
    <w:rsid w:val="0017703C"/>
    <w:rsid w:val="001770B5"/>
    <w:rsid w:val="001770BA"/>
    <w:rsid w:val="001772F4"/>
    <w:rsid w:val="00177328"/>
    <w:rsid w:val="001773D6"/>
    <w:rsid w:val="00177737"/>
    <w:rsid w:val="00177747"/>
    <w:rsid w:val="0017786A"/>
    <w:rsid w:val="0017791B"/>
    <w:rsid w:val="001779EE"/>
    <w:rsid w:val="00177A04"/>
    <w:rsid w:val="00177A34"/>
    <w:rsid w:val="00177C45"/>
    <w:rsid w:val="00177D62"/>
    <w:rsid w:val="00177DD9"/>
    <w:rsid w:val="00177E9F"/>
    <w:rsid w:val="0017ADC3"/>
    <w:rsid w:val="0017FB1B"/>
    <w:rsid w:val="00180007"/>
    <w:rsid w:val="001800B5"/>
    <w:rsid w:val="001800B8"/>
    <w:rsid w:val="001801A5"/>
    <w:rsid w:val="001801D5"/>
    <w:rsid w:val="001801DA"/>
    <w:rsid w:val="0018056F"/>
    <w:rsid w:val="001805F6"/>
    <w:rsid w:val="001806DD"/>
    <w:rsid w:val="001807AF"/>
    <w:rsid w:val="00180804"/>
    <w:rsid w:val="00180814"/>
    <w:rsid w:val="0018081F"/>
    <w:rsid w:val="0018083B"/>
    <w:rsid w:val="0018090E"/>
    <w:rsid w:val="00180982"/>
    <w:rsid w:val="001809BE"/>
    <w:rsid w:val="00180B68"/>
    <w:rsid w:val="00180BBD"/>
    <w:rsid w:val="00180BDD"/>
    <w:rsid w:val="00180D8D"/>
    <w:rsid w:val="00180E52"/>
    <w:rsid w:val="00180E59"/>
    <w:rsid w:val="00180E84"/>
    <w:rsid w:val="00180E91"/>
    <w:rsid w:val="00180EFA"/>
    <w:rsid w:val="00180F73"/>
    <w:rsid w:val="001810CE"/>
    <w:rsid w:val="0018117E"/>
    <w:rsid w:val="00181221"/>
    <w:rsid w:val="00181227"/>
    <w:rsid w:val="001812C9"/>
    <w:rsid w:val="001812F7"/>
    <w:rsid w:val="00181358"/>
    <w:rsid w:val="001813A1"/>
    <w:rsid w:val="001813C1"/>
    <w:rsid w:val="001813FD"/>
    <w:rsid w:val="0018152B"/>
    <w:rsid w:val="00181578"/>
    <w:rsid w:val="0018161B"/>
    <w:rsid w:val="0018169A"/>
    <w:rsid w:val="00181771"/>
    <w:rsid w:val="00181788"/>
    <w:rsid w:val="001817ED"/>
    <w:rsid w:val="00181881"/>
    <w:rsid w:val="001818BE"/>
    <w:rsid w:val="001818FC"/>
    <w:rsid w:val="0018195F"/>
    <w:rsid w:val="001819C4"/>
    <w:rsid w:val="00181A4A"/>
    <w:rsid w:val="00181B97"/>
    <w:rsid w:val="00181BDC"/>
    <w:rsid w:val="00181D69"/>
    <w:rsid w:val="00181E1E"/>
    <w:rsid w:val="00182026"/>
    <w:rsid w:val="0018203B"/>
    <w:rsid w:val="001821AC"/>
    <w:rsid w:val="001821EF"/>
    <w:rsid w:val="0018221A"/>
    <w:rsid w:val="0018223D"/>
    <w:rsid w:val="00182292"/>
    <w:rsid w:val="0018230D"/>
    <w:rsid w:val="0018231C"/>
    <w:rsid w:val="001824F4"/>
    <w:rsid w:val="0018261C"/>
    <w:rsid w:val="00182654"/>
    <w:rsid w:val="001826A6"/>
    <w:rsid w:val="001826E1"/>
    <w:rsid w:val="001827DE"/>
    <w:rsid w:val="00182918"/>
    <w:rsid w:val="00182932"/>
    <w:rsid w:val="00182A4A"/>
    <w:rsid w:val="00182A96"/>
    <w:rsid w:val="00182C9A"/>
    <w:rsid w:val="00182D8C"/>
    <w:rsid w:val="00182D96"/>
    <w:rsid w:val="00182E21"/>
    <w:rsid w:val="00182ECA"/>
    <w:rsid w:val="00182EEA"/>
    <w:rsid w:val="00182EF6"/>
    <w:rsid w:val="00182F31"/>
    <w:rsid w:val="00183015"/>
    <w:rsid w:val="001831B6"/>
    <w:rsid w:val="001832C0"/>
    <w:rsid w:val="001832DF"/>
    <w:rsid w:val="00183524"/>
    <w:rsid w:val="001835E5"/>
    <w:rsid w:val="00183720"/>
    <w:rsid w:val="00183A78"/>
    <w:rsid w:val="00183A96"/>
    <w:rsid w:val="00183A9B"/>
    <w:rsid w:val="00183ABA"/>
    <w:rsid w:val="00183B67"/>
    <w:rsid w:val="00183B75"/>
    <w:rsid w:val="00183BEE"/>
    <w:rsid w:val="00183BF0"/>
    <w:rsid w:val="00183C12"/>
    <w:rsid w:val="00183D70"/>
    <w:rsid w:val="00183DFF"/>
    <w:rsid w:val="00183F52"/>
    <w:rsid w:val="00183F64"/>
    <w:rsid w:val="00183FB7"/>
    <w:rsid w:val="0018405D"/>
    <w:rsid w:val="0018407F"/>
    <w:rsid w:val="00184180"/>
    <w:rsid w:val="001843AB"/>
    <w:rsid w:val="001843B1"/>
    <w:rsid w:val="001843CA"/>
    <w:rsid w:val="001844C4"/>
    <w:rsid w:val="00184555"/>
    <w:rsid w:val="001847E6"/>
    <w:rsid w:val="0018486A"/>
    <w:rsid w:val="00184895"/>
    <w:rsid w:val="0018490F"/>
    <w:rsid w:val="001849EA"/>
    <w:rsid w:val="00184C70"/>
    <w:rsid w:val="00184DA4"/>
    <w:rsid w:val="00184DE3"/>
    <w:rsid w:val="00184E16"/>
    <w:rsid w:val="00184E4D"/>
    <w:rsid w:val="00184EA8"/>
    <w:rsid w:val="00184F5B"/>
    <w:rsid w:val="001850D3"/>
    <w:rsid w:val="001850D9"/>
    <w:rsid w:val="00185192"/>
    <w:rsid w:val="00185235"/>
    <w:rsid w:val="00185303"/>
    <w:rsid w:val="00185337"/>
    <w:rsid w:val="00185368"/>
    <w:rsid w:val="001853BF"/>
    <w:rsid w:val="001853D2"/>
    <w:rsid w:val="001854DC"/>
    <w:rsid w:val="001854E6"/>
    <w:rsid w:val="00185558"/>
    <w:rsid w:val="00185562"/>
    <w:rsid w:val="001855D9"/>
    <w:rsid w:val="00185624"/>
    <w:rsid w:val="00185638"/>
    <w:rsid w:val="001856C3"/>
    <w:rsid w:val="001856CF"/>
    <w:rsid w:val="00185710"/>
    <w:rsid w:val="001857C0"/>
    <w:rsid w:val="0018580B"/>
    <w:rsid w:val="0018589B"/>
    <w:rsid w:val="001858BA"/>
    <w:rsid w:val="00185903"/>
    <w:rsid w:val="00185926"/>
    <w:rsid w:val="00185A1B"/>
    <w:rsid w:val="00185A42"/>
    <w:rsid w:val="00185B8E"/>
    <w:rsid w:val="00185BA6"/>
    <w:rsid w:val="00185BE0"/>
    <w:rsid w:val="00185C86"/>
    <w:rsid w:val="00185D15"/>
    <w:rsid w:val="00185DFB"/>
    <w:rsid w:val="00185E48"/>
    <w:rsid w:val="00185F99"/>
    <w:rsid w:val="00186163"/>
    <w:rsid w:val="001861A2"/>
    <w:rsid w:val="00186295"/>
    <w:rsid w:val="0018629A"/>
    <w:rsid w:val="00186394"/>
    <w:rsid w:val="001864B5"/>
    <w:rsid w:val="0018651B"/>
    <w:rsid w:val="0018658E"/>
    <w:rsid w:val="00186771"/>
    <w:rsid w:val="00186792"/>
    <w:rsid w:val="001867C5"/>
    <w:rsid w:val="00186822"/>
    <w:rsid w:val="00186879"/>
    <w:rsid w:val="001868E8"/>
    <w:rsid w:val="00186AA2"/>
    <w:rsid w:val="00186ADE"/>
    <w:rsid w:val="00186B2A"/>
    <w:rsid w:val="00186C2F"/>
    <w:rsid w:val="00186CAD"/>
    <w:rsid w:val="00186CD6"/>
    <w:rsid w:val="00186EA1"/>
    <w:rsid w:val="0018707C"/>
    <w:rsid w:val="0018718C"/>
    <w:rsid w:val="0018729A"/>
    <w:rsid w:val="00187365"/>
    <w:rsid w:val="00187383"/>
    <w:rsid w:val="00187574"/>
    <w:rsid w:val="00187644"/>
    <w:rsid w:val="0018765F"/>
    <w:rsid w:val="00187718"/>
    <w:rsid w:val="0018774E"/>
    <w:rsid w:val="0018776B"/>
    <w:rsid w:val="001878E4"/>
    <w:rsid w:val="00187956"/>
    <w:rsid w:val="001879B3"/>
    <w:rsid w:val="00187A0D"/>
    <w:rsid w:val="00187E2C"/>
    <w:rsid w:val="00187E56"/>
    <w:rsid w:val="00187E95"/>
    <w:rsid w:val="00187F44"/>
    <w:rsid w:val="00187F91"/>
    <w:rsid w:val="00190230"/>
    <w:rsid w:val="0019023E"/>
    <w:rsid w:val="00190412"/>
    <w:rsid w:val="0019045E"/>
    <w:rsid w:val="001904A6"/>
    <w:rsid w:val="00190639"/>
    <w:rsid w:val="001906FF"/>
    <w:rsid w:val="001907E4"/>
    <w:rsid w:val="001908A2"/>
    <w:rsid w:val="00190923"/>
    <w:rsid w:val="001909F0"/>
    <w:rsid w:val="001909FF"/>
    <w:rsid w:val="00190A00"/>
    <w:rsid w:val="00190A28"/>
    <w:rsid w:val="00190A5E"/>
    <w:rsid w:val="00190A63"/>
    <w:rsid w:val="00190A66"/>
    <w:rsid w:val="00190AE6"/>
    <w:rsid w:val="00190C70"/>
    <w:rsid w:val="00190D79"/>
    <w:rsid w:val="00190E3D"/>
    <w:rsid w:val="00190EBA"/>
    <w:rsid w:val="00190EC9"/>
    <w:rsid w:val="001910A3"/>
    <w:rsid w:val="00191173"/>
    <w:rsid w:val="0019118A"/>
    <w:rsid w:val="00191201"/>
    <w:rsid w:val="00191250"/>
    <w:rsid w:val="00191270"/>
    <w:rsid w:val="0019137C"/>
    <w:rsid w:val="00191425"/>
    <w:rsid w:val="00191468"/>
    <w:rsid w:val="00191533"/>
    <w:rsid w:val="00191538"/>
    <w:rsid w:val="001915F4"/>
    <w:rsid w:val="00191665"/>
    <w:rsid w:val="0019167F"/>
    <w:rsid w:val="0019174D"/>
    <w:rsid w:val="00191793"/>
    <w:rsid w:val="001917C9"/>
    <w:rsid w:val="001917FA"/>
    <w:rsid w:val="00191811"/>
    <w:rsid w:val="00191817"/>
    <w:rsid w:val="00191A64"/>
    <w:rsid w:val="00191B4C"/>
    <w:rsid w:val="00191BAF"/>
    <w:rsid w:val="00191D2C"/>
    <w:rsid w:val="00191D5F"/>
    <w:rsid w:val="00191E94"/>
    <w:rsid w:val="00191FD1"/>
    <w:rsid w:val="00192262"/>
    <w:rsid w:val="00192279"/>
    <w:rsid w:val="001922F0"/>
    <w:rsid w:val="00192303"/>
    <w:rsid w:val="001923C1"/>
    <w:rsid w:val="001923E4"/>
    <w:rsid w:val="001925B4"/>
    <w:rsid w:val="0019260C"/>
    <w:rsid w:val="00192715"/>
    <w:rsid w:val="0019276A"/>
    <w:rsid w:val="0019279F"/>
    <w:rsid w:val="0019293B"/>
    <w:rsid w:val="00192978"/>
    <w:rsid w:val="00192982"/>
    <w:rsid w:val="001929A4"/>
    <w:rsid w:val="001929D3"/>
    <w:rsid w:val="00192B2C"/>
    <w:rsid w:val="00192B5B"/>
    <w:rsid w:val="00192B77"/>
    <w:rsid w:val="00192C19"/>
    <w:rsid w:val="00192CB5"/>
    <w:rsid w:val="00192D1D"/>
    <w:rsid w:val="00192D28"/>
    <w:rsid w:val="00192DB8"/>
    <w:rsid w:val="00192E03"/>
    <w:rsid w:val="00192E0A"/>
    <w:rsid w:val="00192F31"/>
    <w:rsid w:val="0019303C"/>
    <w:rsid w:val="00193058"/>
    <w:rsid w:val="00193064"/>
    <w:rsid w:val="001930CC"/>
    <w:rsid w:val="0019311A"/>
    <w:rsid w:val="00193121"/>
    <w:rsid w:val="00193141"/>
    <w:rsid w:val="00193357"/>
    <w:rsid w:val="00193462"/>
    <w:rsid w:val="001934F2"/>
    <w:rsid w:val="00193652"/>
    <w:rsid w:val="001937ED"/>
    <w:rsid w:val="001937FA"/>
    <w:rsid w:val="00193818"/>
    <w:rsid w:val="001939AF"/>
    <w:rsid w:val="00193A3F"/>
    <w:rsid w:val="00193AFF"/>
    <w:rsid w:val="00193BBE"/>
    <w:rsid w:val="00193C9F"/>
    <w:rsid w:val="00193D3B"/>
    <w:rsid w:val="00193DAC"/>
    <w:rsid w:val="00193DBD"/>
    <w:rsid w:val="00193E53"/>
    <w:rsid w:val="00193E5F"/>
    <w:rsid w:val="00193F61"/>
    <w:rsid w:val="001941FF"/>
    <w:rsid w:val="00194350"/>
    <w:rsid w:val="0019451C"/>
    <w:rsid w:val="001946DF"/>
    <w:rsid w:val="001946F2"/>
    <w:rsid w:val="00194713"/>
    <w:rsid w:val="00194741"/>
    <w:rsid w:val="00194752"/>
    <w:rsid w:val="00194788"/>
    <w:rsid w:val="001947A9"/>
    <w:rsid w:val="001947CF"/>
    <w:rsid w:val="001949B4"/>
    <w:rsid w:val="001949DD"/>
    <w:rsid w:val="00194A39"/>
    <w:rsid w:val="00194C36"/>
    <w:rsid w:val="00194C9F"/>
    <w:rsid w:val="00194CB2"/>
    <w:rsid w:val="00194CB6"/>
    <w:rsid w:val="00194EE3"/>
    <w:rsid w:val="00194F88"/>
    <w:rsid w:val="001950B6"/>
    <w:rsid w:val="001950FA"/>
    <w:rsid w:val="001951D9"/>
    <w:rsid w:val="00195202"/>
    <w:rsid w:val="001956AC"/>
    <w:rsid w:val="001957E4"/>
    <w:rsid w:val="0019584E"/>
    <w:rsid w:val="001958DF"/>
    <w:rsid w:val="001958EA"/>
    <w:rsid w:val="001959F0"/>
    <w:rsid w:val="00195A3A"/>
    <w:rsid w:val="00195A56"/>
    <w:rsid w:val="00195B2C"/>
    <w:rsid w:val="00195B50"/>
    <w:rsid w:val="00195CCA"/>
    <w:rsid w:val="00195D34"/>
    <w:rsid w:val="00195D56"/>
    <w:rsid w:val="00195E7B"/>
    <w:rsid w:val="001960A5"/>
    <w:rsid w:val="001960FC"/>
    <w:rsid w:val="0019614A"/>
    <w:rsid w:val="001963D0"/>
    <w:rsid w:val="00196425"/>
    <w:rsid w:val="0019647B"/>
    <w:rsid w:val="00196702"/>
    <w:rsid w:val="0019670D"/>
    <w:rsid w:val="00196733"/>
    <w:rsid w:val="001967C4"/>
    <w:rsid w:val="001967E7"/>
    <w:rsid w:val="0019682D"/>
    <w:rsid w:val="0019688F"/>
    <w:rsid w:val="0019693C"/>
    <w:rsid w:val="00196957"/>
    <w:rsid w:val="001969BC"/>
    <w:rsid w:val="001969E7"/>
    <w:rsid w:val="00196B0F"/>
    <w:rsid w:val="00196B15"/>
    <w:rsid w:val="00196B3D"/>
    <w:rsid w:val="00196B93"/>
    <w:rsid w:val="00196BC8"/>
    <w:rsid w:val="00196BE6"/>
    <w:rsid w:val="00196D15"/>
    <w:rsid w:val="00196DB3"/>
    <w:rsid w:val="00196E0F"/>
    <w:rsid w:val="00196EF5"/>
    <w:rsid w:val="0019712F"/>
    <w:rsid w:val="0019714A"/>
    <w:rsid w:val="00197156"/>
    <w:rsid w:val="0019723F"/>
    <w:rsid w:val="0019728A"/>
    <w:rsid w:val="0019744F"/>
    <w:rsid w:val="0019755D"/>
    <w:rsid w:val="001975B1"/>
    <w:rsid w:val="00197610"/>
    <w:rsid w:val="001976AC"/>
    <w:rsid w:val="00197789"/>
    <w:rsid w:val="0019782B"/>
    <w:rsid w:val="0019790D"/>
    <w:rsid w:val="0019793F"/>
    <w:rsid w:val="00197941"/>
    <w:rsid w:val="00197A49"/>
    <w:rsid w:val="00197A81"/>
    <w:rsid w:val="00197B5C"/>
    <w:rsid w:val="00197B6B"/>
    <w:rsid w:val="00197BDD"/>
    <w:rsid w:val="00197C3B"/>
    <w:rsid w:val="00197CDA"/>
    <w:rsid w:val="00197D83"/>
    <w:rsid w:val="00197DC8"/>
    <w:rsid w:val="00197E59"/>
    <w:rsid w:val="00197EEE"/>
    <w:rsid w:val="001A0182"/>
    <w:rsid w:val="001A01ED"/>
    <w:rsid w:val="001A02FD"/>
    <w:rsid w:val="001A038A"/>
    <w:rsid w:val="001A03E8"/>
    <w:rsid w:val="001A0507"/>
    <w:rsid w:val="001A0609"/>
    <w:rsid w:val="001A0670"/>
    <w:rsid w:val="001A071F"/>
    <w:rsid w:val="001A07C1"/>
    <w:rsid w:val="001A07EB"/>
    <w:rsid w:val="001A08F1"/>
    <w:rsid w:val="001A0A1C"/>
    <w:rsid w:val="001A0B26"/>
    <w:rsid w:val="001A0BC9"/>
    <w:rsid w:val="001A0C8D"/>
    <w:rsid w:val="001A0F0D"/>
    <w:rsid w:val="001A0F55"/>
    <w:rsid w:val="001A0F6B"/>
    <w:rsid w:val="001A1049"/>
    <w:rsid w:val="001A111E"/>
    <w:rsid w:val="001A112E"/>
    <w:rsid w:val="001A11D2"/>
    <w:rsid w:val="001A1473"/>
    <w:rsid w:val="001A1481"/>
    <w:rsid w:val="001A1583"/>
    <w:rsid w:val="001A1679"/>
    <w:rsid w:val="001A1707"/>
    <w:rsid w:val="001A1739"/>
    <w:rsid w:val="001A1751"/>
    <w:rsid w:val="001A175A"/>
    <w:rsid w:val="001A1772"/>
    <w:rsid w:val="001A17CF"/>
    <w:rsid w:val="001A188F"/>
    <w:rsid w:val="001A191E"/>
    <w:rsid w:val="001A1A0A"/>
    <w:rsid w:val="001A1A2A"/>
    <w:rsid w:val="001A1A7B"/>
    <w:rsid w:val="001A1BB9"/>
    <w:rsid w:val="001A1BC7"/>
    <w:rsid w:val="001A1EC8"/>
    <w:rsid w:val="001A1EE5"/>
    <w:rsid w:val="001A1FBB"/>
    <w:rsid w:val="001A20BA"/>
    <w:rsid w:val="001A20E3"/>
    <w:rsid w:val="001A20E4"/>
    <w:rsid w:val="001A2197"/>
    <w:rsid w:val="001A2286"/>
    <w:rsid w:val="001A2312"/>
    <w:rsid w:val="001A237E"/>
    <w:rsid w:val="001A24B0"/>
    <w:rsid w:val="001A254F"/>
    <w:rsid w:val="001A2574"/>
    <w:rsid w:val="001A2622"/>
    <w:rsid w:val="001A2656"/>
    <w:rsid w:val="001A276A"/>
    <w:rsid w:val="001A2779"/>
    <w:rsid w:val="001A2784"/>
    <w:rsid w:val="001A27E6"/>
    <w:rsid w:val="001A2A1B"/>
    <w:rsid w:val="001A2B87"/>
    <w:rsid w:val="001A2BC3"/>
    <w:rsid w:val="001A2BEB"/>
    <w:rsid w:val="001A2C03"/>
    <w:rsid w:val="001A2C78"/>
    <w:rsid w:val="001A2DC9"/>
    <w:rsid w:val="001A2E1D"/>
    <w:rsid w:val="001A2E46"/>
    <w:rsid w:val="001A2ED0"/>
    <w:rsid w:val="001A2EF1"/>
    <w:rsid w:val="001A310A"/>
    <w:rsid w:val="001A311B"/>
    <w:rsid w:val="001A31D6"/>
    <w:rsid w:val="001A31DF"/>
    <w:rsid w:val="001A3276"/>
    <w:rsid w:val="001A32CB"/>
    <w:rsid w:val="001A32E5"/>
    <w:rsid w:val="001A3332"/>
    <w:rsid w:val="001A3371"/>
    <w:rsid w:val="001A346D"/>
    <w:rsid w:val="001A348D"/>
    <w:rsid w:val="001A34C4"/>
    <w:rsid w:val="001A34DB"/>
    <w:rsid w:val="001A353A"/>
    <w:rsid w:val="001A362C"/>
    <w:rsid w:val="001A365D"/>
    <w:rsid w:val="001A367B"/>
    <w:rsid w:val="001A3699"/>
    <w:rsid w:val="001A36AB"/>
    <w:rsid w:val="001A37DB"/>
    <w:rsid w:val="001A37E6"/>
    <w:rsid w:val="001A3888"/>
    <w:rsid w:val="001A3A46"/>
    <w:rsid w:val="001A3A5D"/>
    <w:rsid w:val="001A3B76"/>
    <w:rsid w:val="001A3CFF"/>
    <w:rsid w:val="001A3E2B"/>
    <w:rsid w:val="001A3EF8"/>
    <w:rsid w:val="001A3FC0"/>
    <w:rsid w:val="001A4006"/>
    <w:rsid w:val="001A4230"/>
    <w:rsid w:val="001A427E"/>
    <w:rsid w:val="001A4281"/>
    <w:rsid w:val="001A44F4"/>
    <w:rsid w:val="001A451B"/>
    <w:rsid w:val="001A4574"/>
    <w:rsid w:val="001A4595"/>
    <w:rsid w:val="001A4666"/>
    <w:rsid w:val="001A46BD"/>
    <w:rsid w:val="001A4868"/>
    <w:rsid w:val="001A498E"/>
    <w:rsid w:val="001A4A03"/>
    <w:rsid w:val="001A4AB7"/>
    <w:rsid w:val="001A4AE5"/>
    <w:rsid w:val="001A4CCD"/>
    <w:rsid w:val="001A4D60"/>
    <w:rsid w:val="001A4DDE"/>
    <w:rsid w:val="001A4F3A"/>
    <w:rsid w:val="001A4FA9"/>
    <w:rsid w:val="001A50D6"/>
    <w:rsid w:val="001A514F"/>
    <w:rsid w:val="001A52F5"/>
    <w:rsid w:val="001A538C"/>
    <w:rsid w:val="001A5418"/>
    <w:rsid w:val="001A546A"/>
    <w:rsid w:val="001A547E"/>
    <w:rsid w:val="001A556D"/>
    <w:rsid w:val="001A5592"/>
    <w:rsid w:val="001A55FD"/>
    <w:rsid w:val="001A5750"/>
    <w:rsid w:val="001A579D"/>
    <w:rsid w:val="001A57C5"/>
    <w:rsid w:val="001A5813"/>
    <w:rsid w:val="001A5816"/>
    <w:rsid w:val="001A583D"/>
    <w:rsid w:val="001A5956"/>
    <w:rsid w:val="001A59D0"/>
    <w:rsid w:val="001A5B83"/>
    <w:rsid w:val="001A5C3C"/>
    <w:rsid w:val="001A5C62"/>
    <w:rsid w:val="001A5C78"/>
    <w:rsid w:val="001A5CC8"/>
    <w:rsid w:val="001A5CD9"/>
    <w:rsid w:val="001A5DAC"/>
    <w:rsid w:val="001A5E05"/>
    <w:rsid w:val="001A5EA8"/>
    <w:rsid w:val="001A5F4D"/>
    <w:rsid w:val="001A5F84"/>
    <w:rsid w:val="001A613D"/>
    <w:rsid w:val="001A617E"/>
    <w:rsid w:val="001A6363"/>
    <w:rsid w:val="001A637D"/>
    <w:rsid w:val="001A638C"/>
    <w:rsid w:val="001A6395"/>
    <w:rsid w:val="001A63C8"/>
    <w:rsid w:val="001A63EA"/>
    <w:rsid w:val="001A648A"/>
    <w:rsid w:val="001A6560"/>
    <w:rsid w:val="001A6563"/>
    <w:rsid w:val="001A65F8"/>
    <w:rsid w:val="001A6A4C"/>
    <w:rsid w:val="001A6A75"/>
    <w:rsid w:val="001A6A81"/>
    <w:rsid w:val="001A6ADF"/>
    <w:rsid w:val="001A6C42"/>
    <w:rsid w:val="001A6D95"/>
    <w:rsid w:val="001A6EC5"/>
    <w:rsid w:val="001A6ECF"/>
    <w:rsid w:val="001A6FF8"/>
    <w:rsid w:val="001A706B"/>
    <w:rsid w:val="001A70CF"/>
    <w:rsid w:val="001A70D1"/>
    <w:rsid w:val="001A7184"/>
    <w:rsid w:val="001A7256"/>
    <w:rsid w:val="001A7370"/>
    <w:rsid w:val="001A7494"/>
    <w:rsid w:val="001A75B0"/>
    <w:rsid w:val="001A7895"/>
    <w:rsid w:val="001A7948"/>
    <w:rsid w:val="001A79CE"/>
    <w:rsid w:val="001A7A2C"/>
    <w:rsid w:val="001A7AD3"/>
    <w:rsid w:val="001A7BE6"/>
    <w:rsid w:val="001A7D2B"/>
    <w:rsid w:val="001A7D73"/>
    <w:rsid w:val="001A7D8F"/>
    <w:rsid w:val="001A7DB7"/>
    <w:rsid w:val="001A7DF0"/>
    <w:rsid w:val="001A7E0B"/>
    <w:rsid w:val="001A7E41"/>
    <w:rsid w:val="001A7E6E"/>
    <w:rsid w:val="001A7FA0"/>
    <w:rsid w:val="001A7FCE"/>
    <w:rsid w:val="001A9C0C"/>
    <w:rsid w:val="001B008C"/>
    <w:rsid w:val="001B01BF"/>
    <w:rsid w:val="001B01EC"/>
    <w:rsid w:val="001B026D"/>
    <w:rsid w:val="001B0391"/>
    <w:rsid w:val="001B03D2"/>
    <w:rsid w:val="001B0434"/>
    <w:rsid w:val="001B051E"/>
    <w:rsid w:val="001B05E7"/>
    <w:rsid w:val="001B0676"/>
    <w:rsid w:val="001B0682"/>
    <w:rsid w:val="001B07FD"/>
    <w:rsid w:val="001B08A6"/>
    <w:rsid w:val="001B0946"/>
    <w:rsid w:val="001B0A0A"/>
    <w:rsid w:val="001B0A24"/>
    <w:rsid w:val="001B0B09"/>
    <w:rsid w:val="001B0B4A"/>
    <w:rsid w:val="001B0BB7"/>
    <w:rsid w:val="001B0CB5"/>
    <w:rsid w:val="001B0E1D"/>
    <w:rsid w:val="001B0E4F"/>
    <w:rsid w:val="001B1122"/>
    <w:rsid w:val="001B1143"/>
    <w:rsid w:val="001B117B"/>
    <w:rsid w:val="001B11A3"/>
    <w:rsid w:val="001B11CF"/>
    <w:rsid w:val="001B11D7"/>
    <w:rsid w:val="001B13D9"/>
    <w:rsid w:val="001B1429"/>
    <w:rsid w:val="001B1573"/>
    <w:rsid w:val="001B15C7"/>
    <w:rsid w:val="001B15F0"/>
    <w:rsid w:val="001B174C"/>
    <w:rsid w:val="001B1814"/>
    <w:rsid w:val="001B18E5"/>
    <w:rsid w:val="001B18F7"/>
    <w:rsid w:val="001B19F9"/>
    <w:rsid w:val="001B1B14"/>
    <w:rsid w:val="001B1B4B"/>
    <w:rsid w:val="001B1B4C"/>
    <w:rsid w:val="001B1C11"/>
    <w:rsid w:val="001B1D0C"/>
    <w:rsid w:val="001B1EBA"/>
    <w:rsid w:val="001B1F59"/>
    <w:rsid w:val="001B20D2"/>
    <w:rsid w:val="001B214E"/>
    <w:rsid w:val="001B2185"/>
    <w:rsid w:val="001B2188"/>
    <w:rsid w:val="001B22D6"/>
    <w:rsid w:val="001B22FE"/>
    <w:rsid w:val="001B23FB"/>
    <w:rsid w:val="001B243E"/>
    <w:rsid w:val="001B2451"/>
    <w:rsid w:val="001B24D5"/>
    <w:rsid w:val="001B253E"/>
    <w:rsid w:val="001B2632"/>
    <w:rsid w:val="001B28FB"/>
    <w:rsid w:val="001B2968"/>
    <w:rsid w:val="001B2A26"/>
    <w:rsid w:val="001B2AF5"/>
    <w:rsid w:val="001B2AFC"/>
    <w:rsid w:val="001B2B09"/>
    <w:rsid w:val="001B2B9A"/>
    <w:rsid w:val="001B2C11"/>
    <w:rsid w:val="001B2CB3"/>
    <w:rsid w:val="001B2DA5"/>
    <w:rsid w:val="001B2DE3"/>
    <w:rsid w:val="001B3047"/>
    <w:rsid w:val="001B3137"/>
    <w:rsid w:val="001B32E7"/>
    <w:rsid w:val="001B3319"/>
    <w:rsid w:val="001B33D6"/>
    <w:rsid w:val="001B3437"/>
    <w:rsid w:val="001B3439"/>
    <w:rsid w:val="001B347B"/>
    <w:rsid w:val="001B34FC"/>
    <w:rsid w:val="001B3532"/>
    <w:rsid w:val="001B3553"/>
    <w:rsid w:val="001B369A"/>
    <w:rsid w:val="001B36AB"/>
    <w:rsid w:val="001B39CC"/>
    <w:rsid w:val="001B39E0"/>
    <w:rsid w:val="001B39FE"/>
    <w:rsid w:val="001B3A5B"/>
    <w:rsid w:val="001B3A6E"/>
    <w:rsid w:val="001B3AB5"/>
    <w:rsid w:val="001B3BB2"/>
    <w:rsid w:val="001B3BEB"/>
    <w:rsid w:val="001B3BF2"/>
    <w:rsid w:val="001B3BFC"/>
    <w:rsid w:val="001B3C6E"/>
    <w:rsid w:val="001B3CE9"/>
    <w:rsid w:val="001B3D35"/>
    <w:rsid w:val="001B3D53"/>
    <w:rsid w:val="001B3D5F"/>
    <w:rsid w:val="001B3DD2"/>
    <w:rsid w:val="001B3E3D"/>
    <w:rsid w:val="001B3EAF"/>
    <w:rsid w:val="001B3F41"/>
    <w:rsid w:val="001B3F78"/>
    <w:rsid w:val="001B3FBF"/>
    <w:rsid w:val="001B4164"/>
    <w:rsid w:val="001B416B"/>
    <w:rsid w:val="001B4187"/>
    <w:rsid w:val="001B4189"/>
    <w:rsid w:val="001B421C"/>
    <w:rsid w:val="001B4233"/>
    <w:rsid w:val="001B4255"/>
    <w:rsid w:val="001B4300"/>
    <w:rsid w:val="001B434B"/>
    <w:rsid w:val="001B4369"/>
    <w:rsid w:val="001B4547"/>
    <w:rsid w:val="001B4574"/>
    <w:rsid w:val="001B4633"/>
    <w:rsid w:val="001B4674"/>
    <w:rsid w:val="001B46D1"/>
    <w:rsid w:val="001B46F4"/>
    <w:rsid w:val="001B480B"/>
    <w:rsid w:val="001B4A05"/>
    <w:rsid w:val="001B4BE0"/>
    <w:rsid w:val="001B4CD0"/>
    <w:rsid w:val="001B4D63"/>
    <w:rsid w:val="001B4DEC"/>
    <w:rsid w:val="001B4EC0"/>
    <w:rsid w:val="001B4F75"/>
    <w:rsid w:val="001B5024"/>
    <w:rsid w:val="001B50FB"/>
    <w:rsid w:val="001B5124"/>
    <w:rsid w:val="001B5127"/>
    <w:rsid w:val="001B5139"/>
    <w:rsid w:val="001B5233"/>
    <w:rsid w:val="001B5391"/>
    <w:rsid w:val="001B5400"/>
    <w:rsid w:val="001B54F8"/>
    <w:rsid w:val="001B5513"/>
    <w:rsid w:val="001B5542"/>
    <w:rsid w:val="001B5581"/>
    <w:rsid w:val="001B577D"/>
    <w:rsid w:val="001B585B"/>
    <w:rsid w:val="001B5895"/>
    <w:rsid w:val="001B591B"/>
    <w:rsid w:val="001B5AF6"/>
    <w:rsid w:val="001B5C15"/>
    <w:rsid w:val="001B5D55"/>
    <w:rsid w:val="001B5D81"/>
    <w:rsid w:val="001B5D85"/>
    <w:rsid w:val="001B5DBA"/>
    <w:rsid w:val="001B5FC4"/>
    <w:rsid w:val="001B6012"/>
    <w:rsid w:val="001B6035"/>
    <w:rsid w:val="001B6039"/>
    <w:rsid w:val="001B605C"/>
    <w:rsid w:val="001B6124"/>
    <w:rsid w:val="001B61A1"/>
    <w:rsid w:val="001B624C"/>
    <w:rsid w:val="001B635D"/>
    <w:rsid w:val="001B638D"/>
    <w:rsid w:val="001B666F"/>
    <w:rsid w:val="001B671C"/>
    <w:rsid w:val="001B6980"/>
    <w:rsid w:val="001B6B86"/>
    <w:rsid w:val="001B6C02"/>
    <w:rsid w:val="001B6C49"/>
    <w:rsid w:val="001B6CAA"/>
    <w:rsid w:val="001B6D7C"/>
    <w:rsid w:val="001B6E3F"/>
    <w:rsid w:val="001B6ED9"/>
    <w:rsid w:val="001B7063"/>
    <w:rsid w:val="001B72C8"/>
    <w:rsid w:val="001B732F"/>
    <w:rsid w:val="001B739B"/>
    <w:rsid w:val="001B74E5"/>
    <w:rsid w:val="001B75C6"/>
    <w:rsid w:val="001B7660"/>
    <w:rsid w:val="001B76A6"/>
    <w:rsid w:val="001B7741"/>
    <w:rsid w:val="001B7757"/>
    <w:rsid w:val="001B77A2"/>
    <w:rsid w:val="001B77BD"/>
    <w:rsid w:val="001B77C6"/>
    <w:rsid w:val="001B7954"/>
    <w:rsid w:val="001B79CD"/>
    <w:rsid w:val="001B7ABD"/>
    <w:rsid w:val="001B7B65"/>
    <w:rsid w:val="001B7B7F"/>
    <w:rsid w:val="001B7BCE"/>
    <w:rsid w:val="001B7BFC"/>
    <w:rsid w:val="001B7CCD"/>
    <w:rsid w:val="001B7CDD"/>
    <w:rsid w:val="001B7D3E"/>
    <w:rsid w:val="001B7EA7"/>
    <w:rsid w:val="001B7F34"/>
    <w:rsid w:val="001C00A3"/>
    <w:rsid w:val="001C0111"/>
    <w:rsid w:val="001C014C"/>
    <w:rsid w:val="001C0211"/>
    <w:rsid w:val="001C0318"/>
    <w:rsid w:val="001C0566"/>
    <w:rsid w:val="001C06FC"/>
    <w:rsid w:val="001C07C8"/>
    <w:rsid w:val="001C0906"/>
    <w:rsid w:val="001C0A74"/>
    <w:rsid w:val="001C0AF0"/>
    <w:rsid w:val="001C0B18"/>
    <w:rsid w:val="001C0B3F"/>
    <w:rsid w:val="001C0BB4"/>
    <w:rsid w:val="001C0C4E"/>
    <w:rsid w:val="001C0C83"/>
    <w:rsid w:val="001C0D91"/>
    <w:rsid w:val="001C0DC2"/>
    <w:rsid w:val="001C0E4C"/>
    <w:rsid w:val="001C0E82"/>
    <w:rsid w:val="001C0EA6"/>
    <w:rsid w:val="001C0EC3"/>
    <w:rsid w:val="001C0F5D"/>
    <w:rsid w:val="001C1014"/>
    <w:rsid w:val="001C1132"/>
    <w:rsid w:val="001C122F"/>
    <w:rsid w:val="001C1293"/>
    <w:rsid w:val="001C12E9"/>
    <w:rsid w:val="001C131E"/>
    <w:rsid w:val="001C1373"/>
    <w:rsid w:val="001C1383"/>
    <w:rsid w:val="001C1515"/>
    <w:rsid w:val="001C16CE"/>
    <w:rsid w:val="001C1777"/>
    <w:rsid w:val="001C188D"/>
    <w:rsid w:val="001C192C"/>
    <w:rsid w:val="001C1A3E"/>
    <w:rsid w:val="001C1BF4"/>
    <w:rsid w:val="001C1E03"/>
    <w:rsid w:val="001C1E4C"/>
    <w:rsid w:val="001C1ED2"/>
    <w:rsid w:val="001C1EEB"/>
    <w:rsid w:val="001C2044"/>
    <w:rsid w:val="001C21DB"/>
    <w:rsid w:val="001C245F"/>
    <w:rsid w:val="001C250C"/>
    <w:rsid w:val="001C25BF"/>
    <w:rsid w:val="001C25EC"/>
    <w:rsid w:val="001C2749"/>
    <w:rsid w:val="001C2991"/>
    <w:rsid w:val="001C2BA0"/>
    <w:rsid w:val="001C2BF2"/>
    <w:rsid w:val="001C2C41"/>
    <w:rsid w:val="001C2CAB"/>
    <w:rsid w:val="001C2E18"/>
    <w:rsid w:val="001C2E27"/>
    <w:rsid w:val="001C2EC7"/>
    <w:rsid w:val="001C3045"/>
    <w:rsid w:val="001C30F3"/>
    <w:rsid w:val="001C3134"/>
    <w:rsid w:val="001C32D0"/>
    <w:rsid w:val="001C32D9"/>
    <w:rsid w:val="001C346E"/>
    <w:rsid w:val="001C35B5"/>
    <w:rsid w:val="001C361B"/>
    <w:rsid w:val="001C389F"/>
    <w:rsid w:val="001C38C9"/>
    <w:rsid w:val="001C391B"/>
    <w:rsid w:val="001C3A19"/>
    <w:rsid w:val="001C3A3B"/>
    <w:rsid w:val="001C3A5A"/>
    <w:rsid w:val="001C3AFB"/>
    <w:rsid w:val="001C3B67"/>
    <w:rsid w:val="001C3B86"/>
    <w:rsid w:val="001C3B95"/>
    <w:rsid w:val="001C3C64"/>
    <w:rsid w:val="001C3CC8"/>
    <w:rsid w:val="001C3D0B"/>
    <w:rsid w:val="001C3D35"/>
    <w:rsid w:val="001C3DC4"/>
    <w:rsid w:val="001C3E09"/>
    <w:rsid w:val="001C3EC1"/>
    <w:rsid w:val="001C3F11"/>
    <w:rsid w:val="001C3F76"/>
    <w:rsid w:val="001C4039"/>
    <w:rsid w:val="001C40E0"/>
    <w:rsid w:val="001C4118"/>
    <w:rsid w:val="001C413E"/>
    <w:rsid w:val="001C4185"/>
    <w:rsid w:val="001C41DE"/>
    <w:rsid w:val="001C4201"/>
    <w:rsid w:val="001C4475"/>
    <w:rsid w:val="001C449F"/>
    <w:rsid w:val="001C44A0"/>
    <w:rsid w:val="001C4502"/>
    <w:rsid w:val="001C456B"/>
    <w:rsid w:val="001C4599"/>
    <w:rsid w:val="001C45D7"/>
    <w:rsid w:val="001C46ED"/>
    <w:rsid w:val="001C47D0"/>
    <w:rsid w:val="001C4835"/>
    <w:rsid w:val="001C48DB"/>
    <w:rsid w:val="001C49F8"/>
    <w:rsid w:val="001C4A01"/>
    <w:rsid w:val="001C4A34"/>
    <w:rsid w:val="001C4B19"/>
    <w:rsid w:val="001C4C53"/>
    <w:rsid w:val="001C4C6A"/>
    <w:rsid w:val="001C4D03"/>
    <w:rsid w:val="001C4D08"/>
    <w:rsid w:val="001C4D87"/>
    <w:rsid w:val="001C4DEF"/>
    <w:rsid w:val="001C4E12"/>
    <w:rsid w:val="001C4E94"/>
    <w:rsid w:val="001C4F05"/>
    <w:rsid w:val="001C4F2D"/>
    <w:rsid w:val="001C4F78"/>
    <w:rsid w:val="001C4FAE"/>
    <w:rsid w:val="001C5107"/>
    <w:rsid w:val="001C52E5"/>
    <w:rsid w:val="001C52E8"/>
    <w:rsid w:val="001C532E"/>
    <w:rsid w:val="001C533F"/>
    <w:rsid w:val="001C54F8"/>
    <w:rsid w:val="001C5517"/>
    <w:rsid w:val="001C557F"/>
    <w:rsid w:val="001C5684"/>
    <w:rsid w:val="001C56B3"/>
    <w:rsid w:val="001C5706"/>
    <w:rsid w:val="001C570D"/>
    <w:rsid w:val="001C5928"/>
    <w:rsid w:val="001C59A7"/>
    <w:rsid w:val="001C5A91"/>
    <w:rsid w:val="001C5C77"/>
    <w:rsid w:val="001C5CC6"/>
    <w:rsid w:val="001C5D5B"/>
    <w:rsid w:val="001C5E24"/>
    <w:rsid w:val="001C5E98"/>
    <w:rsid w:val="001C5F21"/>
    <w:rsid w:val="001C604E"/>
    <w:rsid w:val="001C6088"/>
    <w:rsid w:val="001C6197"/>
    <w:rsid w:val="001C6281"/>
    <w:rsid w:val="001C62A7"/>
    <w:rsid w:val="001C62E0"/>
    <w:rsid w:val="001C6329"/>
    <w:rsid w:val="001C6397"/>
    <w:rsid w:val="001C63AC"/>
    <w:rsid w:val="001C6414"/>
    <w:rsid w:val="001C64AA"/>
    <w:rsid w:val="001C64F5"/>
    <w:rsid w:val="001C653F"/>
    <w:rsid w:val="001C6592"/>
    <w:rsid w:val="001C65C1"/>
    <w:rsid w:val="001C6652"/>
    <w:rsid w:val="001C665C"/>
    <w:rsid w:val="001C6795"/>
    <w:rsid w:val="001C683F"/>
    <w:rsid w:val="001C6865"/>
    <w:rsid w:val="001C6919"/>
    <w:rsid w:val="001C694B"/>
    <w:rsid w:val="001C69D2"/>
    <w:rsid w:val="001C69D8"/>
    <w:rsid w:val="001C6A16"/>
    <w:rsid w:val="001C6A30"/>
    <w:rsid w:val="001C6B43"/>
    <w:rsid w:val="001C6C13"/>
    <w:rsid w:val="001C6C8B"/>
    <w:rsid w:val="001C6C9C"/>
    <w:rsid w:val="001C6D0B"/>
    <w:rsid w:val="001C6FE9"/>
    <w:rsid w:val="001C7061"/>
    <w:rsid w:val="001C70E8"/>
    <w:rsid w:val="001C710C"/>
    <w:rsid w:val="001C7151"/>
    <w:rsid w:val="001C71E9"/>
    <w:rsid w:val="001C7272"/>
    <w:rsid w:val="001C732B"/>
    <w:rsid w:val="001C7515"/>
    <w:rsid w:val="001C752F"/>
    <w:rsid w:val="001C7545"/>
    <w:rsid w:val="001C7558"/>
    <w:rsid w:val="001C756A"/>
    <w:rsid w:val="001C76A7"/>
    <w:rsid w:val="001C76C5"/>
    <w:rsid w:val="001C790D"/>
    <w:rsid w:val="001C7945"/>
    <w:rsid w:val="001C796F"/>
    <w:rsid w:val="001C79B8"/>
    <w:rsid w:val="001C7A9E"/>
    <w:rsid w:val="001C7B7E"/>
    <w:rsid w:val="001C7B93"/>
    <w:rsid w:val="001C7D0F"/>
    <w:rsid w:val="001C7D2F"/>
    <w:rsid w:val="001C7D7B"/>
    <w:rsid w:val="001C7D9E"/>
    <w:rsid w:val="001C7E51"/>
    <w:rsid w:val="001C7E99"/>
    <w:rsid w:val="001C7F09"/>
    <w:rsid w:val="001C7F0C"/>
    <w:rsid w:val="001C7F25"/>
    <w:rsid w:val="001C7FB2"/>
    <w:rsid w:val="001D006A"/>
    <w:rsid w:val="001D00B7"/>
    <w:rsid w:val="001D0192"/>
    <w:rsid w:val="001D0328"/>
    <w:rsid w:val="001D0373"/>
    <w:rsid w:val="001D0522"/>
    <w:rsid w:val="001D0547"/>
    <w:rsid w:val="001D0615"/>
    <w:rsid w:val="001D0660"/>
    <w:rsid w:val="001D0850"/>
    <w:rsid w:val="001D0944"/>
    <w:rsid w:val="001D0982"/>
    <w:rsid w:val="001D0B58"/>
    <w:rsid w:val="001D0B71"/>
    <w:rsid w:val="001D0B72"/>
    <w:rsid w:val="001D0BC6"/>
    <w:rsid w:val="001D0BD7"/>
    <w:rsid w:val="001D0BD9"/>
    <w:rsid w:val="001D0C93"/>
    <w:rsid w:val="001D0CAB"/>
    <w:rsid w:val="001D0D89"/>
    <w:rsid w:val="001D0DDE"/>
    <w:rsid w:val="001D0DF3"/>
    <w:rsid w:val="001D0F78"/>
    <w:rsid w:val="001D0FB4"/>
    <w:rsid w:val="001D1070"/>
    <w:rsid w:val="001D10B3"/>
    <w:rsid w:val="001D12BA"/>
    <w:rsid w:val="001D12F9"/>
    <w:rsid w:val="001D1347"/>
    <w:rsid w:val="001D13A1"/>
    <w:rsid w:val="001D16D6"/>
    <w:rsid w:val="001D185C"/>
    <w:rsid w:val="001D1916"/>
    <w:rsid w:val="001D19A8"/>
    <w:rsid w:val="001D19FA"/>
    <w:rsid w:val="001D1BF7"/>
    <w:rsid w:val="001D1C93"/>
    <w:rsid w:val="001D1D8D"/>
    <w:rsid w:val="001D1E05"/>
    <w:rsid w:val="001D1E6D"/>
    <w:rsid w:val="001D1E8C"/>
    <w:rsid w:val="001D1ED0"/>
    <w:rsid w:val="001D20C2"/>
    <w:rsid w:val="001D217D"/>
    <w:rsid w:val="001D223E"/>
    <w:rsid w:val="001D234A"/>
    <w:rsid w:val="001D23DC"/>
    <w:rsid w:val="001D241E"/>
    <w:rsid w:val="001D2495"/>
    <w:rsid w:val="001D25F2"/>
    <w:rsid w:val="001D25F8"/>
    <w:rsid w:val="001D260B"/>
    <w:rsid w:val="001D2849"/>
    <w:rsid w:val="001D29BA"/>
    <w:rsid w:val="001D2A13"/>
    <w:rsid w:val="001D2B25"/>
    <w:rsid w:val="001D2B8D"/>
    <w:rsid w:val="001D2BDF"/>
    <w:rsid w:val="001D2BE9"/>
    <w:rsid w:val="001D2C7D"/>
    <w:rsid w:val="001D2D29"/>
    <w:rsid w:val="001D2D41"/>
    <w:rsid w:val="001D2DA5"/>
    <w:rsid w:val="001D2FE9"/>
    <w:rsid w:val="001D3013"/>
    <w:rsid w:val="001D3023"/>
    <w:rsid w:val="001D3030"/>
    <w:rsid w:val="001D3156"/>
    <w:rsid w:val="001D3389"/>
    <w:rsid w:val="001D33AB"/>
    <w:rsid w:val="001D3490"/>
    <w:rsid w:val="001D34AB"/>
    <w:rsid w:val="001D34D6"/>
    <w:rsid w:val="001D3630"/>
    <w:rsid w:val="001D36F0"/>
    <w:rsid w:val="001D38E4"/>
    <w:rsid w:val="001D3B3B"/>
    <w:rsid w:val="001D3D6A"/>
    <w:rsid w:val="001D3DAD"/>
    <w:rsid w:val="001D3DC6"/>
    <w:rsid w:val="001D3E28"/>
    <w:rsid w:val="001D3EBA"/>
    <w:rsid w:val="001D3EDC"/>
    <w:rsid w:val="001D3F06"/>
    <w:rsid w:val="001D3FDC"/>
    <w:rsid w:val="001D40BD"/>
    <w:rsid w:val="001D4197"/>
    <w:rsid w:val="001D4286"/>
    <w:rsid w:val="001D4452"/>
    <w:rsid w:val="001D449A"/>
    <w:rsid w:val="001D4651"/>
    <w:rsid w:val="001D470F"/>
    <w:rsid w:val="001D4740"/>
    <w:rsid w:val="001D4742"/>
    <w:rsid w:val="001D481D"/>
    <w:rsid w:val="001D48E7"/>
    <w:rsid w:val="001D4934"/>
    <w:rsid w:val="001D4CDC"/>
    <w:rsid w:val="001D4D52"/>
    <w:rsid w:val="001D4DAF"/>
    <w:rsid w:val="001D4E31"/>
    <w:rsid w:val="001D4F1C"/>
    <w:rsid w:val="001D4F27"/>
    <w:rsid w:val="001D5068"/>
    <w:rsid w:val="001D5553"/>
    <w:rsid w:val="001D555C"/>
    <w:rsid w:val="001D55C4"/>
    <w:rsid w:val="001D573C"/>
    <w:rsid w:val="001D588A"/>
    <w:rsid w:val="001D58B8"/>
    <w:rsid w:val="001D58B9"/>
    <w:rsid w:val="001D58C6"/>
    <w:rsid w:val="001D59CF"/>
    <w:rsid w:val="001D5A6C"/>
    <w:rsid w:val="001D5D58"/>
    <w:rsid w:val="001D5F78"/>
    <w:rsid w:val="001D6052"/>
    <w:rsid w:val="001D60AB"/>
    <w:rsid w:val="001D615B"/>
    <w:rsid w:val="001D619F"/>
    <w:rsid w:val="001D61B4"/>
    <w:rsid w:val="001D62C8"/>
    <w:rsid w:val="001D6334"/>
    <w:rsid w:val="001D63BD"/>
    <w:rsid w:val="001D6741"/>
    <w:rsid w:val="001D679F"/>
    <w:rsid w:val="001D681B"/>
    <w:rsid w:val="001D68A0"/>
    <w:rsid w:val="001D68E8"/>
    <w:rsid w:val="001D68EC"/>
    <w:rsid w:val="001D6955"/>
    <w:rsid w:val="001D6C6F"/>
    <w:rsid w:val="001D6C7E"/>
    <w:rsid w:val="001D6D7C"/>
    <w:rsid w:val="001D6E43"/>
    <w:rsid w:val="001D6EE4"/>
    <w:rsid w:val="001D6F1E"/>
    <w:rsid w:val="001D7006"/>
    <w:rsid w:val="001D7043"/>
    <w:rsid w:val="001D712C"/>
    <w:rsid w:val="001D7168"/>
    <w:rsid w:val="001D7192"/>
    <w:rsid w:val="001D74C4"/>
    <w:rsid w:val="001D7508"/>
    <w:rsid w:val="001D750C"/>
    <w:rsid w:val="001D76A5"/>
    <w:rsid w:val="001D774A"/>
    <w:rsid w:val="001D77D5"/>
    <w:rsid w:val="001D7944"/>
    <w:rsid w:val="001D79DE"/>
    <w:rsid w:val="001D7A04"/>
    <w:rsid w:val="001D7AEF"/>
    <w:rsid w:val="001D7C69"/>
    <w:rsid w:val="001D7DFC"/>
    <w:rsid w:val="001D7E11"/>
    <w:rsid w:val="001D7E58"/>
    <w:rsid w:val="001D7EF6"/>
    <w:rsid w:val="001D7FFD"/>
    <w:rsid w:val="001E0073"/>
    <w:rsid w:val="001E0093"/>
    <w:rsid w:val="001E00F4"/>
    <w:rsid w:val="001E011E"/>
    <w:rsid w:val="001E0168"/>
    <w:rsid w:val="001E01B6"/>
    <w:rsid w:val="001E01C0"/>
    <w:rsid w:val="001E02FB"/>
    <w:rsid w:val="001E03B9"/>
    <w:rsid w:val="001E0421"/>
    <w:rsid w:val="001E0439"/>
    <w:rsid w:val="001E04C7"/>
    <w:rsid w:val="001E04E4"/>
    <w:rsid w:val="001E054C"/>
    <w:rsid w:val="001E05A3"/>
    <w:rsid w:val="001E05C8"/>
    <w:rsid w:val="001E05E8"/>
    <w:rsid w:val="001E06E8"/>
    <w:rsid w:val="001E0751"/>
    <w:rsid w:val="001E0773"/>
    <w:rsid w:val="001E083B"/>
    <w:rsid w:val="001E08B5"/>
    <w:rsid w:val="001E08DF"/>
    <w:rsid w:val="001E0955"/>
    <w:rsid w:val="001E0BAC"/>
    <w:rsid w:val="001E0C37"/>
    <w:rsid w:val="001E0D6F"/>
    <w:rsid w:val="001E0D79"/>
    <w:rsid w:val="001E0DA6"/>
    <w:rsid w:val="001E0DA8"/>
    <w:rsid w:val="001E0E3E"/>
    <w:rsid w:val="001E0EE0"/>
    <w:rsid w:val="001E0EF6"/>
    <w:rsid w:val="001E0F61"/>
    <w:rsid w:val="001E1000"/>
    <w:rsid w:val="001E100A"/>
    <w:rsid w:val="001E1132"/>
    <w:rsid w:val="001E133F"/>
    <w:rsid w:val="001E1491"/>
    <w:rsid w:val="001E1507"/>
    <w:rsid w:val="001E161E"/>
    <w:rsid w:val="001E16A7"/>
    <w:rsid w:val="001E176C"/>
    <w:rsid w:val="001E18CB"/>
    <w:rsid w:val="001E19F4"/>
    <w:rsid w:val="001E1A37"/>
    <w:rsid w:val="001E1B6A"/>
    <w:rsid w:val="001E1DB4"/>
    <w:rsid w:val="001E1EDC"/>
    <w:rsid w:val="001E200F"/>
    <w:rsid w:val="001E21A4"/>
    <w:rsid w:val="001E21F8"/>
    <w:rsid w:val="001E235F"/>
    <w:rsid w:val="001E2593"/>
    <w:rsid w:val="001E2630"/>
    <w:rsid w:val="001E265C"/>
    <w:rsid w:val="001E2716"/>
    <w:rsid w:val="001E275A"/>
    <w:rsid w:val="001E27E5"/>
    <w:rsid w:val="001E2800"/>
    <w:rsid w:val="001E28B4"/>
    <w:rsid w:val="001E2987"/>
    <w:rsid w:val="001E2989"/>
    <w:rsid w:val="001E29BC"/>
    <w:rsid w:val="001E29F9"/>
    <w:rsid w:val="001E2A08"/>
    <w:rsid w:val="001E2A6B"/>
    <w:rsid w:val="001E2D8B"/>
    <w:rsid w:val="001E2E22"/>
    <w:rsid w:val="001E2E4C"/>
    <w:rsid w:val="001E2E7C"/>
    <w:rsid w:val="001E2FA6"/>
    <w:rsid w:val="001E2FF3"/>
    <w:rsid w:val="001E3006"/>
    <w:rsid w:val="001E3013"/>
    <w:rsid w:val="001E304D"/>
    <w:rsid w:val="001E306C"/>
    <w:rsid w:val="001E3090"/>
    <w:rsid w:val="001E30DE"/>
    <w:rsid w:val="001E30FB"/>
    <w:rsid w:val="001E312C"/>
    <w:rsid w:val="001E31C9"/>
    <w:rsid w:val="001E31E9"/>
    <w:rsid w:val="001E3360"/>
    <w:rsid w:val="001E3498"/>
    <w:rsid w:val="001E3526"/>
    <w:rsid w:val="001E361D"/>
    <w:rsid w:val="001E36B5"/>
    <w:rsid w:val="001E36B6"/>
    <w:rsid w:val="001E375C"/>
    <w:rsid w:val="001E3802"/>
    <w:rsid w:val="001E38D1"/>
    <w:rsid w:val="001E38D2"/>
    <w:rsid w:val="001E39F9"/>
    <w:rsid w:val="001E3AC8"/>
    <w:rsid w:val="001E3AC9"/>
    <w:rsid w:val="001E3AD8"/>
    <w:rsid w:val="001E3B18"/>
    <w:rsid w:val="001E3B37"/>
    <w:rsid w:val="001E3CAE"/>
    <w:rsid w:val="001E3E2D"/>
    <w:rsid w:val="001E3EAD"/>
    <w:rsid w:val="001E40D2"/>
    <w:rsid w:val="001E4418"/>
    <w:rsid w:val="001E45D6"/>
    <w:rsid w:val="001E4615"/>
    <w:rsid w:val="001E4644"/>
    <w:rsid w:val="001E470C"/>
    <w:rsid w:val="001E4896"/>
    <w:rsid w:val="001E48A0"/>
    <w:rsid w:val="001E48CA"/>
    <w:rsid w:val="001E4A05"/>
    <w:rsid w:val="001E4A8A"/>
    <w:rsid w:val="001E4BF6"/>
    <w:rsid w:val="001E4C52"/>
    <w:rsid w:val="001E4D5A"/>
    <w:rsid w:val="001E4D68"/>
    <w:rsid w:val="001E4DAD"/>
    <w:rsid w:val="001E4E14"/>
    <w:rsid w:val="001E4E7F"/>
    <w:rsid w:val="001E4EB9"/>
    <w:rsid w:val="001E4F6A"/>
    <w:rsid w:val="001E4FEA"/>
    <w:rsid w:val="001E501C"/>
    <w:rsid w:val="001E51C0"/>
    <w:rsid w:val="001E52DA"/>
    <w:rsid w:val="001E53B2"/>
    <w:rsid w:val="001E5487"/>
    <w:rsid w:val="001E54C3"/>
    <w:rsid w:val="001E54D0"/>
    <w:rsid w:val="001E55A9"/>
    <w:rsid w:val="001E55FA"/>
    <w:rsid w:val="001E5719"/>
    <w:rsid w:val="001E576D"/>
    <w:rsid w:val="001E58A2"/>
    <w:rsid w:val="001E58EC"/>
    <w:rsid w:val="001E59B2"/>
    <w:rsid w:val="001E5ABA"/>
    <w:rsid w:val="001E5ADB"/>
    <w:rsid w:val="001E5B49"/>
    <w:rsid w:val="001E5B57"/>
    <w:rsid w:val="001E5C70"/>
    <w:rsid w:val="001E5C87"/>
    <w:rsid w:val="001E5CC8"/>
    <w:rsid w:val="001E5D40"/>
    <w:rsid w:val="001E5DFC"/>
    <w:rsid w:val="001E5E10"/>
    <w:rsid w:val="001E5FC9"/>
    <w:rsid w:val="001E615B"/>
    <w:rsid w:val="001E61C8"/>
    <w:rsid w:val="001E61F4"/>
    <w:rsid w:val="001E625B"/>
    <w:rsid w:val="001E6281"/>
    <w:rsid w:val="001E6289"/>
    <w:rsid w:val="001E629A"/>
    <w:rsid w:val="001E629B"/>
    <w:rsid w:val="001E6496"/>
    <w:rsid w:val="001E64BE"/>
    <w:rsid w:val="001E662F"/>
    <w:rsid w:val="001E664B"/>
    <w:rsid w:val="001E6658"/>
    <w:rsid w:val="001E66A3"/>
    <w:rsid w:val="001E6791"/>
    <w:rsid w:val="001E67C8"/>
    <w:rsid w:val="001E6834"/>
    <w:rsid w:val="001E6912"/>
    <w:rsid w:val="001E691C"/>
    <w:rsid w:val="001E6B8F"/>
    <w:rsid w:val="001E6C5B"/>
    <w:rsid w:val="001E6C6E"/>
    <w:rsid w:val="001E6D5D"/>
    <w:rsid w:val="001E6D79"/>
    <w:rsid w:val="001E6F23"/>
    <w:rsid w:val="001E6F30"/>
    <w:rsid w:val="001E6F49"/>
    <w:rsid w:val="001E6FFA"/>
    <w:rsid w:val="001E7084"/>
    <w:rsid w:val="001E70A5"/>
    <w:rsid w:val="001E70F5"/>
    <w:rsid w:val="001E7237"/>
    <w:rsid w:val="001E7338"/>
    <w:rsid w:val="001E737F"/>
    <w:rsid w:val="001E7429"/>
    <w:rsid w:val="001E748E"/>
    <w:rsid w:val="001E74C6"/>
    <w:rsid w:val="001E7622"/>
    <w:rsid w:val="001E76CC"/>
    <w:rsid w:val="001E7770"/>
    <w:rsid w:val="001E7775"/>
    <w:rsid w:val="001E7782"/>
    <w:rsid w:val="001E77A0"/>
    <w:rsid w:val="001E7859"/>
    <w:rsid w:val="001E792F"/>
    <w:rsid w:val="001E7932"/>
    <w:rsid w:val="001E7AAB"/>
    <w:rsid w:val="001E7B2F"/>
    <w:rsid w:val="001E7CCF"/>
    <w:rsid w:val="001E7CF4"/>
    <w:rsid w:val="001E7D10"/>
    <w:rsid w:val="001E7D48"/>
    <w:rsid w:val="001E7F34"/>
    <w:rsid w:val="001E7F35"/>
    <w:rsid w:val="001E7FDF"/>
    <w:rsid w:val="001F008F"/>
    <w:rsid w:val="001F00BA"/>
    <w:rsid w:val="001F041E"/>
    <w:rsid w:val="001F05C7"/>
    <w:rsid w:val="001F0839"/>
    <w:rsid w:val="001F08DA"/>
    <w:rsid w:val="001F0975"/>
    <w:rsid w:val="001F0B32"/>
    <w:rsid w:val="001F0C92"/>
    <w:rsid w:val="001F0DAF"/>
    <w:rsid w:val="001F0DB7"/>
    <w:rsid w:val="001F0E2F"/>
    <w:rsid w:val="001F0F22"/>
    <w:rsid w:val="001F118A"/>
    <w:rsid w:val="001F1196"/>
    <w:rsid w:val="001F11E3"/>
    <w:rsid w:val="001F13A8"/>
    <w:rsid w:val="001F13F6"/>
    <w:rsid w:val="001F140A"/>
    <w:rsid w:val="001F166F"/>
    <w:rsid w:val="001F16C1"/>
    <w:rsid w:val="001F1727"/>
    <w:rsid w:val="001F189A"/>
    <w:rsid w:val="001F1938"/>
    <w:rsid w:val="001F1A23"/>
    <w:rsid w:val="001F1AC4"/>
    <w:rsid w:val="001F1AF9"/>
    <w:rsid w:val="001F1B11"/>
    <w:rsid w:val="001F1B4C"/>
    <w:rsid w:val="001F1BE2"/>
    <w:rsid w:val="001F1CFF"/>
    <w:rsid w:val="001F1D0A"/>
    <w:rsid w:val="001F1D1E"/>
    <w:rsid w:val="001F1D5D"/>
    <w:rsid w:val="001F200F"/>
    <w:rsid w:val="001F203E"/>
    <w:rsid w:val="001F20E8"/>
    <w:rsid w:val="001F2142"/>
    <w:rsid w:val="001F2181"/>
    <w:rsid w:val="001F238E"/>
    <w:rsid w:val="001F2499"/>
    <w:rsid w:val="001F24F3"/>
    <w:rsid w:val="001F25A1"/>
    <w:rsid w:val="001F261F"/>
    <w:rsid w:val="001F26C1"/>
    <w:rsid w:val="001F2707"/>
    <w:rsid w:val="001F2713"/>
    <w:rsid w:val="001F2891"/>
    <w:rsid w:val="001F2997"/>
    <w:rsid w:val="001F2BC0"/>
    <w:rsid w:val="001F2C6C"/>
    <w:rsid w:val="001F2D6A"/>
    <w:rsid w:val="001F3011"/>
    <w:rsid w:val="001F3141"/>
    <w:rsid w:val="001F3144"/>
    <w:rsid w:val="001F32D4"/>
    <w:rsid w:val="001F33F6"/>
    <w:rsid w:val="001F3510"/>
    <w:rsid w:val="001F373E"/>
    <w:rsid w:val="001F37A3"/>
    <w:rsid w:val="001F37C8"/>
    <w:rsid w:val="001F3859"/>
    <w:rsid w:val="001F3984"/>
    <w:rsid w:val="001F398E"/>
    <w:rsid w:val="001F399A"/>
    <w:rsid w:val="001F39B5"/>
    <w:rsid w:val="001F39BC"/>
    <w:rsid w:val="001F3A7F"/>
    <w:rsid w:val="001F3B51"/>
    <w:rsid w:val="001F3D07"/>
    <w:rsid w:val="001F3D8E"/>
    <w:rsid w:val="001F3DFA"/>
    <w:rsid w:val="001F3F6D"/>
    <w:rsid w:val="001F413B"/>
    <w:rsid w:val="001F415E"/>
    <w:rsid w:val="001F41A6"/>
    <w:rsid w:val="001F41E8"/>
    <w:rsid w:val="001F41FF"/>
    <w:rsid w:val="001F4250"/>
    <w:rsid w:val="001F42F8"/>
    <w:rsid w:val="001F4350"/>
    <w:rsid w:val="001F4416"/>
    <w:rsid w:val="001F4553"/>
    <w:rsid w:val="001F457D"/>
    <w:rsid w:val="001F46CD"/>
    <w:rsid w:val="001F46F0"/>
    <w:rsid w:val="001F46FF"/>
    <w:rsid w:val="001F47EA"/>
    <w:rsid w:val="001F48D3"/>
    <w:rsid w:val="001F4A88"/>
    <w:rsid w:val="001F4AB2"/>
    <w:rsid w:val="001F4B84"/>
    <w:rsid w:val="001F4E6A"/>
    <w:rsid w:val="001F503C"/>
    <w:rsid w:val="001F50AD"/>
    <w:rsid w:val="001F515C"/>
    <w:rsid w:val="001F5161"/>
    <w:rsid w:val="001F524C"/>
    <w:rsid w:val="001F5273"/>
    <w:rsid w:val="001F52D7"/>
    <w:rsid w:val="001F52E0"/>
    <w:rsid w:val="001F533C"/>
    <w:rsid w:val="001F5341"/>
    <w:rsid w:val="001F546F"/>
    <w:rsid w:val="001F5712"/>
    <w:rsid w:val="001F584E"/>
    <w:rsid w:val="001F5868"/>
    <w:rsid w:val="001F58A7"/>
    <w:rsid w:val="001F5B55"/>
    <w:rsid w:val="001F5BE2"/>
    <w:rsid w:val="001F5C18"/>
    <w:rsid w:val="001F5C67"/>
    <w:rsid w:val="001F5CBE"/>
    <w:rsid w:val="001F5CF0"/>
    <w:rsid w:val="001F5D84"/>
    <w:rsid w:val="001F5DAC"/>
    <w:rsid w:val="001F5DBB"/>
    <w:rsid w:val="001F5DD5"/>
    <w:rsid w:val="001F5E38"/>
    <w:rsid w:val="001F5F32"/>
    <w:rsid w:val="001F6069"/>
    <w:rsid w:val="001F60CD"/>
    <w:rsid w:val="001F62FE"/>
    <w:rsid w:val="001F6351"/>
    <w:rsid w:val="001F6417"/>
    <w:rsid w:val="001F64F8"/>
    <w:rsid w:val="001F66E6"/>
    <w:rsid w:val="001F6747"/>
    <w:rsid w:val="001F67A1"/>
    <w:rsid w:val="001F67F8"/>
    <w:rsid w:val="001F682B"/>
    <w:rsid w:val="001F6982"/>
    <w:rsid w:val="001F69BE"/>
    <w:rsid w:val="001F6B11"/>
    <w:rsid w:val="001F6CD2"/>
    <w:rsid w:val="001F6D11"/>
    <w:rsid w:val="001F6DA6"/>
    <w:rsid w:val="001F6E78"/>
    <w:rsid w:val="001F6E8E"/>
    <w:rsid w:val="001F6EC4"/>
    <w:rsid w:val="001F6EC7"/>
    <w:rsid w:val="001F6ECF"/>
    <w:rsid w:val="001F6F3C"/>
    <w:rsid w:val="001F714F"/>
    <w:rsid w:val="001F716D"/>
    <w:rsid w:val="001F7469"/>
    <w:rsid w:val="001F7566"/>
    <w:rsid w:val="001F76B2"/>
    <w:rsid w:val="001F7770"/>
    <w:rsid w:val="001F77D8"/>
    <w:rsid w:val="001F7859"/>
    <w:rsid w:val="001F786D"/>
    <w:rsid w:val="001F798B"/>
    <w:rsid w:val="001F79E8"/>
    <w:rsid w:val="001F7A6D"/>
    <w:rsid w:val="001F7B35"/>
    <w:rsid w:val="001F7B5F"/>
    <w:rsid w:val="001F7BA3"/>
    <w:rsid w:val="001F7C53"/>
    <w:rsid w:val="001F7EC4"/>
    <w:rsid w:val="001F7F5C"/>
    <w:rsid w:val="002000EF"/>
    <w:rsid w:val="00200256"/>
    <w:rsid w:val="0020030D"/>
    <w:rsid w:val="002003DA"/>
    <w:rsid w:val="0020044E"/>
    <w:rsid w:val="00200529"/>
    <w:rsid w:val="00200550"/>
    <w:rsid w:val="002005CF"/>
    <w:rsid w:val="002006AC"/>
    <w:rsid w:val="0020072C"/>
    <w:rsid w:val="002007C3"/>
    <w:rsid w:val="002007CE"/>
    <w:rsid w:val="00200892"/>
    <w:rsid w:val="002008C2"/>
    <w:rsid w:val="0020090C"/>
    <w:rsid w:val="0020095E"/>
    <w:rsid w:val="00200A42"/>
    <w:rsid w:val="00200A60"/>
    <w:rsid w:val="00200B89"/>
    <w:rsid w:val="00200C26"/>
    <w:rsid w:val="00200C51"/>
    <w:rsid w:val="00200C68"/>
    <w:rsid w:val="00200C6A"/>
    <w:rsid w:val="00200CDB"/>
    <w:rsid w:val="00200CEB"/>
    <w:rsid w:val="00200D31"/>
    <w:rsid w:val="00200D3C"/>
    <w:rsid w:val="00200D73"/>
    <w:rsid w:val="00200DD1"/>
    <w:rsid w:val="0020100E"/>
    <w:rsid w:val="002011FD"/>
    <w:rsid w:val="002012B9"/>
    <w:rsid w:val="0020135F"/>
    <w:rsid w:val="0020137E"/>
    <w:rsid w:val="00201402"/>
    <w:rsid w:val="0020143D"/>
    <w:rsid w:val="00201491"/>
    <w:rsid w:val="0020156F"/>
    <w:rsid w:val="002015D9"/>
    <w:rsid w:val="00201724"/>
    <w:rsid w:val="00201937"/>
    <w:rsid w:val="00201A8E"/>
    <w:rsid w:val="00201BF8"/>
    <w:rsid w:val="00201FF4"/>
    <w:rsid w:val="002020FA"/>
    <w:rsid w:val="0020211A"/>
    <w:rsid w:val="002021C8"/>
    <w:rsid w:val="00202226"/>
    <w:rsid w:val="0020225C"/>
    <w:rsid w:val="00202373"/>
    <w:rsid w:val="002024A5"/>
    <w:rsid w:val="002026E4"/>
    <w:rsid w:val="0020278F"/>
    <w:rsid w:val="002027B6"/>
    <w:rsid w:val="002027F9"/>
    <w:rsid w:val="002029C2"/>
    <w:rsid w:val="00202A13"/>
    <w:rsid w:val="00202AD3"/>
    <w:rsid w:val="00202B26"/>
    <w:rsid w:val="00202B42"/>
    <w:rsid w:val="00202B6F"/>
    <w:rsid w:val="00202CBC"/>
    <w:rsid w:val="00202D2C"/>
    <w:rsid w:val="00202DC7"/>
    <w:rsid w:val="00202DEC"/>
    <w:rsid w:val="00202E71"/>
    <w:rsid w:val="00202F6D"/>
    <w:rsid w:val="00202FD4"/>
    <w:rsid w:val="0020309A"/>
    <w:rsid w:val="002031E7"/>
    <w:rsid w:val="002031FF"/>
    <w:rsid w:val="0020322F"/>
    <w:rsid w:val="00203239"/>
    <w:rsid w:val="0020325F"/>
    <w:rsid w:val="002032F9"/>
    <w:rsid w:val="002033CB"/>
    <w:rsid w:val="0020349E"/>
    <w:rsid w:val="002034AC"/>
    <w:rsid w:val="0020356D"/>
    <w:rsid w:val="00203580"/>
    <w:rsid w:val="00203593"/>
    <w:rsid w:val="00203725"/>
    <w:rsid w:val="00203802"/>
    <w:rsid w:val="00203809"/>
    <w:rsid w:val="0020381A"/>
    <w:rsid w:val="00203836"/>
    <w:rsid w:val="00203858"/>
    <w:rsid w:val="00203895"/>
    <w:rsid w:val="002038A4"/>
    <w:rsid w:val="00203A04"/>
    <w:rsid w:val="00203A58"/>
    <w:rsid w:val="00203B69"/>
    <w:rsid w:val="00203BA3"/>
    <w:rsid w:val="00203BCE"/>
    <w:rsid w:val="00203C03"/>
    <w:rsid w:val="00203C06"/>
    <w:rsid w:val="00203C96"/>
    <w:rsid w:val="00203CA4"/>
    <w:rsid w:val="00203CA6"/>
    <w:rsid w:val="00203CE2"/>
    <w:rsid w:val="00203D83"/>
    <w:rsid w:val="00203ED0"/>
    <w:rsid w:val="0020409A"/>
    <w:rsid w:val="002040C1"/>
    <w:rsid w:val="002040CC"/>
    <w:rsid w:val="0020411D"/>
    <w:rsid w:val="0020414C"/>
    <w:rsid w:val="00204207"/>
    <w:rsid w:val="002043C6"/>
    <w:rsid w:val="0020460C"/>
    <w:rsid w:val="002046A7"/>
    <w:rsid w:val="00204715"/>
    <w:rsid w:val="00204794"/>
    <w:rsid w:val="00204881"/>
    <w:rsid w:val="002048F1"/>
    <w:rsid w:val="00204A67"/>
    <w:rsid w:val="00204ABC"/>
    <w:rsid w:val="00204AF6"/>
    <w:rsid w:val="00204B22"/>
    <w:rsid w:val="00204B3B"/>
    <w:rsid w:val="00204B99"/>
    <w:rsid w:val="00204C8A"/>
    <w:rsid w:val="00204CD6"/>
    <w:rsid w:val="00204CE2"/>
    <w:rsid w:val="00204D0F"/>
    <w:rsid w:val="00204E28"/>
    <w:rsid w:val="00204E79"/>
    <w:rsid w:val="00204FE8"/>
    <w:rsid w:val="00205002"/>
    <w:rsid w:val="0020510C"/>
    <w:rsid w:val="0020516E"/>
    <w:rsid w:val="002054E9"/>
    <w:rsid w:val="00205540"/>
    <w:rsid w:val="0020573C"/>
    <w:rsid w:val="00205788"/>
    <w:rsid w:val="002057B9"/>
    <w:rsid w:val="002059FB"/>
    <w:rsid w:val="00205CAA"/>
    <w:rsid w:val="00205D67"/>
    <w:rsid w:val="00205E51"/>
    <w:rsid w:val="00205EB0"/>
    <w:rsid w:val="00205FFC"/>
    <w:rsid w:val="0020607A"/>
    <w:rsid w:val="00206084"/>
    <w:rsid w:val="00206104"/>
    <w:rsid w:val="00206120"/>
    <w:rsid w:val="00206124"/>
    <w:rsid w:val="00206128"/>
    <w:rsid w:val="00206134"/>
    <w:rsid w:val="0020622E"/>
    <w:rsid w:val="0020627A"/>
    <w:rsid w:val="00206387"/>
    <w:rsid w:val="002063E9"/>
    <w:rsid w:val="002064C6"/>
    <w:rsid w:val="002064F3"/>
    <w:rsid w:val="00206500"/>
    <w:rsid w:val="0020668D"/>
    <w:rsid w:val="00206743"/>
    <w:rsid w:val="00206757"/>
    <w:rsid w:val="0020675D"/>
    <w:rsid w:val="002067BF"/>
    <w:rsid w:val="00206938"/>
    <w:rsid w:val="00206974"/>
    <w:rsid w:val="00206976"/>
    <w:rsid w:val="00206AF7"/>
    <w:rsid w:val="00206BA8"/>
    <w:rsid w:val="00206C63"/>
    <w:rsid w:val="00206D23"/>
    <w:rsid w:val="00206DD0"/>
    <w:rsid w:val="00206E3C"/>
    <w:rsid w:val="00206EB3"/>
    <w:rsid w:val="00206F9C"/>
    <w:rsid w:val="00206FF6"/>
    <w:rsid w:val="00207006"/>
    <w:rsid w:val="0020706E"/>
    <w:rsid w:val="0020712D"/>
    <w:rsid w:val="002071A9"/>
    <w:rsid w:val="002071B9"/>
    <w:rsid w:val="002071DE"/>
    <w:rsid w:val="00207265"/>
    <w:rsid w:val="002072B4"/>
    <w:rsid w:val="0020731A"/>
    <w:rsid w:val="002073CE"/>
    <w:rsid w:val="002074E3"/>
    <w:rsid w:val="002076EE"/>
    <w:rsid w:val="0020774D"/>
    <w:rsid w:val="002077AC"/>
    <w:rsid w:val="002077C0"/>
    <w:rsid w:val="0020783D"/>
    <w:rsid w:val="0020791A"/>
    <w:rsid w:val="002079FB"/>
    <w:rsid w:val="00207A6D"/>
    <w:rsid w:val="00207B34"/>
    <w:rsid w:val="00207BBC"/>
    <w:rsid w:val="00207BCF"/>
    <w:rsid w:val="00207DAA"/>
    <w:rsid w:val="00207E7C"/>
    <w:rsid w:val="00207F5D"/>
    <w:rsid w:val="00207FA5"/>
    <w:rsid w:val="00210014"/>
    <w:rsid w:val="00210117"/>
    <w:rsid w:val="00210283"/>
    <w:rsid w:val="002102C1"/>
    <w:rsid w:val="002102E4"/>
    <w:rsid w:val="002103A0"/>
    <w:rsid w:val="002104BE"/>
    <w:rsid w:val="002104E1"/>
    <w:rsid w:val="00210563"/>
    <w:rsid w:val="0021057B"/>
    <w:rsid w:val="002105BB"/>
    <w:rsid w:val="002106C8"/>
    <w:rsid w:val="002107EA"/>
    <w:rsid w:val="0021088D"/>
    <w:rsid w:val="002108EE"/>
    <w:rsid w:val="002108F7"/>
    <w:rsid w:val="00210929"/>
    <w:rsid w:val="00210967"/>
    <w:rsid w:val="00210985"/>
    <w:rsid w:val="002109E1"/>
    <w:rsid w:val="00210BC1"/>
    <w:rsid w:val="00210C77"/>
    <w:rsid w:val="00210CBB"/>
    <w:rsid w:val="00210CE2"/>
    <w:rsid w:val="00210DC1"/>
    <w:rsid w:val="00210E35"/>
    <w:rsid w:val="00210E51"/>
    <w:rsid w:val="00210E7B"/>
    <w:rsid w:val="00210EB5"/>
    <w:rsid w:val="00210EBD"/>
    <w:rsid w:val="0021111C"/>
    <w:rsid w:val="0021140A"/>
    <w:rsid w:val="0021151A"/>
    <w:rsid w:val="002115A1"/>
    <w:rsid w:val="00211624"/>
    <w:rsid w:val="0021164F"/>
    <w:rsid w:val="0021167A"/>
    <w:rsid w:val="002116DF"/>
    <w:rsid w:val="00211833"/>
    <w:rsid w:val="00211851"/>
    <w:rsid w:val="002118C7"/>
    <w:rsid w:val="00211905"/>
    <w:rsid w:val="00211910"/>
    <w:rsid w:val="00211919"/>
    <w:rsid w:val="00211995"/>
    <w:rsid w:val="00211A32"/>
    <w:rsid w:val="00211B38"/>
    <w:rsid w:val="00211B6E"/>
    <w:rsid w:val="00211C51"/>
    <w:rsid w:val="00211CA2"/>
    <w:rsid w:val="00211D47"/>
    <w:rsid w:val="00211D75"/>
    <w:rsid w:val="00211E4E"/>
    <w:rsid w:val="00211F88"/>
    <w:rsid w:val="00211FF5"/>
    <w:rsid w:val="00212084"/>
    <w:rsid w:val="0021210E"/>
    <w:rsid w:val="00212125"/>
    <w:rsid w:val="002121A9"/>
    <w:rsid w:val="00212279"/>
    <w:rsid w:val="002122EB"/>
    <w:rsid w:val="002122F8"/>
    <w:rsid w:val="00212305"/>
    <w:rsid w:val="00212340"/>
    <w:rsid w:val="00212438"/>
    <w:rsid w:val="0021260F"/>
    <w:rsid w:val="002128D3"/>
    <w:rsid w:val="002128F0"/>
    <w:rsid w:val="00212969"/>
    <w:rsid w:val="0021297B"/>
    <w:rsid w:val="00212A27"/>
    <w:rsid w:val="00212A8C"/>
    <w:rsid w:val="00212B02"/>
    <w:rsid w:val="00212B24"/>
    <w:rsid w:val="00212B39"/>
    <w:rsid w:val="00212B9C"/>
    <w:rsid w:val="00212D39"/>
    <w:rsid w:val="00212E70"/>
    <w:rsid w:val="00212EE0"/>
    <w:rsid w:val="00213146"/>
    <w:rsid w:val="002131E6"/>
    <w:rsid w:val="002133CF"/>
    <w:rsid w:val="002134B0"/>
    <w:rsid w:val="002134C9"/>
    <w:rsid w:val="00213575"/>
    <w:rsid w:val="00213576"/>
    <w:rsid w:val="002135C9"/>
    <w:rsid w:val="00213698"/>
    <w:rsid w:val="00213931"/>
    <w:rsid w:val="00213A7C"/>
    <w:rsid w:val="00213AA8"/>
    <w:rsid w:val="00213B58"/>
    <w:rsid w:val="00213DB4"/>
    <w:rsid w:val="00213F6F"/>
    <w:rsid w:val="00213FC8"/>
    <w:rsid w:val="00214185"/>
    <w:rsid w:val="0021418B"/>
    <w:rsid w:val="00214191"/>
    <w:rsid w:val="002141AA"/>
    <w:rsid w:val="002141C3"/>
    <w:rsid w:val="0021441C"/>
    <w:rsid w:val="00214586"/>
    <w:rsid w:val="002145B2"/>
    <w:rsid w:val="002145D2"/>
    <w:rsid w:val="002147D1"/>
    <w:rsid w:val="00214811"/>
    <w:rsid w:val="00214893"/>
    <w:rsid w:val="002148F5"/>
    <w:rsid w:val="00214A1C"/>
    <w:rsid w:val="00214A8E"/>
    <w:rsid w:val="00214A96"/>
    <w:rsid w:val="00214A9B"/>
    <w:rsid w:val="00214B3B"/>
    <w:rsid w:val="00214B87"/>
    <w:rsid w:val="00214C71"/>
    <w:rsid w:val="00214C83"/>
    <w:rsid w:val="00214D1C"/>
    <w:rsid w:val="00214D52"/>
    <w:rsid w:val="00214D59"/>
    <w:rsid w:val="00214F5B"/>
    <w:rsid w:val="00215072"/>
    <w:rsid w:val="002151AE"/>
    <w:rsid w:val="0021520A"/>
    <w:rsid w:val="0021524A"/>
    <w:rsid w:val="002154CF"/>
    <w:rsid w:val="00215600"/>
    <w:rsid w:val="002156F3"/>
    <w:rsid w:val="002157D1"/>
    <w:rsid w:val="002157EF"/>
    <w:rsid w:val="002158A2"/>
    <w:rsid w:val="002158BC"/>
    <w:rsid w:val="002158FA"/>
    <w:rsid w:val="002158FC"/>
    <w:rsid w:val="002158FF"/>
    <w:rsid w:val="00215906"/>
    <w:rsid w:val="002159B9"/>
    <w:rsid w:val="002159FB"/>
    <w:rsid w:val="00215A75"/>
    <w:rsid w:val="00215BFA"/>
    <w:rsid w:val="00215C8E"/>
    <w:rsid w:val="00215D65"/>
    <w:rsid w:val="002160F1"/>
    <w:rsid w:val="002161ED"/>
    <w:rsid w:val="00216245"/>
    <w:rsid w:val="00216322"/>
    <w:rsid w:val="0021637A"/>
    <w:rsid w:val="002163DF"/>
    <w:rsid w:val="002164F7"/>
    <w:rsid w:val="00216537"/>
    <w:rsid w:val="00216556"/>
    <w:rsid w:val="0021658B"/>
    <w:rsid w:val="0021659E"/>
    <w:rsid w:val="0021668E"/>
    <w:rsid w:val="002166DC"/>
    <w:rsid w:val="00216721"/>
    <w:rsid w:val="0021674C"/>
    <w:rsid w:val="002167E5"/>
    <w:rsid w:val="00216812"/>
    <w:rsid w:val="00216834"/>
    <w:rsid w:val="002168F5"/>
    <w:rsid w:val="00216918"/>
    <w:rsid w:val="00216AFF"/>
    <w:rsid w:val="00216D00"/>
    <w:rsid w:val="00216D27"/>
    <w:rsid w:val="00216F28"/>
    <w:rsid w:val="0021705B"/>
    <w:rsid w:val="00217066"/>
    <w:rsid w:val="002170FE"/>
    <w:rsid w:val="002171A9"/>
    <w:rsid w:val="002171D9"/>
    <w:rsid w:val="00217213"/>
    <w:rsid w:val="0021729E"/>
    <w:rsid w:val="002172E0"/>
    <w:rsid w:val="00217422"/>
    <w:rsid w:val="0021747F"/>
    <w:rsid w:val="0021752E"/>
    <w:rsid w:val="002175C5"/>
    <w:rsid w:val="002175F6"/>
    <w:rsid w:val="00217639"/>
    <w:rsid w:val="0021771B"/>
    <w:rsid w:val="002177F6"/>
    <w:rsid w:val="00217814"/>
    <w:rsid w:val="00217AD3"/>
    <w:rsid w:val="00217CB6"/>
    <w:rsid w:val="00217CEC"/>
    <w:rsid w:val="00217E7C"/>
    <w:rsid w:val="00217EC6"/>
    <w:rsid w:val="00217EFC"/>
    <w:rsid w:val="002200BA"/>
    <w:rsid w:val="002200C5"/>
    <w:rsid w:val="0022015B"/>
    <w:rsid w:val="002201CF"/>
    <w:rsid w:val="002201E6"/>
    <w:rsid w:val="00220200"/>
    <w:rsid w:val="00220215"/>
    <w:rsid w:val="0022021B"/>
    <w:rsid w:val="0022027D"/>
    <w:rsid w:val="00220347"/>
    <w:rsid w:val="002203ED"/>
    <w:rsid w:val="00220412"/>
    <w:rsid w:val="00220456"/>
    <w:rsid w:val="002206FE"/>
    <w:rsid w:val="002207B1"/>
    <w:rsid w:val="0022084B"/>
    <w:rsid w:val="00220937"/>
    <w:rsid w:val="0022096A"/>
    <w:rsid w:val="00220BE6"/>
    <w:rsid w:val="00220BF8"/>
    <w:rsid w:val="00220C24"/>
    <w:rsid w:val="00220C79"/>
    <w:rsid w:val="00220C97"/>
    <w:rsid w:val="00220D7E"/>
    <w:rsid w:val="00220DA6"/>
    <w:rsid w:val="00220E84"/>
    <w:rsid w:val="00221151"/>
    <w:rsid w:val="002211DF"/>
    <w:rsid w:val="0022126B"/>
    <w:rsid w:val="00221279"/>
    <w:rsid w:val="002212E0"/>
    <w:rsid w:val="002212EC"/>
    <w:rsid w:val="00221352"/>
    <w:rsid w:val="00221369"/>
    <w:rsid w:val="002214C3"/>
    <w:rsid w:val="00221535"/>
    <w:rsid w:val="0022161A"/>
    <w:rsid w:val="0022162C"/>
    <w:rsid w:val="00221698"/>
    <w:rsid w:val="002216CD"/>
    <w:rsid w:val="0022176A"/>
    <w:rsid w:val="0022179D"/>
    <w:rsid w:val="00221901"/>
    <w:rsid w:val="00221993"/>
    <w:rsid w:val="002219B8"/>
    <w:rsid w:val="00221B61"/>
    <w:rsid w:val="00221CC2"/>
    <w:rsid w:val="00221DCB"/>
    <w:rsid w:val="00221E66"/>
    <w:rsid w:val="00221F9C"/>
    <w:rsid w:val="00222162"/>
    <w:rsid w:val="002221A6"/>
    <w:rsid w:val="002221D7"/>
    <w:rsid w:val="00222262"/>
    <w:rsid w:val="002222E8"/>
    <w:rsid w:val="002223C6"/>
    <w:rsid w:val="0022271B"/>
    <w:rsid w:val="00222758"/>
    <w:rsid w:val="00222765"/>
    <w:rsid w:val="0022278E"/>
    <w:rsid w:val="002227FE"/>
    <w:rsid w:val="0022283D"/>
    <w:rsid w:val="002228BE"/>
    <w:rsid w:val="002229BE"/>
    <w:rsid w:val="00222A53"/>
    <w:rsid w:val="00222C11"/>
    <w:rsid w:val="00222CA1"/>
    <w:rsid w:val="00222CCF"/>
    <w:rsid w:val="00222EB7"/>
    <w:rsid w:val="00222F38"/>
    <w:rsid w:val="00222F55"/>
    <w:rsid w:val="00222F74"/>
    <w:rsid w:val="00223028"/>
    <w:rsid w:val="002230F2"/>
    <w:rsid w:val="00223188"/>
    <w:rsid w:val="00223292"/>
    <w:rsid w:val="002232A5"/>
    <w:rsid w:val="002232EA"/>
    <w:rsid w:val="00223344"/>
    <w:rsid w:val="0022345F"/>
    <w:rsid w:val="00223536"/>
    <w:rsid w:val="0022367F"/>
    <w:rsid w:val="00223750"/>
    <w:rsid w:val="002237F2"/>
    <w:rsid w:val="002238FB"/>
    <w:rsid w:val="002239CB"/>
    <w:rsid w:val="00223B7D"/>
    <w:rsid w:val="00223BA6"/>
    <w:rsid w:val="00223E30"/>
    <w:rsid w:val="00223E52"/>
    <w:rsid w:val="00223EB5"/>
    <w:rsid w:val="00223EBB"/>
    <w:rsid w:val="00223ECE"/>
    <w:rsid w:val="00223F54"/>
    <w:rsid w:val="00223F6C"/>
    <w:rsid w:val="002240E1"/>
    <w:rsid w:val="002240FB"/>
    <w:rsid w:val="00224227"/>
    <w:rsid w:val="00224292"/>
    <w:rsid w:val="00224335"/>
    <w:rsid w:val="00224359"/>
    <w:rsid w:val="00224737"/>
    <w:rsid w:val="002247B0"/>
    <w:rsid w:val="002247B6"/>
    <w:rsid w:val="002247CB"/>
    <w:rsid w:val="0022484B"/>
    <w:rsid w:val="0022490F"/>
    <w:rsid w:val="00224964"/>
    <w:rsid w:val="002249AB"/>
    <w:rsid w:val="00224A63"/>
    <w:rsid w:val="00224ACD"/>
    <w:rsid w:val="00224B5D"/>
    <w:rsid w:val="00224BC8"/>
    <w:rsid w:val="00224BD7"/>
    <w:rsid w:val="00224C21"/>
    <w:rsid w:val="00224C4C"/>
    <w:rsid w:val="00224CB4"/>
    <w:rsid w:val="00224E1A"/>
    <w:rsid w:val="00224E44"/>
    <w:rsid w:val="00224EB2"/>
    <w:rsid w:val="00224EE9"/>
    <w:rsid w:val="00224EF9"/>
    <w:rsid w:val="00224F03"/>
    <w:rsid w:val="00224F04"/>
    <w:rsid w:val="00224F7E"/>
    <w:rsid w:val="00224FCF"/>
    <w:rsid w:val="00225145"/>
    <w:rsid w:val="002251E0"/>
    <w:rsid w:val="002251ED"/>
    <w:rsid w:val="002253E0"/>
    <w:rsid w:val="0022541F"/>
    <w:rsid w:val="002254D2"/>
    <w:rsid w:val="002255D5"/>
    <w:rsid w:val="0022566C"/>
    <w:rsid w:val="002256B8"/>
    <w:rsid w:val="00225784"/>
    <w:rsid w:val="00225943"/>
    <w:rsid w:val="00225982"/>
    <w:rsid w:val="00225A6F"/>
    <w:rsid w:val="00225ADF"/>
    <w:rsid w:val="00225B6D"/>
    <w:rsid w:val="00225B84"/>
    <w:rsid w:val="00225C72"/>
    <w:rsid w:val="00225C8A"/>
    <w:rsid w:val="00225C91"/>
    <w:rsid w:val="00225D04"/>
    <w:rsid w:val="00225DD5"/>
    <w:rsid w:val="00225E37"/>
    <w:rsid w:val="00225FB9"/>
    <w:rsid w:val="002260CC"/>
    <w:rsid w:val="0022632B"/>
    <w:rsid w:val="00226392"/>
    <w:rsid w:val="00226400"/>
    <w:rsid w:val="0022678D"/>
    <w:rsid w:val="002268F5"/>
    <w:rsid w:val="002268F7"/>
    <w:rsid w:val="002269A7"/>
    <w:rsid w:val="00226B52"/>
    <w:rsid w:val="00226B89"/>
    <w:rsid w:val="00226DD8"/>
    <w:rsid w:val="00226E1B"/>
    <w:rsid w:val="00226E3C"/>
    <w:rsid w:val="00226EA8"/>
    <w:rsid w:val="00226F7E"/>
    <w:rsid w:val="00226FDE"/>
    <w:rsid w:val="00227038"/>
    <w:rsid w:val="002270C1"/>
    <w:rsid w:val="0022720E"/>
    <w:rsid w:val="002273D4"/>
    <w:rsid w:val="002276FB"/>
    <w:rsid w:val="0022770B"/>
    <w:rsid w:val="00227719"/>
    <w:rsid w:val="00227784"/>
    <w:rsid w:val="00227809"/>
    <w:rsid w:val="002278B2"/>
    <w:rsid w:val="00227B08"/>
    <w:rsid w:val="00227BB5"/>
    <w:rsid w:val="00227E13"/>
    <w:rsid w:val="00227E1D"/>
    <w:rsid w:val="00230079"/>
    <w:rsid w:val="002300B8"/>
    <w:rsid w:val="002301A3"/>
    <w:rsid w:val="002301BC"/>
    <w:rsid w:val="002302FD"/>
    <w:rsid w:val="0023034A"/>
    <w:rsid w:val="002304AC"/>
    <w:rsid w:val="00230584"/>
    <w:rsid w:val="002305B5"/>
    <w:rsid w:val="002305D3"/>
    <w:rsid w:val="00230801"/>
    <w:rsid w:val="00230902"/>
    <w:rsid w:val="002309D2"/>
    <w:rsid w:val="00230A6F"/>
    <w:rsid w:val="00230AB8"/>
    <w:rsid w:val="00230B3A"/>
    <w:rsid w:val="00230B6F"/>
    <w:rsid w:val="00230CE0"/>
    <w:rsid w:val="00230D24"/>
    <w:rsid w:val="00230D27"/>
    <w:rsid w:val="00230D53"/>
    <w:rsid w:val="00230D80"/>
    <w:rsid w:val="00230DA2"/>
    <w:rsid w:val="00230F40"/>
    <w:rsid w:val="00230F90"/>
    <w:rsid w:val="0023106B"/>
    <w:rsid w:val="00231123"/>
    <w:rsid w:val="00231171"/>
    <w:rsid w:val="00231190"/>
    <w:rsid w:val="002311B8"/>
    <w:rsid w:val="00231365"/>
    <w:rsid w:val="00231394"/>
    <w:rsid w:val="002315E0"/>
    <w:rsid w:val="002316BF"/>
    <w:rsid w:val="00231704"/>
    <w:rsid w:val="00231730"/>
    <w:rsid w:val="00231764"/>
    <w:rsid w:val="002317C8"/>
    <w:rsid w:val="00231910"/>
    <w:rsid w:val="00231943"/>
    <w:rsid w:val="00231971"/>
    <w:rsid w:val="00231A89"/>
    <w:rsid w:val="00231BD2"/>
    <w:rsid w:val="00231BFB"/>
    <w:rsid w:val="00231D67"/>
    <w:rsid w:val="00231D93"/>
    <w:rsid w:val="00231E4C"/>
    <w:rsid w:val="00231E6C"/>
    <w:rsid w:val="00231E96"/>
    <w:rsid w:val="00231FF7"/>
    <w:rsid w:val="002320A6"/>
    <w:rsid w:val="002320AC"/>
    <w:rsid w:val="002320B6"/>
    <w:rsid w:val="0023210D"/>
    <w:rsid w:val="00232111"/>
    <w:rsid w:val="00232164"/>
    <w:rsid w:val="00232218"/>
    <w:rsid w:val="00232221"/>
    <w:rsid w:val="00232298"/>
    <w:rsid w:val="002322B1"/>
    <w:rsid w:val="002323D2"/>
    <w:rsid w:val="00232408"/>
    <w:rsid w:val="00232438"/>
    <w:rsid w:val="00232473"/>
    <w:rsid w:val="002324B2"/>
    <w:rsid w:val="00232633"/>
    <w:rsid w:val="00232836"/>
    <w:rsid w:val="00232919"/>
    <w:rsid w:val="0023291B"/>
    <w:rsid w:val="00232922"/>
    <w:rsid w:val="002329E3"/>
    <w:rsid w:val="00232A53"/>
    <w:rsid w:val="00232B4E"/>
    <w:rsid w:val="00232B8C"/>
    <w:rsid w:val="00232BF8"/>
    <w:rsid w:val="00232C6F"/>
    <w:rsid w:val="00232D58"/>
    <w:rsid w:val="00232DBE"/>
    <w:rsid w:val="00232E61"/>
    <w:rsid w:val="00232E65"/>
    <w:rsid w:val="00232EB3"/>
    <w:rsid w:val="00232F58"/>
    <w:rsid w:val="002330A8"/>
    <w:rsid w:val="00233101"/>
    <w:rsid w:val="00233121"/>
    <w:rsid w:val="002331C4"/>
    <w:rsid w:val="002331D7"/>
    <w:rsid w:val="0023338E"/>
    <w:rsid w:val="0023343C"/>
    <w:rsid w:val="0023344C"/>
    <w:rsid w:val="00233484"/>
    <w:rsid w:val="002334CE"/>
    <w:rsid w:val="00233522"/>
    <w:rsid w:val="00233591"/>
    <w:rsid w:val="00233599"/>
    <w:rsid w:val="00233662"/>
    <w:rsid w:val="00233672"/>
    <w:rsid w:val="0023378F"/>
    <w:rsid w:val="00233855"/>
    <w:rsid w:val="002338CF"/>
    <w:rsid w:val="00233902"/>
    <w:rsid w:val="002339D3"/>
    <w:rsid w:val="00233AB4"/>
    <w:rsid w:val="00233B04"/>
    <w:rsid w:val="00233CA9"/>
    <w:rsid w:val="00233CAB"/>
    <w:rsid w:val="00233D24"/>
    <w:rsid w:val="00233FF3"/>
    <w:rsid w:val="002340CF"/>
    <w:rsid w:val="00234231"/>
    <w:rsid w:val="00234361"/>
    <w:rsid w:val="002343D5"/>
    <w:rsid w:val="002343DD"/>
    <w:rsid w:val="0023445B"/>
    <w:rsid w:val="0023446E"/>
    <w:rsid w:val="002344C0"/>
    <w:rsid w:val="002344D6"/>
    <w:rsid w:val="0023458C"/>
    <w:rsid w:val="00234709"/>
    <w:rsid w:val="00234739"/>
    <w:rsid w:val="0023483B"/>
    <w:rsid w:val="00234894"/>
    <w:rsid w:val="002349D1"/>
    <w:rsid w:val="002349F6"/>
    <w:rsid w:val="00234B51"/>
    <w:rsid w:val="00234BB7"/>
    <w:rsid w:val="00234C50"/>
    <w:rsid w:val="00234C89"/>
    <w:rsid w:val="00234D17"/>
    <w:rsid w:val="00234F3D"/>
    <w:rsid w:val="00234F61"/>
    <w:rsid w:val="00235065"/>
    <w:rsid w:val="0023510E"/>
    <w:rsid w:val="00235168"/>
    <w:rsid w:val="0023519E"/>
    <w:rsid w:val="002352A1"/>
    <w:rsid w:val="00235355"/>
    <w:rsid w:val="002353D9"/>
    <w:rsid w:val="00235539"/>
    <w:rsid w:val="00235729"/>
    <w:rsid w:val="00235733"/>
    <w:rsid w:val="00235759"/>
    <w:rsid w:val="0023583C"/>
    <w:rsid w:val="00235841"/>
    <w:rsid w:val="002358CB"/>
    <w:rsid w:val="00235939"/>
    <w:rsid w:val="00235948"/>
    <w:rsid w:val="00235A4B"/>
    <w:rsid w:val="00235C6D"/>
    <w:rsid w:val="00235CD5"/>
    <w:rsid w:val="00235DCF"/>
    <w:rsid w:val="00235DFB"/>
    <w:rsid w:val="00235E4F"/>
    <w:rsid w:val="00235E58"/>
    <w:rsid w:val="00235E6A"/>
    <w:rsid w:val="00235EB0"/>
    <w:rsid w:val="00235EC4"/>
    <w:rsid w:val="00235EF6"/>
    <w:rsid w:val="00235F44"/>
    <w:rsid w:val="00235FD4"/>
    <w:rsid w:val="00236193"/>
    <w:rsid w:val="0023624C"/>
    <w:rsid w:val="0023625B"/>
    <w:rsid w:val="00236325"/>
    <w:rsid w:val="00236536"/>
    <w:rsid w:val="0023656D"/>
    <w:rsid w:val="00236956"/>
    <w:rsid w:val="002369F2"/>
    <w:rsid w:val="00236A0B"/>
    <w:rsid w:val="00236A17"/>
    <w:rsid w:val="00236A85"/>
    <w:rsid w:val="00236A94"/>
    <w:rsid w:val="00236B92"/>
    <w:rsid w:val="00236BEC"/>
    <w:rsid w:val="00236CCA"/>
    <w:rsid w:val="00236CDD"/>
    <w:rsid w:val="00236CDF"/>
    <w:rsid w:val="00236D37"/>
    <w:rsid w:val="00236DD3"/>
    <w:rsid w:val="00236E3F"/>
    <w:rsid w:val="00236EB3"/>
    <w:rsid w:val="00237150"/>
    <w:rsid w:val="00237212"/>
    <w:rsid w:val="0023724B"/>
    <w:rsid w:val="0023724E"/>
    <w:rsid w:val="0023751E"/>
    <w:rsid w:val="00237543"/>
    <w:rsid w:val="0023758C"/>
    <w:rsid w:val="0023759C"/>
    <w:rsid w:val="002375D7"/>
    <w:rsid w:val="0023760D"/>
    <w:rsid w:val="0023768E"/>
    <w:rsid w:val="00237834"/>
    <w:rsid w:val="002379FE"/>
    <w:rsid w:val="00237A3E"/>
    <w:rsid w:val="00237A4F"/>
    <w:rsid w:val="00237BA9"/>
    <w:rsid w:val="00237BAE"/>
    <w:rsid w:val="00237BCD"/>
    <w:rsid w:val="00237C0C"/>
    <w:rsid w:val="00237C64"/>
    <w:rsid w:val="00237CE9"/>
    <w:rsid w:val="00237D94"/>
    <w:rsid w:val="00237DDC"/>
    <w:rsid w:val="00237DE4"/>
    <w:rsid w:val="00237E29"/>
    <w:rsid w:val="00237ED2"/>
    <w:rsid w:val="00237F7F"/>
    <w:rsid w:val="00237FAF"/>
    <w:rsid w:val="00237FB7"/>
    <w:rsid w:val="0024007A"/>
    <w:rsid w:val="00240091"/>
    <w:rsid w:val="00240097"/>
    <w:rsid w:val="002400C0"/>
    <w:rsid w:val="00240261"/>
    <w:rsid w:val="00240335"/>
    <w:rsid w:val="00240349"/>
    <w:rsid w:val="0024041B"/>
    <w:rsid w:val="00240653"/>
    <w:rsid w:val="0024075B"/>
    <w:rsid w:val="002408A1"/>
    <w:rsid w:val="00240975"/>
    <w:rsid w:val="00240AEE"/>
    <w:rsid w:val="00240CD0"/>
    <w:rsid w:val="00240DC4"/>
    <w:rsid w:val="00240DF0"/>
    <w:rsid w:val="00240F5F"/>
    <w:rsid w:val="00240F64"/>
    <w:rsid w:val="00240F6A"/>
    <w:rsid w:val="00240F9E"/>
    <w:rsid w:val="0024110B"/>
    <w:rsid w:val="00241259"/>
    <w:rsid w:val="0024137C"/>
    <w:rsid w:val="002413E8"/>
    <w:rsid w:val="002416A1"/>
    <w:rsid w:val="00241749"/>
    <w:rsid w:val="00241924"/>
    <w:rsid w:val="002419DC"/>
    <w:rsid w:val="00241A23"/>
    <w:rsid w:val="00241C33"/>
    <w:rsid w:val="00241C91"/>
    <w:rsid w:val="00241CA3"/>
    <w:rsid w:val="00241D53"/>
    <w:rsid w:val="00241D7B"/>
    <w:rsid w:val="00241DCF"/>
    <w:rsid w:val="00241E70"/>
    <w:rsid w:val="00241E74"/>
    <w:rsid w:val="00241FC5"/>
    <w:rsid w:val="00242106"/>
    <w:rsid w:val="00242207"/>
    <w:rsid w:val="0024221F"/>
    <w:rsid w:val="00242264"/>
    <w:rsid w:val="0024232A"/>
    <w:rsid w:val="002423D2"/>
    <w:rsid w:val="002423D4"/>
    <w:rsid w:val="002423FE"/>
    <w:rsid w:val="00242403"/>
    <w:rsid w:val="00242438"/>
    <w:rsid w:val="00242449"/>
    <w:rsid w:val="002425DD"/>
    <w:rsid w:val="00242635"/>
    <w:rsid w:val="00242647"/>
    <w:rsid w:val="002426E1"/>
    <w:rsid w:val="0024286D"/>
    <w:rsid w:val="002428E8"/>
    <w:rsid w:val="002428EF"/>
    <w:rsid w:val="00242A68"/>
    <w:rsid w:val="00242A91"/>
    <w:rsid w:val="00242AC8"/>
    <w:rsid w:val="00242ACA"/>
    <w:rsid w:val="00242B43"/>
    <w:rsid w:val="00242C0A"/>
    <w:rsid w:val="00242C1E"/>
    <w:rsid w:val="00242CD2"/>
    <w:rsid w:val="00242CD6"/>
    <w:rsid w:val="00242CEB"/>
    <w:rsid w:val="00242DE8"/>
    <w:rsid w:val="00242E68"/>
    <w:rsid w:val="00242EA3"/>
    <w:rsid w:val="00242FE5"/>
    <w:rsid w:val="002430A7"/>
    <w:rsid w:val="002433D0"/>
    <w:rsid w:val="0024349C"/>
    <w:rsid w:val="00243592"/>
    <w:rsid w:val="00243635"/>
    <w:rsid w:val="0024363A"/>
    <w:rsid w:val="0024387E"/>
    <w:rsid w:val="002439BF"/>
    <w:rsid w:val="00243A3F"/>
    <w:rsid w:val="00243A94"/>
    <w:rsid w:val="00243B5B"/>
    <w:rsid w:val="00243B65"/>
    <w:rsid w:val="00243BDC"/>
    <w:rsid w:val="00243D57"/>
    <w:rsid w:val="00243D5C"/>
    <w:rsid w:val="00243D7B"/>
    <w:rsid w:val="00243DA2"/>
    <w:rsid w:val="00243ED0"/>
    <w:rsid w:val="00243F14"/>
    <w:rsid w:val="00243F4F"/>
    <w:rsid w:val="00243F8F"/>
    <w:rsid w:val="00243F9A"/>
    <w:rsid w:val="00244086"/>
    <w:rsid w:val="0024412C"/>
    <w:rsid w:val="00244132"/>
    <w:rsid w:val="002442CB"/>
    <w:rsid w:val="00244391"/>
    <w:rsid w:val="00244485"/>
    <w:rsid w:val="002444BB"/>
    <w:rsid w:val="002444FA"/>
    <w:rsid w:val="00244576"/>
    <w:rsid w:val="002445BC"/>
    <w:rsid w:val="00244650"/>
    <w:rsid w:val="002446A6"/>
    <w:rsid w:val="002447B1"/>
    <w:rsid w:val="002447FA"/>
    <w:rsid w:val="00244914"/>
    <w:rsid w:val="00244972"/>
    <w:rsid w:val="00244A03"/>
    <w:rsid w:val="00244A8D"/>
    <w:rsid w:val="00244AA7"/>
    <w:rsid w:val="00244AB1"/>
    <w:rsid w:val="00244B6A"/>
    <w:rsid w:val="00244BA4"/>
    <w:rsid w:val="00244C5C"/>
    <w:rsid w:val="00244CA7"/>
    <w:rsid w:val="00244D75"/>
    <w:rsid w:val="00244D8E"/>
    <w:rsid w:val="00244E01"/>
    <w:rsid w:val="00244E43"/>
    <w:rsid w:val="00244E6B"/>
    <w:rsid w:val="00244ED8"/>
    <w:rsid w:val="00244F01"/>
    <w:rsid w:val="00244F7D"/>
    <w:rsid w:val="00245007"/>
    <w:rsid w:val="0024511D"/>
    <w:rsid w:val="0024512D"/>
    <w:rsid w:val="002451A5"/>
    <w:rsid w:val="002451C8"/>
    <w:rsid w:val="0024523F"/>
    <w:rsid w:val="002452D9"/>
    <w:rsid w:val="00245322"/>
    <w:rsid w:val="002453BD"/>
    <w:rsid w:val="0024542C"/>
    <w:rsid w:val="002454E7"/>
    <w:rsid w:val="0024552E"/>
    <w:rsid w:val="0024557A"/>
    <w:rsid w:val="0024572B"/>
    <w:rsid w:val="0024592D"/>
    <w:rsid w:val="00245957"/>
    <w:rsid w:val="00245978"/>
    <w:rsid w:val="002459DC"/>
    <w:rsid w:val="00245B0D"/>
    <w:rsid w:val="00245C2A"/>
    <w:rsid w:val="00245CAA"/>
    <w:rsid w:val="00245CBD"/>
    <w:rsid w:val="00245DAB"/>
    <w:rsid w:val="00245DD5"/>
    <w:rsid w:val="00245ED3"/>
    <w:rsid w:val="00245F0A"/>
    <w:rsid w:val="00245F26"/>
    <w:rsid w:val="00245F75"/>
    <w:rsid w:val="00245FD3"/>
    <w:rsid w:val="002460B7"/>
    <w:rsid w:val="002462D3"/>
    <w:rsid w:val="002462EF"/>
    <w:rsid w:val="00246306"/>
    <w:rsid w:val="0024631D"/>
    <w:rsid w:val="002463C6"/>
    <w:rsid w:val="00246475"/>
    <w:rsid w:val="002464C2"/>
    <w:rsid w:val="00246525"/>
    <w:rsid w:val="00246601"/>
    <w:rsid w:val="002466F7"/>
    <w:rsid w:val="00246851"/>
    <w:rsid w:val="00246860"/>
    <w:rsid w:val="00246881"/>
    <w:rsid w:val="00246A83"/>
    <w:rsid w:val="00246B9D"/>
    <w:rsid w:val="00246BDB"/>
    <w:rsid w:val="00246CEA"/>
    <w:rsid w:val="00246D45"/>
    <w:rsid w:val="00246D67"/>
    <w:rsid w:val="00246D6F"/>
    <w:rsid w:val="00246FCD"/>
    <w:rsid w:val="0024707D"/>
    <w:rsid w:val="002470EB"/>
    <w:rsid w:val="002472FD"/>
    <w:rsid w:val="002475E8"/>
    <w:rsid w:val="00247690"/>
    <w:rsid w:val="00247776"/>
    <w:rsid w:val="00247778"/>
    <w:rsid w:val="00247782"/>
    <w:rsid w:val="00247792"/>
    <w:rsid w:val="002478D8"/>
    <w:rsid w:val="002478E5"/>
    <w:rsid w:val="002478E9"/>
    <w:rsid w:val="00247A98"/>
    <w:rsid w:val="00247B79"/>
    <w:rsid w:val="00247C58"/>
    <w:rsid w:val="00247C9E"/>
    <w:rsid w:val="00247CEC"/>
    <w:rsid w:val="00247D54"/>
    <w:rsid w:val="00247E9B"/>
    <w:rsid w:val="00247EEE"/>
    <w:rsid w:val="00247F91"/>
    <w:rsid w:val="00250000"/>
    <w:rsid w:val="002501BE"/>
    <w:rsid w:val="002502B1"/>
    <w:rsid w:val="00250324"/>
    <w:rsid w:val="00250345"/>
    <w:rsid w:val="00250409"/>
    <w:rsid w:val="00250493"/>
    <w:rsid w:val="00250549"/>
    <w:rsid w:val="00250583"/>
    <w:rsid w:val="0025064F"/>
    <w:rsid w:val="0025069D"/>
    <w:rsid w:val="00250778"/>
    <w:rsid w:val="00250865"/>
    <w:rsid w:val="002508D9"/>
    <w:rsid w:val="00250969"/>
    <w:rsid w:val="00250A0F"/>
    <w:rsid w:val="00250C1E"/>
    <w:rsid w:val="00250C51"/>
    <w:rsid w:val="00250D9F"/>
    <w:rsid w:val="00250E07"/>
    <w:rsid w:val="00250E7B"/>
    <w:rsid w:val="00251008"/>
    <w:rsid w:val="002510AE"/>
    <w:rsid w:val="002510CC"/>
    <w:rsid w:val="002510D5"/>
    <w:rsid w:val="002510E8"/>
    <w:rsid w:val="0025110B"/>
    <w:rsid w:val="00251168"/>
    <w:rsid w:val="0025127F"/>
    <w:rsid w:val="002512ED"/>
    <w:rsid w:val="00251350"/>
    <w:rsid w:val="00251412"/>
    <w:rsid w:val="00251414"/>
    <w:rsid w:val="00251450"/>
    <w:rsid w:val="002514A6"/>
    <w:rsid w:val="00251538"/>
    <w:rsid w:val="00251594"/>
    <w:rsid w:val="0025164B"/>
    <w:rsid w:val="0025187C"/>
    <w:rsid w:val="00251A95"/>
    <w:rsid w:val="00251B70"/>
    <w:rsid w:val="00251BF0"/>
    <w:rsid w:val="00251D93"/>
    <w:rsid w:val="00251EAC"/>
    <w:rsid w:val="0025202B"/>
    <w:rsid w:val="0025212A"/>
    <w:rsid w:val="00252346"/>
    <w:rsid w:val="00252479"/>
    <w:rsid w:val="0025260D"/>
    <w:rsid w:val="0025260E"/>
    <w:rsid w:val="0025266F"/>
    <w:rsid w:val="00252727"/>
    <w:rsid w:val="00252754"/>
    <w:rsid w:val="00252771"/>
    <w:rsid w:val="00252854"/>
    <w:rsid w:val="002528A8"/>
    <w:rsid w:val="002529A8"/>
    <w:rsid w:val="00252A14"/>
    <w:rsid w:val="00252A9E"/>
    <w:rsid w:val="00252D59"/>
    <w:rsid w:val="00252E12"/>
    <w:rsid w:val="00252E16"/>
    <w:rsid w:val="00252E1B"/>
    <w:rsid w:val="00252E56"/>
    <w:rsid w:val="00252E87"/>
    <w:rsid w:val="00252EB3"/>
    <w:rsid w:val="00252F0B"/>
    <w:rsid w:val="00252FE4"/>
    <w:rsid w:val="0025305E"/>
    <w:rsid w:val="00253099"/>
    <w:rsid w:val="002530C1"/>
    <w:rsid w:val="002530E8"/>
    <w:rsid w:val="00253116"/>
    <w:rsid w:val="0025314A"/>
    <w:rsid w:val="00253163"/>
    <w:rsid w:val="00253165"/>
    <w:rsid w:val="0025322C"/>
    <w:rsid w:val="00253332"/>
    <w:rsid w:val="002533A4"/>
    <w:rsid w:val="002534F6"/>
    <w:rsid w:val="00253519"/>
    <w:rsid w:val="00253523"/>
    <w:rsid w:val="00253548"/>
    <w:rsid w:val="0025357E"/>
    <w:rsid w:val="002535A8"/>
    <w:rsid w:val="00253611"/>
    <w:rsid w:val="0025362F"/>
    <w:rsid w:val="00253670"/>
    <w:rsid w:val="002536E7"/>
    <w:rsid w:val="002537A5"/>
    <w:rsid w:val="00253C42"/>
    <w:rsid w:val="00253E62"/>
    <w:rsid w:val="00253E9B"/>
    <w:rsid w:val="0025403A"/>
    <w:rsid w:val="002541DB"/>
    <w:rsid w:val="0025446C"/>
    <w:rsid w:val="00254472"/>
    <w:rsid w:val="00254480"/>
    <w:rsid w:val="0025448F"/>
    <w:rsid w:val="002544E9"/>
    <w:rsid w:val="00254535"/>
    <w:rsid w:val="00254570"/>
    <w:rsid w:val="00254587"/>
    <w:rsid w:val="002546C9"/>
    <w:rsid w:val="002546DF"/>
    <w:rsid w:val="00254780"/>
    <w:rsid w:val="00254781"/>
    <w:rsid w:val="00254864"/>
    <w:rsid w:val="002548FF"/>
    <w:rsid w:val="00254926"/>
    <w:rsid w:val="00254947"/>
    <w:rsid w:val="002549B2"/>
    <w:rsid w:val="002549FC"/>
    <w:rsid w:val="00254A2C"/>
    <w:rsid w:val="00254A83"/>
    <w:rsid w:val="00254C4E"/>
    <w:rsid w:val="00254CB7"/>
    <w:rsid w:val="00254D57"/>
    <w:rsid w:val="00254E37"/>
    <w:rsid w:val="00254F1B"/>
    <w:rsid w:val="00254F87"/>
    <w:rsid w:val="002550AB"/>
    <w:rsid w:val="002550D3"/>
    <w:rsid w:val="002550FF"/>
    <w:rsid w:val="0025515B"/>
    <w:rsid w:val="00255198"/>
    <w:rsid w:val="0025519D"/>
    <w:rsid w:val="002551D6"/>
    <w:rsid w:val="002552E9"/>
    <w:rsid w:val="002553A5"/>
    <w:rsid w:val="00255478"/>
    <w:rsid w:val="00255548"/>
    <w:rsid w:val="00255558"/>
    <w:rsid w:val="0025559E"/>
    <w:rsid w:val="0025561F"/>
    <w:rsid w:val="002557A0"/>
    <w:rsid w:val="002557B1"/>
    <w:rsid w:val="002557B3"/>
    <w:rsid w:val="002557FE"/>
    <w:rsid w:val="00255885"/>
    <w:rsid w:val="002558FF"/>
    <w:rsid w:val="00255969"/>
    <w:rsid w:val="00255A57"/>
    <w:rsid w:val="00255AB9"/>
    <w:rsid w:val="00255BD4"/>
    <w:rsid w:val="00255BDF"/>
    <w:rsid w:val="00255C18"/>
    <w:rsid w:val="00255CFE"/>
    <w:rsid w:val="00255D6D"/>
    <w:rsid w:val="00255DCE"/>
    <w:rsid w:val="00255DE6"/>
    <w:rsid w:val="00255E4A"/>
    <w:rsid w:val="00255EBB"/>
    <w:rsid w:val="00255EE8"/>
    <w:rsid w:val="00255F12"/>
    <w:rsid w:val="00256033"/>
    <w:rsid w:val="00256063"/>
    <w:rsid w:val="002560FD"/>
    <w:rsid w:val="00256153"/>
    <w:rsid w:val="002562A5"/>
    <w:rsid w:val="002562E7"/>
    <w:rsid w:val="0025634B"/>
    <w:rsid w:val="0025653A"/>
    <w:rsid w:val="002566A0"/>
    <w:rsid w:val="002566BE"/>
    <w:rsid w:val="00256701"/>
    <w:rsid w:val="002567A0"/>
    <w:rsid w:val="002567AF"/>
    <w:rsid w:val="00256BE5"/>
    <w:rsid w:val="00256CEE"/>
    <w:rsid w:val="00256E5B"/>
    <w:rsid w:val="00256F2D"/>
    <w:rsid w:val="0025704C"/>
    <w:rsid w:val="002570F7"/>
    <w:rsid w:val="00257189"/>
    <w:rsid w:val="002571A5"/>
    <w:rsid w:val="0025721E"/>
    <w:rsid w:val="002572A3"/>
    <w:rsid w:val="0025730E"/>
    <w:rsid w:val="0025731F"/>
    <w:rsid w:val="00257381"/>
    <w:rsid w:val="002574CD"/>
    <w:rsid w:val="0025758C"/>
    <w:rsid w:val="00257730"/>
    <w:rsid w:val="00257782"/>
    <w:rsid w:val="002577E9"/>
    <w:rsid w:val="0025793C"/>
    <w:rsid w:val="00257AF5"/>
    <w:rsid w:val="00257B86"/>
    <w:rsid w:val="00257BB5"/>
    <w:rsid w:val="00257C13"/>
    <w:rsid w:val="00257C62"/>
    <w:rsid w:val="00257CDA"/>
    <w:rsid w:val="00257DF6"/>
    <w:rsid w:val="00257EDF"/>
    <w:rsid w:val="00257FCC"/>
    <w:rsid w:val="00257FE7"/>
    <w:rsid w:val="00260025"/>
    <w:rsid w:val="00260062"/>
    <w:rsid w:val="00260117"/>
    <w:rsid w:val="002601D1"/>
    <w:rsid w:val="00260402"/>
    <w:rsid w:val="00260873"/>
    <w:rsid w:val="00260A49"/>
    <w:rsid w:val="00260B5C"/>
    <w:rsid w:val="00260BAB"/>
    <w:rsid w:val="00260BAF"/>
    <w:rsid w:val="00260CF7"/>
    <w:rsid w:val="00260D24"/>
    <w:rsid w:val="00260E81"/>
    <w:rsid w:val="00260FFE"/>
    <w:rsid w:val="00261058"/>
    <w:rsid w:val="002610E7"/>
    <w:rsid w:val="00261121"/>
    <w:rsid w:val="0026121D"/>
    <w:rsid w:val="00261265"/>
    <w:rsid w:val="0026130C"/>
    <w:rsid w:val="0026139E"/>
    <w:rsid w:val="0026146F"/>
    <w:rsid w:val="002614E6"/>
    <w:rsid w:val="00261541"/>
    <w:rsid w:val="00261690"/>
    <w:rsid w:val="0026169A"/>
    <w:rsid w:val="0026169D"/>
    <w:rsid w:val="002617AC"/>
    <w:rsid w:val="002618EB"/>
    <w:rsid w:val="00261937"/>
    <w:rsid w:val="002619DA"/>
    <w:rsid w:val="00261A92"/>
    <w:rsid w:val="00261AA2"/>
    <w:rsid w:val="00261ADE"/>
    <w:rsid w:val="00261B73"/>
    <w:rsid w:val="00261B96"/>
    <w:rsid w:val="00261B9B"/>
    <w:rsid w:val="00261BEC"/>
    <w:rsid w:val="00261BF4"/>
    <w:rsid w:val="00261C1B"/>
    <w:rsid w:val="00261CAD"/>
    <w:rsid w:val="00261D19"/>
    <w:rsid w:val="00261D1E"/>
    <w:rsid w:val="00261E08"/>
    <w:rsid w:val="00261E76"/>
    <w:rsid w:val="00261F55"/>
    <w:rsid w:val="00262033"/>
    <w:rsid w:val="00262097"/>
    <w:rsid w:val="002620C3"/>
    <w:rsid w:val="00262263"/>
    <w:rsid w:val="00262265"/>
    <w:rsid w:val="002622E2"/>
    <w:rsid w:val="002623C3"/>
    <w:rsid w:val="0026256D"/>
    <w:rsid w:val="0026258F"/>
    <w:rsid w:val="00262594"/>
    <w:rsid w:val="00262600"/>
    <w:rsid w:val="00262626"/>
    <w:rsid w:val="00262644"/>
    <w:rsid w:val="0026274D"/>
    <w:rsid w:val="00262754"/>
    <w:rsid w:val="002627E2"/>
    <w:rsid w:val="002628B9"/>
    <w:rsid w:val="002628D7"/>
    <w:rsid w:val="002628E6"/>
    <w:rsid w:val="0026298B"/>
    <w:rsid w:val="00262A68"/>
    <w:rsid w:val="00262AEE"/>
    <w:rsid w:val="00262BCB"/>
    <w:rsid w:val="00262DB0"/>
    <w:rsid w:val="00262E1F"/>
    <w:rsid w:val="00262E42"/>
    <w:rsid w:val="00262E74"/>
    <w:rsid w:val="00262E84"/>
    <w:rsid w:val="00263056"/>
    <w:rsid w:val="00263085"/>
    <w:rsid w:val="0026311B"/>
    <w:rsid w:val="0026315F"/>
    <w:rsid w:val="00263287"/>
    <w:rsid w:val="0026335F"/>
    <w:rsid w:val="0026338F"/>
    <w:rsid w:val="00263434"/>
    <w:rsid w:val="002634A2"/>
    <w:rsid w:val="002634C5"/>
    <w:rsid w:val="002634DE"/>
    <w:rsid w:val="0026350F"/>
    <w:rsid w:val="0026364A"/>
    <w:rsid w:val="0026371E"/>
    <w:rsid w:val="00263841"/>
    <w:rsid w:val="00263B46"/>
    <w:rsid w:val="00263B75"/>
    <w:rsid w:val="00263C64"/>
    <w:rsid w:val="00263D52"/>
    <w:rsid w:val="00263D64"/>
    <w:rsid w:val="00263EFA"/>
    <w:rsid w:val="00264185"/>
    <w:rsid w:val="002641C2"/>
    <w:rsid w:val="0026422F"/>
    <w:rsid w:val="0026429C"/>
    <w:rsid w:val="0026434F"/>
    <w:rsid w:val="00264358"/>
    <w:rsid w:val="00264548"/>
    <w:rsid w:val="0026479E"/>
    <w:rsid w:val="00264917"/>
    <w:rsid w:val="002649FA"/>
    <w:rsid w:val="00264AD5"/>
    <w:rsid w:val="00264AE9"/>
    <w:rsid w:val="00264B22"/>
    <w:rsid w:val="00264BAC"/>
    <w:rsid w:val="00264CA2"/>
    <w:rsid w:val="00264D36"/>
    <w:rsid w:val="00264FC1"/>
    <w:rsid w:val="00265004"/>
    <w:rsid w:val="00265038"/>
    <w:rsid w:val="00265041"/>
    <w:rsid w:val="0026505F"/>
    <w:rsid w:val="002650BC"/>
    <w:rsid w:val="0026511A"/>
    <w:rsid w:val="002651AA"/>
    <w:rsid w:val="00265269"/>
    <w:rsid w:val="002652D6"/>
    <w:rsid w:val="0026530D"/>
    <w:rsid w:val="0026532A"/>
    <w:rsid w:val="00265458"/>
    <w:rsid w:val="0026554E"/>
    <w:rsid w:val="00265619"/>
    <w:rsid w:val="0026563A"/>
    <w:rsid w:val="00265712"/>
    <w:rsid w:val="0026582A"/>
    <w:rsid w:val="0026592B"/>
    <w:rsid w:val="002659A9"/>
    <w:rsid w:val="00265AF8"/>
    <w:rsid w:val="00265C75"/>
    <w:rsid w:val="00265CAF"/>
    <w:rsid w:val="00265CE3"/>
    <w:rsid w:val="00265D21"/>
    <w:rsid w:val="00265D30"/>
    <w:rsid w:val="00265DCD"/>
    <w:rsid w:val="00265F0A"/>
    <w:rsid w:val="00265F1A"/>
    <w:rsid w:val="00266116"/>
    <w:rsid w:val="002661EF"/>
    <w:rsid w:val="0026625D"/>
    <w:rsid w:val="00266322"/>
    <w:rsid w:val="0026645D"/>
    <w:rsid w:val="00266490"/>
    <w:rsid w:val="00266745"/>
    <w:rsid w:val="0026674E"/>
    <w:rsid w:val="00266772"/>
    <w:rsid w:val="0026690A"/>
    <w:rsid w:val="00266969"/>
    <w:rsid w:val="00266998"/>
    <w:rsid w:val="00266A3C"/>
    <w:rsid w:val="00266AF8"/>
    <w:rsid w:val="00266B31"/>
    <w:rsid w:val="00266B61"/>
    <w:rsid w:val="00266BA8"/>
    <w:rsid w:val="00266BDC"/>
    <w:rsid w:val="00266CF9"/>
    <w:rsid w:val="00267075"/>
    <w:rsid w:val="002670F9"/>
    <w:rsid w:val="00267104"/>
    <w:rsid w:val="00267206"/>
    <w:rsid w:val="00267271"/>
    <w:rsid w:val="00267348"/>
    <w:rsid w:val="00267364"/>
    <w:rsid w:val="00267366"/>
    <w:rsid w:val="00267386"/>
    <w:rsid w:val="002673C8"/>
    <w:rsid w:val="002675E6"/>
    <w:rsid w:val="00267643"/>
    <w:rsid w:val="00267680"/>
    <w:rsid w:val="002678D1"/>
    <w:rsid w:val="00267A81"/>
    <w:rsid w:val="00267B3B"/>
    <w:rsid w:val="00267B59"/>
    <w:rsid w:val="00267C22"/>
    <w:rsid w:val="00267CDA"/>
    <w:rsid w:val="00267D32"/>
    <w:rsid w:val="00267D7D"/>
    <w:rsid w:val="00267D9C"/>
    <w:rsid w:val="00267E32"/>
    <w:rsid w:val="00267EAE"/>
    <w:rsid w:val="00267FC9"/>
    <w:rsid w:val="0027010D"/>
    <w:rsid w:val="0027016F"/>
    <w:rsid w:val="0027018E"/>
    <w:rsid w:val="0027026B"/>
    <w:rsid w:val="002702D0"/>
    <w:rsid w:val="00270350"/>
    <w:rsid w:val="00270355"/>
    <w:rsid w:val="0027046C"/>
    <w:rsid w:val="002704A9"/>
    <w:rsid w:val="0027050C"/>
    <w:rsid w:val="00270530"/>
    <w:rsid w:val="00270553"/>
    <w:rsid w:val="0027062C"/>
    <w:rsid w:val="00270647"/>
    <w:rsid w:val="002706DC"/>
    <w:rsid w:val="00270714"/>
    <w:rsid w:val="0027077C"/>
    <w:rsid w:val="00270A9C"/>
    <w:rsid w:val="00270B94"/>
    <w:rsid w:val="00270B97"/>
    <w:rsid w:val="00270B9B"/>
    <w:rsid w:val="00270B9C"/>
    <w:rsid w:val="00270C7B"/>
    <w:rsid w:val="00270CA9"/>
    <w:rsid w:val="00270CE2"/>
    <w:rsid w:val="00270E35"/>
    <w:rsid w:val="00270E72"/>
    <w:rsid w:val="00270F55"/>
    <w:rsid w:val="00270FB8"/>
    <w:rsid w:val="00271000"/>
    <w:rsid w:val="00271178"/>
    <w:rsid w:val="002711AC"/>
    <w:rsid w:val="00271363"/>
    <w:rsid w:val="00271606"/>
    <w:rsid w:val="00271658"/>
    <w:rsid w:val="002716F2"/>
    <w:rsid w:val="00271785"/>
    <w:rsid w:val="00271894"/>
    <w:rsid w:val="00271A14"/>
    <w:rsid w:val="00271A7D"/>
    <w:rsid w:val="00271AF8"/>
    <w:rsid w:val="00271BED"/>
    <w:rsid w:val="00271C71"/>
    <w:rsid w:val="00271C94"/>
    <w:rsid w:val="00271CFA"/>
    <w:rsid w:val="00271CFB"/>
    <w:rsid w:val="00271D5F"/>
    <w:rsid w:val="00271D6A"/>
    <w:rsid w:val="00271DC9"/>
    <w:rsid w:val="00271DFC"/>
    <w:rsid w:val="00272042"/>
    <w:rsid w:val="0027216D"/>
    <w:rsid w:val="002721D9"/>
    <w:rsid w:val="002721DB"/>
    <w:rsid w:val="00272205"/>
    <w:rsid w:val="002722B8"/>
    <w:rsid w:val="002725C6"/>
    <w:rsid w:val="002727C0"/>
    <w:rsid w:val="002727D4"/>
    <w:rsid w:val="0027281E"/>
    <w:rsid w:val="00272842"/>
    <w:rsid w:val="00272883"/>
    <w:rsid w:val="00272997"/>
    <w:rsid w:val="00272A06"/>
    <w:rsid w:val="00272AE8"/>
    <w:rsid w:val="00272C49"/>
    <w:rsid w:val="00272CF8"/>
    <w:rsid w:val="00272D78"/>
    <w:rsid w:val="00272E15"/>
    <w:rsid w:val="00272FD4"/>
    <w:rsid w:val="0027307C"/>
    <w:rsid w:val="002730BF"/>
    <w:rsid w:val="0027316F"/>
    <w:rsid w:val="0027319B"/>
    <w:rsid w:val="0027339E"/>
    <w:rsid w:val="0027340A"/>
    <w:rsid w:val="00273459"/>
    <w:rsid w:val="002734AC"/>
    <w:rsid w:val="00273656"/>
    <w:rsid w:val="00273798"/>
    <w:rsid w:val="0027386C"/>
    <w:rsid w:val="00273881"/>
    <w:rsid w:val="00273A1E"/>
    <w:rsid w:val="00273A60"/>
    <w:rsid w:val="00273A83"/>
    <w:rsid w:val="00273B22"/>
    <w:rsid w:val="00273C3B"/>
    <w:rsid w:val="00273C3D"/>
    <w:rsid w:val="00273C4F"/>
    <w:rsid w:val="00273C68"/>
    <w:rsid w:val="00273CC1"/>
    <w:rsid w:val="00273CF7"/>
    <w:rsid w:val="00273E2D"/>
    <w:rsid w:val="00273E88"/>
    <w:rsid w:val="00273EDD"/>
    <w:rsid w:val="002740F2"/>
    <w:rsid w:val="0027430D"/>
    <w:rsid w:val="002743DC"/>
    <w:rsid w:val="00274476"/>
    <w:rsid w:val="00274484"/>
    <w:rsid w:val="0027449F"/>
    <w:rsid w:val="002744F8"/>
    <w:rsid w:val="0027454D"/>
    <w:rsid w:val="00274551"/>
    <w:rsid w:val="002745AA"/>
    <w:rsid w:val="002747AD"/>
    <w:rsid w:val="002747B3"/>
    <w:rsid w:val="0027485C"/>
    <w:rsid w:val="0027488F"/>
    <w:rsid w:val="0027489B"/>
    <w:rsid w:val="002748AA"/>
    <w:rsid w:val="002748D8"/>
    <w:rsid w:val="0027491C"/>
    <w:rsid w:val="00274972"/>
    <w:rsid w:val="00274A61"/>
    <w:rsid w:val="00274AA3"/>
    <w:rsid w:val="00274ABD"/>
    <w:rsid w:val="00274D01"/>
    <w:rsid w:val="00274D74"/>
    <w:rsid w:val="00274E15"/>
    <w:rsid w:val="00274E47"/>
    <w:rsid w:val="00274E57"/>
    <w:rsid w:val="00274EC1"/>
    <w:rsid w:val="00274F32"/>
    <w:rsid w:val="00275014"/>
    <w:rsid w:val="00275061"/>
    <w:rsid w:val="002750D1"/>
    <w:rsid w:val="00275105"/>
    <w:rsid w:val="00275140"/>
    <w:rsid w:val="00275149"/>
    <w:rsid w:val="0027515C"/>
    <w:rsid w:val="002752FA"/>
    <w:rsid w:val="002754D3"/>
    <w:rsid w:val="002755D6"/>
    <w:rsid w:val="002755EC"/>
    <w:rsid w:val="0027563A"/>
    <w:rsid w:val="002756BF"/>
    <w:rsid w:val="0027570C"/>
    <w:rsid w:val="00275719"/>
    <w:rsid w:val="00275749"/>
    <w:rsid w:val="00275806"/>
    <w:rsid w:val="0027599B"/>
    <w:rsid w:val="00275C44"/>
    <w:rsid w:val="00275C4B"/>
    <w:rsid w:val="00275DAB"/>
    <w:rsid w:val="00275DD7"/>
    <w:rsid w:val="00275ECF"/>
    <w:rsid w:val="00275FED"/>
    <w:rsid w:val="00275FF8"/>
    <w:rsid w:val="0027606A"/>
    <w:rsid w:val="002760C8"/>
    <w:rsid w:val="00276125"/>
    <w:rsid w:val="00276192"/>
    <w:rsid w:val="002761D4"/>
    <w:rsid w:val="002762C3"/>
    <w:rsid w:val="00276397"/>
    <w:rsid w:val="00276432"/>
    <w:rsid w:val="002764C0"/>
    <w:rsid w:val="002765B1"/>
    <w:rsid w:val="0027661A"/>
    <w:rsid w:val="002766A1"/>
    <w:rsid w:val="002766C8"/>
    <w:rsid w:val="002766E1"/>
    <w:rsid w:val="002768A7"/>
    <w:rsid w:val="002768D2"/>
    <w:rsid w:val="0027692F"/>
    <w:rsid w:val="002769F6"/>
    <w:rsid w:val="00276A1A"/>
    <w:rsid w:val="00276AB8"/>
    <w:rsid w:val="00276AE4"/>
    <w:rsid w:val="00276BE1"/>
    <w:rsid w:val="00276C3A"/>
    <w:rsid w:val="00276C7A"/>
    <w:rsid w:val="00276D14"/>
    <w:rsid w:val="00276D5B"/>
    <w:rsid w:val="00276DFB"/>
    <w:rsid w:val="00276E53"/>
    <w:rsid w:val="00276E89"/>
    <w:rsid w:val="00276FD4"/>
    <w:rsid w:val="0027707E"/>
    <w:rsid w:val="002770BD"/>
    <w:rsid w:val="0027711B"/>
    <w:rsid w:val="00277185"/>
    <w:rsid w:val="002771D8"/>
    <w:rsid w:val="002772F0"/>
    <w:rsid w:val="00277307"/>
    <w:rsid w:val="00277408"/>
    <w:rsid w:val="002774AB"/>
    <w:rsid w:val="0027755C"/>
    <w:rsid w:val="00277579"/>
    <w:rsid w:val="00277703"/>
    <w:rsid w:val="00277773"/>
    <w:rsid w:val="002778D5"/>
    <w:rsid w:val="00277948"/>
    <w:rsid w:val="00277A03"/>
    <w:rsid w:val="00277B3B"/>
    <w:rsid w:val="00277D06"/>
    <w:rsid w:val="00277E1C"/>
    <w:rsid w:val="00277EC8"/>
    <w:rsid w:val="00277FDE"/>
    <w:rsid w:val="00280088"/>
    <w:rsid w:val="002800A8"/>
    <w:rsid w:val="002800E0"/>
    <w:rsid w:val="002800E3"/>
    <w:rsid w:val="00280215"/>
    <w:rsid w:val="0028028F"/>
    <w:rsid w:val="002802E8"/>
    <w:rsid w:val="00280316"/>
    <w:rsid w:val="00280325"/>
    <w:rsid w:val="002803AD"/>
    <w:rsid w:val="002803CE"/>
    <w:rsid w:val="002804BF"/>
    <w:rsid w:val="002804C0"/>
    <w:rsid w:val="002804F8"/>
    <w:rsid w:val="00280576"/>
    <w:rsid w:val="002805AA"/>
    <w:rsid w:val="002805C1"/>
    <w:rsid w:val="002805D5"/>
    <w:rsid w:val="0028072C"/>
    <w:rsid w:val="002808B3"/>
    <w:rsid w:val="002808CB"/>
    <w:rsid w:val="00280981"/>
    <w:rsid w:val="002809AC"/>
    <w:rsid w:val="00280A09"/>
    <w:rsid w:val="00280C2E"/>
    <w:rsid w:val="00280C88"/>
    <w:rsid w:val="00280D29"/>
    <w:rsid w:val="00280E00"/>
    <w:rsid w:val="00280EF1"/>
    <w:rsid w:val="00280F35"/>
    <w:rsid w:val="00280F4C"/>
    <w:rsid w:val="00281132"/>
    <w:rsid w:val="0028121B"/>
    <w:rsid w:val="002812E5"/>
    <w:rsid w:val="00281351"/>
    <w:rsid w:val="002813B8"/>
    <w:rsid w:val="0028144B"/>
    <w:rsid w:val="00281650"/>
    <w:rsid w:val="0028171D"/>
    <w:rsid w:val="00281790"/>
    <w:rsid w:val="00281897"/>
    <w:rsid w:val="00281916"/>
    <w:rsid w:val="00281936"/>
    <w:rsid w:val="00281944"/>
    <w:rsid w:val="002819BA"/>
    <w:rsid w:val="00281A05"/>
    <w:rsid w:val="00281A40"/>
    <w:rsid w:val="00281A95"/>
    <w:rsid w:val="00281BE3"/>
    <w:rsid w:val="00281DF3"/>
    <w:rsid w:val="00281E38"/>
    <w:rsid w:val="00281E7D"/>
    <w:rsid w:val="00281FB0"/>
    <w:rsid w:val="00281FB7"/>
    <w:rsid w:val="00281FCE"/>
    <w:rsid w:val="002820A9"/>
    <w:rsid w:val="002821CD"/>
    <w:rsid w:val="002822EA"/>
    <w:rsid w:val="0028230B"/>
    <w:rsid w:val="0028241F"/>
    <w:rsid w:val="00282559"/>
    <w:rsid w:val="002826A9"/>
    <w:rsid w:val="002826AF"/>
    <w:rsid w:val="00282782"/>
    <w:rsid w:val="0028278E"/>
    <w:rsid w:val="002827A8"/>
    <w:rsid w:val="00282838"/>
    <w:rsid w:val="0028285F"/>
    <w:rsid w:val="002828A2"/>
    <w:rsid w:val="00282980"/>
    <w:rsid w:val="002829C9"/>
    <w:rsid w:val="00282A61"/>
    <w:rsid w:val="00282A9E"/>
    <w:rsid w:val="00282ACB"/>
    <w:rsid w:val="00282C1D"/>
    <w:rsid w:val="00282CD6"/>
    <w:rsid w:val="00282CD7"/>
    <w:rsid w:val="00282CEB"/>
    <w:rsid w:val="00282DB5"/>
    <w:rsid w:val="00282E85"/>
    <w:rsid w:val="00282F21"/>
    <w:rsid w:val="00282FD3"/>
    <w:rsid w:val="00283087"/>
    <w:rsid w:val="0028312B"/>
    <w:rsid w:val="0028314C"/>
    <w:rsid w:val="0028315F"/>
    <w:rsid w:val="002831B6"/>
    <w:rsid w:val="00283201"/>
    <w:rsid w:val="00283264"/>
    <w:rsid w:val="0028328D"/>
    <w:rsid w:val="002832DD"/>
    <w:rsid w:val="00283342"/>
    <w:rsid w:val="002833B8"/>
    <w:rsid w:val="002834FE"/>
    <w:rsid w:val="0028361C"/>
    <w:rsid w:val="00283641"/>
    <w:rsid w:val="00283700"/>
    <w:rsid w:val="00283717"/>
    <w:rsid w:val="002837E5"/>
    <w:rsid w:val="002838DF"/>
    <w:rsid w:val="0028396C"/>
    <w:rsid w:val="00283972"/>
    <w:rsid w:val="002839B8"/>
    <w:rsid w:val="00283A7D"/>
    <w:rsid w:val="00283B1E"/>
    <w:rsid w:val="00283CD3"/>
    <w:rsid w:val="00283D3D"/>
    <w:rsid w:val="00283D89"/>
    <w:rsid w:val="00283DB0"/>
    <w:rsid w:val="00283ED9"/>
    <w:rsid w:val="00283FDD"/>
    <w:rsid w:val="0028409E"/>
    <w:rsid w:val="0028418E"/>
    <w:rsid w:val="002841A0"/>
    <w:rsid w:val="002841B9"/>
    <w:rsid w:val="002841C8"/>
    <w:rsid w:val="002843CB"/>
    <w:rsid w:val="002844D8"/>
    <w:rsid w:val="00284548"/>
    <w:rsid w:val="0028454F"/>
    <w:rsid w:val="00284586"/>
    <w:rsid w:val="002845DA"/>
    <w:rsid w:val="00284650"/>
    <w:rsid w:val="0028477C"/>
    <w:rsid w:val="002847AD"/>
    <w:rsid w:val="00284876"/>
    <w:rsid w:val="00284A85"/>
    <w:rsid w:val="00284ABD"/>
    <w:rsid w:val="00284AD7"/>
    <w:rsid w:val="00284B2C"/>
    <w:rsid w:val="00284D35"/>
    <w:rsid w:val="00284F80"/>
    <w:rsid w:val="00284FC7"/>
    <w:rsid w:val="00284FD3"/>
    <w:rsid w:val="00285029"/>
    <w:rsid w:val="0028504A"/>
    <w:rsid w:val="002850E0"/>
    <w:rsid w:val="002852AA"/>
    <w:rsid w:val="002852D7"/>
    <w:rsid w:val="00285389"/>
    <w:rsid w:val="00285494"/>
    <w:rsid w:val="002854BD"/>
    <w:rsid w:val="002855DB"/>
    <w:rsid w:val="00285719"/>
    <w:rsid w:val="0028573D"/>
    <w:rsid w:val="00285753"/>
    <w:rsid w:val="00285873"/>
    <w:rsid w:val="002858B5"/>
    <w:rsid w:val="002858C0"/>
    <w:rsid w:val="00285925"/>
    <w:rsid w:val="00285A0B"/>
    <w:rsid w:val="00285AB8"/>
    <w:rsid w:val="00285ABD"/>
    <w:rsid w:val="00285B26"/>
    <w:rsid w:val="00285B2E"/>
    <w:rsid w:val="00285B44"/>
    <w:rsid w:val="00285C74"/>
    <w:rsid w:val="00285D1B"/>
    <w:rsid w:val="00285D1E"/>
    <w:rsid w:val="00285E70"/>
    <w:rsid w:val="00285FEF"/>
    <w:rsid w:val="002860C4"/>
    <w:rsid w:val="00286256"/>
    <w:rsid w:val="002862A3"/>
    <w:rsid w:val="0028631F"/>
    <w:rsid w:val="0028632B"/>
    <w:rsid w:val="00286364"/>
    <w:rsid w:val="002865B6"/>
    <w:rsid w:val="00286622"/>
    <w:rsid w:val="0028688A"/>
    <w:rsid w:val="0028689C"/>
    <w:rsid w:val="002869C6"/>
    <w:rsid w:val="00286A2C"/>
    <w:rsid w:val="00286AA2"/>
    <w:rsid w:val="00286AEA"/>
    <w:rsid w:val="00286AEF"/>
    <w:rsid w:val="00286B07"/>
    <w:rsid w:val="00286B8C"/>
    <w:rsid w:val="00286C8F"/>
    <w:rsid w:val="00286DD4"/>
    <w:rsid w:val="00286DFF"/>
    <w:rsid w:val="00286E0A"/>
    <w:rsid w:val="00286F2D"/>
    <w:rsid w:val="00286FCE"/>
    <w:rsid w:val="00287049"/>
    <w:rsid w:val="00287076"/>
    <w:rsid w:val="002870EF"/>
    <w:rsid w:val="00287137"/>
    <w:rsid w:val="00287252"/>
    <w:rsid w:val="00287261"/>
    <w:rsid w:val="002872AE"/>
    <w:rsid w:val="002873E0"/>
    <w:rsid w:val="00287500"/>
    <w:rsid w:val="0028754A"/>
    <w:rsid w:val="002875E7"/>
    <w:rsid w:val="00287652"/>
    <w:rsid w:val="00287686"/>
    <w:rsid w:val="002876F6"/>
    <w:rsid w:val="00287760"/>
    <w:rsid w:val="00287806"/>
    <w:rsid w:val="00287835"/>
    <w:rsid w:val="002878A7"/>
    <w:rsid w:val="00287936"/>
    <w:rsid w:val="00287954"/>
    <w:rsid w:val="002879C4"/>
    <w:rsid w:val="00287B45"/>
    <w:rsid w:val="00287B5A"/>
    <w:rsid w:val="00287B8D"/>
    <w:rsid w:val="00287BED"/>
    <w:rsid w:val="00287C78"/>
    <w:rsid w:val="00287CE5"/>
    <w:rsid w:val="00287D1D"/>
    <w:rsid w:val="00287D37"/>
    <w:rsid w:val="00287DF0"/>
    <w:rsid w:val="00287F90"/>
    <w:rsid w:val="002901F0"/>
    <w:rsid w:val="00290287"/>
    <w:rsid w:val="002902B1"/>
    <w:rsid w:val="00290412"/>
    <w:rsid w:val="0029043D"/>
    <w:rsid w:val="00290451"/>
    <w:rsid w:val="002904E1"/>
    <w:rsid w:val="0029050E"/>
    <w:rsid w:val="002905E9"/>
    <w:rsid w:val="0029061C"/>
    <w:rsid w:val="00290629"/>
    <w:rsid w:val="002906A1"/>
    <w:rsid w:val="002906E7"/>
    <w:rsid w:val="00290765"/>
    <w:rsid w:val="002907EB"/>
    <w:rsid w:val="0029089B"/>
    <w:rsid w:val="0029093E"/>
    <w:rsid w:val="00290C80"/>
    <w:rsid w:val="00290C88"/>
    <w:rsid w:val="00290E35"/>
    <w:rsid w:val="00290E5F"/>
    <w:rsid w:val="00290E7A"/>
    <w:rsid w:val="00290EBD"/>
    <w:rsid w:val="00290F5B"/>
    <w:rsid w:val="00290F9F"/>
    <w:rsid w:val="00290FF9"/>
    <w:rsid w:val="00290FFB"/>
    <w:rsid w:val="0029107F"/>
    <w:rsid w:val="00291099"/>
    <w:rsid w:val="002910B2"/>
    <w:rsid w:val="00291117"/>
    <w:rsid w:val="0029114B"/>
    <w:rsid w:val="002911F1"/>
    <w:rsid w:val="002913DB"/>
    <w:rsid w:val="00291493"/>
    <w:rsid w:val="002914B6"/>
    <w:rsid w:val="00291526"/>
    <w:rsid w:val="0029152D"/>
    <w:rsid w:val="002915A6"/>
    <w:rsid w:val="0029160D"/>
    <w:rsid w:val="00291678"/>
    <w:rsid w:val="00291697"/>
    <w:rsid w:val="00291875"/>
    <w:rsid w:val="00291924"/>
    <w:rsid w:val="00291940"/>
    <w:rsid w:val="00291950"/>
    <w:rsid w:val="002919DF"/>
    <w:rsid w:val="00291C09"/>
    <w:rsid w:val="00291E54"/>
    <w:rsid w:val="00291E6B"/>
    <w:rsid w:val="00291E8B"/>
    <w:rsid w:val="00291EE3"/>
    <w:rsid w:val="00291F0A"/>
    <w:rsid w:val="00291F51"/>
    <w:rsid w:val="00292145"/>
    <w:rsid w:val="0029231A"/>
    <w:rsid w:val="002924C8"/>
    <w:rsid w:val="002925C4"/>
    <w:rsid w:val="002925F1"/>
    <w:rsid w:val="0029264C"/>
    <w:rsid w:val="002926C0"/>
    <w:rsid w:val="002927FB"/>
    <w:rsid w:val="00292801"/>
    <w:rsid w:val="002928EC"/>
    <w:rsid w:val="00292B28"/>
    <w:rsid w:val="00292B96"/>
    <w:rsid w:val="00292BA8"/>
    <w:rsid w:val="00292C5A"/>
    <w:rsid w:val="00292CB2"/>
    <w:rsid w:val="00292D9C"/>
    <w:rsid w:val="00292DA9"/>
    <w:rsid w:val="00292E8E"/>
    <w:rsid w:val="00292ED2"/>
    <w:rsid w:val="00292F8B"/>
    <w:rsid w:val="00292FA9"/>
    <w:rsid w:val="0029305F"/>
    <w:rsid w:val="002930C3"/>
    <w:rsid w:val="0029310D"/>
    <w:rsid w:val="00293177"/>
    <w:rsid w:val="0029318E"/>
    <w:rsid w:val="00293277"/>
    <w:rsid w:val="00293361"/>
    <w:rsid w:val="00293415"/>
    <w:rsid w:val="0029360A"/>
    <w:rsid w:val="00293646"/>
    <w:rsid w:val="00293908"/>
    <w:rsid w:val="00293ACB"/>
    <w:rsid w:val="00293B04"/>
    <w:rsid w:val="00293BCB"/>
    <w:rsid w:val="00293D2C"/>
    <w:rsid w:val="00293D47"/>
    <w:rsid w:val="00293F9E"/>
    <w:rsid w:val="00293FCF"/>
    <w:rsid w:val="0029403B"/>
    <w:rsid w:val="00294184"/>
    <w:rsid w:val="00294191"/>
    <w:rsid w:val="002942BF"/>
    <w:rsid w:val="00294384"/>
    <w:rsid w:val="00294631"/>
    <w:rsid w:val="002946EE"/>
    <w:rsid w:val="00294704"/>
    <w:rsid w:val="0029475F"/>
    <w:rsid w:val="002947BF"/>
    <w:rsid w:val="00294820"/>
    <w:rsid w:val="00294931"/>
    <w:rsid w:val="00294966"/>
    <w:rsid w:val="00294A64"/>
    <w:rsid w:val="00294AE3"/>
    <w:rsid w:val="00294D25"/>
    <w:rsid w:val="00294DC4"/>
    <w:rsid w:val="00294DEC"/>
    <w:rsid w:val="00294E1D"/>
    <w:rsid w:val="00294E47"/>
    <w:rsid w:val="00294F83"/>
    <w:rsid w:val="00294F93"/>
    <w:rsid w:val="00294FD6"/>
    <w:rsid w:val="00295142"/>
    <w:rsid w:val="00295197"/>
    <w:rsid w:val="002951EE"/>
    <w:rsid w:val="002951EF"/>
    <w:rsid w:val="002951F9"/>
    <w:rsid w:val="00295207"/>
    <w:rsid w:val="002952BF"/>
    <w:rsid w:val="00295310"/>
    <w:rsid w:val="002953F7"/>
    <w:rsid w:val="00295511"/>
    <w:rsid w:val="0029566C"/>
    <w:rsid w:val="002956F1"/>
    <w:rsid w:val="002956F7"/>
    <w:rsid w:val="002957AA"/>
    <w:rsid w:val="002958B5"/>
    <w:rsid w:val="002958E4"/>
    <w:rsid w:val="00295907"/>
    <w:rsid w:val="0029597D"/>
    <w:rsid w:val="00295AED"/>
    <w:rsid w:val="00295AEF"/>
    <w:rsid w:val="00295B92"/>
    <w:rsid w:val="00295BC2"/>
    <w:rsid w:val="00295C17"/>
    <w:rsid w:val="00295C81"/>
    <w:rsid w:val="00295E50"/>
    <w:rsid w:val="00295F56"/>
    <w:rsid w:val="00295F5A"/>
    <w:rsid w:val="00296057"/>
    <w:rsid w:val="0029605F"/>
    <w:rsid w:val="00296074"/>
    <w:rsid w:val="00296079"/>
    <w:rsid w:val="002962DA"/>
    <w:rsid w:val="00296313"/>
    <w:rsid w:val="0029636C"/>
    <w:rsid w:val="00296375"/>
    <w:rsid w:val="002963D8"/>
    <w:rsid w:val="002964C9"/>
    <w:rsid w:val="002964DD"/>
    <w:rsid w:val="00296516"/>
    <w:rsid w:val="0029651D"/>
    <w:rsid w:val="00296589"/>
    <w:rsid w:val="002965F2"/>
    <w:rsid w:val="00296896"/>
    <w:rsid w:val="002969CC"/>
    <w:rsid w:val="002969F6"/>
    <w:rsid w:val="00296C1D"/>
    <w:rsid w:val="00296C42"/>
    <w:rsid w:val="00296DB4"/>
    <w:rsid w:val="00296DCE"/>
    <w:rsid w:val="00296EF8"/>
    <w:rsid w:val="00296FD6"/>
    <w:rsid w:val="00297033"/>
    <w:rsid w:val="002970D2"/>
    <w:rsid w:val="00297105"/>
    <w:rsid w:val="0029743D"/>
    <w:rsid w:val="00297478"/>
    <w:rsid w:val="002974A8"/>
    <w:rsid w:val="002975A5"/>
    <w:rsid w:val="002976BF"/>
    <w:rsid w:val="002978CD"/>
    <w:rsid w:val="002978DD"/>
    <w:rsid w:val="002979F6"/>
    <w:rsid w:val="00297AF4"/>
    <w:rsid w:val="00297B23"/>
    <w:rsid w:val="00297B56"/>
    <w:rsid w:val="00297BAF"/>
    <w:rsid w:val="00297CEF"/>
    <w:rsid w:val="00297D8B"/>
    <w:rsid w:val="00297D95"/>
    <w:rsid w:val="00297D9D"/>
    <w:rsid w:val="00297E33"/>
    <w:rsid w:val="00297ECE"/>
    <w:rsid w:val="00297EE3"/>
    <w:rsid w:val="00298BA4"/>
    <w:rsid w:val="002A0008"/>
    <w:rsid w:val="002A00E0"/>
    <w:rsid w:val="002A00FF"/>
    <w:rsid w:val="002A019D"/>
    <w:rsid w:val="002A0324"/>
    <w:rsid w:val="002A0354"/>
    <w:rsid w:val="002A0429"/>
    <w:rsid w:val="002A0444"/>
    <w:rsid w:val="002A057F"/>
    <w:rsid w:val="002A06A5"/>
    <w:rsid w:val="002A0739"/>
    <w:rsid w:val="002A073B"/>
    <w:rsid w:val="002A07D3"/>
    <w:rsid w:val="002A07F5"/>
    <w:rsid w:val="002A0894"/>
    <w:rsid w:val="002A095F"/>
    <w:rsid w:val="002A0AB1"/>
    <w:rsid w:val="002A0BB5"/>
    <w:rsid w:val="002A0BF0"/>
    <w:rsid w:val="002A0C79"/>
    <w:rsid w:val="002A0D0B"/>
    <w:rsid w:val="002A0D28"/>
    <w:rsid w:val="002A0D2E"/>
    <w:rsid w:val="002A0E27"/>
    <w:rsid w:val="002A0E90"/>
    <w:rsid w:val="002A0ECA"/>
    <w:rsid w:val="002A0F23"/>
    <w:rsid w:val="002A10EF"/>
    <w:rsid w:val="002A11D6"/>
    <w:rsid w:val="002A1222"/>
    <w:rsid w:val="002A1368"/>
    <w:rsid w:val="002A13C6"/>
    <w:rsid w:val="002A15A0"/>
    <w:rsid w:val="002A16A5"/>
    <w:rsid w:val="002A1851"/>
    <w:rsid w:val="002A186A"/>
    <w:rsid w:val="002A18BF"/>
    <w:rsid w:val="002A1A20"/>
    <w:rsid w:val="002A1A68"/>
    <w:rsid w:val="002A1AC0"/>
    <w:rsid w:val="002A1B03"/>
    <w:rsid w:val="002A1BD8"/>
    <w:rsid w:val="002A1D42"/>
    <w:rsid w:val="002A1E55"/>
    <w:rsid w:val="002A1F01"/>
    <w:rsid w:val="002A1F15"/>
    <w:rsid w:val="002A1F85"/>
    <w:rsid w:val="002A1FE4"/>
    <w:rsid w:val="002A21F9"/>
    <w:rsid w:val="002A226C"/>
    <w:rsid w:val="002A228C"/>
    <w:rsid w:val="002A2330"/>
    <w:rsid w:val="002A23FB"/>
    <w:rsid w:val="002A2417"/>
    <w:rsid w:val="002A244B"/>
    <w:rsid w:val="002A2597"/>
    <w:rsid w:val="002A2659"/>
    <w:rsid w:val="002A26A1"/>
    <w:rsid w:val="002A2722"/>
    <w:rsid w:val="002A27A2"/>
    <w:rsid w:val="002A27F6"/>
    <w:rsid w:val="002A2812"/>
    <w:rsid w:val="002A28E3"/>
    <w:rsid w:val="002A29FA"/>
    <w:rsid w:val="002A2A73"/>
    <w:rsid w:val="002A2B11"/>
    <w:rsid w:val="002A2C72"/>
    <w:rsid w:val="002A2D4B"/>
    <w:rsid w:val="002A2D7D"/>
    <w:rsid w:val="002A2F11"/>
    <w:rsid w:val="002A2F23"/>
    <w:rsid w:val="002A2F50"/>
    <w:rsid w:val="002A30B4"/>
    <w:rsid w:val="002A315B"/>
    <w:rsid w:val="002A321B"/>
    <w:rsid w:val="002A329C"/>
    <w:rsid w:val="002A32D8"/>
    <w:rsid w:val="002A3327"/>
    <w:rsid w:val="002A338E"/>
    <w:rsid w:val="002A33C1"/>
    <w:rsid w:val="002A3415"/>
    <w:rsid w:val="002A34F1"/>
    <w:rsid w:val="002A3501"/>
    <w:rsid w:val="002A3532"/>
    <w:rsid w:val="002A3600"/>
    <w:rsid w:val="002A36F6"/>
    <w:rsid w:val="002A38F6"/>
    <w:rsid w:val="002A3AE5"/>
    <w:rsid w:val="002A3B04"/>
    <w:rsid w:val="002A3B6E"/>
    <w:rsid w:val="002A3B74"/>
    <w:rsid w:val="002A3BE8"/>
    <w:rsid w:val="002A3D34"/>
    <w:rsid w:val="002A3D84"/>
    <w:rsid w:val="002A3E73"/>
    <w:rsid w:val="002A4197"/>
    <w:rsid w:val="002A41F5"/>
    <w:rsid w:val="002A4306"/>
    <w:rsid w:val="002A43FD"/>
    <w:rsid w:val="002A443A"/>
    <w:rsid w:val="002A44BD"/>
    <w:rsid w:val="002A4507"/>
    <w:rsid w:val="002A4595"/>
    <w:rsid w:val="002A45CD"/>
    <w:rsid w:val="002A4620"/>
    <w:rsid w:val="002A4768"/>
    <w:rsid w:val="002A47AC"/>
    <w:rsid w:val="002A47D5"/>
    <w:rsid w:val="002A484A"/>
    <w:rsid w:val="002A4866"/>
    <w:rsid w:val="002A49AD"/>
    <w:rsid w:val="002A49EB"/>
    <w:rsid w:val="002A49F8"/>
    <w:rsid w:val="002A4C16"/>
    <w:rsid w:val="002A4C65"/>
    <w:rsid w:val="002A4E3C"/>
    <w:rsid w:val="002A4E67"/>
    <w:rsid w:val="002A4F3B"/>
    <w:rsid w:val="002A4FC9"/>
    <w:rsid w:val="002A4FEC"/>
    <w:rsid w:val="002A50BB"/>
    <w:rsid w:val="002A521F"/>
    <w:rsid w:val="002A533A"/>
    <w:rsid w:val="002A5355"/>
    <w:rsid w:val="002A5362"/>
    <w:rsid w:val="002A536D"/>
    <w:rsid w:val="002A539F"/>
    <w:rsid w:val="002A5479"/>
    <w:rsid w:val="002A5562"/>
    <w:rsid w:val="002A5655"/>
    <w:rsid w:val="002A592E"/>
    <w:rsid w:val="002A5977"/>
    <w:rsid w:val="002A598D"/>
    <w:rsid w:val="002A5997"/>
    <w:rsid w:val="002A59A3"/>
    <w:rsid w:val="002A5A6E"/>
    <w:rsid w:val="002A5A74"/>
    <w:rsid w:val="002A5B9D"/>
    <w:rsid w:val="002A5C4F"/>
    <w:rsid w:val="002A5D59"/>
    <w:rsid w:val="002A5DB0"/>
    <w:rsid w:val="002A5DDC"/>
    <w:rsid w:val="002A5EB5"/>
    <w:rsid w:val="002A5EE4"/>
    <w:rsid w:val="002A5FBA"/>
    <w:rsid w:val="002A5FCF"/>
    <w:rsid w:val="002A6020"/>
    <w:rsid w:val="002A640F"/>
    <w:rsid w:val="002A6411"/>
    <w:rsid w:val="002A6468"/>
    <w:rsid w:val="002A64CF"/>
    <w:rsid w:val="002A64EB"/>
    <w:rsid w:val="002A65CA"/>
    <w:rsid w:val="002A6675"/>
    <w:rsid w:val="002A6680"/>
    <w:rsid w:val="002A66D1"/>
    <w:rsid w:val="002A67CE"/>
    <w:rsid w:val="002A6898"/>
    <w:rsid w:val="002A6932"/>
    <w:rsid w:val="002A69AE"/>
    <w:rsid w:val="002A6AD8"/>
    <w:rsid w:val="002A6B20"/>
    <w:rsid w:val="002A6C4C"/>
    <w:rsid w:val="002A6CFE"/>
    <w:rsid w:val="002A6D34"/>
    <w:rsid w:val="002A6E8B"/>
    <w:rsid w:val="002A6EB3"/>
    <w:rsid w:val="002A6F0B"/>
    <w:rsid w:val="002A6F64"/>
    <w:rsid w:val="002A6FBE"/>
    <w:rsid w:val="002A6FC1"/>
    <w:rsid w:val="002A7377"/>
    <w:rsid w:val="002A748F"/>
    <w:rsid w:val="002A753E"/>
    <w:rsid w:val="002A7588"/>
    <w:rsid w:val="002A760D"/>
    <w:rsid w:val="002A77ED"/>
    <w:rsid w:val="002A78C8"/>
    <w:rsid w:val="002A78F0"/>
    <w:rsid w:val="002A7939"/>
    <w:rsid w:val="002A795F"/>
    <w:rsid w:val="002A79B5"/>
    <w:rsid w:val="002A7AF2"/>
    <w:rsid w:val="002A7C5C"/>
    <w:rsid w:val="002A7E42"/>
    <w:rsid w:val="002A7E5D"/>
    <w:rsid w:val="002A7F49"/>
    <w:rsid w:val="002AC51D"/>
    <w:rsid w:val="002B00A9"/>
    <w:rsid w:val="002B00D3"/>
    <w:rsid w:val="002B0269"/>
    <w:rsid w:val="002B026B"/>
    <w:rsid w:val="002B027A"/>
    <w:rsid w:val="002B0308"/>
    <w:rsid w:val="002B030E"/>
    <w:rsid w:val="002B0604"/>
    <w:rsid w:val="002B070B"/>
    <w:rsid w:val="002B071C"/>
    <w:rsid w:val="002B075B"/>
    <w:rsid w:val="002B0A6D"/>
    <w:rsid w:val="002B0AC7"/>
    <w:rsid w:val="002B0B13"/>
    <w:rsid w:val="002B0B65"/>
    <w:rsid w:val="002B0C21"/>
    <w:rsid w:val="002B0C65"/>
    <w:rsid w:val="002B0CBB"/>
    <w:rsid w:val="002B0CED"/>
    <w:rsid w:val="002B0D10"/>
    <w:rsid w:val="002B0D9F"/>
    <w:rsid w:val="002B0E04"/>
    <w:rsid w:val="002B0EE3"/>
    <w:rsid w:val="002B0EED"/>
    <w:rsid w:val="002B0F77"/>
    <w:rsid w:val="002B0FF4"/>
    <w:rsid w:val="002B1066"/>
    <w:rsid w:val="002B13FE"/>
    <w:rsid w:val="002B147F"/>
    <w:rsid w:val="002B154C"/>
    <w:rsid w:val="002B1751"/>
    <w:rsid w:val="002B1838"/>
    <w:rsid w:val="002B1895"/>
    <w:rsid w:val="002B1A76"/>
    <w:rsid w:val="002B1A80"/>
    <w:rsid w:val="002B1BD9"/>
    <w:rsid w:val="002B1D48"/>
    <w:rsid w:val="002B1EAD"/>
    <w:rsid w:val="002B1F4B"/>
    <w:rsid w:val="002B1FB3"/>
    <w:rsid w:val="002B20D1"/>
    <w:rsid w:val="002B2184"/>
    <w:rsid w:val="002B218F"/>
    <w:rsid w:val="002B21AA"/>
    <w:rsid w:val="002B22DE"/>
    <w:rsid w:val="002B2304"/>
    <w:rsid w:val="002B2414"/>
    <w:rsid w:val="002B2607"/>
    <w:rsid w:val="002B265A"/>
    <w:rsid w:val="002B2690"/>
    <w:rsid w:val="002B27F1"/>
    <w:rsid w:val="002B2948"/>
    <w:rsid w:val="002B29DA"/>
    <w:rsid w:val="002B2A44"/>
    <w:rsid w:val="002B2CB3"/>
    <w:rsid w:val="002B2D49"/>
    <w:rsid w:val="002B2FBC"/>
    <w:rsid w:val="002B2FC0"/>
    <w:rsid w:val="002B307C"/>
    <w:rsid w:val="002B3563"/>
    <w:rsid w:val="002B36BC"/>
    <w:rsid w:val="002B395A"/>
    <w:rsid w:val="002B3A68"/>
    <w:rsid w:val="002B3AB3"/>
    <w:rsid w:val="002B3BC8"/>
    <w:rsid w:val="002B3BF8"/>
    <w:rsid w:val="002B3CA4"/>
    <w:rsid w:val="002B3DB1"/>
    <w:rsid w:val="002B3E06"/>
    <w:rsid w:val="002B3F16"/>
    <w:rsid w:val="002B3F47"/>
    <w:rsid w:val="002B4066"/>
    <w:rsid w:val="002B4279"/>
    <w:rsid w:val="002B42F6"/>
    <w:rsid w:val="002B4309"/>
    <w:rsid w:val="002B4435"/>
    <w:rsid w:val="002B44C5"/>
    <w:rsid w:val="002B46E4"/>
    <w:rsid w:val="002B4965"/>
    <w:rsid w:val="002B497D"/>
    <w:rsid w:val="002B4A07"/>
    <w:rsid w:val="002B4AA6"/>
    <w:rsid w:val="002B4BCF"/>
    <w:rsid w:val="002B4BFD"/>
    <w:rsid w:val="002B4CFC"/>
    <w:rsid w:val="002B4DB4"/>
    <w:rsid w:val="002B4E02"/>
    <w:rsid w:val="002B4E3C"/>
    <w:rsid w:val="002B4FF1"/>
    <w:rsid w:val="002B5076"/>
    <w:rsid w:val="002B51FB"/>
    <w:rsid w:val="002B5274"/>
    <w:rsid w:val="002B527F"/>
    <w:rsid w:val="002B5373"/>
    <w:rsid w:val="002B5640"/>
    <w:rsid w:val="002B5682"/>
    <w:rsid w:val="002B57C9"/>
    <w:rsid w:val="002B5867"/>
    <w:rsid w:val="002B58CA"/>
    <w:rsid w:val="002B59CF"/>
    <w:rsid w:val="002B5A19"/>
    <w:rsid w:val="002B5AFB"/>
    <w:rsid w:val="002B5B31"/>
    <w:rsid w:val="002B5B76"/>
    <w:rsid w:val="002B5BF7"/>
    <w:rsid w:val="002B5C04"/>
    <w:rsid w:val="002B5C35"/>
    <w:rsid w:val="002B5CF8"/>
    <w:rsid w:val="002B5D06"/>
    <w:rsid w:val="002B5D60"/>
    <w:rsid w:val="002B5D8A"/>
    <w:rsid w:val="002B5E57"/>
    <w:rsid w:val="002B5E82"/>
    <w:rsid w:val="002B5FFF"/>
    <w:rsid w:val="002B6049"/>
    <w:rsid w:val="002B604B"/>
    <w:rsid w:val="002B6071"/>
    <w:rsid w:val="002B6228"/>
    <w:rsid w:val="002B6250"/>
    <w:rsid w:val="002B62F7"/>
    <w:rsid w:val="002B6362"/>
    <w:rsid w:val="002B63B2"/>
    <w:rsid w:val="002B63C3"/>
    <w:rsid w:val="002B63E9"/>
    <w:rsid w:val="002B642C"/>
    <w:rsid w:val="002B669D"/>
    <w:rsid w:val="002B66E0"/>
    <w:rsid w:val="002B6828"/>
    <w:rsid w:val="002B68F6"/>
    <w:rsid w:val="002B691B"/>
    <w:rsid w:val="002B69A4"/>
    <w:rsid w:val="002B69F3"/>
    <w:rsid w:val="002B6A9E"/>
    <w:rsid w:val="002B6B5E"/>
    <w:rsid w:val="002B6D8F"/>
    <w:rsid w:val="002B6E7D"/>
    <w:rsid w:val="002B6EE8"/>
    <w:rsid w:val="002B6EF9"/>
    <w:rsid w:val="002B6F2E"/>
    <w:rsid w:val="002B6FD1"/>
    <w:rsid w:val="002B6FEC"/>
    <w:rsid w:val="002B70D6"/>
    <w:rsid w:val="002B7259"/>
    <w:rsid w:val="002B7488"/>
    <w:rsid w:val="002B757C"/>
    <w:rsid w:val="002B7595"/>
    <w:rsid w:val="002B760C"/>
    <w:rsid w:val="002B7684"/>
    <w:rsid w:val="002B77E5"/>
    <w:rsid w:val="002B783F"/>
    <w:rsid w:val="002B785C"/>
    <w:rsid w:val="002B78C6"/>
    <w:rsid w:val="002B791C"/>
    <w:rsid w:val="002B798B"/>
    <w:rsid w:val="002B79C4"/>
    <w:rsid w:val="002B7AB1"/>
    <w:rsid w:val="002B7B09"/>
    <w:rsid w:val="002B7B32"/>
    <w:rsid w:val="002B7BF4"/>
    <w:rsid w:val="002B7C31"/>
    <w:rsid w:val="002B7C41"/>
    <w:rsid w:val="002B7D23"/>
    <w:rsid w:val="002B7DFF"/>
    <w:rsid w:val="002B7E40"/>
    <w:rsid w:val="002B7F6B"/>
    <w:rsid w:val="002C0000"/>
    <w:rsid w:val="002C006A"/>
    <w:rsid w:val="002C00C4"/>
    <w:rsid w:val="002C0100"/>
    <w:rsid w:val="002C010E"/>
    <w:rsid w:val="002C0170"/>
    <w:rsid w:val="002C01C4"/>
    <w:rsid w:val="002C01FE"/>
    <w:rsid w:val="002C023F"/>
    <w:rsid w:val="002C033B"/>
    <w:rsid w:val="002C040C"/>
    <w:rsid w:val="002C042E"/>
    <w:rsid w:val="002C058B"/>
    <w:rsid w:val="002C05F8"/>
    <w:rsid w:val="002C0637"/>
    <w:rsid w:val="002C06B8"/>
    <w:rsid w:val="002C0775"/>
    <w:rsid w:val="002C07D4"/>
    <w:rsid w:val="002C08E3"/>
    <w:rsid w:val="002C0905"/>
    <w:rsid w:val="002C090B"/>
    <w:rsid w:val="002C0971"/>
    <w:rsid w:val="002C09C4"/>
    <w:rsid w:val="002C0A1D"/>
    <w:rsid w:val="002C0A95"/>
    <w:rsid w:val="002C0AEB"/>
    <w:rsid w:val="002C0CCB"/>
    <w:rsid w:val="002C0D87"/>
    <w:rsid w:val="002C0DD2"/>
    <w:rsid w:val="002C0E7F"/>
    <w:rsid w:val="002C0FE7"/>
    <w:rsid w:val="002C1039"/>
    <w:rsid w:val="002C1097"/>
    <w:rsid w:val="002C10E8"/>
    <w:rsid w:val="002C11A5"/>
    <w:rsid w:val="002C13CF"/>
    <w:rsid w:val="002C13DF"/>
    <w:rsid w:val="002C1405"/>
    <w:rsid w:val="002C1408"/>
    <w:rsid w:val="002C140C"/>
    <w:rsid w:val="002C1445"/>
    <w:rsid w:val="002C149D"/>
    <w:rsid w:val="002C14B8"/>
    <w:rsid w:val="002C15DB"/>
    <w:rsid w:val="002C15DC"/>
    <w:rsid w:val="002C173C"/>
    <w:rsid w:val="002C198E"/>
    <w:rsid w:val="002C1A1A"/>
    <w:rsid w:val="002C1AE1"/>
    <w:rsid w:val="002C1B08"/>
    <w:rsid w:val="002C1BB6"/>
    <w:rsid w:val="002C1BEC"/>
    <w:rsid w:val="002C1CA8"/>
    <w:rsid w:val="002C1CE1"/>
    <w:rsid w:val="002C1D18"/>
    <w:rsid w:val="002C1D3A"/>
    <w:rsid w:val="002C1DCD"/>
    <w:rsid w:val="002C1E88"/>
    <w:rsid w:val="002C1EF4"/>
    <w:rsid w:val="002C1F2B"/>
    <w:rsid w:val="002C202B"/>
    <w:rsid w:val="002C2048"/>
    <w:rsid w:val="002C20FA"/>
    <w:rsid w:val="002C2128"/>
    <w:rsid w:val="002C2138"/>
    <w:rsid w:val="002C2246"/>
    <w:rsid w:val="002C24BE"/>
    <w:rsid w:val="002C2578"/>
    <w:rsid w:val="002C264C"/>
    <w:rsid w:val="002C266B"/>
    <w:rsid w:val="002C2739"/>
    <w:rsid w:val="002C277D"/>
    <w:rsid w:val="002C27D6"/>
    <w:rsid w:val="002C287B"/>
    <w:rsid w:val="002C28B4"/>
    <w:rsid w:val="002C2935"/>
    <w:rsid w:val="002C2943"/>
    <w:rsid w:val="002C2B64"/>
    <w:rsid w:val="002C2C68"/>
    <w:rsid w:val="002C2CD8"/>
    <w:rsid w:val="002C2D5D"/>
    <w:rsid w:val="002C2D64"/>
    <w:rsid w:val="002C2D91"/>
    <w:rsid w:val="002C2E00"/>
    <w:rsid w:val="002C2E9F"/>
    <w:rsid w:val="002C2F40"/>
    <w:rsid w:val="002C3058"/>
    <w:rsid w:val="002C311A"/>
    <w:rsid w:val="002C3181"/>
    <w:rsid w:val="002C31AF"/>
    <w:rsid w:val="002C31EA"/>
    <w:rsid w:val="002C339C"/>
    <w:rsid w:val="002C34B4"/>
    <w:rsid w:val="002C34CF"/>
    <w:rsid w:val="002C3760"/>
    <w:rsid w:val="002C37DC"/>
    <w:rsid w:val="002C37E4"/>
    <w:rsid w:val="002C37F0"/>
    <w:rsid w:val="002C382D"/>
    <w:rsid w:val="002C3932"/>
    <w:rsid w:val="002C39D1"/>
    <w:rsid w:val="002C39DC"/>
    <w:rsid w:val="002C3A71"/>
    <w:rsid w:val="002C3B70"/>
    <w:rsid w:val="002C3B81"/>
    <w:rsid w:val="002C3BB5"/>
    <w:rsid w:val="002C3CD0"/>
    <w:rsid w:val="002C3CFC"/>
    <w:rsid w:val="002C3D3B"/>
    <w:rsid w:val="002C3DD4"/>
    <w:rsid w:val="002C3DE3"/>
    <w:rsid w:val="002C3EC2"/>
    <w:rsid w:val="002C3F6B"/>
    <w:rsid w:val="002C3F71"/>
    <w:rsid w:val="002C3F7F"/>
    <w:rsid w:val="002C3FD5"/>
    <w:rsid w:val="002C3FD7"/>
    <w:rsid w:val="002C4070"/>
    <w:rsid w:val="002C40FB"/>
    <w:rsid w:val="002C421C"/>
    <w:rsid w:val="002C425C"/>
    <w:rsid w:val="002C430A"/>
    <w:rsid w:val="002C4315"/>
    <w:rsid w:val="002C433F"/>
    <w:rsid w:val="002C437E"/>
    <w:rsid w:val="002C4394"/>
    <w:rsid w:val="002C4679"/>
    <w:rsid w:val="002C4793"/>
    <w:rsid w:val="002C47DF"/>
    <w:rsid w:val="002C481E"/>
    <w:rsid w:val="002C4830"/>
    <w:rsid w:val="002C4915"/>
    <w:rsid w:val="002C4B4D"/>
    <w:rsid w:val="002C4B64"/>
    <w:rsid w:val="002C4B98"/>
    <w:rsid w:val="002C4BD9"/>
    <w:rsid w:val="002C4C19"/>
    <w:rsid w:val="002C4CD5"/>
    <w:rsid w:val="002C5033"/>
    <w:rsid w:val="002C528D"/>
    <w:rsid w:val="002C5329"/>
    <w:rsid w:val="002C5480"/>
    <w:rsid w:val="002C552D"/>
    <w:rsid w:val="002C5636"/>
    <w:rsid w:val="002C5665"/>
    <w:rsid w:val="002C5678"/>
    <w:rsid w:val="002C567D"/>
    <w:rsid w:val="002C573E"/>
    <w:rsid w:val="002C588A"/>
    <w:rsid w:val="002C59AF"/>
    <w:rsid w:val="002C59C8"/>
    <w:rsid w:val="002C5A98"/>
    <w:rsid w:val="002C5AF0"/>
    <w:rsid w:val="002C5BA9"/>
    <w:rsid w:val="002C5C86"/>
    <w:rsid w:val="002C6037"/>
    <w:rsid w:val="002C60E5"/>
    <w:rsid w:val="002C60F9"/>
    <w:rsid w:val="002C610B"/>
    <w:rsid w:val="002C6142"/>
    <w:rsid w:val="002C617E"/>
    <w:rsid w:val="002C635A"/>
    <w:rsid w:val="002C6391"/>
    <w:rsid w:val="002C63DC"/>
    <w:rsid w:val="002C640F"/>
    <w:rsid w:val="002C64E9"/>
    <w:rsid w:val="002C64F9"/>
    <w:rsid w:val="002C658B"/>
    <w:rsid w:val="002C65EC"/>
    <w:rsid w:val="002C6619"/>
    <w:rsid w:val="002C6658"/>
    <w:rsid w:val="002C66BA"/>
    <w:rsid w:val="002C675A"/>
    <w:rsid w:val="002C6930"/>
    <w:rsid w:val="002C693B"/>
    <w:rsid w:val="002C69AA"/>
    <w:rsid w:val="002C6A36"/>
    <w:rsid w:val="002C6A4E"/>
    <w:rsid w:val="002C6B9A"/>
    <w:rsid w:val="002C6C86"/>
    <w:rsid w:val="002C6CA3"/>
    <w:rsid w:val="002C6CD9"/>
    <w:rsid w:val="002C6D2D"/>
    <w:rsid w:val="002C6D4A"/>
    <w:rsid w:val="002C6EB7"/>
    <w:rsid w:val="002C6FD7"/>
    <w:rsid w:val="002C709F"/>
    <w:rsid w:val="002C70C9"/>
    <w:rsid w:val="002C70DD"/>
    <w:rsid w:val="002C71D6"/>
    <w:rsid w:val="002C7260"/>
    <w:rsid w:val="002C733D"/>
    <w:rsid w:val="002C741D"/>
    <w:rsid w:val="002C747D"/>
    <w:rsid w:val="002C760A"/>
    <w:rsid w:val="002C760F"/>
    <w:rsid w:val="002C777F"/>
    <w:rsid w:val="002C7940"/>
    <w:rsid w:val="002C79FA"/>
    <w:rsid w:val="002C7A19"/>
    <w:rsid w:val="002C7AAB"/>
    <w:rsid w:val="002C7B6D"/>
    <w:rsid w:val="002C7CEA"/>
    <w:rsid w:val="002C7CF4"/>
    <w:rsid w:val="002C7D8A"/>
    <w:rsid w:val="002C7FCF"/>
    <w:rsid w:val="002C7FE2"/>
    <w:rsid w:val="002C7FFA"/>
    <w:rsid w:val="002D00F3"/>
    <w:rsid w:val="002D014D"/>
    <w:rsid w:val="002D015E"/>
    <w:rsid w:val="002D01CB"/>
    <w:rsid w:val="002D01D4"/>
    <w:rsid w:val="002D01D5"/>
    <w:rsid w:val="002D02BA"/>
    <w:rsid w:val="002D03A9"/>
    <w:rsid w:val="002D03B9"/>
    <w:rsid w:val="002D0588"/>
    <w:rsid w:val="002D05F1"/>
    <w:rsid w:val="002D07EE"/>
    <w:rsid w:val="002D082C"/>
    <w:rsid w:val="002D08B4"/>
    <w:rsid w:val="002D08E3"/>
    <w:rsid w:val="002D08EF"/>
    <w:rsid w:val="002D0910"/>
    <w:rsid w:val="002D095E"/>
    <w:rsid w:val="002D0967"/>
    <w:rsid w:val="002D09A3"/>
    <w:rsid w:val="002D0A37"/>
    <w:rsid w:val="002D0BB8"/>
    <w:rsid w:val="002D0C40"/>
    <w:rsid w:val="002D0D52"/>
    <w:rsid w:val="002D0F55"/>
    <w:rsid w:val="002D0F5A"/>
    <w:rsid w:val="002D1006"/>
    <w:rsid w:val="002D1064"/>
    <w:rsid w:val="002D10CA"/>
    <w:rsid w:val="002D10CE"/>
    <w:rsid w:val="002D10ED"/>
    <w:rsid w:val="002D1212"/>
    <w:rsid w:val="002D141E"/>
    <w:rsid w:val="002D1455"/>
    <w:rsid w:val="002D1458"/>
    <w:rsid w:val="002D14B9"/>
    <w:rsid w:val="002D155F"/>
    <w:rsid w:val="002D173F"/>
    <w:rsid w:val="002D17C6"/>
    <w:rsid w:val="002D186E"/>
    <w:rsid w:val="002D18D1"/>
    <w:rsid w:val="002D196A"/>
    <w:rsid w:val="002D19A2"/>
    <w:rsid w:val="002D19C0"/>
    <w:rsid w:val="002D1A21"/>
    <w:rsid w:val="002D1A24"/>
    <w:rsid w:val="002D1A71"/>
    <w:rsid w:val="002D1BA7"/>
    <w:rsid w:val="002D1BC6"/>
    <w:rsid w:val="002D1D1C"/>
    <w:rsid w:val="002D1E39"/>
    <w:rsid w:val="002D1E48"/>
    <w:rsid w:val="002D1E88"/>
    <w:rsid w:val="002D1EBC"/>
    <w:rsid w:val="002D1FDF"/>
    <w:rsid w:val="002D209A"/>
    <w:rsid w:val="002D2106"/>
    <w:rsid w:val="002D2178"/>
    <w:rsid w:val="002D22D5"/>
    <w:rsid w:val="002D2346"/>
    <w:rsid w:val="002D2498"/>
    <w:rsid w:val="002D2548"/>
    <w:rsid w:val="002D25A4"/>
    <w:rsid w:val="002D26CC"/>
    <w:rsid w:val="002D26E6"/>
    <w:rsid w:val="002D2826"/>
    <w:rsid w:val="002D2829"/>
    <w:rsid w:val="002D2890"/>
    <w:rsid w:val="002D28DB"/>
    <w:rsid w:val="002D29BC"/>
    <w:rsid w:val="002D2B34"/>
    <w:rsid w:val="002D2B49"/>
    <w:rsid w:val="002D2BBC"/>
    <w:rsid w:val="002D2CB5"/>
    <w:rsid w:val="002D2D91"/>
    <w:rsid w:val="002D2D9E"/>
    <w:rsid w:val="002D2DF5"/>
    <w:rsid w:val="002D2E20"/>
    <w:rsid w:val="002D2FF6"/>
    <w:rsid w:val="002D30F7"/>
    <w:rsid w:val="002D3213"/>
    <w:rsid w:val="002D323C"/>
    <w:rsid w:val="002D32CE"/>
    <w:rsid w:val="002D3367"/>
    <w:rsid w:val="002D339E"/>
    <w:rsid w:val="002D34E5"/>
    <w:rsid w:val="002D3505"/>
    <w:rsid w:val="002D3571"/>
    <w:rsid w:val="002D35BC"/>
    <w:rsid w:val="002D3797"/>
    <w:rsid w:val="002D37E3"/>
    <w:rsid w:val="002D38B4"/>
    <w:rsid w:val="002D3ACF"/>
    <w:rsid w:val="002D3AD5"/>
    <w:rsid w:val="002D3B5F"/>
    <w:rsid w:val="002D3C2D"/>
    <w:rsid w:val="002D3CC3"/>
    <w:rsid w:val="002D3CD2"/>
    <w:rsid w:val="002D3D3A"/>
    <w:rsid w:val="002D3D9D"/>
    <w:rsid w:val="002D3E89"/>
    <w:rsid w:val="002D3ECF"/>
    <w:rsid w:val="002D3ED3"/>
    <w:rsid w:val="002D3F89"/>
    <w:rsid w:val="002D4011"/>
    <w:rsid w:val="002D4052"/>
    <w:rsid w:val="002D40F4"/>
    <w:rsid w:val="002D415A"/>
    <w:rsid w:val="002D4262"/>
    <w:rsid w:val="002D42B4"/>
    <w:rsid w:val="002D43B8"/>
    <w:rsid w:val="002D43DF"/>
    <w:rsid w:val="002D44C2"/>
    <w:rsid w:val="002D454C"/>
    <w:rsid w:val="002D461D"/>
    <w:rsid w:val="002D4693"/>
    <w:rsid w:val="002D46AD"/>
    <w:rsid w:val="002D46C3"/>
    <w:rsid w:val="002D47C7"/>
    <w:rsid w:val="002D47E7"/>
    <w:rsid w:val="002D48A5"/>
    <w:rsid w:val="002D48AA"/>
    <w:rsid w:val="002D4917"/>
    <w:rsid w:val="002D492A"/>
    <w:rsid w:val="002D4A36"/>
    <w:rsid w:val="002D4C22"/>
    <w:rsid w:val="002D4C29"/>
    <w:rsid w:val="002D4DF2"/>
    <w:rsid w:val="002D4E97"/>
    <w:rsid w:val="002D4EB9"/>
    <w:rsid w:val="002D4EF9"/>
    <w:rsid w:val="002D4F5F"/>
    <w:rsid w:val="002D508F"/>
    <w:rsid w:val="002D50D9"/>
    <w:rsid w:val="002D50FA"/>
    <w:rsid w:val="002D52CB"/>
    <w:rsid w:val="002D552D"/>
    <w:rsid w:val="002D556A"/>
    <w:rsid w:val="002D5606"/>
    <w:rsid w:val="002D5693"/>
    <w:rsid w:val="002D578B"/>
    <w:rsid w:val="002D5832"/>
    <w:rsid w:val="002D58AE"/>
    <w:rsid w:val="002D58EA"/>
    <w:rsid w:val="002D5973"/>
    <w:rsid w:val="002D5AB3"/>
    <w:rsid w:val="002D5AD7"/>
    <w:rsid w:val="002D5BD8"/>
    <w:rsid w:val="002D5C2F"/>
    <w:rsid w:val="002D5CF7"/>
    <w:rsid w:val="002D5DA8"/>
    <w:rsid w:val="002D5DBF"/>
    <w:rsid w:val="002D5E4B"/>
    <w:rsid w:val="002D5E8E"/>
    <w:rsid w:val="002D5F51"/>
    <w:rsid w:val="002D5F7C"/>
    <w:rsid w:val="002D5F94"/>
    <w:rsid w:val="002D602F"/>
    <w:rsid w:val="002D608D"/>
    <w:rsid w:val="002D6143"/>
    <w:rsid w:val="002D64CD"/>
    <w:rsid w:val="002D65FA"/>
    <w:rsid w:val="002D6702"/>
    <w:rsid w:val="002D6930"/>
    <w:rsid w:val="002D69EC"/>
    <w:rsid w:val="002D6A02"/>
    <w:rsid w:val="002D6AB3"/>
    <w:rsid w:val="002D6B02"/>
    <w:rsid w:val="002D6DA7"/>
    <w:rsid w:val="002D6DD1"/>
    <w:rsid w:val="002D6E88"/>
    <w:rsid w:val="002D6F87"/>
    <w:rsid w:val="002D6FBC"/>
    <w:rsid w:val="002D6FDD"/>
    <w:rsid w:val="002D70ED"/>
    <w:rsid w:val="002D7141"/>
    <w:rsid w:val="002D71E9"/>
    <w:rsid w:val="002D72CC"/>
    <w:rsid w:val="002D7310"/>
    <w:rsid w:val="002D73A7"/>
    <w:rsid w:val="002D73D6"/>
    <w:rsid w:val="002D75C6"/>
    <w:rsid w:val="002D75EF"/>
    <w:rsid w:val="002D7645"/>
    <w:rsid w:val="002D78B3"/>
    <w:rsid w:val="002D78C7"/>
    <w:rsid w:val="002D7964"/>
    <w:rsid w:val="002D7974"/>
    <w:rsid w:val="002D798E"/>
    <w:rsid w:val="002D79C7"/>
    <w:rsid w:val="002D79D4"/>
    <w:rsid w:val="002D7A6F"/>
    <w:rsid w:val="002D7E8D"/>
    <w:rsid w:val="002D7F2A"/>
    <w:rsid w:val="002D7FE1"/>
    <w:rsid w:val="002E00FB"/>
    <w:rsid w:val="002E017B"/>
    <w:rsid w:val="002E0181"/>
    <w:rsid w:val="002E01FF"/>
    <w:rsid w:val="002E0227"/>
    <w:rsid w:val="002E0231"/>
    <w:rsid w:val="002E02B6"/>
    <w:rsid w:val="002E0493"/>
    <w:rsid w:val="002E0514"/>
    <w:rsid w:val="002E05C1"/>
    <w:rsid w:val="002E05C4"/>
    <w:rsid w:val="002E06FD"/>
    <w:rsid w:val="002E072C"/>
    <w:rsid w:val="002E08A7"/>
    <w:rsid w:val="002E08F0"/>
    <w:rsid w:val="002E0954"/>
    <w:rsid w:val="002E0A65"/>
    <w:rsid w:val="002E0AB2"/>
    <w:rsid w:val="002E0B73"/>
    <w:rsid w:val="002E0BA5"/>
    <w:rsid w:val="002E0C50"/>
    <w:rsid w:val="002E0D0A"/>
    <w:rsid w:val="002E0D2A"/>
    <w:rsid w:val="002E0F60"/>
    <w:rsid w:val="002E0F8D"/>
    <w:rsid w:val="002E113A"/>
    <w:rsid w:val="002E120F"/>
    <w:rsid w:val="002E124B"/>
    <w:rsid w:val="002E1381"/>
    <w:rsid w:val="002E13AB"/>
    <w:rsid w:val="002E13BF"/>
    <w:rsid w:val="002E13F9"/>
    <w:rsid w:val="002E14BE"/>
    <w:rsid w:val="002E14F2"/>
    <w:rsid w:val="002E165E"/>
    <w:rsid w:val="002E1682"/>
    <w:rsid w:val="002E16F6"/>
    <w:rsid w:val="002E1878"/>
    <w:rsid w:val="002E193D"/>
    <w:rsid w:val="002E1995"/>
    <w:rsid w:val="002E1A08"/>
    <w:rsid w:val="002E1ABF"/>
    <w:rsid w:val="002E1ADD"/>
    <w:rsid w:val="002E1D2D"/>
    <w:rsid w:val="002E1D86"/>
    <w:rsid w:val="002E1DD5"/>
    <w:rsid w:val="002E1FD5"/>
    <w:rsid w:val="002E20EA"/>
    <w:rsid w:val="002E21E9"/>
    <w:rsid w:val="002E21FD"/>
    <w:rsid w:val="002E22B8"/>
    <w:rsid w:val="002E22E1"/>
    <w:rsid w:val="002E24F7"/>
    <w:rsid w:val="002E2528"/>
    <w:rsid w:val="002E258F"/>
    <w:rsid w:val="002E262D"/>
    <w:rsid w:val="002E2666"/>
    <w:rsid w:val="002E26E3"/>
    <w:rsid w:val="002E2722"/>
    <w:rsid w:val="002E273D"/>
    <w:rsid w:val="002E275E"/>
    <w:rsid w:val="002E2786"/>
    <w:rsid w:val="002E2797"/>
    <w:rsid w:val="002E27A9"/>
    <w:rsid w:val="002E27B7"/>
    <w:rsid w:val="002E294D"/>
    <w:rsid w:val="002E2A2C"/>
    <w:rsid w:val="002E2B99"/>
    <w:rsid w:val="002E2BFD"/>
    <w:rsid w:val="002E2C35"/>
    <w:rsid w:val="002E2D06"/>
    <w:rsid w:val="002E2D0F"/>
    <w:rsid w:val="002E2F97"/>
    <w:rsid w:val="002E3150"/>
    <w:rsid w:val="002E31BD"/>
    <w:rsid w:val="002E31FF"/>
    <w:rsid w:val="002E324E"/>
    <w:rsid w:val="002E32FF"/>
    <w:rsid w:val="002E3387"/>
    <w:rsid w:val="002E33DE"/>
    <w:rsid w:val="002E33F8"/>
    <w:rsid w:val="002E3424"/>
    <w:rsid w:val="002E352B"/>
    <w:rsid w:val="002E365D"/>
    <w:rsid w:val="002E3804"/>
    <w:rsid w:val="002E3805"/>
    <w:rsid w:val="002E380E"/>
    <w:rsid w:val="002E3815"/>
    <w:rsid w:val="002E3852"/>
    <w:rsid w:val="002E3A4D"/>
    <w:rsid w:val="002E3AAE"/>
    <w:rsid w:val="002E3AB4"/>
    <w:rsid w:val="002E3AB9"/>
    <w:rsid w:val="002E3B15"/>
    <w:rsid w:val="002E3C73"/>
    <w:rsid w:val="002E3CD9"/>
    <w:rsid w:val="002E3E1B"/>
    <w:rsid w:val="002E3EC7"/>
    <w:rsid w:val="002E3F48"/>
    <w:rsid w:val="002E3FA2"/>
    <w:rsid w:val="002E3FD3"/>
    <w:rsid w:val="002E403E"/>
    <w:rsid w:val="002E4063"/>
    <w:rsid w:val="002E41FA"/>
    <w:rsid w:val="002E4202"/>
    <w:rsid w:val="002E42B4"/>
    <w:rsid w:val="002E4447"/>
    <w:rsid w:val="002E45A5"/>
    <w:rsid w:val="002E46A2"/>
    <w:rsid w:val="002E46BD"/>
    <w:rsid w:val="002E470A"/>
    <w:rsid w:val="002E475C"/>
    <w:rsid w:val="002E47D0"/>
    <w:rsid w:val="002E4951"/>
    <w:rsid w:val="002E4962"/>
    <w:rsid w:val="002E4A33"/>
    <w:rsid w:val="002E4AA8"/>
    <w:rsid w:val="002E4BE3"/>
    <w:rsid w:val="002E4C74"/>
    <w:rsid w:val="002E4CF1"/>
    <w:rsid w:val="002E4D34"/>
    <w:rsid w:val="002E4E8A"/>
    <w:rsid w:val="002E4F9C"/>
    <w:rsid w:val="002E50C0"/>
    <w:rsid w:val="002E513C"/>
    <w:rsid w:val="002E5142"/>
    <w:rsid w:val="002E5155"/>
    <w:rsid w:val="002E51B6"/>
    <w:rsid w:val="002E52C8"/>
    <w:rsid w:val="002E52CC"/>
    <w:rsid w:val="002E5388"/>
    <w:rsid w:val="002E5420"/>
    <w:rsid w:val="002E543A"/>
    <w:rsid w:val="002E5450"/>
    <w:rsid w:val="002E5555"/>
    <w:rsid w:val="002E5611"/>
    <w:rsid w:val="002E5841"/>
    <w:rsid w:val="002E586B"/>
    <w:rsid w:val="002E5891"/>
    <w:rsid w:val="002E58FF"/>
    <w:rsid w:val="002E5CDA"/>
    <w:rsid w:val="002E5DF7"/>
    <w:rsid w:val="002E5ED8"/>
    <w:rsid w:val="002E5F3A"/>
    <w:rsid w:val="002E5F59"/>
    <w:rsid w:val="002E6031"/>
    <w:rsid w:val="002E60A9"/>
    <w:rsid w:val="002E61E4"/>
    <w:rsid w:val="002E62A1"/>
    <w:rsid w:val="002E62F5"/>
    <w:rsid w:val="002E63F9"/>
    <w:rsid w:val="002E6485"/>
    <w:rsid w:val="002E659D"/>
    <w:rsid w:val="002E664F"/>
    <w:rsid w:val="002E66AA"/>
    <w:rsid w:val="002E6723"/>
    <w:rsid w:val="002E6962"/>
    <w:rsid w:val="002E6987"/>
    <w:rsid w:val="002E6A3F"/>
    <w:rsid w:val="002E6A97"/>
    <w:rsid w:val="002E6ABB"/>
    <w:rsid w:val="002E6BAB"/>
    <w:rsid w:val="002E6C70"/>
    <w:rsid w:val="002E6DAC"/>
    <w:rsid w:val="002E6DFD"/>
    <w:rsid w:val="002E6E6F"/>
    <w:rsid w:val="002E6E9F"/>
    <w:rsid w:val="002E6F14"/>
    <w:rsid w:val="002E6F56"/>
    <w:rsid w:val="002E6FC5"/>
    <w:rsid w:val="002E7147"/>
    <w:rsid w:val="002E717E"/>
    <w:rsid w:val="002E7192"/>
    <w:rsid w:val="002E726D"/>
    <w:rsid w:val="002E728C"/>
    <w:rsid w:val="002E7308"/>
    <w:rsid w:val="002E7359"/>
    <w:rsid w:val="002E73D0"/>
    <w:rsid w:val="002E7428"/>
    <w:rsid w:val="002E74BE"/>
    <w:rsid w:val="002E76C5"/>
    <w:rsid w:val="002E783A"/>
    <w:rsid w:val="002E7855"/>
    <w:rsid w:val="002E7ACA"/>
    <w:rsid w:val="002E7ADE"/>
    <w:rsid w:val="002E7B2C"/>
    <w:rsid w:val="002E7B46"/>
    <w:rsid w:val="002E7BD8"/>
    <w:rsid w:val="002E7C53"/>
    <w:rsid w:val="002E7DA4"/>
    <w:rsid w:val="002E7F55"/>
    <w:rsid w:val="002E7F61"/>
    <w:rsid w:val="002E7FBA"/>
    <w:rsid w:val="002E7FF1"/>
    <w:rsid w:val="002E7FF9"/>
    <w:rsid w:val="002F016F"/>
    <w:rsid w:val="002F01FD"/>
    <w:rsid w:val="002F038D"/>
    <w:rsid w:val="002F03E9"/>
    <w:rsid w:val="002F0470"/>
    <w:rsid w:val="002F0572"/>
    <w:rsid w:val="002F05D2"/>
    <w:rsid w:val="002F05E2"/>
    <w:rsid w:val="002F05E5"/>
    <w:rsid w:val="002F05E9"/>
    <w:rsid w:val="002F0604"/>
    <w:rsid w:val="002F066E"/>
    <w:rsid w:val="002F06E4"/>
    <w:rsid w:val="002F06E7"/>
    <w:rsid w:val="002F06F5"/>
    <w:rsid w:val="002F078D"/>
    <w:rsid w:val="002F0853"/>
    <w:rsid w:val="002F0911"/>
    <w:rsid w:val="002F0A06"/>
    <w:rsid w:val="002F0A2E"/>
    <w:rsid w:val="002F0A73"/>
    <w:rsid w:val="002F0AA3"/>
    <w:rsid w:val="002F0B23"/>
    <w:rsid w:val="002F0C19"/>
    <w:rsid w:val="002F0C1C"/>
    <w:rsid w:val="002F0C7C"/>
    <w:rsid w:val="002F0CB9"/>
    <w:rsid w:val="002F0D17"/>
    <w:rsid w:val="002F0E3E"/>
    <w:rsid w:val="002F0FC2"/>
    <w:rsid w:val="002F108A"/>
    <w:rsid w:val="002F110F"/>
    <w:rsid w:val="002F112E"/>
    <w:rsid w:val="002F11C6"/>
    <w:rsid w:val="002F1223"/>
    <w:rsid w:val="002F12E0"/>
    <w:rsid w:val="002F1334"/>
    <w:rsid w:val="002F16FE"/>
    <w:rsid w:val="002F1841"/>
    <w:rsid w:val="002F1853"/>
    <w:rsid w:val="002F1930"/>
    <w:rsid w:val="002F199D"/>
    <w:rsid w:val="002F19AF"/>
    <w:rsid w:val="002F19DB"/>
    <w:rsid w:val="002F1A40"/>
    <w:rsid w:val="002F1B8C"/>
    <w:rsid w:val="002F1E20"/>
    <w:rsid w:val="002F1F82"/>
    <w:rsid w:val="002F1F90"/>
    <w:rsid w:val="002F1FF3"/>
    <w:rsid w:val="002F20C2"/>
    <w:rsid w:val="002F21D1"/>
    <w:rsid w:val="002F223C"/>
    <w:rsid w:val="002F22F4"/>
    <w:rsid w:val="002F22F6"/>
    <w:rsid w:val="002F2352"/>
    <w:rsid w:val="002F235B"/>
    <w:rsid w:val="002F24A3"/>
    <w:rsid w:val="002F2554"/>
    <w:rsid w:val="002F2584"/>
    <w:rsid w:val="002F263D"/>
    <w:rsid w:val="002F2650"/>
    <w:rsid w:val="002F26A7"/>
    <w:rsid w:val="002F2720"/>
    <w:rsid w:val="002F277F"/>
    <w:rsid w:val="002F27C5"/>
    <w:rsid w:val="002F287D"/>
    <w:rsid w:val="002F2962"/>
    <w:rsid w:val="002F2A69"/>
    <w:rsid w:val="002F2AD9"/>
    <w:rsid w:val="002F2BDE"/>
    <w:rsid w:val="002F2D00"/>
    <w:rsid w:val="002F2D3C"/>
    <w:rsid w:val="002F2DE6"/>
    <w:rsid w:val="002F2DF6"/>
    <w:rsid w:val="002F2EF7"/>
    <w:rsid w:val="002F30C3"/>
    <w:rsid w:val="002F30CC"/>
    <w:rsid w:val="002F31BC"/>
    <w:rsid w:val="002F322F"/>
    <w:rsid w:val="002F3249"/>
    <w:rsid w:val="002F328A"/>
    <w:rsid w:val="002F32A8"/>
    <w:rsid w:val="002F33CD"/>
    <w:rsid w:val="002F33E0"/>
    <w:rsid w:val="002F3446"/>
    <w:rsid w:val="002F34B8"/>
    <w:rsid w:val="002F3508"/>
    <w:rsid w:val="002F3698"/>
    <w:rsid w:val="002F36AC"/>
    <w:rsid w:val="002F374F"/>
    <w:rsid w:val="002F375F"/>
    <w:rsid w:val="002F37C9"/>
    <w:rsid w:val="002F37FD"/>
    <w:rsid w:val="002F3B1E"/>
    <w:rsid w:val="002F3B59"/>
    <w:rsid w:val="002F3B99"/>
    <w:rsid w:val="002F3BED"/>
    <w:rsid w:val="002F3BF1"/>
    <w:rsid w:val="002F3C0F"/>
    <w:rsid w:val="002F3C8E"/>
    <w:rsid w:val="002F3D3C"/>
    <w:rsid w:val="002F3E0D"/>
    <w:rsid w:val="002F3E29"/>
    <w:rsid w:val="002F402E"/>
    <w:rsid w:val="002F404D"/>
    <w:rsid w:val="002F42C4"/>
    <w:rsid w:val="002F442E"/>
    <w:rsid w:val="002F44BE"/>
    <w:rsid w:val="002F453A"/>
    <w:rsid w:val="002F45AF"/>
    <w:rsid w:val="002F45DA"/>
    <w:rsid w:val="002F47D8"/>
    <w:rsid w:val="002F4822"/>
    <w:rsid w:val="002F489C"/>
    <w:rsid w:val="002F4A1C"/>
    <w:rsid w:val="002F4ADB"/>
    <w:rsid w:val="002F4BA2"/>
    <w:rsid w:val="002F4C34"/>
    <w:rsid w:val="002F4D36"/>
    <w:rsid w:val="002F4D48"/>
    <w:rsid w:val="002F4D7F"/>
    <w:rsid w:val="002F5018"/>
    <w:rsid w:val="002F5019"/>
    <w:rsid w:val="002F5163"/>
    <w:rsid w:val="002F517A"/>
    <w:rsid w:val="002F51D2"/>
    <w:rsid w:val="002F5276"/>
    <w:rsid w:val="002F533A"/>
    <w:rsid w:val="002F5363"/>
    <w:rsid w:val="002F53A1"/>
    <w:rsid w:val="002F5570"/>
    <w:rsid w:val="002F5648"/>
    <w:rsid w:val="002F5663"/>
    <w:rsid w:val="002F5890"/>
    <w:rsid w:val="002F58BF"/>
    <w:rsid w:val="002F58E4"/>
    <w:rsid w:val="002F59BA"/>
    <w:rsid w:val="002F5AF0"/>
    <w:rsid w:val="002F5B55"/>
    <w:rsid w:val="002F5B73"/>
    <w:rsid w:val="002F5D16"/>
    <w:rsid w:val="002F5D4B"/>
    <w:rsid w:val="002F5DD9"/>
    <w:rsid w:val="002F5EC1"/>
    <w:rsid w:val="002F60CA"/>
    <w:rsid w:val="002F6129"/>
    <w:rsid w:val="002F6221"/>
    <w:rsid w:val="002F622D"/>
    <w:rsid w:val="002F6266"/>
    <w:rsid w:val="002F62A7"/>
    <w:rsid w:val="002F62CF"/>
    <w:rsid w:val="002F63E5"/>
    <w:rsid w:val="002F6471"/>
    <w:rsid w:val="002F647E"/>
    <w:rsid w:val="002F656D"/>
    <w:rsid w:val="002F658E"/>
    <w:rsid w:val="002F6692"/>
    <w:rsid w:val="002F66BA"/>
    <w:rsid w:val="002F6780"/>
    <w:rsid w:val="002F681F"/>
    <w:rsid w:val="002F6911"/>
    <w:rsid w:val="002F69D9"/>
    <w:rsid w:val="002F6A6B"/>
    <w:rsid w:val="002F6A6D"/>
    <w:rsid w:val="002F6A78"/>
    <w:rsid w:val="002F6A92"/>
    <w:rsid w:val="002F6B1F"/>
    <w:rsid w:val="002F6B2A"/>
    <w:rsid w:val="002F6B2D"/>
    <w:rsid w:val="002F6BEE"/>
    <w:rsid w:val="002F6C32"/>
    <w:rsid w:val="002F6CB5"/>
    <w:rsid w:val="002F6D67"/>
    <w:rsid w:val="002F6E50"/>
    <w:rsid w:val="002F6E56"/>
    <w:rsid w:val="002F6EE2"/>
    <w:rsid w:val="002F6F72"/>
    <w:rsid w:val="002F70CD"/>
    <w:rsid w:val="002F717B"/>
    <w:rsid w:val="002F7331"/>
    <w:rsid w:val="002F73CD"/>
    <w:rsid w:val="002F741E"/>
    <w:rsid w:val="002F747F"/>
    <w:rsid w:val="002F74A6"/>
    <w:rsid w:val="002F7563"/>
    <w:rsid w:val="002F7589"/>
    <w:rsid w:val="002F7635"/>
    <w:rsid w:val="002F765E"/>
    <w:rsid w:val="002F7666"/>
    <w:rsid w:val="002F7686"/>
    <w:rsid w:val="002F784C"/>
    <w:rsid w:val="002F78FC"/>
    <w:rsid w:val="002F792B"/>
    <w:rsid w:val="002F7983"/>
    <w:rsid w:val="002F7984"/>
    <w:rsid w:val="002F79AE"/>
    <w:rsid w:val="002F7A33"/>
    <w:rsid w:val="002F7AA7"/>
    <w:rsid w:val="002F7B60"/>
    <w:rsid w:val="002F7C0B"/>
    <w:rsid w:val="002F7CA5"/>
    <w:rsid w:val="002F7E04"/>
    <w:rsid w:val="002F7ED9"/>
    <w:rsid w:val="002F7EDA"/>
    <w:rsid w:val="00300077"/>
    <w:rsid w:val="0030016A"/>
    <w:rsid w:val="0030027C"/>
    <w:rsid w:val="003002E7"/>
    <w:rsid w:val="00300345"/>
    <w:rsid w:val="00300360"/>
    <w:rsid w:val="00300385"/>
    <w:rsid w:val="00300561"/>
    <w:rsid w:val="003006E1"/>
    <w:rsid w:val="003006E8"/>
    <w:rsid w:val="0030074F"/>
    <w:rsid w:val="003008B0"/>
    <w:rsid w:val="003008CE"/>
    <w:rsid w:val="003009BA"/>
    <w:rsid w:val="003009C4"/>
    <w:rsid w:val="00300A24"/>
    <w:rsid w:val="00300A6A"/>
    <w:rsid w:val="00300AB4"/>
    <w:rsid w:val="00300ADE"/>
    <w:rsid w:val="00300AF9"/>
    <w:rsid w:val="00300BF8"/>
    <w:rsid w:val="00300C45"/>
    <w:rsid w:val="00300DA0"/>
    <w:rsid w:val="00300DCE"/>
    <w:rsid w:val="00300DE1"/>
    <w:rsid w:val="00300E61"/>
    <w:rsid w:val="00300FAB"/>
    <w:rsid w:val="0030106B"/>
    <w:rsid w:val="003011E1"/>
    <w:rsid w:val="003011F0"/>
    <w:rsid w:val="003011F5"/>
    <w:rsid w:val="0030133D"/>
    <w:rsid w:val="0030136F"/>
    <w:rsid w:val="003013A3"/>
    <w:rsid w:val="00301799"/>
    <w:rsid w:val="00301829"/>
    <w:rsid w:val="00301845"/>
    <w:rsid w:val="00301978"/>
    <w:rsid w:val="00301993"/>
    <w:rsid w:val="003019A4"/>
    <w:rsid w:val="00301AA0"/>
    <w:rsid w:val="00301B21"/>
    <w:rsid w:val="00301B41"/>
    <w:rsid w:val="00301B62"/>
    <w:rsid w:val="00301B8B"/>
    <w:rsid w:val="00301D47"/>
    <w:rsid w:val="00301D4A"/>
    <w:rsid w:val="00301E03"/>
    <w:rsid w:val="00301E2A"/>
    <w:rsid w:val="00301E72"/>
    <w:rsid w:val="00301EAD"/>
    <w:rsid w:val="00302011"/>
    <w:rsid w:val="0030202B"/>
    <w:rsid w:val="0030206D"/>
    <w:rsid w:val="00302073"/>
    <w:rsid w:val="0030207D"/>
    <w:rsid w:val="003020AB"/>
    <w:rsid w:val="0030216F"/>
    <w:rsid w:val="00302190"/>
    <w:rsid w:val="00302245"/>
    <w:rsid w:val="003022B3"/>
    <w:rsid w:val="00302388"/>
    <w:rsid w:val="003024D0"/>
    <w:rsid w:val="0030256B"/>
    <w:rsid w:val="00302643"/>
    <w:rsid w:val="003026EB"/>
    <w:rsid w:val="00302775"/>
    <w:rsid w:val="00302784"/>
    <w:rsid w:val="003027F8"/>
    <w:rsid w:val="0030283E"/>
    <w:rsid w:val="003028B0"/>
    <w:rsid w:val="003028C8"/>
    <w:rsid w:val="00302B93"/>
    <w:rsid w:val="00302BAA"/>
    <w:rsid w:val="00302C04"/>
    <w:rsid w:val="00302CA5"/>
    <w:rsid w:val="00302D09"/>
    <w:rsid w:val="00302D3B"/>
    <w:rsid w:val="00302D59"/>
    <w:rsid w:val="00302DCC"/>
    <w:rsid w:val="00303096"/>
    <w:rsid w:val="003030FD"/>
    <w:rsid w:val="003031FA"/>
    <w:rsid w:val="003033B2"/>
    <w:rsid w:val="003033D8"/>
    <w:rsid w:val="00303468"/>
    <w:rsid w:val="00303649"/>
    <w:rsid w:val="0030384B"/>
    <w:rsid w:val="00303B3E"/>
    <w:rsid w:val="00303CC2"/>
    <w:rsid w:val="00303DC9"/>
    <w:rsid w:val="00303F4E"/>
    <w:rsid w:val="0030404A"/>
    <w:rsid w:val="003040F3"/>
    <w:rsid w:val="003042B2"/>
    <w:rsid w:val="003042B7"/>
    <w:rsid w:val="003042C1"/>
    <w:rsid w:val="00304319"/>
    <w:rsid w:val="0030432E"/>
    <w:rsid w:val="003043B2"/>
    <w:rsid w:val="003045CA"/>
    <w:rsid w:val="003046AE"/>
    <w:rsid w:val="00304731"/>
    <w:rsid w:val="00304775"/>
    <w:rsid w:val="003049EC"/>
    <w:rsid w:val="003049FE"/>
    <w:rsid w:val="00304C87"/>
    <w:rsid w:val="00304D20"/>
    <w:rsid w:val="00304DC7"/>
    <w:rsid w:val="00304E20"/>
    <w:rsid w:val="00304F19"/>
    <w:rsid w:val="00304FB1"/>
    <w:rsid w:val="0030502B"/>
    <w:rsid w:val="00305094"/>
    <w:rsid w:val="00305147"/>
    <w:rsid w:val="003051AB"/>
    <w:rsid w:val="00305260"/>
    <w:rsid w:val="003052EF"/>
    <w:rsid w:val="0030531F"/>
    <w:rsid w:val="0030536E"/>
    <w:rsid w:val="0030546E"/>
    <w:rsid w:val="00305604"/>
    <w:rsid w:val="00305647"/>
    <w:rsid w:val="00305701"/>
    <w:rsid w:val="00305722"/>
    <w:rsid w:val="003057B4"/>
    <w:rsid w:val="00305940"/>
    <w:rsid w:val="003059EF"/>
    <w:rsid w:val="00305A1E"/>
    <w:rsid w:val="00305BA7"/>
    <w:rsid w:val="00305BF8"/>
    <w:rsid w:val="00305E95"/>
    <w:rsid w:val="00305E9E"/>
    <w:rsid w:val="00305EF2"/>
    <w:rsid w:val="00305F20"/>
    <w:rsid w:val="00305F9C"/>
    <w:rsid w:val="00306078"/>
    <w:rsid w:val="00306135"/>
    <w:rsid w:val="003062F1"/>
    <w:rsid w:val="00306338"/>
    <w:rsid w:val="003063A5"/>
    <w:rsid w:val="0030659E"/>
    <w:rsid w:val="003065F6"/>
    <w:rsid w:val="0030668D"/>
    <w:rsid w:val="00306697"/>
    <w:rsid w:val="003066B0"/>
    <w:rsid w:val="00306713"/>
    <w:rsid w:val="003069AB"/>
    <w:rsid w:val="00306B53"/>
    <w:rsid w:val="00306BD4"/>
    <w:rsid w:val="00306C25"/>
    <w:rsid w:val="00306DD3"/>
    <w:rsid w:val="00306E30"/>
    <w:rsid w:val="00306F2C"/>
    <w:rsid w:val="00306F31"/>
    <w:rsid w:val="00306FB0"/>
    <w:rsid w:val="003070D6"/>
    <w:rsid w:val="003070DF"/>
    <w:rsid w:val="00307232"/>
    <w:rsid w:val="0030729A"/>
    <w:rsid w:val="00307365"/>
    <w:rsid w:val="003073ED"/>
    <w:rsid w:val="0030745A"/>
    <w:rsid w:val="00307469"/>
    <w:rsid w:val="00307471"/>
    <w:rsid w:val="0030749A"/>
    <w:rsid w:val="0030756C"/>
    <w:rsid w:val="0030770D"/>
    <w:rsid w:val="00307790"/>
    <w:rsid w:val="00307965"/>
    <w:rsid w:val="003079B2"/>
    <w:rsid w:val="00307AF9"/>
    <w:rsid w:val="00307B43"/>
    <w:rsid w:val="00307B96"/>
    <w:rsid w:val="00307BC0"/>
    <w:rsid w:val="00307FB2"/>
    <w:rsid w:val="00310134"/>
    <w:rsid w:val="003101E5"/>
    <w:rsid w:val="00310404"/>
    <w:rsid w:val="0031052E"/>
    <w:rsid w:val="0031059F"/>
    <w:rsid w:val="003105C4"/>
    <w:rsid w:val="003107BA"/>
    <w:rsid w:val="00310865"/>
    <w:rsid w:val="003108C3"/>
    <w:rsid w:val="00310930"/>
    <w:rsid w:val="00310963"/>
    <w:rsid w:val="003109F9"/>
    <w:rsid w:val="003109FA"/>
    <w:rsid w:val="00310AC6"/>
    <w:rsid w:val="00310AE7"/>
    <w:rsid w:val="00310B30"/>
    <w:rsid w:val="00310B33"/>
    <w:rsid w:val="00310B80"/>
    <w:rsid w:val="00310B8B"/>
    <w:rsid w:val="00310BA0"/>
    <w:rsid w:val="00310BB4"/>
    <w:rsid w:val="00310BC2"/>
    <w:rsid w:val="00310D16"/>
    <w:rsid w:val="00310E72"/>
    <w:rsid w:val="00310EE9"/>
    <w:rsid w:val="00310F77"/>
    <w:rsid w:val="003110E9"/>
    <w:rsid w:val="003111C4"/>
    <w:rsid w:val="003112E2"/>
    <w:rsid w:val="0031138F"/>
    <w:rsid w:val="00311462"/>
    <w:rsid w:val="0031155E"/>
    <w:rsid w:val="0031156F"/>
    <w:rsid w:val="00311599"/>
    <w:rsid w:val="003115AA"/>
    <w:rsid w:val="003116CB"/>
    <w:rsid w:val="00311817"/>
    <w:rsid w:val="0031194F"/>
    <w:rsid w:val="003119EA"/>
    <w:rsid w:val="00311BB4"/>
    <w:rsid w:val="00311BF7"/>
    <w:rsid w:val="00311CEC"/>
    <w:rsid w:val="00311D34"/>
    <w:rsid w:val="00311D65"/>
    <w:rsid w:val="00311E37"/>
    <w:rsid w:val="00311FF1"/>
    <w:rsid w:val="00312142"/>
    <w:rsid w:val="003121CA"/>
    <w:rsid w:val="003121E1"/>
    <w:rsid w:val="00312233"/>
    <w:rsid w:val="00312325"/>
    <w:rsid w:val="00312396"/>
    <w:rsid w:val="003123B4"/>
    <w:rsid w:val="00312453"/>
    <w:rsid w:val="003125DE"/>
    <w:rsid w:val="0031262E"/>
    <w:rsid w:val="00312730"/>
    <w:rsid w:val="00312894"/>
    <w:rsid w:val="003128EC"/>
    <w:rsid w:val="00312B6F"/>
    <w:rsid w:val="00312C92"/>
    <w:rsid w:val="00312D26"/>
    <w:rsid w:val="00312D2D"/>
    <w:rsid w:val="00312D5E"/>
    <w:rsid w:val="00312DD7"/>
    <w:rsid w:val="00312DF0"/>
    <w:rsid w:val="00312E1C"/>
    <w:rsid w:val="00312E54"/>
    <w:rsid w:val="0031316E"/>
    <w:rsid w:val="003131CF"/>
    <w:rsid w:val="003131F3"/>
    <w:rsid w:val="00313256"/>
    <w:rsid w:val="00313306"/>
    <w:rsid w:val="003134B1"/>
    <w:rsid w:val="00313535"/>
    <w:rsid w:val="003135FE"/>
    <w:rsid w:val="0031364C"/>
    <w:rsid w:val="003136AA"/>
    <w:rsid w:val="003137BE"/>
    <w:rsid w:val="003137DD"/>
    <w:rsid w:val="0031385E"/>
    <w:rsid w:val="00313B00"/>
    <w:rsid w:val="00313B9C"/>
    <w:rsid w:val="00313BF6"/>
    <w:rsid w:val="00313C3C"/>
    <w:rsid w:val="00313C53"/>
    <w:rsid w:val="00313C76"/>
    <w:rsid w:val="00313CA0"/>
    <w:rsid w:val="00313EF2"/>
    <w:rsid w:val="00314046"/>
    <w:rsid w:val="003140F3"/>
    <w:rsid w:val="0031411F"/>
    <w:rsid w:val="003141A9"/>
    <w:rsid w:val="00314249"/>
    <w:rsid w:val="003142D7"/>
    <w:rsid w:val="00314378"/>
    <w:rsid w:val="003143F4"/>
    <w:rsid w:val="00314525"/>
    <w:rsid w:val="00314550"/>
    <w:rsid w:val="003145DC"/>
    <w:rsid w:val="00314624"/>
    <w:rsid w:val="0031469C"/>
    <w:rsid w:val="0031474F"/>
    <w:rsid w:val="0031488A"/>
    <w:rsid w:val="003148C2"/>
    <w:rsid w:val="003148C3"/>
    <w:rsid w:val="0031497D"/>
    <w:rsid w:val="00314A00"/>
    <w:rsid w:val="00314BA6"/>
    <w:rsid w:val="00314BAC"/>
    <w:rsid w:val="00314C23"/>
    <w:rsid w:val="00314CD4"/>
    <w:rsid w:val="00314D38"/>
    <w:rsid w:val="00314D44"/>
    <w:rsid w:val="00314D4D"/>
    <w:rsid w:val="00314E65"/>
    <w:rsid w:val="00314E97"/>
    <w:rsid w:val="00314EBE"/>
    <w:rsid w:val="00314EF1"/>
    <w:rsid w:val="00314F13"/>
    <w:rsid w:val="003151D5"/>
    <w:rsid w:val="003152C0"/>
    <w:rsid w:val="00315353"/>
    <w:rsid w:val="00315354"/>
    <w:rsid w:val="0031544F"/>
    <w:rsid w:val="003154FE"/>
    <w:rsid w:val="003155DD"/>
    <w:rsid w:val="00315757"/>
    <w:rsid w:val="0031577D"/>
    <w:rsid w:val="003158C0"/>
    <w:rsid w:val="0031590D"/>
    <w:rsid w:val="003159DE"/>
    <w:rsid w:val="003159FB"/>
    <w:rsid w:val="00315A03"/>
    <w:rsid w:val="00315A4B"/>
    <w:rsid w:val="00315B23"/>
    <w:rsid w:val="00315C77"/>
    <w:rsid w:val="00315C8B"/>
    <w:rsid w:val="00315C9D"/>
    <w:rsid w:val="00315DF6"/>
    <w:rsid w:val="0031627D"/>
    <w:rsid w:val="003162D0"/>
    <w:rsid w:val="0031631F"/>
    <w:rsid w:val="0031640A"/>
    <w:rsid w:val="0031644F"/>
    <w:rsid w:val="003164BA"/>
    <w:rsid w:val="0031653E"/>
    <w:rsid w:val="00316727"/>
    <w:rsid w:val="0031685A"/>
    <w:rsid w:val="00316A0C"/>
    <w:rsid w:val="00316A6F"/>
    <w:rsid w:val="00316A85"/>
    <w:rsid w:val="00316A98"/>
    <w:rsid w:val="00316A9B"/>
    <w:rsid w:val="00316B04"/>
    <w:rsid w:val="00316B3C"/>
    <w:rsid w:val="00316B6C"/>
    <w:rsid w:val="00316C7E"/>
    <w:rsid w:val="00316CE5"/>
    <w:rsid w:val="00316E33"/>
    <w:rsid w:val="00316E45"/>
    <w:rsid w:val="00316F10"/>
    <w:rsid w:val="00316F3E"/>
    <w:rsid w:val="00316FBF"/>
    <w:rsid w:val="0031702D"/>
    <w:rsid w:val="00317094"/>
    <w:rsid w:val="003170D3"/>
    <w:rsid w:val="003171A6"/>
    <w:rsid w:val="003171ED"/>
    <w:rsid w:val="003172B7"/>
    <w:rsid w:val="003172C4"/>
    <w:rsid w:val="00317477"/>
    <w:rsid w:val="003174B8"/>
    <w:rsid w:val="003174FC"/>
    <w:rsid w:val="00317593"/>
    <w:rsid w:val="0031761D"/>
    <w:rsid w:val="0031780B"/>
    <w:rsid w:val="0031789F"/>
    <w:rsid w:val="00317900"/>
    <w:rsid w:val="0031792A"/>
    <w:rsid w:val="0031793A"/>
    <w:rsid w:val="0031795A"/>
    <w:rsid w:val="00317983"/>
    <w:rsid w:val="00317A9D"/>
    <w:rsid w:val="00317D25"/>
    <w:rsid w:val="00317DA3"/>
    <w:rsid w:val="00317FE5"/>
    <w:rsid w:val="00320083"/>
    <w:rsid w:val="0032038A"/>
    <w:rsid w:val="00320426"/>
    <w:rsid w:val="00320603"/>
    <w:rsid w:val="00320648"/>
    <w:rsid w:val="003207FF"/>
    <w:rsid w:val="00320828"/>
    <w:rsid w:val="0032083B"/>
    <w:rsid w:val="0032089F"/>
    <w:rsid w:val="003208D4"/>
    <w:rsid w:val="0032098B"/>
    <w:rsid w:val="003209FC"/>
    <w:rsid w:val="00320B7D"/>
    <w:rsid w:val="00320C29"/>
    <w:rsid w:val="00320C35"/>
    <w:rsid w:val="00320DF1"/>
    <w:rsid w:val="00320E73"/>
    <w:rsid w:val="00320EC7"/>
    <w:rsid w:val="00320EDC"/>
    <w:rsid w:val="00320EE3"/>
    <w:rsid w:val="00320FE7"/>
    <w:rsid w:val="00321088"/>
    <w:rsid w:val="003210FB"/>
    <w:rsid w:val="003212D7"/>
    <w:rsid w:val="00321363"/>
    <w:rsid w:val="00321511"/>
    <w:rsid w:val="003215BF"/>
    <w:rsid w:val="003216E0"/>
    <w:rsid w:val="003217C2"/>
    <w:rsid w:val="003218E8"/>
    <w:rsid w:val="003219D4"/>
    <w:rsid w:val="00321A34"/>
    <w:rsid w:val="00321AD5"/>
    <w:rsid w:val="00321C33"/>
    <w:rsid w:val="00321C91"/>
    <w:rsid w:val="00321C97"/>
    <w:rsid w:val="00321DBA"/>
    <w:rsid w:val="00321EC4"/>
    <w:rsid w:val="00322080"/>
    <w:rsid w:val="003220A1"/>
    <w:rsid w:val="0032228D"/>
    <w:rsid w:val="003222BB"/>
    <w:rsid w:val="00322350"/>
    <w:rsid w:val="00322540"/>
    <w:rsid w:val="0032254E"/>
    <w:rsid w:val="003225FB"/>
    <w:rsid w:val="00322741"/>
    <w:rsid w:val="0032277D"/>
    <w:rsid w:val="00322806"/>
    <w:rsid w:val="00322897"/>
    <w:rsid w:val="003229DA"/>
    <w:rsid w:val="003229E0"/>
    <w:rsid w:val="00322A09"/>
    <w:rsid w:val="00322A16"/>
    <w:rsid w:val="00322B22"/>
    <w:rsid w:val="00322BF4"/>
    <w:rsid w:val="00322C86"/>
    <w:rsid w:val="00322C9E"/>
    <w:rsid w:val="00322CD0"/>
    <w:rsid w:val="00322DCC"/>
    <w:rsid w:val="00322E3B"/>
    <w:rsid w:val="00322E8F"/>
    <w:rsid w:val="003230D1"/>
    <w:rsid w:val="00323132"/>
    <w:rsid w:val="00323162"/>
    <w:rsid w:val="0032320C"/>
    <w:rsid w:val="00323277"/>
    <w:rsid w:val="0032336E"/>
    <w:rsid w:val="00323403"/>
    <w:rsid w:val="00323534"/>
    <w:rsid w:val="003236C0"/>
    <w:rsid w:val="00323729"/>
    <w:rsid w:val="00323731"/>
    <w:rsid w:val="00323734"/>
    <w:rsid w:val="0032379B"/>
    <w:rsid w:val="0032381E"/>
    <w:rsid w:val="0032384B"/>
    <w:rsid w:val="003238A6"/>
    <w:rsid w:val="0032398B"/>
    <w:rsid w:val="00323A2C"/>
    <w:rsid w:val="00323A79"/>
    <w:rsid w:val="00323B1F"/>
    <w:rsid w:val="00323B95"/>
    <w:rsid w:val="00323BE3"/>
    <w:rsid w:val="00323CC3"/>
    <w:rsid w:val="00323CF4"/>
    <w:rsid w:val="00323D81"/>
    <w:rsid w:val="00323E7B"/>
    <w:rsid w:val="00323F36"/>
    <w:rsid w:val="00323FD0"/>
    <w:rsid w:val="0032409B"/>
    <w:rsid w:val="00324279"/>
    <w:rsid w:val="003243AB"/>
    <w:rsid w:val="00324463"/>
    <w:rsid w:val="003245B8"/>
    <w:rsid w:val="003246D5"/>
    <w:rsid w:val="0032471D"/>
    <w:rsid w:val="003247CD"/>
    <w:rsid w:val="003248FA"/>
    <w:rsid w:val="00324908"/>
    <w:rsid w:val="003249D6"/>
    <w:rsid w:val="003249E9"/>
    <w:rsid w:val="00324A3C"/>
    <w:rsid w:val="00324ACF"/>
    <w:rsid w:val="00324AE6"/>
    <w:rsid w:val="00324AF5"/>
    <w:rsid w:val="00324C05"/>
    <w:rsid w:val="00324C19"/>
    <w:rsid w:val="00324C7D"/>
    <w:rsid w:val="00324CC9"/>
    <w:rsid w:val="00324CFE"/>
    <w:rsid w:val="00324D2B"/>
    <w:rsid w:val="00324DC0"/>
    <w:rsid w:val="00324E45"/>
    <w:rsid w:val="00324EB5"/>
    <w:rsid w:val="00324FE2"/>
    <w:rsid w:val="0032500B"/>
    <w:rsid w:val="00325019"/>
    <w:rsid w:val="003251E0"/>
    <w:rsid w:val="0032552E"/>
    <w:rsid w:val="00325553"/>
    <w:rsid w:val="00325567"/>
    <w:rsid w:val="003255CE"/>
    <w:rsid w:val="0032564B"/>
    <w:rsid w:val="00325684"/>
    <w:rsid w:val="003256F9"/>
    <w:rsid w:val="003256FA"/>
    <w:rsid w:val="003257A1"/>
    <w:rsid w:val="003257FB"/>
    <w:rsid w:val="0032582F"/>
    <w:rsid w:val="00325832"/>
    <w:rsid w:val="0032583C"/>
    <w:rsid w:val="0032591A"/>
    <w:rsid w:val="0032594F"/>
    <w:rsid w:val="0032595E"/>
    <w:rsid w:val="0032596C"/>
    <w:rsid w:val="0032596D"/>
    <w:rsid w:val="003259BC"/>
    <w:rsid w:val="00325D6C"/>
    <w:rsid w:val="00325E56"/>
    <w:rsid w:val="00325F0D"/>
    <w:rsid w:val="0032603B"/>
    <w:rsid w:val="00326045"/>
    <w:rsid w:val="0032617A"/>
    <w:rsid w:val="003261D2"/>
    <w:rsid w:val="003261DB"/>
    <w:rsid w:val="003262BF"/>
    <w:rsid w:val="0032634E"/>
    <w:rsid w:val="003263AE"/>
    <w:rsid w:val="003263E5"/>
    <w:rsid w:val="003264C5"/>
    <w:rsid w:val="003264E8"/>
    <w:rsid w:val="00326605"/>
    <w:rsid w:val="003266C7"/>
    <w:rsid w:val="0032671F"/>
    <w:rsid w:val="00326741"/>
    <w:rsid w:val="003267AD"/>
    <w:rsid w:val="0032698F"/>
    <w:rsid w:val="00326A8C"/>
    <w:rsid w:val="00326AE4"/>
    <w:rsid w:val="00326B32"/>
    <w:rsid w:val="00326C78"/>
    <w:rsid w:val="00326EBF"/>
    <w:rsid w:val="00326ECA"/>
    <w:rsid w:val="0032704E"/>
    <w:rsid w:val="00327303"/>
    <w:rsid w:val="003273C0"/>
    <w:rsid w:val="00327484"/>
    <w:rsid w:val="003274E7"/>
    <w:rsid w:val="00327509"/>
    <w:rsid w:val="00327563"/>
    <w:rsid w:val="0032766F"/>
    <w:rsid w:val="00327673"/>
    <w:rsid w:val="0032767D"/>
    <w:rsid w:val="0032769E"/>
    <w:rsid w:val="00327740"/>
    <w:rsid w:val="003277B2"/>
    <w:rsid w:val="00327890"/>
    <w:rsid w:val="00327896"/>
    <w:rsid w:val="00327978"/>
    <w:rsid w:val="00327987"/>
    <w:rsid w:val="0032799E"/>
    <w:rsid w:val="003279C2"/>
    <w:rsid w:val="00327ADC"/>
    <w:rsid w:val="00327C1A"/>
    <w:rsid w:val="00327C92"/>
    <w:rsid w:val="00327D0A"/>
    <w:rsid w:val="00327D75"/>
    <w:rsid w:val="00327D81"/>
    <w:rsid w:val="00327D99"/>
    <w:rsid w:val="00327E4E"/>
    <w:rsid w:val="00327F4F"/>
    <w:rsid w:val="0033001B"/>
    <w:rsid w:val="00330102"/>
    <w:rsid w:val="0033023C"/>
    <w:rsid w:val="003302F4"/>
    <w:rsid w:val="00330408"/>
    <w:rsid w:val="00330440"/>
    <w:rsid w:val="00330443"/>
    <w:rsid w:val="00330556"/>
    <w:rsid w:val="00330758"/>
    <w:rsid w:val="00330891"/>
    <w:rsid w:val="003308C4"/>
    <w:rsid w:val="003309F1"/>
    <w:rsid w:val="00330AF0"/>
    <w:rsid w:val="00330B5F"/>
    <w:rsid w:val="00330BAD"/>
    <w:rsid w:val="00330C77"/>
    <w:rsid w:val="00330C95"/>
    <w:rsid w:val="00330D22"/>
    <w:rsid w:val="00330E25"/>
    <w:rsid w:val="00330ED4"/>
    <w:rsid w:val="00330F1F"/>
    <w:rsid w:val="0033105A"/>
    <w:rsid w:val="00331090"/>
    <w:rsid w:val="00331122"/>
    <w:rsid w:val="0033112D"/>
    <w:rsid w:val="003311B8"/>
    <w:rsid w:val="003311BD"/>
    <w:rsid w:val="00331235"/>
    <w:rsid w:val="0033134F"/>
    <w:rsid w:val="003314D6"/>
    <w:rsid w:val="003314FA"/>
    <w:rsid w:val="00331534"/>
    <w:rsid w:val="0033158F"/>
    <w:rsid w:val="003315BE"/>
    <w:rsid w:val="0033171B"/>
    <w:rsid w:val="003317A6"/>
    <w:rsid w:val="00331888"/>
    <w:rsid w:val="003318F5"/>
    <w:rsid w:val="00331958"/>
    <w:rsid w:val="00331A75"/>
    <w:rsid w:val="00331AF0"/>
    <w:rsid w:val="00331B05"/>
    <w:rsid w:val="00331B0B"/>
    <w:rsid w:val="00331B22"/>
    <w:rsid w:val="00331B47"/>
    <w:rsid w:val="00331C10"/>
    <w:rsid w:val="00331DC4"/>
    <w:rsid w:val="00331E69"/>
    <w:rsid w:val="00331E9F"/>
    <w:rsid w:val="00331EBD"/>
    <w:rsid w:val="00332054"/>
    <w:rsid w:val="00332306"/>
    <w:rsid w:val="00332324"/>
    <w:rsid w:val="00332400"/>
    <w:rsid w:val="003325D6"/>
    <w:rsid w:val="00332629"/>
    <w:rsid w:val="0033265F"/>
    <w:rsid w:val="003326C5"/>
    <w:rsid w:val="00332791"/>
    <w:rsid w:val="0033286E"/>
    <w:rsid w:val="00332918"/>
    <w:rsid w:val="00332991"/>
    <w:rsid w:val="003329F2"/>
    <w:rsid w:val="00332A50"/>
    <w:rsid w:val="00332AE2"/>
    <w:rsid w:val="00332C62"/>
    <w:rsid w:val="00332CE9"/>
    <w:rsid w:val="00332CFB"/>
    <w:rsid w:val="00332D2F"/>
    <w:rsid w:val="0033306F"/>
    <w:rsid w:val="003330C6"/>
    <w:rsid w:val="00333169"/>
    <w:rsid w:val="00333193"/>
    <w:rsid w:val="003331B4"/>
    <w:rsid w:val="00333224"/>
    <w:rsid w:val="00333251"/>
    <w:rsid w:val="00333252"/>
    <w:rsid w:val="00333331"/>
    <w:rsid w:val="00333405"/>
    <w:rsid w:val="00333417"/>
    <w:rsid w:val="00333511"/>
    <w:rsid w:val="0033351B"/>
    <w:rsid w:val="003335BB"/>
    <w:rsid w:val="0033373C"/>
    <w:rsid w:val="00333741"/>
    <w:rsid w:val="00333840"/>
    <w:rsid w:val="003338AA"/>
    <w:rsid w:val="003339A3"/>
    <w:rsid w:val="00333A57"/>
    <w:rsid w:val="00333A61"/>
    <w:rsid w:val="00333B05"/>
    <w:rsid w:val="00333BC4"/>
    <w:rsid w:val="00333C71"/>
    <w:rsid w:val="00333D5A"/>
    <w:rsid w:val="00333F11"/>
    <w:rsid w:val="00333F7E"/>
    <w:rsid w:val="00333FD1"/>
    <w:rsid w:val="0033411E"/>
    <w:rsid w:val="003341AE"/>
    <w:rsid w:val="003342F7"/>
    <w:rsid w:val="00334338"/>
    <w:rsid w:val="0033439A"/>
    <w:rsid w:val="003343B8"/>
    <w:rsid w:val="0033446F"/>
    <w:rsid w:val="0033453A"/>
    <w:rsid w:val="00334559"/>
    <w:rsid w:val="0033466B"/>
    <w:rsid w:val="003346D1"/>
    <w:rsid w:val="0033477C"/>
    <w:rsid w:val="0033481A"/>
    <w:rsid w:val="00334878"/>
    <w:rsid w:val="00334908"/>
    <w:rsid w:val="00334936"/>
    <w:rsid w:val="003349B4"/>
    <w:rsid w:val="00334A0D"/>
    <w:rsid w:val="00334A88"/>
    <w:rsid w:val="00334AED"/>
    <w:rsid w:val="00334BD1"/>
    <w:rsid w:val="00334CF1"/>
    <w:rsid w:val="00334D1A"/>
    <w:rsid w:val="00334D1F"/>
    <w:rsid w:val="00334D87"/>
    <w:rsid w:val="00334E09"/>
    <w:rsid w:val="00334E10"/>
    <w:rsid w:val="00334E9C"/>
    <w:rsid w:val="00334EE4"/>
    <w:rsid w:val="00334FDA"/>
    <w:rsid w:val="00335068"/>
    <w:rsid w:val="00335076"/>
    <w:rsid w:val="00335079"/>
    <w:rsid w:val="003350AB"/>
    <w:rsid w:val="003350E0"/>
    <w:rsid w:val="003351A5"/>
    <w:rsid w:val="003351DB"/>
    <w:rsid w:val="003351DC"/>
    <w:rsid w:val="00335357"/>
    <w:rsid w:val="00335403"/>
    <w:rsid w:val="0033561B"/>
    <w:rsid w:val="00335783"/>
    <w:rsid w:val="003358C7"/>
    <w:rsid w:val="003358D2"/>
    <w:rsid w:val="003358E9"/>
    <w:rsid w:val="00335947"/>
    <w:rsid w:val="00335A2C"/>
    <w:rsid w:val="00335A40"/>
    <w:rsid w:val="00335B07"/>
    <w:rsid w:val="00335B0F"/>
    <w:rsid w:val="00335BD9"/>
    <w:rsid w:val="00335CBA"/>
    <w:rsid w:val="00335DC3"/>
    <w:rsid w:val="00335E28"/>
    <w:rsid w:val="00335F3A"/>
    <w:rsid w:val="003360D8"/>
    <w:rsid w:val="0033610E"/>
    <w:rsid w:val="00336123"/>
    <w:rsid w:val="00336169"/>
    <w:rsid w:val="00336416"/>
    <w:rsid w:val="0033643C"/>
    <w:rsid w:val="00336517"/>
    <w:rsid w:val="00336553"/>
    <w:rsid w:val="003366D8"/>
    <w:rsid w:val="003366FA"/>
    <w:rsid w:val="00336761"/>
    <w:rsid w:val="003367B1"/>
    <w:rsid w:val="00336935"/>
    <w:rsid w:val="003369E2"/>
    <w:rsid w:val="00336A37"/>
    <w:rsid w:val="00336A80"/>
    <w:rsid w:val="00336A8E"/>
    <w:rsid w:val="00336AF4"/>
    <w:rsid w:val="00336B54"/>
    <w:rsid w:val="00336BC8"/>
    <w:rsid w:val="00336BE1"/>
    <w:rsid w:val="00336D71"/>
    <w:rsid w:val="00336E82"/>
    <w:rsid w:val="00336EB4"/>
    <w:rsid w:val="00336F79"/>
    <w:rsid w:val="00336FCD"/>
    <w:rsid w:val="00337022"/>
    <w:rsid w:val="003370F3"/>
    <w:rsid w:val="00337133"/>
    <w:rsid w:val="0033719C"/>
    <w:rsid w:val="00337203"/>
    <w:rsid w:val="0033721B"/>
    <w:rsid w:val="00337246"/>
    <w:rsid w:val="003372A5"/>
    <w:rsid w:val="003372BA"/>
    <w:rsid w:val="003373FF"/>
    <w:rsid w:val="00337440"/>
    <w:rsid w:val="00337829"/>
    <w:rsid w:val="0033787D"/>
    <w:rsid w:val="003378B4"/>
    <w:rsid w:val="003378DE"/>
    <w:rsid w:val="0033793F"/>
    <w:rsid w:val="00337945"/>
    <w:rsid w:val="003379CF"/>
    <w:rsid w:val="00337B80"/>
    <w:rsid w:val="00337CF5"/>
    <w:rsid w:val="00337D66"/>
    <w:rsid w:val="00337E07"/>
    <w:rsid w:val="00337FD2"/>
    <w:rsid w:val="00340164"/>
    <w:rsid w:val="003401F5"/>
    <w:rsid w:val="0034020A"/>
    <w:rsid w:val="00340290"/>
    <w:rsid w:val="003402E0"/>
    <w:rsid w:val="003402F7"/>
    <w:rsid w:val="0034042E"/>
    <w:rsid w:val="00340598"/>
    <w:rsid w:val="0034066E"/>
    <w:rsid w:val="003406A4"/>
    <w:rsid w:val="00340865"/>
    <w:rsid w:val="00340A99"/>
    <w:rsid w:val="00340A9B"/>
    <w:rsid w:val="00340B18"/>
    <w:rsid w:val="00340B34"/>
    <w:rsid w:val="00340B66"/>
    <w:rsid w:val="00340BB4"/>
    <w:rsid w:val="00340C32"/>
    <w:rsid w:val="00340C8E"/>
    <w:rsid w:val="00340CD4"/>
    <w:rsid w:val="00340DF7"/>
    <w:rsid w:val="00340E31"/>
    <w:rsid w:val="00340F96"/>
    <w:rsid w:val="00341226"/>
    <w:rsid w:val="0034123E"/>
    <w:rsid w:val="0034124E"/>
    <w:rsid w:val="003412B7"/>
    <w:rsid w:val="00341337"/>
    <w:rsid w:val="00341370"/>
    <w:rsid w:val="00341381"/>
    <w:rsid w:val="003413FC"/>
    <w:rsid w:val="00341580"/>
    <w:rsid w:val="003415B9"/>
    <w:rsid w:val="0034164D"/>
    <w:rsid w:val="003416E2"/>
    <w:rsid w:val="00341926"/>
    <w:rsid w:val="00341964"/>
    <w:rsid w:val="00341995"/>
    <w:rsid w:val="003419FF"/>
    <w:rsid w:val="00341A70"/>
    <w:rsid w:val="00341C04"/>
    <w:rsid w:val="00341CBF"/>
    <w:rsid w:val="00341CE6"/>
    <w:rsid w:val="00341E16"/>
    <w:rsid w:val="00341FBC"/>
    <w:rsid w:val="00342066"/>
    <w:rsid w:val="00342095"/>
    <w:rsid w:val="0034209B"/>
    <w:rsid w:val="003420E0"/>
    <w:rsid w:val="00342313"/>
    <w:rsid w:val="0034239D"/>
    <w:rsid w:val="003423B4"/>
    <w:rsid w:val="00342400"/>
    <w:rsid w:val="0034244A"/>
    <w:rsid w:val="003425BE"/>
    <w:rsid w:val="003426E6"/>
    <w:rsid w:val="00342796"/>
    <w:rsid w:val="003427D0"/>
    <w:rsid w:val="003427F9"/>
    <w:rsid w:val="00342A7A"/>
    <w:rsid w:val="00342AC4"/>
    <w:rsid w:val="00342C01"/>
    <w:rsid w:val="00342C2F"/>
    <w:rsid w:val="00342D5C"/>
    <w:rsid w:val="00342E16"/>
    <w:rsid w:val="00342EF6"/>
    <w:rsid w:val="00342F28"/>
    <w:rsid w:val="00343041"/>
    <w:rsid w:val="003431B7"/>
    <w:rsid w:val="003431E1"/>
    <w:rsid w:val="0034324F"/>
    <w:rsid w:val="00343308"/>
    <w:rsid w:val="00343367"/>
    <w:rsid w:val="0034359E"/>
    <w:rsid w:val="003435AE"/>
    <w:rsid w:val="00343684"/>
    <w:rsid w:val="00343762"/>
    <w:rsid w:val="003437C8"/>
    <w:rsid w:val="0034388C"/>
    <w:rsid w:val="003438C9"/>
    <w:rsid w:val="003439AC"/>
    <w:rsid w:val="00343ADB"/>
    <w:rsid w:val="00343AE7"/>
    <w:rsid w:val="00343BE2"/>
    <w:rsid w:val="00343CFD"/>
    <w:rsid w:val="00343FAF"/>
    <w:rsid w:val="00343FC5"/>
    <w:rsid w:val="00344074"/>
    <w:rsid w:val="003440D3"/>
    <w:rsid w:val="00344129"/>
    <w:rsid w:val="003441D9"/>
    <w:rsid w:val="003441FF"/>
    <w:rsid w:val="00344304"/>
    <w:rsid w:val="003443FA"/>
    <w:rsid w:val="00344427"/>
    <w:rsid w:val="003444E7"/>
    <w:rsid w:val="0034451D"/>
    <w:rsid w:val="00344638"/>
    <w:rsid w:val="0034463C"/>
    <w:rsid w:val="003446C5"/>
    <w:rsid w:val="003447EF"/>
    <w:rsid w:val="00344880"/>
    <w:rsid w:val="0034488C"/>
    <w:rsid w:val="00344917"/>
    <w:rsid w:val="00344958"/>
    <w:rsid w:val="003449BD"/>
    <w:rsid w:val="003449CD"/>
    <w:rsid w:val="00344A1A"/>
    <w:rsid w:val="00344A1E"/>
    <w:rsid w:val="00344A27"/>
    <w:rsid w:val="00344A4D"/>
    <w:rsid w:val="00344A6E"/>
    <w:rsid w:val="00344E0D"/>
    <w:rsid w:val="00345109"/>
    <w:rsid w:val="00345125"/>
    <w:rsid w:val="0034515B"/>
    <w:rsid w:val="00345213"/>
    <w:rsid w:val="0034523B"/>
    <w:rsid w:val="003453C0"/>
    <w:rsid w:val="003453FB"/>
    <w:rsid w:val="00345636"/>
    <w:rsid w:val="0034577B"/>
    <w:rsid w:val="00345866"/>
    <w:rsid w:val="003458C1"/>
    <w:rsid w:val="0034594E"/>
    <w:rsid w:val="00345981"/>
    <w:rsid w:val="003459AD"/>
    <w:rsid w:val="00345A5F"/>
    <w:rsid w:val="00345B0D"/>
    <w:rsid w:val="00345B12"/>
    <w:rsid w:val="00345C11"/>
    <w:rsid w:val="00345C27"/>
    <w:rsid w:val="00345D57"/>
    <w:rsid w:val="00345D5F"/>
    <w:rsid w:val="00346033"/>
    <w:rsid w:val="00346069"/>
    <w:rsid w:val="00346140"/>
    <w:rsid w:val="00346209"/>
    <w:rsid w:val="0034621E"/>
    <w:rsid w:val="003462A6"/>
    <w:rsid w:val="0034637E"/>
    <w:rsid w:val="0034642B"/>
    <w:rsid w:val="0034650F"/>
    <w:rsid w:val="00346563"/>
    <w:rsid w:val="00346568"/>
    <w:rsid w:val="003465F1"/>
    <w:rsid w:val="003465F4"/>
    <w:rsid w:val="003467B5"/>
    <w:rsid w:val="0034680C"/>
    <w:rsid w:val="0034698E"/>
    <w:rsid w:val="00346A76"/>
    <w:rsid w:val="00346B3F"/>
    <w:rsid w:val="00346BCF"/>
    <w:rsid w:val="00346C7D"/>
    <w:rsid w:val="00346D2C"/>
    <w:rsid w:val="00346D72"/>
    <w:rsid w:val="00346E98"/>
    <w:rsid w:val="00346EC7"/>
    <w:rsid w:val="00346F3C"/>
    <w:rsid w:val="00346F67"/>
    <w:rsid w:val="0034710C"/>
    <w:rsid w:val="0034735F"/>
    <w:rsid w:val="003473B8"/>
    <w:rsid w:val="003473DA"/>
    <w:rsid w:val="00347427"/>
    <w:rsid w:val="003474B0"/>
    <w:rsid w:val="0034750F"/>
    <w:rsid w:val="00347517"/>
    <w:rsid w:val="00347612"/>
    <w:rsid w:val="00347693"/>
    <w:rsid w:val="003476CB"/>
    <w:rsid w:val="003477FC"/>
    <w:rsid w:val="00347831"/>
    <w:rsid w:val="0034786F"/>
    <w:rsid w:val="00347878"/>
    <w:rsid w:val="00347A81"/>
    <w:rsid w:val="00347AF3"/>
    <w:rsid w:val="00347B33"/>
    <w:rsid w:val="00347C40"/>
    <w:rsid w:val="00347D5C"/>
    <w:rsid w:val="00347D8D"/>
    <w:rsid w:val="00347E71"/>
    <w:rsid w:val="00347E81"/>
    <w:rsid w:val="00347EA6"/>
    <w:rsid w:val="00347F67"/>
    <w:rsid w:val="003480C1"/>
    <w:rsid w:val="003500B1"/>
    <w:rsid w:val="003500C5"/>
    <w:rsid w:val="00350445"/>
    <w:rsid w:val="0035070D"/>
    <w:rsid w:val="00350751"/>
    <w:rsid w:val="003507D0"/>
    <w:rsid w:val="00350810"/>
    <w:rsid w:val="00350826"/>
    <w:rsid w:val="0035084F"/>
    <w:rsid w:val="003508AE"/>
    <w:rsid w:val="00350A6C"/>
    <w:rsid w:val="00350B6C"/>
    <w:rsid w:val="00350C89"/>
    <w:rsid w:val="00350F65"/>
    <w:rsid w:val="00351076"/>
    <w:rsid w:val="003510B4"/>
    <w:rsid w:val="003511BC"/>
    <w:rsid w:val="003511C7"/>
    <w:rsid w:val="003511D1"/>
    <w:rsid w:val="00351232"/>
    <w:rsid w:val="003512C0"/>
    <w:rsid w:val="00351378"/>
    <w:rsid w:val="00351484"/>
    <w:rsid w:val="0035149C"/>
    <w:rsid w:val="003514E2"/>
    <w:rsid w:val="003516EB"/>
    <w:rsid w:val="00351745"/>
    <w:rsid w:val="0035174C"/>
    <w:rsid w:val="003517E4"/>
    <w:rsid w:val="003518D6"/>
    <w:rsid w:val="003518E7"/>
    <w:rsid w:val="00351912"/>
    <w:rsid w:val="003519E8"/>
    <w:rsid w:val="00351AE7"/>
    <w:rsid w:val="00351AF1"/>
    <w:rsid w:val="00351AF9"/>
    <w:rsid w:val="00351B7C"/>
    <w:rsid w:val="00351E07"/>
    <w:rsid w:val="00351EFC"/>
    <w:rsid w:val="00351FAE"/>
    <w:rsid w:val="0035201B"/>
    <w:rsid w:val="0035206A"/>
    <w:rsid w:val="0035216F"/>
    <w:rsid w:val="00352176"/>
    <w:rsid w:val="0035227D"/>
    <w:rsid w:val="00352324"/>
    <w:rsid w:val="00352355"/>
    <w:rsid w:val="003523B3"/>
    <w:rsid w:val="00352461"/>
    <w:rsid w:val="00352486"/>
    <w:rsid w:val="00352493"/>
    <w:rsid w:val="003525BB"/>
    <w:rsid w:val="0035268B"/>
    <w:rsid w:val="00352701"/>
    <w:rsid w:val="003528DF"/>
    <w:rsid w:val="0035290D"/>
    <w:rsid w:val="00352984"/>
    <w:rsid w:val="003529DB"/>
    <w:rsid w:val="00352AD0"/>
    <w:rsid w:val="00352AF4"/>
    <w:rsid w:val="00352B87"/>
    <w:rsid w:val="00352BEA"/>
    <w:rsid w:val="00352BEF"/>
    <w:rsid w:val="00352BF5"/>
    <w:rsid w:val="00352C33"/>
    <w:rsid w:val="00352C44"/>
    <w:rsid w:val="00352D8F"/>
    <w:rsid w:val="00352DDC"/>
    <w:rsid w:val="00352E31"/>
    <w:rsid w:val="00352E97"/>
    <w:rsid w:val="00352EE0"/>
    <w:rsid w:val="00352FAC"/>
    <w:rsid w:val="003530F2"/>
    <w:rsid w:val="00353249"/>
    <w:rsid w:val="0035327E"/>
    <w:rsid w:val="003532F3"/>
    <w:rsid w:val="00353317"/>
    <w:rsid w:val="0035331D"/>
    <w:rsid w:val="00353566"/>
    <w:rsid w:val="0035357D"/>
    <w:rsid w:val="003535DB"/>
    <w:rsid w:val="0035361A"/>
    <w:rsid w:val="00353623"/>
    <w:rsid w:val="003536BD"/>
    <w:rsid w:val="003536D5"/>
    <w:rsid w:val="003536E8"/>
    <w:rsid w:val="00353761"/>
    <w:rsid w:val="00353890"/>
    <w:rsid w:val="00353AF1"/>
    <w:rsid w:val="00353D6A"/>
    <w:rsid w:val="00353DE0"/>
    <w:rsid w:val="00353E43"/>
    <w:rsid w:val="00353F8A"/>
    <w:rsid w:val="00353F9E"/>
    <w:rsid w:val="0035406E"/>
    <w:rsid w:val="0035413E"/>
    <w:rsid w:val="00354176"/>
    <w:rsid w:val="003541D7"/>
    <w:rsid w:val="00354286"/>
    <w:rsid w:val="003542BD"/>
    <w:rsid w:val="00354370"/>
    <w:rsid w:val="0035452B"/>
    <w:rsid w:val="00354605"/>
    <w:rsid w:val="0035473D"/>
    <w:rsid w:val="00354839"/>
    <w:rsid w:val="00354A30"/>
    <w:rsid w:val="00354B6E"/>
    <w:rsid w:val="00354D79"/>
    <w:rsid w:val="00354F30"/>
    <w:rsid w:val="0035501F"/>
    <w:rsid w:val="00355320"/>
    <w:rsid w:val="00355332"/>
    <w:rsid w:val="003553A6"/>
    <w:rsid w:val="003553B7"/>
    <w:rsid w:val="00355444"/>
    <w:rsid w:val="003554D1"/>
    <w:rsid w:val="003554DD"/>
    <w:rsid w:val="00355569"/>
    <w:rsid w:val="003556C8"/>
    <w:rsid w:val="003557C3"/>
    <w:rsid w:val="0035581F"/>
    <w:rsid w:val="003558F1"/>
    <w:rsid w:val="00355912"/>
    <w:rsid w:val="00355AF8"/>
    <w:rsid w:val="00355B27"/>
    <w:rsid w:val="00355C01"/>
    <w:rsid w:val="00355C61"/>
    <w:rsid w:val="00355C65"/>
    <w:rsid w:val="00355CC3"/>
    <w:rsid w:val="00355CDE"/>
    <w:rsid w:val="00355D05"/>
    <w:rsid w:val="00355D7B"/>
    <w:rsid w:val="00355D9D"/>
    <w:rsid w:val="00355DBF"/>
    <w:rsid w:val="00355F56"/>
    <w:rsid w:val="00355FEA"/>
    <w:rsid w:val="00356161"/>
    <w:rsid w:val="003561A7"/>
    <w:rsid w:val="00356206"/>
    <w:rsid w:val="00356253"/>
    <w:rsid w:val="00356254"/>
    <w:rsid w:val="003562EE"/>
    <w:rsid w:val="00356342"/>
    <w:rsid w:val="00356517"/>
    <w:rsid w:val="0035660C"/>
    <w:rsid w:val="00356664"/>
    <w:rsid w:val="00356755"/>
    <w:rsid w:val="00356790"/>
    <w:rsid w:val="00356799"/>
    <w:rsid w:val="003567FC"/>
    <w:rsid w:val="00356835"/>
    <w:rsid w:val="00356837"/>
    <w:rsid w:val="0035684C"/>
    <w:rsid w:val="003568F3"/>
    <w:rsid w:val="0035691A"/>
    <w:rsid w:val="00356940"/>
    <w:rsid w:val="00356B47"/>
    <w:rsid w:val="00356BF9"/>
    <w:rsid w:val="00356C3A"/>
    <w:rsid w:val="00356CA5"/>
    <w:rsid w:val="00356CCC"/>
    <w:rsid w:val="00356D4F"/>
    <w:rsid w:val="00356F60"/>
    <w:rsid w:val="00356FAC"/>
    <w:rsid w:val="003571AC"/>
    <w:rsid w:val="003572BF"/>
    <w:rsid w:val="003572C0"/>
    <w:rsid w:val="00357315"/>
    <w:rsid w:val="003573A2"/>
    <w:rsid w:val="003573C3"/>
    <w:rsid w:val="00357435"/>
    <w:rsid w:val="003574A8"/>
    <w:rsid w:val="003574DC"/>
    <w:rsid w:val="003574F4"/>
    <w:rsid w:val="0035759D"/>
    <w:rsid w:val="003577A4"/>
    <w:rsid w:val="0035793A"/>
    <w:rsid w:val="00357941"/>
    <w:rsid w:val="00357A1C"/>
    <w:rsid w:val="00357A26"/>
    <w:rsid w:val="00357A72"/>
    <w:rsid w:val="00357B02"/>
    <w:rsid w:val="00357B26"/>
    <w:rsid w:val="00357BBE"/>
    <w:rsid w:val="00357CC9"/>
    <w:rsid w:val="00357D1B"/>
    <w:rsid w:val="00357E13"/>
    <w:rsid w:val="00357F16"/>
    <w:rsid w:val="00360050"/>
    <w:rsid w:val="00360197"/>
    <w:rsid w:val="00360230"/>
    <w:rsid w:val="003602AA"/>
    <w:rsid w:val="003602CB"/>
    <w:rsid w:val="003604EB"/>
    <w:rsid w:val="00360616"/>
    <w:rsid w:val="00360641"/>
    <w:rsid w:val="0036068D"/>
    <w:rsid w:val="003606CA"/>
    <w:rsid w:val="0036078E"/>
    <w:rsid w:val="0036087F"/>
    <w:rsid w:val="00360936"/>
    <w:rsid w:val="003609DD"/>
    <w:rsid w:val="00360A04"/>
    <w:rsid w:val="00360ACF"/>
    <w:rsid w:val="00360B44"/>
    <w:rsid w:val="00360C12"/>
    <w:rsid w:val="00360C3F"/>
    <w:rsid w:val="00360CF9"/>
    <w:rsid w:val="00360EB5"/>
    <w:rsid w:val="00360F0F"/>
    <w:rsid w:val="00361076"/>
    <w:rsid w:val="0036108F"/>
    <w:rsid w:val="003610B2"/>
    <w:rsid w:val="003612A7"/>
    <w:rsid w:val="003612BA"/>
    <w:rsid w:val="00361382"/>
    <w:rsid w:val="003613A7"/>
    <w:rsid w:val="003613A9"/>
    <w:rsid w:val="00361448"/>
    <w:rsid w:val="00361472"/>
    <w:rsid w:val="0036150C"/>
    <w:rsid w:val="00361687"/>
    <w:rsid w:val="0036171C"/>
    <w:rsid w:val="00361787"/>
    <w:rsid w:val="003618E6"/>
    <w:rsid w:val="003618FC"/>
    <w:rsid w:val="00361980"/>
    <w:rsid w:val="00361A3C"/>
    <w:rsid w:val="00361A91"/>
    <w:rsid w:val="00361B33"/>
    <w:rsid w:val="00361BD3"/>
    <w:rsid w:val="00361C0A"/>
    <w:rsid w:val="00361CF1"/>
    <w:rsid w:val="00361D9F"/>
    <w:rsid w:val="00361DA7"/>
    <w:rsid w:val="00361E17"/>
    <w:rsid w:val="00361FD2"/>
    <w:rsid w:val="00361FE2"/>
    <w:rsid w:val="00362002"/>
    <w:rsid w:val="0036205E"/>
    <w:rsid w:val="0036218F"/>
    <w:rsid w:val="00362267"/>
    <w:rsid w:val="003622F1"/>
    <w:rsid w:val="0036231F"/>
    <w:rsid w:val="00362373"/>
    <w:rsid w:val="003623F0"/>
    <w:rsid w:val="0036243A"/>
    <w:rsid w:val="0036245C"/>
    <w:rsid w:val="0036248C"/>
    <w:rsid w:val="00362539"/>
    <w:rsid w:val="0036255F"/>
    <w:rsid w:val="003625FF"/>
    <w:rsid w:val="003626D4"/>
    <w:rsid w:val="00362776"/>
    <w:rsid w:val="003627AD"/>
    <w:rsid w:val="00362882"/>
    <w:rsid w:val="003628D8"/>
    <w:rsid w:val="00362B10"/>
    <w:rsid w:val="00362C4B"/>
    <w:rsid w:val="00362CA2"/>
    <w:rsid w:val="00362CD6"/>
    <w:rsid w:val="00362CDC"/>
    <w:rsid w:val="00362DCB"/>
    <w:rsid w:val="00362DD9"/>
    <w:rsid w:val="00362DFF"/>
    <w:rsid w:val="00362FB5"/>
    <w:rsid w:val="003630D2"/>
    <w:rsid w:val="003630E8"/>
    <w:rsid w:val="0036320F"/>
    <w:rsid w:val="00363270"/>
    <w:rsid w:val="0036331A"/>
    <w:rsid w:val="0036336B"/>
    <w:rsid w:val="00363378"/>
    <w:rsid w:val="003633A0"/>
    <w:rsid w:val="003633C4"/>
    <w:rsid w:val="00363453"/>
    <w:rsid w:val="003634B4"/>
    <w:rsid w:val="00363560"/>
    <w:rsid w:val="003635F3"/>
    <w:rsid w:val="00363668"/>
    <w:rsid w:val="00363694"/>
    <w:rsid w:val="0036375A"/>
    <w:rsid w:val="0036381E"/>
    <w:rsid w:val="00363869"/>
    <w:rsid w:val="0036387E"/>
    <w:rsid w:val="003638D3"/>
    <w:rsid w:val="003639D7"/>
    <w:rsid w:val="00363A12"/>
    <w:rsid w:val="00363AC2"/>
    <w:rsid w:val="00363C23"/>
    <w:rsid w:val="00363C9C"/>
    <w:rsid w:val="00363D1B"/>
    <w:rsid w:val="00363DCF"/>
    <w:rsid w:val="00363E6F"/>
    <w:rsid w:val="00363F1C"/>
    <w:rsid w:val="00363F8D"/>
    <w:rsid w:val="00363FB2"/>
    <w:rsid w:val="00364025"/>
    <w:rsid w:val="0036405F"/>
    <w:rsid w:val="00364072"/>
    <w:rsid w:val="003641D7"/>
    <w:rsid w:val="003642A9"/>
    <w:rsid w:val="0036448A"/>
    <w:rsid w:val="003644EA"/>
    <w:rsid w:val="0036450C"/>
    <w:rsid w:val="00364654"/>
    <w:rsid w:val="0036466E"/>
    <w:rsid w:val="0036469E"/>
    <w:rsid w:val="003647A9"/>
    <w:rsid w:val="0036482A"/>
    <w:rsid w:val="003648B5"/>
    <w:rsid w:val="003648B7"/>
    <w:rsid w:val="003648C8"/>
    <w:rsid w:val="0036493D"/>
    <w:rsid w:val="00364A55"/>
    <w:rsid w:val="00364B35"/>
    <w:rsid w:val="00364B66"/>
    <w:rsid w:val="00364C3E"/>
    <w:rsid w:val="00364CCE"/>
    <w:rsid w:val="00364D37"/>
    <w:rsid w:val="00364D76"/>
    <w:rsid w:val="00364E20"/>
    <w:rsid w:val="00364E67"/>
    <w:rsid w:val="00364F39"/>
    <w:rsid w:val="00364F51"/>
    <w:rsid w:val="00365042"/>
    <w:rsid w:val="00365064"/>
    <w:rsid w:val="00365138"/>
    <w:rsid w:val="00365244"/>
    <w:rsid w:val="003652C7"/>
    <w:rsid w:val="003653E4"/>
    <w:rsid w:val="00365589"/>
    <w:rsid w:val="00365615"/>
    <w:rsid w:val="003657A2"/>
    <w:rsid w:val="00365828"/>
    <w:rsid w:val="0036598F"/>
    <w:rsid w:val="00365ADF"/>
    <w:rsid w:val="00365B88"/>
    <w:rsid w:val="00365BCE"/>
    <w:rsid w:val="00365C68"/>
    <w:rsid w:val="00365DBF"/>
    <w:rsid w:val="00365DF2"/>
    <w:rsid w:val="00365E09"/>
    <w:rsid w:val="00365EAF"/>
    <w:rsid w:val="00365EEF"/>
    <w:rsid w:val="00365F12"/>
    <w:rsid w:val="00365FE0"/>
    <w:rsid w:val="00366162"/>
    <w:rsid w:val="00366282"/>
    <w:rsid w:val="00366488"/>
    <w:rsid w:val="003664A6"/>
    <w:rsid w:val="003667AF"/>
    <w:rsid w:val="003667CD"/>
    <w:rsid w:val="0036684E"/>
    <w:rsid w:val="003669BF"/>
    <w:rsid w:val="003669E4"/>
    <w:rsid w:val="003669E9"/>
    <w:rsid w:val="00366A41"/>
    <w:rsid w:val="00366A9A"/>
    <w:rsid w:val="00366AA6"/>
    <w:rsid w:val="00366BC5"/>
    <w:rsid w:val="00366CA6"/>
    <w:rsid w:val="00366D92"/>
    <w:rsid w:val="00366E6B"/>
    <w:rsid w:val="00366F37"/>
    <w:rsid w:val="00367021"/>
    <w:rsid w:val="00367047"/>
    <w:rsid w:val="00367096"/>
    <w:rsid w:val="003670CE"/>
    <w:rsid w:val="0036713C"/>
    <w:rsid w:val="00367174"/>
    <w:rsid w:val="003671DD"/>
    <w:rsid w:val="003671EB"/>
    <w:rsid w:val="003672F1"/>
    <w:rsid w:val="00367305"/>
    <w:rsid w:val="0036736F"/>
    <w:rsid w:val="00367476"/>
    <w:rsid w:val="00367598"/>
    <w:rsid w:val="003675C8"/>
    <w:rsid w:val="00367661"/>
    <w:rsid w:val="003676E3"/>
    <w:rsid w:val="003676F7"/>
    <w:rsid w:val="0036774C"/>
    <w:rsid w:val="0036777D"/>
    <w:rsid w:val="003677C7"/>
    <w:rsid w:val="003677CB"/>
    <w:rsid w:val="00367944"/>
    <w:rsid w:val="003679F2"/>
    <w:rsid w:val="00367A49"/>
    <w:rsid w:val="00367A6A"/>
    <w:rsid w:val="00367AA9"/>
    <w:rsid w:val="00367B08"/>
    <w:rsid w:val="00367BD8"/>
    <w:rsid w:val="00367D4B"/>
    <w:rsid w:val="00367D76"/>
    <w:rsid w:val="00367D90"/>
    <w:rsid w:val="00367E03"/>
    <w:rsid w:val="00367F35"/>
    <w:rsid w:val="00367FF4"/>
    <w:rsid w:val="00370012"/>
    <w:rsid w:val="0037004E"/>
    <w:rsid w:val="00370085"/>
    <w:rsid w:val="0037016D"/>
    <w:rsid w:val="0037024C"/>
    <w:rsid w:val="00370279"/>
    <w:rsid w:val="0037027F"/>
    <w:rsid w:val="00370329"/>
    <w:rsid w:val="00370339"/>
    <w:rsid w:val="003703B5"/>
    <w:rsid w:val="003703C4"/>
    <w:rsid w:val="0037043C"/>
    <w:rsid w:val="0037044F"/>
    <w:rsid w:val="003704EC"/>
    <w:rsid w:val="0037051B"/>
    <w:rsid w:val="003709B1"/>
    <w:rsid w:val="00370C45"/>
    <w:rsid w:val="00370C48"/>
    <w:rsid w:val="00370C95"/>
    <w:rsid w:val="00370D64"/>
    <w:rsid w:val="00370D6F"/>
    <w:rsid w:val="00370D87"/>
    <w:rsid w:val="00370D99"/>
    <w:rsid w:val="00370E0D"/>
    <w:rsid w:val="00370E20"/>
    <w:rsid w:val="00370EFB"/>
    <w:rsid w:val="00370F82"/>
    <w:rsid w:val="0037113D"/>
    <w:rsid w:val="003712AD"/>
    <w:rsid w:val="003712D0"/>
    <w:rsid w:val="00371333"/>
    <w:rsid w:val="00371425"/>
    <w:rsid w:val="00371462"/>
    <w:rsid w:val="003714BE"/>
    <w:rsid w:val="00371553"/>
    <w:rsid w:val="00371747"/>
    <w:rsid w:val="0037177E"/>
    <w:rsid w:val="003718E3"/>
    <w:rsid w:val="00371A30"/>
    <w:rsid w:val="00371B63"/>
    <w:rsid w:val="00371B6E"/>
    <w:rsid w:val="00371D3A"/>
    <w:rsid w:val="00371DD1"/>
    <w:rsid w:val="00371DE3"/>
    <w:rsid w:val="003721D2"/>
    <w:rsid w:val="003721FD"/>
    <w:rsid w:val="00372224"/>
    <w:rsid w:val="003722B0"/>
    <w:rsid w:val="00372300"/>
    <w:rsid w:val="00372354"/>
    <w:rsid w:val="0037237E"/>
    <w:rsid w:val="00372444"/>
    <w:rsid w:val="003724A9"/>
    <w:rsid w:val="003724EE"/>
    <w:rsid w:val="00372552"/>
    <w:rsid w:val="00372624"/>
    <w:rsid w:val="0037269F"/>
    <w:rsid w:val="003726B3"/>
    <w:rsid w:val="003727C5"/>
    <w:rsid w:val="00372807"/>
    <w:rsid w:val="003728ED"/>
    <w:rsid w:val="0037298E"/>
    <w:rsid w:val="00372997"/>
    <w:rsid w:val="00372A77"/>
    <w:rsid w:val="00372B7A"/>
    <w:rsid w:val="00372B84"/>
    <w:rsid w:val="00372C28"/>
    <w:rsid w:val="00372DE8"/>
    <w:rsid w:val="00372E25"/>
    <w:rsid w:val="00372E54"/>
    <w:rsid w:val="00372F35"/>
    <w:rsid w:val="00372F92"/>
    <w:rsid w:val="00372FA0"/>
    <w:rsid w:val="00372FAC"/>
    <w:rsid w:val="00373090"/>
    <w:rsid w:val="003730FA"/>
    <w:rsid w:val="00373200"/>
    <w:rsid w:val="00373246"/>
    <w:rsid w:val="003732EC"/>
    <w:rsid w:val="003734E9"/>
    <w:rsid w:val="00373551"/>
    <w:rsid w:val="003735D1"/>
    <w:rsid w:val="003735ED"/>
    <w:rsid w:val="00373600"/>
    <w:rsid w:val="0037364B"/>
    <w:rsid w:val="003736C3"/>
    <w:rsid w:val="00373871"/>
    <w:rsid w:val="0037392E"/>
    <w:rsid w:val="00373985"/>
    <w:rsid w:val="00373A65"/>
    <w:rsid w:val="00373B54"/>
    <w:rsid w:val="00373B73"/>
    <w:rsid w:val="00373BFF"/>
    <w:rsid w:val="00373C37"/>
    <w:rsid w:val="00373C8B"/>
    <w:rsid w:val="00373E3C"/>
    <w:rsid w:val="00373E70"/>
    <w:rsid w:val="0037400C"/>
    <w:rsid w:val="0037400F"/>
    <w:rsid w:val="003740BB"/>
    <w:rsid w:val="003741D1"/>
    <w:rsid w:val="00374329"/>
    <w:rsid w:val="00374351"/>
    <w:rsid w:val="0037439E"/>
    <w:rsid w:val="0037449D"/>
    <w:rsid w:val="003744C8"/>
    <w:rsid w:val="003744DC"/>
    <w:rsid w:val="003744FD"/>
    <w:rsid w:val="003745F6"/>
    <w:rsid w:val="00374707"/>
    <w:rsid w:val="003747D7"/>
    <w:rsid w:val="003749D2"/>
    <w:rsid w:val="00374A26"/>
    <w:rsid w:val="00374BE0"/>
    <w:rsid w:val="00374CFC"/>
    <w:rsid w:val="00374D2F"/>
    <w:rsid w:val="00374D95"/>
    <w:rsid w:val="00374F27"/>
    <w:rsid w:val="00374F6E"/>
    <w:rsid w:val="00374F9B"/>
    <w:rsid w:val="00374FA0"/>
    <w:rsid w:val="0037503D"/>
    <w:rsid w:val="0037507D"/>
    <w:rsid w:val="003751A0"/>
    <w:rsid w:val="003751B8"/>
    <w:rsid w:val="003753AB"/>
    <w:rsid w:val="0037540E"/>
    <w:rsid w:val="0037568F"/>
    <w:rsid w:val="003756FB"/>
    <w:rsid w:val="00375883"/>
    <w:rsid w:val="00375A09"/>
    <w:rsid w:val="00375AAF"/>
    <w:rsid w:val="00375B10"/>
    <w:rsid w:val="00375B4F"/>
    <w:rsid w:val="00375C08"/>
    <w:rsid w:val="00375C09"/>
    <w:rsid w:val="00375CC2"/>
    <w:rsid w:val="00375D10"/>
    <w:rsid w:val="00375D1B"/>
    <w:rsid w:val="00375D3D"/>
    <w:rsid w:val="00375D68"/>
    <w:rsid w:val="00375DA7"/>
    <w:rsid w:val="00375E13"/>
    <w:rsid w:val="00375F2C"/>
    <w:rsid w:val="00375F4E"/>
    <w:rsid w:val="00376073"/>
    <w:rsid w:val="0037609F"/>
    <w:rsid w:val="00376169"/>
    <w:rsid w:val="0037619D"/>
    <w:rsid w:val="003761A9"/>
    <w:rsid w:val="003761E4"/>
    <w:rsid w:val="0037627B"/>
    <w:rsid w:val="0037639B"/>
    <w:rsid w:val="003763F4"/>
    <w:rsid w:val="00376401"/>
    <w:rsid w:val="00376421"/>
    <w:rsid w:val="003764CD"/>
    <w:rsid w:val="0037659C"/>
    <w:rsid w:val="003765EA"/>
    <w:rsid w:val="003766E7"/>
    <w:rsid w:val="0037671F"/>
    <w:rsid w:val="00376724"/>
    <w:rsid w:val="003767A7"/>
    <w:rsid w:val="00376823"/>
    <w:rsid w:val="00376946"/>
    <w:rsid w:val="00376A54"/>
    <w:rsid w:val="00376A89"/>
    <w:rsid w:val="00376D82"/>
    <w:rsid w:val="00376F09"/>
    <w:rsid w:val="00376F29"/>
    <w:rsid w:val="00376F85"/>
    <w:rsid w:val="00377044"/>
    <w:rsid w:val="003770A1"/>
    <w:rsid w:val="003770E7"/>
    <w:rsid w:val="00377102"/>
    <w:rsid w:val="003771EC"/>
    <w:rsid w:val="0037720A"/>
    <w:rsid w:val="0037727C"/>
    <w:rsid w:val="00377528"/>
    <w:rsid w:val="00377623"/>
    <w:rsid w:val="003776DF"/>
    <w:rsid w:val="00377816"/>
    <w:rsid w:val="003778B2"/>
    <w:rsid w:val="00377A60"/>
    <w:rsid w:val="00377C31"/>
    <w:rsid w:val="00377D06"/>
    <w:rsid w:val="00377D27"/>
    <w:rsid w:val="00377D74"/>
    <w:rsid w:val="00377E9E"/>
    <w:rsid w:val="00377EC2"/>
    <w:rsid w:val="00377F1A"/>
    <w:rsid w:val="00377F3D"/>
    <w:rsid w:val="00377FF4"/>
    <w:rsid w:val="0038006D"/>
    <w:rsid w:val="003801EE"/>
    <w:rsid w:val="003803BA"/>
    <w:rsid w:val="0038047D"/>
    <w:rsid w:val="003804BB"/>
    <w:rsid w:val="003804C2"/>
    <w:rsid w:val="00380542"/>
    <w:rsid w:val="003806CE"/>
    <w:rsid w:val="003806E2"/>
    <w:rsid w:val="0038077D"/>
    <w:rsid w:val="00380805"/>
    <w:rsid w:val="00380858"/>
    <w:rsid w:val="00380866"/>
    <w:rsid w:val="00380897"/>
    <w:rsid w:val="00380944"/>
    <w:rsid w:val="0038098A"/>
    <w:rsid w:val="00380C80"/>
    <w:rsid w:val="00380C9F"/>
    <w:rsid w:val="00380CA8"/>
    <w:rsid w:val="00381035"/>
    <w:rsid w:val="003810C8"/>
    <w:rsid w:val="003810D1"/>
    <w:rsid w:val="003811B4"/>
    <w:rsid w:val="003811C7"/>
    <w:rsid w:val="003811F9"/>
    <w:rsid w:val="0038121B"/>
    <w:rsid w:val="003812B1"/>
    <w:rsid w:val="003814C8"/>
    <w:rsid w:val="00381540"/>
    <w:rsid w:val="003815A6"/>
    <w:rsid w:val="00381612"/>
    <w:rsid w:val="00381992"/>
    <w:rsid w:val="00381A51"/>
    <w:rsid w:val="00381A5D"/>
    <w:rsid w:val="00381B92"/>
    <w:rsid w:val="00381D49"/>
    <w:rsid w:val="00381D91"/>
    <w:rsid w:val="00381D95"/>
    <w:rsid w:val="00381F2A"/>
    <w:rsid w:val="00381F36"/>
    <w:rsid w:val="0038207A"/>
    <w:rsid w:val="0038217F"/>
    <w:rsid w:val="00382272"/>
    <w:rsid w:val="00382332"/>
    <w:rsid w:val="00382553"/>
    <w:rsid w:val="00382614"/>
    <w:rsid w:val="00382742"/>
    <w:rsid w:val="0038283B"/>
    <w:rsid w:val="003828EA"/>
    <w:rsid w:val="00382A31"/>
    <w:rsid w:val="00382BC5"/>
    <w:rsid w:val="00382DEE"/>
    <w:rsid w:val="00382E23"/>
    <w:rsid w:val="00382E75"/>
    <w:rsid w:val="00382EAF"/>
    <w:rsid w:val="00382EC8"/>
    <w:rsid w:val="00382F9C"/>
    <w:rsid w:val="00383296"/>
    <w:rsid w:val="00383358"/>
    <w:rsid w:val="0038340F"/>
    <w:rsid w:val="0038353D"/>
    <w:rsid w:val="003836E7"/>
    <w:rsid w:val="00383864"/>
    <w:rsid w:val="003839F4"/>
    <w:rsid w:val="00383C6A"/>
    <w:rsid w:val="00383D52"/>
    <w:rsid w:val="00383F65"/>
    <w:rsid w:val="00384010"/>
    <w:rsid w:val="00384038"/>
    <w:rsid w:val="0038408B"/>
    <w:rsid w:val="003840D6"/>
    <w:rsid w:val="00384247"/>
    <w:rsid w:val="00384398"/>
    <w:rsid w:val="003843B6"/>
    <w:rsid w:val="0038445C"/>
    <w:rsid w:val="003844DA"/>
    <w:rsid w:val="003844E6"/>
    <w:rsid w:val="00384506"/>
    <w:rsid w:val="00384543"/>
    <w:rsid w:val="00384627"/>
    <w:rsid w:val="00384695"/>
    <w:rsid w:val="003848B7"/>
    <w:rsid w:val="003849E5"/>
    <w:rsid w:val="00384A1F"/>
    <w:rsid w:val="00384B12"/>
    <w:rsid w:val="00384B80"/>
    <w:rsid w:val="00384BD9"/>
    <w:rsid w:val="00384C07"/>
    <w:rsid w:val="00384C6D"/>
    <w:rsid w:val="00384DD6"/>
    <w:rsid w:val="00384E05"/>
    <w:rsid w:val="00384E10"/>
    <w:rsid w:val="00384E16"/>
    <w:rsid w:val="00384E2C"/>
    <w:rsid w:val="00384F74"/>
    <w:rsid w:val="00384F92"/>
    <w:rsid w:val="003851D1"/>
    <w:rsid w:val="003852CD"/>
    <w:rsid w:val="0038533B"/>
    <w:rsid w:val="003853F7"/>
    <w:rsid w:val="00385446"/>
    <w:rsid w:val="00385461"/>
    <w:rsid w:val="0038552E"/>
    <w:rsid w:val="00385562"/>
    <w:rsid w:val="00385585"/>
    <w:rsid w:val="003855A9"/>
    <w:rsid w:val="003855B6"/>
    <w:rsid w:val="003855D2"/>
    <w:rsid w:val="00385644"/>
    <w:rsid w:val="00385674"/>
    <w:rsid w:val="0038569D"/>
    <w:rsid w:val="003856AA"/>
    <w:rsid w:val="003856C4"/>
    <w:rsid w:val="003856EA"/>
    <w:rsid w:val="003856F6"/>
    <w:rsid w:val="0038571D"/>
    <w:rsid w:val="003857EC"/>
    <w:rsid w:val="00385853"/>
    <w:rsid w:val="003859E9"/>
    <w:rsid w:val="00385B69"/>
    <w:rsid w:val="00385B8B"/>
    <w:rsid w:val="00385BE9"/>
    <w:rsid w:val="00385C8C"/>
    <w:rsid w:val="00385C95"/>
    <w:rsid w:val="00385CE7"/>
    <w:rsid w:val="00385D22"/>
    <w:rsid w:val="00385D3B"/>
    <w:rsid w:val="00385DB3"/>
    <w:rsid w:val="00385E59"/>
    <w:rsid w:val="00385EE9"/>
    <w:rsid w:val="003860BE"/>
    <w:rsid w:val="0038617F"/>
    <w:rsid w:val="003861CE"/>
    <w:rsid w:val="003862C7"/>
    <w:rsid w:val="00386455"/>
    <w:rsid w:val="00386478"/>
    <w:rsid w:val="00386485"/>
    <w:rsid w:val="0038648B"/>
    <w:rsid w:val="003864A1"/>
    <w:rsid w:val="00386637"/>
    <w:rsid w:val="00386662"/>
    <w:rsid w:val="00386751"/>
    <w:rsid w:val="00386834"/>
    <w:rsid w:val="00386884"/>
    <w:rsid w:val="00386928"/>
    <w:rsid w:val="00386E11"/>
    <w:rsid w:val="00386EE0"/>
    <w:rsid w:val="00386F35"/>
    <w:rsid w:val="00387052"/>
    <w:rsid w:val="0038725C"/>
    <w:rsid w:val="00387274"/>
    <w:rsid w:val="00387277"/>
    <w:rsid w:val="003872F9"/>
    <w:rsid w:val="00387417"/>
    <w:rsid w:val="003874BB"/>
    <w:rsid w:val="00387532"/>
    <w:rsid w:val="003875BA"/>
    <w:rsid w:val="003875C6"/>
    <w:rsid w:val="003875E5"/>
    <w:rsid w:val="00387637"/>
    <w:rsid w:val="003876C9"/>
    <w:rsid w:val="00387893"/>
    <w:rsid w:val="00387AB6"/>
    <w:rsid w:val="00387B33"/>
    <w:rsid w:val="00387B51"/>
    <w:rsid w:val="00387BB8"/>
    <w:rsid w:val="00387C6E"/>
    <w:rsid w:val="00387CC3"/>
    <w:rsid w:val="00387EF3"/>
    <w:rsid w:val="00387F15"/>
    <w:rsid w:val="00387F16"/>
    <w:rsid w:val="00387F97"/>
    <w:rsid w:val="00390000"/>
    <w:rsid w:val="003900A0"/>
    <w:rsid w:val="003900E1"/>
    <w:rsid w:val="0039011F"/>
    <w:rsid w:val="0039013C"/>
    <w:rsid w:val="00390256"/>
    <w:rsid w:val="0039033B"/>
    <w:rsid w:val="0039040F"/>
    <w:rsid w:val="0039041F"/>
    <w:rsid w:val="0039042C"/>
    <w:rsid w:val="0039042E"/>
    <w:rsid w:val="00390498"/>
    <w:rsid w:val="003906B2"/>
    <w:rsid w:val="0039074A"/>
    <w:rsid w:val="003908E3"/>
    <w:rsid w:val="0039098A"/>
    <w:rsid w:val="00390A66"/>
    <w:rsid w:val="00390AC4"/>
    <w:rsid w:val="00390B33"/>
    <w:rsid w:val="00390B49"/>
    <w:rsid w:val="00390C06"/>
    <w:rsid w:val="00390C8A"/>
    <w:rsid w:val="00390D1C"/>
    <w:rsid w:val="00390EE2"/>
    <w:rsid w:val="00390FC6"/>
    <w:rsid w:val="00391021"/>
    <w:rsid w:val="003910F1"/>
    <w:rsid w:val="003911C5"/>
    <w:rsid w:val="003913AC"/>
    <w:rsid w:val="003913B3"/>
    <w:rsid w:val="003913DC"/>
    <w:rsid w:val="0039144D"/>
    <w:rsid w:val="00391570"/>
    <w:rsid w:val="003915A2"/>
    <w:rsid w:val="003915F4"/>
    <w:rsid w:val="00391904"/>
    <w:rsid w:val="0039198D"/>
    <w:rsid w:val="00391A89"/>
    <w:rsid w:val="00391AE4"/>
    <w:rsid w:val="00391B4E"/>
    <w:rsid w:val="00391D78"/>
    <w:rsid w:val="00391DD1"/>
    <w:rsid w:val="00391F20"/>
    <w:rsid w:val="00391FC8"/>
    <w:rsid w:val="00391FDC"/>
    <w:rsid w:val="00391FF2"/>
    <w:rsid w:val="00392160"/>
    <w:rsid w:val="00392227"/>
    <w:rsid w:val="003922A6"/>
    <w:rsid w:val="00392373"/>
    <w:rsid w:val="003923E2"/>
    <w:rsid w:val="00392430"/>
    <w:rsid w:val="003926E9"/>
    <w:rsid w:val="0039275D"/>
    <w:rsid w:val="003927DC"/>
    <w:rsid w:val="003927DD"/>
    <w:rsid w:val="00392848"/>
    <w:rsid w:val="00392984"/>
    <w:rsid w:val="00392A03"/>
    <w:rsid w:val="00392A2D"/>
    <w:rsid w:val="00392C75"/>
    <w:rsid w:val="00392F56"/>
    <w:rsid w:val="00392F74"/>
    <w:rsid w:val="00392FDB"/>
    <w:rsid w:val="003930D7"/>
    <w:rsid w:val="003930D9"/>
    <w:rsid w:val="00393121"/>
    <w:rsid w:val="0039312E"/>
    <w:rsid w:val="00393261"/>
    <w:rsid w:val="00393262"/>
    <w:rsid w:val="00393263"/>
    <w:rsid w:val="003932E6"/>
    <w:rsid w:val="003933C0"/>
    <w:rsid w:val="003935BF"/>
    <w:rsid w:val="003936BC"/>
    <w:rsid w:val="003936EE"/>
    <w:rsid w:val="003937A6"/>
    <w:rsid w:val="003938AB"/>
    <w:rsid w:val="00393961"/>
    <w:rsid w:val="00393993"/>
    <w:rsid w:val="003939F8"/>
    <w:rsid w:val="00393A88"/>
    <w:rsid w:val="00393BB5"/>
    <w:rsid w:val="00393D63"/>
    <w:rsid w:val="00393D90"/>
    <w:rsid w:val="00393E45"/>
    <w:rsid w:val="00393E85"/>
    <w:rsid w:val="00393FAF"/>
    <w:rsid w:val="0039404E"/>
    <w:rsid w:val="00394171"/>
    <w:rsid w:val="003941E4"/>
    <w:rsid w:val="003941EC"/>
    <w:rsid w:val="003944A7"/>
    <w:rsid w:val="003944EB"/>
    <w:rsid w:val="00394598"/>
    <w:rsid w:val="0039461A"/>
    <w:rsid w:val="0039464F"/>
    <w:rsid w:val="00394685"/>
    <w:rsid w:val="003946D5"/>
    <w:rsid w:val="0039473A"/>
    <w:rsid w:val="00394746"/>
    <w:rsid w:val="0039485D"/>
    <w:rsid w:val="0039492B"/>
    <w:rsid w:val="003949AC"/>
    <w:rsid w:val="00394A4C"/>
    <w:rsid w:val="00394AC8"/>
    <w:rsid w:val="00394ADE"/>
    <w:rsid w:val="00394B71"/>
    <w:rsid w:val="00394BB1"/>
    <w:rsid w:val="00394DED"/>
    <w:rsid w:val="00394E0A"/>
    <w:rsid w:val="00394E96"/>
    <w:rsid w:val="00394EF2"/>
    <w:rsid w:val="00395060"/>
    <w:rsid w:val="003952A1"/>
    <w:rsid w:val="003952A6"/>
    <w:rsid w:val="00395396"/>
    <w:rsid w:val="003953D5"/>
    <w:rsid w:val="003953DD"/>
    <w:rsid w:val="0039540A"/>
    <w:rsid w:val="003954D1"/>
    <w:rsid w:val="003954F7"/>
    <w:rsid w:val="003955F4"/>
    <w:rsid w:val="0039569E"/>
    <w:rsid w:val="003956F0"/>
    <w:rsid w:val="00395732"/>
    <w:rsid w:val="0039575A"/>
    <w:rsid w:val="00395870"/>
    <w:rsid w:val="0039598C"/>
    <w:rsid w:val="00395A7F"/>
    <w:rsid w:val="00395AC5"/>
    <w:rsid w:val="00395CE2"/>
    <w:rsid w:val="00395D38"/>
    <w:rsid w:val="00395D6D"/>
    <w:rsid w:val="00395D8E"/>
    <w:rsid w:val="00395DFA"/>
    <w:rsid w:val="00395E6B"/>
    <w:rsid w:val="00395F02"/>
    <w:rsid w:val="00395F7B"/>
    <w:rsid w:val="00396083"/>
    <w:rsid w:val="003960BC"/>
    <w:rsid w:val="003960C4"/>
    <w:rsid w:val="00396261"/>
    <w:rsid w:val="0039637B"/>
    <w:rsid w:val="0039639C"/>
    <w:rsid w:val="003963AE"/>
    <w:rsid w:val="003965B1"/>
    <w:rsid w:val="0039694B"/>
    <w:rsid w:val="00396960"/>
    <w:rsid w:val="003969E0"/>
    <w:rsid w:val="00396A0E"/>
    <w:rsid w:val="00396A44"/>
    <w:rsid w:val="00396A7B"/>
    <w:rsid w:val="00396C00"/>
    <w:rsid w:val="00396CD9"/>
    <w:rsid w:val="00396CE2"/>
    <w:rsid w:val="00396D16"/>
    <w:rsid w:val="00396E10"/>
    <w:rsid w:val="00396F5E"/>
    <w:rsid w:val="00397165"/>
    <w:rsid w:val="003971B5"/>
    <w:rsid w:val="0039722E"/>
    <w:rsid w:val="00397238"/>
    <w:rsid w:val="00397283"/>
    <w:rsid w:val="00397443"/>
    <w:rsid w:val="003974BF"/>
    <w:rsid w:val="003974EC"/>
    <w:rsid w:val="00397513"/>
    <w:rsid w:val="0039777B"/>
    <w:rsid w:val="0039779F"/>
    <w:rsid w:val="00397822"/>
    <w:rsid w:val="00397841"/>
    <w:rsid w:val="0039785E"/>
    <w:rsid w:val="003978F1"/>
    <w:rsid w:val="00397913"/>
    <w:rsid w:val="0039796F"/>
    <w:rsid w:val="003979C4"/>
    <w:rsid w:val="00397B8F"/>
    <w:rsid w:val="00397BF5"/>
    <w:rsid w:val="00397C23"/>
    <w:rsid w:val="00397C59"/>
    <w:rsid w:val="00397D7D"/>
    <w:rsid w:val="00397E67"/>
    <w:rsid w:val="00397E8C"/>
    <w:rsid w:val="00397E8F"/>
    <w:rsid w:val="003A0099"/>
    <w:rsid w:val="003A00A6"/>
    <w:rsid w:val="003A00C0"/>
    <w:rsid w:val="003A01EE"/>
    <w:rsid w:val="003A03B8"/>
    <w:rsid w:val="003A03DA"/>
    <w:rsid w:val="003A0439"/>
    <w:rsid w:val="003A0481"/>
    <w:rsid w:val="003A04D5"/>
    <w:rsid w:val="003A04F5"/>
    <w:rsid w:val="003A056F"/>
    <w:rsid w:val="003A064D"/>
    <w:rsid w:val="003A0663"/>
    <w:rsid w:val="003A06C5"/>
    <w:rsid w:val="003A073B"/>
    <w:rsid w:val="003A083C"/>
    <w:rsid w:val="003A087D"/>
    <w:rsid w:val="003A08F9"/>
    <w:rsid w:val="003A09BB"/>
    <w:rsid w:val="003A0AD2"/>
    <w:rsid w:val="003A0B44"/>
    <w:rsid w:val="003A0D85"/>
    <w:rsid w:val="003A0DA5"/>
    <w:rsid w:val="003A0E42"/>
    <w:rsid w:val="003A0EEA"/>
    <w:rsid w:val="003A0FF1"/>
    <w:rsid w:val="003A1080"/>
    <w:rsid w:val="003A122E"/>
    <w:rsid w:val="003A1239"/>
    <w:rsid w:val="003A12D1"/>
    <w:rsid w:val="003A133C"/>
    <w:rsid w:val="003A13CC"/>
    <w:rsid w:val="003A13D1"/>
    <w:rsid w:val="003A151C"/>
    <w:rsid w:val="003A157B"/>
    <w:rsid w:val="003A158D"/>
    <w:rsid w:val="003A1760"/>
    <w:rsid w:val="003A1822"/>
    <w:rsid w:val="003A18A8"/>
    <w:rsid w:val="003A194B"/>
    <w:rsid w:val="003A19E0"/>
    <w:rsid w:val="003A1AA4"/>
    <w:rsid w:val="003A1BD7"/>
    <w:rsid w:val="003A1C51"/>
    <w:rsid w:val="003A1D04"/>
    <w:rsid w:val="003A1D47"/>
    <w:rsid w:val="003A1D60"/>
    <w:rsid w:val="003A1D9B"/>
    <w:rsid w:val="003A1E15"/>
    <w:rsid w:val="003A1F53"/>
    <w:rsid w:val="003A1FAF"/>
    <w:rsid w:val="003A2116"/>
    <w:rsid w:val="003A2132"/>
    <w:rsid w:val="003A217F"/>
    <w:rsid w:val="003A258C"/>
    <w:rsid w:val="003A25EB"/>
    <w:rsid w:val="003A2611"/>
    <w:rsid w:val="003A264B"/>
    <w:rsid w:val="003A2676"/>
    <w:rsid w:val="003A27BF"/>
    <w:rsid w:val="003A285A"/>
    <w:rsid w:val="003A298A"/>
    <w:rsid w:val="003A2A52"/>
    <w:rsid w:val="003A2BC6"/>
    <w:rsid w:val="003A2C04"/>
    <w:rsid w:val="003A2C9C"/>
    <w:rsid w:val="003A2E00"/>
    <w:rsid w:val="003A2E58"/>
    <w:rsid w:val="003A2EA7"/>
    <w:rsid w:val="003A2ED4"/>
    <w:rsid w:val="003A2EDB"/>
    <w:rsid w:val="003A2EDE"/>
    <w:rsid w:val="003A3071"/>
    <w:rsid w:val="003A3087"/>
    <w:rsid w:val="003A3188"/>
    <w:rsid w:val="003A3297"/>
    <w:rsid w:val="003A344B"/>
    <w:rsid w:val="003A36D6"/>
    <w:rsid w:val="003A371D"/>
    <w:rsid w:val="003A37DB"/>
    <w:rsid w:val="003A38B7"/>
    <w:rsid w:val="003A397A"/>
    <w:rsid w:val="003A39AC"/>
    <w:rsid w:val="003A39CC"/>
    <w:rsid w:val="003A39E4"/>
    <w:rsid w:val="003A3A28"/>
    <w:rsid w:val="003A3A64"/>
    <w:rsid w:val="003A3AC5"/>
    <w:rsid w:val="003A3BBD"/>
    <w:rsid w:val="003A3BE3"/>
    <w:rsid w:val="003A3C1E"/>
    <w:rsid w:val="003A3CD1"/>
    <w:rsid w:val="003A3D50"/>
    <w:rsid w:val="003A3D80"/>
    <w:rsid w:val="003A3D94"/>
    <w:rsid w:val="003A3E59"/>
    <w:rsid w:val="003A3E8F"/>
    <w:rsid w:val="003A3EFF"/>
    <w:rsid w:val="003A3FF3"/>
    <w:rsid w:val="003A4020"/>
    <w:rsid w:val="003A405A"/>
    <w:rsid w:val="003A40A5"/>
    <w:rsid w:val="003A4110"/>
    <w:rsid w:val="003A411B"/>
    <w:rsid w:val="003A4163"/>
    <w:rsid w:val="003A422A"/>
    <w:rsid w:val="003A4249"/>
    <w:rsid w:val="003A42E7"/>
    <w:rsid w:val="003A42E9"/>
    <w:rsid w:val="003A4362"/>
    <w:rsid w:val="003A43AE"/>
    <w:rsid w:val="003A43C7"/>
    <w:rsid w:val="003A43FE"/>
    <w:rsid w:val="003A4575"/>
    <w:rsid w:val="003A4602"/>
    <w:rsid w:val="003A467B"/>
    <w:rsid w:val="003A4782"/>
    <w:rsid w:val="003A482A"/>
    <w:rsid w:val="003A4836"/>
    <w:rsid w:val="003A496C"/>
    <w:rsid w:val="003A499F"/>
    <w:rsid w:val="003A4B30"/>
    <w:rsid w:val="003A4BF7"/>
    <w:rsid w:val="003A4C57"/>
    <w:rsid w:val="003A4C60"/>
    <w:rsid w:val="003A4D86"/>
    <w:rsid w:val="003A4DBF"/>
    <w:rsid w:val="003A4F17"/>
    <w:rsid w:val="003A4F21"/>
    <w:rsid w:val="003A4FBA"/>
    <w:rsid w:val="003A50B4"/>
    <w:rsid w:val="003A5112"/>
    <w:rsid w:val="003A5166"/>
    <w:rsid w:val="003A523E"/>
    <w:rsid w:val="003A5311"/>
    <w:rsid w:val="003A53CB"/>
    <w:rsid w:val="003A53EE"/>
    <w:rsid w:val="003A540A"/>
    <w:rsid w:val="003A546B"/>
    <w:rsid w:val="003A5531"/>
    <w:rsid w:val="003A5578"/>
    <w:rsid w:val="003A5591"/>
    <w:rsid w:val="003A564E"/>
    <w:rsid w:val="003A566D"/>
    <w:rsid w:val="003A56DF"/>
    <w:rsid w:val="003A5825"/>
    <w:rsid w:val="003A58BB"/>
    <w:rsid w:val="003A58E0"/>
    <w:rsid w:val="003A59CA"/>
    <w:rsid w:val="003A5A1B"/>
    <w:rsid w:val="003A5A2B"/>
    <w:rsid w:val="003A5A36"/>
    <w:rsid w:val="003A5A77"/>
    <w:rsid w:val="003A5A7C"/>
    <w:rsid w:val="003A5AA9"/>
    <w:rsid w:val="003A5BB0"/>
    <w:rsid w:val="003A5BFF"/>
    <w:rsid w:val="003A5CD9"/>
    <w:rsid w:val="003A5D1B"/>
    <w:rsid w:val="003A5D82"/>
    <w:rsid w:val="003A5D88"/>
    <w:rsid w:val="003A5FFA"/>
    <w:rsid w:val="003A60C9"/>
    <w:rsid w:val="003A6299"/>
    <w:rsid w:val="003A6339"/>
    <w:rsid w:val="003A63BF"/>
    <w:rsid w:val="003A6469"/>
    <w:rsid w:val="003A65FA"/>
    <w:rsid w:val="003A6699"/>
    <w:rsid w:val="003A66A8"/>
    <w:rsid w:val="003A6760"/>
    <w:rsid w:val="003A697F"/>
    <w:rsid w:val="003A6985"/>
    <w:rsid w:val="003A6A2B"/>
    <w:rsid w:val="003A6A6E"/>
    <w:rsid w:val="003A6ADD"/>
    <w:rsid w:val="003A6F2C"/>
    <w:rsid w:val="003A6F3C"/>
    <w:rsid w:val="003A708C"/>
    <w:rsid w:val="003A71C2"/>
    <w:rsid w:val="003A7274"/>
    <w:rsid w:val="003A727F"/>
    <w:rsid w:val="003A7323"/>
    <w:rsid w:val="003A736F"/>
    <w:rsid w:val="003A754F"/>
    <w:rsid w:val="003A7598"/>
    <w:rsid w:val="003A75A8"/>
    <w:rsid w:val="003A7608"/>
    <w:rsid w:val="003A78D5"/>
    <w:rsid w:val="003A79E3"/>
    <w:rsid w:val="003A79EA"/>
    <w:rsid w:val="003A7A04"/>
    <w:rsid w:val="003A7B54"/>
    <w:rsid w:val="003A7B88"/>
    <w:rsid w:val="003A7BD5"/>
    <w:rsid w:val="003A7C84"/>
    <w:rsid w:val="003A7C92"/>
    <w:rsid w:val="003A7CA8"/>
    <w:rsid w:val="003A7DB6"/>
    <w:rsid w:val="003A7E15"/>
    <w:rsid w:val="003B0024"/>
    <w:rsid w:val="003B005C"/>
    <w:rsid w:val="003B0194"/>
    <w:rsid w:val="003B01E6"/>
    <w:rsid w:val="003B0215"/>
    <w:rsid w:val="003B02B6"/>
    <w:rsid w:val="003B02F7"/>
    <w:rsid w:val="003B02FE"/>
    <w:rsid w:val="003B032B"/>
    <w:rsid w:val="003B0340"/>
    <w:rsid w:val="003B0376"/>
    <w:rsid w:val="003B066C"/>
    <w:rsid w:val="003B0682"/>
    <w:rsid w:val="003B069B"/>
    <w:rsid w:val="003B06C0"/>
    <w:rsid w:val="003B081C"/>
    <w:rsid w:val="003B0853"/>
    <w:rsid w:val="003B0899"/>
    <w:rsid w:val="003B09C5"/>
    <w:rsid w:val="003B0B5F"/>
    <w:rsid w:val="003B0C05"/>
    <w:rsid w:val="003B0CBE"/>
    <w:rsid w:val="003B0CFE"/>
    <w:rsid w:val="003B0D53"/>
    <w:rsid w:val="003B0D77"/>
    <w:rsid w:val="003B0D7D"/>
    <w:rsid w:val="003B0F95"/>
    <w:rsid w:val="003B1085"/>
    <w:rsid w:val="003B1377"/>
    <w:rsid w:val="003B15CE"/>
    <w:rsid w:val="003B1788"/>
    <w:rsid w:val="003B17A8"/>
    <w:rsid w:val="003B17B4"/>
    <w:rsid w:val="003B17DE"/>
    <w:rsid w:val="003B1882"/>
    <w:rsid w:val="003B18A6"/>
    <w:rsid w:val="003B1952"/>
    <w:rsid w:val="003B1ADE"/>
    <w:rsid w:val="003B1BF0"/>
    <w:rsid w:val="003B1C3A"/>
    <w:rsid w:val="003B1D3D"/>
    <w:rsid w:val="003B1D9D"/>
    <w:rsid w:val="003B1DBF"/>
    <w:rsid w:val="003B1EA0"/>
    <w:rsid w:val="003B1F34"/>
    <w:rsid w:val="003B20CB"/>
    <w:rsid w:val="003B20EE"/>
    <w:rsid w:val="003B212D"/>
    <w:rsid w:val="003B21A7"/>
    <w:rsid w:val="003B21BA"/>
    <w:rsid w:val="003B2259"/>
    <w:rsid w:val="003B2270"/>
    <w:rsid w:val="003B227C"/>
    <w:rsid w:val="003B2304"/>
    <w:rsid w:val="003B2305"/>
    <w:rsid w:val="003B232D"/>
    <w:rsid w:val="003B246E"/>
    <w:rsid w:val="003B24F7"/>
    <w:rsid w:val="003B2517"/>
    <w:rsid w:val="003B25F8"/>
    <w:rsid w:val="003B264D"/>
    <w:rsid w:val="003B266D"/>
    <w:rsid w:val="003B26FE"/>
    <w:rsid w:val="003B2725"/>
    <w:rsid w:val="003B2737"/>
    <w:rsid w:val="003B289A"/>
    <w:rsid w:val="003B296D"/>
    <w:rsid w:val="003B2A2D"/>
    <w:rsid w:val="003B2A6B"/>
    <w:rsid w:val="003B2A90"/>
    <w:rsid w:val="003B2B6D"/>
    <w:rsid w:val="003B2C1D"/>
    <w:rsid w:val="003B2C94"/>
    <w:rsid w:val="003B2DCF"/>
    <w:rsid w:val="003B2DEE"/>
    <w:rsid w:val="003B2E8F"/>
    <w:rsid w:val="003B2E91"/>
    <w:rsid w:val="003B2ECD"/>
    <w:rsid w:val="003B2EE1"/>
    <w:rsid w:val="003B2F24"/>
    <w:rsid w:val="003B2F35"/>
    <w:rsid w:val="003B2F74"/>
    <w:rsid w:val="003B3030"/>
    <w:rsid w:val="003B3074"/>
    <w:rsid w:val="003B30B0"/>
    <w:rsid w:val="003B330D"/>
    <w:rsid w:val="003B3311"/>
    <w:rsid w:val="003B33B4"/>
    <w:rsid w:val="003B33F2"/>
    <w:rsid w:val="003B3523"/>
    <w:rsid w:val="003B356D"/>
    <w:rsid w:val="003B3588"/>
    <w:rsid w:val="003B35BF"/>
    <w:rsid w:val="003B3639"/>
    <w:rsid w:val="003B363D"/>
    <w:rsid w:val="003B3701"/>
    <w:rsid w:val="003B3736"/>
    <w:rsid w:val="003B3784"/>
    <w:rsid w:val="003B37A8"/>
    <w:rsid w:val="003B3821"/>
    <w:rsid w:val="003B382F"/>
    <w:rsid w:val="003B391D"/>
    <w:rsid w:val="003B3925"/>
    <w:rsid w:val="003B3A45"/>
    <w:rsid w:val="003B3A6E"/>
    <w:rsid w:val="003B3A91"/>
    <w:rsid w:val="003B3ADB"/>
    <w:rsid w:val="003B3BB3"/>
    <w:rsid w:val="003B3C34"/>
    <w:rsid w:val="003B3D7E"/>
    <w:rsid w:val="003B3ECD"/>
    <w:rsid w:val="003B3F29"/>
    <w:rsid w:val="003B3FF9"/>
    <w:rsid w:val="003B406D"/>
    <w:rsid w:val="003B40F8"/>
    <w:rsid w:val="003B41AE"/>
    <w:rsid w:val="003B437D"/>
    <w:rsid w:val="003B4381"/>
    <w:rsid w:val="003B44E6"/>
    <w:rsid w:val="003B4630"/>
    <w:rsid w:val="003B4691"/>
    <w:rsid w:val="003B4696"/>
    <w:rsid w:val="003B469C"/>
    <w:rsid w:val="003B46C9"/>
    <w:rsid w:val="003B4770"/>
    <w:rsid w:val="003B4774"/>
    <w:rsid w:val="003B48E8"/>
    <w:rsid w:val="003B49A3"/>
    <w:rsid w:val="003B49B7"/>
    <w:rsid w:val="003B49BE"/>
    <w:rsid w:val="003B4A54"/>
    <w:rsid w:val="003B4C05"/>
    <w:rsid w:val="003B4C6E"/>
    <w:rsid w:val="003B4CDE"/>
    <w:rsid w:val="003B4DF4"/>
    <w:rsid w:val="003B4E42"/>
    <w:rsid w:val="003B5014"/>
    <w:rsid w:val="003B50CC"/>
    <w:rsid w:val="003B50D2"/>
    <w:rsid w:val="003B51F9"/>
    <w:rsid w:val="003B53BC"/>
    <w:rsid w:val="003B542D"/>
    <w:rsid w:val="003B549A"/>
    <w:rsid w:val="003B550E"/>
    <w:rsid w:val="003B5513"/>
    <w:rsid w:val="003B56BF"/>
    <w:rsid w:val="003B580E"/>
    <w:rsid w:val="003B58F4"/>
    <w:rsid w:val="003B5998"/>
    <w:rsid w:val="003B5AD2"/>
    <w:rsid w:val="003B5B85"/>
    <w:rsid w:val="003B5BDA"/>
    <w:rsid w:val="003B5CB9"/>
    <w:rsid w:val="003B5CBA"/>
    <w:rsid w:val="003B5EDD"/>
    <w:rsid w:val="003B5FED"/>
    <w:rsid w:val="003B5FF3"/>
    <w:rsid w:val="003B6004"/>
    <w:rsid w:val="003B60F1"/>
    <w:rsid w:val="003B60FD"/>
    <w:rsid w:val="003B6218"/>
    <w:rsid w:val="003B6269"/>
    <w:rsid w:val="003B63CD"/>
    <w:rsid w:val="003B64A2"/>
    <w:rsid w:val="003B650C"/>
    <w:rsid w:val="003B6561"/>
    <w:rsid w:val="003B656E"/>
    <w:rsid w:val="003B65A6"/>
    <w:rsid w:val="003B6605"/>
    <w:rsid w:val="003B666D"/>
    <w:rsid w:val="003B669A"/>
    <w:rsid w:val="003B66C5"/>
    <w:rsid w:val="003B66F4"/>
    <w:rsid w:val="003B67A5"/>
    <w:rsid w:val="003B691C"/>
    <w:rsid w:val="003B69CC"/>
    <w:rsid w:val="003B6B89"/>
    <w:rsid w:val="003B6BD8"/>
    <w:rsid w:val="003B6C19"/>
    <w:rsid w:val="003B6C5B"/>
    <w:rsid w:val="003B6CAC"/>
    <w:rsid w:val="003B6CE7"/>
    <w:rsid w:val="003B6D91"/>
    <w:rsid w:val="003B6DC1"/>
    <w:rsid w:val="003B6EB9"/>
    <w:rsid w:val="003B6ECA"/>
    <w:rsid w:val="003B6F03"/>
    <w:rsid w:val="003B702E"/>
    <w:rsid w:val="003B7037"/>
    <w:rsid w:val="003B70B0"/>
    <w:rsid w:val="003B70DF"/>
    <w:rsid w:val="003B713D"/>
    <w:rsid w:val="003B714F"/>
    <w:rsid w:val="003B71D1"/>
    <w:rsid w:val="003B71D4"/>
    <w:rsid w:val="003B7273"/>
    <w:rsid w:val="003B72BD"/>
    <w:rsid w:val="003B7492"/>
    <w:rsid w:val="003B74B0"/>
    <w:rsid w:val="003B74E6"/>
    <w:rsid w:val="003B752E"/>
    <w:rsid w:val="003B75C8"/>
    <w:rsid w:val="003B770C"/>
    <w:rsid w:val="003B775F"/>
    <w:rsid w:val="003B7833"/>
    <w:rsid w:val="003B783E"/>
    <w:rsid w:val="003B7860"/>
    <w:rsid w:val="003B7971"/>
    <w:rsid w:val="003B79AB"/>
    <w:rsid w:val="003B7A01"/>
    <w:rsid w:val="003B7B2D"/>
    <w:rsid w:val="003B7BC0"/>
    <w:rsid w:val="003B7BE2"/>
    <w:rsid w:val="003B7C57"/>
    <w:rsid w:val="003B7C64"/>
    <w:rsid w:val="003B7D97"/>
    <w:rsid w:val="003B7E6A"/>
    <w:rsid w:val="003B7F81"/>
    <w:rsid w:val="003B7FC9"/>
    <w:rsid w:val="003C0051"/>
    <w:rsid w:val="003C005C"/>
    <w:rsid w:val="003C00C9"/>
    <w:rsid w:val="003C01BB"/>
    <w:rsid w:val="003C01E1"/>
    <w:rsid w:val="003C02B5"/>
    <w:rsid w:val="003C03B6"/>
    <w:rsid w:val="003C03EE"/>
    <w:rsid w:val="003C0492"/>
    <w:rsid w:val="003C0576"/>
    <w:rsid w:val="003C05B6"/>
    <w:rsid w:val="003C065B"/>
    <w:rsid w:val="003C06F0"/>
    <w:rsid w:val="003C06F4"/>
    <w:rsid w:val="003C0708"/>
    <w:rsid w:val="003C07E4"/>
    <w:rsid w:val="003C0888"/>
    <w:rsid w:val="003C08F4"/>
    <w:rsid w:val="003C0904"/>
    <w:rsid w:val="003C09FB"/>
    <w:rsid w:val="003C0A21"/>
    <w:rsid w:val="003C0A6F"/>
    <w:rsid w:val="003C0AAF"/>
    <w:rsid w:val="003C0AE6"/>
    <w:rsid w:val="003C0BF7"/>
    <w:rsid w:val="003C0C62"/>
    <w:rsid w:val="003C0FA9"/>
    <w:rsid w:val="003C104A"/>
    <w:rsid w:val="003C1059"/>
    <w:rsid w:val="003C10E5"/>
    <w:rsid w:val="003C1217"/>
    <w:rsid w:val="003C1388"/>
    <w:rsid w:val="003C14D6"/>
    <w:rsid w:val="003C1532"/>
    <w:rsid w:val="003C1606"/>
    <w:rsid w:val="003C162B"/>
    <w:rsid w:val="003C1685"/>
    <w:rsid w:val="003C16CF"/>
    <w:rsid w:val="003C1767"/>
    <w:rsid w:val="003C1779"/>
    <w:rsid w:val="003C187E"/>
    <w:rsid w:val="003C19AA"/>
    <w:rsid w:val="003C1AC5"/>
    <w:rsid w:val="003C1B7D"/>
    <w:rsid w:val="003C1C9E"/>
    <w:rsid w:val="003C1CA0"/>
    <w:rsid w:val="003C1D0C"/>
    <w:rsid w:val="003C1D26"/>
    <w:rsid w:val="003C1E51"/>
    <w:rsid w:val="003C1EBC"/>
    <w:rsid w:val="003C200E"/>
    <w:rsid w:val="003C2156"/>
    <w:rsid w:val="003C240A"/>
    <w:rsid w:val="003C249C"/>
    <w:rsid w:val="003C2510"/>
    <w:rsid w:val="003C25E8"/>
    <w:rsid w:val="003C2707"/>
    <w:rsid w:val="003C2715"/>
    <w:rsid w:val="003C278A"/>
    <w:rsid w:val="003C29CD"/>
    <w:rsid w:val="003C29FD"/>
    <w:rsid w:val="003C2E02"/>
    <w:rsid w:val="003C2EE2"/>
    <w:rsid w:val="003C2F18"/>
    <w:rsid w:val="003C2F36"/>
    <w:rsid w:val="003C3127"/>
    <w:rsid w:val="003C31A5"/>
    <w:rsid w:val="003C31D3"/>
    <w:rsid w:val="003C3429"/>
    <w:rsid w:val="003C3529"/>
    <w:rsid w:val="003C36D7"/>
    <w:rsid w:val="003C36E3"/>
    <w:rsid w:val="003C3796"/>
    <w:rsid w:val="003C37C6"/>
    <w:rsid w:val="003C37CF"/>
    <w:rsid w:val="003C3843"/>
    <w:rsid w:val="003C3983"/>
    <w:rsid w:val="003C39D6"/>
    <w:rsid w:val="003C3CEF"/>
    <w:rsid w:val="003C3D95"/>
    <w:rsid w:val="003C3DC1"/>
    <w:rsid w:val="003C3E0D"/>
    <w:rsid w:val="003C3E2E"/>
    <w:rsid w:val="003C40A8"/>
    <w:rsid w:val="003C40E4"/>
    <w:rsid w:val="003C411E"/>
    <w:rsid w:val="003C41A1"/>
    <w:rsid w:val="003C433E"/>
    <w:rsid w:val="003C4472"/>
    <w:rsid w:val="003C459C"/>
    <w:rsid w:val="003C45E4"/>
    <w:rsid w:val="003C4810"/>
    <w:rsid w:val="003C48A7"/>
    <w:rsid w:val="003C492B"/>
    <w:rsid w:val="003C4A5B"/>
    <w:rsid w:val="003C4A7A"/>
    <w:rsid w:val="003C4C5E"/>
    <w:rsid w:val="003C4E44"/>
    <w:rsid w:val="003C4EC5"/>
    <w:rsid w:val="003C4F52"/>
    <w:rsid w:val="003C4FAF"/>
    <w:rsid w:val="003C5030"/>
    <w:rsid w:val="003C508D"/>
    <w:rsid w:val="003C508E"/>
    <w:rsid w:val="003C50CF"/>
    <w:rsid w:val="003C50E2"/>
    <w:rsid w:val="003C511D"/>
    <w:rsid w:val="003C5124"/>
    <w:rsid w:val="003C514E"/>
    <w:rsid w:val="003C5221"/>
    <w:rsid w:val="003C52FE"/>
    <w:rsid w:val="003C535C"/>
    <w:rsid w:val="003C538D"/>
    <w:rsid w:val="003C550C"/>
    <w:rsid w:val="003C5519"/>
    <w:rsid w:val="003C57C6"/>
    <w:rsid w:val="003C57F4"/>
    <w:rsid w:val="003C5819"/>
    <w:rsid w:val="003C58D0"/>
    <w:rsid w:val="003C5963"/>
    <w:rsid w:val="003C5A6E"/>
    <w:rsid w:val="003C5BA8"/>
    <w:rsid w:val="003C5CF5"/>
    <w:rsid w:val="003C5E17"/>
    <w:rsid w:val="003C5E7A"/>
    <w:rsid w:val="003C5E9E"/>
    <w:rsid w:val="003C5EEB"/>
    <w:rsid w:val="003C5F76"/>
    <w:rsid w:val="003C6001"/>
    <w:rsid w:val="003C6011"/>
    <w:rsid w:val="003C60D0"/>
    <w:rsid w:val="003C60EC"/>
    <w:rsid w:val="003C617A"/>
    <w:rsid w:val="003C63C2"/>
    <w:rsid w:val="003C6464"/>
    <w:rsid w:val="003C67F6"/>
    <w:rsid w:val="003C696A"/>
    <w:rsid w:val="003C6985"/>
    <w:rsid w:val="003C69A5"/>
    <w:rsid w:val="003C6A0C"/>
    <w:rsid w:val="003C6AC2"/>
    <w:rsid w:val="003C6CE7"/>
    <w:rsid w:val="003C6D17"/>
    <w:rsid w:val="003C6D33"/>
    <w:rsid w:val="003C6D7B"/>
    <w:rsid w:val="003C6E82"/>
    <w:rsid w:val="003C6E89"/>
    <w:rsid w:val="003C6EFB"/>
    <w:rsid w:val="003C6F5B"/>
    <w:rsid w:val="003C6F9D"/>
    <w:rsid w:val="003C70B9"/>
    <w:rsid w:val="003C7188"/>
    <w:rsid w:val="003C71CB"/>
    <w:rsid w:val="003C7270"/>
    <w:rsid w:val="003C733D"/>
    <w:rsid w:val="003C73C1"/>
    <w:rsid w:val="003C73E8"/>
    <w:rsid w:val="003C75BA"/>
    <w:rsid w:val="003C775D"/>
    <w:rsid w:val="003C7764"/>
    <w:rsid w:val="003C7797"/>
    <w:rsid w:val="003C7829"/>
    <w:rsid w:val="003C7873"/>
    <w:rsid w:val="003C7937"/>
    <w:rsid w:val="003C7A1F"/>
    <w:rsid w:val="003C7C24"/>
    <w:rsid w:val="003C7C99"/>
    <w:rsid w:val="003C7D0C"/>
    <w:rsid w:val="003C7D14"/>
    <w:rsid w:val="003C7E6D"/>
    <w:rsid w:val="003D0061"/>
    <w:rsid w:val="003D0076"/>
    <w:rsid w:val="003D0131"/>
    <w:rsid w:val="003D0176"/>
    <w:rsid w:val="003D0199"/>
    <w:rsid w:val="003D01CD"/>
    <w:rsid w:val="003D024C"/>
    <w:rsid w:val="003D0284"/>
    <w:rsid w:val="003D02A8"/>
    <w:rsid w:val="003D0377"/>
    <w:rsid w:val="003D03A6"/>
    <w:rsid w:val="003D04ED"/>
    <w:rsid w:val="003D0571"/>
    <w:rsid w:val="003D05A7"/>
    <w:rsid w:val="003D07A7"/>
    <w:rsid w:val="003D08FC"/>
    <w:rsid w:val="003D090F"/>
    <w:rsid w:val="003D098A"/>
    <w:rsid w:val="003D09A5"/>
    <w:rsid w:val="003D09BA"/>
    <w:rsid w:val="003D09BE"/>
    <w:rsid w:val="003D0BA6"/>
    <w:rsid w:val="003D0BE8"/>
    <w:rsid w:val="003D0C79"/>
    <w:rsid w:val="003D0C85"/>
    <w:rsid w:val="003D0D65"/>
    <w:rsid w:val="003D0E2D"/>
    <w:rsid w:val="003D0E65"/>
    <w:rsid w:val="003D0F02"/>
    <w:rsid w:val="003D113B"/>
    <w:rsid w:val="003D1180"/>
    <w:rsid w:val="003D1186"/>
    <w:rsid w:val="003D11B9"/>
    <w:rsid w:val="003D1202"/>
    <w:rsid w:val="003D1225"/>
    <w:rsid w:val="003D1397"/>
    <w:rsid w:val="003D1484"/>
    <w:rsid w:val="003D14FB"/>
    <w:rsid w:val="003D1535"/>
    <w:rsid w:val="003D156B"/>
    <w:rsid w:val="003D162E"/>
    <w:rsid w:val="003D16EA"/>
    <w:rsid w:val="003D1793"/>
    <w:rsid w:val="003D17FF"/>
    <w:rsid w:val="003D1821"/>
    <w:rsid w:val="003D193B"/>
    <w:rsid w:val="003D1A70"/>
    <w:rsid w:val="003D1ABE"/>
    <w:rsid w:val="003D1ACD"/>
    <w:rsid w:val="003D1B58"/>
    <w:rsid w:val="003D1B78"/>
    <w:rsid w:val="003D1D42"/>
    <w:rsid w:val="003D1E60"/>
    <w:rsid w:val="003D1F04"/>
    <w:rsid w:val="003D1F27"/>
    <w:rsid w:val="003D204B"/>
    <w:rsid w:val="003D2085"/>
    <w:rsid w:val="003D20BE"/>
    <w:rsid w:val="003D2160"/>
    <w:rsid w:val="003D2209"/>
    <w:rsid w:val="003D22D3"/>
    <w:rsid w:val="003D245E"/>
    <w:rsid w:val="003D24C0"/>
    <w:rsid w:val="003D25B0"/>
    <w:rsid w:val="003D2638"/>
    <w:rsid w:val="003D26A0"/>
    <w:rsid w:val="003D26E9"/>
    <w:rsid w:val="003D2913"/>
    <w:rsid w:val="003D2B76"/>
    <w:rsid w:val="003D2B7C"/>
    <w:rsid w:val="003D2BBA"/>
    <w:rsid w:val="003D2CA8"/>
    <w:rsid w:val="003D2CDA"/>
    <w:rsid w:val="003D2D12"/>
    <w:rsid w:val="003D2D72"/>
    <w:rsid w:val="003D2ECD"/>
    <w:rsid w:val="003D2FBE"/>
    <w:rsid w:val="003D3136"/>
    <w:rsid w:val="003D31B8"/>
    <w:rsid w:val="003D3271"/>
    <w:rsid w:val="003D3276"/>
    <w:rsid w:val="003D33DA"/>
    <w:rsid w:val="003D346C"/>
    <w:rsid w:val="003D347B"/>
    <w:rsid w:val="003D36F5"/>
    <w:rsid w:val="003D370A"/>
    <w:rsid w:val="003D371A"/>
    <w:rsid w:val="003D376C"/>
    <w:rsid w:val="003D378F"/>
    <w:rsid w:val="003D385A"/>
    <w:rsid w:val="003D38E8"/>
    <w:rsid w:val="003D39B0"/>
    <w:rsid w:val="003D39C6"/>
    <w:rsid w:val="003D3A12"/>
    <w:rsid w:val="003D3BA9"/>
    <w:rsid w:val="003D3D8C"/>
    <w:rsid w:val="003D3EB2"/>
    <w:rsid w:val="003D3EF0"/>
    <w:rsid w:val="003D3F17"/>
    <w:rsid w:val="003D3F3C"/>
    <w:rsid w:val="003D3F40"/>
    <w:rsid w:val="003D3F9D"/>
    <w:rsid w:val="003D3FF1"/>
    <w:rsid w:val="003D40D0"/>
    <w:rsid w:val="003D41BA"/>
    <w:rsid w:val="003D4207"/>
    <w:rsid w:val="003D446E"/>
    <w:rsid w:val="003D466C"/>
    <w:rsid w:val="003D469B"/>
    <w:rsid w:val="003D46B2"/>
    <w:rsid w:val="003D4724"/>
    <w:rsid w:val="003D4755"/>
    <w:rsid w:val="003D479B"/>
    <w:rsid w:val="003D47A1"/>
    <w:rsid w:val="003D4837"/>
    <w:rsid w:val="003D48DC"/>
    <w:rsid w:val="003D495B"/>
    <w:rsid w:val="003D49D1"/>
    <w:rsid w:val="003D49D9"/>
    <w:rsid w:val="003D4B2C"/>
    <w:rsid w:val="003D4B6D"/>
    <w:rsid w:val="003D4BFA"/>
    <w:rsid w:val="003D4C69"/>
    <w:rsid w:val="003D4C82"/>
    <w:rsid w:val="003D4CB3"/>
    <w:rsid w:val="003D4CD9"/>
    <w:rsid w:val="003D4DA9"/>
    <w:rsid w:val="003D4DAA"/>
    <w:rsid w:val="003D4E8A"/>
    <w:rsid w:val="003D4ECD"/>
    <w:rsid w:val="003D4F40"/>
    <w:rsid w:val="003D5083"/>
    <w:rsid w:val="003D5347"/>
    <w:rsid w:val="003D53CC"/>
    <w:rsid w:val="003D543A"/>
    <w:rsid w:val="003D5524"/>
    <w:rsid w:val="003D5537"/>
    <w:rsid w:val="003D5543"/>
    <w:rsid w:val="003D566F"/>
    <w:rsid w:val="003D56F7"/>
    <w:rsid w:val="003D5745"/>
    <w:rsid w:val="003D593E"/>
    <w:rsid w:val="003D595E"/>
    <w:rsid w:val="003D596E"/>
    <w:rsid w:val="003D5A4D"/>
    <w:rsid w:val="003D5A85"/>
    <w:rsid w:val="003D5AA8"/>
    <w:rsid w:val="003D5B6E"/>
    <w:rsid w:val="003D5B96"/>
    <w:rsid w:val="003D5D30"/>
    <w:rsid w:val="003D5D3B"/>
    <w:rsid w:val="003D5D75"/>
    <w:rsid w:val="003D5F5B"/>
    <w:rsid w:val="003D5FD3"/>
    <w:rsid w:val="003D5FFA"/>
    <w:rsid w:val="003D6063"/>
    <w:rsid w:val="003D607E"/>
    <w:rsid w:val="003D648E"/>
    <w:rsid w:val="003D659C"/>
    <w:rsid w:val="003D65B3"/>
    <w:rsid w:val="003D6641"/>
    <w:rsid w:val="003D669A"/>
    <w:rsid w:val="003D66F7"/>
    <w:rsid w:val="003D67BE"/>
    <w:rsid w:val="003D67ED"/>
    <w:rsid w:val="003D68B2"/>
    <w:rsid w:val="003D69C3"/>
    <w:rsid w:val="003D6AB9"/>
    <w:rsid w:val="003D6B05"/>
    <w:rsid w:val="003D6B77"/>
    <w:rsid w:val="003D6BB3"/>
    <w:rsid w:val="003D6C1F"/>
    <w:rsid w:val="003D6C4C"/>
    <w:rsid w:val="003D6DCA"/>
    <w:rsid w:val="003D6DEA"/>
    <w:rsid w:val="003D6E79"/>
    <w:rsid w:val="003D6EC4"/>
    <w:rsid w:val="003D7150"/>
    <w:rsid w:val="003D72E3"/>
    <w:rsid w:val="003D7442"/>
    <w:rsid w:val="003D7487"/>
    <w:rsid w:val="003D75A0"/>
    <w:rsid w:val="003D75BA"/>
    <w:rsid w:val="003D7624"/>
    <w:rsid w:val="003D76EB"/>
    <w:rsid w:val="003D772D"/>
    <w:rsid w:val="003D784D"/>
    <w:rsid w:val="003D7A3A"/>
    <w:rsid w:val="003D7A46"/>
    <w:rsid w:val="003D7AD1"/>
    <w:rsid w:val="003D7AE8"/>
    <w:rsid w:val="003D7B0E"/>
    <w:rsid w:val="003D7CE0"/>
    <w:rsid w:val="003D7E39"/>
    <w:rsid w:val="003D7E6B"/>
    <w:rsid w:val="003D7E80"/>
    <w:rsid w:val="003D7EFF"/>
    <w:rsid w:val="003D7F6F"/>
    <w:rsid w:val="003D7FCE"/>
    <w:rsid w:val="003E0000"/>
    <w:rsid w:val="003E00F5"/>
    <w:rsid w:val="003E0244"/>
    <w:rsid w:val="003E0317"/>
    <w:rsid w:val="003E0385"/>
    <w:rsid w:val="003E0406"/>
    <w:rsid w:val="003E05A7"/>
    <w:rsid w:val="003E0701"/>
    <w:rsid w:val="003E070A"/>
    <w:rsid w:val="003E0761"/>
    <w:rsid w:val="003E081F"/>
    <w:rsid w:val="003E0D5A"/>
    <w:rsid w:val="003E0E2F"/>
    <w:rsid w:val="003E0E82"/>
    <w:rsid w:val="003E0E8A"/>
    <w:rsid w:val="003E0EDD"/>
    <w:rsid w:val="003E0FCA"/>
    <w:rsid w:val="003E0FE4"/>
    <w:rsid w:val="003E102E"/>
    <w:rsid w:val="003E1033"/>
    <w:rsid w:val="003E10C2"/>
    <w:rsid w:val="003E11DC"/>
    <w:rsid w:val="003E13F1"/>
    <w:rsid w:val="003E14BB"/>
    <w:rsid w:val="003E14D4"/>
    <w:rsid w:val="003E15BF"/>
    <w:rsid w:val="003E15D3"/>
    <w:rsid w:val="003E1ADF"/>
    <w:rsid w:val="003E1AF5"/>
    <w:rsid w:val="003E1AFD"/>
    <w:rsid w:val="003E1B87"/>
    <w:rsid w:val="003E1B94"/>
    <w:rsid w:val="003E1E37"/>
    <w:rsid w:val="003E1F7E"/>
    <w:rsid w:val="003E20C1"/>
    <w:rsid w:val="003E21CA"/>
    <w:rsid w:val="003E21CB"/>
    <w:rsid w:val="003E23DE"/>
    <w:rsid w:val="003E263D"/>
    <w:rsid w:val="003E26A8"/>
    <w:rsid w:val="003E2737"/>
    <w:rsid w:val="003E277B"/>
    <w:rsid w:val="003E29B3"/>
    <w:rsid w:val="003E2A37"/>
    <w:rsid w:val="003E2B2D"/>
    <w:rsid w:val="003E2B4A"/>
    <w:rsid w:val="003E2B75"/>
    <w:rsid w:val="003E2C5E"/>
    <w:rsid w:val="003E2E08"/>
    <w:rsid w:val="003E2FAE"/>
    <w:rsid w:val="003E2FF0"/>
    <w:rsid w:val="003E30BD"/>
    <w:rsid w:val="003E30C3"/>
    <w:rsid w:val="003E3124"/>
    <w:rsid w:val="003E323F"/>
    <w:rsid w:val="003E32FE"/>
    <w:rsid w:val="003E330D"/>
    <w:rsid w:val="003E35E9"/>
    <w:rsid w:val="003E3668"/>
    <w:rsid w:val="003E3719"/>
    <w:rsid w:val="003E371D"/>
    <w:rsid w:val="003E3828"/>
    <w:rsid w:val="003E389B"/>
    <w:rsid w:val="003E3984"/>
    <w:rsid w:val="003E3A6E"/>
    <w:rsid w:val="003E3A8F"/>
    <w:rsid w:val="003E3B40"/>
    <w:rsid w:val="003E3BA1"/>
    <w:rsid w:val="003E3CE4"/>
    <w:rsid w:val="003E3DAA"/>
    <w:rsid w:val="003E3E9D"/>
    <w:rsid w:val="003E3F71"/>
    <w:rsid w:val="003E4146"/>
    <w:rsid w:val="003E41D4"/>
    <w:rsid w:val="003E4227"/>
    <w:rsid w:val="003E422A"/>
    <w:rsid w:val="003E4283"/>
    <w:rsid w:val="003E4290"/>
    <w:rsid w:val="003E442D"/>
    <w:rsid w:val="003E45CF"/>
    <w:rsid w:val="003E45D3"/>
    <w:rsid w:val="003E46F7"/>
    <w:rsid w:val="003E4796"/>
    <w:rsid w:val="003E4884"/>
    <w:rsid w:val="003E489A"/>
    <w:rsid w:val="003E4BDD"/>
    <w:rsid w:val="003E4BF5"/>
    <w:rsid w:val="003E4C8E"/>
    <w:rsid w:val="003E4C9F"/>
    <w:rsid w:val="003E4D3A"/>
    <w:rsid w:val="003E4E4D"/>
    <w:rsid w:val="003E4FFA"/>
    <w:rsid w:val="003E5011"/>
    <w:rsid w:val="003E50E8"/>
    <w:rsid w:val="003E51E4"/>
    <w:rsid w:val="003E523F"/>
    <w:rsid w:val="003E5485"/>
    <w:rsid w:val="003E5523"/>
    <w:rsid w:val="003E558A"/>
    <w:rsid w:val="003E55EC"/>
    <w:rsid w:val="003E5695"/>
    <w:rsid w:val="003E56E8"/>
    <w:rsid w:val="003E5775"/>
    <w:rsid w:val="003E585D"/>
    <w:rsid w:val="003E5908"/>
    <w:rsid w:val="003E59AA"/>
    <w:rsid w:val="003E59D4"/>
    <w:rsid w:val="003E5A3E"/>
    <w:rsid w:val="003E5B94"/>
    <w:rsid w:val="003E5D60"/>
    <w:rsid w:val="003E5D76"/>
    <w:rsid w:val="003E5DF1"/>
    <w:rsid w:val="003E5E4A"/>
    <w:rsid w:val="003E5F9A"/>
    <w:rsid w:val="003E5F9E"/>
    <w:rsid w:val="003E6364"/>
    <w:rsid w:val="003E6391"/>
    <w:rsid w:val="003E6549"/>
    <w:rsid w:val="003E65AA"/>
    <w:rsid w:val="003E66F9"/>
    <w:rsid w:val="003E69D4"/>
    <w:rsid w:val="003E6A2E"/>
    <w:rsid w:val="003E6B19"/>
    <w:rsid w:val="003E6C03"/>
    <w:rsid w:val="003E6E67"/>
    <w:rsid w:val="003E6ECC"/>
    <w:rsid w:val="003E6F64"/>
    <w:rsid w:val="003E6FB6"/>
    <w:rsid w:val="003E70C1"/>
    <w:rsid w:val="003E7111"/>
    <w:rsid w:val="003E718C"/>
    <w:rsid w:val="003E71D1"/>
    <w:rsid w:val="003E71EA"/>
    <w:rsid w:val="003E721B"/>
    <w:rsid w:val="003E7321"/>
    <w:rsid w:val="003E7351"/>
    <w:rsid w:val="003E73FB"/>
    <w:rsid w:val="003E7444"/>
    <w:rsid w:val="003E7764"/>
    <w:rsid w:val="003E779B"/>
    <w:rsid w:val="003E77B1"/>
    <w:rsid w:val="003E7888"/>
    <w:rsid w:val="003E78AE"/>
    <w:rsid w:val="003E7942"/>
    <w:rsid w:val="003E7B1F"/>
    <w:rsid w:val="003E7D2D"/>
    <w:rsid w:val="003E7E97"/>
    <w:rsid w:val="003E7F91"/>
    <w:rsid w:val="003EC4C4"/>
    <w:rsid w:val="003F001E"/>
    <w:rsid w:val="003F009E"/>
    <w:rsid w:val="003F0118"/>
    <w:rsid w:val="003F013F"/>
    <w:rsid w:val="003F0199"/>
    <w:rsid w:val="003F021F"/>
    <w:rsid w:val="003F026C"/>
    <w:rsid w:val="003F0373"/>
    <w:rsid w:val="003F0457"/>
    <w:rsid w:val="003F04A1"/>
    <w:rsid w:val="003F053E"/>
    <w:rsid w:val="003F0540"/>
    <w:rsid w:val="003F062C"/>
    <w:rsid w:val="003F06A7"/>
    <w:rsid w:val="003F0852"/>
    <w:rsid w:val="003F085F"/>
    <w:rsid w:val="003F0939"/>
    <w:rsid w:val="003F0A01"/>
    <w:rsid w:val="003F0C2E"/>
    <w:rsid w:val="003F0C8B"/>
    <w:rsid w:val="003F0F71"/>
    <w:rsid w:val="003F0FC1"/>
    <w:rsid w:val="003F1001"/>
    <w:rsid w:val="003F1023"/>
    <w:rsid w:val="003F1092"/>
    <w:rsid w:val="003F10F3"/>
    <w:rsid w:val="003F1365"/>
    <w:rsid w:val="003F1486"/>
    <w:rsid w:val="003F14D3"/>
    <w:rsid w:val="003F15B8"/>
    <w:rsid w:val="003F16EF"/>
    <w:rsid w:val="003F1840"/>
    <w:rsid w:val="003F1861"/>
    <w:rsid w:val="003F18E7"/>
    <w:rsid w:val="003F1907"/>
    <w:rsid w:val="003F19E7"/>
    <w:rsid w:val="003F1A09"/>
    <w:rsid w:val="003F1A2E"/>
    <w:rsid w:val="003F1B1D"/>
    <w:rsid w:val="003F1B99"/>
    <w:rsid w:val="003F1C68"/>
    <w:rsid w:val="003F1D90"/>
    <w:rsid w:val="003F1DF0"/>
    <w:rsid w:val="003F1FF6"/>
    <w:rsid w:val="003F2000"/>
    <w:rsid w:val="003F20D3"/>
    <w:rsid w:val="003F2116"/>
    <w:rsid w:val="003F2340"/>
    <w:rsid w:val="003F23B0"/>
    <w:rsid w:val="003F2409"/>
    <w:rsid w:val="003F2549"/>
    <w:rsid w:val="003F2652"/>
    <w:rsid w:val="003F26DD"/>
    <w:rsid w:val="003F27C1"/>
    <w:rsid w:val="003F27FA"/>
    <w:rsid w:val="003F28CE"/>
    <w:rsid w:val="003F2A4B"/>
    <w:rsid w:val="003F2C37"/>
    <w:rsid w:val="003F2CF7"/>
    <w:rsid w:val="003F2D31"/>
    <w:rsid w:val="003F2E06"/>
    <w:rsid w:val="003F2E08"/>
    <w:rsid w:val="003F2E69"/>
    <w:rsid w:val="003F2EF3"/>
    <w:rsid w:val="003F311C"/>
    <w:rsid w:val="003F3148"/>
    <w:rsid w:val="003F32C9"/>
    <w:rsid w:val="003F32CB"/>
    <w:rsid w:val="003F32FD"/>
    <w:rsid w:val="003F332E"/>
    <w:rsid w:val="003F3383"/>
    <w:rsid w:val="003F343D"/>
    <w:rsid w:val="003F35CF"/>
    <w:rsid w:val="003F3695"/>
    <w:rsid w:val="003F36C1"/>
    <w:rsid w:val="003F37E9"/>
    <w:rsid w:val="003F3AFA"/>
    <w:rsid w:val="003F3BF8"/>
    <w:rsid w:val="003F3C02"/>
    <w:rsid w:val="003F3C0C"/>
    <w:rsid w:val="003F3C95"/>
    <w:rsid w:val="003F3CA1"/>
    <w:rsid w:val="003F3D7A"/>
    <w:rsid w:val="003F3DC6"/>
    <w:rsid w:val="003F3F00"/>
    <w:rsid w:val="003F4018"/>
    <w:rsid w:val="003F4028"/>
    <w:rsid w:val="003F405B"/>
    <w:rsid w:val="003F40A6"/>
    <w:rsid w:val="003F411B"/>
    <w:rsid w:val="003F4161"/>
    <w:rsid w:val="003F4216"/>
    <w:rsid w:val="003F4235"/>
    <w:rsid w:val="003F43AE"/>
    <w:rsid w:val="003F43C8"/>
    <w:rsid w:val="003F43D6"/>
    <w:rsid w:val="003F4402"/>
    <w:rsid w:val="003F4421"/>
    <w:rsid w:val="003F470D"/>
    <w:rsid w:val="003F4743"/>
    <w:rsid w:val="003F4840"/>
    <w:rsid w:val="003F48D8"/>
    <w:rsid w:val="003F49DC"/>
    <w:rsid w:val="003F4A35"/>
    <w:rsid w:val="003F4B03"/>
    <w:rsid w:val="003F4C82"/>
    <w:rsid w:val="003F4CF5"/>
    <w:rsid w:val="003F4D1C"/>
    <w:rsid w:val="003F4D50"/>
    <w:rsid w:val="003F4D94"/>
    <w:rsid w:val="003F4DAF"/>
    <w:rsid w:val="003F4DB4"/>
    <w:rsid w:val="003F4E24"/>
    <w:rsid w:val="003F4E70"/>
    <w:rsid w:val="003F4E9D"/>
    <w:rsid w:val="003F4EF8"/>
    <w:rsid w:val="003F4F44"/>
    <w:rsid w:val="003F4FCD"/>
    <w:rsid w:val="003F4FF9"/>
    <w:rsid w:val="003F501F"/>
    <w:rsid w:val="003F5038"/>
    <w:rsid w:val="003F50DF"/>
    <w:rsid w:val="003F5189"/>
    <w:rsid w:val="003F5469"/>
    <w:rsid w:val="003F5577"/>
    <w:rsid w:val="003F55EC"/>
    <w:rsid w:val="003F5643"/>
    <w:rsid w:val="003F56C0"/>
    <w:rsid w:val="003F57FA"/>
    <w:rsid w:val="003F58F5"/>
    <w:rsid w:val="003F5922"/>
    <w:rsid w:val="003F593F"/>
    <w:rsid w:val="003F5A09"/>
    <w:rsid w:val="003F5A38"/>
    <w:rsid w:val="003F5AC6"/>
    <w:rsid w:val="003F5B55"/>
    <w:rsid w:val="003F5BDC"/>
    <w:rsid w:val="003F5BF7"/>
    <w:rsid w:val="003F5CB4"/>
    <w:rsid w:val="003F5E94"/>
    <w:rsid w:val="003F601E"/>
    <w:rsid w:val="003F617A"/>
    <w:rsid w:val="003F622D"/>
    <w:rsid w:val="003F624C"/>
    <w:rsid w:val="003F6287"/>
    <w:rsid w:val="003F629B"/>
    <w:rsid w:val="003F63D1"/>
    <w:rsid w:val="003F6474"/>
    <w:rsid w:val="003F6513"/>
    <w:rsid w:val="003F65FB"/>
    <w:rsid w:val="003F6658"/>
    <w:rsid w:val="003F665D"/>
    <w:rsid w:val="003F6857"/>
    <w:rsid w:val="003F6900"/>
    <w:rsid w:val="003F6911"/>
    <w:rsid w:val="003F6AE3"/>
    <w:rsid w:val="003F6BEA"/>
    <w:rsid w:val="003F6BFC"/>
    <w:rsid w:val="003F6C51"/>
    <w:rsid w:val="003F6CA8"/>
    <w:rsid w:val="003F6D3F"/>
    <w:rsid w:val="003F6DB2"/>
    <w:rsid w:val="003F6E36"/>
    <w:rsid w:val="003F6E59"/>
    <w:rsid w:val="003F6EAC"/>
    <w:rsid w:val="003F6EB9"/>
    <w:rsid w:val="003F6EFE"/>
    <w:rsid w:val="003F6F28"/>
    <w:rsid w:val="003F7117"/>
    <w:rsid w:val="003F715C"/>
    <w:rsid w:val="003F716B"/>
    <w:rsid w:val="003F719C"/>
    <w:rsid w:val="003F71F1"/>
    <w:rsid w:val="003F7214"/>
    <w:rsid w:val="003F72FC"/>
    <w:rsid w:val="003F7357"/>
    <w:rsid w:val="003F736A"/>
    <w:rsid w:val="003F737E"/>
    <w:rsid w:val="003F73E3"/>
    <w:rsid w:val="003F7481"/>
    <w:rsid w:val="003F7512"/>
    <w:rsid w:val="003F7535"/>
    <w:rsid w:val="003F762F"/>
    <w:rsid w:val="003F76D6"/>
    <w:rsid w:val="003F7757"/>
    <w:rsid w:val="003F7791"/>
    <w:rsid w:val="003F7907"/>
    <w:rsid w:val="003F7973"/>
    <w:rsid w:val="003F7AF4"/>
    <w:rsid w:val="003F7C35"/>
    <w:rsid w:val="003F7CCC"/>
    <w:rsid w:val="003F7CD5"/>
    <w:rsid w:val="003F7D19"/>
    <w:rsid w:val="003F7D67"/>
    <w:rsid w:val="003F7D74"/>
    <w:rsid w:val="003F7D7E"/>
    <w:rsid w:val="003F7DB7"/>
    <w:rsid w:val="003F7DF6"/>
    <w:rsid w:val="003F7E06"/>
    <w:rsid w:val="003F7E1A"/>
    <w:rsid w:val="003F7F05"/>
    <w:rsid w:val="0040003D"/>
    <w:rsid w:val="00400051"/>
    <w:rsid w:val="0040005B"/>
    <w:rsid w:val="00400080"/>
    <w:rsid w:val="004002B6"/>
    <w:rsid w:val="00400382"/>
    <w:rsid w:val="0040045B"/>
    <w:rsid w:val="0040051E"/>
    <w:rsid w:val="0040056A"/>
    <w:rsid w:val="0040072B"/>
    <w:rsid w:val="00400775"/>
    <w:rsid w:val="0040078D"/>
    <w:rsid w:val="0040079F"/>
    <w:rsid w:val="00400891"/>
    <w:rsid w:val="00400901"/>
    <w:rsid w:val="00400922"/>
    <w:rsid w:val="0040092E"/>
    <w:rsid w:val="00400967"/>
    <w:rsid w:val="00400992"/>
    <w:rsid w:val="004009A9"/>
    <w:rsid w:val="004009C0"/>
    <w:rsid w:val="00400B15"/>
    <w:rsid w:val="00400B72"/>
    <w:rsid w:val="00400B8C"/>
    <w:rsid w:val="00400D58"/>
    <w:rsid w:val="00400E6E"/>
    <w:rsid w:val="00400F17"/>
    <w:rsid w:val="00401029"/>
    <w:rsid w:val="0040108F"/>
    <w:rsid w:val="004010BA"/>
    <w:rsid w:val="004010EA"/>
    <w:rsid w:val="00401229"/>
    <w:rsid w:val="004012B0"/>
    <w:rsid w:val="004012F7"/>
    <w:rsid w:val="00401362"/>
    <w:rsid w:val="0040159A"/>
    <w:rsid w:val="004015E6"/>
    <w:rsid w:val="00401681"/>
    <w:rsid w:val="0040172C"/>
    <w:rsid w:val="00401839"/>
    <w:rsid w:val="0040198D"/>
    <w:rsid w:val="004019D5"/>
    <w:rsid w:val="00401A4C"/>
    <w:rsid w:val="00401AA3"/>
    <w:rsid w:val="00401C08"/>
    <w:rsid w:val="00401C2B"/>
    <w:rsid w:val="00401C64"/>
    <w:rsid w:val="00401D5D"/>
    <w:rsid w:val="00402038"/>
    <w:rsid w:val="004020F1"/>
    <w:rsid w:val="00402139"/>
    <w:rsid w:val="00402145"/>
    <w:rsid w:val="0040215C"/>
    <w:rsid w:val="004022C4"/>
    <w:rsid w:val="004023B7"/>
    <w:rsid w:val="0040259B"/>
    <w:rsid w:val="004026BA"/>
    <w:rsid w:val="004026E1"/>
    <w:rsid w:val="004027F5"/>
    <w:rsid w:val="00402813"/>
    <w:rsid w:val="004028C6"/>
    <w:rsid w:val="00402947"/>
    <w:rsid w:val="00402973"/>
    <w:rsid w:val="00402B74"/>
    <w:rsid w:val="00402B98"/>
    <w:rsid w:val="00402C55"/>
    <w:rsid w:val="00402C82"/>
    <w:rsid w:val="00402D56"/>
    <w:rsid w:val="00402D69"/>
    <w:rsid w:val="00402DE7"/>
    <w:rsid w:val="00402E22"/>
    <w:rsid w:val="00402E31"/>
    <w:rsid w:val="00402FB8"/>
    <w:rsid w:val="00402FDC"/>
    <w:rsid w:val="00403021"/>
    <w:rsid w:val="004033CB"/>
    <w:rsid w:val="00403437"/>
    <w:rsid w:val="00403480"/>
    <w:rsid w:val="00403515"/>
    <w:rsid w:val="0040351D"/>
    <w:rsid w:val="00403583"/>
    <w:rsid w:val="00403887"/>
    <w:rsid w:val="004038CC"/>
    <w:rsid w:val="004038DB"/>
    <w:rsid w:val="00403A02"/>
    <w:rsid w:val="00403AF0"/>
    <w:rsid w:val="00403B75"/>
    <w:rsid w:val="00403B77"/>
    <w:rsid w:val="00403BA8"/>
    <w:rsid w:val="00403C67"/>
    <w:rsid w:val="00403C8E"/>
    <w:rsid w:val="00403DE1"/>
    <w:rsid w:val="00403E09"/>
    <w:rsid w:val="00403FB7"/>
    <w:rsid w:val="00403FC2"/>
    <w:rsid w:val="00404058"/>
    <w:rsid w:val="004040E2"/>
    <w:rsid w:val="00404106"/>
    <w:rsid w:val="0040412A"/>
    <w:rsid w:val="004041D2"/>
    <w:rsid w:val="004042B5"/>
    <w:rsid w:val="004043D4"/>
    <w:rsid w:val="00404430"/>
    <w:rsid w:val="00404469"/>
    <w:rsid w:val="00404512"/>
    <w:rsid w:val="0040474B"/>
    <w:rsid w:val="004047A6"/>
    <w:rsid w:val="00404820"/>
    <w:rsid w:val="004048DD"/>
    <w:rsid w:val="00404AE2"/>
    <w:rsid w:val="00404B0E"/>
    <w:rsid w:val="00404B5B"/>
    <w:rsid w:val="00404C6A"/>
    <w:rsid w:val="00404D4D"/>
    <w:rsid w:val="00404D60"/>
    <w:rsid w:val="00404E2F"/>
    <w:rsid w:val="00404F8C"/>
    <w:rsid w:val="00405029"/>
    <w:rsid w:val="0040506D"/>
    <w:rsid w:val="0040507B"/>
    <w:rsid w:val="00405086"/>
    <w:rsid w:val="004050CC"/>
    <w:rsid w:val="00405181"/>
    <w:rsid w:val="004055B8"/>
    <w:rsid w:val="00405698"/>
    <w:rsid w:val="004057A0"/>
    <w:rsid w:val="004057EF"/>
    <w:rsid w:val="00405810"/>
    <w:rsid w:val="00405843"/>
    <w:rsid w:val="004058EB"/>
    <w:rsid w:val="004059B7"/>
    <w:rsid w:val="00405A4B"/>
    <w:rsid w:val="00405A91"/>
    <w:rsid w:val="00405AE2"/>
    <w:rsid w:val="00405C2E"/>
    <w:rsid w:val="00405D69"/>
    <w:rsid w:val="00405DA3"/>
    <w:rsid w:val="00406002"/>
    <w:rsid w:val="00406113"/>
    <w:rsid w:val="00406240"/>
    <w:rsid w:val="00406252"/>
    <w:rsid w:val="00406336"/>
    <w:rsid w:val="00406340"/>
    <w:rsid w:val="004064B8"/>
    <w:rsid w:val="004064F4"/>
    <w:rsid w:val="004065FD"/>
    <w:rsid w:val="0040662E"/>
    <w:rsid w:val="004067CB"/>
    <w:rsid w:val="0040694C"/>
    <w:rsid w:val="004069AF"/>
    <w:rsid w:val="00406ACE"/>
    <w:rsid w:val="00406AF2"/>
    <w:rsid w:val="00406B83"/>
    <w:rsid w:val="00406BD6"/>
    <w:rsid w:val="00406BDA"/>
    <w:rsid w:val="00406DFA"/>
    <w:rsid w:val="00406E09"/>
    <w:rsid w:val="00406F67"/>
    <w:rsid w:val="004070DA"/>
    <w:rsid w:val="004071F5"/>
    <w:rsid w:val="00407386"/>
    <w:rsid w:val="00407439"/>
    <w:rsid w:val="00407562"/>
    <w:rsid w:val="004075AF"/>
    <w:rsid w:val="0040761C"/>
    <w:rsid w:val="00407628"/>
    <w:rsid w:val="0040769C"/>
    <w:rsid w:val="004076A1"/>
    <w:rsid w:val="004076FF"/>
    <w:rsid w:val="00407734"/>
    <w:rsid w:val="004077A3"/>
    <w:rsid w:val="0040786C"/>
    <w:rsid w:val="004079DB"/>
    <w:rsid w:val="00407ADF"/>
    <w:rsid w:val="00407CEA"/>
    <w:rsid w:val="00407CFA"/>
    <w:rsid w:val="00407D6B"/>
    <w:rsid w:val="00407E32"/>
    <w:rsid w:val="00407F2F"/>
    <w:rsid w:val="00407F30"/>
    <w:rsid w:val="00410041"/>
    <w:rsid w:val="0041011E"/>
    <w:rsid w:val="0041012A"/>
    <w:rsid w:val="0041035E"/>
    <w:rsid w:val="00410373"/>
    <w:rsid w:val="0041051B"/>
    <w:rsid w:val="0041053A"/>
    <w:rsid w:val="00410595"/>
    <w:rsid w:val="004105B7"/>
    <w:rsid w:val="00410635"/>
    <w:rsid w:val="0041077D"/>
    <w:rsid w:val="0041082F"/>
    <w:rsid w:val="0041089A"/>
    <w:rsid w:val="004108AA"/>
    <w:rsid w:val="004108AD"/>
    <w:rsid w:val="0041090A"/>
    <w:rsid w:val="0041092A"/>
    <w:rsid w:val="00410966"/>
    <w:rsid w:val="004109A9"/>
    <w:rsid w:val="00410AA9"/>
    <w:rsid w:val="00410B9C"/>
    <w:rsid w:val="00410B9D"/>
    <w:rsid w:val="00410C86"/>
    <w:rsid w:val="00410D9C"/>
    <w:rsid w:val="00410E1D"/>
    <w:rsid w:val="00410E39"/>
    <w:rsid w:val="00410EB1"/>
    <w:rsid w:val="00410EF4"/>
    <w:rsid w:val="00411011"/>
    <w:rsid w:val="00411160"/>
    <w:rsid w:val="0041118D"/>
    <w:rsid w:val="0041118E"/>
    <w:rsid w:val="00411389"/>
    <w:rsid w:val="004113BB"/>
    <w:rsid w:val="00411464"/>
    <w:rsid w:val="00411525"/>
    <w:rsid w:val="00411838"/>
    <w:rsid w:val="00411968"/>
    <w:rsid w:val="00411983"/>
    <w:rsid w:val="00411A05"/>
    <w:rsid w:val="00411A43"/>
    <w:rsid w:val="00411A85"/>
    <w:rsid w:val="00411A99"/>
    <w:rsid w:val="00411AC4"/>
    <w:rsid w:val="00411B5B"/>
    <w:rsid w:val="00411DD1"/>
    <w:rsid w:val="00411DE2"/>
    <w:rsid w:val="00411DE6"/>
    <w:rsid w:val="00411EA7"/>
    <w:rsid w:val="00412001"/>
    <w:rsid w:val="00412101"/>
    <w:rsid w:val="004121CA"/>
    <w:rsid w:val="004121CF"/>
    <w:rsid w:val="004121D3"/>
    <w:rsid w:val="00412214"/>
    <w:rsid w:val="0041222A"/>
    <w:rsid w:val="0041231D"/>
    <w:rsid w:val="00412339"/>
    <w:rsid w:val="0041241E"/>
    <w:rsid w:val="00412428"/>
    <w:rsid w:val="004124C1"/>
    <w:rsid w:val="004124EE"/>
    <w:rsid w:val="00412509"/>
    <w:rsid w:val="0041253A"/>
    <w:rsid w:val="004126D4"/>
    <w:rsid w:val="004128F9"/>
    <w:rsid w:val="00412918"/>
    <w:rsid w:val="00412929"/>
    <w:rsid w:val="00412ABC"/>
    <w:rsid w:val="00412B56"/>
    <w:rsid w:val="00412BA3"/>
    <w:rsid w:val="00412C83"/>
    <w:rsid w:val="00412C9E"/>
    <w:rsid w:val="00412DBA"/>
    <w:rsid w:val="00412EC3"/>
    <w:rsid w:val="00412F38"/>
    <w:rsid w:val="00412FB9"/>
    <w:rsid w:val="00413057"/>
    <w:rsid w:val="0041305B"/>
    <w:rsid w:val="0041306E"/>
    <w:rsid w:val="0041312C"/>
    <w:rsid w:val="0041316E"/>
    <w:rsid w:val="004131F7"/>
    <w:rsid w:val="004132ED"/>
    <w:rsid w:val="004133CA"/>
    <w:rsid w:val="0041355E"/>
    <w:rsid w:val="0041370F"/>
    <w:rsid w:val="00413774"/>
    <w:rsid w:val="004137CE"/>
    <w:rsid w:val="004139B4"/>
    <w:rsid w:val="00413CB4"/>
    <w:rsid w:val="00413DCD"/>
    <w:rsid w:val="00413F1D"/>
    <w:rsid w:val="00413F53"/>
    <w:rsid w:val="00413F9E"/>
    <w:rsid w:val="00413FEC"/>
    <w:rsid w:val="00414191"/>
    <w:rsid w:val="004141C5"/>
    <w:rsid w:val="0041424B"/>
    <w:rsid w:val="004142CD"/>
    <w:rsid w:val="004142FC"/>
    <w:rsid w:val="00414329"/>
    <w:rsid w:val="00414374"/>
    <w:rsid w:val="00414460"/>
    <w:rsid w:val="00414490"/>
    <w:rsid w:val="00414515"/>
    <w:rsid w:val="00414642"/>
    <w:rsid w:val="004146C5"/>
    <w:rsid w:val="00414720"/>
    <w:rsid w:val="004147F2"/>
    <w:rsid w:val="004147FC"/>
    <w:rsid w:val="004148F9"/>
    <w:rsid w:val="00414976"/>
    <w:rsid w:val="004149F8"/>
    <w:rsid w:val="00414A0E"/>
    <w:rsid w:val="00414A13"/>
    <w:rsid w:val="00414ACC"/>
    <w:rsid w:val="00414CCF"/>
    <w:rsid w:val="00414D97"/>
    <w:rsid w:val="00414E49"/>
    <w:rsid w:val="00414F0B"/>
    <w:rsid w:val="00414FEF"/>
    <w:rsid w:val="004150A2"/>
    <w:rsid w:val="0041520A"/>
    <w:rsid w:val="0041536B"/>
    <w:rsid w:val="00415391"/>
    <w:rsid w:val="004154F7"/>
    <w:rsid w:val="00415792"/>
    <w:rsid w:val="0041579E"/>
    <w:rsid w:val="004157D2"/>
    <w:rsid w:val="00415879"/>
    <w:rsid w:val="0041595C"/>
    <w:rsid w:val="004159D2"/>
    <w:rsid w:val="00415AD4"/>
    <w:rsid w:val="00415B0A"/>
    <w:rsid w:val="00415B72"/>
    <w:rsid w:val="00415B89"/>
    <w:rsid w:val="00415DD0"/>
    <w:rsid w:val="0041600B"/>
    <w:rsid w:val="004160E4"/>
    <w:rsid w:val="00416119"/>
    <w:rsid w:val="004161DD"/>
    <w:rsid w:val="004162AD"/>
    <w:rsid w:val="004162F6"/>
    <w:rsid w:val="004163AD"/>
    <w:rsid w:val="004163EE"/>
    <w:rsid w:val="0041643E"/>
    <w:rsid w:val="0041645F"/>
    <w:rsid w:val="00416493"/>
    <w:rsid w:val="004164D2"/>
    <w:rsid w:val="004164D8"/>
    <w:rsid w:val="0041650D"/>
    <w:rsid w:val="0041666D"/>
    <w:rsid w:val="004166C9"/>
    <w:rsid w:val="0041679F"/>
    <w:rsid w:val="00416831"/>
    <w:rsid w:val="004169AE"/>
    <w:rsid w:val="004169E4"/>
    <w:rsid w:val="00416CDD"/>
    <w:rsid w:val="00416D8D"/>
    <w:rsid w:val="00416F5E"/>
    <w:rsid w:val="00417036"/>
    <w:rsid w:val="004170C8"/>
    <w:rsid w:val="004170EF"/>
    <w:rsid w:val="00417136"/>
    <w:rsid w:val="0041718D"/>
    <w:rsid w:val="004171D1"/>
    <w:rsid w:val="00417222"/>
    <w:rsid w:val="0041730F"/>
    <w:rsid w:val="0041736C"/>
    <w:rsid w:val="004173C9"/>
    <w:rsid w:val="00417456"/>
    <w:rsid w:val="004175F1"/>
    <w:rsid w:val="004177A2"/>
    <w:rsid w:val="004177F7"/>
    <w:rsid w:val="00417941"/>
    <w:rsid w:val="004179E4"/>
    <w:rsid w:val="00417AAE"/>
    <w:rsid w:val="00417B9F"/>
    <w:rsid w:val="00417CD7"/>
    <w:rsid w:val="00417CFF"/>
    <w:rsid w:val="00417D80"/>
    <w:rsid w:val="00417DF6"/>
    <w:rsid w:val="00417E22"/>
    <w:rsid w:val="00417EBB"/>
    <w:rsid w:val="00417FC5"/>
    <w:rsid w:val="00420023"/>
    <w:rsid w:val="00420166"/>
    <w:rsid w:val="0042032B"/>
    <w:rsid w:val="00420502"/>
    <w:rsid w:val="0042057B"/>
    <w:rsid w:val="004205F6"/>
    <w:rsid w:val="004206E7"/>
    <w:rsid w:val="0042077C"/>
    <w:rsid w:val="00420A8D"/>
    <w:rsid w:val="00420B12"/>
    <w:rsid w:val="00420B6D"/>
    <w:rsid w:val="00420B6E"/>
    <w:rsid w:val="00420BA1"/>
    <w:rsid w:val="00420C21"/>
    <w:rsid w:val="00420D53"/>
    <w:rsid w:val="00420FA3"/>
    <w:rsid w:val="00420FCF"/>
    <w:rsid w:val="0042100A"/>
    <w:rsid w:val="00421082"/>
    <w:rsid w:val="00421324"/>
    <w:rsid w:val="00421393"/>
    <w:rsid w:val="004214E3"/>
    <w:rsid w:val="00421661"/>
    <w:rsid w:val="00421748"/>
    <w:rsid w:val="0042188B"/>
    <w:rsid w:val="00421942"/>
    <w:rsid w:val="0042194D"/>
    <w:rsid w:val="004219CA"/>
    <w:rsid w:val="00421A63"/>
    <w:rsid w:val="00421AE2"/>
    <w:rsid w:val="00421ED2"/>
    <w:rsid w:val="00421EE5"/>
    <w:rsid w:val="00421F1D"/>
    <w:rsid w:val="00422005"/>
    <w:rsid w:val="00422181"/>
    <w:rsid w:val="00422185"/>
    <w:rsid w:val="004222C2"/>
    <w:rsid w:val="004222E1"/>
    <w:rsid w:val="00422354"/>
    <w:rsid w:val="0042254F"/>
    <w:rsid w:val="004225A2"/>
    <w:rsid w:val="004225D2"/>
    <w:rsid w:val="004226C2"/>
    <w:rsid w:val="004228B8"/>
    <w:rsid w:val="00422B13"/>
    <w:rsid w:val="00422B2F"/>
    <w:rsid w:val="00422B6F"/>
    <w:rsid w:val="00422B87"/>
    <w:rsid w:val="00422B89"/>
    <w:rsid w:val="00422BC1"/>
    <w:rsid w:val="00422D1A"/>
    <w:rsid w:val="00422D30"/>
    <w:rsid w:val="00422DF4"/>
    <w:rsid w:val="00422E5D"/>
    <w:rsid w:val="00422E72"/>
    <w:rsid w:val="00422F6F"/>
    <w:rsid w:val="00422FA4"/>
    <w:rsid w:val="00423002"/>
    <w:rsid w:val="004231B8"/>
    <w:rsid w:val="004232C7"/>
    <w:rsid w:val="004232EF"/>
    <w:rsid w:val="00423319"/>
    <w:rsid w:val="00423395"/>
    <w:rsid w:val="004234A1"/>
    <w:rsid w:val="004234C0"/>
    <w:rsid w:val="004235EB"/>
    <w:rsid w:val="0042361C"/>
    <w:rsid w:val="00423729"/>
    <w:rsid w:val="0042387A"/>
    <w:rsid w:val="004239BA"/>
    <w:rsid w:val="00423A37"/>
    <w:rsid w:val="00423B39"/>
    <w:rsid w:val="00423C9D"/>
    <w:rsid w:val="00423CE7"/>
    <w:rsid w:val="00423CF0"/>
    <w:rsid w:val="00423CFF"/>
    <w:rsid w:val="00423E2A"/>
    <w:rsid w:val="00423EE2"/>
    <w:rsid w:val="00424014"/>
    <w:rsid w:val="0042403E"/>
    <w:rsid w:val="0042418E"/>
    <w:rsid w:val="004241DF"/>
    <w:rsid w:val="004241FD"/>
    <w:rsid w:val="004242B8"/>
    <w:rsid w:val="004242EC"/>
    <w:rsid w:val="0042435C"/>
    <w:rsid w:val="004244A7"/>
    <w:rsid w:val="004244C3"/>
    <w:rsid w:val="004245BA"/>
    <w:rsid w:val="004245D4"/>
    <w:rsid w:val="004245FB"/>
    <w:rsid w:val="00424698"/>
    <w:rsid w:val="004246C3"/>
    <w:rsid w:val="004247A5"/>
    <w:rsid w:val="004247EC"/>
    <w:rsid w:val="00424804"/>
    <w:rsid w:val="00424817"/>
    <w:rsid w:val="00424864"/>
    <w:rsid w:val="004248AC"/>
    <w:rsid w:val="004249E1"/>
    <w:rsid w:val="00424A11"/>
    <w:rsid w:val="00424A1E"/>
    <w:rsid w:val="00424ABC"/>
    <w:rsid w:val="00424AFE"/>
    <w:rsid w:val="00424C49"/>
    <w:rsid w:val="00424D73"/>
    <w:rsid w:val="00424DCA"/>
    <w:rsid w:val="00424ED6"/>
    <w:rsid w:val="00424F6E"/>
    <w:rsid w:val="00424F80"/>
    <w:rsid w:val="00424FF8"/>
    <w:rsid w:val="00425056"/>
    <w:rsid w:val="00425057"/>
    <w:rsid w:val="004250A1"/>
    <w:rsid w:val="00425132"/>
    <w:rsid w:val="0042517B"/>
    <w:rsid w:val="00425187"/>
    <w:rsid w:val="004251C5"/>
    <w:rsid w:val="00425279"/>
    <w:rsid w:val="00425297"/>
    <w:rsid w:val="004252A7"/>
    <w:rsid w:val="004252D7"/>
    <w:rsid w:val="0042533D"/>
    <w:rsid w:val="004253A6"/>
    <w:rsid w:val="0042569C"/>
    <w:rsid w:val="004256B2"/>
    <w:rsid w:val="00425800"/>
    <w:rsid w:val="00425952"/>
    <w:rsid w:val="00425A1E"/>
    <w:rsid w:val="00425A39"/>
    <w:rsid w:val="00425A54"/>
    <w:rsid w:val="00425BB2"/>
    <w:rsid w:val="00425C15"/>
    <w:rsid w:val="00425C96"/>
    <w:rsid w:val="00425CA1"/>
    <w:rsid w:val="00425D25"/>
    <w:rsid w:val="00425D40"/>
    <w:rsid w:val="00425E3E"/>
    <w:rsid w:val="00425E6B"/>
    <w:rsid w:val="00425ED4"/>
    <w:rsid w:val="00425F32"/>
    <w:rsid w:val="0042608F"/>
    <w:rsid w:val="00426119"/>
    <w:rsid w:val="0042634B"/>
    <w:rsid w:val="0042643B"/>
    <w:rsid w:val="00426512"/>
    <w:rsid w:val="0042655B"/>
    <w:rsid w:val="004265B9"/>
    <w:rsid w:val="004266C8"/>
    <w:rsid w:val="004266DF"/>
    <w:rsid w:val="00426729"/>
    <w:rsid w:val="00426774"/>
    <w:rsid w:val="004267C6"/>
    <w:rsid w:val="00426847"/>
    <w:rsid w:val="0042693D"/>
    <w:rsid w:val="004269BD"/>
    <w:rsid w:val="00426A36"/>
    <w:rsid w:val="00426A6C"/>
    <w:rsid w:val="00426A8C"/>
    <w:rsid w:val="00426ADB"/>
    <w:rsid w:val="00426B77"/>
    <w:rsid w:val="00426D68"/>
    <w:rsid w:val="00426D80"/>
    <w:rsid w:val="00426DDA"/>
    <w:rsid w:val="00426E9E"/>
    <w:rsid w:val="00426EF3"/>
    <w:rsid w:val="00426F01"/>
    <w:rsid w:val="00426F3F"/>
    <w:rsid w:val="00426FF0"/>
    <w:rsid w:val="00427185"/>
    <w:rsid w:val="004273A1"/>
    <w:rsid w:val="0042745C"/>
    <w:rsid w:val="00427466"/>
    <w:rsid w:val="00427488"/>
    <w:rsid w:val="004275CE"/>
    <w:rsid w:val="0042764B"/>
    <w:rsid w:val="0042768F"/>
    <w:rsid w:val="004276C9"/>
    <w:rsid w:val="0042772D"/>
    <w:rsid w:val="0042782C"/>
    <w:rsid w:val="004278C5"/>
    <w:rsid w:val="00427901"/>
    <w:rsid w:val="004279A6"/>
    <w:rsid w:val="00427A07"/>
    <w:rsid w:val="00427CC9"/>
    <w:rsid w:val="00427D50"/>
    <w:rsid w:val="00427DE6"/>
    <w:rsid w:val="00427E5F"/>
    <w:rsid w:val="00427E7D"/>
    <w:rsid w:val="00427F97"/>
    <w:rsid w:val="00427FF0"/>
    <w:rsid w:val="004300C3"/>
    <w:rsid w:val="00430188"/>
    <w:rsid w:val="004302BC"/>
    <w:rsid w:val="0043030C"/>
    <w:rsid w:val="004303E8"/>
    <w:rsid w:val="00430434"/>
    <w:rsid w:val="0043048B"/>
    <w:rsid w:val="004306E3"/>
    <w:rsid w:val="00430844"/>
    <w:rsid w:val="00430927"/>
    <w:rsid w:val="00430998"/>
    <w:rsid w:val="004309AD"/>
    <w:rsid w:val="00430B67"/>
    <w:rsid w:val="00430B94"/>
    <w:rsid w:val="00430CBC"/>
    <w:rsid w:val="00430D65"/>
    <w:rsid w:val="00430E43"/>
    <w:rsid w:val="00430ECC"/>
    <w:rsid w:val="00430F30"/>
    <w:rsid w:val="00430FA8"/>
    <w:rsid w:val="00430FF8"/>
    <w:rsid w:val="0043112D"/>
    <w:rsid w:val="00431178"/>
    <w:rsid w:val="00431180"/>
    <w:rsid w:val="004311A0"/>
    <w:rsid w:val="004311DF"/>
    <w:rsid w:val="00431340"/>
    <w:rsid w:val="00431352"/>
    <w:rsid w:val="004315C9"/>
    <w:rsid w:val="004315DB"/>
    <w:rsid w:val="00431607"/>
    <w:rsid w:val="00431615"/>
    <w:rsid w:val="0043171C"/>
    <w:rsid w:val="00431881"/>
    <w:rsid w:val="004318C9"/>
    <w:rsid w:val="004318E1"/>
    <w:rsid w:val="004319CF"/>
    <w:rsid w:val="004319E4"/>
    <w:rsid w:val="00431ACB"/>
    <w:rsid w:val="00431BB8"/>
    <w:rsid w:val="00431C0C"/>
    <w:rsid w:val="00431C62"/>
    <w:rsid w:val="00431C91"/>
    <w:rsid w:val="00431CBF"/>
    <w:rsid w:val="00431CC6"/>
    <w:rsid w:val="00431CEF"/>
    <w:rsid w:val="00431DF2"/>
    <w:rsid w:val="00431EC6"/>
    <w:rsid w:val="00431EFA"/>
    <w:rsid w:val="00432005"/>
    <w:rsid w:val="00432194"/>
    <w:rsid w:val="004321CA"/>
    <w:rsid w:val="00432208"/>
    <w:rsid w:val="004322D9"/>
    <w:rsid w:val="0043231C"/>
    <w:rsid w:val="00432326"/>
    <w:rsid w:val="004323B7"/>
    <w:rsid w:val="004323C1"/>
    <w:rsid w:val="00432420"/>
    <w:rsid w:val="00432433"/>
    <w:rsid w:val="00432680"/>
    <w:rsid w:val="004328B8"/>
    <w:rsid w:val="00432941"/>
    <w:rsid w:val="00432A55"/>
    <w:rsid w:val="00432CB7"/>
    <w:rsid w:val="00432CC8"/>
    <w:rsid w:val="00432D2B"/>
    <w:rsid w:val="00432DF7"/>
    <w:rsid w:val="0043302B"/>
    <w:rsid w:val="00433158"/>
    <w:rsid w:val="00433301"/>
    <w:rsid w:val="00433322"/>
    <w:rsid w:val="00433360"/>
    <w:rsid w:val="0043337C"/>
    <w:rsid w:val="004333E8"/>
    <w:rsid w:val="00433410"/>
    <w:rsid w:val="00433454"/>
    <w:rsid w:val="00433502"/>
    <w:rsid w:val="004335D8"/>
    <w:rsid w:val="004335F0"/>
    <w:rsid w:val="00433788"/>
    <w:rsid w:val="0043379C"/>
    <w:rsid w:val="00433A6A"/>
    <w:rsid w:val="00433B05"/>
    <w:rsid w:val="00433B5B"/>
    <w:rsid w:val="00433B70"/>
    <w:rsid w:val="00433C94"/>
    <w:rsid w:val="00433CA3"/>
    <w:rsid w:val="00433D21"/>
    <w:rsid w:val="00433E09"/>
    <w:rsid w:val="00433E39"/>
    <w:rsid w:val="00433F0A"/>
    <w:rsid w:val="00433F9B"/>
    <w:rsid w:val="00433FBA"/>
    <w:rsid w:val="00433FBE"/>
    <w:rsid w:val="00434036"/>
    <w:rsid w:val="004340D0"/>
    <w:rsid w:val="004340F3"/>
    <w:rsid w:val="00434195"/>
    <w:rsid w:val="004341AC"/>
    <w:rsid w:val="004341C2"/>
    <w:rsid w:val="004341F2"/>
    <w:rsid w:val="004342CF"/>
    <w:rsid w:val="00434304"/>
    <w:rsid w:val="00434406"/>
    <w:rsid w:val="00434446"/>
    <w:rsid w:val="0043444F"/>
    <w:rsid w:val="004344F5"/>
    <w:rsid w:val="0043454E"/>
    <w:rsid w:val="00434690"/>
    <w:rsid w:val="004346C5"/>
    <w:rsid w:val="004346E2"/>
    <w:rsid w:val="00434720"/>
    <w:rsid w:val="0043480F"/>
    <w:rsid w:val="00434878"/>
    <w:rsid w:val="004349DD"/>
    <w:rsid w:val="00434AF5"/>
    <w:rsid w:val="00434B5A"/>
    <w:rsid w:val="00434B6D"/>
    <w:rsid w:val="00434C4C"/>
    <w:rsid w:val="00434DE6"/>
    <w:rsid w:val="00434DFC"/>
    <w:rsid w:val="00434E97"/>
    <w:rsid w:val="00434F8B"/>
    <w:rsid w:val="00434FE2"/>
    <w:rsid w:val="00434FF7"/>
    <w:rsid w:val="00435067"/>
    <w:rsid w:val="004350F6"/>
    <w:rsid w:val="0043512E"/>
    <w:rsid w:val="00435136"/>
    <w:rsid w:val="004351DA"/>
    <w:rsid w:val="00435224"/>
    <w:rsid w:val="0043534E"/>
    <w:rsid w:val="004353E7"/>
    <w:rsid w:val="00435442"/>
    <w:rsid w:val="00435449"/>
    <w:rsid w:val="0043545A"/>
    <w:rsid w:val="004354B0"/>
    <w:rsid w:val="0043552E"/>
    <w:rsid w:val="0043563C"/>
    <w:rsid w:val="00435649"/>
    <w:rsid w:val="0043564F"/>
    <w:rsid w:val="0043567E"/>
    <w:rsid w:val="004356B9"/>
    <w:rsid w:val="00435797"/>
    <w:rsid w:val="004358D4"/>
    <w:rsid w:val="00435956"/>
    <w:rsid w:val="0043596B"/>
    <w:rsid w:val="004359F8"/>
    <w:rsid w:val="00435A16"/>
    <w:rsid w:val="00435B7A"/>
    <w:rsid w:val="00435BF3"/>
    <w:rsid w:val="00435C76"/>
    <w:rsid w:val="00435C82"/>
    <w:rsid w:val="00435CC4"/>
    <w:rsid w:val="00435D52"/>
    <w:rsid w:val="00435DE3"/>
    <w:rsid w:val="00435DF4"/>
    <w:rsid w:val="00435E3C"/>
    <w:rsid w:val="00435E40"/>
    <w:rsid w:val="00435EFF"/>
    <w:rsid w:val="00435F31"/>
    <w:rsid w:val="00436126"/>
    <w:rsid w:val="00436160"/>
    <w:rsid w:val="00436366"/>
    <w:rsid w:val="00436390"/>
    <w:rsid w:val="00436436"/>
    <w:rsid w:val="00436441"/>
    <w:rsid w:val="004364DB"/>
    <w:rsid w:val="00436545"/>
    <w:rsid w:val="004365F4"/>
    <w:rsid w:val="00436648"/>
    <w:rsid w:val="00436681"/>
    <w:rsid w:val="00436737"/>
    <w:rsid w:val="004367E9"/>
    <w:rsid w:val="00436868"/>
    <w:rsid w:val="00436874"/>
    <w:rsid w:val="00436A7A"/>
    <w:rsid w:val="00436AB1"/>
    <w:rsid w:val="00436B0D"/>
    <w:rsid w:val="00436CBB"/>
    <w:rsid w:val="00436CC1"/>
    <w:rsid w:val="00436CCC"/>
    <w:rsid w:val="00436CFB"/>
    <w:rsid w:val="00436CFF"/>
    <w:rsid w:val="00436D31"/>
    <w:rsid w:val="00436D97"/>
    <w:rsid w:val="00436E4F"/>
    <w:rsid w:val="00436F43"/>
    <w:rsid w:val="00436FAC"/>
    <w:rsid w:val="00436FD3"/>
    <w:rsid w:val="0043700F"/>
    <w:rsid w:val="00437020"/>
    <w:rsid w:val="0043710C"/>
    <w:rsid w:val="004371B0"/>
    <w:rsid w:val="004371D9"/>
    <w:rsid w:val="0043733F"/>
    <w:rsid w:val="004373C6"/>
    <w:rsid w:val="00437475"/>
    <w:rsid w:val="004375A2"/>
    <w:rsid w:val="004375ED"/>
    <w:rsid w:val="004376A6"/>
    <w:rsid w:val="00437AF2"/>
    <w:rsid w:val="00437CE3"/>
    <w:rsid w:val="00437D24"/>
    <w:rsid w:val="00437D48"/>
    <w:rsid w:val="00437D61"/>
    <w:rsid w:val="00437F49"/>
    <w:rsid w:val="00437F54"/>
    <w:rsid w:val="00437FB3"/>
    <w:rsid w:val="00440051"/>
    <w:rsid w:val="004400F6"/>
    <w:rsid w:val="00440151"/>
    <w:rsid w:val="00440201"/>
    <w:rsid w:val="0044028B"/>
    <w:rsid w:val="0044032D"/>
    <w:rsid w:val="00440482"/>
    <w:rsid w:val="004404A8"/>
    <w:rsid w:val="00440564"/>
    <w:rsid w:val="0044058A"/>
    <w:rsid w:val="00440620"/>
    <w:rsid w:val="00440756"/>
    <w:rsid w:val="00440780"/>
    <w:rsid w:val="00440793"/>
    <w:rsid w:val="004408A8"/>
    <w:rsid w:val="00440999"/>
    <w:rsid w:val="004409BA"/>
    <w:rsid w:val="004409DA"/>
    <w:rsid w:val="004409E0"/>
    <w:rsid w:val="00440A1E"/>
    <w:rsid w:val="00440BBA"/>
    <w:rsid w:val="00440DFD"/>
    <w:rsid w:val="00440E19"/>
    <w:rsid w:val="00440E4B"/>
    <w:rsid w:val="00440E5F"/>
    <w:rsid w:val="00441112"/>
    <w:rsid w:val="00441194"/>
    <w:rsid w:val="0044123F"/>
    <w:rsid w:val="0044124C"/>
    <w:rsid w:val="0044134E"/>
    <w:rsid w:val="0044169F"/>
    <w:rsid w:val="004416B9"/>
    <w:rsid w:val="004416DA"/>
    <w:rsid w:val="0044172B"/>
    <w:rsid w:val="004417B8"/>
    <w:rsid w:val="0044182E"/>
    <w:rsid w:val="00441870"/>
    <w:rsid w:val="00441A20"/>
    <w:rsid w:val="00441B07"/>
    <w:rsid w:val="00441B67"/>
    <w:rsid w:val="00441BE2"/>
    <w:rsid w:val="00441C1E"/>
    <w:rsid w:val="00441C26"/>
    <w:rsid w:val="00441C2B"/>
    <w:rsid w:val="00441C4A"/>
    <w:rsid w:val="00441C83"/>
    <w:rsid w:val="00441CEA"/>
    <w:rsid w:val="00441EB5"/>
    <w:rsid w:val="00441F40"/>
    <w:rsid w:val="00441F81"/>
    <w:rsid w:val="004420C4"/>
    <w:rsid w:val="0044227E"/>
    <w:rsid w:val="0044243F"/>
    <w:rsid w:val="00442447"/>
    <w:rsid w:val="00442578"/>
    <w:rsid w:val="00442597"/>
    <w:rsid w:val="004425D6"/>
    <w:rsid w:val="00442618"/>
    <w:rsid w:val="00442686"/>
    <w:rsid w:val="0044274C"/>
    <w:rsid w:val="0044276D"/>
    <w:rsid w:val="0044296F"/>
    <w:rsid w:val="004429A7"/>
    <w:rsid w:val="00442AA8"/>
    <w:rsid w:val="00442B2D"/>
    <w:rsid w:val="00442B33"/>
    <w:rsid w:val="00442B46"/>
    <w:rsid w:val="00442C90"/>
    <w:rsid w:val="00442E18"/>
    <w:rsid w:val="00442E61"/>
    <w:rsid w:val="00442E93"/>
    <w:rsid w:val="00442EFA"/>
    <w:rsid w:val="004430AF"/>
    <w:rsid w:val="00443188"/>
    <w:rsid w:val="004431F7"/>
    <w:rsid w:val="0044322D"/>
    <w:rsid w:val="00443237"/>
    <w:rsid w:val="004433BB"/>
    <w:rsid w:val="0044343C"/>
    <w:rsid w:val="00443493"/>
    <w:rsid w:val="004434CA"/>
    <w:rsid w:val="004434D3"/>
    <w:rsid w:val="00443585"/>
    <w:rsid w:val="00443728"/>
    <w:rsid w:val="0044372E"/>
    <w:rsid w:val="00443745"/>
    <w:rsid w:val="00443759"/>
    <w:rsid w:val="004437B6"/>
    <w:rsid w:val="004437D4"/>
    <w:rsid w:val="004437E2"/>
    <w:rsid w:val="004439A8"/>
    <w:rsid w:val="00443A97"/>
    <w:rsid w:val="00443BE2"/>
    <w:rsid w:val="00443C18"/>
    <w:rsid w:val="00443CE7"/>
    <w:rsid w:val="00443D3D"/>
    <w:rsid w:val="00443DB1"/>
    <w:rsid w:val="00443E74"/>
    <w:rsid w:val="00443F01"/>
    <w:rsid w:val="00443FB1"/>
    <w:rsid w:val="0044410D"/>
    <w:rsid w:val="004441A0"/>
    <w:rsid w:val="004441CD"/>
    <w:rsid w:val="004441D5"/>
    <w:rsid w:val="00444219"/>
    <w:rsid w:val="0044424F"/>
    <w:rsid w:val="004442E7"/>
    <w:rsid w:val="004443FF"/>
    <w:rsid w:val="00444448"/>
    <w:rsid w:val="004444DD"/>
    <w:rsid w:val="0044457A"/>
    <w:rsid w:val="00444741"/>
    <w:rsid w:val="0044478E"/>
    <w:rsid w:val="004447EA"/>
    <w:rsid w:val="0044485C"/>
    <w:rsid w:val="004448D3"/>
    <w:rsid w:val="00444906"/>
    <w:rsid w:val="00444968"/>
    <w:rsid w:val="0044497F"/>
    <w:rsid w:val="004449DC"/>
    <w:rsid w:val="00444B11"/>
    <w:rsid w:val="00444CBF"/>
    <w:rsid w:val="00444CF6"/>
    <w:rsid w:val="00444D0C"/>
    <w:rsid w:val="00444E11"/>
    <w:rsid w:val="00444E98"/>
    <w:rsid w:val="00444ED5"/>
    <w:rsid w:val="00444EE8"/>
    <w:rsid w:val="00444EEB"/>
    <w:rsid w:val="00444F06"/>
    <w:rsid w:val="004450CB"/>
    <w:rsid w:val="00445288"/>
    <w:rsid w:val="004452BB"/>
    <w:rsid w:val="00445360"/>
    <w:rsid w:val="00445362"/>
    <w:rsid w:val="004453FF"/>
    <w:rsid w:val="004454AB"/>
    <w:rsid w:val="00445595"/>
    <w:rsid w:val="0044559C"/>
    <w:rsid w:val="0044562F"/>
    <w:rsid w:val="00445797"/>
    <w:rsid w:val="004457AC"/>
    <w:rsid w:val="004457B8"/>
    <w:rsid w:val="00445ACC"/>
    <w:rsid w:val="00445BC0"/>
    <w:rsid w:val="00445CD9"/>
    <w:rsid w:val="00445CF6"/>
    <w:rsid w:val="00445E85"/>
    <w:rsid w:val="00445F17"/>
    <w:rsid w:val="00445FC6"/>
    <w:rsid w:val="00446040"/>
    <w:rsid w:val="0044622C"/>
    <w:rsid w:val="004462F5"/>
    <w:rsid w:val="004464F9"/>
    <w:rsid w:val="0044658B"/>
    <w:rsid w:val="004465E8"/>
    <w:rsid w:val="004465FE"/>
    <w:rsid w:val="0044667F"/>
    <w:rsid w:val="004466A4"/>
    <w:rsid w:val="004467BA"/>
    <w:rsid w:val="004467FE"/>
    <w:rsid w:val="0044683D"/>
    <w:rsid w:val="00446866"/>
    <w:rsid w:val="00446976"/>
    <w:rsid w:val="00446988"/>
    <w:rsid w:val="00446B1A"/>
    <w:rsid w:val="00446DA6"/>
    <w:rsid w:val="00446E14"/>
    <w:rsid w:val="00446E57"/>
    <w:rsid w:val="00446ED7"/>
    <w:rsid w:val="00446F3F"/>
    <w:rsid w:val="0044707E"/>
    <w:rsid w:val="0044725E"/>
    <w:rsid w:val="004472FF"/>
    <w:rsid w:val="00447369"/>
    <w:rsid w:val="00447380"/>
    <w:rsid w:val="004473AB"/>
    <w:rsid w:val="0044742D"/>
    <w:rsid w:val="0044754F"/>
    <w:rsid w:val="004476B1"/>
    <w:rsid w:val="004477EA"/>
    <w:rsid w:val="00447B1B"/>
    <w:rsid w:val="00447B4B"/>
    <w:rsid w:val="00447B82"/>
    <w:rsid w:val="00447CF2"/>
    <w:rsid w:val="00447D72"/>
    <w:rsid w:val="00447E73"/>
    <w:rsid w:val="00447EAF"/>
    <w:rsid w:val="00447F15"/>
    <w:rsid w:val="0044C69B"/>
    <w:rsid w:val="00450060"/>
    <w:rsid w:val="00450113"/>
    <w:rsid w:val="004501BF"/>
    <w:rsid w:val="004502AF"/>
    <w:rsid w:val="00450374"/>
    <w:rsid w:val="004504CF"/>
    <w:rsid w:val="004506C2"/>
    <w:rsid w:val="00450877"/>
    <w:rsid w:val="0045095F"/>
    <w:rsid w:val="00450A58"/>
    <w:rsid w:val="00450B0B"/>
    <w:rsid w:val="00450BE1"/>
    <w:rsid w:val="00450D4E"/>
    <w:rsid w:val="00450EC5"/>
    <w:rsid w:val="00450EF0"/>
    <w:rsid w:val="00450F23"/>
    <w:rsid w:val="00450F9E"/>
    <w:rsid w:val="00450FBD"/>
    <w:rsid w:val="00451042"/>
    <w:rsid w:val="00451051"/>
    <w:rsid w:val="00451090"/>
    <w:rsid w:val="0045109C"/>
    <w:rsid w:val="0045113E"/>
    <w:rsid w:val="00451145"/>
    <w:rsid w:val="0045119F"/>
    <w:rsid w:val="004511C8"/>
    <w:rsid w:val="004512FE"/>
    <w:rsid w:val="0045138F"/>
    <w:rsid w:val="004513D1"/>
    <w:rsid w:val="00451529"/>
    <w:rsid w:val="004515AE"/>
    <w:rsid w:val="00451614"/>
    <w:rsid w:val="00451838"/>
    <w:rsid w:val="004518B3"/>
    <w:rsid w:val="00451965"/>
    <w:rsid w:val="004519C1"/>
    <w:rsid w:val="00451A57"/>
    <w:rsid w:val="00451A77"/>
    <w:rsid w:val="00451AC9"/>
    <w:rsid w:val="00451B06"/>
    <w:rsid w:val="00451B25"/>
    <w:rsid w:val="00451BCC"/>
    <w:rsid w:val="00451C1B"/>
    <w:rsid w:val="00451C1C"/>
    <w:rsid w:val="00451C2F"/>
    <w:rsid w:val="00451CCF"/>
    <w:rsid w:val="00451D7A"/>
    <w:rsid w:val="00451FD5"/>
    <w:rsid w:val="0045207A"/>
    <w:rsid w:val="00452191"/>
    <w:rsid w:val="0045222B"/>
    <w:rsid w:val="0045229E"/>
    <w:rsid w:val="0045233C"/>
    <w:rsid w:val="004523B9"/>
    <w:rsid w:val="0045242A"/>
    <w:rsid w:val="0045242F"/>
    <w:rsid w:val="00452472"/>
    <w:rsid w:val="004524BF"/>
    <w:rsid w:val="00452629"/>
    <w:rsid w:val="00452637"/>
    <w:rsid w:val="004526AF"/>
    <w:rsid w:val="0045273E"/>
    <w:rsid w:val="00452782"/>
    <w:rsid w:val="004527B4"/>
    <w:rsid w:val="004527B7"/>
    <w:rsid w:val="00452812"/>
    <w:rsid w:val="0045281A"/>
    <w:rsid w:val="0045281C"/>
    <w:rsid w:val="0045287B"/>
    <w:rsid w:val="00452907"/>
    <w:rsid w:val="00452912"/>
    <w:rsid w:val="0045296D"/>
    <w:rsid w:val="004529F3"/>
    <w:rsid w:val="00452D1D"/>
    <w:rsid w:val="00452DDC"/>
    <w:rsid w:val="00452F27"/>
    <w:rsid w:val="00452F29"/>
    <w:rsid w:val="00452F49"/>
    <w:rsid w:val="00452F71"/>
    <w:rsid w:val="0045300A"/>
    <w:rsid w:val="004531F7"/>
    <w:rsid w:val="00453425"/>
    <w:rsid w:val="004534CC"/>
    <w:rsid w:val="00453508"/>
    <w:rsid w:val="0045353D"/>
    <w:rsid w:val="00453665"/>
    <w:rsid w:val="00453735"/>
    <w:rsid w:val="00453752"/>
    <w:rsid w:val="004537B0"/>
    <w:rsid w:val="00453853"/>
    <w:rsid w:val="00453884"/>
    <w:rsid w:val="004538C0"/>
    <w:rsid w:val="004538C4"/>
    <w:rsid w:val="00453944"/>
    <w:rsid w:val="00453969"/>
    <w:rsid w:val="004539F5"/>
    <w:rsid w:val="00453A31"/>
    <w:rsid w:val="00453AC9"/>
    <w:rsid w:val="00453B24"/>
    <w:rsid w:val="00453B87"/>
    <w:rsid w:val="00453BC3"/>
    <w:rsid w:val="00453BF3"/>
    <w:rsid w:val="00453C11"/>
    <w:rsid w:val="00453C14"/>
    <w:rsid w:val="00453D7A"/>
    <w:rsid w:val="00453E81"/>
    <w:rsid w:val="00453F11"/>
    <w:rsid w:val="004541AA"/>
    <w:rsid w:val="00454234"/>
    <w:rsid w:val="0045433C"/>
    <w:rsid w:val="004544CB"/>
    <w:rsid w:val="004545A1"/>
    <w:rsid w:val="004545D3"/>
    <w:rsid w:val="00454762"/>
    <w:rsid w:val="004547F0"/>
    <w:rsid w:val="004548C5"/>
    <w:rsid w:val="0045494A"/>
    <w:rsid w:val="004549A6"/>
    <w:rsid w:val="00454A93"/>
    <w:rsid w:val="00454BEC"/>
    <w:rsid w:val="00454BF1"/>
    <w:rsid w:val="00454C05"/>
    <w:rsid w:val="00454D5E"/>
    <w:rsid w:val="00454D89"/>
    <w:rsid w:val="00454DEB"/>
    <w:rsid w:val="00454E49"/>
    <w:rsid w:val="00454E7F"/>
    <w:rsid w:val="00454F95"/>
    <w:rsid w:val="004550A0"/>
    <w:rsid w:val="004550CD"/>
    <w:rsid w:val="004550ED"/>
    <w:rsid w:val="0045519B"/>
    <w:rsid w:val="004551C3"/>
    <w:rsid w:val="0045538D"/>
    <w:rsid w:val="004553D5"/>
    <w:rsid w:val="00455413"/>
    <w:rsid w:val="0045542F"/>
    <w:rsid w:val="00455472"/>
    <w:rsid w:val="0045551B"/>
    <w:rsid w:val="0045559E"/>
    <w:rsid w:val="004555FB"/>
    <w:rsid w:val="004556B9"/>
    <w:rsid w:val="004556D6"/>
    <w:rsid w:val="00455712"/>
    <w:rsid w:val="00455791"/>
    <w:rsid w:val="00455880"/>
    <w:rsid w:val="00455911"/>
    <w:rsid w:val="0045598C"/>
    <w:rsid w:val="004559B8"/>
    <w:rsid w:val="00455A4E"/>
    <w:rsid w:val="00455A8B"/>
    <w:rsid w:val="00455C33"/>
    <w:rsid w:val="00455C47"/>
    <w:rsid w:val="00455C5E"/>
    <w:rsid w:val="00455C65"/>
    <w:rsid w:val="00455CE0"/>
    <w:rsid w:val="00455DC4"/>
    <w:rsid w:val="00455E7D"/>
    <w:rsid w:val="00455EC1"/>
    <w:rsid w:val="00455F4A"/>
    <w:rsid w:val="00456017"/>
    <w:rsid w:val="004560A3"/>
    <w:rsid w:val="00456153"/>
    <w:rsid w:val="00456215"/>
    <w:rsid w:val="004563AD"/>
    <w:rsid w:val="004563B9"/>
    <w:rsid w:val="004563CE"/>
    <w:rsid w:val="00456470"/>
    <w:rsid w:val="0045654D"/>
    <w:rsid w:val="0045656C"/>
    <w:rsid w:val="0045663C"/>
    <w:rsid w:val="0045665E"/>
    <w:rsid w:val="00456674"/>
    <w:rsid w:val="004566B8"/>
    <w:rsid w:val="004566F9"/>
    <w:rsid w:val="004567D5"/>
    <w:rsid w:val="004567FE"/>
    <w:rsid w:val="00456899"/>
    <w:rsid w:val="004568F5"/>
    <w:rsid w:val="00456971"/>
    <w:rsid w:val="004569EF"/>
    <w:rsid w:val="00456A26"/>
    <w:rsid w:val="00456A72"/>
    <w:rsid w:val="00456B14"/>
    <w:rsid w:val="00456C80"/>
    <w:rsid w:val="00456C97"/>
    <w:rsid w:val="00456CBF"/>
    <w:rsid w:val="00456D0B"/>
    <w:rsid w:val="00456D85"/>
    <w:rsid w:val="00456EC6"/>
    <w:rsid w:val="00456F23"/>
    <w:rsid w:val="00457120"/>
    <w:rsid w:val="00457145"/>
    <w:rsid w:val="004572E6"/>
    <w:rsid w:val="004572EE"/>
    <w:rsid w:val="0045741D"/>
    <w:rsid w:val="00457440"/>
    <w:rsid w:val="004574B6"/>
    <w:rsid w:val="00457548"/>
    <w:rsid w:val="004575F9"/>
    <w:rsid w:val="0045761D"/>
    <w:rsid w:val="00457728"/>
    <w:rsid w:val="0045775F"/>
    <w:rsid w:val="00457790"/>
    <w:rsid w:val="00457825"/>
    <w:rsid w:val="0045789D"/>
    <w:rsid w:val="004578D8"/>
    <w:rsid w:val="00457A1F"/>
    <w:rsid w:val="00457BA2"/>
    <w:rsid w:val="00457BB0"/>
    <w:rsid w:val="00457CDC"/>
    <w:rsid w:val="00457DC7"/>
    <w:rsid w:val="00457DD9"/>
    <w:rsid w:val="00457E10"/>
    <w:rsid w:val="00457E48"/>
    <w:rsid w:val="00457E87"/>
    <w:rsid w:val="00457F0C"/>
    <w:rsid w:val="00457F59"/>
    <w:rsid w:val="004600A4"/>
    <w:rsid w:val="00460160"/>
    <w:rsid w:val="004601BF"/>
    <w:rsid w:val="0046020E"/>
    <w:rsid w:val="004603F5"/>
    <w:rsid w:val="00460485"/>
    <w:rsid w:val="0046061D"/>
    <w:rsid w:val="0046065D"/>
    <w:rsid w:val="004606D8"/>
    <w:rsid w:val="00460702"/>
    <w:rsid w:val="00460711"/>
    <w:rsid w:val="00460772"/>
    <w:rsid w:val="00460820"/>
    <w:rsid w:val="00460906"/>
    <w:rsid w:val="0046093A"/>
    <w:rsid w:val="00460956"/>
    <w:rsid w:val="00460B8E"/>
    <w:rsid w:val="00460CC0"/>
    <w:rsid w:val="00460D0B"/>
    <w:rsid w:val="00460F11"/>
    <w:rsid w:val="00460F25"/>
    <w:rsid w:val="00460F9E"/>
    <w:rsid w:val="00460F9F"/>
    <w:rsid w:val="004610EC"/>
    <w:rsid w:val="004610EF"/>
    <w:rsid w:val="00461130"/>
    <w:rsid w:val="004611AC"/>
    <w:rsid w:val="0046129B"/>
    <w:rsid w:val="0046135E"/>
    <w:rsid w:val="00461388"/>
    <w:rsid w:val="004613C1"/>
    <w:rsid w:val="004613E7"/>
    <w:rsid w:val="0046146A"/>
    <w:rsid w:val="0046164F"/>
    <w:rsid w:val="004617B3"/>
    <w:rsid w:val="004617C6"/>
    <w:rsid w:val="004617EC"/>
    <w:rsid w:val="00461815"/>
    <w:rsid w:val="0046185C"/>
    <w:rsid w:val="004618D5"/>
    <w:rsid w:val="00461AAC"/>
    <w:rsid w:val="00461AEE"/>
    <w:rsid w:val="00461C0C"/>
    <w:rsid w:val="00461CE5"/>
    <w:rsid w:val="00461EA4"/>
    <w:rsid w:val="00461F13"/>
    <w:rsid w:val="00461F8F"/>
    <w:rsid w:val="004620A3"/>
    <w:rsid w:val="004621AE"/>
    <w:rsid w:val="0046222C"/>
    <w:rsid w:val="0046227E"/>
    <w:rsid w:val="004622FA"/>
    <w:rsid w:val="0046231B"/>
    <w:rsid w:val="0046238A"/>
    <w:rsid w:val="00462398"/>
    <w:rsid w:val="0046241F"/>
    <w:rsid w:val="00462453"/>
    <w:rsid w:val="00462505"/>
    <w:rsid w:val="004625C9"/>
    <w:rsid w:val="004627D8"/>
    <w:rsid w:val="0046285E"/>
    <w:rsid w:val="00462887"/>
    <w:rsid w:val="004628B9"/>
    <w:rsid w:val="004628D1"/>
    <w:rsid w:val="004629D8"/>
    <w:rsid w:val="00462A2C"/>
    <w:rsid w:val="00462A9F"/>
    <w:rsid w:val="00462AA2"/>
    <w:rsid w:val="00462AB6"/>
    <w:rsid w:val="00462AFE"/>
    <w:rsid w:val="00462B55"/>
    <w:rsid w:val="00462C45"/>
    <w:rsid w:val="00462C4F"/>
    <w:rsid w:val="00462C75"/>
    <w:rsid w:val="00462CC8"/>
    <w:rsid w:val="00462D70"/>
    <w:rsid w:val="00462E37"/>
    <w:rsid w:val="00462F6C"/>
    <w:rsid w:val="00462FF2"/>
    <w:rsid w:val="004630C1"/>
    <w:rsid w:val="004632B2"/>
    <w:rsid w:val="00463414"/>
    <w:rsid w:val="004634B1"/>
    <w:rsid w:val="0046373D"/>
    <w:rsid w:val="00463A1F"/>
    <w:rsid w:val="00463AC7"/>
    <w:rsid w:val="00463C13"/>
    <w:rsid w:val="00463C1E"/>
    <w:rsid w:val="00463C4C"/>
    <w:rsid w:val="00463CAA"/>
    <w:rsid w:val="00463E28"/>
    <w:rsid w:val="00463E2B"/>
    <w:rsid w:val="00463F6D"/>
    <w:rsid w:val="00463FCA"/>
    <w:rsid w:val="0046400B"/>
    <w:rsid w:val="004640A3"/>
    <w:rsid w:val="004640A7"/>
    <w:rsid w:val="00464123"/>
    <w:rsid w:val="00464125"/>
    <w:rsid w:val="00464131"/>
    <w:rsid w:val="00464231"/>
    <w:rsid w:val="0046437E"/>
    <w:rsid w:val="00464572"/>
    <w:rsid w:val="004645EC"/>
    <w:rsid w:val="004646B7"/>
    <w:rsid w:val="00464723"/>
    <w:rsid w:val="004647B8"/>
    <w:rsid w:val="004649E0"/>
    <w:rsid w:val="004649EB"/>
    <w:rsid w:val="00464BC7"/>
    <w:rsid w:val="00464C27"/>
    <w:rsid w:val="00464C55"/>
    <w:rsid w:val="00464C6B"/>
    <w:rsid w:val="00464C78"/>
    <w:rsid w:val="00464C7E"/>
    <w:rsid w:val="00464E37"/>
    <w:rsid w:val="00464EA9"/>
    <w:rsid w:val="00464FEC"/>
    <w:rsid w:val="00465031"/>
    <w:rsid w:val="004650B8"/>
    <w:rsid w:val="0046515C"/>
    <w:rsid w:val="004651CC"/>
    <w:rsid w:val="00465237"/>
    <w:rsid w:val="00465240"/>
    <w:rsid w:val="004653B9"/>
    <w:rsid w:val="00465413"/>
    <w:rsid w:val="0046543B"/>
    <w:rsid w:val="00465474"/>
    <w:rsid w:val="004654CC"/>
    <w:rsid w:val="00465504"/>
    <w:rsid w:val="00465507"/>
    <w:rsid w:val="00465549"/>
    <w:rsid w:val="00465553"/>
    <w:rsid w:val="004655D3"/>
    <w:rsid w:val="004657D0"/>
    <w:rsid w:val="004659A0"/>
    <w:rsid w:val="00465A46"/>
    <w:rsid w:val="00465BD5"/>
    <w:rsid w:val="00465CD0"/>
    <w:rsid w:val="00465E1D"/>
    <w:rsid w:val="00465E59"/>
    <w:rsid w:val="00465E8F"/>
    <w:rsid w:val="00465EA5"/>
    <w:rsid w:val="00465EBC"/>
    <w:rsid w:val="00465ECC"/>
    <w:rsid w:val="00465F8F"/>
    <w:rsid w:val="0046607F"/>
    <w:rsid w:val="004660BE"/>
    <w:rsid w:val="0046611C"/>
    <w:rsid w:val="0046614A"/>
    <w:rsid w:val="004661BE"/>
    <w:rsid w:val="00466347"/>
    <w:rsid w:val="00466578"/>
    <w:rsid w:val="00466762"/>
    <w:rsid w:val="004668F0"/>
    <w:rsid w:val="00466905"/>
    <w:rsid w:val="00466942"/>
    <w:rsid w:val="004669E1"/>
    <w:rsid w:val="00466A71"/>
    <w:rsid w:val="00466C09"/>
    <w:rsid w:val="00466C6C"/>
    <w:rsid w:val="00466EB7"/>
    <w:rsid w:val="00466EB8"/>
    <w:rsid w:val="00466EC4"/>
    <w:rsid w:val="00466EFC"/>
    <w:rsid w:val="00466FF7"/>
    <w:rsid w:val="00467096"/>
    <w:rsid w:val="0046717F"/>
    <w:rsid w:val="00467392"/>
    <w:rsid w:val="004673A1"/>
    <w:rsid w:val="0046743C"/>
    <w:rsid w:val="00467460"/>
    <w:rsid w:val="004674B9"/>
    <w:rsid w:val="004674C2"/>
    <w:rsid w:val="0046756A"/>
    <w:rsid w:val="004675E2"/>
    <w:rsid w:val="004675E7"/>
    <w:rsid w:val="004677EA"/>
    <w:rsid w:val="00467839"/>
    <w:rsid w:val="00467848"/>
    <w:rsid w:val="00467AA4"/>
    <w:rsid w:val="00467B95"/>
    <w:rsid w:val="00467C4A"/>
    <w:rsid w:val="00467D2A"/>
    <w:rsid w:val="00467E67"/>
    <w:rsid w:val="00467FD9"/>
    <w:rsid w:val="0046B747"/>
    <w:rsid w:val="00470186"/>
    <w:rsid w:val="004701B2"/>
    <w:rsid w:val="00470210"/>
    <w:rsid w:val="0047021A"/>
    <w:rsid w:val="00470227"/>
    <w:rsid w:val="00470256"/>
    <w:rsid w:val="0047026A"/>
    <w:rsid w:val="00470314"/>
    <w:rsid w:val="0047035C"/>
    <w:rsid w:val="0047045D"/>
    <w:rsid w:val="004704B0"/>
    <w:rsid w:val="004705F8"/>
    <w:rsid w:val="00470651"/>
    <w:rsid w:val="0047065E"/>
    <w:rsid w:val="00470842"/>
    <w:rsid w:val="004708F7"/>
    <w:rsid w:val="004709E8"/>
    <w:rsid w:val="00470A78"/>
    <w:rsid w:val="00470A96"/>
    <w:rsid w:val="00470AA0"/>
    <w:rsid w:val="00470B2E"/>
    <w:rsid w:val="00470B47"/>
    <w:rsid w:val="00470CC6"/>
    <w:rsid w:val="00470D8D"/>
    <w:rsid w:val="00470E3A"/>
    <w:rsid w:val="00470EA4"/>
    <w:rsid w:val="00470EF5"/>
    <w:rsid w:val="00470F38"/>
    <w:rsid w:val="0047100B"/>
    <w:rsid w:val="004710AB"/>
    <w:rsid w:val="004710B6"/>
    <w:rsid w:val="0047125B"/>
    <w:rsid w:val="004712DB"/>
    <w:rsid w:val="004712F7"/>
    <w:rsid w:val="004713CF"/>
    <w:rsid w:val="0047150D"/>
    <w:rsid w:val="0047151A"/>
    <w:rsid w:val="0047151F"/>
    <w:rsid w:val="00471692"/>
    <w:rsid w:val="004716BF"/>
    <w:rsid w:val="004716E0"/>
    <w:rsid w:val="0047172F"/>
    <w:rsid w:val="004718C8"/>
    <w:rsid w:val="00471963"/>
    <w:rsid w:val="0047199E"/>
    <w:rsid w:val="004719E9"/>
    <w:rsid w:val="00471A88"/>
    <w:rsid w:val="00471BF0"/>
    <w:rsid w:val="00471CD8"/>
    <w:rsid w:val="00471D62"/>
    <w:rsid w:val="00471D83"/>
    <w:rsid w:val="00471D8A"/>
    <w:rsid w:val="00471E01"/>
    <w:rsid w:val="00471FF4"/>
    <w:rsid w:val="00472065"/>
    <w:rsid w:val="004720F0"/>
    <w:rsid w:val="00472192"/>
    <w:rsid w:val="004721C0"/>
    <w:rsid w:val="0047224F"/>
    <w:rsid w:val="00472256"/>
    <w:rsid w:val="00472384"/>
    <w:rsid w:val="00472673"/>
    <w:rsid w:val="0047274F"/>
    <w:rsid w:val="004727FA"/>
    <w:rsid w:val="00472890"/>
    <w:rsid w:val="00472946"/>
    <w:rsid w:val="00472A7F"/>
    <w:rsid w:val="00472D07"/>
    <w:rsid w:val="00472EA9"/>
    <w:rsid w:val="00473067"/>
    <w:rsid w:val="00473109"/>
    <w:rsid w:val="0047318C"/>
    <w:rsid w:val="004732FC"/>
    <w:rsid w:val="004734CE"/>
    <w:rsid w:val="00473510"/>
    <w:rsid w:val="00473513"/>
    <w:rsid w:val="00473524"/>
    <w:rsid w:val="00473624"/>
    <w:rsid w:val="00473674"/>
    <w:rsid w:val="00473725"/>
    <w:rsid w:val="0047374E"/>
    <w:rsid w:val="00473764"/>
    <w:rsid w:val="00473985"/>
    <w:rsid w:val="0047399E"/>
    <w:rsid w:val="00473A05"/>
    <w:rsid w:val="00473A83"/>
    <w:rsid w:val="00473A84"/>
    <w:rsid w:val="00473AA1"/>
    <w:rsid w:val="00473BBC"/>
    <w:rsid w:val="00473BF8"/>
    <w:rsid w:val="00473C9F"/>
    <w:rsid w:val="00473CC5"/>
    <w:rsid w:val="00473CC7"/>
    <w:rsid w:val="00473EB8"/>
    <w:rsid w:val="00473EBB"/>
    <w:rsid w:val="00473EC3"/>
    <w:rsid w:val="00473FAE"/>
    <w:rsid w:val="00473FB7"/>
    <w:rsid w:val="00473FDB"/>
    <w:rsid w:val="0047409E"/>
    <w:rsid w:val="004740C4"/>
    <w:rsid w:val="004740E1"/>
    <w:rsid w:val="004740EE"/>
    <w:rsid w:val="004741A5"/>
    <w:rsid w:val="00474334"/>
    <w:rsid w:val="0047457D"/>
    <w:rsid w:val="004745BF"/>
    <w:rsid w:val="004745DB"/>
    <w:rsid w:val="004745E4"/>
    <w:rsid w:val="00474604"/>
    <w:rsid w:val="0047478B"/>
    <w:rsid w:val="00474815"/>
    <w:rsid w:val="00474831"/>
    <w:rsid w:val="00474962"/>
    <w:rsid w:val="004749AB"/>
    <w:rsid w:val="00474AC1"/>
    <w:rsid w:val="00474D30"/>
    <w:rsid w:val="00474E2C"/>
    <w:rsid w:val="00474E30"/>
    <w:rsid w:val="00475037"/>
    <w:rsid w:val="00475063"/>
    <w:rsid w:val="004753C2"/>
    <w:rsid w:val="004753CF"/>
    <w:rsid w:val="00475448"/>
    <w:rsid w:val="0047545E"/>
    <w:rsid w:val="00475573"/>
    <w:rsid w:val="00475598"/>
    <w:rsid w:val="00475654"/>
    <w:rsid w:val="00475727"/>
    <w:rsid w:val="0047589A"/>
    <w:rsid w:val="004758CB"/>
    <w:rsid w:val="004758DB"/>
    <w:rsid w:val="0047592B"/>
    <w:rsid w:val="00475930"/>
    <w:rsid w:val="00475989"/>
    <w:rsid w:val="00475B11"/>
    <w:rsid w:val="00475BDA"/>
    <w:rsid w:val="00475BF7"/>
    <w:rsid w:val="00475C70"/>
    <w:rsid w:val="00475CDF"/>
    <w:rsid w:val="00475CEA"/>
    <w:rsid w:val="00475D71"/>
    <w:rsid w:val="00475E12"/>
    <w:rsid w:val="00475F49"/>
    <w:rsid w:val="00476066"/>
    <w:rsid w:val="00476085"/>
    <w:rsid w:val="004760C1"/>
    <w:rsid w:val="004762A4"/>
    <w:rsid w:val="004762E5"/>
    <w:rsid w:val="0047637E"/>
    <w:rsid w:val="004763DD"/>
    <w:rsid w:val="0047659A"/>
    <w:rsid w:val="00476671"/>
    <w:rsid w:val="00476751"/>
    <w:rsid w:val="004767B0"/>
    <w:rsid w:val="0047681F"/>
    <w:rsid w:val="004768AA"/>
    <w:rsid w:val="004768FF"/>
    <w:rsid w:val="00476A6E"/>
    <w:rsid w:val="00476B7D"/>
    <w:rsid w:val="00476C6A"/>
    <w:rsid w:val="00476CE6"/>
    <w:rsid w:val="00476D42"/>
    <w:rsid w:val="00476EA4"/>
    <w:rsid w:val="00476F5C"/>
    <w:rsid w:val="00476F79"/>
    <w:rsid w:val="004770E0"/>
    <w:rsid w:val="00477481"/>
    <w:rsid w:val="00477695"/>
    <w:rsid w:val="004776F9"/>
    <w:rsid w:val="00477701"/>
    <w:rsid w:val="00477716"/>
    <w:rsid w:val="0047772F"/>
    <w:rsid w:val="004777DF"/>
    <w:rsid w:val="00477823"/>
    <w:rsid w:val="004778BD"/>
    <w:rsid w:val="0047799F"/>
    <w:rsid w:val="00477AD1"/>
    <w:rsid w:val="00477B50"/>
    <w:rsid w:val="00477BC2"/>
    <w:rsid w:val="00477BD2"/>
    <w:rsid w:val="00477CD8"/>
    <w:rsid w:val="00477EEA"/>
    <w:rsid w:val="00477F0B"/>
    <w:rsid w:val="00477F3D"/>
    <w:rsid w:val="004800AD"/>
    <w:rsid w:val="0048019F"/>
    <w:rsid w:val="00480223"/>
    <w:rsid w:val="0048023B"/>
    <w:rsid w:val="004802AB"/>
    <w:rsid w:val="004802BF"/>
    <w:rsid w:val="00480444"/>
    <w:rsid w:val="0048050C"/>
    <w:rsid w:val="0048059C"/>
    <w:rsid w:val="004805CB"/>
    <w:rsid w:val="004806BF"/>
    <w:rsid w:val="00480715"/>
    <w:rsid w:val="0048075A"/>
    <w:rsid w:val="0048097A"/>
    <w:rsid w:val="00480AD3"/>
    <w:rsid w:val="00480B02"/>
    <w:rsid w:val="00480B3E"/>
    <w:rsid w:val="00480B8A"/>
    <w:rsid w:val="00480BAC"/>
    <w:rsid w:val="00480DF0"/>
    <w:rsid w:val="00480EE1"/>
    <w:rsid w:val="00480FA6"/>
    <w:rsid w:val="00480FB8"/>
    <w:rsid w:val="00481017"/>
    <w:rsid w:val="004810B6"/>
    <w:rsid w:val="00481101"/>
    <w:rsid w:val="00481131"/>
    <w:rsid w:val="0048116C"/>
    <w:rsid w:val="004811DC"/>
    <w:rsid w:val="00481201"/>
    <w:rsid w:val="00481225"/>
    <w:rsid w:val="004812A6"/>
    <w:rsid w:val="00481615"/>
    <w:rsid w:val="004816C1"/>
    <w:rsid w:val="0048186D"/>
    <w:rsid w:val="00481914"/>
    <w:rsid w:val="00481981"/>
    <w:rsid w:val="004819F6"/>
    <w:rsid w:val="00481A5E"/>
    <w:rsid w:val="00481A6A"/>
    <w:rsid w:val="00481AD8"/>
    <w:rsid w:val="00481AFC"/>
    <w:rsid w:val="00481C0E"/>
    <w:rsid w:val="00481C5A"/>
    <w:rsid w:val="00481D5F"/>
    <w:rsid w:val="00481F99"/>
    <w:rsid w:val="00481FB1"/>
    <w:rsid w:val="00481FE1"/>
    <w:rsid w:val="004820C7"/>
    <w:rsid w:val="004820D9"/>
    <w:rsid w:val="00482176"/>
    <w:rsid w:val="00482248"/>
    <w:rsid w:val="00482377"/>
    <w:rsid w:val="0048238B"/>
    <w:rsid w:val="0048245F"/>
    <w:rsid w:val="00482741"/>
    <w:rsid w:val="0048279D"/>
    <w:rsid w:val="004827A9"/>
    <w:rsid w:val="00482814"/>
    <w:rsid w:val="004828C3"/>
    <w:rsid w:val="00482926"/>
    <w:rsid w:val="00482990"/>
    <w:rsid w:val="00482B64"/>
    <w:rsid w:val="00482D1D"/>
    <w:rsid w:val="00482D3E"/>
    <w:rsid w:val="00482E24"/>
    <w:rsid w:val="00482E5E"/>
    <w:rsid w:val="00482F59"/>
    <w:rsid w:val="00483057"/>
    <w:rsid w:val="0048312C"/>
    <w:rsid w:val="00483231"/>
    <w:rsid w:val="0048325E"/>
    <w:rsid w:val="00483265"/>
    <w:rsid w:val="0048340C"/>
    <w:rsid w:val="004834BA"/>
    <w:rsid w:val="004835EA"/>
    <w:rsid w:val="004836C8"/>
    <w:rsid w:val="004836F4"/>
    <w:rsid w:val="00483783"/>
    <w:rsid w:val="00483850"/>
    <w:rsid w:val="0048394D"/>
    <w:rsid w:val="00483B72"/>
    <w:rsid w:val="00483BC4"/>
    <w:rsid w:val="00483D1C"/>
    <w:rsid w:val="00483D36"/>
    <w:rsid w:val="00483F24"/>
    <w:rsid w:val="00484074"/>
    <w:rsid w:val="004840D6"/>
    <w:rsid w:val="004840FD"/>
    <w:rsid w:val="00484135"/>
    <w:rsid w:val="004841A9"/>
    <w:rsid w:val="004841E4"/>
    <w:rsid w:val="0048427A"/>
    <w:rsid w:val="00484300"/>
    <w:rsid w:val="0048438C"/>
    <w:rsid w:val="00484396"/>
    <w:rsid w:val="004843CF"/>
    <w:rsid w:val="00484465"/>
    <w:rsid w:val="004845AF"/>
    <w:rsid w:val="004845DC"/>
    <w:rsid w:val="0048475A"/>
    <w:rsid w:val="004847A3"/>
    <w:rsid w:val="0048482E"/>
    <w:rsid w:val="004848C6"/>
    <w:rsid w:val="00484936"/>
    <w:rsid w:val="004849A5"/>
    <w:rsid w:val="00484A6F"/>
    <w:rsid w:val="00484BA9"/>
    <w:rsid w:val="00484BE5"/>
    <w:rsid w:val="00484C61"/>
    <w:rsid w:val="00484D39"/>
    <w:rsid w:val="00484E4E"/>
    <w:rsid w:val="00484F58"/>
    <w:rsid w:val="00484F97"/>
    <w:rsid w:val="00484FB4"/>
    <w:rsid w:val="0048502E"/>
    <w:rsid w:val="00485149"/>
    <w:rsid w:val="004851F2"/>
    <w:rsid w:val="004853E1"/>
    <w:rsid w:val="0048546F"/>
    <w:rsid w:val="00485495"/>
    <w:rsid w:val="00485574"/>
    <w:rsid w:val="004856DB"/>
    <w:rsid w:val="0048578C"/>
    <w:rsid w:val="004858FA"/>
    <w:rsid w:val="00485AA6"/>
    <w:rsid w:val="00485AF4"/>
    <w:rsid w:val="00485BF2"/>
    <w:rsid w:val="00485DE9"/>
    <w:rsid w:val="00485E40"/>
    <w:rsid w:val="00485E4A"/>
    <w:rsid w:val="00485EED"/>
    <w:rsid w:val="00485F4C"/>
    <w:rsid w:val="00485FED"/>
    <w:rsid w:val="0048605F"/>
    <w:rsid w:val="0048606B"/>
    <w:rsid w:val="00486157"/>
    <w:rsid w:val="0048632B"/>
    <w:rsid w:val="0048649D"/>
    <w:rsid w:val="00486510"/>
    <w:rsid w:val="0048664B"/>
    <w:rsid w:val="004867AC"/>
    <w:rsid w:val="004867AF"/>
    <w:rsid w:val="004868BA"/>
    <w:rsid w:val="0048694B"/>
    <w:rsid w:val="0048697A"/>
    <w:rsid w:val="0048699F"/>
    <w:rsid w:val="004869DB"/>
    <w:rsid w:val="00486B1C"/>
    <w:rsid w:val="00486B49"/>
    <w:rsid w:val="00486BBE"/>
    <w:rsid w:val="00486C13"/>
    <w:rsid w:val="00486C59"/>
    <w:rsid w:val="00486C5C"/>
    <w:rsid w:val="00486E80"/>
    <w:rsid w:val="00486E97"/>
    <w:rsid w:val="00486EED"/>
    <w:rsid w:val="00486F16"/>
    <w:rsid w:val="00486FDD"/>
    <w:rsid w:val="004870BB"/>
    <w:rsid w:val="00487179"/>
    <w:rsid w:val="004871F0"/>
    <w:rsid w:val="00487242"/>
    <w:rsid w:val="0048736D"/>
    <w:rsid w:val="0048736F"/>
    <w:rsid w:val="004874AA"/>
    <w:rsid w:val="004874D8"/>
    <w:rsid w:val="004874F8"/>
    <w:rsid w:val="00487528"/>
    <w:rsid w:val="004875A9"/>
    <w:rsid w:val="00487801"/>
    <w:rsid w:val="00487841"/>
    <w:rsid w:val="00487899"/>
    <w:rsid w:val="00487948"/>
    <w:rsid w:val="00487AD5"/>
    <w:rsid w:val="00487B22"/>
    <w:rsid w:val="00487B41"/>
    <w:rsid w:val="00487D2E"/>
    <w:rsid w:val="00487D5C"/>
    <w:rsid w:val="00487D96"/>
    <w:rsid w:val="00487E8E"/>
    <w:rsid w:val="00487F6A"/>
    <w:rsid w:val="00490073"/>
    <w:rsid w:val="00490088"/>
    <w:rsid w:val="00490142"/>
    <w:rsid w:val="0049038A"/>
    <w:rsid w:val="00490391"/>
    <w:rsid w:val="004903CA"/>
    <w:rsid w:val="004903DB"/>
    <w:rsid w:val="0049040D"/>
    <w:rsid w:val="0049058E"/>
    <w:rsid w:val="004905AB"/>
    <w:rsid w:val="0049062E"/>
    <w:rsid w:val="004906F0"/>
    <w:rsid w:val="00490929"/>
    <w:rsid w:val="0049097C"/>
    <w:rsid w:val="004909AB"/>
    <w:rsid w:val="00490A38"/>
    <w:rsid w:val="00490AE0"/>
    <w:rsid w:val="00490B58"/>
    <w:rsid w:val="00490BA4"/>
    <w:rsid w:val="00490BC8"/>
    <w:rsid w:val="00490BCC"/>
    <w:rsid w:val="00490C16"/>
    <w:rsid w:val="00490C27"/>
    <w:rsid w:val="00490C64"/>
    <w:rsid w:val="00490C70"/>
    <w:rsid w:val="00490C90"/>
    <w:rsid w:val="00490C94"/>
    <w:rsid w:val="00490CB5"/>
    <w:rsid w:val="00490D15"/>
    <w:rsid w:val="00490DF7"/>
    <w:rsid w:val="00490E79"/>
    <w:rsid w:val="00490F3C"/>
    <w:rsid w:val="00490FA1"/>
    <w:rsid w:val="00490FDD"/>
    <w:rsid w:val="0049111F"/>
    <w:rsid w:val="00491141"/>
    <w:rsid w:val="00491217"/>
    <w:rsid w:val="0049123D"/>
    <w:rsid w:val="00491269"/>
    <w:rsid w:val="00491284"/>
    <w:rsid w:val="004912C8"/>
    <w:rsid w:val="00491491"/>
    <w:rsid w:val="00491521"/>
    <w:rsid w:val="00491563"/>
    <w:rsid w:val="00491587"/>
    <w:rsid w:val="004915DC"/>
    <w:rsid w:val="004915FB"/>
    <w:rsid w:val="0049171C"/>
    <w:rsid w:val="00491782"/>
    <w:rsid w:val="004917D7"/>
    <w:rsid w:val="0049180A"/>
    <w:rsid w:val="00491917"/>
    <w:rsid w:val="004919DF"/>
    <w:rsid w:val="00491A50"/>
    <w:rsid w:val="00491A66"/>
    <w:rsid w:val="00491A71"/>
    <w:rsid w:val="00491A89"/>
    <w:rsid w:val="00491AC8"/>
    <w:rsid w:val="00491ADA"/>
    <w:rsid w:val="00491BA0"/>
    <w:rsid w:val="00491C4E"/>
    <w:rsid w:val="00491CDB"/>
    <w:rsid w:val="00491E6D"/>
    <w:rsid w:val="00491EAF"/>
    <w:rsid w:val="00491F0D"/>
    <w:rsid w:val="00491FC5"/>
    <w:rsid w:val="00491FEF"/>
    <w:rsid w:val="00492133"/>
    <w:rsid w:val="0049214D"/>
    <w:rsid w:val="0049217D"/>
    <w:rsid w:val="00492259"/>
    <w:rsid w:val="004922C0"/>
    <w:rsid w:val="00492344"/>
    <w:rsid w:val="00492360"/>
    <w:rsid w:val="00492589"/>
    <w:rsid w:val="004926CC"/>
    <w:rsid w:val="00492776"/>
    <w:rsid w:val="004927D6"/>
    <w:rsid w:val="00492A4A"/>
    <w:rsid w:val="00492AEA"/>
    <w:rsid w:val="00492B87"/>
    <w:rsid w:val="00492C9E"/>
    <w:rsid w:val="00492D79"/>
    <w:rsid w:val="00492E22"/>
    <w:rsid w:val="00492E25"/>
    <w:rsid w:val="00492F72"/>
    <w:rsid w:val="00492F91"/>
    <w:rsid w:val="00492FD6"/>
    <w:rsid w:val="00493227"/>
    <w:rsid w:val="004932CB"/>
    <w:rsid w:val="004933DD"/>
    <w:rsid w:val="0049347E"/>
    <w:rsid w:val="004934CD"/>
    <w:rsid w:val="00493557"/>
    <w:rsid w:val="004935F9"/>
    <w:rsid w:val="004937C2"/>
    <w:rsid w:val="0049397C"/>
    <w:rsid w:val="004939C0"/>
    <w:rsid w:val="00493BD7"/>
    <w:rsid w:val="00493C03"/>
    <w:rsid w:val="00493DC9"/>
    <w:rsid w:val="00493E1C"/>
    <w:rsid w:val="00493E9A"/>
    <w:rsid w:val="00493F78"/>
    <w:rsid w:val="00493F8C"/>
    <w:rsid w:val="004940D0"/>
    <w:rsid w:val="00494107"/>
    <w:rsid w:val="00494136"/>
    <w:rsid w:val="00494190"/>
    <w:rsid w:val="004941BF"/>
    <w:rsid w:val="004941C8"/>
    <w:rsid w:val="00494373"/>
    <w:rsid w:val="004943BF"/>
    <w:rsid w:val="00494430"/>
    <w:rsid w:val="0049447C"/>
    <w:rsid w:val="004944E4"/>
    <w:rsid w:val="004945E0"/>
    <w:rsid w:val="004945E7"/>
    <w:rsid w:val="0049467F"/>
    <w:rsid w:val="00494985"/>
    <w:rsid w:val="00494A3B"/>
    <w:rsid w:val="00494AAC"/>
    <w:rsid w:val="00494ADC"/>
    <w:rsid w:val="00494AF1"/>
    <w:rsid w:val="00494B21"/>
    <w:rsid w:val="00494C35"/>
    <w:rsid w:val="00494CF9"/>
    <w:rsid w:val="00494DD0"/>
    <w:rsid w:val="00494E96"/>
    <w:rsid w:val="00494F47"/>
    <w:rsid w:val="004950FF"/>
    <w:rsid w:val="00495143"/>
    <w:rsid w:val="0049537A"/>
    <w:rsid w:val="004953E2"/>
    <w:rsid w:val="004954D1"/>
    <w:rsid w:val="004954DA"/>
    <w:rsid w:val="0049567F"/>
    <w:rsid w:val="00495762"/>
    <w:rsid w:val="004959EE"/>
    <w:rsid w:val="004959F7"/>
    <w:rsid w:val="00495A84"/>
    <w:rsid w:val="00495B30"/>
    <w:rsid w:val="00495B40"/>
    <w:rsid w:val="00495B4A"/>
    <w:rsid w:val="00495B6B"/>
    <w:rsid w:val="00495BD0"/>
    <w:rsid w:val="00495C18"/>
    <w:rsid w:val="00495CC0"/>
    <w:rsid w:val="00495D06"/>
    <w:rsid w:val="00495D4B"/>
    <w:rsid w:val="00495DFE"/>
    <w:rsid w:val="00495E00"/>
    <w:rsid w:val="00495EAE"/>
    <w:rsid w:val="00495FEB"/>
    <w:rsid w:val="0049611E"/>
    <w:rsid w:val="004961E4"/>
    <w:rsid w:val="004962D2"/>
    <w:rsid w:val="0049636C"/>
    <w:rsid w:val="004963AB"/>
    <w:rsid w:val="004963F8"/>
    <w:rsid w:val="0049646D"/>
    <w:rsid w:val="0049647E"/>
    <w:rsid w:val="00496487"/>
    <w:rsid w:val="00496585"/>
    <w:rsid w:val="004965F2"/>
    <w:rsid w:val="004965FB"/>
    <w:rsid w:val="0049691E"/>
    <w:rsid w:val="004969A3"/>
    <w:rsid w:val="00496C11"/>
    <w:rsid w:val="00496D08"/>
    <w:rsid w:val="00496D37"/>
    <w:rsid w:val="00496D4E"/>
    <w:rsid w:val="00496DE4"/>
    <w:rsid w:val="00496E1A"/>
    <w:rsid w:val="00496E1B"/>
    <w:rsid w:val="00496E72"/>
    <w:rsid w:val="00496EBB"/>
    <w:rsid w:val="00496F6C"/>
    <w:rsid w:val="00496FE3"/>
    <w:rsid w:val="004970E6"/>
    <w:rsid w:val="00497111"/>
    <w:rsid w:val="00497242"/>
    <w:rsid w:val="0049724F"/>
    <w:rsid w:val="004972C1"/>
    <w:rsid w:val="00497418"/>
    <w:rsid w:val="0049759F"/>
    <w:rsid w:val="00497614"/>
    <w:rsid w:val="00497616"/>
    <w:rsid w:val="004976B9"/>
    <w:rsid w:val="004977A9"/>
    <w:rsid w:val="004977FD"/>
    <w:rsid w:val="00497838"/>
    <w:rsid w:val="0049791A"/>
    <w:rsid w:val="00497957"/>
    <w:rsid w:val="00497988"/>
    <w:rsid w:val="00497999"/>
    <w:rsid w:val="00497A3E"/>
    <w:rsid w:val="00497ABD"/>
    <w:rsid w:val="00497BA0"/>
    <w:rsid w:val="00497C3A"/>
    <w:rsid w:val="00497DE9"/>
    <w:rsid w:val="00497E94"/>
    <w:rsid w:val="00497F6E"/>
    <w:rsid w:val="00497F80"/>
    <w:rsid w:val="00497F84"/>
    <w:rsid w:val="004A0060"/>
    <w:rsid w:val="004A008A"/>
    <w:rsid w:val="004A0120"/>
    <w:rsid w:val="004A0168"/>
    <w:rsid w:val="004A019D"/>
    <w:rsid w:val="004A029B"/>
    <w:rsid w:val="004A02B1"/>
    <w:rsid w:val="004A032B"/>
    <w:rsid w:val="004A03F2"/>
    <w:rsid w:val="004A04CD"/>
    <w:rsid w:val="004A08C6"/>
    <w:rsid w:val="004A0989"/>
    <w:rsid w:val="004A0A2D"/>
    <w:rsid w:val="004A0A94"/>
    <w:rsid w:val="004A0CDB"/>
    <w:rsid w:val="004A0ED1"/>
    <w:rsid w:val="004A0EDC"/>
    <w:rsid w:val="004A0F11"/>
    <w:rsid w:val="004A1035"/>
    <w:rsid w:val="004A10A1"/>
    <w:rsid w:val="004A11A4"/>
    <w:rsid w:val="004A11AC"/>
    <w:rsid w:val="004A1209"/>
    <w:rsid w:val="004A132B"/>
    <w:rsid w:val="004A132C"/>
    <w:rsid w:val="004A1354"/>
    <w:rsid w:val="004A13EE"/>
    <w:rsid w:val="004A1439"/>
    <w:rsid w:val="004A15C2"/>
    <w:rsid w:val="004A17C1"/>
    <w:rsid w:val="004A1879"/>
    <w:rsid w:val="004A1884"/>
    <w:rsid w:val="004A1AC0"/>
    <w:rsid w:val="004A1B95"/>
    <w:rsid w:val="004A1D06"/>
    <w:rsid w:val="004A1EA9"/>
    <w:rsid w:val="004A1EDA"/>
    <w:rsid w:val="004A2048"/>
    <w:rsid w:val="004A20D6"/>
    <w:rsid w:val="004A21BE"/>
    <w:rsid w:val="004A21C2"/>
    <w:rsid w:val="004A2235"/>
    <w:rsid w:val="004A224D"/>
    <w:rsid w:val="004A228D"/>
    <w:rsid w:val="004A22F1"/>
    <w:rsid w:val="004A2614"/>
    <w:rsid w:val="004A26AD"/>
    <w:rsid w:val="004A26DA"/>
    <w:rsid w:val="004A273A"/>
    <w:rsid w:val="004A2839"/>
    <w:rsid w:val="004A2909"/>
    <w:rsid w:val="004A2911"/>
    <w:rsid w:val="004A2949"/>
    <w:rsid w:val="004A2AC5"/>
    <w:rsid w:val="004A2B78"/>
    <w:rsid w:val="004A2BBD"/>
    <w:rsid w:val="004A2C21"/>
    <w:rsid w:val="004A2CB9"/>
    <w:rsid w:val="004A2CBD"/>
    <w:rsid w:val="004A2EA3"/>
    <w:rsid w:val="004A2EBE"/>
    <w:rsid w:val="004A2ED8"/>
    <w:rsid w:val="004A2F47"/>
    <w:rsid w:val="004A2F7B"/>
    <w:rsid w:val="004A2FC9"/>
    <w:rsid w:val="004A3137"/>
    <w:rsid w:val="004A3149"/>
    <w:rsid w:val="004A316B"/>
    <w:rsid w:val="004A3269"/>
    <w:rsid w:val="004A33AB"/>
    <w:rsid w:val="004A33EB"/>
    <w:rsid w:val="004A3494"/>
    <w:rsid w:val="004A3632"/>
    <w:rsid w:val="004A363F"/>
    <w:rsid w:val="004A3668"/>
    <w:rsid w:val="004A3669"/>
    <w:rsid w:val="004A36D2"/>
    <w:rsid w:val="004A3724"/>
    <w:rsid w:val="004A3798"/>
    <w:rsid w:val="004A37BD"/>
    <w:rsid w:val="004A37D7"/>
    <w:rsid w:val="004A3922"/>
    <w:rsid w:val="004A396E"/>
    <w:rsid w:val="004A3990"/>
    <w:rsid w:val="004A39F5"/>
    <w:rsid w:val="004A3B0D"/>
    <w:rsid w:val="004A3B18"/>
    <w:rsid w:val="004A3BD3"/>
    <w:rsid w:val="004A3D15"/>
    <w:rsid w:val="004A3D24"/>
    <w:rsid w:val="004A3E31"/>
    <w:rsid w:val="004A3E82"/>
    <w:rsid w:val="004A3F22"/>
    <w:rsid w:val="004A3F7A"/>
    <w:rsid w:val="004A4008"/>
    <w:rsid w:val="004A400A"/>
    <w:rsid w:val="004A40B1"/>
    <w:rsid w:val="004A41E1"/>
    <w:rsid w:val="004A4221"/>
    <w:rsid w:val="004A4244"/>
    <w:rsid w:val="004A4312"/>
    <w:rsid w:val="004A446A"/>
    <w:rsid w:val="004A449B"/>
    <w:rsid w:val="004A44C3"/>
    <w:rsid w:val="004A44E8"/>
    <w:rsid w:val="004A44F0"/>
    <w:rsid w:val="004A4612"/>
    <w:rsid w:val="004A48FF"/>
    <w:rsid w:val="004A4960"/>
    <w:rsid w:val="004A4A06"/>
    <w:rsid w:val="004A4B1C"/>
    <w:rsid w:val="004A4C82"/>
    <w:rsid w:val="004A4CF1"/>
    <w:rsid w:val="004A4E40"/>
    <w:rsid w:val="004A4EB2"/>
    <w:rsid w:val="004A4F3E"/>
    <w:rsid w:val="004A51EB"/>
    <w:rsid w:val="004A52DB"/>
    <w:rsid w:val="004A52F0"/>
    <w:rsid w:val="004A5345"/>
    <w:rsid w:val="004A54B1"/>
    <w:rsid w:val="004A55EC"/>
    <w:rsid w:val="004A560A"/>
    <w:rsid w:val="004A565E"/>
    <w:rsid w:val="004A5770"/>
    <w:rsid w:val="004A5B93"/>
    <w:rsid w:val="004A5BDF"/>
    <w:rsid w:val="004A5C56"/>
    <w:rsid w:val="004A5D5D"/>
    <w:rsid w:val="004A5FF3"/>
    <w:rsid w:val="004A6003"/>
    <w:rsid w:val="004A60B2"/>
    <w:rsid w:val="004A60E0"/>
    <w:rsid w:val="004A610F"/>
    <w:rsid w:val="004A6344"/>
    <w:rsid w:val="004A63A4"/>
    <w:rsid w:val="004A65FF"/>
    <w:rsid w:val="004A6651"/>
    <w:rsid w:val="004A66C6"/>
    <w:rsid w:val="004A672F"/>
    <w:rsid w:val="004A6748"/>
    <w:rsid w:val="004A6795"/>
    <w:rsid w:val="004A6807"/>
    <w:rsid w:val="004A6942"/>
    <w:rsid w:val="004A6BA9"/>
    <w:rsid w:val="004A6BB1"/>
    <w:rsid w:val="004A6BE6"/>
    <w:rsid w:val="004A6CBF"/>
    <w:rsid w:val="004A6E74"/>
    <w:rsid w:val="004A7027"/>
    <w:rsid w:val="004A7049"/>
    <w:rsid w:val="004A713F"/>
    <w:rsid w:val="004A7223"/>
    <w:rsid w:val="004A7449"/>
    <w:rsid w:val="004A7453"/>
    <w:rsid w:val="004A7481"/>
    <w:rsid w:val="004A76CA"/>
    <w:rsid w:val="004A77DB"/>
    <w:rsid w:val="004A7801"/>
    <w:rsid w:val="004A7856"/>
    <w:rsid w:val="004A78F5"/>
    <w:rsid w:val="004A79EF"/>
    <w:rsid w:val="004A7A16"/>
    <w:rsid w:val="004A7B46"/>
    <w:rsid w:val="004A7CD8"/>
    <w:rsid w:val="004A7D56"/>
    <w:rsid w:val="004A7DBD"/>
    <w:rsid w:val="004A7E58"/>
    <w:rsid w:val="004B000F"/>
    <w:rsid w:val="004B002B"/>
    <w:rsid w:val="004B017B"/>
    <w:rsid w:val="004B01C4"/>
    <w:rsid w:val="004B02C6"/>
    <w:rsid w:val="004B03FD"/>
    <w:rsid w:val="004B04EE"/>
    <w:rsid w:val="004B054C"/>
    <w:rsid w:val="004B057D"/>
    <w:rsid w:val="004B05AB"/>
    <w:rsid w:val="004B064B"/>
    <w:rsid w:val="004B0704"/>
    <w:rsid w:val="004B073F"/>
    <w:rsid w:val="004B078D"/>
    <w:rsid w:val="004B07E3"/>
    <w:rsid w:val="004B09A4"/>
    <w:rsid w:val="004B09BA"/>
    <w:rsid w:val="004B0A01"/>
    <w:rsid w:val="004B0A8E"/>
    <w:rsid w:val="004B0A91"/>
    <w:rsid w:val="004B0ABF"/>
    <w:rsid w:val="004B0AF4"/>
    <w:rsid w:val="004B0B2D"/>
    <w:rsid w:val="004B0B4A"/>
    <w:rsid w:val="004B0B6F"/>
    <w:rsid w:val="004B0BAB"/>
    <w:rsid w:val="004B0BE7"/>
    <w:rsid w:val="004B0C26"/>
    <w:rsid w:val="004B0C4D"/>
    <w:rsid w:val="004B0C8E"/>
    <w:rsid w:val="004B0CEE"/>
    <w:rsid w:val="004B0E69"/>
    <w:rsid w:val="004B0EC6"/>
    <w:rsid w:val="004B10BF"/>
    <w:rsid w:val="004B10CB"/>
    <w:rsid w:val="004B1198"/>
    <w:rsid w:val="004B11A5"/>
    <w:rsid w:val="004B1308"/>
    <w:rsid w:val="004B136F"/>
    <w:rsid w:val="004B1417"/>
    <w:rsid w:val="004B1474"/>
    <w:rsid w:val="004B16F2"/>
    <w:rsid w:val="004B1759"/>
    <w:rsid w:val="004B1902"/>
    <w:rsid w:val="004B1979"/>
    <w:rsid w:val="004B19E5"/>
    <w:rsid w:val="004B1A2B"/>
    <w:rsid w:val="004B1AE3"/>
    <w:rsid w:val="004B1AE9"/>
    <w:rsid w:val="004B1BC9"/>
    <w:rsid w:val="004B1BDB"/>
    <w:rsid w:val="004B1C7D"/>
    <w:rsid w:val="004B1D90"/>
    <w:rsid w:val="004B1F70"/>
    <w:rsid w:val="004B1FAC"/>
    <w:rsid w:val="004B20AF"/>
    <w:rsid w:val="004B2173"/>
    <w:rsid w:val="004B224F"/>
    <w:rsid w:val="004B2348"/>
    <w:rsid w:val="004B238C"/>
    <w:rsid w:val="004B2483"/>
    <w:rsid w:val="004B24AB"/>
    <w:rsid w:val="004B24D8"/>
    <w:rsid w:val="004B24DF"/>
    <w:rsid w:val="004B2567"/>
    <w:rsid w:val="004B2594"/>
    <w:rsid w:val="004B27C0"/>
    <w:rsid w:val="004B27D7"/>
    <w:rsid w:val="004B28D5"/>
    <w:rsid w:val="004B28D8"/>
    <w:rsid w:val="004B2918"/>
    <w:rsid w:val="004B2A34"/>
    <w:rsid w:val="004B2ACA"/>
    <w:rsid w:val="004B2BD0"/>
    <w:rsid w:val="004B2C0C"/>
    <w:rsid w:val="004B2C8A"/>
    <w:rsid w:val="004B2D7A"/>
    <w:rsid w:val="004B2DF3"/>
    <w:rsid w:val="004B2DF5"/>
    <w:rsid w:val="004B2E4A"/>
    <w:rsid w:val="004B2E73"/>
    <w:rsid w:val="004B2F4F"/>
    <w:rsid w:val="004B3039"/>
    <w:rsid w:val="004B312F"/>
    <w:rsid w:val="004B31FD"/>
    <w:rsid w:val="004B3297"/>
    <w:rsid w:val="004B32C4"/>
    <w:rsid w:val="004B33A2"/>
    <w:rsid w:val="004B35C9"/>
    <w:rsid w:val="004B369F"/>
    <w:rsid w:val="004B37E5"/>
    <w:rsid w:val="004B3868"/>
    <w:rsid w:val="004B387E"/>
    <w:rsid w:val="004B38BB"/>
    <w:rsid w:val="004B392A"/>
    <w:rsid w:val="004B3946"/>
    <w:rsid w:val="004B3954"/>
    <w:rsid w:val="004B3B83"/>
    <w:rsid w:val="004B3B99"/>
    <w:rsid w:val="004B3D29"/>
    <w:rsid w:val="004B3EA0"/>
    <w:rsid w:val="004B3EA6"/>
    <w:rsid w:val="004B3F14"/>
    <w:rsid w:val="004B3F15"/>
    <w:rsid w:val="004B3FD4"/>
    <w:rsid w:val="004B4036"/>
    <w:rsid w:val="004B4054"/>
    <w:rsid w:val="004B40E9"/>
    <w:rsid w:val="004B40F1"/>
    <w:rsid w:val="004B414C"/>
    <w:rsid w:val="004B4262"/>
    <w:rsid w:val="004B429D"/>
    <w:rsid w:val="004B42CD"/>
    <w:rsid w:val="004B4312"/>
    <w:rsid w:val="004B4316"/>
    <w:rsid w:val="004B4325"/>
    <w:rsid w:val="004B44A6"/>
    <w:rsid w:val="004B44F0"/>
    <w:rsid w:val="004B4518"/>
    <w:rsid w:val="004B455E"/>
    <w:rsid w:val="004B456A"/>
    <w:rsid w:val="004B457E"/>
    <w:rsid w:val="004B45B0"/>
    <w:rsid w:val="004B46B8"/>
    <w:rsid w:val="004B4752"/>
    <w:rsid w:val="004B48BC"/>
    <w:rsid w:val="004B4A83"/>
    <w:rsid w:val="004B4BFA"/>
    <w:rsid w:val="004B4D01"/>
    <w:rsid w:val="004B4F97"/>
    <w:rsid w:val="004B5078"/>
    <w:rsid w:val="004B50F9"/>
    <w:rsid w:val="004B5109"/>
    <w:rsid w:val="004B5178"/>
    <w:rsid w:val="004B524C"/>
    <w:rsid w:val="004B5285"/>
    <w:rsid w:val="004B5328"/>
    <w:rsid w:val="004B5356"/>
    <w:rsid w:val="004B5483"/>
    <w:rsid w:val="004B54C4"/>
    <w:rsid w:val="004B54CF"/>
    <w:rsid w:val="004B5502"/>
    <w:rsid w:val="004B5507"/>
    <w:rsid w:val="004B551E"/>
    <w:rsid w:val="004B5628"/>
    <w:rsid w:val="004B564E"/>
    <w:rsid w:val="004B56D2"/>
    <w:rsid w:val="004B576D"/>
    <w:rsid w:val="004B5787"/>
    <w:rsid w:val="004B58C0"/>
    <w:rsid w:val="004B59F8"/>
    <w:rsid w:val="004B5A31"/>
    <w:rsid w:val="004B5AC6"/>
    <w:rsid w:val="004B5B20"/>
    <w:rsid w:val="004B5B5D"/>
    <w:rsid w:val="004B5BDA"/>
    <w:rsid w:val="004B5E3D"/>
    <w:rsid w:val="004B5E92"/>
    <w:rsid w:val="004B5EA1"/>
    <w:rsid w:val="004B5FED"/>
    <w:rsid w:val="004B605A"/>
    <w:rsid w:val="004B61DC"/>
    <w:rsid w:val="004B61ED"/>
    <w:rsid w:val="004B6230"/>
    <w:rsid w:val="004B6237"/>
    <w:rsid w:val="004B628C"/>
    <w:rsid w:val="004B674C"/>
    <w:rsid w:val="004B691B"/>
    <w:rsid w:val="004B6B1B"/>
    <w:rsid w:val="004B6B63"/>
    <w:rsid w:val="004B6CE1"/>
    <w:rsid w:val="004B6F2A"/>
    <w:rsid w:val="004B6FF9"/>
    <w:rsid w:val="004B7088"/>
    <w:rsid w:val="004B70AE"/>
    <w:rsid w:val="004B713B"/>
    <w:rsid w:val="004B718B"/>
    <w:rsid w:val="004B71E1"/>
    <w:rsid w:val="004B71EA"/>
    <w:rsid w:val="004B7257"/>
    <w:rsid w:val="004B731D"/>
    <w:rsid w:val="004B738A"/>
    <w:rsid w:val="004B741A"/>
    <w:rsid w:val="004B7502"/>
    <w:rsid w:val="004B7515"/>
    <w:rsid w:val="004B7527"/>
    <w:rsid w:val="004B75A1"/>
    <w:rsid w:val="004B75A9"/>
    <w:rsid w:val="004B75AB"/>
    <w:rsid w:val="004B75BB"/>
    <w:rsid w:val="004B75FA"/>
    <w:rsid w:val="004B7640"/>
    <w:rsid w:val="004B7665"/>
    <w:rsid w:val="004B769C"/>
    <w:rsid w:val="004B7768"/>
    <w:rsid w:val="004B777D"/>
    <w:rsid w:val="004B796F"/>
    <w:rsid w:val="004B7981"/>
    <w:rsid w:val="004B7B8C"/>
    <w:rsid w:val="004B7BBC"/>
    <w:rsid w:val="004B7C33"/>
    <w:rsid w:val="004B7C4E"/>
    <w:rsid w:val="004B7CAC"/>
    <w:rsid w:val="004B7D06"/>
    <w:rsid w:val="004B7DF6"/>
    <w:rsid w:val="004B7E05"/>
    <w:rsid w:val="004B7E6C"/>
    <w:rsid w:val="004B7F0D"/>
    <w:rsid w:val="004B7F30"/>
    <w:rsid w:val="004B7F32"/>
    <w:rsid w:val="004B7F81"/>
    <w:rsid w:val="004B7FB8"/>
    <w:rsid w:val="004C0059"/>
    <w:rsid w:val="004C0197"/>
    <w:rsid w:val="004C0207"/>
    <w:rsid w:val="004C029D"/>
    <w:rsid w:val="004C036C"/>
    <w:rsid w:val="004C0442"/>
    <w:rsid w:val="004C0542"/>
    <w:rsid w:val="004C057E"/>
    <w:rsid w:val="004C05DD"/>
    <w:rsid w:val="004C07E0"/>
    <w:rsid w:val="004C08FD"/>
    <w:rsid w:val="004C0909"/>
    <w:rsid w:val="004C093E"/>
    <w:rsid w:val="004C0A2F"/>
    <w:rsid w:val="004C0B3E"/>
    <w:rsid w:val="004C0CC5"/>
    <w:rsid w:val="004C0D10"/>
    <w:rsid w:val="004C0E4B"/>
    <w:rsid w:val="004C0E88"/>
    <w:rsid w:val="004C105B"/>
    <w:rsid w:val="004C10E0"/>
    <w:rsid w:val="004C1379"/>
    <w:rsid w:val="004C14C1"/>
    <w:rsid w:val="004C1605"/>
    <w:rsid w:val="004C1658"/>
    <w:rsid w:val="004C1697"/>
    <w:rsid w:val="004C16FA"/>
    <w:rsid w:val="004C182F"/>
    <w:rsid w:val="004C18DF"/>
    <w:rsid w:val="004C1966"/>
    <w:rsid w:val="004C19A8"/>
    <w:rsid w:val="004C19B7"/>
    <w:rsid w:val="004C1A2C"/>
    <w:rsid w:val="004C1A64"/>
    <w:rsid w:val="004C1A9C"/>
    <w:rsid w:val="004C1AC0"/>
    <w:rsid w:val="004C1AF1"/>
    <w:rsid w:val="004C1B28"/>
    <w:rsid w:val="004C1B4C"/>
    <w:rsid w:val="004C1C1F"/>
    <w:rsid w:val="004C1C56"/>
    <w:rsid w:val="004C1C71"/>
    <w:rsid w:val="004C1CC8"/>
    <w:rsid w:val="004C1DED"/>
    <w:rsid w:val="004C1EC1"/>
    <w:rsid w:val="004C1F3E"/>
    <w:rsid w:val="004C204B"/>
    <w:rsid w:val="004C20F5"/>
    <w:rsid w:val="004C21B2"/>
    <w:rsid w:val="004C2202"/>
    <w:rsid w:val="004C2270"/>
    <w:rsid w:val="004C2317"/>
    <w:rsid w:val="004C236C"/>
    <w:rsid w:val="004C240E"/>
    <w:rsid w:val="004C2414"/>
    <w:rsid w:val="004C249C"/>
    <w:rsid w:val="004C259B"/>
    <w:rsid w:val="004C26C8"/>
    <w:rsid w:val="004C270A"/>
    <w:rsid w:val="004C2872"/>
    <w:rsid w:val="004C289C"/>
    <w:rsid w:val="004C29AF"/>
    <w:rsid w:val="004C2ACF"/>
    <w:rsid w:val="004C2B98"/>
    <w:rsid w:val="004C2BA8"/>
    <w:rsid w:val="004C2C2F"/>
    <w:rsid w:val="004C2D00"/>
    <w:rsid w:val="004C2E20"/>
    <w:rsid w:val="004C2E25"/>
    <w:rsid w:val="004C2E35"/>
    <w:rsid w:val="004C2EEB"/>
    <w:rsid w:val="004C2FCE"/>
    <w:rsid w:val="004C3233"/>
    <w:rsid w:val="004C3256"/>
    <w:rsid w:val="004C32FC"/>
    <w:rsid w:val="004C3327"/>
    <w:rsid w:val="004C336A"/>
    <w:rsid w:val="004C33AD"/>
    <w:rsid w:val="004C34CB"/>
    <w:rsid w:val="004C3538"/>
    <w:rsid w:val="004C35EA"/>
    <w:rsid w:val="004C35FF"/>
    <w:rsid w:val="004C363E"/>
    <w:rsid w:val="004C36BA"/>
    <w:rsid w:val="004C36FC"/>
    <w:rsid w:val="004C38B1"/>
    <w:rsid w:val="004C38F5"/>
    <w:rsid w:val="004C3ADB"/>
    <w:rsid w:val="004C3BCD"/>
    <w:rsid w:val="004C3C01"/>
    <w:rsid w:val="004C3D02"/>
    <w:rsid w:val="004C3DC5"/>
    <w:rsid w:val="004C3E60"/>
    <w:rsid w:val="004C3E90"/>
    <w:rsid w:val="004C3EB0"/>
    <w:rsid w:val="004C3F49"/>
    <w:rsid w:val="004C3F82"/>
    <w:rsid w:val="004C4263"/>
    <w:rsid w:val="004C42FE"/>
    <w:rsid w:val="004C43B4"/>
    <w:rsid w:val="004C440E"/>
    <w:rsid w:val="004C444E"/>
    <w:rsid w:val="004C44C4"/>
    <w:rsid w:val="004C45C4"/>
    <w:rsid w:val="004C468B"/>
    <w:rsid w:val="004C477D"/>
    <w:rsid w:val="004C4D4E"/>
    <w:rsid w:val="004C4E8D"/>
    <w:rsid w:val="004C4FA6"/>
    <w:rsid w:val="004C4FF2"/>
    <w:rsid w:val="004C50FD"/>
    <w:rsid w:val="004C50FE"/>
    <w:rsid w:val="004C5189"/>
    <w:rsid w:val="004C51C7"/>
    <w:rsid w:val="004C5298"/>
    <w:rsid w:val="004C52A4"/>
    <w:rsid w:val="004C5448"/>
    <w:rsid w:val="004C54CA"/>
    <w:rsid w:val="004C552E"/>
    <w:rsid w:val="004C5685"/>
    <w:rsid w:val="004C5711"/>
    <w:rsid w:val="004C5856"/>
    <w:rsid w:val="004C59D8"/>
    <w:rsid w:val="004C5A1A"/>
    <w:rsid w:val="004C5B90"/>
    <w:rsid w:val="004C5BEC"/>
    <w:rsid w:val="004C5D66"/>
    <w:rsid w:val="004C5DF2"/>
    <w:rsid w:val="004C5E67"/>
    <w:rsid w:val="004C5EDB"/>
    <w:rsid w:val="004C5EE7"/>
    <w:rsid w:val="004C5F8C"/>
    <w:rsid w:val="004C6165"/>
    <w:rsid w:val="004C6186"/>
    <w:rsid w:val="004C61BB"/>
    <w:rsid w:val="004C6297"/>
    <w:rsid w:val="004C62B5"/>
    <w:rsid w:val="004C62E3"/>
    <w:rsid w:val="004C631D"/>
    <w:rsid w:val="004C6442"/>
    <w:rsid w:val="004C649B"/>
    <w:rsid w:val="004C64BA"/>
    <w:rsid w:val="004C67DF"/>
    <w:rsid w:val="004C682C"/>
    <w:rsid w:val="004C68EA"/>
    <w:rsid w:val="004C6A53"/>
    <w:rsid w:val="004C6AB6"/>
    <w:rsid w:val="004C6BB0"/>
    <w:rsid w:val="004C6BCA"/>
    <w:rsid w:val="004C6C0A"/>
    <w:rsid w:val="004C6CBD"/>
    <w:rsid w:val="004C6F8E"/>
    <w:rsid w:val="004C6FAF"/>
    <w:rsid w:val="004C6FFC"/>
    <w:rsid w:val="004C70CA"/>
    <w:rsid w:val="004C70CC"/>
    <w:rsid w:val="004C7181"/>
    <w:rsid w:val="004C71A6"/>
    <w:rsid w:val="004C7228"/>
    <w:rsid w:val="004C726A"/>
    <w:rsid w:val="004C7294"/>
    <w:rsid w:val="004C7361"/>
    <w:rsid w:val="004C737D"/>
    <w:rsid w:val="004C73E5"/>
    <w:rsid w:val="004C73EB"/>
    <w:rsid w:val="004C748A"/>
    <w:rsid w:val="004C74A5"/>
    <w:rsid w:val="004C74F0"/>
    <w:rsid w:val="004C75EF"/>
    <w:rsid w:val="004C76D3"/>
    <w:rsid w:val="004C76E7"/>
    <w:rsid w:val="004C774D"/>
    <w:rsid w:val="004C784F"/>
    <w:rsid w:val="004C787C"/>
    <w:rsid w:val="004C79F4"/>
    <w:rsid w:val="004C7A65"/>
    <w:rsid w:val="004C7AFE"/>
    <w:rsid w:val="004C7B84"/>
    <w:rsid w:val="004C7BBC"/>
    <w:rsid w:val="004C7BE1"/>
    <w:rsid w:val="004C7C5F"/>
    <w:rsid w:val="004C7CBA"/>
    <w:rsid w:val="004C7CD2"/>
    <w:rsid w:val="004C7D9A"/>
    <w:rsid w:val="004C7D9C"/>
    <w:rsid w:val="004C7DC2"/>
    <w:rsid w:val="004C7E51"/>
    <w:rsid w:val="004C7F2F"/>
    <w:rsid w:val="004D002C"/>
    <w:rsid w:val="004D0039"/>
    <w:rsid w:val="004D00AE"/>
    <w:rsid w:val="004D01AA"/>
    <w:rsid w:val="004D0235"/>
    <w:rsid w:val="004D026C"/>
    <w:rsid w:val="004D02CB"/>
    <w:rsid w:val="004D040F"/>
    <w:rsid w:val="004D0672"/>
    <w:rsid w:val="004D0758"/>
    <w:rsid w:val="004D0777"/>
    <w:rsid w:val="004D07CA"/>
    <w:rsid w:val="004D07D3"/>
    <w:rsid w:val="004D07D6"/>
    <w:rsid w:val="004D08C6"/>
    <w:rsid w:val="004D08F4"/>
    <w:rsid w:val="004D0961"/>
    <w:rsid w:val="004D09D7"/>
    <w:rsid w:val="004D0A5E"/>
    <w:rsid w:val="004D0D9E"/>
    <w:rsid w:val="004D0E10"/>
    <w:rsid w:val="004D0E4E"/>
    <w:rsid w:val="004D0FE2"/>
    <w:rsid w:val="004D1067"/>
    <w:rsid w:val="004D12D6"/>
    <w:rsid w:val="004D1373"/>
    <w:rsid w:val="004D13AB"/>
    <w:rsid w:val="004D1419"/>
    <w:rsid w:val="004D147E"/>
    <w:rsid w:val="004D155B"/>
    <w:rsid w:val="004D1709"/>
    <w:rsid w:val="004D1719"/>
    <w:rsid w:val="004D1776"/>
    <w:rsid w:val="004D17E7"/>
    <w:rsid w:val="004D18F7"/>
    <w:rsid w:val="004D19DD"/>
    <w:rsid w:val="004D1A32"/>
    <w:rsid w:val="004D1A58"/>
    <w:rsid w:val="004D1AB2"/>
    <w:rsid w:val="004D1D0C"/>
    <w:rsid w:val="004D1DC6"/>
    <w:rsid w:val="004D1F5F"/>
    <w:rsid w:val="004D2126"/>
    <w:rsid w:val="004D2155"/>
    <w:rsid w:val="004D2164"/>
    <w:rsid w:val="004D2210"/>
    <w:rsid w:val="004D23BA"/>
    <w:rsid w:val="004D2409"/>
    <w:rsid w:val="004D2438"/>
    <w:rsid w:val="004D24AB"/>
    <w:rsid w:val="004D25FA"/>
    <w:rsid w:val="004D262B"/>
    <w:rsid w:val="004D2768"/>
    <w:rsid w:val="004D282D"/>
    <w:rsid w:val="004D284E"/>
    <w:rsid w:val="004D2931"/>
    <w:rsid w:val="004D2AD1"/>
    <w:rsid w:val="004D2BA2"/>
    <w:rsid w:val="004D2D1A"/>
    <w:rsid w:val="004D2D53"/>
    <w:rsid w:val="004D2D7E"/>
    <w:rsid w:val="004D2D97"/>
    <w:rsid w:val="004D2DB2"/>
    <w:rsid w:val="004D2DD1"/>
    <w:rsid w:val="004D2E87"/>
    <w:rsid w:val="004D2EB9"/>
    <w:rsid w:val="004D2F30"/>
    <w:rsid w:val="004D2F9A"/>
    <w:rsid w:val="004D30C8"/>
    <w:rsid w:val="004D321C"/>
    <w:rsid w:val="004D3247"/>
    <w:rsid w:val="004D3328"/>
    <w:rsid w:val="004D3353"/>
    <w:rsid w:val="004D3356"/>
    <w:rsid w:val="004D3374"/>
    <w:rsid w:val="004D345A"/>
    <w:rsid w:val="004D346C"/>
    <w:rsid w:val="004D34B1"/>
    <w:rsid w:val="004D34C2"/>
    <w:rsid w:val="004D3582"/>
    <w:rsid w:val="004D3688"/>
    <w:rsid w:val="004D3756"/>
    <w:rsid w:val="004D375C"/>
    <w:rsid w:val="004D375E"/>
    <w:rsid w:val="004D3890"/>
    <w:rsid w:val="004D38AE"/>
    <w:rsid w:val="004D3912"/>
    <w:rsid w:val="004D3922"/>
    <w:rsid w:val="004D3979"/>
    <w:rsid w:val="004D39ED"/>
    <w:rsid w:val="004D3B73"/>
    <w:rsid w:val="004D3E3F"/>
    <w:rsid w:val="004D3F6E"/>
    <w:rsid w:val="004D3FA7"/>
    <w:rsid w:val="004D3FBB"/>
    <w:rsid w:val="004D403F"/>
    <w:rsid w:val="004D4169"/>
    <w:rsid w:val="004D4289"/>
    <w:rsid w:val="004D42E9"/>
    <w:rsid w:val="004D4524"/>
    <w:rsid w:val="004D4661"/>
    <w:rsid w:val="004D47C7"/>
    <w:rsid w:val="004D4859"/>
    <w:rsid w:val="004D4983"/>
    <w:rsid w:val="004D4AD5"/>
    <w:rsid w:val="004D4B41"/>
    <w:rsid w:val="004D4B74"/>
    <w:rsid w:val="004D4B94"/>
    <w:rsid w:val="004D4BDD"/>
    <w:rsid w:val="004D4C25"/>
    <w:rsid w:val="004D4C9F"/>
    <w:rsid w:val="004D4CFB"/>
    <w:rsid w:val="004D4E17"/>
    <w:rsid w:val="004D4F14"/>
    <w:rsid w:val="004D4F70"/>
    <w:rsid w:val="004D4FB2"/>
    <w:rsid w:val="004D5056"/>
    <w:rsid w:val="004D5078"/>
    <w:rsid w:val="004D512C"/>
    <w:rsid w:val="004D5147"/>
    <w:rsid w:val="004D5166"/>
    <w:rsid w:val="004D528C"/>
    <w:rsid w:val="004D5386"/>
    <w:rsid w:val="004D53D8"/>
    <w:rsid w:val="004D5575"/>
    <w:rsid w:val="004D56E0"/>
    <w:rsid w:val="004D5A10"/>
    <w:rsid w:val="004D5B13"/>
    <w:rsid w:val="004D5C86"/>
    <w:rsid w:val="004D5DA0"/>
    <w:rsid w:val="004D5E1C"/>
    <w:rsid w:val="004D5F3B"/>
    <w:rsid w:val="004D5F52"/>
    <w:rsid w:val="004D5FA1"/>
    <w:rsid w:val="004D601C"/>
    <w:rsid w:val="004D6089"/>
    <w:rsid w:val="004D60F2"/>
    <w:rsid w:val="004D60F7"/>
    <w:rsid w:val="004D612A"/>
    <w:rsid w:val="004D61D1"/>
    <w:rsid w:val="004D6327"/>
    <w:rsid w:val="004D6333"/>
    <w:rsid w:val="004D656A"/>
    <w:rsid w:val="004D67B9"/>
    <w:rsid w:val="004D67CF"/>
    <w:rsid w:val="004D67F7"/>
    <w:rsid w:val="004D6808"/>
    <w:rsid w:val="004D695E"/>
    <w:rsid w:val="004D6A4A"/>
    <w:rsid w:val="004D6AB4"/>
    <w:rsid w:val="004D6CBB"/>
    <w:rsid w:val="004D6E9F"/>
    <w:rsid w:val="004D7010"/>
    <w:rsid w:val="004D703D"/>
    <w:rsid w:val="004D704D"/>
    <w:rsid w:val="004D7070"/>
    <w:rsid w:val="004D7132"/>
    <w:rsid w:val="004D734C"/>
    <w:rsid w:val="004D741F"/>
    <w:rsid w:val="004D74CA"/>
    <w:rsid w:val="004D7551"/>
    <w:rsid w:val="004D755E"/>
    <w:rsid w:val="004D7663"/>
    <w:rsid w:val="004D76E2"/>
    <w:rsid w:val="004D77DD"/>
    <w:rsid w:val="004D77F9"/>
    <w:rsid w:val="004D78D8"/>
    <w:rsid w:val="004D7920"/>
    <w:rsid w:val="004D79CA"/>
    <w:rsid w:val="004D7A25"/>
    <w:rsid w:val="004D7AF0"/>
    <w:rsid w:val="004D7B45"/>
    <w:rsid w:val="004D7C5C"/>
    <w:rsid w:val="004D7D77"/>
    <w:rsid w:val="004D7DF1"/>
    <w:rsid w:val="004D7F00"/>
    <w:rsid w:val="004D7F28"/>
    <w:rsid w:val="004D7FBD"/>
    <w:rsid w:val="004E0056"/>
    <w:rsid w:val="004E009C"/>
    <w:rsid w:val="004E00CA"/>
    <w:rsid w:val="004E014A"/>
    <w:rsid w:val="004E016A"/>
    <w:rsid w:val="004E0240"/>
    <w:rsid w:val="004E028F"/>
    <w:rsid w:val="004E02D7"/>
    <w:rsid w:val="004E036C"/>
    <w:rsid w:val="004E05A3"/>
    <w:rsid w:val="004E05B0"/>
    <w:rsid w:val="004E065D"/>
    <w:rsid w:val="004E0713"/>
    <w:rsid w:val="004E0775"/>
    <w:rsid w:val="004E077A"/>
    <w:rsid w:val="004E07FD"/>
    <w:rsid w:val="004E0835"/>
    <w:rsid w:val="004E084A"/>
    <w:rsid w:val="004E08AB"/>
    <w:rsid w:val="004E0900"/>
    <w:rsid w:val="004E094D"/>
    <w:rsid w:val="004E0A02"/>
    <w:rsid w:val="004E0A45"/>
    <w:rsid w:val="004E0B36"/>
    <w:rsid w:val="004E0B68"/>
    <w:rsid w:val="004E0C76"/>
    <w:rsid w:val="004E0CF7"/>
    <w:rsid w:val="004E0DBB"/>
    <w:rsid w:val="004E1064"/>
    <w:rsid w:val="004E10C6"/>
    <w:rsid w:val="004E10E6"/>
    <w:rsid w:val="004E144F"/>
    <w:rsid w:val="004E1511"/>
    <w:rsid w:val="004E1528"/>
    <w:rsid w:val="004E1597"/>
    <w:rsid w:val="004E15C9"/>
    <w:rsid w:val="004E1626"/>
    <w:rsid w:val="004E1641"/>
    <w:rsid w:val="004E1691"/>
    <w:rsid w:val="004E1694"/>
    <w:rsid w:val="004E1753"/>
    <w:rsid w:val="004E17A1"/>
    <w:rsid w:val="004E1808"/>
    <w:rsid w:val="004E180A"/>
    <w:rsid w:val="004E1A1D"/>
    <w:rsid w:val="004E1B2A"/>
    <w:rsid w:val="004E1BDE"/>
    <w:rsid w:val="004E1CA4"/>
    <w:rsid w:val="004E1D2E"/>
    <w:rsid w:val="004E1D46"/>
    <w:rsid w:val="004E1DB1"/>
    <w:rsid w:val="004E1E69"/>
    <w:rsid w:val="004E1ED7"/>
    <w:rsid w:val="004E1F71"/>
    <w:rsid w:val="004E1FCC"/>
    <w:rsid w:val="004E1FE7"/>
    <w:rsid w:val="004E2063"/>
    <w:rsid w:val="004E2067"/>
    <w:rsid w:val="004E22CD"/>
    <w:rsid w:val="004E24BD"/>
    <w:rsid w:val="004E252C"/>
    <w:rsid w:val="004E2770"/>
    <w:rsid w:val="004E2826"/>
    <w:rsid w:val="004E29A5"/>
    <w:rsid w:val="004E2A2F"/>
    <w:rsid w:val="004E2B83"/>
    <w:rsid w:val="004E2BB3"/>
    <w:rsid w:val="004E2C82"/>
    <w:rsid w:val="004E2D66"/>
    <w:rsid w:val="004E2DA8"/>
    <w:rsid w:val="004E2E50"/>
    <w:rsid w:val="004E2F1A"/>
    <w:rsid w:val="004E2F21"/>
    <w:rsid w:val="004E2F3F"/>
    <w:rsid w:val="004E2F86"/>
    <w:rsid w:val="004E2FD5"/>
    <w:rsid w:val="004E3037"/>
    <w:rsid w:val="004E306E"/>
    <w:rsid w:val="004E30DA"/>
    <w:rsid w:val="004E32ED"/>
    <w:rsid w:val="004E3397"/>
    <w:rsid w:val="004E3411"/>
    <w:rsid w:val="004E3447"/>
    <w:rsid w:val="004E3599"/>
    <w:rsid w:val="004E35F1"/>
    <w:rsid w:val="004E375A"/>
    <w:rsid w:val="004E38BD"/>
    <w:rsid w:val="004E3904"/>
    <w:rsid w:val="004E3949"/>
    <w:rsid w:val="004E39FC"/>
    <w:rsid w:val="004E3A25"/>
    <w:rsid w:val="004E3AD8"/>
    <w:rsid w:val="004E3BD7"/>
    <w:rsid w:val="004E3C36"/>
    <w:rsid w:val="004E3C80"/>
    <w:rsid w:val="004E3D1D"/>
    <w:rsid w:val="004E3E44"/>
    <w:rsid w:val="004E3E87"/>
    <w:rsid w:val="004E3F43"/>
    <w:rsid w:val="004E402B"/>
    <w:rsid w:val="004E410E"/>
    <w:rsid w:val="004E41C7"/>
    <w:rsid w:val="004E41FE"/>
    <w:rsid w:val="004E421B"/>
    <w:rsid w:val="004E424D"/>
    <w:rsid w:val="004E431D"/>
    <w:rsid w:val="004E4338"/>
    <w:rsid w:val="004E438E"/>
    <w:rsid w:val="004E43AE"/>
    <w:rsid w:val="004E4410"/>
    <w:rsid w:val="004E443E"/>
    <w:rsid w:val="004E4487"/>
    <w:rsid w:val="004E45A1"/>
    <w:rsid w:val="004E45AF"/>
    <w:rsid w:val="004E45D8"/>
    <w:rsid w:val="004E470A"/>
    <w:rsid w:val="004E479B"/>
    <w:rsid w:val="004E4882"/>
    <w:rsid w:val="004E48F1"/>
    <w:rsid w:val="004E4BBD"/>
    <w:rsid w:val="004E4C1F"/>
    <w:rsid w:val="004E4C91"/>
    <w:rsid w:val="004E4CC2"/>
    <w:rsid w:val="004E4CE1"/>
    <w:rsid w:val="004E4D2E"/>
    <w:rsid w:val="004E4D9B"/>
    <w:rsid w:val="004E4DBE"/>
    <w:rsid w:val="004E4DFB"/>
    <w:rsid w:val="004E4E13"/>
    <w:rsid w:val="004E535D"/>
    <w:rsid w:val="004E55E7"/>
    <w:rsid w:val="004E5611"/>
    <w:rsid w:val="004E56B1"/>
    <w:rsid w:val="004E5726"/>
    <w:rsid w:val="004E5908"/>
    <w:rsid w:val="004E5991"/>
    <w:rsid w:val="004E5A25"/>
    <w:rsid w:val="004E5A53"/>
    <w:rsid w:val="004E5AA9"/>
    <w:rsid w:val="004E5AAD"/>
    <w:rsid w:val="004E5AE8"/>
    <w:rsid w:val="004E5D1A"/>
    <w:rsid w:val="004E5DD3"/>
    <w:rsid w:val="004E5EDC"/>
    <w:rsid w:val="004E5EE5"/>
    <w:rsid w:val="004E631E"/>
    <w:rsid w:val="004E644D"/>
    <w:rsid w:val="004E659B"/>
    <w:rsid w:val="004E65C7"/>
    <w:rsid w:val="004E65F2"/>
    <w:rsid w:val="004E6600"/>
    <w:rsid w:val="004E6932"/>
    <w:rsid w:val="004E6943"/>
    <w:rsid w:val="004E6990"/>
    <w:rsid w:val="004E69F1"/>
    <w:rsid w:val="004E6A4F"/>
    <w:rsid w:val="004E6B44"/>
    <w:rsid w:val="004E6BE7"/>
    <w:rsid w:val="004E6C63"/>
    <w:rsid w:val="004E6D6C"/>
    <w:rsid w:val="004E6E4F"/>
    <w:rsid w:val="004E6EFA"/>
    <w:rsid w:val="004E6EFB"/>
    <w:rsid w:val="004E6FB4"/>
    <w:rsid w:val="004E7029"/>
    <w:rsid w:val="004E725C"/>
    <w:rsid w:val="004E72F7"/>
    <w:rsid w:val="004E734A"/>
    <w:rsid w:val="004E74BC"/>
    <w:rsid w:val="004E7576"/>
    <w:rsid w:val="004E77A4"/>
    <w:rsid w:val="004E77ED"/>
    <w:rsid w:val="004E78E8"/>
    <w:rsid w:val="004E7988"/>
    <w:rsid w:val="004E7A0D"/>
    <w:rsid w:val="004E7B1D"/>
    <w:rsid w:val="004E7B40"/>
    <w:rsid w:val="004E7C6B"/>
    <w:rsid w:val="004E7D78"/>
    <w:rsid w:val="004E7DA5"/>
    <w:rsid w:val="004E7DCA"/>
    <w:rsid w:val="004E7EE5"/>
    <w:rsid w:val="004E7F11"/>
    <w:rsid w:val="004E7F54"/>
    <w:rsid w:val="004E7FEC"/>
    <w:rsid w:val="004E7FF7"/>
    <w:rsid w:val="004E96B7"/>
    <w:rsid w:val="004F006F"/>
    <w:rsid w:val="004F00A2"/>
    <w:rsid w:val="004F0105"/>
    <w:rsid w:val="004F01E2"/>
    <w:rsid w:val="004F022D"/>
    <w:rsid w:val="004F031A"/>
    <w:rsid w:val="004F03BF"/>
    <w:rsid w:val="004F04B3"/>
    <w:rsid w:val="004F0527"/>
    <w:rsid w:val="004F0798"/>
    <w:rsid w:val="004F08BE"/>
    <w:rsid w:val="004F0A25"/>
    <w:rsid w:val="004F0B4B"/>
    <w:rsid w:val="004F0BA1"/>
    <w:rsid w:val="004F0C68"/>
    <w:rsid w:val="004F0CA9"/>
    <w:rsid w:val="004F1039"/>
    <w:rsid w:val="004F11CC"/>
    <w:rsid w:val="004F12DB"/>
    <w:rsid w:val="004F137C"/>
    <w:rsid w:val="004F1444"/>
    <w:rsid w:val="004F1591"/>
    <w:rsid w:val="004F1606"/>
    <w:rsid w:val="004F1802"/>
    <w:rsid w:val="004F180B"/>
    <w:rsid w:val="004F18B8"/>
    <w:rsid w:val="004F1900"/>
    <w:rsid w:val="004F1C0C"/>
    <w:rsid w:val="004F1C58"/>
    <w:rsid w:val="004F1C7F"/>
    <w:rsid w:val="004F1D86"/>
    <w:rsid w:val="004F1DC4"/>
    <w:rsid w:val="004F1E5F"/>
    <w:rsid w:val="004F2083"/>
    <w:rsid w:val="004F20A3"/>
    <w:rsid w:val="004F20BE"/>
    <w:rsid w:val="004F2111"/>
    <w:rsid w:val="004F211E"/>
    <w:rsid w:val="004F2279"/>
    <w:rsid w:val="004F2281"/>
    <w:rsid w:val="004F22B6"/>
    <w:rsid w:val="004F25AD"/>
    <w:rsid w:val="004F261D"/>
    <w:rsid w:val="004F2672"/>
    <w:rsid w:val="004F2753"/>
    <w:rsid w:val="004F27A9"/>
    <w:rsid w:val="004F27E8"/>
    <w:rsid w:val="004F283F"/>
    <w:rsid w:val="004F2985"/>
    <w:rsid w:val="004F2B7D"/>
    <w:rsid w:val="004F2B80"/>
    <w:rsid w:val="004F2C74"/>
    <w:rsid w:val="004F2CEA"/>
    <w:rsid w:val="004F2D37"/>
    <w:rsid w:val="004F2D7F"/>
    <w:rsid w:val="004F2E0A"/>
    <w:rsid w:val="004F2E86"/>
    <w:rsid w:val="004F3144"/>
    <w:rsid w:val="004F31BE"/>
    <w:rsid w:val="004F31C1"/>
    <w:rsid w:val="004F31C6"/>
    <w:rsid w:val="004F32E0"/>
    <w:rsid w:val="004F32FC"/>
    <w:rsid w:val="004F3345"/>
    <w:rsid w:val="004F338C"/>
    <w:rsid w:val="004F345F"/>
    <w:rsid w:val="004F3594"/>
    <w:rsid w:val="004F3831"/>
    <w:rsid w:val="004F39E7"/>
    <w:rsid w:val="004F3C65"/>
    <w:rsid w:val="004F3DD9"/>
    <w:rsid w:val="004F3E6F"/>
    <w:rsid w:val="004F3EE1"/>
    <w:rsid w:val="004F3F0E"/>
    <w:rsid w:val="004F3FA8"/>
    <w:rsid w:val="004F4021"/>
    <w:rsid w:val="004F4056"/>
    <w:rsid w:val="004F40A4"/>
    <w:rsid w:val="004F4164"/>
    <w:rsid w:val="004F41C6"/>
    <w:rsid w:val="004F4293"/>
    <w:rsid w:val="004F445E"/>
    <w:rsid w:val="004F45A2"/>
    <w:rsid w:val="004F45E4"/>
    <w:rsid w:val="004F4660"/>
    <w:rsid w:val="004F4686"/>
    <w:rsid w:val="004F4701"/>
    <w:rsid w:val="004F4846"/>
    <w:rsid w:val="004F4852"/>
    <w:rsid w:val="004F489D"/>
    <w:rsid w:val="004F48AA"/>
    <w:rsid w:val="004F4AA9"/>
    <w:rsid w:val="004F4ADE"/>
    <w:rsid w:val="004F4BA8"/>
    <w:rsid w:val="004F4C5C"/>
    <w:rsid w:val="004F4D71"/>
    <w:rsid w:val="004F4D8D"/>
    <w:rsid w:val="004F4DC8"/>
    <w:rsid w:val="004F4E85"/>
    <w:rsid w:val="004F4EBA"/>
    <w:rsid w:val="004F4FC9"/>
    <w:rsid w:val="004F50A1"/>
    <w:rsid w:val="004F5175"/>
    <w:rsid w:val="004F519F"/>
    <w:rsid w:val="004F5293"/>
    <w:rsid w:val="004F52C9"/>
    <w:rsid w:val="004F5331"/>
    <w:rsid w:val="004F540D"/>
    <w:rsid w:val="004F5415"/>
    <w:rsid w:val="004F5497"/>
    <w:rsid w:val="004F5501"/>
    <w:rsid w:val="004F55A3"/>
    <w:rsid w:val="004F5637"/>
    <w:rsid w:val="004F5638"/>
    <w:rsid w:val="004F5746"/>
    <w:rsid w:val="004F57CE"/>
    <w:rsid w:val="004F58D6"/>
    <w:rsid w:val="004F590C"/>
    <w:rsid w:val="004F5A36"/>
    <w:rsid w:val="004F5A8F"/>
    <w:rsid w:val="004F5ADE"/>
    <w:rsid w:val="004F5B82"/>
    <w:rsid w:val="004F5BD7"/>
    <w:rsid w:val="004F5BDC"/>
    <w:rsid w:val="004F5C09"/>
    <w:rsid w:val="004F5C26"/>
    <w:rsid w:val="004F5C8C"/>
    <w:rsid w:val="004F5D00"/>
    <w:rsid w:val="004F5D15"/>
    <w:rsid w:val="004F5D82"/>
    <w:rsid w:val="004F5E03"/>
    <w:rsid w:val="004F5E09"/>
    <w:rsid w:val="004F5E1E"/>
    <w:rsid w:val="004F5E3A"/>
    <w:rsid w:val="004F5F07"/>
    <w:rsid w:val="004F606D"/>
    <w:rsid w:val="004F608C"/>
    <w:rsid w:val="004F6202"/>
    <w:rsid w:val="004F62D6"/>
    <w:rsid w:val="004F6320"/>
    <w:rsid w:val="004F6411"/>
    <w:rsid w:val="004F64EE"/>
    <w:rsid w:val="004F6567"/>
    <w:rsid w:val="004F6661"/>
    <w:rsid w:val="004F66F8"/>
    <w:rsid w:val="004F6713"/>
    <w:rsid w:val="004F674F"/>
    <w:rsid w:val="004F683F"/>
    <w:rsid w:val="004F6844"/>
    <w:rsid w:val="004F6912"/>
    <w:rsid w:val="004F6AC3"/>
    <w:rsid w:val="004F6AD8"/>
    <w:rsid w:val="004F6AFC"/>
    <w:rsid w:val="004F6B06"/>
    <w:rsid w:val="004F6CF7"/>
    <w:rsid w:val="004F6D3F"/>
    <w:rsid w:val="004F6D7D"/>
    <w:rsid w:val="004F6E29"/>
    <w:rsid w:val="004F6EA0"/>
    <w:rsid w:val="004F6EAE"/>
    <w:rsid w:val="004F6F19"/>
    <w:rsid w:val="004F70AF"/>
    <w:rsid w:val="004F70D6"/>
    <w:rsid w:val="004F712A"/>
    <w:rsid w:val="004F71EE"/>
    <w:rsid w:val="004F7277"/>
    <w:rsid w:val="004F729C"/>
    <w:rsid w:val="004F729E"/>
    <w:rsid w:val="004F7308"/>
    <w:rsid w:val="004F736B"/>
    <w:rsid w:val="004F7399"/>
    <w:rsid w:val="004F747A"/>
    <w:rsid w:val="004F7575"/>
    <w:rsid w:val="004F76B8"/>
    <w:rsid w:val="004F7711"/>
    <w:rsid w:val="004F7746"/>
    <w:rsid w:val="004F775D"/>
    <w:rsid w:val="004F79C3"/>
    <w:rsid w:val="004F79C5"/>
    <w:rsid w:val="004F7A3A"/>
    <w:rsid w:val="004F7AC9"/>
    <w:rsid w:val="004F7B2A"/>
    <w:rsid w:val="004F7CB3"/>
    <w:rsid w:val="004F7CC8"/>
    <w:rsid w:val="004F7D37"/>
    <w:rsid w:val="004F7D71"/>
    <w:rsid w:val="004F7D9E"/>
    <w:rsid w:val="004F7DB1"/>
    <w:rsid w:val="004F7E01"/>
    <w:rsid w:val="004F7ED5"/>
    <w:rsid w:val="0050002D"/>
    <w:rsid w:val="00500125"/>
    <w:rsid w:val="00500196"/>
    <w:rsid w:val="00500231"/>
    <w:rsid w:val="00500329"/>
    <w:rsid w:val="00500367"/>
    <w:rsid w:val="0050036C"/>
    <w:rsid w:val="005003E5"/>
    <w:rsid w:val="00500496"/>
    <w:rsid w:val="00500552"/>
    <w:rsid w:val="005005CA"/>
    <w:rsid w:val="00500719"/>
    <w:rsid w:val="005007C4"/>
    <w:rsid w:val="0050092C"/>
    <w:rsid w:val="00500A05"/>
    <w:rsid w:val="00500A92"/>
    <w:rsid w:val="00500AB3"/>
    <w:rsid w:val="00500B2A"/>
    <w:rsid w:val="00500D3C"/>
    <w:rsid w:val="00500E0C"/>
    <w:rsid w:val="0050116E"/>
    <w:rsid w:val="0050177B"/>
    <w:rsid w:val="0050189C"/>
    <w:rsid w:val="00501919"/>
    <w:rsid w:val="00501996"/>
    <w:rsid w:val="005019F6"/>
    <w:rsid w:val="00501B78"/>
    <w:rsid w:val="00501B7E"/>
    <w:rsid w:val="00501B8C"/>
    <w:rsid w:val="00501C69"/>
    <w:rsid w:val="00501E39"/>
    <w:rsid w:val="00501FA5"/>
    <w:rsid w:val="00501FF4"/>
    <w:rsid w:val="00502089"/>
    <w:rsid w:val="005020AB"/>
    <w:rsid w:val="0050216D"/>
    <w:rsid w:val="005021AA"/>
    <w:rsid w:val="0050222C"/>
    <w:rsid w:val="0050240C"/>
    <w:rsid w:val="00502490"/>
    <w:rsid w:val="0050251C"/>
    <w:rsid w:val="00502632"/>
    <w:rsid w:val="005026E8"/>
    <w:rsid w:val="0050274B"/>
    <w:rsid w:val="005027C5"/>
    <w:rsid w:val="00502904"/>
    <w:rsid w:val="00502933"/>
    <w:rsid w:val="00502980"/>
    <w:rsid w:val="00502AD3"/>
    <w:rsid w:val="00502BD7"/>
    <w:rsid w:val="00502D82"/>
    <w:rsid w:val="00502D96"/>
    <w:rsid w:val="00502E71"/>
    <w:rsid w:val="00502EA7"/>
    <w:rsid w:val="00502FA4"/>
    <w:rsid w:val="00502FB8"/>
    <w:rsid w:val="00503160"/>
    <w:rsid w:val="00503171"/>
    <w:rsid w:val="00503232"/>
    <w:rsid w:val="00503234"/>
    <w:rsid w:val="005032BB"/>
    <w:rsid w:val="00503394"/>
    <w:rsid w:val="00503441"/>
    <w:rsid w:val="0050348F"/>
    <w:rsid w:val="00503491"/>
    <w:rsid w:val="005034B5"/>
    <w:rsid w:val="005034DA"/>
    <w:rsid w:val="005035C9"/>
    <w:rsid w:val="005035ED"/>
    <w:rsid w:val="005035FA"/>
    <w:rsid w:val="00503647"/>
    <w:rsid w:val="00503C1E"/>
    <w:rsid w:val="00503C24"/>
    <w:rsid w:val="00503C49"/>
    <w:rsid w:val="00503C92"/>
    <w:rsid w:val="00503CC7"/>
    <w:rsid w:val="00503CF9"/>
    <w:rsid w:val="00503DCC"/>
    <w:rsid w:val="00503E34"/>
    <w:rsid w:val="00503E3C"/>
    <w:rsid w:val="00503E6B"/>
    <w:rsid w:val="00503F3D"/>
    <w:rsid w:val="00503FC6"/>
    <w:rsid w:val="00504076"/>
    <w:rsid w:val="00504089"/>
    <w:rsid w:val="0050413B"/>
    <w:rsid w:val="00504233"/>
    <w:rsid w:val="005042A0"/>
    <w:rsid w:val="005042E6"/>
    <w:rsid w:val="00504333"/>
    <w:rsid w:val="00504361"/>
    <w:rsid w:val="005043C5"/>
    <w:rsid w:val="005043E3"/>
    <w:rsid w:val="0050442F"/>
    <w:rsid w:val="00504456"/>
    <w:rsid w:val="00504480"/>
    <w:rsid w:val="00504557"/>
    <w:rsid w:val="00504590"/>
    <w:rsid w:val="00504628"/>
    <w:rsid w:val="00504681"/>
    <w:rsid w:val="005046BE"/>
    <w:rsid w:val="0050485C"/>
    <w:rsid w:val="0050487C"/>
    <w:rsid w:val="00504A70"/>
    <w:rsid w:val="00504A7F"/>
    <w:rsid w:val="00504ABF"/>
    <w:rsid w:val="00504BE6"/>
    <w:rsid w:val="00504C9B"/>
    <w:rsid w:val="00504D32"/>
    <w:rsid w:val="00504D33"/>
    <w:rsid w:val="00504DFC"/>
    <w:rsid w:val="00504E0F"/>
    <w:rsid w:val="00504F37"/>
    <w:rsid w:val="0050504A"/>
    <w:rsid w:val="00505051"/>
    <w:rsid w:val="005050A1"/>
    <w:rsid w:val="00505156"/>
    <w:rsid w:val="005053B7"/>
    <w:rsid w:val="005053D2"/>
    <w:rsid w:val="005054C2"/>
    <w:rsid w:val="005054EE"/>
    <w:rsid w:val="0050562B"/>
    <w:rsid w:val="0050565E"/>
    <w:rsid w:val="005057A6"/>
    <w:rsid w:val="0050591A"/>
    <w:rsid w:val="00505A7C"/>
    <w:rsid w:val="00505A99"/>
    <w:rsid w:val="00505C71"/>
    <w:rsid w:val="00505CC8"/>
    <w:rsid w:val="00505D78"/>
    <w:rsid w:val="00505E3E"/>
    <w:rsid w:val="00505EBC"/>
    <w:rsid w:val="00505F84"/>
    <w:rsid w:val="00505F9A"/>
    <w:rsid w:val="005061C1"/>
    <w:rsid w:val="005062EB"/>
    <w:rsid w:val="00506377"/>
    <w:rsid w:val="005063BA"/>
    <w:rsid w:val="00506716"/>
    <w:rsid w:val="0050685D"/>
    <w:rsid w:val="0050690C"/>
    <w:rsid w:val="00506963"/>
    <w:rsid w:val="00506A98"/>
    <w:rsid w:val="00506C0A"/>
    <w:rsid w:val="00506CDE"/>
    <w:rsid w:val="00506D1E"/>
    <w:rsid w:val="00506D32"/>
    <w:rsid w:val="00506D9C"/>
    <w:rsid w:val="00506F85"/>
    <w:rsid w:val="00506FCE"/>
    <w:rsid w:val="00507114"/>
    <w:rsid w:val="005071D2"/>
    <w:rsid w:val="00507244"/>
    <w:rsid w:val="00507328"/>
    <w:rsid w:val="005074D2"/>
    <w:rsid w:val="005075BE"/>
    <w:rsid w:val="00507691"/>
    <w:rsid w:val="005076B0"/>
    <w:rsid w:val="005076DF"/>
    <w:rsid w:val="005076EA"/>
    <w:rsid w:val="005077E5"/>
    <w:rsid w:val="00507859"/>
    <w:rsid w:val="0050793B"/>
    <w:rsid w:val="0050794F"/>
    <w:rsid w:val="00507964"/>
    <w:rsid w:val="00507997"/>
    <w:rsid w:val="0050799D"/>
    <w:rsid w:val="00507A16"/>
    <w:rsid w:val="00507A6E"/>
    <w:rsid w:val="00507B40"/>
    <w:rsid w:val="00507CAD"/>
    <w:rsid w:val="00507DCD"/>
    <w:rsid w:val="00507E03"/>
    <w:rsid w:val="00507ED1"/>
    <w:rsid w:val="00507FC2"/>
    <w:rsid w:val="00507FFE"/>
    <w:rsid w:val="0050ABFF"/>
    <w:rsid w:val="0051001B"/>
    <w:rsid w:val="00510030"/>
    <w:rsid w:val="00510059"/>
    <w:rsid w:val="005100C4"/>
    <w:rsid w:val="0051016C"/>
    <w:rsid w:val="005101E4"/>
    <w:rsid w:val="005101EA"/>
    <w:rsid w:val="00510434"/>
    <w:rsid w:val="0051045D"/>
    <w:rsid w:val="00510466"/>
    <w:rsid w:val="00510497"/>
    <w:rsid w:val="00510512"/>
    <w:rsid w:val="00510527"/>
    <w:rsid w:val="005105E6"/>
    <w:rsid w:val="005105F8"/>
    <w:rsid w:val="0051060A"/>
    <w:rsid w:val="005107BD"/>
    <w:rsid w:val="005108FE"/>
    <w:rsid w:val="00510967"/>
    <w:rsid w:val="00510980"/>
    <w:rsid w:val="00510991"/>
    <w:rsid w:val="00510B00"/>
    <w:rsid w:val="00510BCF"/>
    <w:rsid w:val="00510C9E"/>
    <w:rsid w:val="00511068"/>
    <w:rsid w:val="0051108E"/>
    <w:rsid w:val="005110A8"/>
    <w:rsid w:val="00511149"/>
    <w:rsid w:val="00511196"/>
    <w:rsid w:val="00511292"/>
    <w:rsid w:val="0051150D"/>
    <w:rsid w:val="00511542"/>
    <w:rsid w:val="005115A5"/>
    <w:rsid w:val="005115BB"/>
    <w:rsid w:val="0051160E"/>
    <w:rsid w:val="00511729"/>
    <w:rsid w:val="005117DF"/>
    <w:rsid w:val="00511808"/>
    <w:rsid w:val="00511850"/>
    <w:rsid w:val="0051188D"/>
    <w:rsid w:val="005119B2"/>
    <w:rsid w:val="005119B7"/>
    <w:rsid w:val="00511A2E"/>
    <w:rsid w:val="00511A43"/>
    <w:rsid w:val="00511A8C"/>
    <w:rsid w:val="00511AAB"/>
    <w:rsid w:val="00511AEC"/>
    <w:rsid w:val="00511B45"/>
    <w:rsid w:val="00511B4B"/>
    <w:rsid w:val="00511B73"/>
    <w:rsid w:val="00511D1D"/>
    <w:rsid w:val="00511D31"/>
    <w:rsid w:val="00511D75"/>
    <w:rsid w:val="00511E05"/>
    <w:rsid w:val="00511E2D"/>
    <w:rsid w:val="00511E60"/>
    <w:rsid w:val="00511E72"/>
    <w:rsid w:val="00511E84"/>
    <w:rsid w:val="00511F40"/>
    <w:rsid w:val="00511F7C"/>
    <w:rsid w:val="00511FCF"/>
    <w:rsid w:val="00511FDB"/>
    <w:rsid w:val="005120F9"/>
    <w:rsid w:val="0051213F"/>
    <w:rsid w:val="00512268"/>
    <w:rsid w:val="005122F8"/>
    <w:rsid w:val="005123A5"/>
    <w:rsid w:val="0051244F"/>
    <w:rsid w:val="005124C7"/>
    <w:rsid w:val="00512630"/>
    <w:rsid w:val="005126BF"/>
    <w:rsid w:val="00512718"/>
    <w:rsid w:val="00512794"/>
    <w:rsid w:val="005127AC"/>
    <w:rsid w:val="005128E0"/>
    <w:rsid w:val="00512B4F"/>
    <w:rsid w:val="00512D58"/>
    <w:rsid w:val="00512EF9"/>
    <w:rsid w:val="00512F13"/>
    <w:rsid w:val="00512FA4"/>
    <w:rsid w:val="00512FFB"/>
    <w:rsid w:val="005132B7"/>
    <w:rsid w:val="005132ED"/>
    <w:rsid w:val="005134F2"/>
    <w:rsid w:val="0051352E"/>
    <w:rsid w:val="00513657"/>
    <w:rsid w:val="00513678"/>
    <w:rsid w:val="005136C2"/>
    <w:rsid w:val="0051385D"/>
    <w:rsid w:val="00513890"/>
    <w:rsid w:val="005138CB"/>
    <w:rsid w:val="00513BFB"/>
    <w:rsid w:val="00513D42"/>
    <w:rsid w:val="00513F53"/>
    <w:rsid w:val="00513F64"/>
    <w:rsid w:val="00514104"/>
    <w:rsid w:val="0051415F"/>
    <w:rsid w:val="0051430B"/>
    <w:rsid w:val="00514370"/>
    <w:rsid w:val="0051449D"/>
    <w:rsid w:val="00514696"/>
    <w:rsid w:val="005147D2"/>
    <w:rsid w:val="00514827"/>
    <w:rsid w:val="005148E6"/>
    <w:rsid w:val="00514AA5"/>
    <w:rsid w:val="00514B93"/>
    <w:rsid w:val="00514C4C"/>
    <w:rsid w:val="00514E49"/>
    <w:rsid w:val="00514F31"/>
    <w:rsid w:val="0051505C"/>
    <w:rsid w:val="00515254"/>
    <w:rsid w:val="005153E9"/>
    <w:rsid w:val="005153ED"/>
    <w:rsid w:val="005153FB"/>
    <w:rsid w:val="005153FF"/>
    <w:rsid w:val="0051569B"/>
    <w:rsid w:val="005156EB"/>
    <w:rsid w:val="005158AA"/>
    <w:rsid w:val="005158D4"/>
    <w:rsid w:val="005158F5"/>
    <w:rsid w:val="00515A0B"/>
    <w:rsid w:val="00515AAC"/>
    <w:rsid w:val="00515C36"/>
    <w:rsid w:val="00515D24"/>
    <w:rsid w:val="00515DDA"/>
    <w:rsid w:val="00515F9B"/>
    <w:rsid w:val="0051604B"/>
    <w:rsid w:val="005164F7"/>
    <w:rsid w:val="0051652F"/>
    <w:rsid w:val="005166BE"/>
    <w:rsid w:val="00516908"/>
    <w:rsid w:val="005169BB"/>
    <w:rsid w:val="00516B01"/>
    <w:rsid w:val="00516B9B"/>
    <w:rsid w:val="00516C1A"/>
    <w:rsid w:val="00516C75"/>
    <w:rsid w:val="00516CA7"/>
    <w:rsid w:val="00516D7B"/>
    <w:rsid w:val="00516FA1"/>
    <w:rsid w:val="00516FF3"/>
    <w:rsid w:val="00517234"/>
    <w:rsid w:val="00517271"/>
    <w:rsid w:val="00517327"/>
    <w:rsid w:val="00517337"/>
    <w:rsid w:val="00517396"/>
    <w:rsid w:val="0051748A"/>
    <w:rsid w:val="0051749E"/>
    <w:rsid w:val="0051753E"/>
    <w:rsid w:val="005175CD"/>
    <w:rsid w:val="0051762B"/>
    <w:rsid w:val="00517646"/>
    <w:rsid w:val="00517683"/>
    <w:rsid w:val="0051769E"/>
    <w:rsid w:val="005177B3"/>
    <w:rsid w:val="005177BA"/>
    <w:rsid w:val="00517A83"/>
    <w:rsid w:val="00517BB3"/>
    <w:rsid w:val="00517DE9"/>
    <w:rsid w:val="00517E7B"/>
    <w:rsid w:val="005200CD"/>
    <w:rsid w:val="00520137"/>
    <w:rsid w:val="00520182"/>
    <w:rsid w:val="005202A9"/>
    <w:rsid w:val="005203B2"/>
    <w:rsid w:val="005203B3"/>
    <w:rsid w:val="0052046E"/>
    <w:rsid w:val="00520522"/>
    <w:rsid w:val="005206EA"/>
    <w:rsid w:val="00520AD5"/>
    <w:rsid w:val="00520B83"/>
    <w:rsid w:val="00520BCD"/>
    <w:rsid w:val="00520F6F"/>
    <w:rsid w:val="00520F7E"/>
    <w:rsid w:val="00520FE9"/>
    <w:rsid w:val="0052107C"/>
    <w:rsid w:val="005212F2"/>
    <w:rsid w:val="005214DC"/>
    <w:rsid w:val="0052151C"/>
    <w:rsid w:val="005215E3"/>
    <w:rsid w:val="005215E7"/>
    <w:rsid w:val="0052160A"/>
    <w:rsid w:val="005216CC"/>
    <w:rsid w:val="00521724"/>
    <w:rsid w:val="00521729"/>
    <w:rsid w:val="005217E0"/>
    <w:rsid w:val="00521896"/>
    <w:rsid w:val="0052189D"/>
    <w:rsid w:val="00521A6D"/>
    <w:rsid w:val="00521A9D"/>
    <w:rsid w:val="00521CBF"/>
    <w:rsid w:val="00521D73"/>
    <w:rsid w:val="00521DA4"/>
    <w:rsid w:val="00521E4E"/>
    <w:rsid w:val="00521E89"/>
    <w:rsid w:val="00521EA7"/>
    <w:rsid w:val="00521F23"/>
    <w:rsid w:val="005220DD"/>
    <w:rsid w:val="0052225B"/>
    <w:rsid w:val="0052225C"/>
    <w:rsid w:val="00522263"/>
    <w:rsid w:val="005223ED"/>
    <w:rsid w:val="0052246D"/>
    <w:rsid w:val="00522492"/>
    <w:rsid w:val="00522555"/>
    <w:rsid w:val="005225B9"/>
    <w:rsid w:val="005225CD"/>
    <w:rsid w:val="005225E6"/>
    <w:rsid w:val="005226BF"/>
    <w:rsid w:val="00522789"/>
    <w:rsid w:val="00522A28"/>
    <w:rsid w:val="00522AA7"/>
    <w:rsid w:val="00522B4A"/>
    <w:rsid w:val="00522D6C"/>
    <w:rsid w:val="00522D78"/>
    <w:rsid w:val="00522E03"/>
    <w:rsid w:val="0052321D"/>
    <w:rsid w:val="005233EF"/>
    <w:rsid w:val="00523527"/>
    <w:rsid w:val="0052353F"/>
    <w:rsid w:val="00523591"/>
    <w:rsid w:val="00523682"/>
    <w:rsid w:val="005236B8"/>
    <w:rsid w:val="005236BB"/>
    <w:rsid w:val="005237C7"/>
    <w:rsid w:val="00523813"/>
    <w:rsid w:val="005239E1"/>
    <w:rsid w:val="00523B74"/>
    <w:rsid w:val="00523C94"/>
    <w:rsid w:val="0052423A"/>
    <w:rsid w:val="0052423E"/>
    <w:rsid w:val="005243FC"/>
    <w:rsid w:val="00524408"/>
    <w:rsid w:val="0052449D"/>
    <w:rsid w:val="00524512"/>
    <w:rsid w:val="0052459B"/>
    <w:rsid w:val="00524602"/>
    <w:rsid w:val="0052467C"/>
    <w:rsid w:val="00524785"/>
    <w:rsid w:val="005248A1"/>
    <w:rsid w:val="0052494B"/>
    <w:rsid w:val="005249F9"/>
    <w:rsid w:val="00524A43"/>
    <w:rsid w:val="00524B4B"/>
    <w:rsid w:val="00524B8C"/>
    <w:rsid w:val="00524D25"/>
    <w:rsid w:val="00524D56"/>
    <w:rsid w:val="00525179"/>
    <w:rsid w:val="0052527D"/>
    <w:rsid w:val="005252B6"/>
    <w:rsid w:val="00525423"/>
    <w:rsid w:val="00525487"/>
    <w:rsid w:val="005254CF"/>
    <w:rsid w:val="005254D0"/>
    <w:rsid w:val="005254D6"/>
    <w:rsid w:val="005254F8"/>
    <w:rsid w:val="0052558E"/>
    <w:rsid w:val="005255A7"/>
    <w:rsid w:val="00525613"/>
    <w:rsid w:val="00525669"/>
    <w:rsid w:val="00525757"/>
    <w:rsid w:val="00525773"/>
    <w:rsid w:val="005257EB"/>
    <w:rsid w:val="005258C1"/>
    <w:rsid w:val="00525952"/>
    <w:rsid w:val="0052595E"/>
    <w:rsid w:val="00525A52"/>
    <w:rsid w:val="00525A68"/>
    <w:rsid w:val="00525AE9"/>
    <w:rsid w:val="00525B61"/>
    <w:rsid w:val="00525B7A"/>
    <w:rsid w:val="00525C1D"/>
    <w:rsid w:val="00525C97"/>
    <w:rsid w:val="00525E53"/>
    <w:rsid w:val="00525E7C"/>
    <w:rsid w:val="00525EE5"/>
    <w:rsid w:val="00526040"/>
    <w:rsid w:val="005260CE"/>
    <w:rsid w:val="0052621F"/>
    <w:rsid w:val="00526240"/>
    <w:rsid w:val="0052625C"/>
    <w:rsid w:val="0052629A"/>
    <w:rsid w:val="005262D6"/>
    <w:rsid w:val="005262E2"/>
    <w:rsid w:val="0052634C"/>
    <w:rsid w:val="0052634F"/>
    <w:rsid w:val="00526359"/>
    <w:rsid w:val="00526371"/>
    <w:rsid w:val="005263F4"/>
    <w:rsid w:val="005263F8"/>
    <w:rsid w:val="005264D9"/>
    <w:rsid w:val="00526523"/>
    <w:rsid w:val="00526614"/>
    <w:rsid w:val="00526643"/>
    <w:rsid w:val="00526783"/>
    <w:rsid w:val="005267B4"/>
    <w:rsid w:val="005267FC"/>
    <w:rsid w:val="005268C0"/>
    <w:rsid w:val="00526936"/>
    <w:rsid w:val="005269DB"/>
    <w:rsid w:val="00526B51"/>
    <w:rsid w:val="00526BC6"/>
    <w:rsid w:val="00526C51"/>
    <w:rsid w:val="00526D99"/>
    <w:rsid w:val="00526E7E"/>
    <w:rsid w:val="00526FF6"/>
    <w:rsid w:val="0052715E"/>
    <w:rsid w:val="005271BC"/>
    <w:rsid w:val="005272E2"/>
    <w:rsid w:val="005272ED"/>
    <w:rsid w:val="005273BA"/>
    <w:rsid w:val="005274DF"/>
    <w:rsid w:val="0052753B"/>
    <w:rsid w:val="005275A7"/>
    <w:rsid w:val="00527756"/>
    <w:rsid w:val="00527783"/>
    <w:rsid w:val="005277E9"/>
    <w:rsid w:val="0052793B"/>
    <w:rsid w:val="0052799E"/>
    <w:rsid w:val="005279C2"/>
    <w:rsid w:val="00527A45"/>
    <w:rsid w:val="00527AED"/>
    <w:rsid w:val="00527D9A"/>
    <w:rsid w:val="00527E37"/>
    <w:rsid w:val="00527F71"/>
    <w:rsid w:val="00527FA1"/>
    <w:rsid w:val="005300BB"/>
    <w:rsid w:val="005300C1"/>
    <w:rsid w:val="0053015F"/>
    <w:rsid w:val="00530431"/>
    <w:rsid w:val="00530507"/>
    <w:rsid w:val="00530521"/>
    <w:rsid w:val="00530571"/>
    <w:rsid w:val="00530579"/>
    <w:rsid w:val="005305C7"/>
    <w:rsid w:val="0053060F"/>
    <w:rsid w:val="0053062E"/>
    <w:rsid w:val="00530651"/>
    <w:rsid w:val="00530681"/>
    <w:rsid w:val="00530688"/>
    <w:rsid w:val="00530697"/>
    <w:rsid w:val="00530888"/>
    <w:rsid w:val="00530892"/>
    <w:rsid w:val="00530A08"/>
    <w:rsid w:val="00530B70"/>
    <w:rsid w:val="00530C4D"/>
    <w:rsid w:val="00530CD8"/>
    <w:rsid w:val="00530EF9"/>
    <w:rsid w:val="00530F0A"/>
    <w:rsid w:val="00530F92"/>
    <w:rsid w:val="005310F7"/>
    <w:rsid w:val="00531239"/>
    <w:rsid w:val="005312C0"/>
    <w:rsid w:val="005312DD"/>
    <w:rsid w:val="0053139C"/>
    <w:rsid w:val="005313C3"/>
    <w:rsid w:val="0053142C"/>
    <w:rsid w:val="005315A7"/>
    <w:rsid w:val="005315DE"/>
    <w:rsid w:val="005316F3"/>
    <w:rsid w:val="00531766"/>
    <w:rsid w:val="005317E6"/>
    <w:rsid w:val="005318D1"/>
    <w:rsid w:val="005318F7"/>
    <w:rsid w:val="00531927"/>
    <w:rsid w:val="00531936"/>
    <w:rsid w:val="00531944"/>
    <w:rsid w:val="00531958"/>
    <w:rsid w:val="00531AC8"/>
    <w:rsid w:val="00531C5B"/>
    <w:rsid w:val="00531D73"/>
    <w:rsid w:val="00531E22"/>
    <w:rsid w:val="00531E31"/>
    <w:rsid w:val="0053200C"/>
    <w:rsid w:val="00532046"/>
    <w:rsid w:val="005321A6"/>
    <w:rsid w:val="00532228"/>
    <w:rsid w:val="00532255"/>
    <w:rsid w:val="0053228D"/>
    <w:rsid w:val="005322C2"/>
    <w:rsid w:val="00532338"/>
    <w:rsid w:val="00532486"/>
    <w:rsid w:val="00532519"/>
    <w:rsid w:val="005325B8"/>
    <w:rsid w:val="005327E8"/>
    <w:rsid w:val="005328BE"/>
    <w:rsid w:val="00532902"/>
    <w:rsid w:val="00532946"/>
    <w:rsid w:val="0053299D"/>
    <w:rsid w:val="005329B8"/>
    <w:rsid w:val="00532A46"/>
    <w:rsid w:val="00532AD5"/>
    <w:rsid w:val="00532AF6"/>
    <w:rsid w:val="00532B08"/>
    <w:rsid w:val="00532B4A"/>
    <w:rsid w:val="00532B72"/>
    <w:rsid w:val="00532B8F"/>
    <w:rsid w:val="00532C48"/>
    <w:rsid w:val="00532C68"/>
    <w:rsid w:val="00532CDC"/>
    <w:rsid w:val="00532E90"/>
    <w:rsid w:val="00532F67"/>
    <w:rsid w:val="0053307D"/>
    <w:rsid w:val="0053312A"/>
    <w:rsid w:val="005332B4"/>
    <w:rsid w:val="005332D3"/>
    <w:rsid w:val="005332D6"/>
    <w:rsid w:val="005332DF"/>
    <w:rsid w:val="0053344D"/>
    <w:rsid w:val="0053378F"/>
    <w:rsid w:val="0053380C"/>
    <w:rsid w:val="005338FE"/>
    <w:rsid w:val="00533A24"/>
    <w:rsid w:val="00533A30"/>
    <w:rsid w:val="00533AEE"/>
    <w:rsid w:val="00533BEF"/>
    <w:rsid w:val="00533C79"/>
    <w:rsid w:val="00533CC8"/>
    <w:rsid w:val="00533EC4"/>
    <w:rsid w:val="00533F23"/>
    <w:rsid w:val="00533FBC"/>
    <w:rsid w:val="00534100"/>
    <w:rsid w:val="00534172"/>
    <w:rsid w:val="005341F0"/>
    <w:rsid w:val="00534265"/>
    <w:rsid w:val="00534276"/>
    <w:rsid w:val="00534346"/>
    <w:rsid w:val="00534515"/>
    <w:rsid w:val="005346F8"/>
    <w:rsid w:val="00534807"/>
    <w:rsid w:val="00534815"/>
    <w:rsid w:val="0053489B"/>
    <w:rsid w:val="005348FA"/>
    <w:rsid w:val="00534A56"/>
    <w:rsid w:val="00534A69"/>
    <w:rsid w:val="00534AB7"/>
    <w:rsid w:val="00534B92"/>
    <w:rsid w:val="00534D26"/>
    <w:rsid w:val="00534DA0"/>
    <w:rsid w:val="00534F1F"/>
    <w:rsid w:val="00534F76"/>
    <w:rsid w:val="00535025"/>
    <w:rsid w:val="00535063"/>
    <w:rsid w:val="0053506E"/>
    <w:rsid w:val="0053518F"/>
    <w:rsid w:val="005351C8"/>
    <w:rsid w:val="005351ED"/>
    <w:rsid w:val="00535264"/>
    <w:rsid w:val="00535451"/>
    <w:rsid w:val="005354AF"/>
    <w:rsid w:val="005354D0"/>
    <w:rsid w:val="00535710"/>
    <w:rsid w:val="00535723"/>
    <w:rsid w:val="00535753"/>
    <w:rsid w:val="00535928"/>
    <w:rsid w:val="005359BB"/>
    <w:rsid w:val="005359F6"/>
    <w:rsid w:val="00535BAD"/>
    <w:rsid w:val="00535C13"/>
    <w:rsid w:val="00535C7A"/>
    <w:rsid w:val="00535CBD"/>
    <w:rsid w:val="00535CF5"/>
    <w:rsid w:val="00535D90"/>
    <w:rsid w:val="00535EFF"/>
    <w:rsid w:val="005360F2"/>
    <w:rsid w:val="005361A4"/>
    <w:rsid w:val="005361D8"/>
    <w:rsid w:val="0053624F"/>
    <w:rsid w:val="005362CE"/>
    <w:rsid w:val="005362E9"/>
    <w:rsid w:val="005365B6"/>
    <w:rsid w:val="005365C9"/>
    <w:rsid w:val="00536687"/>
    <w:rsid w:val="00536706"/>
    <w:rsid w:val="005367F4"/>
    <w:rsid w:val="0053680D"/>
    <w:rsid w:val="00536910"/>
    <w:rsid w:val="00536918"/>
    <w:rsid w:val="00536982"/>
    <w:rsid w:val="00536A03"/>
    <w:rsid w:val="00536BF7"/>
    <w:rsid w:val="00536C29"/>
    <w:rsid w:val="00536C8B"/>
    <w:rsid w:val="00536D92"/>
    <w:rsid w:val="00536E7A"/>
    <w:rsid w:val="00536E8A"/>
    <w:rsid w:val="00536F42"/>
    <w:rsid w:val="00536F76"/>
    <w:rsid w:val="00537114"/>
    <w:rsid w:val="005371F4"/>
    <w:rsid w:val="005374CB"/>
    <w:rsid w:val="00537545"/>
    <w:rsid w:val="00537546"/>
    <w:rsid w:val="005375F5"/>
    <w:rsid w:val="0053767D"/>
    <w:rsid w:val="005376BC"/>
    <w:rsid w:val="005377A4"/>
    <w:rsid w:val="00537B45"/>
    <w:rsid w:val="00537C96"/>
    <w:rsid w:val="00537E15"/>
    <w:rsid w:val="00537E7D"/>
    <w:rsid w:val="00537F42"/>
    <w:rsid w:val="00537F6D"/>
    <w:rsid w:val="00537FF4"/>
    <w:rsid w:val="00540052"/>
    <w:rsid w:val="005400BB"/>
    <w:rsid w:val="005402D7"/>
    <w:rsid w:val="00540323"/>
    <w:rsid w:val="0054032D"/>
    <w:rsid w:val="005403C8"/>
    <w:rsid w:val="00540493"/>
    <w:rsid w:val="00540612"/>
    <w:rsid w:val="005407B0"/>
    <w:rsid w:val="005407E1"/>
    <w:rsid w:val="00540803"/>
    <w:rsid w:val="00540870"/>
    <w:rsid w:val="00540871"/>
    <w:rsid w:val="0054093C"/>
    <w:rsid w:val="005409BB"/>
    <w:rsid w:val="00540A59"/>
    <w:rsid w:val="00540B32"/>
    <w:rsid w:val="00540B85"/>
    <w:rsid w:val="00540D4C"/>
    <w:rsid w:val="00540E04"/>
    <w:rsid w:val="00540E0B"/>
    <w:rsid w:val="00540E0D"/>
    <w:rsid w:val="00540F26"/>
    <w:rsid w:val="00540F40"/>
    <w:rsid w:val="00541040"/>
    <w:rsid w:val="005411D8"/>
    <w:rsid w:val="00541300"/>
    <w:rsid w:val="00541308"/>
    <w:rsid w:val="0054133F"/>
    <w:rsid w:val="005413BC"/>
    <w:rsid w:val="00541426"/>
    <w:rsid w:val="00541495"/>
    <w:rsid w:val="005414DF"/>
    <w:rsid w:val="00541526"/>
    <w:rsid w:val="00541548"/>
    <w:rsid w:val="00541601"/>
    <w:rsid w:val="005416AF"/>
    <w:rsid w:val="0054178D"/>
    <w:rsid w:val="0054188E"/>
    <w:rsid w:val="005418DE"/>
    <w:rsid w:val="0054198E"/>
    <w:rsid w:val="005419FA"/>
    <w:rsid w:val="00541A18"/>
    <w:rsid w:val="00541A20"/>
    <w:rsid w:val="00541B25"/>
    <w:rsid w:val="00541BAD"/>
    <w:rsid w:val="00541C43"/>
    <w:rsid w:val="00541C4D"/>
    <w:rsid w:val="00541CF9"/>
    <w:rsid w:val="00541D6B"/>
    <w:rsid w:val="00541E9E"/>
    <w:rsid w:val="00542021"/>
    <w:rsid w:val="00542097"/>
    <w:rsid w:val="00542225"/>
    <w:rsid w:val="00542393"/>
    <w:rsid w:val="005423AB"/>
    <w:rsid w:val="0054251A"/>
    <w:rsid w:val="0054252F"/>
    <w:rsid w:val="0054253D"/>
    <w:rsid w:val="00542607"/>
    <w:rsid w:val="0054264A"/>
    <w:rsid w:val="0054278D"/>
    <w:rsid w:val="005428F6"/>
    <w:rsid w:val="005428FC"/>
    <w:rsid w:val="00542987"/>
    <w:rsid w:val="00542A6F"/>
    <w:rsid w:val="00542A91"/>
    <w:rsid w:val="00542AFD"/>
    <w:rsid w:val="00542B90"/>
    <w:rsid w:val="00542C05"/>
    <w:rsid w:val="00542C1A"/>
    <w:rsid w:val="00542C3D"/>
    <w:rsid w:val="00542CC5"/>
    <w:rsid w:val="00542E98"/>
    <w:rsid w:val="00542F7B"/>
    <w:rsid w:val="005430D4"/>
    <w:rsid w:val="005432B7"/>
    <w:rsid w:val="005433EE"/>
    <w:rsid w:val="005433FE"/>
    <w:rsid w:val="00543485"/>
    <w:rsid w:val="005434BC"/>
    <w:rsid w:val="0054359D"/>
    <w:rsid w:val="00543653"/>
    <w:rsid w:val="005438CE"/>
    <w:rsid w:val="00543A38"/>
    <w:rsid w:val="00543A40"/>
    <w:rsid w:val="00543A8C"/>
    <w:rsid w:val="00543BAB"/>
    <w:rsid w:val="00543BB2"/>
    <w:rsid w:val="00543CBC"/>
    <w:rsid w:val="00543E4F"/>
    <w:rsid w:val="00543FEA"/>
    <w:rsid w:val="0054405B"/>
    <w:rsid w:val="005440E9"/>
    <w:rsid w:val="00544124"/>
    <w:rsid w:val="0054417F"/>
    <w:rsid w:val="005441E8"/>
    <w:rsid w:val="0054434F"/>
    <w:rsid w:val="0054446E"/>
    <w:rsid w:val="0054456D"/>
    <w:rsid w:val="005446C8"/>
    <w:rsid w:val="0054478D"/>
    <w:rsid w:val="00544857"/>
    <w:rsid w:val="0054488F"/>
    <w:rsid w:val="00544A7A"/>
    <w:rsid w:val="00544BF3"/>
    <w:rsid w:val="00544C5F"/>
    <w:rsid w:val="00544D71"/>
    <w:rsid w:val="00544E0B"/>
    <w:rsid w:val="00544FAE"/>
    <w:rsid w:val="00544FE3"/>
    <w:rsid w:val="005450BB"/>
    <w:rsid w:val="00545165"/>
    <w:rsid w:val="0054529A"/>
    <w:rsid w:val="005454DA"/>
    <w:rsid w:val="005455B9"/>
    <w:rsid w:val="005455E2"/>
    <w:rsid w:val="00545650"/>
    <w:rsid w:val="0054567F"/>
    <w:rsid w:val="005457CE"/>
    <w:rsid w:val="00545890"/>
    <w:rsid w:val="005458A6"/>
    <w:rsid w:val="005458B0"/>
    <w:rsid w:val="00545B0D"/>
    <w:rsid w:val="00545B5F"/>
    <w:rsid w:val="00545C27"/>
    <w:rsid w:val="00545CAB"/>
    <w:rsid w:val="00545D01"/>
    <w:rsid w:val="00545D47"/>
    <w:rsid w:val="00545E34"/>
    <w:rsid w:val="00545E53"/>
    <w:rsid w:val="00545EAB"/>
    <w:rsid w:val="005460C3"/>
    <w:rsid w:val="005462B8"/>
    <w:rsid w:val="0054637F"/>
    <w:rsid w:val="005465B0"/>
    <w:rsid w:val="005466CA"/>
    <w:rsid w:val="00546727"/>
    <w:rsid w:val="00546777"/>
    <w:rsid w:val="0054678D"/>
    <w:rsid w:val="00546819"/>
    <w:rsid w:val="00546985"/>
    <w:rsid w:val="00546AAF"/>
    <w:rsid w:val="00546AB6"/>
    <w:rsid w:val="00546B23"/>
    <w:rsid w:val="00546CA9"/>
    <w:rsid w:val="00546E76"/>
    <w:rsid w:val="00546F7C"/>
    <w:rsid w:val="00546FB5"/>
    <w:rsid w:val="00547141"/>
    <w:rsid w:val="00547231"/>
    <w:rsid w:val="0054723D"/>
    <w:rsid w:val="00547257"/>
    <w:rsid w:val="00547281"/>
    <w:rsid w:val="0054735A"/>
    <w:rsid w:val="005473B8"/>
    <w:rsid w:val="005477D1"/>
    <w:rsid w:val="00547844"/>
    <w:rsid w:val="00547853"/>
    <w:rsid w:val="005478C0"/>
    <w:rsid w:val="005478F3"/>
    <w:rsid w:val="00547B48"/>
    <w:rsid w:val="00547B5E"/>
    <w:rsid w:val="00547BA5"/>
    <w:rsid w:val="00547C07"/>
    <w:rsid w:val="00547C0E"/>
    <w:rsid w:val="00547C7F"/>
    <w:rsid w:val="00547CF1"/>
    <w:rsid w:val="00547CF3"/>
    <w:rsid w:val="00547E8A"/>
    <w:rsid w:val="00550046"/>
    <w:rsid w:val="00550052"/>
    <w:rsid w:val="00550057"/>
    <w:rsid w:val="0055010B"/>
    <w:rsid w:val="00550125"/>
    <w:rsid w:val="00550179"/>
    <w:rsid w:val="005501DA"/>
    <w:rsid w:val="00550243"/>
    <w:rsid w:val="005502FD"/>
    <w:rsid w:val="00550411"/>
    <w:rsid w:val="005504A0"/>
    <w:rsid w:val="0055051B"/>
    <w:rsid w:val="005505CD"/>
    <w:rsid w:val="00550664"/>
    <w:rsid w:val="005506B7"/>
    <w:rsid w:val="005506DF"/>
    <w:rsid w:val="005507EF"/>
    <w:rsid w:val="00550869"/>
    <w:rsid w:val="00550959"/>
    <w:rsid w:val="00550963"/>
    <w:rsid w:val="00550A10"/>
    <w:rsid w:val="00550AC9"/>
    <w:rsid w:val="00550B09"/>
    <w:rsid w:val="00550BB9"/>
    <w:rsid w:val="00550C44"/>
    <w:rsid w:val="00550CB9"/>
    <w:rsid w:val="00550CE7"/>
    <w:rsid w:val="00550E24"/>
    <w:rsid w:val="00550E50"/>
    <w:rsid w:val="00550EDE"/>
    <w:rsid w:val="00550EF8"/>
    <w:rsid w:val="00550F7C"/>
    <w:rsid w:val="0055105B"/>
    <w:rsid w:val="0055115F"/>
    <w:rsid w:val="0055152B"/>
    <w:rsid w:val="00551675"/>
    <w:rsid w:val="0055178B"/>
    <w:rsid w:val="005518B3"/>
    <w:rsid w:val="005519D6"/>
    <w:rsid w:val="00551B47"/>
    <w:rsid w:val="00551B54"/>
    <w:rsid w:val="00551BB5"/>
    <w:rsid w:val="00551BE2"/>
    <w:rsid w:val="00551C5F"/>
    <w:rsid w:val="00551CF3"/>
    <w:rsid w:val="00551D64"/>
    <w:rsid w:val="00551DB9"/>
    <w:rsid w:val="00551E33"/>
    <w:rsid w:val="00551E40"/>
    <w:rsid w:val="00551FDC"/>
    <w:rsid w:val="00552019"/>
    <w:rsid w:val="005520C2"/>
    <w:rsid w:val="005522A5"/>
    <w:rsid w:val="005522AA"/>
    <w:rsid w:val="005522C1"/>
    <w:rsid w:val="00552349"/>
    <w:rsid w:val="005523A2"/>
    <w:rsid w:val="005523F9"/>
    <w:rsid w:val="00552420"/>
    <w:rsid w:val="00552528"/>
    <w:rsid w:val="00552641"/>
    <w:rsid w:val="0055269A"/>
    <w:rsid w:val="005527E4"/>
    <w:rsid w:val="005527E8"/>
    <w:rsid w:val="0055287B"/>
    <w:rsid w:val="00552891"/>
    <w:rsid w:val="0055295E"/>
    <w:rsid w:val="0055296F"/>
    <w:rsid w:val="00552982"/>
    <w:rsid w:val="005529A2"/>
    <w:rsid w:val="00552A54"/>
    <w:rsid w:val="00552B00"/>
    <w:rsid w:val="00552B38"/>
    <w:rsid w:val="00552D3A"/>
    <w:rsid w:val="00552DD8"/>
    <w:rsid w:val="00552EB4"/>
    <w:rsid w:val="00552F5D"/>
    <w:rsid w:val="00552F62"/>
    <w:rsid w:val="00552F8C"/>
    <w:rsid w:val="00552FB2"/>
    <w:rsid w:val="00553000"/>
    <w:rsid w:val="00553119"/>
    <w:rsid w:val="00553156"/>
    <w:rsid w:val="00553164"/>
    <w:rsid w:val="00553241"/>
    <w:rsid w:val="005532EB"/>
    <w:rsid w:val="005533EE"/>
    <w:rsid w:val="00553418"/>
    <w:rsid w:val="00553432"/>
    <w:rsid w:val="00553451"/>
    <w:rsid w:val="00553499"/>
    <w:rsid w:val="00553574"/>
    <w:rsid w:val="005535B5"/>
    <w:rsid w:val="005535BA"/>
    <w:rsid w:val="005535F5"/>
    <w:rsid w:val="00553613"/>
    <w:rsid w:val="005537B8"/>
    <w:rsid w:val="0055381E"/>
    <w:rsid w:val="0055387E"/>
    <w:rsid w:val="00553B46"/>
    <w:rsid w:val="00553BD2"/>
    <w:rsid w:val="00553C08"/>
    <w:rsid w:val="00553E10"/>
    <w:rsid w:val="00553E4B"/>
    <w:rsid w:val="00553F8F"/>
    <w:rsid w:val="00553FB4"/>
    <w:rsid w:val="00553FBF"/>
    <w:rsid w:val="0055403D"/>
    <w:rsid w:val="005540F4"/>
    <w:rsid w:val="0055424D"/>
    <w:rsid w:val="00554380"/>
    <w:rsid w:val="005543CB"/>
    <w:rsid w:val="00554404"/>
    <w:rsid w:val="00554467"/>
    <w:rsid w:val="00554566"/>
    <w:rsid w:val="005546A6"/>
    <w:rsid w:val="0055470B"/>
    <w:rsid w:val="005549AA"/>
    <w:rsid w:val="00554A74"/>
    <w:rsid w:val="00554A90"/>
    <w:rsid w:val="00554C53"/>
    <w:rsid w:val="00554E1A"/>
    <w:rsid w:val="00554F31"/>
    <w:rsid w:val="00554F89"/>
    <w:rsid w:val="00554FC6"/>
    <w:rsid w:val="00555000"/>
    <w:rsid w:val="005552B6"/>
    <w:rsid w:val="00555322"/>
    <w:rsid w:val="00555324"/>
    <w:rsid w:val="005553A4"/>
    <w:rsid w:val="005553D5"/>
    <w:rsid w:val="00555405"/>
    <w:rsid w:val="00555423"/>
    <w:rsid w:val="0055555D"/>
    <w:rsid w:val="005555DD"/>
    <w:rsid w:val="0055562F"/>
    <w:rsid w:val="005556C1"/>
    <w:rsid w:val="00555737"/>
    <w:rsid w:val="00555740"/>
    <w:rsid w:val="005557BB"/>
    <w:rsid w:val="005557E8"/>
    <w:rsid w:val="00555806"/>
    <w:rsid w:val="0055583E"/>
    <w:rsid w:val="00555883"/>
    <w:rsid w:val="00555896"/>
    <w:rsid w:val="0055595D"/>
    <w:rsid w:val="005559C4"/>
    <w:rsid w:val="00555A06"/>
    <w:rsid w:val="00555A7B"/>
    <w:rsid w:val="00555A83"/>
    <w:rsid w:val="00555AB3"/>
    <w:rsid w:val="00555B00"/>
    <w:rsid w:val="00555B23"/>
    <w:rsid w:val="00555B2F"/>
    <w:rsid w:val="00555B72"/>
    <w:rsid w:val="00555C2D"/>
    <w:rsid w:val="00555C75"/>
    <w:rsid w:val="00555CA3"/>
    <w:rsid w:val="00555CB0"/>
    <w:rsid w:val="00555CB4"/>
    <w:rsid w:val="00555D74"/>
    <w:rsid w:val="00555E04"/>
    <w:rsid w:val="00555F43"/>
    <w:rsid w:val="00555FAD"/>
    <w:rsid w:val="00555FE8"/>
    <w:rsid w:val="0055601B"/>
    <w:rsid w:val="0055604D"/>
    <w:rsid w:val="0055609B"/>
    <w:rsid w:val="00556113"/>
    <w:rsid w:val="0055621B"/>
    <w:rsid w:val="005563B6"/>
    <w:rsid w:val="005563C5"/>
    <w:rsid w:val="00556462"/>
    <w:rsid w:val="005564BB"/>
    <w:rsid w:val="0055650B"/>
    <w:rsid w:val="0055654F"/>
    <w:rsid w:val="00556672"/>
    <w:rsid w:val="005566FC"/>
    <w:rsid w:val="00556731"/>
    <w:rsid w:val="0055677E"/>
    <w:rsid w:val="005567CA"/>
    <w:rsid w:val="005567FD"/>
    <w:rsid w:val="0055686C"/>
    <w:rsid w:val="0055687E"/>
    <w:rsid w:val="005568B7"/>
    <w:rsid w:val="005568DE"/>
    <w:rsid w:val="005569A2"/>
    <w:rsid w:val="005569C7"/>
    <w:rsid w:val="00556A4E"/>
    <w:rsid w:val="00556B37"/>
    <w:rsid w:val="00556B5F"/>
    <w:rsid w:val="00556B8B"/>
    <w:rsid w:val="00556BA3"/>
    <w:rsid w:val="00556DD4"/>
    <w:rsid w:val="00556EE1"/>
    <w:rsid w:val="005571B6"/>
    <w:rsid w:val="005572C7"/>
    <w:rsid w:val="005572DA"/>
    <w:rsid w:val="00557360"/>
    <w:rsid w:val="005573F7"/>
    <w:rsid w:val="00557406"/>
    <w:rsid w:val="00557457"/>
    <w:rsid w:val="00557458"/>
    <w:rsid w:val="005574B1"/>
    <w:rsid w:val="0055752F"/>
    <w:rsid w:val="00557600"/>
    <w:rsid w:val="0055760F"/>
    <w:rsid w:val="00557650"/>
    <w:rsid w:val="00557672"/>
    <w:rsid w:val="005577BA"/>
    <w:rsid w:val="00557A38"/>
    <w:rsid w:val="00557BB3"/>
    <w:rsid w:val="00557BF0"/>
    <w:rsid w:val="00557E36"/>
    <w:rsid w:val="00557ECA"/>
    <w:rsid w:val="00557F76"/>
    <w:rsid w:val="0055A099"/>
    <w:rsid w:val="005602D0"/>
    <w:rsid w:val="0056038B"/>
    <w:rsid w:val="005603F0"/>
    <w:rsid w:val="00560412"/>
    <w:rsid w:val="00560465"/>
    <w:rsid w:val="005604BD"/>
    <w:rsid w:val="00560509"/>
    <w:rsid w:val="0056054E"/>
    <w:rsid w:val="00560583"/>
    <w:rsid w:val="00560851"/>
    <w:rsid w:val="00560931"/>
    <w:rsid w:val="00560A42"/>
    <w:rsid w:val="00560A98"/>
    <w:rsid w:val="00560B02"/>
    <w:rsid w:val="00560B0D"/>
    <w:rsid w:val="00560B2E"/>
    <w:rsid w:val="00560C00"/>
    <w:rsid w:val="00560C3B"/>
    <w:rsid w:val="00560CD3"/>
    <w:rsid w:val="00560D5B"/>
    <w:rsid w:val="00560DAE"/>
    <w:rsid w:val="00560F0D"/>
    <w:rsid w:val="00561240"/>
    <w:rsid w:val="00561501"/>
    <w:rsid w:val="005615A2"/>
    <w:rsid w:val="0056167E"/>
    <w:rsid w:val="0056175B"/>
    <w:rsid w:val="005617BD"/>
    <w:rsid w:val="005617C9"/>
    <w:rsid w:val="00561884"/>
    <w:rsid w:val="005618DE"/>
    <w:rsid w:val="005618FE"/>
    <w:rsid w:val="0056195E"/>
    <w:rsid w:val="005619AB"/>
    <w:rsid w:val="00561A2A"/>
    <w:rsid w:val="00561AAC"/>
    <w:rsid w:val="00561ABB"/>
    <w:rsid w:val="00561AF5"/>
    <w:rsid w:val="00561B42"/>
    <w:rsid w:val="00561C93"/>
    <w:rsid w:val="00561CCB"/>
    <w:rsid w:val="00561CD8"/>
    <w:rsid w:val="00561D01"/>
    <w:rsid w:val="00561D07"/>
    <w:rsid w:val="00561D9D"/>
    <w:rsid w:val="00561E0F"/>
    <w:rsid w:val="00561EAF"/>
    <w:rsid w:val="00561F9C"/>
    <w:rsid w:val="00561FFC"/>
    <w:rsid w:val="0056201E"/>
    <w:rsid w:val="005620A3"/>
    <w:rsid w:val="00562184"/>
    <w:rsid w:val="005621E5"/>
    <w:rsid w:val="005622D4"/>
    <w:rsid w:val="005623DC"/>
    <w:rsid w:val="00562418"/>
    <w:rsid w:val="00562517"/>
    <w:rsid w:val="005625CE"/>
    <w:rsid w:val="00562611"/>
    <w:rsid w:val="005626FA"/>
    <w:rsid w:val="005627A1"/>
    <w:rsid w:val="005628A6"/>
    <w:rsid w:val="005628B9"/>
    <w:rsid w:val="00562960"/>
    <w:rsid w:val="005629AC"/>
    <w:rsid w:val="00562ADD"/>
    <w:rsid w:val="00562BA8"/>
    <w:rsid w:val="00562C7C"/>
    <w:rsid w:val="00562CC2"/>
    <w:rsid w:val="00562D85"/>
    <w:rsid w:val="00562E38"/>
    <w:rsid w:val="00562E52"/>
    <w:rsid w:val="00562E77"/>
    <w:rsid w:val="00562F16"/>
    <w:rsid w:val="00562F23"/>
    <w:rsid w:val="00562F38"/>
    <w:rsid w:val="00563202"/>
    <w:rsid w:val="00563223"/>
    <w:rsid w:val="005632C4"/>
    <w:rsid w:val="005632F6"/>
    <w:rsid w:val="005635DE"/>
    <w:rsid w:val="0056368B"/>
    <w:rsid w:val="0056370C"/>
    <w:rsid w:val="00563716"/>
    <w:rsid w:val="00563834"/>
    <w:rsid w:val="00563869"/>
    <w:rsid w:val="005638A1"/>
    <w:rsid w:val="005638A8"/>
    <w:rsid w:val="005638B1"/>
    <w:rsid w:val="0056396A"/>
    <w:rsid w:val="00563B29"/>
    <w:rsid w:val="00563B41"/>
    <w:rsid w:val="00563BB3"/>
    <w:rsid w:val="00563BD3"/>
    <w:rsid w:val="00563BFB"/>
    <w:rsid w:val="00563C20"/>
    <w:rsid w:val="00563D84"/>
    <w:rsid w:val="00563DD3"/>
    <w:rsid w:val="00563E88"/>
    <w:rsid w:val="00563EA8"/>
    <w:rsid w:val="00563EC0"/>
    <w:rsid w:val="00563F0F"/>
    <w:rsid w:val="00563FEF"/>
    <w:rsid w:val="005640BC"/>
    <w:rsid w:val="0056412E"/>
    <w:rsid w:val="005642F3"/>
    <w:rsid w:val="0056435D"/>
    <w:rsid w:val="005643B9"/>
    <w:rsid w:val="005643C2"/>
    <w:rsid w:val="005644D0"/>
    <w:rsid w:val="005644F5"/>
    <w:rsid w:val="0056462D"/>
    <w:rsid w:val="0056469C"/>
    <w:rsid w:val="005646EB"/>
    <w:rsid w:val="00564744"/>
    <w:rsid w:val="005647D9"/>
    <w:rsid w:val="00564855"/>
    <w:rsid w:val="0056488C"/>
    <w:rsid w:val="005648FF"/>
    <w:rsid w:val="00564907"/>
    <w:rsid w:val="00564931"/>
    <w:rsid w:val="00564A0B"/>
    <w:rsid w:val="00564B7B"/>
    <w:rsid w:val="00564C0D"/>
    <w:rsid w:val="00564C2C"/>
    <w:rsid w:val="00564D24"/>
    <w:rsid w:val="00564DE2"/>
    <w:rsid w:val="00564E8F"/>
    <w:rsid w:val="00564EFB"/>
    <w:rsid w:val="00564F62"/>
    <w:rsid w:val="0056501C"/>
    <w:rsid w:val="00565048"/>
    <w:rsid w:val="005650B9"/>
    <w:rsid w:val="00565226"/>
    <w:rsid w:val="00565252"/>
    <w:rsid w:val="005652A6"/>
    <w:rsid w:val="005652B7"/>
    <w:rsid w:val="00565317"/>
    <w:rsid w:val="00565482"/>
    <w:rsid w:val="005655F1"/>
    <w:rsid w:val="00565653"/>
    <w:rsid w:val="00565654"/>
    <w:rsid w:val="005656A5"/>
    <w:rsid w:val="00565834"/>
    <w:rsid w:val="0056587B"/>
    <w:rsid w:val="005659AC"/>
    <w:rsid w:val="00565A3B"/>
    <w:rsid w:val="00565AEB"/>
    <w:rsid w:val="00565AED"/>
    <w:rsid w:val="00565AFF"/>
    <w:rsid w:val="00565B8A"/>
    <w:rsid w:val="00565DEB"/>
    <w:rsid w:val="00565ED9"/>
    <w:rsid w:val="00565F87"/>
    <w:rsid w:val="0056612A"/>
    <w:rsid w:val="005661CC"/>
    <w:rsid w:val="005661FE"/>
    <w:rsid w:val="005662AB"/>
    <w:rsid w:val="00566348"/>
    <w:rsid w:val="00566368"/>
    <w:rsid w:val="005663B8"/>
    <w:rsid w:val="005663FB"/>
    <w:rsid w:val="00566614"/>
    <w:rsid w:val="005666BA"/>
    <w:rsid w:val="005666EF"/>
    <w:rsid w:val="005668A4"/>
    <w:rsid w:val="00566A43"/>
    <w:rsid w:val="00566AA8"/>
    <w:rsid w:val="00566C0B"/>
    <w:rsid w:val="00566C60"/>
    <w:rsid w:val="00566CE0"/>
    <w:rsid w:val="00566E4F"/>
    <w:rsid w:val="00566EB6"/>
    <w:rsid w:val="005670FB"/>
    <w:rsid w:val="0056718F"/>
    <w:rsid w:val="005671DC"/>
    <w:rsid w:val="00567217"/>
    <w:rsid w:val="0056726C"/>
    <w:rsid w:val="005672D2"/>
    <w:rsid w:val="00567370"/>
    <w:rsid w:val="0056745E"/>
    <w:rsid w:val="00567503"/>
    <w:rsid w:val="00567591"/>
    <w:rsid w:val="0056773F"/>
    <w:rsid w:val="00567814"/>
    <w:rsid w:val="00567936"/>
    <w:rsid w:val="00567984"/>
    <w:rsid w:val="005679BA"/>
    <w:rsid w:val="005679CC"/>
    <w:rsid w:val="00567A11"/>
    <w:rsid w:val="00567A66"/>
    <w:rsid w:val="00567BD0"/>
    <w:rsid w:val="00567E1D"/>
    <w:rsid w:val="00567E50"/>
    <w:rsid w:val="00567E68"/>
    <w:rsid w:val="00567EAF"/>
    <w:rsid w:val="00567EC4"/>
    <w:rsid w:val="00567F04"/>
    <w:rsid w:val="00567F6E"/>
    <w:rsid w:val="00567FF0"/>
    <w:rsid w:val="005700CB"/>
    <w:rsid w:val="005701D8"/>
    <w:rsid w:val="00570260"/>
    <w:rsid w:val="00570329"/>
    <w:rsid w:val="005703FA"/>
    <w:rsid w:val="00570619"/>
    <w:rsid w:val="00570656"/>
    <w:rsid w:val="00570682"/>
    <w:rsid w:val="0057070C"/>
    <w:rsid w:val="00570783"/>
    <w:rsid w:val="005707BF"/>
    <w:rsid w:val="00570810"/>
    <w:rsid w:val="0057085A"/>
    <w:rsid w:val="005709D2"/>
    <w:rsid w:val="005709F1"/>
    <w:rsid w:val="00570AF8"/>
    <w:rsid w:val="00570B33"/>
    <w:rsid w:val="00570B95"/>
    <w:rsid w:val="00570D4F"/>
    <w:rsid w:val="00570D56"/>
    <w:rsid w:val="00570E3A"/>
    <w:rsid w:val="00570EA1"/>
    <w:rsid w:val="00571001"/>
    <w:rsid w:val="005710D3"/>
    <w:rsid w:val="00571233"/>
    <w:rsid w:val="005713C2"/>
    <w:rsid w:val="005713C7"/>
    <w:rsid w:val="005714C5"/>
    <w:rsid w:val="005714FE"/>
    <w:rsid w:val="00571586"/>
    <w:rsid w:val="005716A5"/>
    <w:rsid w:val="005716BE"/>
    <w:rsid w:val="0057190C"/>
    <w:rsid w:val="00571A2B"/>
    <w:rsid w:val="00571B61"/>
    <w:rsid w:val="00571C4F"/>
    <w:rsid w:val="00571CE1"/>
    <w:rsid w:val="00571D2E"/>
    <w:rsid w:val="00571FE6"/>
    <w:rsid w:val="00572118"/>
    <w:rsid w:val="00572180"/>
    <w:rsid w:val="00572250"/>
    <w:rsid w:val="00572255"/>
    <w:rsid w:val="00572354"/>
    <w:rsid w:val="0057248C"/>
    <w:rsid w:val="00572496"/>
    <w:rsid w:val="00572580"/>
    <w:rsid w:val="005725D4"/>
    <w:rsid w:val="00572698"/>
    <w:rsid w:val="005726A0"/>
    <w:rsid w:val="00572737"/>
    <w:rsid w:val="00572781"/>
    <w:rsid w:val="005727FF"/>
    <w:rsid w:val="0057284E"/>
    <w:rsid w:val="0057288C"/>
    <w:rsid w:val="0057289A"/>
    <w:rsid w:val="005728A1"/>
    <w:rsid w:val="005728EC"/>
    <w:rsid w:val="0057290B"/>
    <w:rsid w:val="005729C3"/>
    <w:rsid w:val="00572A61"/>
    <w:rsid w:val="00572BA4"/>
    <w:rsid w:val="00572C8E"/>
    <w:rsid w:val="00572DE5"/>
    <w:rsid w:val="00572EBE"/>
    <w:rsid w:val="00572F62"/>
    <w:rsid w:val="00572FC4"/>
    <w:rsid w:val="0057307A"/>
    <w:rsid w:val="0057318C"/>
    <w:rsid w:val="00573240"/>
    <w:rsid w:val="0057333B"/>
    <w:rsid w:val="00573388"/>
    <w:rsid w:val="005734C9"/>
    <w:rsid w:val="005734CD"/>
    <w:rsid w:val="00573567"/>
    <w:rsid w:val="005735BD"/>
    <w:rsid w:val="005735C0"/>
    <w:rsid w:val="005735C1"/>
    <w:rsid w:val="005736A7"/>
    <w:rsid w:val="005736B8"/>
    <w:rsid w:val="005737E4"/>
    <w:rsid w:val="0057385C"/>
    <w:rsid w:val="005738A0"/>
    <w:rsid w:val="0057390F"/>
    <w:rsid w:val="00573B86"/>
    <w:rsid w:val="00573BAA"/>
    <w:rsid w:val="00573C7C"/>
    <w:rsid w:val="00573E72"/>
    <w:rsid w:val="00573F37"/>
    <w:rsid w:val="00573F8D"/>
    <w:rsid w:val="0057407D"/>
    <w:rsid w:val="005740E4"/>
    <w:rsid w:val="005743C5"/>
    <w:rsid w:val="0057446E"/>
    <w:rsid w:val="005744FE"/>
    <w:rsid w:val="0057456A"/>
    <w:rsid w:val="005745BC"/>
    <w:rsid w:val="00574611"/>
    <w:rsid w:val="0057463B"/>
    <w:rsid w:val="0057464E"/>
    <w:rsid w:val="005746E9"/>
    <w:rsid w:val="0057470A"/>
    <w:rsid w:val="005747BF"/>
    <w:rsid w:val="005747D1"/>
    <w:rsid w:val="005747F0"/>
    <w:rsid w:val="00574ABF"/>
    <w:rsid w:val="00574AD7"/>
    <w:rsid w:val="00574BAC"/>
    <w:rsid w:val="00574BBD"/>
    <w:rsid w:val="00574C4A"/>
    <w:rsid w:val="00574D63"/>
    <w:rsid w:val="00574D78"/>
    <w:rsid w:val="00574DC9"/>
    <w:rsid w:val="00574E0C"/>
    <w:rsid w:val="00574EA3"/>
    <w:rsid w:val="00574ED5"/>
    <w:rsid w:val="00574EE4"/>
    <w:rsid w:val="00574F47"/>
    <w:rsid w:val="00575140"/>
    <w:rsid w:val="005752CC"/>
    <w:rsid w:val="005753A1"/>
    <w:rsid w:val="005754F5"/>
    <w:rsid w:val="00575528"/>
    <w:rsid w:val="0057567E"/>
    <w:rsid w:val="00575764"/>
    <w:rsid w:val="00575766"/>
    <w:rsid w:val="005757C3"/>
    <w:rsid w:val="00575911"/>
    <w:rsid w:val="00575B0A"/>
    <w:rsid w:val="00575B89"/>
    <w:rsid w:val="00575C10"/>
    <w:rsid w:val="00575D19"/>
    <w:rsid w:val="00575E33"/>
    <w:rsid w:val="00575EFB"/>
    <w:rsid w:val="00575F03"/>
    <w:rsid w:val="00575F34"/>
    <w:rsid w:val="00575F75"/>
    <w:rsid w:val="00575FF2"/>
    <w:rsid w:val="00576011"/>
    <w:rsid w:val="00576051"/>
    <w:rsid w:val="00576074"/>
    <w:rsid w:val="00576126"/>
    <w:rsid w:val="0057614B"/>
    <w:rsid w:val="005762DF"/>
    <w:rsid w:val="00576483"/>
    <w:rsid w:val="005764E2"/>
    <w:rsid w:val="00576609"/>
    <w:rsid w:val="0057686C"/>
    <w:rsid w:val="005768BF"/>
    <w:rsid w:val="00576AF7"/>
    <w:rsid w:val="00576B6E"/>
    <w:rsid w:val="00576BD0"/>
    <w:rsid w:val="00576BDA"/>
    <w:rsid w:val="00576BEB"/>
    <w:rsid w:val="00576C30"/>
    <w:rsid w:val="00576C36"/>
    <w:rsid w:val="00576C61"/>
    <w:rsid w:val="00576C69"/>
    <w:rsid w:val="00576D3B"/>
    <w:rsid w:val="00576D87"/>
    <w:rsid w:val="00576DA3"/>
    <w:rsid w:val="00576DCE"/>
    <w:rsid w:val="00576E24"/>
    <w:rsid w:val="00576EEB"/>
    <w:rsid w:val="00576F5E"/>
    <w:rsid w:val="00576F72"/>
    <w:rsid w:val="005770A2"/>
    <w:rsid w:val="005770EC"/>
    <w:rsid w:val="00577169"/>
    <w:rsid w:val="005771A6"/>
    <w:rsid w:val="005771B9"/>
    <w:rsid w:val="005771C9"/>
    <w:rsid w:val="005771E7"/>
    <w:rsid w:val="00577283"/>
    <w:rsid w:val="005772E6"/>
    <w:rsid w:val="00577518"/>
    <w:rsid w:val="00577730"/>
    <w:rsid w:val="005778C8"/>
    <w:rsid w:val="005778ED"/>
    <w:rsid w:val="005779C2"/>
    <w:rsid w:val="005779D5"/>
    <w:rsid w:val="00577A62"/>
    <w:rsid w:val="00577AA3"/>
    <w:rsid w:val="00577AA4"/>
    <w:rsid w:val="00577B62"/>
    <w:rsid w:val="00577DC6"/>
    <w:rsid w:val="00577DCB"/>
    <w:rsid w:val="00577DD8"/>
    <w:rsid w:val="00577E55"/>
    <w:rsid w:val="00577ED2"/>
    <w:rsid w:val="00577F8A"/>
    <w:rsid w:val="005800AF"/>
    <w:rsid w:val="00580189"/>
    <w:rsid w:val="005801E6"/>
    <w:rsid w:val="0058029B"/>
    <w:rsid w:val="00580308"/>
    <w:rsid w:val="00580445"/>
    <w:rsid w:val="0058047E"/>
    <w:rsid w:val="00580513"/>
    <w:rsid w:val="0058054F"/>
    <w:rsid w:val="0058064B"/>
    <w:rsid w:val="00580850"/>
    <w:rsid w:val="00580A42"/>
    <w:rsid w:val="00580A9F"/>
    <w:rsid w:val="00580C8A"/>
    <w:rsid w:val="00580DD1"/>
    <w:rsid w:val="00580E51"/>
    <w:rsid w:val="00580E8C"/>
    <w:rsid w:val="00580F36"/>
    <w:rsid w:val="00580F85"/>
    <w:rsid w:val="0058102E"/>
    <w:rsid w:val="00581125"/>
    <w:rsid w:val="00581246"/>
    <w:rsid w:val="005813FC"/>
    <w:rsid w:val="0058142F"/>
    <w:rsid w:val="0058148C"/>
    <w:rsid w:val="00581492"/>
    <w:rsid w:val="005814F2"/>
    <w:rsid w:val="0058154D"/>
    <w:rsid w:val="0058157E"/>
    <w:rsid w:val="005815D0"/>
    <w:rsid w:val="0058168B"/>
    <w:rsid w:val="005816E9"/>
    <w:rsid w:val="00581703"/>
    <w:rsid w:val="005817D8"/>
    <w:rsid w:val="00581A29"/>
    <w:rsid w:val="00581A80"/>
    <w:rsid w:val="00581B5F"/>
    <w:rsid w:val="00581BDB"/>
    <w:rsid w:val="00581CD3"/>
    <w:rsid w:val="00581DFF"/>
    <w:rsid w:val="00581E98"/>
    <w:rsid w:val="00581EAD"/>
    <w:rsid w:val="00582005"/>
    <w:rsid w:val="00582048"/>
    <w:rsid w:val="005820C3"/>
    <w:rsid w:val="005820F5"/>
    <w:rsid w:val="00582109"/>
    <w:rsid w:val="0058214B"/>
    <w:rsid w:val="005821CC"/>
    <w:rsid w:val="00582307"/>
    <w:rsid w:val="005823AF"/>
    <w:rsid w:val="005823B3"/>
    <w:rsid w:val="0058271E"/>
    <w:rsid w:val="005828A9"/>
    <w:rsid w:val="005829BE"/>
    <w:rsid w:val="005829CE"/>
    <w:rsid w:val="00582A4C"/>
    <w:rsid w:val="00582BE1"/>
    <w:rsid w:val="00582C27"/>
    <w:rsid w:val="00582C47"/>
    <w:rsid w:val="00582DA3"/>
    <w:rsid w:val="00582E55"/>
    <w:rsid w:val="00582F9A"/>
    <w:rsid w:val="00582FD7"/>
    <w:rsid w:val="00582FE7"/>
    <w:rsid w:val="005830B7"/>
    <w:rsid w:val="0058313B"/>
    <w:rsid w:val="0058317C"/>
    <w:rsid w:val="00583216"/>
    <w:rsid w:val="005832E4"/>
    <w:rsid w:val="00583308"/>
    <w:rsid w:val="00583341"/>
    <w:rsid w:val="005833CC"/>
    <w:rsid w:val="00583474"/>
    <w:rsid w:val="005834C6"/>
    <w:rsid w:val="005836D8"/>
    <w:rsid w:val="005836EC"/>
    <w:rsid w:val="005836F0"/>
    <w:rsid w:val="0058372A"/>
    <w:rsid w:val="0058372C"/>
    <w:rsid w:val="0058379E"/>
    <w:rsid w:val="005837F9"/>
    <w:rsid w:val="00583888"/>
    <w:rsid w:val="005838D8"/>
    <w:rsid w:val="00583BF4"/>
    <w:rsid w:val="00583C26"/>
    <w:rsid w:val="00583C3C"/>
    <w:rsid w:val="00583C93"/>
    <w:rsid w:val="00583D4A"/>
    <w:rsid w:val="00583DF8"/>
    <w:rsid w:val="00583F1A"/>
    <w:rsid w:val="00583F42"/>
    <w:rsid w:val="00583F48"/>
    <w:rsid w:val="00583F4B"/>
    <w:rsid w:val="00583F95"/>
    <w:rsid w:val="0058402F"/>
    <w:rsid w:val="0058403E"/>
    <w:rsid w:val="00584160"/>
    <w:rsid w:val="005841AB"/>
    <w:rsid w:val="0058427C"/>
    <w:rsid w:val="00584300"/>
    <w:rsid w:val="0058435E"/>
    <w:rsid w:val="005843B4"/>
    <w:rsid w:val="00584478"/>
    <w:rsid w:val="005844CA"/>
    <w:rsid w:val="005846F4"/>
    <w:rsid w:val="0058471E"/>
    <w:rsid w:val="00584720"/>
    <w:rsid w:val="00584860"/>
    <w:rsid w:val="005849DC"/>
    <w:rsid w:val="005849F1"/>
    <w:rsid w:val="00584A0D"/>
    <w:rsid w:val="00584AB4"/>
    <w:rsid w:val="00584AD9"/>
    <w:rsid w:val="00584C47"/>
    <w:rsid w:val="00584C5B"/>
    <w:rsid w:val="00584C65"/>
    <w:rsid w:val="00584C72"/>
    <w:rsid w:val="00584CD0"/>
    <w:rsid w:val="00584D33"/>
    <w:rsid w:val="00584D9E"/>
    <w:rsid w:val="00584DC0"/>
    <w:rsid w:val="00584DD6"/>
    <w:rsid w:val="00584E1C"/>
    <w:rsid w:val="00584E90"/>
    <w:rsid w:val="00584F11"/>
    <w:rsid w:val="00584F16"/>
    <w:rsid w:val="00584F62"/>
    <w:rsid w:val="00584FA9"/>
    <w:rsid w:val="00585033"/>
    <w:rsid w:val="00585074"/>
    <w:rsid w:val="00585220"/>
    <w:rsid w:val="005852CF"/>
    <w:rsid w:val="005852E5"/>
    <w:rsid w:val="0058535E"/>
    <w:rsid w:val="00585368"/>
    <w:rsid w:val="0058536E"/>
    <w:rsid w:val="00585382"/>
    <w:rsid w:val="005853D0"/>
    <w:rsid w:val="005853ED"/>
    <w:rsid w:val="005853FC"/>
    <w:rsid w:val="00585593"/>
    <w:rsid w:val="005855DA"/>
    <w:rsid w:val="0058569B"/>
    <w:rsid w:val="005856CB"/>
    <w:rsid w:val="00585704"/>
    <w:rsid w:val="00585737"/>
    <w:rsid w:val="005857DC"/>
    <w:rsid w:val="00585801"/>
    <w:rsid w:val="00585873"/>
    <w:rsid w:val="005858A3"/>
    <w:rsid w:val="0058594A"/>
    <w:rsid w:val="005859C8"/>
    <w:rsid w:val="005859CA"/>
    <w:rsid w:val="005859E8"/>
    <w:rsid w:val="00585A66"/>
    <w:rsid w:val="00585ADB"/>
    <w:rsid w:val="00585B72"/>
    <w:rsid w:val="00585C68"/>
    <w:rsid w:val="00585E2B"/>
    <w:rsid w:val="00585E3B"/>
    <w:rsid w:val="00585ECF"/>
    <w:rsid w:val="00585ED5"/>
    <w:rsid w:val="00585F85"/>
    <w:rsid w:val="00586043"/>
    <w:rsid w:val="005861FF"/>
    <w:rsid w:val="0058634B"/>
    <w:rsid w:val="00586463"/>
    <w:rsid w:val="0058653F"/>
    <w:rsid w:val="00586637"/>
    <w:rsid w:val="00586723"/>
    <w:rsid w:val="00586810"/>
    <w:rsid w:val="00586866"/>
    <w:rsid w:val="00586923"/>
    <w:rsid w:val="0058698D"/>
    <w:rsid w:val="00586AE3"/>
    <w:rsid w:val="00586F5B"/>
    <w:rsid w:val="00586FA0"/>
    <w:rsid w:val="005870CC"/>
    <w:rsid w:val="00587114"/>
    <w:rsid w:val="0058719D"/>
    <w:rsid w:val="005872CE"/>
    <w:rsid w:val="00587462"/>
    <w:rsid w:val="005874F1"/>
    <w:rsid w:val="00587579"/>
    <w:rsid w:val="00587712"/>
    <w:rsid w:val="0058776E"/>
    <w:rsid w:val="0058777E"/>
    <w:rsid w:val="00587787"/>
    <w:rsid w:val="00587819"/>
    <w:rsid w:val="00587903"/>
    <w:rsid w:val="00587912"/>
    <w:rsid w:val="00587A61"/>
    <w:rsid w:val="00587AF0"/>
    <w:rsid w:val="00587B3E"/>
    <w:rsid w:val="00587C97"/>
    <w:rsid w:val="00587CF7"/>
    <w:rsid w:val="00587DB6"/>
    <w:rsid w:val="00587E8D"/>
    <w:rsid w:val="0059000A"/>
    <w:rsid w:val="0059018E"/>
    <w:rsid w:val="005901B3"/>
    <w:rsid w:val="005901D3"/>
    <w:rsid w:val="0059021D"/>
    <w:rsid w:val="0059029C"/>
    <w:rsid w:val="0059039F"/>
    <w:rsid w:val="005903EA"/>
    <w:rsid w:val="0059049B"/>
    <w:rsid w:val="005904F1"/>
    <w:rsid w:val="00590650"/>
    <w:rsid w:val="00590684"/>
    <w:rsid w:val="005907A0"/>
    <w:rsid w:val="005907F0"/>
    <w:rsid w:val="00590805"/>
    <w:rsid w:val="00590865"/>
    <w:rsid w:val="005909F9"/>
    <w:rsid w:val="00590AAD"/>
    <w:rsid w:val="00590B06"/>
    <w:rsid w:val="00590C71"/>
    <w:rsid w:val="00590CC2"/>
    <w:rsid w:val="00590D97"/>
    <w:rsid w:val="00590DD5"/>
    <w:rsid w:val="00590E61"/>
    <w:rsid w:val="00590F6C"/>
    <w:rsid w:val="00590FEC"/>
    <w:rsid w:val="0059107C"/>
    <w:rsid w:val="00591098"/>
    <w:rsid w:val="0059111C"/>
    <w:rsid w:val="00591249"/>
    <w:rsid w:val="00591268"/>
    <w:rsid w:val="005912A0"/>
    <w:rsid w:val="00591325"/>
    <w:rsid w:val="00591331"/>
    <w:rsid w:val="00591355"/>
    <w:rsid w:val="00591431"/>
    <w:rsid w:val="00591574"/>
    <w:rsid w:val="00591673"/>
    <w:rsid w:val="0059169D"/>
    <w:rsid w:val="0059179F"/>
    <w:rsid w:val="00591920"/>
    <w:rsid w:val="00591A11"/>
    <w:rsid w:val="00591B06"/>
    <w:rsid w:val="00591E42"/>
    <w:rsid w:val="00591E45"/>
    <w:rsid w:val="00591E8E"/>
    <w:rsid w:val="00592044"/>
    <w:rsid w:val="00592060"/>
    <w:rsid w:val="005920A6"/>
    <w:rsid w:val="0059212B"/>
    <w:rsid w:val="00592174"/>
    <w:rsid w:val="00592387"/>
    <w:rsid w:val="005923B9"/>
    <w:rsid w:val="00592543"/>
    <w:rsid w:val="005925A1"/>
    <w:rsid w:val="0059260A"/>
    <w:rsid w:val="005926CD"/>
    <w:rsid w:val="005926E9"/>
    <w:rsid w:val="005927D1"/>
    <w:rsid w:val="00592811"/>
    <w:rsid w:val="0059281D"/>
    <w:rsid w:val="0059288D"/>
    <w:rsid w:val="005928E8"/>
    <w:rsid w:val="00592966"/>
    <w:rsid w:val="00592972"/>
    <w:rsid w:val="00592A0A"/>
    <w:rsid w:val="00592ABD"/>
    <w:rsid w:val="00592C3E"/>
    <w:rsid w:val="00592D52"/>
    <w:rsid w:val="00592DFA"/>
    <w:rsid w:val="00592E59"/>
    <w:rsid w:val="00592ED2"/>
    <w:rsid w:val="00592F40"/>
    <w:rsid w:val="0059302F"/>
    <w:rsid w:val="00593032"/>
    <w:rsid w:val="005930B8"/>
    <w:rsid w:val="005930DD"/>
    <w:rsid w:val="00593171"/>
    <w:rsid w:val="0059319E"/>
    <w:rsid w:val="00593284"/>
    <w:rsid w:val="005932BD"/>
    <w:rsid w:val="00593346"/>
    <w:rsid w:val="00593453"/>
    <w:rsid w:val="00593471"/>
    <w:rsid w:val="005934A8"/>
    <w:rsid w:val="005934F5"/>
    <w:rsid w:val="00593532"/>
    <w:rsid w:val="005935DF"/>
    <w:rsid w:val="005936B5"/>
    <w:rsid w:val="00593790"/>
    <w:rsid w:val="00593824"/>
    <w:rsid w:val="005938AB"/>
    <w:rsid w:val="00593904"/>
    <w:rsid w:val="0059398E"/>
    <w:rsid w:val="00593AEC"/>
    <w:rsid w:val="00593BD4"/>
    <w:rsid w:val="00593C8E"/>
    <w:rsid w:val="00593CCE"/>
    <w:rsid w:val="00593CEA"/>
    <w:rsid w:val="00593DA0"/>
    <w:rsid w:val="00593DD8"/>
    <w:rsid w:val="00593E34"/>
    <w:rsid w:val="00593E6E"/>
    <w:rsid w:val="00593EA4"/>
    <w:rsid w:val="005940AC"/>
    <w:rsid w:val="0059414B"/>
    <w:rsid w:val="0059418D"/>
    <w:rsid w:val="005941CD"/>
    <w:rsid w:val="005942AA"/>
    <w:rsid w:val="00594308"/>
    <w:rsid w:val="0059431A"/>
    <w:rsid w:val="0059433F"/>
    <w:rsid w:val="0059440A"/>
    <w:rsid w:val="0059443B"/>
    <w:rsid w:val="00594530"/>
    <w:rsid w:val="0059454C"/>
    <w:rsid w:val="005945F5"/>
    <w:rsid w:val="00594667"/>
    <w:rsid w:val="005946DF"/>
    <w:rsid w:val="0059473A"/>
    <w:rsid w:val="0059474C"/>
    <w:rsid w:val="005948D1"/>
    <w:rsid w:val="005949EB"/>
    <w:rsid w:val="00594B8E"/>
    <w:rsid w:val="00594BFB"/>
    <w:rsid w:val="00594C4C"/>
    <w:rsid w:val="00594D25"/>
    <w:rsid w:val="00594F30"/>
    <w:rsid w:val="00594F81"/>
    <w:rsid w:val="00594FC6"/>
    <w:rsid w:val="00595039"/>
    <w:rsid w:val="00595048"/>
    <w:rsid w:val="00595075"/>
    <w:rsid w:val="0059511E"/>
    <w:rsid w:val="005951A8"/>
    <w:rsid w:val="0059548C"/>
    <w:rsid w:val="0059564E"/>
    <w:rsid w:val="0059578B"/>
    <w:rsid w:val="0059584E"/>
    <w:rsid w:val="00595904"/>
    <w:rsid w:val="0059599D"/>
    <w:rsid w:val="00595C1D"/>
    <w:rsid w:val="00595D2C"/>
    <w:rsid w:val="00595DC5"/>
    <w:rsid w:val="00595DF8"/>
    <w:rsid w:val="00595DFB"/>
    <w:rsid w:val="00595E0A"/>
    <w:rsid w:val="00595E59"/>
    <w:rsid w:val="00595FBD"/>
    <w:rsid w:val="00596062"/>
    <w:rsid w:val="00596070"/>
    <w:rsid w:val="005960EC"/>
    <w:rsid w:val="005961AA"/>
    <w:rsid w:val="005961F2"/>
    <w:rsid w:val="00596320"/>
    <w:rsid w:val="00596369"/>
    <w:rsid w:val="005964E1"/>
    <w:rsid w:val="0059676D"/>
    <w:rsid w:val="005967F5"/>
    <w:rsid w:val="00596885"/>
    <w:rsid w:val="00596911"/>
    <w:rsid w:val="00596951"/>
    <w:rsid w:val="005969AD"/>
    <w:rsid w:val="00596A25"/>
    <w:rsid w:val="00596A27"/>
    <w:rsid w:val="00596A2A"/>
    <w:rsid w:val="00596C23"/>
    <w:rsid w:val="00596C8B"/>
    <w:rsid w:val="00596F01"/>
    <w:rsid w:val="00596FAB"/>
    <w:rsid w:val="00597092"/>
    <w:rsid w:val="005970BF"/>
    <w:rsid w:val="005970F4"/>
    <w:rsid w:val="00597109"/>
    <w:rsid w:val="005971C2"/>
    <w:rsid w:val="00597240"/>
    <w:rsid w:val="00597282"/>
    <w:rsid w:val="00597428"/>
    <w:rsid w:val="00597446"/>
    <w:rsid w:val="005974F3"/>
    <w:rsid w:val="005976EE"/>
    <w:rsid w:val="0059778E"/>
    <w:rsid w:val="005977ED"/>
    <w:rsid w:val="00597823"/>
    <w:rsid w:val="005978D2"/>
    <w:rsid w:val="005979D6"/>
    <w:rsid w:val="00597A5F"/>
    <w:rsid w:val="00597B9E"/>
    <w:rsid w:val="00597C0C"/>
    <w:rsid w:val="00597DD0"/>
    <w:rsid w:val="00597DD8"/>
    <w:rsid w:val="00597E4E"/>
    <w:rsid w:val="00597E85"/>
    <w:rsid w:val="00597EDF"/>
    <w:rsid w:val="00597F4E"/>
    <w:rsid w:val="00597FE8"/>
    <w:rsid w:val="005A0005"/>
    <w:rsid w:val="005A0047"/>
    <w:rsid w:val="005A0177"/>
    <w:rsid w:val="005A023D"/>
    <w:rsid w:val="005A0243"/>
    <w:rsid w:val="005A033C"/>
    <w:rsid w:val="005A045C"/>
    <w:rsid w:val="005A0499"/>
    <w:rsid w:val="005A05F4"/>
    <w:rsid w:val="005A061C"/>
    <w:rsid w:val="005A08D4"/>
    <w:rsid w:val="005A0B3A"/>
    <w:rsid w:val="005A0B8D"/>
    <w:rsid w:val="005A0C00"/>
    <w:rsid w:val="005A0C1B"/>
    <w:rsid w:val="005A0C51"/>
    <w:rsid w:val="005A0CA5"/>
    <w:rsid w:val="005A0D2E"/>
    <w:rsid w:val="005A0D4E"/>
    <w:rsid w:val="005A0DAC"/>
    <w:rsid w:val="005A0EF1"/>
    <w:rsid w:val="005A0F3F"/>
    <w:rsid w:val="005A10AF"/>
    <w:rsid w:val="005A1104"/>
    <w:rsid w:val="005A1124"/>
    <w:rsid w:val="005A1153"/>
    <w:rsid w:val="005A132A"/>
    <w:rsid w:val="005A1454"/>
    <w:rsid w:val="005A153F"/>
    <w:rsid w:val="005A15FF"/>
    <w:rsid w:val="005A16EE"/>
    <w:rsid w:val="005A1707"/>
    <w:rsid w:val="005A1736"/>
    <w:rsid w:val="005A174E"/>
    <w:rsid w:val="005A176C"/>
    <w:rsid w:val="005A185A"/>
    <w:rsid w:val="005A1912"/>
    <w:rsid w:val="005A1955"/>
    <w:rsid w:val="005A19D5"/>
    <w:rsid w:val="005A1A3D"/>
    <w:rsid w:val="005A1A5C"/>
    <w:rsid w:val="005A1BA2"/>
    <w:rsid w:val="005A1C17"/>
    <w:rsid w:val="005A1C39"/>
    <w:rsid w:val="005A1C48"/>
    <w:rsid w:val="005A1C7F"/>
    <w:rsid w:val="005A1D54"/>
    <w:rsid w:val="005A1D71"/>
    <w:rsid w:val="005A1DE0"/>
    <w:rsid w:val="005A1E93"/>
    <w:rsid w:val="005A1F89"/>
    <w:rsid w:val="005A20ED"/>
    <w:rsid w:val="005A21BA"/>
    <w:rsid w:val="005A21E2"/>
    <w:rsid w:val="005A2274"/>
    <w:rsid w:val="005A227F"/>
    <w:rsid w:val="005A22C9"/>
    <w:rsid w:val="005A22D5"/>
    <w:rsid w:val="005A22E6"/>
    <w:rsid w:val="005A25D4"/>
    <w:rsid w:val="005A2633"/>
    <w:rsid w:val="005A278B"/>
    <w:rsid w:val="005A27BB"/>
    <w:rsid w:val="005A2890"/>
    <w:rsid w:val="005A28C1"/>
    <w:rsid w:val="005A299C"/>
    <w:rsid w:val="005A2A97"/>
    <w:rsid w:val="005A2AFB"/>
    <w:rsid w:val="005A2C58"/>
    <w:rsid w:val="005A2CFD"/>
    <w:rsid w:val="005A2DFE"/>
    <w:rsid w:val="005A2E2A"/>
    <w:rsid w:val="005A2F24"/>
    <w:rsid w:val="005A2F5F"/>
    <w:rsid w:val="005A2FF9"/>
    <w:rsid w:val="005A30E6"/>
    <w:rsid w:val="005A31F5"/>
    <w:rsid w:val="005A3257"/>
    <w:rsid w:val="005A32D6"/>
    <w:rsid w:val="005A32F1"/>
    <w:rsid w:val="005A35B9"/>
    <w:rsid w:val="005A35BC"/>
    <w:rsid w:val="005A364C"/>
    <w:rsid w:val="005A3675"/>
    <w:rsid w:val="005A36D3"/>
    <w:rsid w:val="005A371B"/>
    <w:rsid w:val="005A3765"/>
    <w:rsid w:val="005A3842"/>
    <w:rsid w:val="005A39F2"/>
    <w:rsid w:val="005A3A51"/>
    <w:rsid w:val="005A3BB3"/>
    <w:rsid w:val="005A3DEE"/>
    <w:rsid w:val="005A3F27"/>
    <w:rsid w:val="005A4155"/>
    <w:rsid w:val="005A4170"/>
    <w:rsid w:val="005A4320"/>
    <w:rsid w:val="005A455D"/>
    <w:rsid w:val="005A4595"/>
    <w:rsid w:val="005A466E"/>
    <w:rsid w:val="005A489E"/>
    <w:rsid w:val="005A4A45"/>
    <w:rsid w:val="005A4C1E"/>
    <w:rsid w:val="005A4C91"/>
    <w:rsid w:val="005A4CEC"/>
    <w:rsid w:val="005A4D12"/>
    <w:rsid w:val="005A4D41"/>
    <w:rsid w:val="005A4E5F"/>
    <w:rsid w:val="005A4E79"/>
    <w:rsid w:val="005A4F4E"/>
    <w:rsid w:val="005A4FCF"/>
    <w:rsid w:val="005A506A"/>
    <w:rsid w:val="005A51B3"/>
    <w:rsid w:val="005A526C"/>
    <w:rsid w:val="005A52AD"/>
    <w:rsid w:val="005A539B"/>
    <w:rsid w:val="005A553B"/>
    <w:rsid w:val="005A554F"/>
    <w:rsid w:val="005A5610"/>
    <w:rsid w:val="005A5751"/>
    <w:rsid w:val="005A57B2"/>
    <w:rsid w:val="005A5833"/>
    <w:rsid w:val="005A58C5"/>
    <w:rsid w:val="005A58DC"/>
    <w:rsid w:val="005A59F1"/>
    <w:rsid w:val="005A5A9F"/>
    <w:rsid w:val="005A5B2A"/>
    <w:rsid w:val="005A5CE4"/>
    <w:rsid w:val="005A5D26"/>
    <w:rsid w:val="005A5DD0"/>
    <w:rsid w:val="005A5F2F"/>
    <w:rsid w:val="005A5F9C"/>
    <w:rsid w:val="005A6002"/>
    <w:rsid w:val="005A6051"/>
    <w:rsid w:val="005A6191"/>
    <w:rsid w:val="005A62F4"/>
    <w:rsid w:val="005A634E"/>
    <w:rsid w:val="005A63E4"/>
    <w:rsid w:val="005A6413"/>
    <w:rsid w:val="005A6485"/>
    <w:rsid w:val="005A65BA"/>
    <w:rsid w:val="005A6621"/>
    <w:rsid w:val="005A67AA"/>
    <w:rsid w:val="005A67C0"/>
    <w:rsid w:val="005A682D"/>
    <w:rsid w:val="005A68A1"/>
    <w:rsid w:val="005A68FD"/>
    <w:rsid w:val="005A6944"/>
    <w:rsid w:val="005A6979"/>
    <w:rsid w:val="005A69E3"/>
    <w:rsid w:val="005A6A9B"/>
    <w:rsid w:val="005A6B31"/>
    <w:rsid w:val="005A6B67"/>
    <w:rsid w:val="005A6BAF"/>
    <w:rsid w:val="005A6C21"/>
    <w:rsid w:val="005A6D52"/>
    <w:rsid w:val="005A6DA3"/>
    <w:rsid w:val="005A6E09"/>
    <w:rsid w:val="005A6E0C"/>
    <w:rsid w:val="005A6E38"/>
    <w:rsid w:val="005A6EEB"/>
    <w:rsid w:val="005A70A4"/>
    <w:rsid w:val="005A71D0"/>
    <w:rsid w:val="005A71E3"/>
    <w:rsid w:val="005A7422"/>
    <w:rsid w:val="005A749B"/>
    <w:rsid w:val="005A749C"/>
    <w:rsid w:val="005A75AF"/>
    <w:rsid w:val="005A75EC"/>
    <w:rsid w:val="005A75FA"/>
    <w:rsid w:val="005A760E"/>
    <w:rsid w:val="005A7647"/>
    <w:rsid w:val="005A766F"/>
    <w:rsid w:val="005A7698"/>
    <w:rsid w:val="005A76BC"/>
    <w:rsid w:val="005A77C0"/>
    <w:rsid w:val="005A77D0"/>
    <w:rsid w:val="005A78CF"/>
    <w:rsid w:val="005A7B22"/>
    <w:rsid w:val="005A7B59"/>
    <w:rsid w:val="005A7BB7"/>
    <w:rsid w:val="005A7C07"/>
    <w:rsid w:val="005A7C13"/>
    <w:rsid w:val="005A7C9A"/>
    <w:rsid w:val="005A7DA5"/>
    <w:rsid w:val="005A7F1E"/>
    <w:rsid w:val="005A7F9B"/>
    <w:rsid w:val="005A7FB1"/>
    <w:rsid w:val="005A7FD3"/>
    <w:rsid w:val="005A7FF2"/>
    <w:rsid w:val="005B0002"/>
    <w:rsid w:val="005B0063"/>
    <w:rsid w:val="005B00B8"/>
    <w:rsid w:val="005B00D1"/>
    <w:rsid w:val="005B00EA"/>
    <w:rsid w:val="005B00EE"/>
    <w:rsid w:val="005B0112"/>
    <w:rsid w:val="005B017C"/>
    <w:rsid w:val="005B01A9"/>
    <w:rsid w:val="005B020D"/>
    <w:rsid w:val="005B02C5"/>
    <w:rsid w:val="005B02CC"/>
    <w:rsid w:val="005B0352"/>
    <w:rsid w:val="005B03A2"/>
    <w:rsid w:val="005B0571"/>
    <w:rsid w:val="005B0604"/>
    <w:rsid w:val="005B0674"/>
    <w:rsid w:val="005B0729"/>
    <w:rsid w:val="005B0739"/>
    <w:rsid w:val="005B078F"/>
    <w:rsid w:val="005B0805"/>
    <w:rsid w:val="005B08F2"/>
    <w:rsid w:val="005B09A5"/>
    <w:rsid w:val="005B09BF"/>
    <w:rsid w:val="005B0A50"/>
    <w:rsid w:val="005B0A7C"/>
    <w:rsid w:val="005B0AAD"/>
    <w:rsid w:val="005B0C32"/>
    <w:rsid w:val="005B0DA5"/>
    <w:rsid w:val="005B0DFC"/>
    <w:rsid w:val="005B0E17"/>
    <w:rsid w:val="005B0ED1"/>
    <w:rsid w:val="005B0F92"/>
    <w:rsid w:val="005B102E"/>
    <w:rsid w:val="005B105D"/>
    <w:rsid w:val="005B114F"/>
    <w:rsid w:val="005B1194"/>
    <w:rsid w:val="005B12AD"/>
    <w:rsid w:val="005B12E8"/>
    <w:rsid w:val="005B135F"/>
    <w:rsid w:val="005B13D8"/>
    <w:rsid w:val="005B1409"/>
    <w:rsid w:val="005B14DD"/>
    <w:rsid w:val="005B1547"/>
    <w:rsid w:val="005B1595"/>
    <w:rsid w:val="005B15B4"/>
    <w:rsid w:val="005B1693"/>
    <w:rsid w:val="005B1729"/>
    <w:rsid w:val="005B1763"/>
    <w:rsid w:val="005B182F"/>
    <w:rsid w:val="005B1900"/>
    <w:rsid w:val="005B1914"/>
    <w:rsid w:val="005B19A0"/>
    <w:rsid w:val="005B1A12"/>
    <w:rsid w:val="005B1BBC"/>
    <w:rsid w:val="005B1BEA"/>
    <w:rsid w:val="005B1D5F"/>
    <w:rsid w:val="005B1DA4"/>
    <w:rsid w:val="005B1DE8"/>
    <w:rsid w:val="005B1F97"/>
    <w:rsid w:val="005B203C"/>
    <w:rsid w:val="005B20F6"/>
    <w:rsid w:val="005B21B1"/>
    <w:rsid w:val="005B2421"/>
    <w:rsid w:val="005B26B9"/>
    <w:rsid w:val="005B26D7"/>
    <w:rsid w:val="005B2717"/>
    <w:rsid w:val="005B27B2"/>
    <w:rsid w:val="005B2868"/>
    <w:rsid w:val="005B2879"/>
    <w:rsid w:val="005B28A0"/>
    <w:rsid w:val="005B28E9"/>
    <w:rsid w:val="005B2938"/>
    <w:rsid w:val="005B2A89"/>
    <w:rsid w:val="005B2AC9"/>
    <w:rsid w:val="005B2B50"/>
    <w:rsid w:val="005B2BB4"/>
    <w:rsid w:val="005B2C50"/>
    <w:rsid w:val="005B2C9F"/>
    <w:rsid w:val="005B2D21"/>
    <w:rsid w:val="005B2DE5"/>
    <w:rsid w:val="005B2E32"/>
    <w:rsid w:val="005B2E3B"/>
    <w:rsid w:val="005B2E45"/>
    <w:rsid w:val="005B2EBA"/>
    <w:rsid w:val="005B302A"/>
    <w:rsid w:val="005B3130"/>
    <w:rsid w:val="005B31FB"/>
    <w:rsid w:val="005B3205"/>
    <w:rsid w:val="005B323A"/>
    <w:rsid w:val="005B32CD"/>
    <w:rsid w:val="005B3372"/>
    <w:rsid w:val="005B33A5"/>
    <w:rsid w:val="005B33A7"/>
    <w:rsid w:val="005B3419"/>
    <w:rsid w:val="005B34D8"/>
    <w:rsid w:val="005B3525"/>
    <w:rsid w:val="005B35B5"/>
    <w:rsid w:val="005B3708"/>
    <w:rsid w:val="005B380B"/>
    <w:rsid w:val="005B3BE8"/>
    <w:rsid w:val="005B3C59"/>
    <w:rsid w:val="005B3CD1"/>
    <w:rsid w:val="005B3ED7"/>
    <w:rsid w:val="005B3EEF"/>
    <w:rsid w:val="005B3FA2"/>
    <w:rsid w:val="005B4097"/>
    <w:rsid w:val="005B40A8"/>
    <w:rsid w:val="005B40F4"/>
    <w:rsid w:val="005B41BC"/>
    <w:rsid w:val="005B432F"/>
    <w:rsid w:val="005B43E6"/>
    <w:rsid w:val="005B440F"/>
    <w:rsid w:val="005B44F6"/>
    <w:rsid w:val="005B450C"/>
    <w:rsid w:val="005B45D4"/>
    <w:rsid w:val="005B467A"/>
    <w:rsid w:val="005B47ED"/>
    <w:rsid w:val="005B49A6"/>
    <w:rsid w:val="005B4A2B"/>
    <w:rsid w:val="005B4A98"/>
    <w:rsid w:val="005B4A9B"/>
    <w:rsid w:val="005B4ACC"/>
    <w:rsid w:val="005B4AF4"/>
    <w:rsid w:val="005B4BCE"/>
    <w:rsid w:val="005B4C2F"/>
    <w:rsid w:val="005B4C4E"/>
    <w:rsid w:val="005B4CBC"/>
    <w:rsid w:val="005B4D8C"/>
    <w:rsid w:val="005B4DE6"/>
    <w:rsid w:val="005B4DEA"/>
    <w:rsid w:val="005B4EA5"/>
    <w:rsid w:val="005B4EC4"/>
    <w:rsid w:val="005B5032"/>
    <w:rsid w:val="005B50C6"/>
    <w:rsid w:val="005B514D"/>
    <w:rsid w:val="005B53A6"/>
    <w:rsid w:val="005B53C6"/>
    <w:rsid w:val="005B53F6"/>
    <w:rsid w:val="005B5439"/>
    <w:rsid w:val="005B54E6"/>
    <w:rsid w:val="005B574F"/>
    <w:rsid w:val="005B5781"/>
    <w:rsid w:val="005B57D8"/>
    <w:rsid w:val="005B57E0"/>
    <w:rsid w:val="005B588F"/>
    <w:rsid w:val="005B591C"/>
    <w:rsid w:val="005B5958"/>
    <w:rsid w:val="005B5960"/>
    <w:rsid w:val="005B59B6"/>
    <w:rsid w:val="005B59F7"/>
    <w:rsid w:val="005B5A0C"/>
    <w:rsid w:val="005B5A15"/>
    <w:rsid w:val="005B5A3C"/>
    <w:rsid w:val="005B5A40"/>
    <w:rsid w:val="005B5A49"/>
    <w:rsid w:val="005B5A6D"/>
    <w:rsid w:val="005B5C0C"/>
    <w:rsid w:val="005B5CB2"/>
    <w:rsid w:val="005B5D60"/>
    <w:rsid w:val="005B5E4A"/>
    <w:rsid w:val="005B5F21"/>
    <w:rsid w:val="005B5FE1"/>
    <w:rsid w:val="005B6135"/>
    <w:rsid w:val="005B61F8"/>
    <w:rsid w:val="005B6288"/>
    <w:rsid w:val="005B64D0"/>
    <w:rsid w:val="005B6579"/>
    <w:rsid w:val="005B6870"/>
    <w:rsid w:val="005B68A4"/>
    <w:rsid w:val="005B68F4"/>
    <w:rsid w:val="005B69EA"/>
    <w:rsid w:val="005B6A8D"/>
    <w:rsid w:val="005B6CB6"/>
    <w:rsid w:val="005B6CE5"/>
    <w:rsid w:val="005B6D6A"/>
    <w:rsid w:val="005B6E16"/>
    <w:rsid w:val="005B6E99"/>
    <w:rsid w:val="005B6FC9"/>
    <w:rsid w:val="005B6FCE"/>
    <w:rsid w:val="005B7050"/>
    <w:rsid w:val="005B719C"/>
    <w:rsid w:val="005B7306"/>
    <w:rsid w:val="005B739F"/>
    <w:rsid w:val="005B7447"/>
    <w:rsid w:val="005B74CD"/>
    <w:rsid w:val="005B77AA"/>
    <w:rsid w:val="005B7820"/>
    <w:rsid w:val="005B7866"/>
    <w:rsid w:val="005B7883"/>
    <w:rsid w:val="005B78F8"/>
    <w:rsid w:val="005B794B"/>
    <w:rsid w:val="005B79B9"/>
    <w:rsid w:val="005B7BB3"/>
    <w:rsid w:val="005B7BCA"/>
    <w:rsid w:val="005B7C3E"/>
    <w:rsid w:val="005B7D65"/>
    <w:rsid w:val="005B7FF7"/>
    <w:rsid w:val="005C0024"/>
    <w:rsid w:val="005C00A5"/>
    <w:rsid w:val="005C059D"/>
    <w:rsid w:val="005C06C2"/>
    <w:rsid w:val="005C0708"/>
    <w:rsid w:val="005C0738"/>
    <w:rsid w:val="005C084F"/>
    <w:rsid w:val="005C094C"/>
    <w:rsid w:val="005C09B7"/>
    <w:rsid w:val="005C09E4"/>
    <w:rsid w:val="005C0A5E"/>
    <w:rsid w:val="005C0BDD"/>
    <w:rsid w:val="005C0C8D"/>
    <w:rsid w:val="005C0CD2"/>
    <w:rsid w:val="005C0D98"/>
    <w:rsid w:val="005C0EC9"/>
    <w:rsid w:val="005C0EE5"/>
    <w:rsid w:val="005C0F5F"/>
    <w:rsid w:val="005C1373"/>
    <w:rsid w:val="005C13F6"/>
    <w:rsid w:val="005C14CB"/>
    <w:rsid w:val="005C1583"/>
    <w:rsid w:val="005C1755"/>
    <w:rsid w:val="005C178D"/>
    <w:rsid w:val="005C17C9"/>
    <w:rsid w:val="005C1840"/>
    <w:rsid w:val="005C1861"/>
    <w:rsid w:val="005C187B"/>
    <w:rsid w:val="005C1897"/>
    <w:rsid w:val="005C18EC"/>
    <w:rsid w:val="005C1A00"/>
    <w:rsid w:val="005C1A6C"/>
    <w:rsid w:val="005C1AD6"/>
    <w:rsid w:val="005C1ADA"/>
    <w:rsid w:val="005C1C36"/>
    <w:rsid w:val="005C1E35"/>
    <w:rsid w:val="005C1EC8"/>
    <w:rsid w:val="005C2049"/>
    <w:rsid w:val="005C2094"/>
    <w:rsid w:val="005C209D"/>
    <w:rsid w:val="005C20E9"/>
    <w:rsid w:val="005C2164"/>
    <w:rsid w:val="005C224F"/>
    <w:rsid w:val="005C2303"/>
    <w:rsid w:val="005C246C"/>
    <w:rsid w:val="005C2470"/>
    <w:rsid w:val="005C25B7"/>
    <w:rsid w:val="005C25CE"/>
    <w:rsid w:val="005C266D"/>
    <w:rsid w:val="005C269D"/>
    <w:rsid w:val="005C271C"/>
    <w:rsid w:val="005C27B6"/>
    <w:rsid w:val="005C27D8"/>
    <w:rsid w:val="005C28AB"/>
    <w:rsid w:val="005C29C4"/>
    <w:rsid w:val="005C29F1"/>
    <w:rsid w:val="005C2A07"/>
    <w:rsid w:val="005C2B8D"/>
    <w:rsid w:val="005C2CE2"/>
    <w:rsid w:val="005C2CF6"/>
    <w:rsid w:val="005C2D01"/>
    <w:rsid w:val="005C2D56"/>
    <w:rsid w:val="005C2D8B"/>
    <w:rsid w:val="005C2DD1"/>
    <w:rsid w:val="005C2ECD"/>
    <w:rsid w:val="005C2F2F"/>
    <w:rsid w:val="005C2F4E"/>
    <w:rsid w:val="005C303E"/>
    <w:rsid w:val="005C3126"/>
    <w:rsid w:val="005C31FB"/>
    <w:rsid w:val="005C32E2"/>
    <w:rsid w:val="005C3475"/>
    <w:rsid w:val="005C34B4"/>
    <w:rsid w:val="005C34B8"/>
    <w:rsid w:val="005C34EA"/>
    <w:rsid w:val="005C34FF"/>
    <w:rsid w:val="005C3606"/>
    <w:rsid w:val="005C385A"/>
    <w:rsid w:val="005C3952"/>
    <w:rsid w:val="005C39AB"/>
    <w:rsid w:val="005C39D3"/>
    <w:rsid w:val="005C3B11"/>
    <w:rsid w:val="005C3B7C"/>
    <w:rsid w:val="005C3BF7"/>
    <w:rsid w:val="005C3C25"/>
    <w:rsid w:val="005C3D32"/>
    <w:rsid w:val="005C3D33"/>
    <w:rsid w:val="005C3D49"/>
    <w:rsid w:val="005C3EE4"/>
    <w:rsid w:val="005C3F8C"/>
    <w:rsid w:val="005C404B"/>
    <w:rsid w:val="005C4199"/>
    <w:rsid w:val="005C426C"/>
    <w:rsid w:val="005C4309"/>
    <w:rsid w:val="005C4419"/>
    <w:rsid w:val="005C4498"/>
    <w:rsid w:val="005C44FF"/>
    <w:rsid w:val="005C4613"/>
    <w:rsid w:val="005C4616"/>
    <w:rsid w:val="005C4637"/>
    <w:rsid w:val="005C4785"/>
    <w:rsid w:val="005C47BD"/>
    <w:rsid w:val="005C483A"/>
    <w:rsid w:val="005C4922"/>
    <w:rsid w:val="005C494C"/>
    <w:rsid w:val="005C4BDA"/>
    <w:rsid w:val="005C4C6F"/>
    <w:rsid w:val="005C4DFC"/>
    <w:rsid w:val="005C4E0D"/>
    <w:rsid w:val="005C4EEA"/>
    <w:rsid w:val="005C4F2C"/>
    <w:rsid w:val="005C4FA2"/>
    <w:rsid w:val="005C528A"/>
    <w:rsid w:val="005C545F"/>
    <w:rsid w:val="005C5494"/>
    <w:rsid w:val="005C5511"/>
    <w:rsid w:val="005C557A"/>
    <w:rsid w:val="005C557B"/>
    <w:rsid w:val="005C55ED"/>
    <w:rsid w:val="005C5648"/>
    <w:rsid w:val="005C56E9"/>
    <w:rsid w:val="005C57DD"/>
    <w:rsid w:val="005C57FC"/>
    <w:rsid w:val="005C58D6"/>
    <w:rsid w:val="005C58DD"/>
    <w:rsid w:val="005C599A"/>
    <w:rsid w:val="005C5A2E"/>
    <w:rsid w:val="005C5B0B"/>
    <w:rsid w:val="005C5BDA"/>
    <w:rsid w:val="005C5BF7"/>
    <w:rsid w:val="005C5C83"/>
    <w:rsid w:val="005C5CD6"/>
    <w:rsid w:val="005C5D94"/>
    <w:rsid w:val="005C5D9C"/>
    <w:rsid w:val="005C5E23"/>
    <w:rsid w:val="005C5EAB"/>
    <w:rsid w:val="005C5EE9"/>
    <w:rsid w:val="005C5FF9"/>
    <w:rsid w:val="005C6002"/>
    <w:rsid w:val="005C6045"/>
    <w:rsid w:val="005C605F"/>
    <w:rsid w:val="005C6069"/>
    <w:rsid w:val="005C6163"/>
    <w:rsid w:val="005C6211"/>
    <w:rsid w:val="005C622E"/>
    <w:rsid w:val="005C6276"/>
    <w:rsid w:val="005C628B"/>
    <w:rsid w:val="005C6293"/>
    <w:rsid w:val="005C633D"/>
    <w:rsid w:val="005C637A"/>
    <w:rsid w:val="005C6386"/>
    <w:rsid w:val="005C646B"/>
    <w:rsid w:val="005C64CC"/>
    <w:rsid w:val="005C652A"/>
    <w:rsid w:val="005C6547"/>
    <w:rsid w:val="005C660F"/>
    <w:rsid w:val="005C670E"/>
    <w:rsid w:val="005C69A6"/>
    <w:rsid w:val="005C69B3"/>
    <w:rsid w:val="005C6A81"/>
    <w:rsid w:val="005C6B7A"/>
    <w:rsid w:val="005C6D14"/>
    <w:rsid w:val="005C6EE0"/>
    <w:rsid w:val="005C6F85"/>
    <w:rsid w:val="005C6FA2"/>
    <w:rsid w:val="005C7017"/>
    <w:rsid w:val="005C73B4"/>
    <w:rsid w:val="005C73E4"/>
    <w:rsid w:val="005C7400"/>
    <w:rsid w:val="005C74D9"/>
    <w:rsid w:val="005C7512"/>
    <w:rsid w:val="005C751C"/>
    <w:rsid w:val="005C7530"/>
    <w:rsid w:val="005C7542"/>
    <w:rsid w:val="005C763F"/>
    <w:rsid w:val="005C7683"/>
    <w:rsid w:val="005C77DE"/>
    <w:rsid w:val="005C7806"/>
    <w:rsid w:val="005C78A2"/>
    <w:rsid w:val="005C78E9"/>
    <w:rsid w:val="005C791B"/>
    <w:rsid w:val="005C7941"/>
    <w:rsid w:val="005C79C0"/>
    <w:rsid w:val="005C7AF0"/>
    <w:rsid w:val="005C7BC8"/>
    <w:rsid w:val="005C7CAC"/>
    <w:rsid w:val="005C7D4A"/>
    <w:rsid w:val="005C7D70"/>
    <w:rsid w:val="005C7E9D"/>
    <w:rsid w:val="005C7EA7"/>
    <w:rsid w:val="005C7F8C"/>
    <w:rsid w:val="005C7FD8"/>
    <w:rsid w:val="005C96E5"/>
    <w:rsid w:val="005D0005"/>
    <w:rsid w:val="005D00EF"/>
    <w:rsid w:val="005D01CF"/>
    <w:rsid w:val="005D01E3"/>
    <w:rsid w:val="005D01FD"/>
    <w:rsid w:val="005D0278"/>
    <w:rsid w:val="005D0389"/>
    <w:rsid w:val="005D0618"/>
    <w:rsid w:val="005D070E"/>
    <w:rsid w:val="005D076A"/>
    <w:rsid w:val="005D07D3"/>
    <w:rsid w:val="005D0810"/>
    <w:rsid w:val="005D082B"/>
    <w:rsid w:val="005D08DC"/>
    <w:rsid w:val="005D0958"/>
    <w:rsid w:val="005D09AE"/>
    <w:rsid w:val="005D0BA1"/>
    <w:rsid w:val="005D0C38"/>
    <w:rsid w:val="005D0C4A"/>
    <w:rsid w:val="005D0D25"/>
    <w:rsid w:val="005D0DA6"/>
    <w:rsid w:val="005D0F84"/>
    <w:rsid w:val="005D0FB7"/>
    <w:rsid w:val="005D100C"/>
    <w:rsid w:val="005D107C"/>
    <w:rsid w:val="005D10B6"/>
    <w:rsid w:val="005D11CA"/>
    <w:rsid w:val="005D11FD"/>
    <w:rsid w:val="005D12C3"/>
    <w:rsid w:val="005D1376"/>
    <w:rsid w:val="005D137E"/>
    <w:rsid w:val="005D14A8"/>
    <w:rsid w:val="005D166A"/>
    <w:rsid w:val="005D174E"/>
    <w:rsid w:val="005D17DA"/>
    <w:rsid w:val="005D186C"/>
    <w:rsid w:val="005D18D0"/>
    <w:rsid w:val="005D18D6"/>
    <w:rsid w:val="005D1A68"/>
    <w:rsid w:val="005D1A77"/>
    <w:rsid w:val="005D1A96"/>
    <w:rsid w:val="005D1AEA"/>
    <w:rsid w:val="005D1BED"/>
    <w:rsid w:val="005D1BF5"/>
    <w:rsid w:val="005D1C39"/>
    <w:rsid w:val="005D1CD9"/>
    <w:rsid w:val="005D1E1E"/>
    <w:rsid w:val="005D1EDC"/>
    <w:rsid w:val="005D1EE1"/>
    <w:rsid w:val="005D1EEE"/>
    <w:rsid w:val="005D1FF1"/>
    <w:rsid w:val="005D1FF7"/>
    <w:rsid w:val="005D1FF9"/>
    <w:rsid w:val="005D2013"/>
    <w:rsid w:val="005D20AF"/>
    <w:rsid w:val="005D20E2"/>
    <w:rsid w:val="005D2322"/>
    <w:rsid w:val="005D2355"/>
    <w:rsid w:val="005D2527"/>
    <w:rsid w:val="005D2611"/>
    <w:rsid w:val="005D26B4"/>
    <w:rsid w:val="005D274A"/>
    <w:rsid w:val="005D2855"/>
    <w:rsid w:val="005D28B7"/>
    <w:rsid w:val="005D28D4"/>
    <w:rsid w:val="005D2925"/>
    <w:rsid w:val="005D29F3"/>
    <w:rsid w:val="005D2AF7"/>
    <w:rsid w:val="005D2B44"/>
    <w:rsid w:val="005D2BB7"/>
    <w:rsid w:val="005D2D9B"/>
    <w:rsid w:val="005D2E4D"/>
    <w:rsid w:val="005D2F8A"/>
    <w:rsid w:val="005D3014"/>
    <w:rsid w:val="005D303D"/>
    <w:rsid w:val="005D307E"/>
    <w:rsid w:val="005D31E4"/>
    <w:rsid w:val="005D328F"/>
    <w:rsid w:val="005D32D1"/>
    <w:rsid w:val="005D3307"/>
    <w:rsid w:val="005D33A8"/>
    <w:rsid w:val="005D3471"/>
    <w:rsid w:val="005D359C"/>
    <w:rsid w:val="005D3753"/>
    <w:rsid w:val="005D37BF"/>
    <w:rsid w:val="005D392F"/>
    <w:rsid w:val="005D3A17"/>
    <w:rsid w:val="005D3ABD"/>
    <w:rsid w:val="005D3B3E"/>
    <w:rsid w:val="005D3BAB"/>
    <w:rsid w:val="005D3BCB"/>
    <w:rsid w:val="005D3BD6"/>
    <w:rsid w:val="005D3C56"/>
    <w:rsid w:val="005D3C60"/>
    <w:rsid w:val="005D3C94"/>
    <w:rsid w:val="005D3FA8"/>
    <w:rsid w:val="005D4003"/>
    <w:rsid w:val="005D406B"/>
    <w:rsid w:val="005D40EE"/>
    <w:rsid w:val="005D42F6"/>
    <w:rsid w:val="005D42FF"/>
    <w:rsid w:val="005D4332"/>
    <w:rsid w:val="005D45FB"/>
    <w:rsid w:val="005D46E2"/>
    <w:rsid w:val="005D4787"/>
    <w:rsid w:val="005D47A9"/>
    <w:rsid w:val="005D492D"/>
    <w:rsid w:val="005D4973"/>
    <w:rsid w:val="005D4A3F"/>
    <w:rsid w:val="005D4AA5"/>
    <w:rsid w:val="005D4B51"/>
    <w:rsid w:val="005D4BA6"/>
    <w:rsid w:val="005D4BD2"/>
    <w:rsid w:val="005D4BEE"/>
    <w:rsid w:val="005D4DAF"/>
    <w:rsid w:val="005D4EA4"/>
    <w:rsid w:val="005D4F95"/>
    <w:rsid w:val="005D5013"/>
    <w:rsid w:val="005D53C4"/>
    <w:rsid w:val="005D5411"/>
    <w:rsid w:val="005D5414"/>
    <w:rsid w:val="005D54FC"/>
    <w:rsid w:val="005D554F"/>
    <w:rsid w:val="005D5566"/>
    <w:rsid w:val="005D55D1"/>
    <w:rsid w:val="005D55E7"/>
    <w:rsid w:val="005D5649"/>
    <w:rsid w:val="005D56D4"/>
    <w:rsid w:val="005D5754"/>
    <w:rsid w:val="005D5891"/>
    <w:rsid w:val="005D5A7A"/>
    <w:rsid w:val="005D5AF2"/>
    <w:rsid w:val="005D5BA2"/>
    <w:rsid w:val="005D5C89"/>
    <w:rsid w:val="005D5CF6"/>
    <w:rsid w:val="005D5D16"/>
    <w:rsid w:val="005D5DA3"/>
    <w:rsid w:val="005D5DA8"/>
    <w:rsid w:val="005D5E18"/>
    <w:rsid w:val="005D60CB"/>
    <w:rsid w:val="005D6135"/>
    <w:rsid w:val="005D6478"/>
    <w:rsid w:val="005D65E8"/>
    <w:rsid w:val="005D66CE"/>
    <w:rsid w:val="005D66D5"/>
    <w:rsid w:val="005D670A"/>
    <w:rsid w:val="005D6761"/>
    <w:rsid w:val="005D67BF"/>
    <w:rsid w:val="005D6803"/>
    <w:rsid w:val="005D6837"/>
    <w:rsid w:val="005D685A"/>
    <w:rsid w:val="005D6885"/>
    <w:rsid w:val="005D68C8"/>
    <w:rsid w:val="005D68F4"/>
    <w:rsid w:val="005D69D8"/>
    <w:rsid w:val="005D6C8D"/>
    <w:rsid w:val="005D6CA9"/>
    <w:rsid w:val="005D6D19"/>
    <w:rsid w:val="005D6DEF"/>
    <w:rsid w:val="005D6DF2"/>
    <w:rsid w:val="005D704C"/>
    <w:rsid w:val="005D724A"/>
    <w:rsid w:val="005D72AB"/>
    <w:rsid w:val="005D738A"/>
    <w:rsid w:val="005D745D"/>
    <w:rsid w:val="005D74AD"/>
    <w:rsid w:val="005D7589"/>
    <w:rsid w:val="005D7592"/>
    <w:rsid w:val="005D7709"/>
    <w:rsid w:val="005D78E8"/>
    <w:rsid w:val="005D78EA"/>
    <w:rsid w:val="005D790A"/>
    <w:rsid w:val="005D7A5D"/>
    <w:rsid w:val="005D7A66"/>
    <w:rsid w:val="005D7CA7"/>
    <w:rsid w:val="005D7CDE"/>
    <w:rsid w:val="005D7DBD"/>
    <w:rsid w:val="005D7E2D"/>
    <w:rsid w:val="005D7E9D"/>
    <w:rsid w:val="005D7ED0"/>
    <w:rsid w:val="005D7F96"/>
    <w:rsid w:val="005E003E"/>
    <w:rsid w:val="005E0063"/>
    <w:rsid w:val="005E0151"/>
    <w:rsid w:val="005E0160"/>
    <w:rsid w:val="005E01E1"/>
    <w:rsid w:val="005E0225"/>
    <w:rsid w:val="005E026C"/>
    <w:rsid w:val="005E0313"/>
    <w:rsid w:val="005E032F"/>
    <w:rsid w:val="005E0386"/>
    <w:rsid w:val="005E042F"/>
    <w:rsid w:val="005E0471"/>
    <w:rsid w:val="005E058E"/>
    <w:rsid w:val="005E05A4"/>
    <w:rsid w:val="005E06CB"/>
    <w:rsid w:val="005E06D9"/>
    <w:rsid w:val="005E073A"/>
    <w:rsid w:val="005E07BD"/>
    <w:rsid w:val="005E083E"/>
    <w:rsid w:val="005E08A3"/>
    <w:rsid w:val="005E08C8"/>
    <w:rsid w:val="005E0983"/>
    <w:rsid w:val="005E09C6"/>
    <w:rsid w:val="005E0A0F"/>
    <w:rsid w:val="005E0A65"/>
    <w:rsid w:val="005E0B2F"/>
    <w:rsid w:val="005E0D5F"/>
    <w:rsid w:val="005E0DA0"/>
    <w:rsid w:val="005E0DC1"/>
    <w:rsid w:val="005E0E0A"/>
    <w:rsid w:val="005E0E7F"/>
    <w:rsid w:val="005E0EE5"/>
    <w:rsid w:val="005E0F07"/>
    <w:rsid w:val="005E0F17"/>
    <w:rsid w:val="005E0F94"/>
    <w:rsid w:val="005E0FAE"/>
    <w:rsid w:val="005E1011"/>
    <w:rsid w:val="005E10DC"/>
    <w:rsid w:val="005E1148"/>
    <w:rsid w:val="005E1411"/>
    <w:rsid w:val="005E1485"/>
    <w:rsid w:val="005E1569"/>
    <w:rsid w:val="005E1586"/>
    <w:rsid w:val="005E15DE"/>
    <w:rsid w:val="005E15F8"/>
    <w:rsid w:val="005E16DB"/>
    <w:rsid w:val="005E1725"/>
    <w:rsid w:val="005E1760"/>
    <w:rsid w:val="005E17B5"/>
    <w:rsid w:val="005E1819"/>
    <w:rsid w:val="005E1880"/>
    <w:rsid w:val="005E189F"/>
    <w:rsid w:val="005E1A66"/>
    <w:rsid w:val="005E1CEC"/>
    <w:rsid w:val="005E1E11"/>
    <w:rsid w:val="005E1EA8"/>
    <w:rsid w:val="005E1EDE"/>
    <w:rsid w:val="005E1FAD"/>
    <w:rsid w:val="005E203E"/>
    <w:rsid w:val="005E2082"/>
    <w:rsid w:val="005E20FD"/>
    <w:rsid w:val="005E2116"/>
    <w:rsid w:val="005E2203"/>
    <w:rsid w:val="005E23DA"/>
    <w:rsid w:val="005E2456"/>
    <w:rsid w:val="005E24DE"/>
    <w:rsid w:val="005E2547"/>
    <w:rsid w:val="005E26A1"/>
    <w:rsid w:val="005E271C"/>
    <w:rsid w:val="005E27C1"/>
    <w:rsid w:val="005E2908"/>
    <w:rsid w:val="005E291D"/>
    <w:rsid w:val="005E2A22"/>
    <w:rsid w:val="005E2A80"/>
    <w:rsid w:val="005E2AB3"/>
    <w:rsid w:val="005E2AB8"/>
    <w:rsid w:val="005E2AD9"/>
    <w:rsid w:val="005E2B1A"/>
    <w:rsid w:val="005E2DD2"/>
    <w:rsid w:val="005E2DF1"/>
    <w:rsid w:val="005E2E55"/>
    <w:rsid w:val="005E2F66"/>
    <w:rsid w:val="005E2F83"/>
    <w:rsid w:val="005E2FA8"/>
    <w:rsid w:val="005E31B8"/>
    <w:rsid w:val="005E31DB"/>
    <w:rsid w:val="005E329D"/>
    <w:rsid w:val="005E3374"/>
    <w:rsid w:val="005E33FD"/>
    <w:rsid w:val="005E3465"/>
    <w:rsid w:val="005E3473"/>
    <w:rsid w:val="005E3477"/>
    <w:rsid w:val="005E34C8"/>
    <w:rsid w:val="005E35DC"/>
    <w:rsid w:val="005E37BE"/>
    <w:rsid w:val="005E383B"/>
    <w:rsid w:val="005E38F5"/>
    <w:rsid w:val="005E3A7E"/>
    <w:rsid w:val="005E3B3E"/>
    <w:rsid w:val="005E3E27"/>
    <w:rsid w:val="005E3E45"/>
    <w:rsid w:val="005E3E53"/>
    <w:rsid w:val="005E3E79"/>
    <w:rsid w:val="005E3F0C"/>
    <w:rsid w:val="005E3F48"/>
    <w:rsid w:val="005E405C"/>
    <w:rsid w:val="005E4063"/>
    <w:rsid w:val="005E4088"/>
    <w:rsid w:val="005E424D"/>
    <w:rsid w:val="005E432B"/>
    <w:rsid w:val="005E446F"/>
    <w:rsid w:val="005E44A9"/>
    <w:rsid w:val="005E44CE"/>
    <w:rsid w:val="005E4538"/>
    <w:rsid w:val="005E45EC"/>
    <w:rsid w:val="005E4798"/>
    <w:rsid w:val="005E483E"/>
    <w:rsid w:val="005E4912"/>
    <w:rsid w:val="005E49DF"/>
    <w:rsid w:val="005E4AA0"/>
    <w:rsid w:val="005E4B09"/>
    <w:rsid w:val="005E4B58"/>
    <w:rsid w:val="005E4CEF"/>
    <w:rsid w:val="005E4CF3"/>
    <w:rsid w:val="005E4D1A"/>
    <w:rsid w:val="005E4D5F"/>
    <w:rsid w:val="005E4D68"/>
    <w:rsid w:val="005E4E96"/>
    <w:rsid w:val="005E4F20"/>
    <w:rsid w:val="005E5006"/>
    <w:rsid w:val="005E51A6"/>
    <w:rsid w:val="005E52B7"/>
    <w:rsid w:val="005E52E4"/>
    <w:rsid w:val="005E5325"/>
    <w:rsid w:val="005E53F9"/>
    <w:rsid w:val="005E54F1"/>
    <w:rsid w:val="005E555B"/>
    <w:rsid w:val="005E560A"/>
    <w:rsid w:val="005E5631"/>
    <w:rsid w:val="005E572C"/>
    <w:rsid w:val="005E58E3"/>
    <w:rsid w:val="005E58F3"/>
    <w:rsid w:val="005E5944"/>
    <w:rsid w:val="005E599A"/>
    <w:rsid w:val="005E5A23"/>
    <w:rsid w:val="005E5A79"/>
    <w:rsid w:val="005E5AF2"/>
    <w:rsid w:val="005E5B78"/>
    <w:rsid w:val="005E5BEE"/>
    <w:rsid w:val="005E5BFD"/>
    <w:rsid w:val="005E5C6F"/>
    <w:rsid w:val="005E5D0E"/>
    <w:rsid w:val="005E5D86"/>
    <w:rsid w:val="005E5F00"/>
    <w:rsid w:val="005E5F64"/>
    <w:rsid w:val="005E5F6F"/>
    <w:rsid w:val="005E5FE0"/>
    <w:rsid w:val="005E602A"/>
    <w:rsid w:val="005E614B"/>
    <w:rsid w:val="005E6167"/>
    <w:rsid w:val="005E6388"/>
    <w:rsid w:val="005E6524"/>
    <w:rsid w:val="005E65A3"/>
    <w:rsid w:val="005E66E1"/>
    <w:rsid w:val="005E6794"/>
    <w:rsid w:val="005E6880"/>
    <w:rsid w:val="005E68E0"/>
    <w:rsid w:val="005E6922"/>
    <w:rsid w:val="005E6B9F"/>
    <w:rsid w:val="005E6BAC"/>
    <w:rsid w:val="005E6BE4"/>
    <w:rsid w:val="005E6C6C"/>
    <w:rsid w:val="005E6C9A"/>
    <w:rsid w:val="005E6D43"/>
    <w:rsid w:val="005E6DD2"/>
    <w:rsid w:val="005E6E59"/>
    <w:rsid w:val="005E6F6E"/>
    <w:rsid w:val="005E7142"/>
    <w:rsid w:val="005E71AB"/>
    <w:rsid w:val="005E720F"/>
    <w:rsid w:val="005E7389"/>
    <w:rsid w:val="005E7421"/>
    <w:rsid w:val="005E7462"/>
    <w:rsid w:val="005E77E4"/>
    <w:rsid w:val="005E7835"/>
    <w:rsid w:val="005E7A22"/>
    <w:rsid w:val="005E7AF1"/>
    <w:rsid w:val="005E7B99"/>
    <w:rsid w:val="005E7D09"/>
    <w:rsid w:val="005E7DAB"/>
    <w:rsid w:val="005E7E26"/>
    <w:rsid w:val="005E7EB3"/>
    <w:rsid w:val="005F0068"/>
    <w:rsid w:val="005F00D5"/>
    <w:rsid w:val="005F00E5"/>
    <w:rsid w:val="005F011D"/>
    <w:rsid w:val="005F0140"/>
    <w:rsid w:val="005F022D"/>
    <w:rsid w:val="005F0296"/>
    <w:rsid w:val="005F02AB"/>
    <w:rsid w:val="005F02E2"/>
    <w:rsid w:val="005F0371"/>
    <w:rsid w:val="005F0641"/>
    <w:rsid w:val="005F0645"/>
    <w:rsid w:val="005F0661"/>
    <w:rsid w:val="005F070E"/>
    <w:rsid w:val="005F07D2"/>
    <w:rsid w:val="005F08FB"/>
    <w:rsid w:val="005F0929"/>
    <w:rsid w:val="005F0BB0"/>
    <w:rsid w:val="005F0BD3"/>
    <w:rsid w:val="005F0C5C"/>
    <w:rsid w:val="005F0E77"/>
    <w:rsid w:val="005F0E96"/>
    <w:rsid w:val="005F0F17"/>
    <w:rsid w:val="005F0F31"/>
    <w:rsid w:val="005F0F35"/>
    <w:rsid w:val="005F0FED"/>
    <w:rsid w:val="005F0FF0"/>
    <w:rsid w:val="005F107C"/>
    <w:rsid w:val="005F10BF"/>
    <w:rsid w:val="005F11F7"/>
    <w:rsid w:val="005F1206"/>
    <w:rsid w:val="005F1259"/>
    <w:rsid w:val="005F1266"/>
    <w:rsid w:val="005F137B"/>
    <w:rsid w:val="005F13B8"/>
    <w:rsid w:val="005F13EA"/>
    <w:rsid w:val="005F1450"/>
    <w:rsid w:val="005F150B"/>
    <w:rsid w:val="005F16D2"/>
    <w:rsid w:val="005F1713"/>
    <w:rsid w:val="005F1834"/>
    <w:rsid w:val="005F18AE"/>
    <w:rsid w:val="005F18D5"/>
    <w:rsid w:val="005F1926"/>
    <w:rsid w:val="005F1960"/>
    <w:rsid w:val="005F1965"/>
    <w:rsid w:val="005F197E"/>
    <w:rsid w:val="005F1A49"/>
    <w:rsid w:val="005F1B8B"/>
    <w:rsid w:val="005F1BCA"/>
    <w:rsid w:val="005F1CA5"/>
    <w:rsid w:val="005F1CEF"/>
    <w:rsid w:val="005F1D12"/>
    <w:rsid w:val="005F1D34"/>
    <w:rsid w:val="005F1E08"/>
    <w:rsid w:val="005F1EA7"/>
    <w:rsid w:val="005F1FF3"/>
    <w:rsid w:val="005F2035"/>
    <w:rsid w:val="005F2114"/>
    <w:rsid w:val="005F216C"/>
    <w:rsid w:val="005F2189"/>
    <w:rsid w:val="005F21C3"/>
    <w:rsid w:val="005F22B0"/>
    <w:rsid w:val="005F231F"/>
    <w:rsid w:val="005F2332"/>
    <w:rsid w:val="005F23A8"/>
    <w:rsid w:val="005F240E"/>
    <w:rsid w:val="005F244B"/>
    <w:rsid w:val="005F2587"/>
    <w:rsid w:val="005F25E2"/>
    <w:rsid w:val="005F2798"/>
    <w:rsid w:val="005F290E"/>
    <w:rsid w:val="005F29E3"/>
    <w:rsid w:val="005F2B91"/>
    <w:rsid w:val="005F2C7F"/>
    <w:rsid w:val="005F2C8A"/>
    <w:rsid w:val="005F2CC5"/>
    <w:rsid w:val="005F2D2C"/>
    <w:rsid w:val="005F2DA1"/>
    <w:rsid w:val="005F2EC8"/>
    <w:rsid w:val="005F2ECB"/>
    <w:rsid w:val="005F2F8B"/>
    <w:rsid w:val="005F2FED"/>
    <w:rsid w:val="005F304E"/>
    <w:rsid w:val="005F3152"/>
    <w:rsid w:val="005F3170"/>
    <w:rsid w:val="005F31F7"/>
    <w:rsid w:val="005F3222"/>
    <w:rsid w:val="005F325E"/>
    <w:rsid w:val="005F32C2"/>
    <w:rsid w:val="005F32D8"/>
    <w:rsid w:val="005F3355"/>
    <w:rsid w:val="005F3394"/>
    <w:rsid w:val="005F33D0"/>
    <w:rsid w:val="005F34D1"/>
    <w:rsid w:val="005F3750"/>
    <w:rsid w:val="005F37FB"/>
    <w:rsid w:val="005F38C0"/>
    <w:rsid w:val="005F3A6E"/>
    <w:rsid w:val="005F3AA4"/>
    <w:rsid w:val="005F3B85"/>
    <w:rsid w:val="005F3BA3"/>
    <w:rsid w:val="005F3BE0"/>
    <w:rsid w:val="005F3C21"/>
    <w:rsid w:val="005F3C85"/>
    <w:rsid w:val="005F3CA5"/>
    <w:rsid w:val="005F3CC6"/>
    <w:rsid w:val="005F3D4E"/>
    <w:rsid w:val="005F3E71"/>
    <w:rsid w:val="005F3EED"/>
    <w:rsid w:val="005F4115"/>
    <w:rsid w:val="005F41A8"/>
    <w:rsid w:val="005F442B"/>
    <w:rsid w:val="005F4466"/>
    <w:rsid w:val="005F44DF"/>
    <w:rsid w:val="005F4524"/>
    <w:rsid w:val="005F4592"/>
    <w:rsid w:val="005F46F5"/>
    <w:rsid w:val="005F4724"/>
    <w:rsid w:val="005F4771"/>
    <w:rsid w:val="005F4837"/>
    <w:rsid w:val="005F4863"/>
    <w:rsid w:val="005F499B"/>
    <w:rsid w:val="005F49DD"/>
    <w:rsid w:val="005F4A4B"/>
    <w:rsid w:val="005F4A4D"/>
    <w:rsid w:val="005F4A9F"/>
    <w:rsid w:val="005F4B28"/>
    <w:rsid w:val="005F4B30"/>
    <w:rsid w:val="005F4BA3"/>
    <w:rsid w:val="005F4C48"/>
    <w:rsid w:val="005F4D75"/>
    <w:rsid w:val="005F4D92"/>
    <w:rsid w:val="005F4E5B"/>
    <w:rsid w:val="005F4E8C"/>
    <w:rsid w:val="005F4F79"/>
    <w:rsid w:val="005F4FD4"/>
    <w:rsid w:val="005F515C"/>
    <w:rsid w:val="005F520A"/>
    <w:rsid w:val="005F528D"/>
    <w:rsid w:val="005F5314"/>
    <w:rsid w:val="005F550F"/>
    <w:rsid w:val="005F553B"/>
    <w:rsid w:val="005F5595"/>
    <w:rsid w:val="005F55C9"/>
    <w:rsid w:val="005F5616"/>
    <w:rsid w:val="005F5618"/>
    <w:rsid w:val="005F56AB"/>
    <w:rsid w:val="005F56EE"/>
    <w:rsid w:val="005F577B"/>
    <w:rsid w:val="005F57DB"/>
    <w:rsid w:val="005F5926"/>
    <w:rsid w:val="005F5B9B"/>
    <w:rsid w:val="005F5BB3"/>
    <w:rsid w:val="005F5C09"/>
    <w:rsid w:val="005F5E12"/>
    <w:rsid w:val="005F607C"/>
    <w:rsid w:val="005F610B"/>
    <w:rsid w:val="005F6137"/>
    <w:rsid w:val="005F6357"/>
    <w:rsid w:val="005F66D5"/>
    <w:rsid w:val="005F672A"/>
    <w:rsid w:val="005F676F"/>
    <w:rsid w:val="005F6778"/>
    <w:rsid w:val="005F6880"/>
    <w:rsid w:val="005F698B"/>
    <w:rsid w:val="005F69FB"/>
    <w:rsid w:val="005F6AAB"/>
    <w:rsid w:val="005F6ADF"/>
    <w:rsid w:val="005F6B2E"/>
    <w:rsid w:val="005F6BA9"/>
    <w:rsid w:val="005F6C17"/>
    <w:rsid w:val="005F6CAC"/>
    <w:rsid w:val="005F6CC9"/>
    <w:rsid w:val="005F6CCD"/>
    <w:rsid w:val="005F6D18"/>
    <w:rsid w:val="005F6E7C"/>
    <w:rsid w:val="005F6EAC"/>
    <w:rsid w:val="005F6F42"/>
    <w:rsid w:val="005F6F76"/>
    <w:rsid w:val="005F6FB4"/>
    <w:rsid w:val="005F6FE2"/>
    <w:rsid w:val="005F6FE9"/>
    <w:rsid w:val="005F70AD"/>
    <w:rsid w:val="005F70DB"/>
    <w:rsid w:val="005F711B"/>
    <w:rsid w:val="005F71C1"/>
    <w:rsid w:val="005F7268"/>
    <w:rsid w:val="005F72B4"/>
    <w:rsid w:val="005F72C7"/>
    <w:rsid w:val="005F7346"/>
    <w:rsid w:val="005F73D9"/>
    <w:rsid w:val="005F7426"/>
    <w:rsid w:val="005F744C"/>
    <w:rsid w:val="005F76D5"/>
    <w:rsid w:val="005F77BA"/>
    <w:rsid w:val="005F784D"/>
    <w:rsid w:val="005F79F7"/>
    <w:rsid w:val="005F7A56"/>
    <w:rsid w:val="005F7ABD"/>
    <w:rsid w:val="005F7AFC"/>
    <w:rsid w:val="005F7C4D"/>
    <w:rsid w:val="005F7C4E"/>
    <w:rsid w:val="005F7CE1"/>
    <w:rsid w:val="005F7F7C"/>
    <w:rsid w:val="006000C2"/>
    <w:rsid w:val="006000E8"/>
    <w:rsid w:val="0060013C"/>
    <w:rsid w:val="0060017B"/>
    <w:rsid w:val="006002F2"/>
    <w:rsid w:val="006002FF"/>
    <w:rsid w:val="00600316"/>
    <w:rsid w:val="00600606"/>
    <w:rsid w:val="00600637"/>
    <w:rsid w:val="0060063D"/>
    <w:rsid w:val="00600672"/>
    <w:rsid w:val="006007DB"/>
    <w:rsid w:val="006007E8"/>
    <w:rsid w:val="0060088E"/>
    <w:rsid w:val="00600913"/>
    <w:rsid w:val="00600A88"/>
    <w:rsid w:val="00600ABA"/>
    <w:rsid w:val="00600BC5"/>
    <w:rsid w:val="00600C01"/>
    <w:rsid w:val="00600DA5"/>
    <w:rsid w:val="00600DB1"/>
    <w:rsid w:val="00600DED"/>
    <w:rsid w:val="00600E41"/>
    <w:rsid w:val="00600E43"/>
    <w:rsid w:val="00600E80"/>
    <w:rsid w:val="00600E93"/>
    <w:rsid w:val="00601009"/>
    <w:rsid w:val="00601030"/>
    <w:rsid w:val="0060110D"/>
    <w:rsid w:val="00601123"/>
    <w:rsid w:val="00601298"/>
    <w:rsid w:val="00601417"/>
    <w:rsid w:val="0060142C"/>
    <w:rsid w:val="00601431"/>
    <w:rsid w:val="00601596"/>
    <w:rsid w:val="006015E9"/>
    <w:rsid w:val="00601636"/>
    <w:rsid w:val="00601686"/>
    <w:rsid w:val="0060169F"/>
    <w:rsid w:val="006016C2"/>
    <w:rsid w:val="006016D0"/>
    <w:rsid w:val="0060170E"/>
    <w:rsid w:val="0060173E"/>
    <w:rsid w:val="006018A2"/>
    <w:rsid w:val="006018CA"/>
    <w:rsid w:val="0060195E"/>
    <w:rsid w:val="0060196E"/>
    <w:rsid w:val="00601A0B"/>
    <w:rsid w:val="00601A40"/>
    <w:rsid w:val="00601A6D"/>
    <w:rsid w:val="00601AE6"/>
    <w:rsid w:val="00601B56"/>
    <w:rsid w:val="00601D5F"/>
    <w:rsid w:val="00602054"/>
    <w:rsid w:val="006020B1"/>
    <w:rsid w:val="00602103"/>
    <w:rsid w:val="006021A8"/>
    <w:rsid w:val="006021BE"/>
    <w:rsid w:val="0060220A"/>
    <w:rsid w:val="00602322"/>
    <w:rsid w:val="0060240F"/>
    <w:rsid w:val="00602474"/>
    <w:rsid w:val="006024A4"/>
    <w:rsid w:val="00602569"/>
    <w:rsid w:val="00602601"/>
    <w:rsid w:val="00602609"/>
    <w:rsid w:val="00602688"/>
    <w:rsid w:val="006026DD"/>
    <w:rsid w:val="00602778"/>
    <w:rsid w:val="0060282E"/>
    <w:rsid w:val="006029BA"/>
    <w:rsid w:val="00602A01"/>
    <w:rsid w:val="00602AD5"/>
    <w:rsid w:val="00602BA0"/>
    <w:rsid w:val="00602BA6"/>
    <w:rsid w:val="00602BC5"/>
    <w:rsid w:val="00602C5F"/>
    <w:rsid w:val="00602CBD"/>
    <w:rsid w:val="00602D68"/>
    <w:rsid w:val="00602E0D"/>
    <w:rsid w:val="00602EA9"/>
    <w:rsid w:val="00602FCF"/>
    <w:rsid w:val="00603032"/>
    <w:rsid w:val="0060319A"/>
    <w:rsid w:val="006031C0"/>
    <w:rsid w:val="00603273"/>
    <w:rsid w:val="006032B5"/>
    <w:rsid w:val="00603301"/>
    <w:rsid w:val="0060330F"/>
    <w:rsid w:val="006035B6"/>
    <w:rsid w:val="006035F6"/>
    <w:rsid w:val="006036E2"/>
    <w:rsid w:val="006037F8"/>
    <w:rsid w:val="00603849"/>
    <w:rsid w:val="00603865"/>
    <w:rsid w:val="0060387D"/>
    <w:rsid w:val="006038E8"/>
    <w:rsid w:val="0060395E"/>
    <w:rsid w:val="00603AAD"/>
    <w:rsid w:val="00603B1B"/>
    <w:rsid w:val="00603E87"/>
    <w:rsid w:val="00603E8A"/>
    <w:rsid w:val="00603F4E"/>
    <w:rsid w:val="00603FA8"/>
    <w:rsid w:val="0060400E"/>
    <w:rsid w:val="0060402B"/>
    <w:rsid w:val="00604072"/>
    <w:rsid w:val="00604104"/>
    <w:rsid w:val="00604195"/>
    <w:rsid w:val="00604223"/>
    <w:rsid w:val="00604234"/>
    <w:rsid w:val="0060430A"/>
    <w:rsid w:val="00604565"/>
    <w:rsid w:val="006046D0"/>
    <w:rsid w:val="006046ED"/>
    <w:rsid w:val="00604737"/>
    <w:rsid w:val="006047A4"/>
    <w:rsid w:val="0060485C"/>
    <w:rsid w:val="006048BA"/>
    <w:rsid w:val="00604A21"/>
    <w:rsid w:val="00604A4C"/>
    <w:rsid w:val="00604BE7"/>
    <w:rsid w:val="00604E25"/>
    <w:rsid w:val="00604E3B"/>
    <w:rsid w:val="00604E96"/>
    <w:rsid w:val="00604EF8"/>
    <w:rsid w:val="0060505D"/>
    <w:rsid w:val="006050CF"/>
    <w:rsid w:val="0060512E"/>
    <w:rsid w:val="0060534F"/>
    <w:rsid w:val="0060537B"/>
    <w:rsid w:val="006053C4"/>
    <w:rsid w:val="006056D3"/>
    <w:rsid w:val="00605716"/>
    <w:rsid w:val="006057E4"/>
    <w:rsid w:val="0060583F"/>
    <w:rsid w:val="00605851"/>
    <w:rsid w:val="00605903"/>
    <w:rsid w:val="00605915"/>
    <w:rsid w:val="00605A5E"/>
    <w:rsid w:val="00605B72"/>
    <w:rsid w:val="00605C9D"/>
    <w:rsid w:val="00605D08"/>
    <w:rsid w:val="00605FB6"/>
    <w:rsid w:val="00606163"/>
    <w:rsid w:val="00606191"/>
    <w:rsid w:val="006061BC"/>
    <w:rsid w:val="006061CD"/>
    <w:rsid w:val="006061E3"/>
    <w:rsid w:val="0060627C"/>
    <w:rsid w:val="00606327"/>
    <w:rsid w:val="006063C7"/>
    <w:rsid w:val="00606479"/>
    <w:rsid w:val="00606481"/>
    <w:rsid w:val="00606493"/>
    <w:rsid w:val="006064A1"/>
    <w:rsid w:val="00606580"/>
    <w:rsid w:val="00606660"/>
    <w:rsid w:val="006066FE"/>
    <w:rsid w:val="0060683F"/>
    <w:rsid w:val="00606893"/>
    <w:rsid w:val="006068AF"/>
    <w:rsid w:val="0060691C"/>
    <w:rsid w:val="00606991"/>
    <w:rsid w:val="00606B04"/>
    <w:rsid w:val="00606B9A"/>
    <w:rsid w:val="00606C64"/>
    <w:rsid w:val="00606CF9"/>
    <w:rsid w:val="00606D5A"/>
    <w:rsid w:val="00606E32"/>
    <w:rsid w:val="0060703D"/>
    <w:rsid w:val="006070AB"/>
    <w:rsid w:val="00607124"/>
    <w:rsid w:val="006071BF"/>
    <w:rsid w:val="006071CB"/>
    <w:rsid w:val="00607300"/>
    <w:rsid w:val="0060732C"/>
    <w:rsid w:val="0060756F"/>
    <w:rsid w:val="00607620"/>
    <w:rsid w:val="00607722"/>
    <w:rsid w:val="006077D4"/>
    <w:rsid w:val="0060783C"/>
    <w:rsid w:val="0060787D"/>
    <w:rsid w:val="006078D8"/>
    <w:rsid w:val="006078FC"/>
    <w:rsid w:val="00607AE2"/>
    <w:rsid w:val="00607B02"/>
    <w:rsid w:val="00607B6E"/>
    <w:rsid w:val="00607BEA"/>
    <w:rsid w:val="00607C3D"/>
    <w:rsid w:val="00607E2F"/>
    <w:rsid w:val="00607E5F"/>
    <w:rsid w:val="00607E74"/>
    <w:rsid w:val="00607EAD"/>
    <w:rsid w:val="00607EDB"/>
    <w:rsid w:val="00607F3D"/>
    <w:rsid w:val="00607F4D"/>
    <w:rsid w:val="0061038B"/>
    <w:rsid w:val="006103D5"/>
    <w:rsid w:val="00610438"/>
    <w:rsid w:val="006104BB"/>
    <w:rsid w:val="006105F7"/>
    <w:rsid w:val="0061066A"/>
    <w:rsid w:val="00610678"/>
    <w:rsid w:val="0061068A"/>
    <w:rsid w:val="00610719"/>
    <w:rsid w:val="00610809"/>
    <w:rsid w:val="00610838"/>
    <w:rsid w:val="006109BE"/>
    <w:rsid w:val="00610A70"/>
    <w:rsid w:val="00610AAE"/>
    <w:rsid w:val="00610B2E"/>
    <w:rsid w:val="00610BFD"/>
    <w:rsid w:val="00610C30"/>
    <w:rsid w:val="00610DDD"/>
    <w:rsid w:val="00610E73"/>
    <w:rsid w:val="00610EF0"/>
    <w:rsid w:val="00610F4F"/>
    <w:rsid w:val="00611061"/>
    <w:rsid w:val="0061111D"/>
    <w:rsid w:val="00611169"/>
    <w:rsid w:val="00611225"/>
    <w:rsid w:val="00611277"/>
    <w:rsid w:val="0061135A"/>
    <w:rsid w:val="0061139D"/>
    <w:rsid w:val="00611440"/>
    <w:rsid w:val="00611477"/>
    <w:rsid w:val="00611555"/>
    <w:rsid w:val="006115C4"/>
    <w:rsid w:val="0061160E"/>
    <w:rsid w:val="00611629"/>
    <w:rsid w:val="0061164B"/>
    <w:rsid w:val="006117E5"/>
    <w:rsid w:val="00611915"/>
    <w:rsid w:val="00611B12"/>
    <w:rsid w:val="00611B47"/>
    <w:rsid w:val="00611B73"/>
    <w:rsid w:val="00611C4F"/>
    <w:rsid w:val="00611C9C"/>
    <w:rsid w:val="00611D20"/>
    <w:rsid w:val="00611D44"/>
    <w:rsid w:val="00611DC8"/>
    <w:rsid w:val="00611EC5"/>
    <w:rsid w:val="00611F01"/>
    <w:rsid w:val="00611F9E"/>
    <w:rsid w:val="00611FA6"/>
    <w:rsid w:val="00612081"/>
    <w:rsid w:val="006121D5"/>
    <w:rsid w:val="0061230E"/>
    <w:rsid w:val="0061245F"/>
    <w:rsid w:val="006125BB"/>
    <w:rsid w:val="006125C6"/>
    <w:rsid w:val="006125CB"/>
    <w:rsid w:val="006127F3"/>
    <w:rsid w:val="00612827"/>
    <w:rsid w:val="006128F5"/>
    <w:rsid w:val="00612934"/>
    <w:rsid w:val="006129DE"/>
    <w:rsid w:val="00612AB1"/>
    <w:rsid w:val="00612B52"/>
    <w:rsid w:val="00612D93"/>
    <w:rsid w:val="00612E1A"/>
    <w:rsid w:val="00612E1C"/>
    <w:rsid w:val="00612E63"/>
    <w:rsid w:val="00612EA5"/>
    <w:rsid w:val="00612EAF"/>
    <w:rsid w:val="00612FE7"/>
    <w:rsid w:val="00613058"/>
    <w:rsid w:val="00613093"/>
    <w:rsid w:val="006130B0"/>
    <w:rsid w:val="00613116"/>
    <w:rsid w:val="0061311E"/>
    <w:rsid w:val="0061316A"/>
    <w:rsid w:val="0061319E"/>
    <w:rsid w:val="00613260"/>
    <w:rsid w:val="006132C1"/>
    <w:rsid w:val="00613324"/>
    <w:rsid w:val="006133A7"/>
    <w:rsid w:val="006133D7"/>
    <w:rsid w:val="006134C4"/>
    <w:rsid w:val="00613590"/>
    <w:rsid w:val="00613669"/>
    <w:rsid w:val="0061370F"/>
    <w:rsid w:val="00613730"/>
    <w:rsid w:val="0061383F"/>
    <w:rsid w:val="00613A12"/>
    <w:rsid w:val="00613A49"/>
    <w:rsid w:val="00613A77"/>
    <w:rsid w:val="00613B5A"/>
    <w:rsid w:val="00613D54"/>
    <w:rsid w:val="00613D90"/>
    <w:rsid w:val="00613F8F"/>
    <w:rsid w:val="00613FC5"/>
    <w:rsid w:val="00613FF2"/>
    <w:rsid w:val="00614150"/>
    <w:rsid w:val="00614167"/>
    <w:rsid w:val="00614204"/>
    <w:rsid w:val="0061453B"/>
    <w:rsid w:val="006145AA"/>
    <w:rsid w:val="006146E5"/>
    <w:rsid w:val="00614809"/>
    <w:rsid w:val="00614884"/>
    <w:rsid w:val="006148A6"/>
    <w:rsid w:val="006149EB"/>
    <w:rsid w:val="00614AE6"/>
    <w:rsid w:val="00614BE3"/>
    <w:rsid w:val="00614C41"/>
    <w:rsid w:val="00614EF9"/>
    <w:rsid w:val="0061506D"/>
    <w:rsid w:val="00615115"/>
    <w:rsid w:val="0061514A"/>
    <w:rsid w:val="0061519D"/>
    <w:rsid w:val="006151B0"/>
    <w:rsid w:val="00615247"/>
    <w:rsid w:val="006153EC"/>
    <w:rsid w:val="00615453"/>
    <w:rsid w:val="006154BA"/>
    <w:rsid w:val="006154C9"/>
    <w:rsid w:val="00615500"/>
    <w:rsid w:val="0061559C"/>
    <w:rsid w:val="0061568B"/>
    <w:rsid w:val="006156CB"/>
    <w:rsid w:val="006156EB"/>
    <w:rsid w:val="00615960"/>
    <w:rsid w:val="0061596E"/>
    <w:rsid w:val="0061597A"/>
    <w:rsid w:val="00615A4E"/>
    <w:rsid w:val="00615B8F"/>
    <w:rsid w:val="00615BA9"/>
    <w:rsid w:val="00615C3A"/>
    <w:rsid w:val="00615CC7"/>
    <w:rsid w:val="00615CD9"/>
    <w:rsid w:val="00615CE2"/>
    <w:rsid w:val="00615D17"/>
    <w:rsid w:val="00615E5D"/>
    <w:rsid w:val="00615E85"/>
    <w:rsid w:val="00615F59"/>
    <w:rsid w:val="00615FA6"/>
    <w:rsid w:val="006160B2"/>
    <w:rsid w:val="0061613D"/>
    <w:rsid w:val="00616157"/>
    <w:rsid w:val="006161D5"/>
    <w:rsid w:val="006162BF"/>
    <w:rsid w:val="006162C8"/>
    <w:rsid w:val="0061633F"/>
    <w:rsid w:val="006163B0"/>
    <w:rsid w:val="006164E9"/>
    <w:rsid w:val="006164F7"/>
    <w:rsid w:val="00616509"/>
    <w:rsid w:val="006166E7"/>
    <w:rsid w:val="006167B7"/>
    <w:rsid w:val="0061687B"/>
    <w:rsid w:val="0061689F"/>
    <w:rsid w:val="006168BC"/>
    <w:rsid w:val="006169A6"/>
    <w:rsid w:val="00616C48"/>
    <w:rsid w:val="00616D30"/>
    <w:rsid w:val="00616D73"/>
    <w:rsid w:val="00616D94"/>
    <w:rsid w:val="00616E3D"/>
    <w:rsid w:val="00616E99"/>
    <w:rsid w:val="00616EE7"/>
    <w:rsid w:val="00616EF5"/>
    <w:rsid w:val="0061708A"/>
    <w:rsid w:val="006170C0"/>
    <w:rsid w:val="006170E1"/>
    <w:rsid w:val="006173C7"/>
    <w:rsid w:val="00617457"/>
    <w:rsid w:val="00617460"/>
    <w:rsid w:val="006174C1"/>
    <w:rsid w:val="00617622"/>
    <w:rsid w:val="00617647"/>
    <w:rsid w:val="006176BE"/>
    <w:rsid w:val="006176EF"/>
    <w:rsid w:val="006177E2"/>
    <w:rsid w:val="006177E7"/>
    <w:rsid w:val="00617ACC"/>
    <w:rsid w:val="00617C44"/>
    <w:rsid w:val="00617CDA"/>
    <w:rsid w:val="00617D41"/>
    <w:rsid w:val="00617E06"/>
    <w:rsid w:val="00617E59"/>
    <w:rsid w:val="00617F42"/>
    <w:rsid w:val="0062003B"/>
    <w:rsid w:val="00620367"/>
    <w:rsid w:val="0062039F"/>
    <w:rsid w:val="00620484"/>
    <w:rsid w:val="006205D3"/>
    <w:rsid w:val="00620637"/>
    <w:rsid w:val="006208AD"/>
    <w:rsid w:val="006208D1"/>
    <w:rsid w:val="006208DE"/>
    <w:rsid w:val="00620A63"/>
    <w:rsid w:val="00620B6F"/>
    <w:rsid w:val="00620C00"/>
    <w:rsid w:val="00620CB6"/>
    <w:rsid w:val="00620D18"/>
    <w:rsid w:val="00620D30"/>
    <w:rsid w:val="00620EA2"/>
    <w:rsid w:val="00620ED5"/>
    <w:rsid w:val="006210A9"/>
    <w:rsid w:val="006210C6"/>
    <w:rsid w:val="006210DB"/>
    <w:rsid w:val="006210EA"/>
    <w:rsid w:val="00621134"/>
    <w:rsid w:val="006211D4"/>
    <w:rsid w:val="006211E8"/>
    <w:rsid w:val="006211EC"/>
    <w:rsid w:val="0062131C"/>
    <w:rsid w:val="00621352"/>
    <w:rsid w:val="00621427"/>
    <w:rsid w:val="0062151E"/>
    <w:rsid w:val="00621679"/>
    <w:rsid w:val="006216B4"/>
    <w:rsid w:val="006216FE"/>
    <w:rsid w:val="00621779"/>
    <w:rsid w:val="0062188B"/>
    <w:rsid w:val="006218B0"/>
    <w:rsid w:val="00621947"/>
    <w:rsid w:val="0062194E"/>
    <w:rsid w:val="00621A4B"/>
    <w:rsid w:val="00621A81"/>
    <w:rsid w:val="00621A90"/>
    <w:rsid w:val="00621A95"/>
    <w:rsid w:val="00621ACE"/>
    <w:rsid w:val="00621B42"/>
    <w:rsid w:val="00621B8C"/>
    <w:rsid w:val="00621BD3"/>
    <w:rsid w:val="00621BDB"/>
    <w:rsid w:val="00621D41"/>
    <w:rsid w:val="00621D54"/>
    <w:rsid w:val="00621E4E"/>
    <w:rsid w:val="00621EDA"/>
    <w:rsid w:val="00621FAE"/>
    <w:rsid w:val="00622065"/>
    <w:rsid w:val="00622205"/>
    <w:rsid w:val="006223A2"/>
    <w:rsid w:val="006223EB"/>
    <w:rsid w:val="006223F2"/>
    <w:rsid w:val="00622416"/>
    <w:rsid w:val="0062255A"/>
    <w:rsid w:val="0062258D"/>
    <w:rsid w:val="00622611"/>
    <w:rsid w:val="006226D4"/>
    <w:rsid w:val="0062275F"/>
    <w:rsid w:val="006227A8"/>
    <w:rsid w:val="006227B6"/>
    <w:rsid w:val="00622844"/>
    <w:rsid w:val="00622863"/>
    <w:rsid w:val="006228DA"/>
    <w:rsid w:val="00622A55"/>
    <w:rsid w:val="00622AD7"/>
    <w:rsid w:val="00622AE9"/>
    <w:rsid w:val="00622C9A"/>
    <w:rsid w:val="00622CB8"/>
    <w:rsid w:val="00622D34"/>
    <w:rsid w:val="00622D3F"/>
    <w:rsid w:val="00622DF8"/>
    <w:rsid w:val="00622F0D"/>
    <w:rsid w:val="00622F5B"/>
    <w:rsid w:val="006230BB"/>
    <w:rsid w:val="006230C2"/>
    <w:rsid w:val="006230DE"/>
    <w:rsid w:val="00623112"/>
    <w:rsid w:val="00623157"/>
    <w:rsid w:val="00623234"/>
    <w:rsid w:val="0062323F"/>
    <w:rsid w:val="006232B7"/>
    <w:rsid w:val="00623341"/>
    <w:rsid w:val="00623499"/>
    <w:rsid w:val="00623580"/>
    <w:rsid w:val="00623649"/>
    <w:rsid w:val="006236DA"/>
    <w:rsid w:val="006236E1"/>
    <w:rsid w:val="0062385E"/>
    <w:rsid w:val="006238D7"/>
    <w:rsid w:val="00623AAE"/>
    <w:rsid w:val="00623AEA"/>
    <w:rsid w:val="00623BE0"/>
    <w:rsid w:val="00623C08"/>
    <w:rsid w:val="00623C16"/>
    <w:rsid w:val="00623CC6"/>
    <w:rsid w:val="00623D05"/>
    <w:rsid w:val="00623D9A"/>
    <w:rsid w:val="00623DCB"/>
    <w:rsid w:val="00623F08"/>
    <w:rsid w:val="00624088"/>
    <w:rsid w:val="0062409C"/>
    <w:rsid w:val="006242C3"/>
    <w:rsid w:val="00624348"/>
    <w:rsid w:val="006243C9"/>
    <w:rsid w:val="0062440C"/>
    <w:rsid w:val="006244E2"/>
    <w:rsid w:val="006244E3"/>
    <w:rsid w:val="00624558"/>
    <w:rsid w:val="00624646"/>
    <w:rsid w:val="00624721"/>
    <w:rsid w:val="0062478B"/>
    <w:rsid w:val="006247EB"/>
    <w:rsid w:val="00624833"/>
    <w:rsid w:val="0062489A"/>
    <w:rsid w:val="00624938"/>
    <w:rsid w:val="006249B4"/>
    <w:rsid w:val="00624A08"/>
    <w:rsid w:val="00624A3E"/>
    <w:rsid w:val="00624B65"/>
    <w:rsid w:val="00624B91"/>
    <w:rsid w:val="00624CA5"/>
    <w:rsid w:val="00624D19"/>
    <w:rsid w:val="00624D5A"/>
    <w:rsid w:val="00624D9B"/>
    <w:rsid w:val="00624E9F"/>
    <w:rsid w:val="00624F97"/>
    <w:rsid w:val="00625037"/>
    <w:rsid w:val="0062505F"/>
    <w:rsid w:val="0062506C"/>
    <w:rsid w:val="00625089"/>
    <w:rsid w:val="00625093"/>
    <w:rsid w:val="006250AF"/>
    <w:rsid w:val="006250BF"/>
    <w:rsid w:val="0062522B"/>
    <w:rsid w:val="0062535B"/>
    <w:rsid w:val="00625388"/>
    <w:rsid w:val="0062541A"/>
    <w:rsid w:val="00625517"/>
    <w:rsid w:val="0062562D"/>
    <w:rsid w:val="006256B0"/>
    <w:rsid w:val="00625734"/>
    <w:rsid w:val="00625758"/>
    <w:rsid w:val="00625767"/>
    <w:rsid w:val="006257E5"/>
    <w:rsid w:val="006257EE"/>
    <w:rsid w:val="0062580D"/>
    <w:rsid w:val="0062586D"/>
    <w:rsid w:val="00625939"/>
    <w:rsid w:val="006259DD"/>
    <w:rsid w:val="00625AA7"/>
    <w:rsid w:val="00625BFE"/>
    <w:rsid w:val="00625C5A"/>
    <w:rsid w:val="00626063"/>
    <w:rsid w:val="00626165"/>
    <w:rsid w:val="00626167"/>
    <w:rsid w:val="00626335"/>
    <w:rsid w:val="006264CB"/>
    <w:rsid w:val="00626583"/>
    <w:rsid w:val="00626660"/>
    <w:rsid w:val="00626716"/>
    <w:rsid w:val="006267A1"/>
    <w:rsid w:val="00626810"/>
    <w:rsid w:val="00626865"/>
    <w:rsid w:val="00626BAE"/>
    <w:rsid w:val="00626CAF"/>
    <w:rsid w:val="00626CDB"/>
    <w:rsid w:val="00626CDC"/>
    <w:rsid w:val="00626DDE"/>
    <w:rsid w:val="00626DF6"/>
    <w:rsid w:val="00626EA2"/>
    <w:rsid w:val="00626EF3"/>
    <w:rsid w:val="00626FA4"/>
    <w:rsid w:val="00627063"/>
    <w:rsid w:val="006270D2"/>
    <w:rsid w:val="006271B8"/>
    <w:rsid w:val="006271FB"/>
    <w:rsid w:val="006272DF"/>
    <w:rsid w:val="006273A1"/>
    <w:rsid w:val="0062743D"/>
    <w:rsid w:val="0062748E"/>
    <w:rsid w:val="006274B9"/>
    <w:rsid w:val="0062784A"/>
    <w:rsid w:val="00627855"/>
    <w:rsid w:val="00627989"/>
    <w:rsid w:val="00627998"/>
    <w:rsid w:val="00627A9D"/>
    <w:rsid w:val="00627AE9"/>
    <w:rsid w:val="00627BE9"/>
    <w:rsid w:val="00627CA0"/>
    <w:rsid w:val="00627CE2"/>
    <w:rsid w:val="00627D11"/>
    <w:rsid w:val="00627D5A"/>
    <w:rsid w:val="00627DE5"/>
    <w:rsid w:val="00627E88"/>
    <w:rsid w:val="00627EBB"/>
    <w:rsid w:val="00627F9E"/>
    <w:rsid w:val="00627FCA"/>
    <w:rsid w:val="00630096"/>
    <w:rsid w:val="00630128"/>
    <w:rsid w:val="006301CE"/>
    <w:rsid w:val="0063024C"/>
    <w:rsid w:val="00630297"/>
    <w:rsid w:val="006302EE"/>
    <w:rsid w:val="00630318"/>
    <w:rsid w:val="0063039E"/>
    <w:rsid w:val="0063046C"/>
    <w:rsid w:val="00630599"/>
    <w:rsid w:val="00630607"/>
    <w:rsid w:val="006306CE"/>
    <w:rsid w:val="006307A9"/>
    <w:rsid w:val="006307D2"/>
    <w:rsid w:val="00630AE2"/>
    <w:rsid w:val="00630B33"/>
    <w:rsid w:val="00630BEF"/>
    <w:rsid w:val="00630C6F"/>
    <w:rsid w:val="00630C9B"/>
    <w:rsid w:val="00630CA2"/>
    <w:rsid w:val="00630D91"/>
    <w:rsid w:val="00630E49"/>
    <w:rsid w:val="00630EB8"/>
    <w:rsid w:val="00630FD3"/>
    <w:rsid w:val="00631075"/>
    <w:rsid w:val="006310B4"/>
    <w:rsid w:val="00631123"/>
    <w:rsid w:val="00631145"/>
    <w:rsid w:val="00631151"/>
    <w:rsid w:val="0063122C"/>
    <w:rsid w:val="00631418"/>
    <w:rsid w:val="00631465"/>
    <w:rsid w:val="00631544"/>
    <w:rsid w:val="00631568"/>
    <w:rsid w:val="0063157A"/>
    <w:rsid w:val="006315ED"/>
    <w:rsid w:val="00631616"/>
    <w:rsid w:val="0063165B"/>
    <w:rsid w:val="00631698"/>
    <w:rsid w:val="00631734"/>
    <w:rsid w:val="006319AE"/>
    <w:rsid w:val="00631A71"/>
    <w:rsid w:val="00631A76"/>
    <w:rsid w:val="00631C8A"/>
    <w:rsid w:val="00631E23"/>
    <w:rsid w:val="00631E46"/>
    <w:rsid w:val="00631EC8"/>
    <w:rsid w:val="00631F98"/>
    <w:rsid w:val="006320BD"/>
    <w:rsid w:val="006320CB"/>
    <w:rsid w:val="006322C6"/>
    <w:rsid w:val="0063231D"/>
    <w:rsid w:val="006323E9"/>
    <w:rsid w:val="006323F1"/>
    <w:rsid w:val="006324B3"/>
    <w:rsid w:val="00632529"/>
    <w:rsid w:val="0063252E"/>
    <w:rsid w:val="0063259A"/>
    <w:rsid w:val="006325B8"/>
    <w:rsid w:val="006326A3"/>
    <w:rsid w:val="006326EF"/>
    <w:rsid w:val="0063280C"/>
    <w:rsid w:val="006328DE"/>
    <w:rsid w:val="006329E5"/>
    <w:rsid w:val="00632B92"/>
    <w:rsid w:val="00632E07"/>
    <w:rsid w:val="00632E1A"/>
    <w:rsid w:val="00632E30"/>
    <w:rsid w:val="00632FBE"/>
    <w:rsid w:val="00633057"/>
    <w:rsid w:val="00633066"/>
    <w:rsid w:val="006330E8"/>
    <w:rsid w:val="0063316B"/>
    <w:rsid w:val="006331B6"/>
    <w:rsid w:val="006331CA"/>
    <w:rsid w:val="006332C2"/>
    <w:rsid w:val="0063342C"/>
    <w:rsid w:val="00633438"/>
    <w:rsid w:val="00633445"/>
    <w:rsid w:val="006334BC"/>
    <w:rsid w:val="006334EB"/>
    <w:rsid w:val="0063353C"/>
    <w:rsid w:val="00633609"/>
    <w:rsid w:val="0063364B"/>
    <w:rsid w:val="00633731"/>
    <w:rsid w:val="00633769"/>
    <w:rsid w:val="006337A3"/>
    <w:rsid w:val="006337E7"/>
    <w:rsid w:val="00633827"/>
    <w:rsid w:val="00633864"/>
    <w:rsid w:val="006338ED"/>
    <w:rsid w:val="00633952"/>
    <w:rsid w:val="00633958"/>
    <w:rsid w:val="00633A9E"/>
    <w:rsid w:val="00633C3E"/>
    <w:rsid w:val="00633C7B"/>
    <w:rsid w:val="00633DFD"/>
    <w:rsid w:val="00633E01"/>
    <w:rsid w:val="00633ECA"/>
    <w:rsid w:val="006340C8"/>
    <w:rsid w:val="006341CF"/>
    <w:rsid w:val="006341D5"/>
    <w:rsid w:val="00634299"/>
    <w:rsid w:val="00634357"/>
    <w:rsid w:val="006346CC"/>
    <w:rsid w:val="00634727"/>
    <w:rsid w:val="0063485B"/>
    <w:rsid w:val="00634869"/>
    <w:rsid w:val="006348C4"/>
    <w:rsid w:val="006348C6"/>
    <w:rsid w:val="00634A26"/>
    <w:rsid w:val="00634A4C"/>
    <w:rsid w:val="00634A87"/>
    <w:rsid w:val="00634B4D"/>
    <w:rsid w:val="00634BB1"/>
    <w:rsid w:val="00634D59"/>
    <w:rsid w:val="00634E0D"/>
    <w:rsid w:val="00634E15"/>
    <w:rsid w:val="00634E48"/>
    <w:rsid w:val="00634E52"/>
    <w:rsid w:val="00634F18"/>
    <w:rsid w:val="0063503A"/>
    <w:rsid w:val="0063524C"/>
    <w:rsid w:val="0063537C"/>
    <w:rsid w:val="006354E0"/>
    <w:rsid w:val="0063566F"/>
    <w:rsid w:val="00635708"/>
    <w:rsid w:val="0063570C"/>
    <w:rsid w:val="006357AE"/>
    <w:rsid w:val="0063584A"/>
    <w:rsid w:val="0063585A"/>
    <w:rsid w:val="006358D5"/>
    <w:rsid w:val="006358F5"/>
    <w:rsid w:val="00635902"/>
    <w:rsid w:val="00635922"/>
    <w:rsid w:val="00635932"/>
    <w:rsid w:val="00635993"/>
    <w:rsid w:val="006359EF"/>
    <w:rsid w:val="00635A92"/>
    <w:rsid w:val="00635B14"/>
    <w:rsid w:val="00635B7B"/>
    <w:rsid w:val="00635CF4"/>
    <w:rsid w:val="00635D1E"/>
    <w:rsid w:val="00635D80"/>
    <w:rsid w:val="00635DA1"/>
    <w:rsid w:val="00635F3A"/>
    <w:rsid w:val="00635F97"/>
    <w:rsid w:val="00635FB3"/>
    <w:rsid w:val="00635FC0"/>
    <w:rsid w:val="00636067"/>
    <w:rsid w:val="006360B4"/>
    <w:rsid w:val="006360D8"/>
    <w:rsid w:val="00636203"/>
    <w:rsid w:val="0063637D"/>
    <w:rsid w:val="006363B1"/>
    <w:rsid w:val="00636443"/>
    <w:rsid w:val="0063649D"/>
    <w:rsid w:val="006364EE"/>
    <w:rsid w:val="0063664E"/>
    <w:rsid w:val="00636698"/>
    <w:rsid w:val="006367A4"/>
    <w:rsid w:val="0063683C"/>
    <w:rsid w:val="006368A3"/>
    <w:rsid w:val="006369A8"/>
    <w:rsid w:val="006369FC"/>
    <w:rsid w:val="00636B20"/>
    <w:rsid w:val="00636B2D"/>
    <w:rsid w:val="00636D7E"/>
    <w:rsid w:val="00636D95"/>
    <w:rsid w:val="00636DA2"/>
    <w:rsid w:val="00636E2A"/>
    <w:rsid w:val="00636E71"/>
    <w:rsid w:val="00636EDB"/>
    <w:rsid w:val="00636EFC"/>
    <w:rsid w:val="00636F32"/>
    <w:rsid w:val="00636FBB"/>
    <w:rsid w:val="00636FDE"/>
    <w:rsid w:val="0063706C"/>
    <w:rsid w:val="006370C7"/>
    <w:rsid w:val="0063715A"/>
    <w:rsid w:val="00637357"/>
    <w:rsid w:val="00637366"/>
    <w:rsid w:val="00637600"/>
    <w:rsid w:val="00637638"/>
    <w:rsid w:val="0063764C"/>
    <w:rsid w:val="00637662"/>
    <w:rsid w:val="006376CF"/>
    <w:rsid w:val="006376F5"/>
    <w:rsid w:val="006377D4"/>
    <w:rsid w:val="00637816"/>
    <w:rsid w:val="0063783F"/>
    <w:rsid w:val="0063785F"/>
    <w:rsid w:val="00637883"/>
    <w:rsid w:val="00637A9E"/>
    <w:rsid w:val="00637AE6"/>
    <w:rsid w:val="00637B1E"/>
    <w:rsid w:val="00637BC8"/>
    <w:rsid w:val="00637CC7"/>
    <w:rsid w:val="00637D3D"/>
    <w:rsid w:val="00637F6E"/>
    <w:rsid w:val="00640080"/>
    <w:rsid w:val="00640250"/>
    <w:rsid w:val="006402C7"/>
    <w:rsid w:val="006402E0"/>
    <w:rsid w:val="00640309"/>
    <w:rsid w:val="00640495"/>
    <w:rsid w:val="006404D2"/>
    <w:rsid w:val="006404E5"/>
    <w:rsid w:val="00640539"/>
    <w:rsid w:val="006406F3"/>
    <w:rsid w:val="00640794"/>
    <w:rsid w:val="006407E0"/>
    <w:rsid w:val="0064080B"/>
    <w:rsid w:val="00640867"/>
    <w:rsid w:val="0064096D"/>
    <w:rsid w:val="006409FA"/>
    <w:rsid w:val="006409FD"/>
    <w:rsid w:val="00640A32"/>
    <w:rsid w:val="00640AB4"/>
    <w:rsid w:val="00640BC0"/>
    <w:rsid w:val="00640C45"/>
    <w:rsid w:val="00640D16"/>
    <w:rsid w:val="00640DAC"/>
    <w:rsid w:val="00640DC1"/>
    <w:rsid w:val="00640E55"/>
    <w:rsid w:val="00640EF0"/>
    <w:rsid w:val="00640EF4"/>
    <w:rsid w:val="00640F16"/>
    <w:rsid w:val="00640FEA"/>
    <w:rsid w:val="00641020"/>
    <w:rsid w:val="006411BF"/>
    <w:rsid w:val="00641393"/>
    <w:rsid w:val="0064144A"/>
    <w:rsid w:val="0064146B"/>
    <w:rsid w:val="006414AF"/>
    <w:rsid w:val="00641664"/>
    <w:rsid w:val="0064168E"/>
    <w:rsid w:val="0064172A"/>
    <w:rsid w:val="0064177D"/>
    <w:rsid w:val="006417C9"/>
    <w:rsid w:val="0064197E"/>
    <w:rsid w:val="006419A2"/>
    <w:rsid w:val="00641A0C"/>
    <w:rsid w:val="00641A86"/>
    <w:rsid w:val="00641AF1"/>
    <w:rsid w:val="00641B4B"/>
    <w:rsid w:val="00641C70"/>
    <w:rsid w:val="00641D15"/>
    <w:rsid w:val="00641F5B"/>
    <w:rsid w:val="00641FF5"/>
    <w:rsid w:val="00642083"/>
    <w:rsid w:val="006422E7"/>
    <w:rsid w:val="00642338"/>
    <w:rsid w:val="006423BF"/>
    <w:rsid w:val="006423F9"/>
    <w:rsid w:val="00642444"/>
    <w:rsid w:val="0064254F"/>
    <w:rsid w:val="0064269B"/>
    <w:rsid w:val="0064282B"/>
    <w:rsid w:val="00642953"/>
    <w:rsid w:val="00642AD3"/>
    <w:rsid w:val="00642C70"/>
    <w:rsid w:val="00642C72"/>
    <w:rsid w:val="00642D65"/>
    <w:rsid w:val="006430D1"/>
    <w:rsid w:val="006430E9"/>
    <w:rsid w:val="00643141"/>
    <w:rsid w:val="0064315E"/>
    <w:rsid w:val="00643172"/>
    <w:rsid w:val="0064317E"/>
    <w:rsid w:val="00643279"/>
    <w:rsid w:val="0064329D"/>
    <w:rsid w:val="0064330F"/>
    <w:rsid w:val="00643361"/>
    <w:rsid w:val="0064356A"/>
    <w:rsid w:val="00643699"/>
    <w:rsid w:val="00643726"/>
    <w:rsid w:val="006437BC"/>
    <w:rsid w:val="006437EE"/>
    <w:rsid w:val="00643825"/>
    <w:rsid w:val="006439A0"/>
    <w:rsid w:val="00643A3B"/>
    <w:rsid w:val="00643C1F"/>
    <w:rsid w:val="00643CCD"/>
    <w:rsid w:val="00643D5C"/>
    <w:rsid w:val="00643DB1"/>
    <w:rsid w:val="00643DEE"/>
    <w:rsid w:val="00643EC5"/>
    <w:rsid w:val="00643F9D"/>
    <w:rsid w:val="00643FE8"/>
    <w:rsid w:val="006441D2"/>
    <w:rsid w:val="00644210"/>
    <w:rsid w:val="00644248"/>
    <w:rsid w:val="0064426F"/>
    <w:rsid w:val="0064428D"/>
    <w:rsid w:val="00644307"/>
    <w:rsid w:val="00644452"/>
    <w:rsid w:val="006444E5"/>
    <w:rsid w:val="00644511"/>
    <w:rsid w:val="0064458F"/>
    <w:rsid w:val="00644591"/>
    <w:rsid w:val="00644624"/>
    <w:rsid w:val="006446D6"/>
    <w:rsid w:val="00644808"/>
    <w:rsid w:val="0064484B"/>
    <w:rsid w:val="0064492B"/>
    <w:rsid w:val="0064494A"/>
    <w:rsid w:val="00644A7D"/>
    <w:rsid w:val="00644AFF"/>
    <w:rsid w:val="00644B2D"/>
    <w:rsid w:val="00644B40"/>
    <w:rsid w:val="00644E01"/>
    <w:rsid w:val="00644E6E"/>
    <w:rsid w:val="006450A4"/>
    <w:rsid w:val="0064515F"/>
    <w:rsid w:val="00645184"/>
    <w:rsid w:val="0064520F"/>
    <w:rsid w:val="0064529C"/>
    <w:rsid w:val="006452CE"/>
    <w:rsid w:val="00645401"/>
    <w:rsid w:val="00645461"/>
    <w:rsid w:val="006454EC"/>
    <w:rsid w:val="0064552A"/>
    <w:rsid w:val="0064557C"/>
    <w:rsid w:val="006455DB"/>
    <w:rsid w:val="006455F2"/>
    <w:rsid w:val="006456BA"/>
    <w:rsid w:val="00645740"/>
    <w:rsid w:val="00645830"/>
    <w:rsid w:val="006459CB"/>
    <w:rsid w:val="00645A50"/>
    <w:rsid w:val="00645B62"/>
    <w:rsid w:val="00645CE3"/>
    <w:rsid w:val="00645DBF"/>
    <w:rsid w:val="00646001"/>
    <w:rsid w:val="0064601A"/>
    <w:rsid w:val="006460A0"/>
    <w:rsid w:val="006460B1"/>
    <w:rsid w:val="006462DF"/>
    <w:rsid w:val="006463A4"/>
    <w:rsid w:val="006464AD"/>
    <w:rsid w:val="00646520"/>
    <w:rsid w:val="00646602"/>
    <w:rsid w:val="006467C7"/>
    <w:rsid w:val="00646878"/>
    <w:rsid w:val="0064694E"/>
    <w:rsid w:val="00646A1B"/>
    <w:rsid w:val="00646B4F"/>
    <w:rsid w:val="00646C16"/>
    <w:rsid w:val="00646C1C"/>
    <w:rsid w:val="0064719C"/>
    <w:rsid w:val="006471C2"/>
    <w:rsid w:val="00647216"/>
    <w:rsid w:val="006472F5"/>
    <w:rsid w:val="0064745A"/>
    <w:rsid w:val="006475E4"/>
    <w:rsid w:val="00647720"/>
    <w:rsid w:val="00647722"/>
    <w:rsid w:val="006477A4"/>
    <w:rsid w:val="006477C4"/>
    <w:rsid w:val="00647944"/>
    <w:rsid w:val="006479BC"/>
    <w:rsid w:val="00647A61"/>
    <w:rsid w:val="00647BD5"/>
    <w:rsid w:val="00647C1F"/>
    <w:rsid w:val="00647C25"/>
    <w:rsid w:val="00647C99"/>
    <w:rsid w:val="00647D67"/>
    <w:rsid w:val="00647D70"/>
    <w:rsid w:val="00647DE7"/>
    <w:rsid w:val="00647E43"/>
    <w:rsid w:val="00647E5D"/>
    <w:rsid w:val="00647E66"/>
    <w:rsid w:val="00647F03"/>
    <w:rsid w:val="00650105"/>
    <w:rsid w:val="00650153"/>
    <w:rsid w:val="00650201"/>
    <w:rsid w:val="00650279"/>
    <w:rsid w:val="006502BF"/>
    <w:rsid w:val="006502D2"/>
    <w:rsid w:val="00650536"/>
    <w:rsid w:val="00650646"/>
    <w:rsid w:val="0065070F"/>
    <w:rsid w:val="0065074F"/>
    <w:rsid w:val="00650812"/>
    <w:rsid w:val="006509E6"/>
    <w:rsid w:val="00650A0C"/>
    <w:rsid w:val="00650A75"/>
    <w:rsid w:val="00650A97"/>
    <w:rsid w:val="00650AAF"/>
    <w:rsid w:val="00650B61"/>
    <w:rsid w:val="00650BB9"/>
    <w:rsid w:val="00650BEF"/>
    <w:rsid w:val="00650BF4"/>
    <w:rsid w:val="00650C0D"/>
    <w:rsid w:val="00650C4F"/>
    <w:rsid w:val="00650EC9"/>
    <w:rsid w:val="00650FD9"/>
    <w:rsid w:val="006511CC"/>
    <w:rsid w:val="006511ED"/>
    <w:rsid w:val="006513F0"/>
    <w:rsid w:val="006514B2"/>
    <w:rsid w:val="0065152D"/>
    <w:rsid w:val="00651550"/>
    <w:rsid w:val="0065168C"/>
    <w:rsid w:val="006516DC"/>
    <w:rsid w:val="00651807"/>
    <w:rsid w:val="00651870"/>
    <w:rsid w:val="00651944"/>
    <w:rsid w:val="00651984"/>
    <w:rsid w:val="00651A85"/>
    <w:rsid w:val="00651AFE"/>
    <w:rsid w:val="00651BFF"/>
    <w:rsid w:val="00651C1D"/>
    <w:rsid w:val="00651C37"/>
    <w:rsid w:val="00651C39"/>
    <w:rsid w:val="00651CC4"/>
    <w:rsid w:val="00651CFB"/>
    <w:rsid w:val="00651D3B"/>
    <w:rsid w:val="00651D46"/>
    <w:rsid w:val="00651DB0"/>
    <w:rsid w:val="00651DE6"/>
    <w:rsid w:val="00651E3F"/>
    <w:rsid w:val="00651EF5"/>
    <w:rsid w:val="00651FED"/>
    <w:rsid w:val="006520C7"/>
    <w:rsid w:val="006520CE"/>
    <w:rsid w:val="006520D2"/>
    <w:rsid w:val="006520D9"/>
    <w:rsid w:val="0065217D"/>
    <w:rsid w:val="006522B5"/>
    <w:rsid w:val="00652342"/>
    <w:rsid w:val="0065235C"/>
    <w:rsid w:val="00652361"/>
    <w:rsid w:val="00652429"/>
    <w:rsid w:val="00652455"/>
    <w:rsid w:val="0065245C"/>
    <w:rsid w:val="00652519"/>
    <w:rsid w:val="0065251B"/>
    <w:rsid w:val="0065257C"/>
    <w:rsid w:val="006525DD"/>
    <w:rsid w:val="006525EC"/>
    <w:rsid w:val="00652686"/>
    <w:rsid w:val="006526EC"/>
    <w:rsid w:val="00652782"/>
    <w:rsid w:val="0065283B"/>
    <w:rsid w:val="00652850"/>
    <w:rsid w:val="006528C1"/>
    <w:rsid w:val="00652931"/>
    <w:rsid w:val="00652963"/>
    <w:rsid w:val="0065298F"/>
    <w:rsid w:val="006529CA"/>
    <w:rsid w:val="00652A11"/>
    <w:rsid w:val="00652B18"/>
    <w:rsid w:val="00652B1F"/>
    <w:rsid w:val="00652BF5"/>
    <w:rsid w:val="00652CEC"/>
    <w:rsid w:val="00652D07"/>
    <w:rsid w:val="00652D40"/>
    <w:rsid w:val="00652DF5"/>
    <w:rsid w:val="00652EA3"/>
    <w:rsid w:val="00652F8C"/>
    <w:rsid w:val="00653070"/>
    <w:rsid w:val="00653095"/>
    <w:rsid w:val="00653164"/>
    <w:rsid w:val="006531CC"/>
    <w:rsid w:val="0065334C"/>
    <w:rsid w:val="00653466"/>
    <w:rsid w:val="00653500"/>
    <w:rsid w:val="00653514"/>
    <w:rsid w:val="006535A4"/>
    <w:rsid w:val="006537C7"/>
    <w:rsid w:val="00653997"/>
    <w:rsid w:val="00653AC4"/>
    <w:rsid w:val="00653B89"/>
    <w:rsid w:val="00653B92"/>
    <w:rsid w:val="00653C10"/>
    <w:rsid w:val="00653C50"/>
    <w:rsid w:val="00653CAE"/>
    <w:rsid w:val="00653CBD"/>
    <w:rsid w:val="00653CCD"/>
    <w:rsid w:val="00653CFF"/>
    <w:rsid w:val="00653ED3"/>
    <w:rsid w:val="00653F9D"/>
    <w:rsid w:val="00654055"/>
    <w:rsid w:val="0065413A"/>
    <w:rsid w:val="006541B4"/>
    <w:rsid w:val="006542D9"/>
    <w:rsid w:val="00654423"/>
    <w:rsid w:val="0065449F"/>
    <w:rsid w:val="006544BC"/>
    <w:rsid w:val="006544CB"/>
    <w:rsid w:val="0065450C"/>
    <w:rsid w:val="006545A9"/>
    <w:rsid w:val="0065466F"/>
    <w:rsid w:val="006547E9"/>
    <w:rsid w:val="0065490A"/>
    <w:rsid w:val="0065490B"/>
    <w:rsid w:val="006549CB"/>
    <w:rsid w:val="006549FE"/>
    <w:rsid w:val="00654AA6"/>
    <w:rsid w:val="00654B20"/>
    <w:rsid w:val="00654D6A"/>
    <w:rsid w:val="00654E1C"/>
    <w:rsid w:val="00654EF6"/>
    <w:rsid w:val="00654F17"/>
    <w:rsid w:val="00655058"/>
    <w:rsid w:val="00655077"/>
    <w:rsid w:val="00655270"/>
    <w:rsid w:val="0065535C"/>
    <w:rsid w:val="006553ED"/>
    <w:rsid w:val="0065545F"/>
    <w:rsid w:val="00655463"/>
    <w:rsid w:val="0065550F"/>
    <w:rsid w:val="0065562C"/>
    <w:rsid w:val="0065563F"/>
    <w:rsid w:val="0065565F"/>
    <w:rsid w:val="00655884"/>
    <w:rsid w:val="006558E5"/>
    <w:rsid w:val="00655946"/>
    <w:rsid w:val="00655B61"/>
    <w:rsid w:val="00655B8F"/>
    <w:rsid w:val="00655BEF"/>
    <w:rsid w:val="00655D02"/>
    <w:rsid w:val="00655D8C"/>
    <w:rsid w:val="00655DB2"/>
    <w:rsid w:val="00655F9C"/>
    <w:rsid w:val="00655FCF"/>
    <w:rsid w:val="00656051"/>
    <w:rsid w:val="00656105"/>
    <w:rsid w:val="00656366"/>
    <w:rsid w:val="00656471"/>
    <w:rsid w:val="006565C2"/>
    <w:rsid w:val="00656765"/>
    <w:rsid w:val="006567F1"/>
    <w:rsid w:val="00656800"/>
    <w:rsid w:val="00656A50"/>
    <w:rsid w:val="00656A59"/>
    <w:rsid w:val="00656BAE"/>
    <w:rsid w:val="00656CBC"/>
    <w:rsid w:val="00656CED"/>
    <w:rsid w:val="00656CFD"/>
    <w:rsid w:val="00656DFB"/>
    <w:rsid w:val="00656F8B"/>
    <w:rsid w:val="00656FF8"/>
    <w:rsid w:val="00657061"/>
    <w:rsid w:val="0065730B"/>
    <w:rsid w:val="0065748B"/>
    <w:rsid w:val="006575F5"/>
    <w:rsid w:val="00657604"/>
    <w:rsid w:val="0065775D"/>
    <w:rsid w:val="0065776D"/>
    <w:rsid w:val="0065789F"/>
    <w:rsid w:val="006578A9"/>
    <w:rsid w:val="0065794B"/>
    <w:rsid w:val="00657990"/>
    <w:rsid w:val="00657994"/>
    <w:rsid w:val="006579AB"/>
    <w:rsid w:val="006579D2"/>
    <w:rsid w:val="00657AC6"/>
    <w:rsid w:val="00657C2D"/>
    <w:rsid w:val="00657D44"/>
    <w:rsid w:val="00657D90"/>
    <w:rsid w:val="00657FE4"/>
    <w:rsid w:val="0066010A"/>
    <w:rsid w:val="0066017D"/>
    <w:rsid w:val="00660185"/>
    <w:rsid w:val="00660200"/>
    <w:rsid w:val="00660204"/>
    <w:rsid w:val="006602C9"/>
    <w:rsid w:val="006603BD"/>
    <w:rsid w:val="006603DF"/>
    <w:rsid w:val="00660407"/>
    <w:rsid w:val="00660444"/>
    <w:rsid w:val="00660528"/>
    <w:rsid w:val="00660542"/>
    <w:rsid w:val="0066073E"/>
    <w:rsid w:val="00660806"/>
    <w:rsid w:val="00660A89"/>
    <w:rsid w:val="00660AAA"/>
    <w:rsid w:val="00660AC5"/>
    <w:rsid w:val="00660BE3"/>
    <w:rsid w:val="00660C39"/>
    <w:rsid w:val="00660C47"/>
    <w:rsid w:val="00660CEB"/>
    <w:rsid w:val="00660D08"/>
    <w:rsid w:val="00660D1A"/>
    <w:rsid w:val="00660DA7"/>
    <w:rsid w:val="00660E47"/>
    <w:rsid w:val="00660E82"/>
    <w:rsid w:val="00660EA9"/>
    <w:rsid w:val="00660EAF"/>
    <w:rsid w:val="00660ED9"/>
    <w:rsid w:val="00660F99"/>
    <w:rsid w:val="00660FDC"/>
    <w:rsid w:val="00661039"/>
    <w:rsid w:val="006610DC"/>
    <w:rsid w:val="00661127"/>
    <w:rsid w:val="00661183"/>
    <w:rsid w:val="00661377"/>
    <w:rsid w:val="0066142A"/>
    <w:rsid w:val="0066197E"/>
    <w:rsid w:val="00661985"/>
    <w:rsid w:val="006619E5"/>
    <w:rsid w:val="00661C6B"/>
    <w:rsid w:val="00661C7E"/>
    <w:rsid w:val="00661CA1"/>
    <w:rsid w:val="00661CAF"/>
    <w:rsid w:val="00661CDD"/>
    <w:rsid w:val="00661D19"/>
    <w:rsid w:val="00661E12"/>
    <w:rsid w:val="00661E9A"/>
    <w:rsid w:val="00661EC8"/>
    <w:rsid w:val="00661ED7"/>
    <w:rsid w:val="00661F48"/>
    <w:rsid w:val="00661F51"/>
    <w:rsid w:val="0066208F"/>
    <w:rsid w:val="00662152"/>
    <w:rsid w:val="006621BA"/>
    <w:rsid w:val="006622ED"/>
    <w:rsid w:val="0066247D"/>
    <w:rsid w:val="006624AD"/>
    <w:rsid w:val="00662608"/>
    <w:rsid w:val="0066281F"/>
    <w:rsid w:val="00662885"/>
    <w:rsid w:val="006629A2"/>
    <w:rsid w:val="006629B6"/>
    <w:rsid w:val="006629DC"/>
    <w:rsid w:val="00662CAE"/>
    <w:rsid w:val="00662CE1"/>
    <w:rsid w:val="00662D56"/>
    <w:rsid w:val="00662E0A"/>
    <w:rsid w:val="00662E9D"/>
    <w:rsid w:val="00662FC2"/>
    <w:rsid w:val="00662FF9"/>
    <w:rsid w:val="006630C7"/>
    <w:rsid w:val="0066325F"/>
    <w:rsid w:val="00663261"/>
    <w:rsid w:val="00663364"/>
    <w:rsid w:val="006633B7"/>
    <w:rsid w:val="0066345A"/>
    <w:rsid w:val="006634D4"/>
    <w:rsid w:val="006636AD"/>
    <w:rsid w:val="0066377F"/>
    <w:rsid w:val="00663801"/>
    <w:rsid w:val="00663869"/>
    <w:rsid w:val="00663885"/>
    <w:rsid w:val="00663984"/>
    <w:rsid w:val="006639A5"/>
    <w:rsid w:val="006639F2"/>
    <w:rsid w:val="00663AB9"/>
    <w:rsid w:val="00663B14"/>
    <w:rsid w:val="00663C54"/>
    <w:rsid w:val="00663CAD"/>
    <w:rsid w:val="00663DF7"/>
    <w:rsid w:val="00663F68"/>
    <w:rsid w:val="00663FFC"/>
    <w:rsid w:val="00664004"/>
    <w:rsid w:val="00664067"/>
    <w:rsid w:val="006640BC"/>
    <w:rsid w:val="006640DB"/>
    <w:rsid w:val="006640F9"/>
    <w:rsid w:val="00664435"/>
    <w:rsid w:val="0066443D"/>
    <w:rsid w:val="00664519"/>
    <w:rsid w:val="00664560"/>
    <w:rsid w:val="00664589"/>
    <w:rsid w:val="00664635"/>
    <w:rsid w:val="0066471C"/>
    <w:rsid w:val="00664739"/>
    <w:rsid w:val="006647F3"/>
    <w:rsid w:val="0066481E"/>
    <w:rsid w:val="0066484E"/>
    <w:rsid w:val="0066490A"/>
    <w:rsid w:val="00664931"/>
    <w:rsid w:val="00664934"/>
    <w:rsid w:val="00664A28"/>
    <w:rsid w:val="00664A87"/>
    <w:rsid w:val="00664B01"/>
    <w:rsid w:val="00664B08"/>
    <w:rsid w:val="00664C49"/>
    <w:rsid w:val="00664CB7"/>
    <w:rsid w:val="00664CD1"/>
    <w:rsid w:val="00664DB1"/>
    <w:rsid w:val="00664DB8"/>
    <w:rsid w:val="00664E3B"/>
    <w:rsid w:val="00664E7C"/>
    <w:rsid w:val="00664EEF"/>
    <w:rsid w:val="00664F35"/>
    <w:rsid w:val="00665213"/>
    <w:rsid w:val="00665282"/>
    <w:rsid w:val="00665436"/>
    <w:rsid w:val="006654BA"/>
    <w:rsid w:val="00665531"/>
    <w:rsid w:val="00665555"/>
    <w:rsid w:val="006655F6"/>
    <w:rsid w:val="0066561F"/>
    <w:rsid w:val="00665712"/>
    <w:rsid w:val="00665772"/>
    <w:rsid w:val="00665787"/>
    <w:rsid w:val="0066587E"/>
    <w:rsid w:val="006658B6"/>
    <w:rsid w:val="006658D6"/>
    <w:rsid w:val="0066597B"/>
    <w:rsid w:val="00665A36"/>
    <w:rsid w:val="00665AA2"/>
    <w:rsid w:val="00665B57"/>
    <w:rsid w:val="00665C78"/>
    <w:rsid w:val="00665D8E"/>
    <w:rsid w:val="00665E4C"/>
    <w:rsid w:val="00665EFD"/>
    <w:rsid w:val="00665FD7"/>
    <w:rsid w:val="00666038"/>
    <w:rsid w:val="00666063"/>
    <w:rsid w:val="00666103"/>
    <w:rsid w:val="00666148"/>
    <w:rsid w:val="00666168"/>
    <w:rsid w:val="0066634A"/>
    <w:rsid w:val="0066636B"/>
    <w:rsid w:val="00666417"/>
    <w:rsid w:val="00666421"/>
    <w:rsid w:val="0066657C"/>
    <w:rsid w:val="00666596"/>
    <w:rsid w:val="0066671C"/>
    <w:rsid w:val="0066683A"/>
    <w:rsid w:val="006668F7"/>
    <w:rsid w:val="00666952"/>
    <w:rsid w:val="006669AC"/>
    <w:rsid w:val="00666A29"/>
    <w:rsid w:val="00666BD3"/>
    <w:rsid w:val="00666CC3"/>
    <w:rsid w:val="00666D38"/>
    <w:rsid w:val="00666E5E"/>
    <w:rsid w:val="00666E67"/>
    <w:rsid w:val="00666E6A"/>
    <w:rsid w:val="00666E86"/>
    <w:rsid w:val="00666FF4"/>
    <w:rsid w:val="00667072"/>
    <w:rsid w:val="006670BE"/>
    <w:rsid w:val="006670F6"/>
    <w:rsid w:val="00667159"/>
    <w:rsid w:val="00667166"/>
    <w:rsid w:val="00667176"/>
    <w:rsid w:val="006671E5"/>
    <w:rsid w:val="00667343"/>
    <w:rsid w:val="0066736F"/>
    <w:rsid w:val="0066738D"/>
    <w:rsid w:val="00667417"/>
    <w:rsid w:val="00667449"/>
    <w:rsid w:val="00667470"/>
    <w:rsid w:val="006674B4"/>
    <w:rsid w:val="006676E1"/>
    <w:rsid w:val="00667863"/>
    <w:rsid w:val="00667936"/>
    <w:rsid w:val="00667A81"/>
    <w:rsid w:val="00667BAE"/>
    <w:rsid w:val="00667C0C"/>
    <w:rsid w:val="00667E80"/>
    <w:rsid w:val="00667F13"/>
    <w:rsid w:val="00667F9A"/>
    <w:rsid w:val="00670057"/>
    <w:rsid w:val="006700C0"/>
    <w:rsid w:val="00670141"/>
    <w:rsid w:val="00670159"/>
    <w:rsid w:val="0067020C"/>
    <w:rsid w:val="00670274"/>
    <w:rsid w:val="006702B2"/>
    <w:rsid w:val="006702EA"/>
    <w:rsid w:val="0067036A"/>
    <w:rsid w:val="006703A3"/>
    <w:rsid w:val="00670473"/>
    <w:rsid w:val="00670552"/>
    <w:rsid w:val="0067056C"/>
    <w:rsid w:val="0067062E"/>
    <w:rsid w:val="0067065D"/>
    <w:rsid w:val="006707AB"/>
    <w:rsid w:val="00670885"/>
    <w:rsid w:val="00670957"/>
    <w:rsid w:val="0067095D"/>
    <w:rsid w:val="00670B5C"/>
    <w:rsid w:val="00670C36"/>
    <w:rsid w:val="00670DD4"/>
    <w:rsid w:val="00670E01"/>
    <w:rsid w:val="00670E8F"/>
    <w:rsid w:val="00670F5D"/>
    <w:rsid w:val="00671057"/>
    <w:rsid w:val="00671202"/>
    <w:rsid w:val="0067120B"/>
    <w:rsid w:val="0067126E"/>
    <w:rsid w:val="00671380"/>
    <w:rsid w:val="006713ED"/>
    <w:rsid w:val="006713F6"/>
    <w:rsid w:val="00671488"/>
    <w:rsid w:val="006714E9"/>
    <w:rsid w:val="00671523"/>
    <w:rsid w:val="0067162E"/>
    <w:rsid w:val="006716B2"/>
    <w:rsid w:val="006716F1"/>
    <w:rsid w:val="00671744"/>
    <w:rsid w:val="006717D9"/>
    <w:rsid w:val="00671802"/>
    <w:rsid w:val="0067187E"/>
    <w:rsid w:val="00671946"/>
    <w:rsid w:val="0067199B"/>
    <w:rsid w:val="006719BA"/>
    <w:rsid w:val="006719E6"/>
    <w:rsid w:val="00671A50"/>
    <w:rsid w:val="00671A5B"/>
    <w:rsid w:val="00671C61"/>
    <w:rsid w:val="00671DC8"/>
    <w:rsid w:val="00671E02"/>
    <w:rsid w:val="00671E57"/>
    <w:rsid w:val="00671F21"/>
    <w:rsid w:val="00671FF0"/>
    <w:rsid w:val="00672087"/>
    <w:rsid w:val="0067208E"/>
    <w:rsid w:val="006720FE"/>
    <w:rsid w:val="00672147"/>
    <w:rsid w:val="00672198"/>
    <w:rsid w:val="00672211"/>
    <w:rsid w:val="00672212"/>
    <w:rsid w:val="00672226"/>
    <w:rsid w:val="0067228F"/>
    <w:rsid w:val="006722A4"/>
    <w:rsid w:val="00672345"/>
    <w:rsid w:val="0067243B"/>
    <w:rsid w:val="00672498"/>
    <w:rsid w:val="006724CC"/>
    <w:rsid w:val="00672516"/>
    <w:rsid w:val="0067254E"/>
    <w:rsid w:val="006726A8"/>
    <w:rsid w:val="00672711"/>
    <w:rsid w:val="00672863"/>
    <w:rsid w:val="00672884"/>
    <w:rsid w:val="00672945"/>
    <w:rsid w:val="006729B4"/>
    <w:rsid w:val="006729E4"/>
    <w:rsid w:val="006729F4"/>
    <w:rsid w:val="00672A68"/>
    <w:rsid w:val="00672AF8"/>
    <w:rsid w:val="00672C75"/>
    <w:rsid w:val="00672CB9"/>
    <w:rsid w:val="00672E0A"/>
    <w:rsid w:val="00672E27"/>
    <w:rsid w:val="00672E87"/>
    <w:rsid w:val="00672EB8"/>
    <w:rsid w:val="00672EDF"/>
    <w:rsid w:val="00672F54"/>
    <w:rsid w:val="00672F5B"/>
    <w:rsid w:val="00672F83"/>
    <w:rsid w:val="00672FE6"/>
    <w:rsid w:val="00673279"/>
    <w:rsid w:val="006733DA"/>
    <w:rsid w:val="0067342D"/>
    <w:rsid w:val="00673463"/>
    <w:rsid w:val="006734C2"/>
    <w:rsid w:val="006734D6"/>
    <w:rsid w:val="00673612"/>
    <w:rsid w:val="00673728"/>
    <w:rsid w:val="0067392E"/>
    <w:rsid w:val="0067393A"/>
    <w:rsid w:val="00673A05"/>
    <w:rsid w:val="00673AAC"/>
    <w:rsid w:val="00673B00"/>
    <w:rsid w:val="00673CC4"/>
    <w:rsid w:val="00673EB9"/>
    <w:rsid w:val="00674004"/>
    <w:rsid w:val="00674037"/>
    <w:rsid w:val="0067403E"/>
    <w:rsid w:val="006740F6"/>
    <w:rsid w:val="00674324"/>
    <w:rsid w:val="00674369"/>
    <w:rsid w:val="0067438C"/>
    <w:rsid w:val="00674735"/>
    <w:rsid w:val="00674901"/>
    <w:rsid w:val="006749F7"/>
    <w:rsid w:val="00674B76"/>
    <w:rsid w:val="00674CE1"/>
    <w:rsid w:val="00674DFA"/>
    <w:rsid w:val="00675101"/>
    <w:rsid w:val="00675142"/>
    <w:rsid w:val="006751FD"/>
    <w:rsid w:val="00675299"/>
    <w:rsid w:val="006752AA"/>
    <w:rsid w:val="006752DA"/>
    <w:rsid w:val="00675309"/>
    <w:rsid w:val="00675356"/>
    <w:rsid w:val="006753C8"/>
    <w:rsid w:val="00675408"/>
    <w:rsid w:val="0067542A"/>
    <w:rsid w:val="00675512"/>
    <w:rsid w:val="0067556D"/>
    <w:rsid w:val="006755F1"/>
    <w:rsid w:val="00675603"/>
    <w:rsid w:val="006757DD"/>
    <w:rsid w:val="0067596D"/>
    <w:rsid w:val="00675A53"/>
    <w:rsid w:val="00675B51"/>
    <w:rsid w:val="00675DD7"/>
    <w:rsid w:val="00675E7F"/>
    <w:rsid w:val="00675F6F"/>
    <w:rsid w:val="00675FC8"/>
    <w:rsid w:val="00676010"/>
    <w:rsid w:val="00676033"/>
    <w:rsid w:val="006761D5"/>
    <w:rsid w:val="00676214"/>
    <w:rsid w:val="006762CD"/>
    <w:rsid w:val="006762E8"/>
    <w:rsid w:val="00676374"/>
    <w:rsid w:val="006763BB"/>
    <w:rsid w:val="00676488"/>
    <w:rsid w:val="00676500"/>
    <w:rsid w:val="006765E2"/>
    <w:rsid w:val="00676649"/>
    <w:rsid w:val="006766A1"/>
    <w:rsid w:val="00676703"/>
    <w:rsid w:val="00676735"/>
    <w:rsid w:val="00676743"/>
    <w:rsid w:val="00676754"/>
    <w:rsid w:val="0067678C"/>
    <w:rsid w:val="0067683E"/>
    <w:rsid w:val="00676890"/>
    <w:rsid w:val="006768A4"/>
    <w:rsid w:val="006768F7"/>
    <w:rsid w:val="00676929"/>
    <w:rsid w:val="006769B7"/>
    <w:rsid w:val="006769F8"/>
    <w:rsid w:val="00676A2D"/>
    <w:rsid w:val="00676A52"/>
    <w:rsid w:val="00676A54"/>
    <w:rsid w:val="00676A7E"/>
    <w:rsid w:val="00676BAE"/>
    <w:rsid w:val="00676BDF"/>
    <w:rsid w:val="00676BE1"/>
    <w:rsid w:val="00676C06"/>
    <w:rsid w:val="00676C07"/>
    <w:rsid w:val="00676CBF"/>
    <w:rsid w:val="00676D60"/>
    <w:rsid w:val="00676E19"/>
    <w:rsid w:val="00676E59"/>
    <w:rsid w:val="00676F2B"/>
    <w:rsid w:val="0067709B"/>
    <w:rsid w:val="006770B6"/>
    <w:rsid w:val="006770DE"/>
    <w:rsid w:val="00677113"/>
    <w:rsid w:val="00677276"/>
    <w:rsid w:val="00677330"/>
    <w:rsid w:val="006773FA"/>
    <w:rsid w:val="00677487"/>
    <w:rsid w:val="00677501"/>
    <w:rsid w:val="0067769E"/>
    <w:rsid w:val="006777BC"/>
    <w:rsid w:val="006778F0"/>
    <w:rsid w:val="00677AA4"/>
    <w:rsid w:val="00677AE9"/>
    <w:rsid w:val="00677B06"/>
    <w:rsid w:val="00677B49"/>
    <w:rsid w:val="00677B52"/>
    <w:rsid w:val="00677B69"/>
    <w:rsid w:val="00677B7B"/>
    <w:rsid w:val="00677BC8"/>
    <w:rsid w:val="00677C09"/>
    <w:rsid w:val="00677CE0"/>
    <w:rsid w:val="00677E13"/>
    <w:rsid w:val="0067EC10"/>
    <w:rsid w:val="0068010C"/>
    <w:rsid w:val="00680119"/>
    <w:rsid w:val="006801CD"/>
    <w:rsid w:val="0068026B"/>
    <w:rsid w:val="006803B7"/>
    <w:rsid w:val="00680414"/>
    <w:rsid w:val="006806BF"/>
    <w:rsid w:val="006806E8"/>
    <w:rsid w:val="006807BB"/>
    <w:rsid w:val="00680AAB"/>
    <w:rsid w:val="00680AF1"/>
    <w:rsid w:val="00680B75"/>
    <w:rsid w:val="00680C1F"/>
    <w:rsid w:val="00680D48"/>
    <w:rsid w:val="00680E97"/>
    <w:rsid w:val="00680FEE"/>
    <w:rsid w:val="0068108E"/>
    <w:rsid w:val="0068109F"/>
    <w:rsid w:val="00681346"/>
    <w:rsid w:val="006813DE"/>
    <w:rsid w:val="00681411"/>
    <w:rsid w:val="00681419"/>
    <w:rsid w:val="00681496"/>
    <w:rsid w:val="00681528"/>
    <w:rsid w:val="00681578"/>
    <w:rsid w:val="006817B1"/>
    <w:rsid w:val="006818CA"/>
    <w:rsid w:val="006819DF"/>
    <w:rsid w:val="00681A1E"/>
    <w:rsid w:val="00681A9F"/>
    <w:rsid w:val="00681B73"/>
    <w:rsid w:val="00681C36"/>
    <w:rsid w:val="00681D77"/>
    <w:rsid w:val="00681DE7"/>
    <w:rsid w:val="00681E47"/>
    <w:rsid w:val="00681EB5"/>
    <w:rsid w:val="00681F57"/>
    <w:rsid w:val="00681F88"/>
    <w:rsid w:val="00681FA1"/>
    <w:rsid w:val="00682006"/>
    <w:rsid w:val="006820E0"/>
    <w:rsid w:val="0068210A"/>
    <w:rsid w:val="00682159"/>
    <w:rsid w:val="006821D1"/>
    <w:rsid w:val="00682214"/>
    <w:rsid w:val="00682307"/>
    <w:rsid w:val="0068231E"/>
    <w:rsid w:val="006824B7"/>
    <w:rsid w:val="00682520"/>
    <w:rsid w:val="00682567"/>
    <w:rsid w:val="006825D8"/>
    <w:rsid w:val="006825DD"/>
    <w:rsid w:val="0068266F"/>
    <w:rsid w:val="006828F0"/>
    <w:rsid w:val="00682B4F"/>
    <w:rsid w:val="00682C8C"/>
    <w:rsid w:val="00682DC7"/>
    <w:rsid w:val="00682DD8"/>
    <w:rsid w:val="00682E5A"/>
    <w:rsid w:val="00682F59"/>
    <w:rsid w:val="00682FD2"/>
    <w:rsid w:val="006830C0"/>
    <w:rsid w:val="006830C1"/>
    <w:rsid w:val="00683159"/>
    <w:rsid w:val="00683199"/>
    <w:rsid w:val="006831A8"/>
    <w:rsid w:val="0068326F"/>
    <w:rsid w:val="006832EB"/>
    <w:rsid w:val="006833A9"/>
    <w:rsid w:val="006833F6"/>
    <w:rsid w:val="006834A1"/>
    <w:rsid w:val="0068353C"/>
    <w:rsid w:val="006835B0"/>
    <w:rsid w:val="006838A1"/>
    <w:rsid w:val="006839F6"/>
    <w:rsid w:val="00683A70"/>
    <w:rsid w:val="00683B77"/>
    <w:rsid w:val="00683CCF"/>
    <w:rsid w:val="00683EBB"/>
    <w:rsid w:val="00683EE6"/>
    <w:rsid w:val="00683F27"/>
    <w:rsid w:val="00684068"/>
    <w:rsid w:val="0068412A"/>
    <w:rsid w:val="00684170"/>
    <w:rsid w:val="006841AC"/>
    <w:rsid w:val="006841CA"/>
    <w:rsid w:val="0068422A"/>
    <w:rsid w:val="0068429F"/>
    <w:rsid w:val="006842B7"/>
    <w:rsid w:val="00684306"/>
    <w:rsid w:val="00684329"/>
    <w:rsid w:val="00684406"/>
    <w:rsid w:val="0068442E"/>
    <w:rsid w:val="00684483"/>
    <w:rsid w:val="006844E9"/>
    <w:rsid w:val="00684505"/>
    <w:rsid w:val="006845A8"/>
    <w:rsid w:val="006846B3"/>
    <w:rsid w:val="00684831"/>
    <w:rsid w:val="006848B9"/>
    <w:rsid w:val="0068490B"/>
    <w:rsid w:val="006849A2"/>
    <w:rsid w:val="006849A8"/>
    <w:rsid w:val="006849CC"/>
    <w:rsid w:val="00684A50"/>
    <w:rsid w:val="00684AB4"/>
    <w:rsid w:val="00684B0B"/>
    <w:rsid w:val="00684C7F"/>
    <w:rsid w:val="00684CB3"/>
    <w:rsid w:val="00684E33"/>
    <w:rsid w:val="0068502A"/>
    <w:rsid w:val="00685094"/>
    <w:rsid w:val="00685128"/>
    <w:rsid w:val="00685186"/>
    <w:rsid w:val="0068529E"/>
    <w:rsid w:val="0068533D"/>
    <w:rsid w:val="006853A8"/>
    <w:rsid w:val="00685538"/>
    <w:rsid w:val="00685539"/>
    <w:rsid w:val="00685795"/>
    <w:rsid w:val="00685834"/>
    <w:rsid w:val="0068596E"/>
    <w:rsid w:val="0068598B"/>
    <w:rsid w:val="00685A4F"/>
    <w:rsid w:val="00685ABF"/>
    <w:rsid w:val="00685B7B"/>
    <w:rsid w:val="00685C0C"/>
    <w:rsid w:val="00685C74"/>
    <w:rsid w:val="00685CC4"/>
    <w:rsid w:val="00685D2C"/>
    <w:rsid w:val="00685E3F"/>
    <w:rsid w:val="00685E48"/>
    <w:rsid w:val="00685EC1"/>
    <w:rsid w:val="0068600A"/>
    <w:rsid w:val="00686125"/>
    <w:rsid w:val="00686137"/>
    <w:rsid w:val="0068626B"/>
    <w:rsid w:val="006862D7"/>
    <w:rsid w:val="00686395"/>
    <w:rsid w:val="00686417"/>
    <w:rsid w:val="0068646A"/>
    <w:rsid w:val="006864B0"/>
    <w:rsid w:val="006866EA"/>
    <w:rsid w:val="006867BE"/>
    <w:rsid w:val="0068683B"/>
    <w:rsid w:val="00686852"/>
    <w:rsid w:val="0068686D"/>
    <w:rsid w:val="00686946"/>
    <w:rsid w:val="00686A68"/>
    <w:rsid w:val="00686B07"/>
    <w:rsid w:val="00686B7D"/>
    <w:rsid w:val="00686B92"/>
    <w:rsid w:val="00686BA1"/>
    <w:rsid w:val="00686BD2"/>
    <w:rsid w:val="00686BDA"/>
    <w:rsid w:val="00686DAA"/>
    <w:rsid w:val="00686DDE"/>
    <w:rsid w:val="006871B4"/>
    <w:rsid w:val="006871BB"/>
    <w:rsid w:val="006871ED"/>
    <w:rsid w:val="00687414"/>
    <w:rsid w:val="006874AC"/>
    <w:rsid w:val="006874C2"/>
    <w:rsid w:val="00687531"/>
    <w:rsid w:val="00687707"/>
    <w:rsid w:val="00687731"/>
    <w:rsid w:val="0068775F"/>
    <w:rsid w:val="0068776F"/>
    <w:rsid w:val="006877B8"/>
    <w:rsid w:val="006878A9"/>
    <w:rsid w:val="006878E0"/>
    <w:rsid w:val="00687920"/>
    <w:rsid w:val="00687984"/>
    <w:rsid w:val="006879D8"/>
    <w:rsid w:val="00687A0D"/>
    <w:rsid w:val="00687A47"/>
    <w:rsid w:val="00687A98"/>
    <w:rsid w:val="00687B62"/>
    <w:rsid w:val="00687BA6"/>
    <w:rsid w:val="00687E60"/>
    <w:rsid w:val="0069005B"/>
    <w:rsid w:val="00690092"/>
    <w:rsid w:val="0069016A"/>
    <w:rsid w:val="006902A8"/>
    <w:rsid w:val="006902CA"/>
    <w:rsid w:val="006902E8"/>
    <w:rsid w:val="0069033E"/>
    <w:rsid w:val="00690415"/>
    <w:rsid w:val="00690426"/>
    <w:rsid w:val="00690449"/>
    <w:rsid w:val="00690464"/>
    <w:rsid w:val="006905C0"/>
    <w:rsid w:val="0069062B"/>
    <w:rsid w:val="0069075B"/>
    <w:rsid w:val="00690927"/>
    <w:rsid w:val="0069094A"/>
    <w:rsid w:val="006909A1"/>
    <w:rsid w:val="00690CF4"/>
    <w:rsid w:val="00690E4E"/>
    <w:rsid w:val="00690F8C"/>
    <w:rsid w:val="00690FAF"/>
    <w:rsid w:val="00691014"/>
    <w:rsid w:val="00691037"/>
    <w:rsid w:val="0069108F"/>
    <w:rsid w:val="00691110"/>
    <w:rsid w:val="006911BB"/>
    <w:rsid w:val="006912A5"/>
    <w:rsid w:val="0069130E"/>
    <w:rsid w:val="00691436"/>
    <w:rsid w:val="006914B1"/>
    <w:rsid w:val="0069151C"/>
    <w:rsid w:val="00691575"/>
    <w:rsid w:val="006915E3"/>
    <w:rsid w:val="0069160E"/>
    <w:rsid w:val="00691629"/>
    <w:rsid w:val="00691647"/>
    <w:rsid w:val="006916DD"/>
    <w:rsid w:val="006916E9"/>
    <w:rsid w:val="006916F1"/>
    <w:rsid w:val="00691705"/>
    <w:rsid w:val="00691728"/>
    <w:rsid w:val="0069178B"/>
    <w:rsid w:val="006918E9"/>
    <w:rsid w:val="00691A46"/>
    <w:rsid w:val="00691A4A"/>
    <w:rsid w:val="00691AB7"/>
    <w:rsid w:val="00691AB9"/>
    <w:rsid w:val="00691B24"/>
    <w:rsid w:val="00691C42"/>
    <w:rsid w:val="00691D10"/>
    <w:rsid w:val="00691D2B"/>
    <w:rsid w:val="00691F55"/>
    <w:rsid w:val="00691F62"/>
    <w:rsid w:val="00692134"/>
    <w:rsid w:val="006921CC"/>
    <w:rsid w:val="006921F6"/>
    <w:rsid w:val="00692244"/>
    <w:rsid w:val="0069237C"/>
    <w:rsid w:val="006923C4"/>
    <w:rsid w:val="0069243E"/>
    <w:rsid w:val="006924BE"/>
    <w:rsid w:val="006924C0"/>
    <w:rsid w:val="00692541"/>
    <w:rsid w:val="00692742"/>
    <w:rsid w:val="006927A3"/>
    <w:rsid w:val="006927A7"/>
    <w:rsid w:val="00692814"/>
    <w:rsid w:val="00692946"/>
    <w:rsid w:val="00692A1C"/>
    <w:rsid w:val="00692A3F"/>
    <w:rsid w:val="00692ABF"/>
    <w:rsid w:val="00692B01"/>
    <w:rsid w:val="00692B38"/>
    <w:rsid w:val="00692B4F"/>
    <w:rsid w:val="00692BF3"/>
    <w:rsid w:val="00692CC6"/>
    <w:rsid w:val="00692E81"/>
    <w:rsid w:val="00692F45"/>
    <w:rsid w:val="00692F8C"/>
    <w:rsid w:val="0069304C"/>
    <w:rsid w:val="00693061"/>
    <w:rsid w:val="00693146"/>
    <w:rsid w:val="00693161"/>
    <w:rsid w:val="006931FB"/>
    <w:rsid w:val="00693213"/>
    <w:rsid w:val="00693227"/>
    <w:rsid w:val="0069327F"/>
    <w:rsid w:val="006932A2"/>
    <w:rsid w:val="006932CE"/>
    <w:rsid w:val="006932DD"/>
    <w:rsid w:val="00693417"/>
    <w:rsid w:val="0069349F"/>
    <w:rsid w:val="006934CD"/>
    <w:rsid w:val="00693563"/>
    <w:rsid w:val="006935BC"/>
    <w:rsid w:val="0069363C"/>
    <w:rsid w:val="006937B3"/>
    <w:rsid w:val="00693803"/>
    <w:rsid w:val="00693928"/>
    <w:rsid w:val="006939CC"/>
    <w:rsid w:val="006939F8"/>
    <w:rsid w:val="00693A4A"/>
    <w:rsid w:val="00693AAE"/>
    <w:rsid w:val="00693AC8"/>
    <w:rsid w:val="00693ACA"/>
    <w:rsid w:val="00693ACE"/>
    <w:rsid w:val="00693B3D"/>
    <w:rsid w:val="00693BD8"/>
    <w:rsid w:val="00693D2D"/>
    <w:rsid w:val="00693D85"/>
    <w:rsid w:val="00693E8E"/>
    <w:rsid w:val="00693EAB"/>
    <w:rsid w:val="00693FF9"/>
    <w:rsid w:val="006940F6"/>
    <w:rsid w:val="00694137"/>
    <w:rsid w:val="00694196"/>
    <w:rsid w:val="006942BE"/>
    <w:rsid w:val="0069432A"/>
    <w:rsid w:val="0069438E"/>
    <w:rsid w:val="006943AC"/>
    <w:rsid w:val="006944DF"/>
    <w:rsid w:val="006945A3"/>
    <w:rsid w:val="006946AE"/>
    <w:rsid w:val="00694725"/>
    <w:rsid w:val="00694776"/>
    <w:rsid w:val="006947C5"/>
    <w:rsid w:val="00694812"/>
    <w:rsid w:val="00694A54"/>
    <w:rsid w:val="00694AE8"/>
    <w:rsid w:val="00694AF6"/>
    <w:rsid w:val="00694C9E"/>
    <w:rsid w:val="00694CF6"/>
    <w:rsid w:val="00694D37"/>
    <w:rsid w:val="00694E1F"/>
    <w:rsid w:val="00694EFE"/>
    <w:rsid w:val="00694F82"/>
    <w:rsid w:val="0069504E"/>
    <w:rsid w:val="0069509C"/>
    <w:rsid w:val="006950C1"/>
    <w:rsid w:val="0069510B"/>
    <w:rsid w:val="006951AF"/>
    <w:rsid w:val="0069526A"/>
    <w:rsid w:val="006952A7"/>
    <w:rsid w:val="006952CA"/>
    <w:rsid w:val="00695348"/>
    <w:rsid w:val="00695377"/>
    <w:rsid w:val="00695490"/>
    <w:rsid w:val="006954B9"/>
    <w:rsid w:val="006954C8"/>
    <w:rsid w:val="006954F9"/>
    <w:rsid w:val="006955CD"/>
    <w:rsid w:val="0069560D"/>
    <w:rsid w:val="00695612"/>
    <w:rsid w:val="00695648"/>
    <w:rsid w:val="006956B8"/>
    <w:rsid w:val="006956F3"/>
    <w:rsid w:val="0069572C"/>
    <w:rsid w:val="00695748"/>
    <w:rsid w:val="006958CA"/>
    <w:rsid w:val="006958FF"/>
    <w:rsid w:val="0069595F"/>
    <w:rsid w:val="00695A28"/>
    <w:rsid w:val="00695A44"/>
    <w:rsid w:val="00695A6C"/>
    <w:rsid w:val="00695AA4"/>
    <w:rsid w:val="00695CF7"/>
    <w:rsid w:val="00695D1F"/>
    <w:rsid w:val="00695E7B"/>
    <w:rsid w:val="00695E7E"/>
    <w:rsid w:val="00695EA9"/>
    <w:rsid w:val="00695F6B"/>
    <w:rsid w:val="00695F6C"/>
    <w:rsid w:val="00696027"/>
    <w:rsid w:val="006960AA"/>
    <w:rsid w:val="006960AD"/>
    <w:rsid w:val="00696133"/>
    <w:rsid w:val="00696146"/>
    <w:rsid w:val="0069631D"/>
    <w:rsid w:val="00696369"/>
    <w:rsid w:val="006963B1"/>
    <w:rsid w:val="006963D1"/>
    <w:rsid w:val="0069664D"/>
    <w:rsid w:val="00696681"/>
    <w:rsid w:val="00696842"/>
    <w:rsid w:val="0069687E"/>
    <w:rsid w:val="006968D8"/>
    <w:rsid w:val="00696904"/>
    <w:rsid w:val="006969A9"/>
    <w:rsid w:val="00696A99"/>
    <w:rsid w:val="00696AE3"/>
    <w:rsid w:val="00696B18"/>
    <w:rsid w:val="00696CB8"/>
    <w:rsid w:val="00696CD4"/>
    <w:rsid w:val="00696D11"/>
    <w:rsid w:val="00696D84"/>
    <w:rsid w:val="00696DA9"/>
    <w:rsid w:val="00696F0C"/>
    <w:rsid w:val="00696FFF"/>
    <w:rsid w:val="00697150"/>
    <w:rsid w:val="006971D0"/>
    <w:rsid w:val="006971E9"/>
    <w:rsid w:val="0069724A"/>
    <w:rsid w:val="0069728C"/>
    <w:rsid w:val="006972AF"/>
    <w:rsid w:val="00697434"/>
    <w:rsid w:val="0069743A"/>
    <w:rsid w:val="00697484"/>
    <w:rsid w:val="0069754C"/>
    <w:rsid w:val="00697560"/>
    <w:rsid w:val="00697587"/>
    <w:rsid w:val="006975BD"/>
    <w:rsid w:val="006975FD"/>
    <w:rsid w:val="00697612"/>
    <w:rsid w:val="0069763A"/>
    <w:rsid w:val="006977B4"/>
    <w:rsid w:val="00697876"/>
    <w:rsid w:val="00697879"/>
    <w:rsid w:val="006978C5"/>
    <w:rsid w:val="006978EA"/>
    <w:rsid w:val="00697910"/>
    <w:rsid w:val="00697ACE"/>
    <w:rsid w:val="00697ADB"/>
    <w:rsid w:val="00697B1E"/>
    <w:rsid w:val="00697B27"/>
    <w:rsid w:val="00697B6A"/>
    <w:rsid w:val="00697B8A"/>
    <w:rsid w:val="00697C0D"/>
    <w:rsid w:val="00697D92"/>
    <w:rsid w:val="00697D95"/>
    <w:rsid w:val="00697DEB"/>
    <w:rsid w:val="00697E2E"/>
    <w:rsid w:val="00697E54"/>
    <w:rsid w:val="00697EAC"/>
    <w:rsid w:val="00697EDA"/>
    <w:rsid w:val="00697F10"/>
    <w:rsid w:val="00697F23"/>
    <w:rsid w:val="00697F8F"/>
    <w:rsid w:val="00697FA8"/>
    <w:rsid w:val="006A01FF"/>
    <w:rsid w:val="006A021B"/>
    <w:rsid w:val="006A024C"/>
    <w:rsid w:val="006A0433"/>
    <w:rsid w:val="006A04F8"/>
    <w:rsid w:val="006A0639"/>
    <w:rsid w:val="006A06DC"/>
    <w:rsid w:val="006A0704"/>
    <w:rsid w:val="006A073D"/>
    <w:rsid w:val="006A07FF"/>
    <w:rsid w:val="006A093E"/>
    <w:rsid w:val="006A095F"/>
    <w:rsid w:val="006A0A26"/>
    <w:rsid w:val="006A0A6C"/>
    <w:rsid w:val="006A0A91"/>
    <w:rsid w:val="006A0AAB"/>
    <w:rsid w:val="006A0D90"/>
    <w:rsid w:val="006A0E67"/>
    <w:rsid w:val="006A102D"/>
    <w:rsid w:val="006A10AB"/>
    <w:rsid w:val="006A10EF"/>
    <w:rsid w:val="006A115C"/>
    <w:rsid w:val="006A11A9"/>
    <w:rsid w:val="006A11CB"/>
    <w:rsid w:val="006A129E"/>
    <w:rsid w:val="006A12E8"/>
    <w:rsid w:val="006A1323"/>
    <w:rsid w:val="006A1324"/>
    <w:rsid w:val="006A14C6"/>
    <w:rsid w:val="006A16B2"/>
    <w:rsid w:val="006A16E3"/>
    <w:rsid w:val="006A1718"/>
    <w:rsid w:val="006A189A"/>
    <w:rsid w:val="006A194B"/>
    <w:rsid w:val="006A19EC"/>
    <w:rsid w:val="006A1A6D"/>
    <w:rsid w:val="006A1B63"/>
    <w:rsid w:val="006A1BEB"/>
    <w:rsid w:val="006A1D7C"/>
    <w:rsid w:val="006A1E3E"/>
    <w:rsid w:val="006A1E6D"/>
    <w:rsid w:val="006A2040"/>
    <w:rsid w:val="006A2083"/>
    <w:rsid w:val="006A20AC"/>
    <w:rsid w:val="006A20AD"/>
    <w:rsid w:val="006A2119"/>
    <w:rsid w:val="006A2141"/>
    <w:rsid w:val="006A217C"/>
    <w:rsid w:val="006A21EC"/>
    <w:rsid w:val="006A21EF"/>
    <w:rsid w:val="006A226E"/>
    <w:rsid w:val="006A2287"/>
    <w:rsid w:val="006A230B"/>
    <w:rsid w:val="006A2406"/>
    <w:rsid w:val="006A2472"/>
    <w:rsid w:val="006A24A2"/>
    <w:rsid w:val="006A24D8"/>
    <w:rsid w:val="006A24F9"/>
    <w:rsid w:val="006A2509"/>
    <w:rsid w:val="006A2534"/>
    <w:rsid w:val="006A2548"/>
    <w:rsid w:val="006A255B"/>
    <w:rsid w:val="006A2567"/>
    <w:rsid w:val="006A26AD"/>
    <w:rsid w:val="006A27C0"/>
    <w:rsid w:val="006A27DF"/>
    <w:rsid w:val="006A2845"/>
    <w:rsid w:val="006A2971"/>
    <w:rsid w:val="006A2B15"/>
    <w:rsid w:val="006A2C1C"/>
    <w:rsid w:val="006A2CE1"/>
    <w:rsid w:val="006A2F2A"/>
    <w:rsid w:val="006A305D"/>
    <w:rsid w:val="006A30C8"/>
    <w:rsid w:val="006A316E"/>
    <w:rsid w:val="006A323D"/>
    <w:rsid w:val="006A332E"/>
    <w:rsid w:val="006A3352"/>
    <w:rsid w:val="006A33DE"/>
    <w:rsid w:val="006A354F"/>
    <w:rsid w:val="006A3622"/>
    <w:rsid w:val="006A381A"/>
    <w:rsid w:val="006A38C9"/>
    <w:rsid w:val="006A38FD"/>
    <w:rsid w:val="006A3A05"/>
    <w:rsid w:val="006A3A91"/>
    <w:rsid w:val="006A3C2D"/>
    <w:rsid w:val="006A3E8C"/>
    <w:rsid w:val="006A3EFA"/>
    <w:rsid w:val="006A3FD1"/>
    <w:rsid w:val="006A404D"/>
    <w:rsid w:val="006A4092"/>
    <w:rsid w:val="006A4181"/>
    <w:rsid w:val="006A419E"/>
    <w:rsid w:val="006A4285"/>
    <w:rsid w:val="006A4293"/>
    <w:rsid w:val="006A43EB"/>
    <w:rsid w:val="006A4438"/>
    <w:rsid w:val="006A4537"/>
    <w:rsid w:val="006A4626"/>
    <w:rsid w:val="006A467B"/>
    <w:rsid w:val="006A467C"/>
    <w:rsid w:val="006A4784"/>
    <w:rsid w:val="006A48A2"/>
    <w:rsid w:val="006A48C0"/>
    <w:rsid w:val="006A4A40"/>
    <w:rsid w:val="006A4A6B"/>
    <w:rsid w:val="006A4AC0"/>
    <w:rsid w:val="006A4BE1"/>
    <w:rsid w:val="006A4BEC"/>
    <w:rsid w:val="006A4E08"/>
    <w:rsid w:val="006A4E9E"/>
    <w:rsid w:val="006A504D"/>
    <w:rsid w:val="006A5060"/>
    <w:rsid w:val="006A50DF"/>
    <w:rsid w:val="006A523B"/>
    <w:rsid w:val="006A52F8"/>
    <w:rsid w:val="006A536D"/>
    <w:rsid w:val="006A540A"/>
    <w:rsid w:val="006A5494"/>
    <w:rsid w:val="006A54BE"/>
    <w:rsid w:val="006A54D5"/>
    <w:rsid w:val="006A54FD"/>
    <w:rsid w:val="006A555A"/>
    <w:rsid w:val="006A57A9"/>
    <w:rsid w:val="006A583F"/>
    <w:rsid w:val="006A5852"/>
    <w:rsid w:val="006A5885"/>
    <w:rsid w:val="006A5909"/>
    <w:rsid w:val="006A5984"/>
    <w:rsid w:val="006A5B27"/>
    <w:rsid w:val="006A5B3B"/>
    <w:rsid w:val="006A5B74"/>
    <w:rsid w:val="006A5C52"/>
    <w:rsid w:val="006A5C53"/>
    <w:rsid w:val="006A5CDD"/>
    <w:rsid w:val="006A5CEF"/>
    <w:rsid w:val="006A5D01"/>
    <w:rsid w:val="006A5D39"/>
    <w:rsid w:val="006A5ED2"/>
    <w:rsid w:val="006A5FCE"/>
    <w:rsid w:val="006A6031"/>
    <w:rsid w:val="006A61B8"/>
    <w:rsid w:val="006A6305"/>
    <w:rsid w:val="006A63E2"/>
    <w:rsid w:val="006A64C4"/>
    <w:rsid w:val="006A64F0"/>
    <w:rsid w:val="006A65B7"/>
    <w:rsid w:val="006A668D"/>
    <w:rsid w:val="006A6768"/>
    <w:rsid w:val="006A68F1"/>
    <w:rsid w:val="006A6969"/>
    <w:rsid w:val="006A6B08"/>
    <w:rsid w:val="006A6B4B"/>
    <w:rsid w:val="006A6C88"/>
    <w:rsid w:val="006A6CFC"/>
    <w:rsid w:val="006A6D17"/>
    <w:rsid w:val="006A6D3B"/>
    <w:rsid w:val="006A6D78"/>
    <w:rsid w:val="006A6DCF"/>
    <w:rsid w:val="006A6E2C"/>
    <w:rsid w:val="006A70CF"/>
    <w:rsid w:val="006A70E9"/>
    <w:rsid w:val="006A7192"/>
    <w:rsid w:val="006A7205"/>
    <w:rsid w:val="006A7230"/>
    <w:rsid w:val="006A72B0"/>
    <w:rsid w:val="006A7316"/>
    <w:rsid w:val="006A73B4"/>
    <w:rsid w:val="006A73E2"/>
    <w:rsid w:val="006A7476"/>
    <w:rsid w:val="006A757C"/>
    <w:rsid w:val="006A75EE"/>
    <w:rsid w:val="006A76E9"/>
    <w:rsid w:val="006A774A"/>
    <w:rsid w:val="006A77A2"/>
    <w:rsid w:val="006A77CF"/>
    <w:rsid w:val="006A7859"/>
    <w:rsid w:val="006A798E"/>
    <w:rsid w:val="006A79AC"/>
    <w:rsid w:val="006A79FA"/>
    <w:rsid w:val="006A7A5C"/>
    <w:rsid w:val="006A7A8A"/>
    <w:rsid w:val="006A7B80"/>
    <w:rsid w:val="006A7BDD"/>
    <w:rsid w:val="006A7C62"/>
    <w:rsid w:val="006A7D31"/>
    <w:rsid w:val="006B00E3"/>
    <w:rsid w:val="006B01DB"/>
    <w:rsid w:val="006B024A"/>
    <w:rsid w:val="006B024D"/>
    <w:rsid w:val="006B027D"/>
    <w:rsid w:val="006B0359"/>
    <w:rsid w:val="006B036A"/>
    <w:rsid w:val="006B03D0"/>
    <w:rsid w:val="006B0435"/>
    <w:rsid w:val="006B0495"/>
    <w:rsid w:val="006B055E"/>
    <w:rsid w:val="006B058B"/>
    <w:rsid w:val="006B05E5"/>
    <w:rsid w:val="006B0642"/>
    <w:rsid w:val="006B0644"/>
    <w:rsid w:val="006B06D9"/>
    <w:rsid w:val="006B0848"/>
    <w:rsid w:val="006B09CC"/>
    <w:rsid w:val="006B09FC"/>
    <w:rsid w:val="006B0B75"/>
    <w:rsid w:val="006B0C56"/>
    <w:rsid w:val="006B0C8E"/>
    <w:rsid w:val="006B0CD5"/>
    <w:rsid w:val="006B0D1B"/>
    <w:rsid w:val="006B0D3A"/>
    <w:rsid w:val="006B0D76"/>
    <w:rsid w:val="006B0E09"/>
    <w:rsid w:val="006B0E41"/>
    <w:rsid w:val="006B0E4B"/>
    <w:rsid w:val="006B0F0B"/>
    <w:rsid w:val="006B0F86"/>
    <w:rsid w:val="006B0FB9"/>
    <w:rsid w:val="006B10EE"/>
    <w:rsid w:val="006B113A"/>
    <w:rsid w:val="006B114E"/>
    <w:rsid w:val="006B11D6"/>
    <w:rsid w:val="006B12F4"/>
    <w:rsid w:val="006B1451"/>
    <w:rsid w:val="006B14C7"/>
    <w:rsid w:val="006B15A2"/>
    <w:rsid w:val="006B166D"/>
    <w:rsid w:val="006B16BF"/>
    <w:rsid w:val="006B17B1"/>
    <w:rsid w:val="006B17E3"/>
    <w:rsid w:val="006B1878"/>
    <w:rsid w:val="006B1879"/>
    <w:rsid w:val="006B190E"/>
    <w:rsid w:val="006B1927"/>
    <w:rsid w:val="006B1A7F"/>
    <w:rsid w:val="006B1B5F"/>
    <w:rsid w:val="006B1BF2"/>
    <w:rsid w:val="006B1C99"/>
    <w:rsid w:val="006B1DF0"/>
    <w:rsid w:val="006B1E06"/>
    <w:rsid w:val="006B1E5E"/>
    <w:rsid w:val="006B1E95"/>
    <w:rsid w:val="006B1EAC"/>
    <w:rsid w:val="006B1EE3"/>
    <w:rsid w:val="006B1FF7"/>
    <w:rsid w:val="006B206D"/>
    <w:rsid w:val="006B2075"/>
    <w:rsid w:val="006B20EE"/>
    <w:rsid w:val="006B21C3"/>
    <w:rsid w:val="006B2248"/>
    <w:rsid w:val="006B22AF"/>
    <w:rsid w:val="006B233B"/>
    <w:rsid w:val="006B24F0"/>
    <w:rsid w:val="006B2614"/>
    <w:rsid w:val="006B263E"/>
    <w:rsid w:val="006B27A5"/>
    <w:rsid w:val="006B27F5"/>
    <w:rsid w:val="006B27FC"/>
    <w:rsid w:val="006B2814"/>
    <w:rsid w:val="006B2954"/>
    <w:rsid w:val="006B2AFB"/>
    <w:rsid w:val="006B2CC2"/>
    <w:rsid w:val="006B2E21"/>
    <w:rsid w:val="006B2E9E"/>
    <w:rsid w:val="006B2F9D"/>
    <w:rsid w:val="006B3033"/>
    <w:rsid w:val="006B30C8"/>
    <w:rsid w:val="006B31AA"/>
    <w:rsid w:val="006B321A"/>
    <w:rsid w:val="006B32CA"/>
    <w:rsid w:val="006B32E3"/>
    <w:rsid w:val="006B3394"/>
    <w:rsid w:val="006B342F"/>
    <w:rsid w:val="006B3431"/>
    <w:rsid w:val="006B34FF"/>
    <w:rsid w:val="006B357B"/>
    <w:rsid w:val="006B36FA"/>
    <w:rsid w:val="006B376C"/>
    <w:rsid w:val="006B3821"/>
    <w:rsid w:val="006B3959"/>
    <w:rsid w:val="006B3A07"/>
    <w:rsid w:val="006B3C59"/>
    <w:rsid w:val="006B3C83"/>
    <w:rsid w:val="006B3E35"/>
    <w:rsid w:val="006B3F05"/>
    <w:rsid w:val="006B3F58"/>
    <w:rsid w:val="006B4188"/>
    <w:rsid w:val="006B41A0"/>
    <w:rsid w:val="006B4395"/>
    <w:rsid w:val="006B450D"/>
    <w:rsid w:val="006B4633"/>
    <w:rsid w:val="006B46DE"/>
    <w:rsid w:val="006B489F"/>
    <w:rsid w:val="006B48F3"/>
    <w:rsid w:val="006B495B"/>
    <w:rsid w:val="006B4B87"/>
    <w:rsid w:val="006B4C0F"/>
    <w:rsid w:val="006B4C87"/>
    <w:rsid w:val="006B4C89"/>
    <w:rsid w:val="006B4CB4"/>
    <w:rsid w:val="006B4DA5"/>
    <w:rsid w:val="006B4E5F"/>
    <w:rsid w:val="006B4E84"/>
    <w:rsid w:val="006B4F53"/>
    <w:rsid w:val="006B4F95"/>
    <w:rsid w:val="006B50B7"/>
    <w:rsid w:val="006B50BB"/>
    <w:rsid w:val="006B50F4"/>
    <w:rsid w:val="006B519D"/>
    <w:rsid w:val="006B51F9"/>
    <w:rsid w:val="006B52E9"/>
    <w:rsid w:val="006B5320"/>
    <w:rsid w:val="006B534A"/>
    <w:rsid w:val="006B54A9"/>
    <w:rsid w:val="006B557F"/>
    <w:rsid w:val="006B55AA"/>
    <w:rsid w:val="006B5673"/>
    <w:rsid w:val="006B5685"/>
    <w:rsid w:val="006B56A2"/>
    <w:rsid w:val="006B5781"/>
    <w:rsid w:val="006B5893"/>
    <w:rsid w:val="006B59A7"/>
    <w:rsid w:val="006B5B8D"/>
    <w:rsid w:val="006B5BA6"/>
    <w:rsid w:val="006B5D2A"/>
    <w:rsid w:val="006B5D92"/>
    <w:rsid w:val="006B60FD"/>
    <w:rsid w:val="006B61A7"/>
    <w:rsid w:val="006B6420"/>
    <w:rsid w:val="006B655B"/>
    <w:rsid w:val="006B6787"/>
    <w:rsid w:val="006B67D8"/>
    <w:rsid w:val="006B6833"/>
    <w:rsid w:val="006B68FF"/>
    <w:rsid w:val="006B699D"/>
    <w:rsid w:val="006B6ABA"/>
    <w:rsid w:val="006B6AE0"/>
    <w:rsid w:val="006B6B25"/>
    <w:rsid w:val="006B6BF7"/>
    <w:rsid w:val="006B6BFD"/>
    <w:rsid w:val="006B6D81"/>
    <w:rsid w:val="006B6DDF"/>
    <w:rsid w:val="006B6E1A"/>
    <w:rsid w:val="006B6E52"/>
    <w:rsid w:val="006B6E5C"/>
    <w:rsid w:val="006B6F6F"/>
    <w:rsid w:val="006B70BB"/>
    <w:rsid w:val="006B719A"/>
    <w:rsid w:val="006B71B8"/>
    <w:rsid w:val="006B71E9"/>
    <w:rsid w:val="006B71FA"/>
    <w:rsid w:val="006B7262"/>
    <w:rsid w:val="006B72AD"/>
    <w:rsid w:val="006B748B"/>
    <w:rsid w:val="006B74D1"/>
    <w:rsid w:val="006B767C"/>
    <w:rsid w:val="006B7749"/>
    <w:rsid w:val="006B7957"/>
    <w:rsid w:val="006B79E9"/>
    <w:rsid w:val="006B7AAB"/>
    <w:rsid w:val="006B7B3E"/>
    <w:rsid w:val="006B7C78"/>
    <w:rsid w:val="006B7C7F"/>
    <w:rsid w:val="006B7CBF"/>
    <w:rsid w:val="006B7D12"/>
    <w:rsid w:val="006B7D72"/>
    <w:rsid w:val="006B7E32"/>
    <w:rsid w:val="006B7E7E"/>
    <w:rsid w:val="006B7EF7"/>
    <w:rsid w:val="006B7F1D"/>
    <w:rsid w:val="006B7F29"/>
    <w:rsid w:val="006C00FC"/>
    <w:rsid w:val="006C018D"/>
    <w:rsid w:val="006C01FE"/>
    <w:rsid w:val="006C0225"/>
    <w:rsid w:val="006C0341"/>
    <w:rsid w:val="006C047B"/>
    <w:rsid w:val="006C0504"/>
    <w:rsid w:val="006C05AA"/>
    <w:rsid w:val="006C062F"/>
    <w:rsid w:val="006C070F"/>
    <w:rsid w:val="006C076D"/>
    <w:rsid w:val="006C0858"/>
    <w:rsid w:val="006C0935"/>
    <w:rsid w:val="006C0AA8"/>
    <w:rsid w:val="006C0B57"/>
    <w:rsid w:val="006C0B59"/>
    <w:rsid w:val="006C0CEC"/>
    <w:rsid w:val="006C0D23"/>
    <w:rsid w:val="006C0D7F"/>
    <w:rsid w:val="006C0DE7"/>
    <w:rsid w:val="006C0F01"/>
    <w:rsid w:val="006C0FB6"/>
    <w:rsid w:val="006C0FF4"/>
    <w:rsid w:val="006C1024"/>
    <w:rsid w:val="006C1197"/>
    <w:rsid w:val="006C1224"/>
    <w:rsid w:val="006C1247"/>
    <w:rsid w:val="006C133F"/>
    <w:rsid w:val="006C136C"/>
    <w:rsid w:val="006C1463"/>
    <w:rsid w:val="006C1587"/>
    <w:rsid w:val="006C15F8"/>
    <w:rsid w:val="006C16C8"/>
    <w:rsid w:val="006C174F"/>
    <w:rsid w:val="006C176A"/>
    <w:rsid w:val="006C17B7"/>
    <w:rsid w:val="006C18D7"/>
    <w:rsid w:val="006C1931"/>
    <w:rsid w:val="006C19B5"/>
    <w:rsid w:val="006C1A5E"/>
    <w:rsid w:val="006C1AD3"/>
    <w:rsid w:val="006C1AF6"/>
    <w:rsid w:val="006C1B12"/>
    <w:rsid w:val="006C1B3B"/>
    <w:rsid w:val="006C1B5A"/>
    <w:rsid w:val="006C1C30"/>
    <w:rsid w:val="006C1D0A"/>
    <w:rsid w:val="006C1D47"/>
    <w:rsid w:val="006C1D80"/>
    <w:rsid w:val="006C1D99"/>
    <w:rsid w:val="006C1DF0"/>
    <w:rsid w:val="006C1FAA"/>
    <w:rsid w:val="006C2020"/>
    <w:rsid w:val="006C2024"/>
    <w:rsid w:val="006C2047"/>
    <w:rsid w:val="006C2098"/>
    <w:rsid w:val="006C2141"/>
    <w:rsid w:val="006C214F"/>
    <w:rsid w:val="006C2182"/>
    <w:rsid w:val="006C225D"/>
    <w:rsid w:val="006C2266"/>
    <w:rsid w:val="006C233B"/>
    <w:rsid w:val="006C2387"/>
    <w:rsid w:val="006C23F5"/>
    <w:rsid w:val="006C24DE"/>
    <w:rsid w:val="006C26AE"/>
    <w:rsid w:val="006C29C4"/>
    <w:rsid w:val="006C2A3B"/>
    <w:rsid w:val="006C2AEC"/>
    <w:rsid w:val="006C2B80"/>
    <w:rsid w:val="006C2C18"/>
    <w:rsid w:val="006C2C9B"/>
    <w:rsid w:val="006C2DCE"/>
    <w:rsid w:val="006C2E4B"/>
    <w:rsid w:val="006C2FB1"/>
    <w:rsid w:val="006C30A0"/>
    <w:rsid w:val="006C3159"/>
    <w:rsid w:val="006C31C1"/>
    <w:rsid w:val="006C335C"/>
    <w:rsid w:val="006C3364"/>
    <w:rsid w:val="006C3373"/>
    <w:rsid w:val="006C3452"/>
    <w:rsid w:val="006C3475"/>
    <w:rsid w:val="006C34A2"/>
    <w:rsid w:val="006C3538"/>
    <w:rsid w:val="006C363D"/>
    <w:rsid w:val="006C36AD"/>
    <w:rsid w:val="006C3727"/>
    <w:rsid w:val="006C37AD"/>
    <w:rsid w:val="006C37D7"/>
    <w:rsid w:val="006C3805"/>
    <w:rsid w:val="006C389A"/>
    <w:rsid w:val="006C38C7"/>
    <w:rsid w:val="006C39A8"/>
    <w:rsid w:val="006C39F7"/>
    <w:rsid w:val="006C3A02"/>
    <w:rsid w:val="006C3A61"/>
    <w:rsid w:val="006C3AC6"/>
    <w:rsid w:val="006C3B9E"/>
    <w:rsid w:val="006C3C1C"/>
    <w:rsid w:val="006C3C53"/>
    <w:rsid w:val="006C3CD6"/>
    <w:rsid w:val="006C3D21"/>
    <w:rsid w:val="006C3D30"/>
    <w:rsid w:val="006C3D72"/>
    <w:rsid w:val="006C3DF8"/>
    <w:rsid w:val="006C3EA6"/>
    <w:rsid w:val="006C3EAE"/>
    <w:rsid w:val="006C4014"/>
    <w:rsid w:val="006C4026"/>
    <w:rsid w:val="006C4053"/>
    <w:rsid w:val="006C411C"/>
    <w:rsid w:val="006C4131"/>
    <w:rsid w:val="006C4148"/>
    <w:rsid w:val="006C4293"/>
    <w:rsid w:val="006C431B"/>
    <w:rsid w:val="006C44EE"/>
    <w:rsid w:val="006C460B"/>
    <w:rsid w:val="006C461A"/>
    <w:rsid w:val="006C4663"/>
    <w:rsid w:val="006C46B2"/>
    <w:rsid w:val="006C4770"/>
    <w:rsid w:val="006C47B0"/>
    <w:rsid w:val="006C47D2"/>
    <w:rsid w:val="006C480B"/>
    <w:rsid w:val="006C48A9"/>
    <w:rsid w:val="006C48B3"/>
    <w:rsid w:val="006C48BE"/>
    <w:rsid w:val="006C4934"/>
    <w:rsid w:val="006C4A03"/>
    <w:rsid w:val="006C4AE3"/>
    <w:rsid w:val="006C4C56"/>
    <w:rsid w:val="006C4C84"/>
    <w:rsid w:val="006C4C99"/>
    <w:rsid w:val="006C4DF3"/>
    <w:rsid w:val="006C4ED0"/>
    <w:rsid w:val="006C4F4C"/>
    <w:rsid w:val="006C4F7A"/>
    <w:rsid w:val="006C4FBC"/>
    <w:rsid w:val="006C52B1"/>
    <w:rsid w:val="006C52C0"/>
    <w:rsid w:val="006C52E6"/>
    <w:rsid w:val="006C5385"/>
    <w:rsid w:val="006C53D5"/>
    <w:rsid w:val="006C54C1"/>
    <w:rsid w:val="006C54D6"/>
    <w:rsid w:val="006C54E6"/>
    <w:rsid w:val="006C54F9"/>
    <w:rsid w:val="006C561C"/>
    <w:rsid w:val="006C5776"/>
    <w:rsid w:val="006C5787"/>
    <w:rsid w:val="006C57B6"/>
    <w:rsid w:val="006C57EA"/>
    <w:rsid w:val="006C58D3"/>
    <w:rsid w:val="006C5988"/>
    <w:rsid w:val="006C59A4"/>
    <w:rsid w:val="006C5B7F"/>
    <w:rsid w:val="006C5BDF"/>
    <w:rsid w:val="006C5CB0"/>
    <w:rsid w:val="006C5F8E"/>
    <w:rsid w:val="006C5F9D"/>
    <w:rsid w:val="006C6243"/>
    <w:rsid w:val="006C626D"/>
    <w:rsid w:val="006C6323"/>
    <w:rsid w:val="006C6491"/>
    <w:rsid w:val="006C653E"/>
    <w:rsid w:val="006C668F"/>
    <w:rsid w:val="006C66F1"/>
    <w:rsid w:val="006C6823"/>
    <w:rsid w:val="006C6858"/>
    <w:rsid w:val="006C68FF"/>
    <w:rsid w:val="006C690F"/>
    <w:rsid w:val="006C6B0F"/>
    <w:rsid w:val="006C6D4D"/>
    <w:rsid w:val="006C6F99"/>
    <w:rsid w:val="006C7036"/>
    <w:rsid w:val="006C703B"/>
    <w:rsid w:val="006C7042"/>
    <w:rsid w:val="006C7046"/>
    <w:rsid w:val="006C7162"/>
    <w:rsid w:val="006C71E6"/>
    <w:rsid w:val="006C724E"/>
    <w:rsid w:val="006C72C8"/>
    <w:rsid w:val="006C72F1"/>
    <w:rsid w:val="006C744B"/>
    <w:rsid w:val="006C74AC"/>
    <w:rsid w:val="006C74F7"/>
    <w:rsid w:val="006C7513"/>
    <w:rsid w:val="006C758A"/>
    <w:rsid w:val="006C75BD"/>
    <w:rsid w:val="006C7619"/>
    <w:rsid w:val="006C7654"/>
    <w:rsid w:val="006C76A4"/>
    <w:rsid w:val="006C76D8"/>
    <w:rsid w:val="006C7790"/>
    <w:rsid w:val="006C77A5"/>
    <w:rsid w:val="006C77D9"/>
    <w:rsid w:val="006C7886"/>
    <w:rsid w:val="006C78A5"/>
    <w:rsid w:val="006C7A8C"/>
    <w:rsid w:val="006C7B54"/>
    <w:rsid w:val="006C7C75"/>
    <w:rsid w:val="006C7D13"/>
    <w:rsid w:val="006C7D15"/>
    <w:rsid w:val="006C7DBA"/>
    <w:rsid w:val="006C7ECD"/>
    <w:rsid w:val="006C7F17"/>
    <w:rsid w:val="006CAD33"/>
    <w:rsid w:val="006D0091"/>
    <w:rsid w:val="006D01DD"/>
    <w:rsid w:val="006D02DE"/>
    <w:rsid w:val="006D0428"/>
    <w:rsid w:val="006D0494"/>
    <w:rsid w:val="006D04C7"/>
    <w:rsid w:val="006D0567"/>
    <w:rsid w:val="006D0623"/>
    <w:rsid w:val="006D0768"/>
    <w:rsid w:val="006D079D"/>
    <w:rsid w:val="006D0851"/>
    <w:rsid w:val="006D08BE"/>
    <w:rsid w:val="006D0914"/>
    <w:rsid w:val="006D0946"/>
    <w:rsid w:val="006D096C"/>
    <w:rsid w:val="006D0A88"/>
    <w:rsid w:val="006D0B3C"/>
    <w:rsid w:val="006D0C43"/>
    <w:rsid w:val="006D0C59"/>
    <w:rsid w:val="006D0CD7"/>
    <w:rsid w:val="006D0CDE"/>
    <w:rsid w:val="006D0D40"/>
    <w:rsid w:val="006D1024"/>
    <w:rsid w:val="006D1056"/>
    <w:rsid w:val="006D10EB"/>
    <w:rsid w:val="006D12DF"/>
    <w:rsid w:val="006D1307"/>
    <w:rsid w:val="006D130B"/>
    <w:rsid w:val="006D13B0"/>
    <w:rsid w:val="006D13BC"/>
    <w:rsid w:val="006D1482"/>
    <w:rsid w:val="006D1616"/>
    <w:rsid w:val="006D1721"/>
    <w:rsid w:val="006D177F"/>
    <w:rsid w:val="006D17E3"/>
    <w:rsid w:val="006D1831"/>
    <w:rsid w:val="006D18A1"/>
    <w:rsid w:val="006D18C3"/>
    <w:rsid w:val="006D18F5"/>
    <w:rsid w:val="006D19D2"/>
    <w:rsid w:val="006D1C8C"/>
    <w:rsid w:val="006D1CCB"/>
    <w:rsid w:val="006D1D11"/>
    <w:rsid w:val="006D1DC8"/>
    <w:rsid w:val="006D202D"/>
    <w:rsid w:val="006D2184"/>
    <w:rsid w:val="006D21A0"/>
    <w:rsid w:val="006D21C6"/>
    <w:rsid w:val="006D2263"/>
    <w:rsid w:val="006D226C"/>
    <w:rsid w:val="006D2299"/>
    <w:rsid w:val="006D2347"/>
    <w:rsid w:val="006D24D1"/>
    <w:rsid w:val="006D266A"/>
    <w:rsid w:val="006D267D"/>
    <w:rsid w:val="006D26A6"/>
    <w:rsid w:val="006D2720"/>
    <w:rsid w:val="006D277B"/>
    <w:rsid w:val="006D2783"/>
    <w:rsid w:val="006D27A1"/>
    <w:rsid w:val="006D2847"/>
    <w:rsid w:val="006D2994"/>
    <w:rsid w:val="006D299F"/>
    <w:rsid w:val="006D2A6A"/>
    <w:rsid w:val="006D2A9B"/>
    <w:rsid w:val="006D2AD0"/>
    <w:rsid w:val="006D2B1B"/>
    <w:rsid w:val="006D2CA7"/>
    <w:rsid w:val="006D2CF7"/>
    <w:rsid w:val="006D2D6A"/>
    <w:rsid w:val="006D2DB7"/>
    <w:rsid w:val="006D2DC6"/>
    <w:rsid w:val="006D2F15"/>
    <w:rsid w:val="006D30D1"/>
    <w:rsid w:val="006D3135"/>
    <w:rsid w:val="006D325D"/>
    <w:rsid w:val="006D3292"/>
    <w:rsid w:val="006D33B4"/>
    <w:rsid w:val="006D345D"/>
    <w:rsid w:val="006D37F5"/>
    <w:rsid w:val="006D384C"/>
    <w:rsid w:val="006D3880"/>
    <w:rsid w:val="006D39C3"/>
    <w:rsid w:val="006D39C5"/>
    <w:rsid w:val="006D3A6D"/>
    <w:rsid w:val="006D3AA6"/>
    <w:rsid w:val="006D3D11"/>
    <w:rsid w:val="006D3D19"/>
    <w:rsid w:val="006D3D29"/>
    <w:rsid w:val="006D3D52"/>
    <w:rsid w:val="006D3E30"/>
    <w:rsid w:val="006D3E52"/>
    <w:rsid w:val="006D3F1D"/>
    <w:rsid w:val="006D3F87"/>
    <w:rsid w:val="006D406A"/>
    <w:rsid w:val="006D412A"/>
    <w:rsid w:val="006D427E"/>
    <w:rsid w:val="006D43A7"/>
    <w:rsid w:val="006D4405"/>
    <w:rsid w:val="006D4410"/>
    <w:rsid w:val="006D44A0"/>
    <w:rsid w:val="006D4699"/>
    <w:rsid w:val="006D477C"/>
    <w:rsid w:val="006D48DD"/>
    <w:rsid w:val="006D4918"/>
    <w:rsid w:val="006D4A23"/>
    <w:rsid w:val="006D4A69"/>
    <w:rsid w:val="006D4A9C"/>
    <w:rsid w:val="006D4C5D"/>
    <w:rsid w:val="006D4D53"/>
    <w:rsid w:val="006D4DA1"/>
    <w:rsid w:val="006D4E34"/>
    <w:rsid w:val="006D4E90"/>
    <w:rsid w:val="006D4EAF"/>
    <w:rsid w:val="006D4EB9"/>
    <w:rsid w:val="006D4EC1"/>
    <w:rsid w:val="006D4F0A"/>
    <w:rsid w:val="006D503A"/>
    <w:rsid w:val="006D50BB"/>
    <w:rsid w:val="006D511F"/>
    <w:rsid w:val="006D514F"/>
    <w:rsid w:val="006D51B2"/>
    <w:rsid w:val="006D51D2"/>
    <w:rsid w:val="006D522E"/>
    <w:rsid w:val="006D5527"/>
    <w:rsid w:val="006D5578"/>
    <w:rsid w:val="006D558F"/>
    <w:rsid w:val="006D5633"/>
    <w:rsid w:val="006D568D"/>
    <w:rsid w:val="006D56BE"/>
    <w:rsid w:val="006D5725"/>
    <w:rsid w:val="006D573A"/>
    <w:rsid w:val="006D581B"/>
    <w:rsid w:val="006D5948"/>
    <w:rsid w:val="006D5A4F"/>
    <w:rsid w:val="006D5A86"/>
    <w:rsid w:val="006D5AAF"/>
    <w:rsid w:val="006D5CA1"/>
    <w:rsid w:val="006D5E64"/>
    <w:rsid w:val="006D5E6C"/>
    <w:rsid w:val="006D5EEC"/>
    <w:rsid w:val="006D5FA4"/>
    <w:rsid w:val="006D603F"/>
    <w:rsid w:val="006D607F"/>
    <w:rsid w:val="006D60FD"/>
    <w:rsid w:val="006D6191"/>
    <w:rsid w:val="006D6231"/>
    <w:rsid w:val="006D6234"/>
    <w:rsid w:val="006D6246"/>
    <w:rsid w:val="006D62CB"/>
    <w:rsid w:val="006D6321"/>
    <w:rsid w:val="006D6357"/>
    <w:rsid w:val="006D64B1"/>
    <w:rsid w:val="006D6615"/>
    <w:rsid w:val="006D66BD"/>
    <w:rsid w:val="006D6836"/>
    <w:rsid w:val="006D6868"/>
    <w:rsid w:val="006D68A8"/>
    <w:rsid w:val="006D6BA9"/>
    <w:rsid w:val="006D6BAD"/>
    <w:rsid w:val="006D6BF0"/>
    <w:rsid w:val="006D6BFA"/>
    <w:rsid w:val="006D6D09"/>
    <w:rsid w:val="006D6D13"/>
    <w:rsid w:val="006D6E4D"/>
    <w:rsid w:val="006D6F31"/>
    <w:rsid w:val="006D6F58"/>
    <w:rsid w:val="006D703C"/>
    <w:rsid w:val="006D7090"/>
    <w:rsid w:val="006D7096"/>
    <w:rsid w:val="006D7109"/>
    <w:rsid w:val="006D7160"/>
    <w:rsid w:val="006D71F2"/>
    <w:rsid w:val="006D72A8"/>
    <w:rsid w:val="006D731B"/>
    <w:rsid w:val="006D7363"/>
    <w:rsid w:val="006D7373"/>
    <w:rsid w:val="006D7550"/>
    <w:rsid w:val="006D758F"/>
    <w:rsid w:val="006D7682"/>
    <w:rsid w:val="006D769A"/>
    <w:rsid w:val="006D76E8"/>
    <w:rsid w:val="006D772E"/>
    <w:rsid w:val="006D7734"/>
    <w:rsid w:val="006D78FE"/>
    <w:rsid w:val="006D792D"/>
    <w:rsid w:val="006D795D"/>
    <w:rsid w:val="006D7A52"/>
    <w:rsid w:val="006D7B84"/>
    <w:rsid w:val="006D7C01"/>
    <w:rsid w:val="006D7C15"/>
    <w:rsid w:val="006D7D45"/>
    <w:rsid w:val="006D7D53"/>
    <w:rsid w:val="006D7DD4"/>
    <w:rsid w:val="006E0023"/>
    <w:rsid w:val="006E00A9"/>
    <w:rsid w:val="006E00DD"/>
    <w:rsid w:val="006E00E7"/>
    <w:rsid w:val="006E0161"/>
    <w:rsid w:val="006E01C1"/>
    <w:rsid w:val="006E021F"/>
    <w:rsid w:val="006E0303"/>
    <w:rsid w:val="006E03A0"/>
    <w:rsid w:val="006E0590"/>
    <w:rsid w:val="006E0843"/>
    <w:rsid w:val="006E085D"/>
    <w:rsid w:val="006E086D"/>
    <w:rsid w:val="006E0953"/>
    <w:rsid w:val="006E09B8"/>
    <w:rsid w:val="006E09DD"/>
    <w:rsid w:val="006E0A50"/>
    <w:rsid w:val="006E0ABA"/>
    <w:rsid w:val="006E0B5F"/>
    <w:rsid w:val="006E0BA5"/>
    <w:rsid w:val="006E0D81"/>
    <w:rsid w:val="006E0DA2"/>
    <w:rsid w:val="006E0DF8"/>
    <w:rsid w:val="006E0E99"/>
    <w:rsid w:val="006E0ECA"/>
    <w:rsid w:val="006E0ECF"/>
    <w:rsid w:val="006E0F9E"/>
    <w:rsid w:val="006E1035"/>
    <w:rsid w:val="006E119D"/>
    <w:rsid w:val="006E11AD"/>
    <w:rsid w:val="006E11DC"/>
    <w:rsid w:val="006E128F"/>
    <w:rsid w:val="006E1296"/>
    <w:rsid w:val="006E12CB"/>
    <w:rsid w:val="006E1391"/>
    <w:rsid w:val="006E139D"/>
    <w:rsid w:val="006E13D8"/>
    <w:rsid w:val="006E13F6"/>
    <w:rsid w:val="006E1427"/>
    <w:rsid w:val="006E1430"/>
    <w:rsid w:val="006E1462"/>
    <w:rsid w:val="006E16E4"/>
    <w:rsid w:val="006E17B4"/>
    <w:rsid w:val="006E17E5"/>
    <w:rsid w:val="006E196D"/>
    <w:rsid w:val="006E19C2"/>
    <w:rsid w:val="006E1AF3"/>
    <w:rsid w:val="006E1B01"/>
    <w:rsid w:val="006E1C32"/>
    <w:rsid w:val="006E1C64"/>
    <w:rsid w:val="006E1DC1"/>
    <w:rsid w:val="006E1DF7"/>
    <w:rsid w:val="006E1DFA"/>
    <w:rsid w:val="006E1EC4"/>
    <w:rsid w:val="006E1FE8"/>
    <w:rsid w:val="006E2151"/>
    <w:rsid w:val="006E216C"/>
    <w:rsid w:val="006E21EB"/>
    <w:rsid w:val="006E2209"/>
    <w:rsid w:val="006E2223"/>
    <w:rsid w:val="006E2389"/>
    <w:rsid w:val="006E241D"/>
    <w:rsid w:val="006E244D"/>
    <w:rsid w:val="006E249D"/>
    <w:rsid w:val="006E24F5"/>
    <w:rsid w:val="006E251B"/>
    <w:rsid w:val="006E2866"/>
    <w:rsid w:val="006E29CA"/>
    <w:rsid w:val="006E2B20"/>
    <w:rsid w:val="006E2B8D"/>
    <w:rsid w:val="006E2DA7"/>
    <w:rsid w:val="006E2F84"/>
    <w:rsid w:val="006E2F8C"/>
    <w:rsid w:val="006E2FF5"/>
    <w:rsid w:val="006E2FFB"/>
    <w:rsid w:val="006E3031"/>
    <w:rsid w:val="006E31CE"/>
    <w:rsid w:val="006E3288"/>
    <w:rsid w:val="006E3289"/>
    <w:rsid w:val="006E32D4"/>
    <w:rsid w:val="006E33AE"/>
    <w:rsid w:val="006E3405"/>
    <w:rsid w:val="006E3636"/>
    <w:rsid w:val="006E36E9"/>
    <w:rsid w:val="006E38CE"/>
    <w:rsid w:val="006E3942"/>
    <w:rsid w:val="006E3951"/>
    <w:rsid w:val="006E398E"/>
    <w:rsid w:val="006E39D2"/>
    <w:rsid w:val="006E39EC"/>
    <w:rsid w:val="006E3AB7"/>
    <w:rsid w:val="006E3B02"/>
    <w:rsid w:val="006E3B7F"/>
    <w:rsid w:val="006E3BEF"/>
    <w:rsid w:val="006E3CBB"/>
    <w:rsid w:val="006E3E5B"/>
    <w:rsid w:val="006E3F9B"/>
    <w:rsid w:val="006E40AB"/>
    <w:rsid w:val="006E40CE"/>
    <w:rsid w:val="006E40EF"/>
    <w:rsid w:val="006E41A3"/>
    <w:rsid w:val="006E41F1"/>
    <w:rsid w:val="006E43B5"/>
    <w:rsid w:val="006E4430"/>
    <w:rsid w:val="006E4455"/>
    <w:rsid w:val="006E4496"/>
    <w:rsid w:val="006E44B5"/>
    <w:rsid w:val="006E4526"/>
    <w:rsid w:val="006E4547"/>
    <w:rsid w:val="006E460C"/>
    <w:rsid w:val="006E46FC"/>
    <w:rsid w:val="006E47C7"/>
    <w:rsid w:val="006E483C"/>
    <w:rsid w:val="006E49F0"/>
    <w:rsid w:val="006E4A5D"/>
    <w:rsid w:val="006E4B7C"/>
    <w:rsid w:val="006E4BFA"/>
    <w:rsid w:val="006E4CCB"/>
    <w:rsid w:val="006E4D12"/>
    <w:rsid w:val="006E4DDC"/>
    <w:rsid w:val="006E4DE6"/>
    <w:rsid w:val="006E4E48"/>
    <w:rsid w:val="006E4EC5"/>
    <w:rsid w:val="006E4F86"/>
    <w:rsid w:val="006E5044"/>
    <w:rsid w:val="006E50B1"/>
    <w:rsid w:val="006E5402"/>
    <w:rsid w:val="006E5417"/>
    <w:rsid w:val="006E543E"/>
    <w:rsid w:val="006E5759"/>
    <w:rsid w:val="006E5BA5"/>
    <w:rsid w:val="006E5CB7"/>
    <w:rsid w:val="006E5CF0"/>
    <w:rsid w:val="006E5D7C"/>
    <w:rsid w:val="006E5E11"/>
    <w:rsid w:val="006E5E17"/>
    <w:rsid w:val="006E5EEC"/>
    <w:rsid w:val="006E5F52"/>
    <w:rsid w:val="006E5F87"/>
    <w:rsid w:val="006E6015"/>
    <w:rsid w:val="006E6067"/>
    <w:rsid w:val="006E617E"/>
    <w:rsid w:val="006E6223"/>
    <w:rsid w:val="006E6330"/>
    <w:rsid w:val="006E638C"/>
    <w:rsid w:val="006E63B6"/>
    <w:rsid w:val="006E6441"/>
    <w:rsid w:val="006E650D"/>
    <w:rsid w:val="006E653D"/>
    <w:rsid w:val="006E65A3"/>
    <w:rsid w:val="006E678E"/>
    <w:rsid w:val="006E67BE"/>
    <w:rsid w:val="006E682F"/>
    <w:rsid w:val="006E68C8"/>
    <w:rsid w:val="006E6941"/>
    <w:rsid w:val="006E6AD8"/>
    <w:rsid w:val="006E6AFF"/>
    <w:rsid w:val="006E6BD5"/>
    <w:rsid w:val="006E6CF9"/>
    <w:rsid w:val="006E6D43"/>
    <w:rsid w:val="006E6D82"/>
    <w:rsid w:val="006E6E51"/>
    <w:rsid w:val="006E6FF3"/>
    <w:rsid w:val="006E700E"/>
    <w:rsid w:val="006E7128"/>
    <w:rsid w:val="006E712F"/>
    <w:rsid w:val="006E71BB"/>
    <w:rsid w:val="006E7337"/>
    <w:rsid w:val="006E7340"/>
    <w:rsid w:val="006E74A9"/>
    <w:rsid w:val="006E75AF"/>
    <w:rsid w:val="006E75D8"/>
    <w:rsid w:val="006E7676"/>
    <w:rsid w:val="006E7742"/>
    <w:rsid w:val="006E7780"/>
    <w:rsid w:val="006E79C6"/>
    <w:rsid w:val="006E7A18"/>
    <w:rsid w:val="006E7A1F"/>
    <w:rsid w:val="006E7A4D"/>
    <w:rsid w:val="006E7A85"/>
    <w:rsid w:val="006E7AC7"/>
    <w:rsid w:val="006E7B08"/>
    <w:rsid w:val="006E7BD2"/>
    <w:rsid w:val="006E7C47"/>
    <w:rsid w:val="006E7C6C"/>
    <w:rsid w:val="006E7C98"/>
    <w:rsid w:val="006E7CC0"/>
    <w:rsid w:val="006E7D57"/>
    <w:rsid w:val="006E7F3D"/>
    <w:rsid w:val="006E7FD6"/>
    <w:rsid w:val="006F0173"/>
    <w:rsid w:val="006F017B"/>
    <w:rsid w:val="006F01BE"/>
    <w:rsid w:val="006F025C"/>
    <w:rsid w:val="006F02EA"/>
    <w:rsid w:val="006F02F6"/>
    <w:rsid w:val="006F04CE"/>
    <w:rsid w:val="006F06A0"/>
    <w:rsid w:val="006F0719"/>
    <w:rsid w:val="006F07E1"/>
    <w:rsid w:val="006F0A9B"/>
    <w:rsid w:val="006F0B96"/>
    <w:rsid w:val="006F0BD1"/>
    <w:rsid w:val="006F0C05"/>
    <w:rsid w:val="006F0C0B"/>
    <w:rsid w:val="006F0D7D"/>
    <w:rsid w:val="006F0E4F"/>
    <w:rsid w:val="006F0EBD"/>
    <w:rsid w:val="006F0F5F"/>
    <w:rsid w:val="006F0F97"/>
    <w:rsid w:val="006F0FB8"/>
    <w:rsid w:val="006F0FF5"/>
    <w:rsid w:val="006F1118"/>
    <w:rsid w:val="006F115A"/>
    <w:rsid w:val="006F11B2"/>
    <w:rsid w:val="006F1201"/>
    <w:rsid w:val="006F121F"/>
    <w:rsid w:val="006F1459"/>
    <w:rsid w:val="006F1574"/>
    <w:rsid w:val="006F1611"/>
    <w:rsid w:val="006F1698"/>
    <w:rsid w:val="006F16FD"/>
    <w:rsid w:val="006F1712"/>
    <w:rsid w:val="006F1767"/>
    <w:rsid w:val="006F1769"/>
    <w:rsid w:val="006F17AF"/>
    <w:rsid w:val="006F18BE"/>
    <w:rsid w:val="006F19AA"/>
    <w:rsid w:val="006F19BD"/>
    <w:rsid w:val="006F19E0"/>
    <w:rsid w:val="006F1B2E"/>
    <w:rsid w:val="006F1CE8"/>
    <w:rsid w:val="006F1D0E"/>
    <w:rsid w:val="006F1F30"/>
    <w:rsid w:val="006F1FA6"/>
    <w:rsid w:val="006F1FD6"/>
    <w:rsid w:val="006F2017"/>
    <w:rsid w:val="006F2163"/>
    <w:rsid w:val="006F217B"/>
    <w:rsid w:val="006F221E"/>
    <w:rsid w:val="006F2435"/>
    <w:rsid w:val="006F248B"/>
    <w:rsid w:val="006F25B4"/>
    <w:rsid w:val="006F2610"/>
    <w:rsid w:val="006F2620"/>
    <w:rsid w:val="006F27FA"/>
    <w:rsid w:val="006F289B"/>
    <w:rsid w:val="006F2B60"/>
    <w:rsid w:val="006F2BFD"/>
    <w:rsid w:val="006F2C3E"/>
    <w:rsid w:val="006F2D33"/>
    <w:rsid w:val="006F2DB6"/>
    <w:rsid w:val="006F2DC5"/>
    <w:rsid w:val="006F30B3"/>
    <w:rsid w:val="006F317D"/>
    <w:rsid w:val="006F33E3"/>
    <w:rsid w:val="006F3502"/>
    <w:rsid w:val="006F36B6"/>
    <w:rsid w:val="006F36D8"/>
    <w:rsid w:val="006F36DC"/>
    <w:rsid w:val="006F36EF"/>
    <w:rsid w:val="006F376D"/>
    <w:rsid w:val="006F37FB"/>
    <w:rsid w:val="006F389E"/>
    <w:rsid w:val="006F38CD"/>
    <w:rsid w:val="006F39F9"/>
    <w:rsid w:val="006F3A88"/>
    <w:rsid w:val="006F3B26"/>
    <w:rsid w:val="006F3B49"/>
    <w:rsid w:val="006F3B76"/>
    <w:rsid w:val="006F3C5A"/>
    <w:rsid w:val="006F3D1E"/>
    <w:rsid w:val="006F3E15"/>
    <w:rsid w:val="006F3EC3"/>
    <w:rsid w:val="006F3F3D"/>
    <w:rsid w:val="006F407C"/>
    <w:rsid w:val="006F409A"/>
    <w:rsid w:val="006F40FB"/>
    <w:rsid w:val="006F4174"/>
    <w:rsid w:val="006F41B1"/>
    <w:rsid w:val="006F44EE"/>
    <w:rsid w:val="006F45A0"/>
    <w:rsid w:val="006F45A4"/>
    <w:rsid w:val="006F462B"/>
    <w:rsid w:val="006F464C"/>
    <w:rsid w:val="006F4657"/>
    <w:rsid w:val="006F4664"/>
    <w:rsid w:val="006F46E3"/>
    <w:rsid w:val="006F4774"/>
    <w:rsid w:val="006F47AB"/>
    <w:rsid w:val="006F4936"/>
    <w:rsid w:val="006F49BB"/>
    <w:rsid w:val="006F4A2B"/>
    <w:rsid w:val="006F4B74"/>
    <w:rsid w:val="006F4D91"/>
    <w:rsid w:val="006F4EBA"/>
    <w:rsid w:val="006F4EE2"/>
    <w:rsid w:val="006F4F01"/>
    <w:rsid w:val="006F4F4A"/>
    <w:rsid w:val="006F4F8C"/>
    <w:rsid w:val="006F4FCD"/>
    <w:rsid w:val="006F50A4"/>
    <w:rsid w:val="006F50D7"/>
    <w:rsid w:val="006F50E7"/>
    <w:rsid w:val="006F50FB"/>
    <w:rsid w:val="006F5167"/>
    <w:rsid w:val="006F52A1"/>
    <w:rsid w:val="006F52BD"/>
    <w:rsid w:val="006F5406"/>
    <w:rsid w:val="006F5493"/>
    <w:rsid w:val="006F5517"/>
    <w:rsid w:val="006F55E8"/>
    <w:rsid w:val="006F5612"/>
    <w:rsid w:val="006F5756"/>
    <w:rsid w:val="006F5814"/>
    <w:rsid w:val="006F5861"/>
    <w:rsid w:val="006F58EE"/>
    <w:rsid w:val="006F594E"/>
    <w:rsid w:val="006F595C"/>
    <w:rsid w:val="006F5A2F"/>
    <w:rsid w:val="006F5AC6"/>
    <w:rsid w:val="006F5D38"/>
    <w:rsid w:val="006F5DED"/>
    <w:rsid w:val="006F5EDA"/>
    <w:rsid w:val="006F5FB9"/>
    <w:rsid w:val="006F605B"/>
    <w:rsid w:val="006F6171"/>
    <w:rsid w:val="006F6211"/>
    <w:rsid w:val="006F6279"/>
    <w:rsid w:val="006F6349"/>
    <w:rsid w:val="006F646C"/>
    <w:rsid w:val="006F64FE"/>
    <w:rsid w:val="006F6596"/>
    <w:rsid w:val="006F65A3"/>
    <w:rsid w:val="006F65BE"/>
    <w:rsid w:val="006F65F2"/>
    <w:rsid w:val="006F6659"/>
    <w:rsid w:val="006F6681"/>
    <w:rsid w:val="006F6732"/>
    <w:rsid w:val="006F67B3"/>
    <w:rsid w:val="006F6852"/>
    <w:rsid w:val="006F6864"/>
    <w:rsid w:val="006F68B3"/>
    <w:rsid w:val="006F6A27"/>
    <w:rsid w:val="006F6B08"/>
    <w:rsid w:val="006F6B1D"/>
    <w:rsid w:val="006F6B73"/>
    <w:rsid w:val="006F6C40"/>
    <w:rsid w:val="006F6CF4"/>
    <w:rsid w:val="006F6D7D"/>
    <w:rsid w:val="006F6E47"/>
    <w:rsid w:val="006F6E50"/>
    <w:rsid w:val="006F6E9A"/>
    <w:rsid w:val="006F6EAF"/>
    <w:rsid w:val="006F6ECD"/>
    <w:rsid w:val="006F6F44"/>
    <w:rsid w:val="006F706D"/>
    <w:rsid w:val="006F70DF"/>
    <w:rsid w:val="006F7100"/>
    <w:rsid w:val="006F715A"/>
    <w:rsid w:val="006F71D7"/>
    <w:rsid w:val="006F7206"/>
    <w:rsid w:val="006F722E"/>
    <w:rsid w:val="006F73E6"/>
    <w:rsid w:val="006F741B"/>
    <w:rsid w:val="006F7545"/>
    <w:rsid w:val="006F75B0"/>
    <w:rsid w:val="006F7601"/>
    <w:rsid w:val="006F7654"/>
    <w:rsid w:val="006F7721"/>
    <w:rsid w:val="006F775C"/>
    <w:rsid w:val="006F78EE"/>
    <w:rsid w:val="006F7916"/>
    <w:rsid w:val="006F7924"/>
    <w:rsid w:val="006F7994"/>
    <w:rsid w:val="006F7A12"/>
    <w:rsid w:val="006F7ACD"/>
    <w:rsid w:val="006F7AD4"/>
    <w:rsid w:val="006F7B12"/>
    <w:rsid w:val="006F7B90"/>
    <w:rsid w:val="006F7B99"/>
    <w:rsid w:val="006F7BEA"/>
    <w:rsid w:val="006F7C4D"/>
    <w:rsid w:val="006F7CCC"/>
    <w:rsid w:val="006F7CEB"/>
    <w:rsid w:val="006F7D4A"/>
    <w:rsid w:val="006F7DD8"/>
    <w:rsid w:val="006F7E1C"/>
    <w:rsid w:val="006F7E29"/>
    <w:rsid w:val="006F7E35"/>
    <w:rsid w:val="007001CF"/>
    <w:rsid w:val="00700240"/>
    <w:rsid w:val="00700246"/>
    <w:rsid w:val="007002FC"/>
    <w:rsid w:val="00700314"/>
    <w:rsid w:val="007003C6"/>
    <w:rsid w:val="007003E0"/>
    <w:rsid w:val="00700403"/>
    <w:rsid w:val="007005DC"/>
    <w:rsid w:val="00700693"/>
    <w:rsid w:val="007007CC"/>
    <w:rsid w:val="007009BD"/>
    <w:rsid w:val="00700A69"/>
    <w:rsid w:val="00700BF9"/>
    <w:rsid w:val="00700E74"/>
    <w:rsid w:val="00700F9F"/>
    <w:rsid w:val="00701074"/>
    <w:rsid w:val="007010A7"/>
    <w:rsid w:val="007010B8"/>
    <w:rsid w:val="007010CB"/>
    <w:rsid w:val="007011A9"/>
    <w:rsid w:val="007011D2"/>
    <w:rsid w:val="0070132C"/>
    <w:rsid w:val="00701430"/>
    <w:rsid w:val="00701434"/>
    <w:rsid w:val="0070154B"/>
    <w:rsid w:val="0070182D"/>
    <w:rsid w:val="0070199F"/>
    <w:rsid w:val="00701A29"/>
    <w:rsid w:val="00701A78"/>
    <w:rsid w:val="00701AC1"/>
    <w:rsid w:val="00701B29"/>
    <w:rsid w:val="00701BFA"/>
    <w:rsid w:val="00701DFE"/>
    <w:rsid w:val="00701E23"/>
    <w:rsid w:val="00701EDD"/>
    <w:rsid w:val="00701F56"/>
    <w:rsid w:val="00701F8E"/>
    <w:rsid w:val="00701FF9"/>
    <w:rsid w:val="007020E7"/>
    <w:rsid w:val="007022A3"/>
    <w:rsid w:val="007022BA"/>
    <w:rsid w:val="007022C8"/>
    <w:rsid w:val="007022FD"/>
    <w:rsid w:val="007023C0"/>
    <w:rsid w:val="0070245A"/>
    <w:rsid w:val="007024F4"/>
    <w:rsid w:val="0070258D"/>
    <w:rsid w:val="0070272E"/>
    <w:rsid w:val="007028D5"/>
    <w:rsid w:val="00702932"/>
    <w:rsid w:val="0070299E"/>
    <w:rsid w:val="00702AA1"/>
    <w:rsid w:val="00702AF3"/>
    <w:rsid w:val="00702BBD"/>
    <w:rsid w:val="00702C14"/>
    <w:rsid w:val="00702C28"/>
    <w:rsid w:val="00702C56"/>
    <w:rsid w:val="00702C9F"/>
    <w:rsid w:val="00702D3F"/>
    <w:rsid w:val="00702DE8"/>
    <w:rsid w:val="00702F17"/>
    <w:rsid w:val="00703063"/>
    <w:rsid w:val="00703117"/>
    <w:rsid w:val="00703268"/>
    <w:rsid w:val="00703274"/>
    <w:rsid w:val="00703399"/>
    <w:rsid w:val="0070347A"/>
    <w:rsid w:val="0070348E"/>
    <w:rsid w:val="00703496"/>
    <w:rsid w:val="007034C2"/>
    <w:rsid w:val="007034DB"/>
    <w:rsid w:val="007035EB"/>
    <w:rsid w:val="007035FE"/>
    <w:rsid w:val="00703740"/>
    <w:rsid w:val="0070388B"/>
    <w:rsid w:val="00703936"/>
    <w:rsid w:val="0070399F"/>
    <w:rsid w:val="00703A30"/>
    <w:rsid w:val="00703A5B"/>
    <w:rsid w:val="00703A9C"/>
    <w:rsid w:val="00703B7E"/>
    <w:rsid w:val="00703B8D"/>
    <w:rsid w:val="00703BA9"/>
    <w:rsid w:val="00703CA6"/>
    <w:rsid w:val="00703E25"/>
    <w:rsid w:val="00703EC1"/>
    <w:rsid w:val="00703EF1"/>
    <w:rsid w:val="00703EF6"/>
    <w:rsid w:val="00703F44"/>
    <w:rsid w:val="0070408E"/>
    <w:rsid w:val="007040B1"/>
    <w:rsid w:val="007040F8"/>
    <w:rsid w:val="0070433D"/>
    <w:rsid w:val="0070434E"/>
    <w:rsid w:val="007043AD"/>
    <w:rsid w:val="00704429"/>
    <w:rsid w:val="00704458"/>
    <w:rsid w:val="0070445F"/>
    <w:rsid w:val="007044BC"/>
    <w:rsid w:val="007046C2"/>
    <w:rsid w:val="00704736"/>
    <w:rsid w:val="00704826"/>
    <w:rsid w:val="00704867"/>
    <w:rsid w:val="007048BF"/>
    <w:rsid w:val="007049A9"/>
    <w:rsid w:val="00704AC0"/>
    <w:rsid w:val="00704C52"/>
    <w:rsid w:val="00704CE4"/>
    <w:rsid w:val="00704E1A"/>
    <w:rsid w:val="00704F40"/>
    <w:rsid w:val="00704F57"/>
    <w:rsid w:val="00704FA2"/>
    <w:rsid w:val="00704FC3"/>
    <w:rsid w:val="007050F4"/>
    <w:rsid w:val="00705129"/>
    <w:rsid w:val="007052CE"/>
    <w:rsid w:val="00705400"/>
    <w:rsid w:val="00705677"/>
    <w:rsid w:val="007057D4"/>
    <w:rsid w:val="007057E2"/>
    <w:rsid w:val="00705904"/>
    <w:rsid w:val="007059DC"/>
    <w:rsid w:val="00705ACA"/>
    <w:rsid w:val="00705B2F"/>
    <w:rsid w:val="00705BB9"/>
    <w:rsid w:val="00705BCA"/>
    <w:rsid w:val="00705BEF"/>
    <w:rsid w:val="00705D88"/>
    <w:rsid w:val="00705E28"/>
    <w:rsid w:val="00705EE8"/>
    <w:rsid w:val="00705EF6"/>
    <w:rsid w:val="007061C8"/>
    <w:rsid w:val="00706298"/>
    <w:rsid w:val="00706329"/>
    <w:rsid w:val="00706472"/>
    <w:rsid w:val="00706523"/>
    <w:rsid w:val="00706560"/>
    <w:rsid w:val="00706562"/>
    <w:rsid w:val="00706692"/>
    <w:rsid w:val="00706755"/>
    <w:rsid w:val="00706756"/>
    <w:rsid w:val="007067DC"/>
    <w:rsid w:val="007067EB"/>
    <w:rsid w:val="007069C9"/>
    <w:rsid w:val="00706A0F"/>
    <w:rsid w:val="00706B47"/>
    <w:rsid w:val="00706CA4"/>
    <w:rsid w:val="00706D78"/>
    <w:rsid w:val="00706E06"/>
    <w:rsid w:val="00706EC6"/>
    <w:rsid w:val="00706EDC"/>
    <w:rsid w:val="00706EF4"/>
    <w:rsid w:val="00706EFB"/>
    <w:rsid w:val="0070701E"/>
    <w:rsid w:val="00707079"/>
    <w:rsid w:val="0070709D"/>
    <w:rsid w:val="00707177"/>
    <w:rsid w:val="007073E5"/>
    <w:rsid w:val="007073F9"/>
    <w:rsid w:val="00707443"/>
    <w:rsid w:val="0070744E"/>
    <w:rsid w:val="00707470"/>
    <w:rsid w:val="007074D4"/>
    <w:rsid w:val="00707622"/>
    <w:rsid w:val="00707657"/>
    <w:rsid w:val="00707705"/>
    <w:rsid w:val="007078C1"/>
    <w:rsid w:val="00707977"/>
    <w:rsid w:val="00707995"/>
    <w:rsid w:val="007079FC"/>
    <w:rsid w:val="00707B1E"/>
    <w:rsid w:val="00707B37"/>
    <w:rsid w:val="00707BF8"/>
    <w:rsid w:val="00707C7B"/>
    <w:rsid w:val="00707C9A"/>
    <w:rsid w:val="00707D90"/>
    <w:rsid w:val="00707E7E"/>
    <w:rsid w:val="00707F7C"/>
    <w:rsid w:val="00710040"/>
    <w:rsid w:val="0071012E"/>
    <w:rsid w:val="00710183"/>
    <w:rsid w:val="0071024C"/>
    <w:rsid w:val="007102CB"/>
    <w:rsid w:val="00710367"/>
    <w:rsid w:val="00710444"/>
    <w:rsid w:val="00710599"/>
    <w:rsid w:val="00710671"/>
    <w:rsid w:val="0071070F"/>
    <w:rsid w:val="007107AE"/>
    <w:rsid w:val="007107CB"/>
    <w:rsid w:val="0071080F"/>
    <w:rsid w:val="0071087B"/>
    <w:rsid w:val="00710A9F"/>
    <w:rsid w:val="00710AB3"/>
    <w:rsid w:val="00710AD4"/>
    <w:rsid w:val="00710C9E"/>
    <w:rsid w:val="00710D3E"/>
    <w:rsid w:val="00710F10"/>
    <w:rsid w:val="00710F85"/>
    <w:rsid w:val="0071100F"/>
    <w:rsid w:val="00711053"/>
    <w:rsid w:val="0071106D"/>
    <w:rsid w:val="00711099"/>
    <w:rsid w:val="007110C9"/>
    <w:rsid w:val="00711116"/>
    <w:rsid w:val="0071126C"/>
    <w:rsid w:val="007112DF"/>
    <w:rsid w:val="00711422"/>
    <w:rsid w:val="0071142A"/>
    <w:rsid w:val="007114C2"/>
    <w:rsid w:val="0071155B"/>
    <w:rsid w:val="007116B1"/>
    <w:rsid w:val="00711777"/>
    <w:rsid w:val="0071185E"/>
    <w:rsid w:val="00711912"/>
    <w:rsid w:val="00711956"/>
    <w:rsid w:val="007119FC"/>
    <w:rsid w:val="00711AE3"/>
    <w:rsid w:val="00711B31"/>
    <w:rsid w:val="00711B4E"/>
    <w:rsid w:val="00711B5C"/>
    <w:rsid w:val="00711B67"/>
    <w:rsid w:val="00711BB5"/>
    <w:rsid w:val="00711BEF"/>
    <w:rsid w:val="00711CEA"/>
    <w:rsid w:val="00711D5D"/>
    <w:rsid w:val="00711E40"/>
    <w:rsid w:val="00711E7D"/>
    <w:rsid w:val="00711F8A"/>
    <w:rsid w:val="00712085"/>
    <w:rsid w:val="0071214F"/>
    <w:rsid w:val="00712173"/>
    <w:rsid w:val="00712297"/>
    <w:rsid w:val="0071249E"/>
    <w:rsid w:val="00712505"/>
    <w:rsid w:val="0071253D"/>
    <w:rsid w:val="0071254D"/>
    <w:rsid w:val="0071261A"/>
    <w:rsid w:val="007126C1"/>
    <w:rsid w:val="007126DF"/>
    <w:rsid w:val="00712700"/>
    <w:rsid w:val="007127EE"/>
    <w:rsid w:val="00712800"/>
    <w:rsid w:val="007128C9"/>
    <w:rsid w:val="00712974"/>
    <w:rsid w:val="007129B4"/>
    <w:rsid w:val="007129C3"/>
    <w:rsid w:val="007129FD"/>
    <w:rsid w:val="00712A5C"/>
    <w:rsid w:val="00712B8A"/>
    <w:rsid w:val="00712C78"/>
    <w:rsid w:val="00712EF9"/>
    <w:rsid w:val="007130E3"/>
    <w:rsid w:val="007131D4"/>
    <w:rsid w:val="00713239"/>
    <w:rsid w:val="00713613"/>
    <w:rsid w:val="0071381D"/>
    <w:rsid w:val="0071390E"/>
    <w:rsid w:val="00713A1A"/>
    <w:rsid w:val="00713AE5"/>
    <w:rsid w:val="00713B87"/>
    <w:rsid w:val="00713B88"/>
    <w:rsid w:val="00713CBA"/>
    <w:rsid w:val="00713CE1"/>
    <w:rsid w:val="00713D4A"/>
    <w:rsid w:val="00713DA3"/>
    <w:rsid w:val="00713F46"/>
    <w:rsid w:val="0071408D"/>
    <w:rsid w:val="007140D5"/>
    <w:rsid w:val="007141D0"/>
    <w:rsid w:val="0071436F"/>
    <w:rsid w:val="007143C3"/>
    <w:rsid w:val="0071447B"/>
    <w:rsid w:val="00714489"/>
    <w:rsid w:val="00714494"/>
    <w:rsid w:val="0071453E"/>
    <w:rsid w:val="00714731"/>
    <w:rsid w:val="0071479F"/>
    <w:rsid w:val="00714834"/>
    <w:rsid w:val="00714858"/>
    <w:rsid w:val="007149A7"/>
    <w:rsid w:val="00714A34"/>
    <w:rsid w:val="00714AD9"/>
    <w:rsid w:val="00714B60"/>
    <w:rsid w:val="00714BC9"/>
    <w:rsid w:val="00714BEF"/>
    <w:rsid w:val="00714C09"/>
    <w:rsid w:val="00714C39"/>
    <w:rsid w:val="00714C66"/>
    <w:rsid w:val="00714C7F"/>
    <w:rsid w:val="00714E97"/>
    <w:rsid w:val="00714F95"/>
    <w:rsid w:val="007153D0"/>
    <w:rsid w:val="007155AB"/>
    <w:rsid w:val="00715694"/>
    <w:rsid w:val="007157F9"/>
    <w:rsid w:val="00715834"/>
    <w:rsid w:val="0071587C"/>
    <w:rsid w:val="007158B7"/>
    <w:rsid w:val="00715B65"/>
    <w:rsid w:val="00715C7C"/>
    <w:rsid w:val="00715CA8"/>
    <w:rsid w:val="00715D6D"/>
    <w:rsid w:val="00715E33"/>
    <w:rsid w:val="00716005"/>
    <w:rsid w:val="00716176"/>
    <w:rsid w:val="00716346"/>
    <w:rsid w:val="0071634B"/>
    <w:rsid w:val="00716408"/>
    <w:rsid w:val="00716418"/>
    <w:rsid w:val="00716478"/>
    <w:rsid w:val="007164C9"/>
    <w:rsid w:val="007165D5"/>
    <w:rsid w:val="0071665D"/>
    <w:rsid w:val="0071667A"/>
    <w:rsid w:val="00716696"/>
    <w:rsid w:val="00716762"/>
    <w:rsid w:val="00716835"/>
    <w:rsid w:val="0071688A"/>
    <w:rsid w:val="007169F6"/>
    <w:rsid w:val="00716A71"/>
    <w:rsid w:val="00716A8D"/>
    <w:rsid w:val="00716C3B"/>
    <w:rsid w:val="00716CD9"/>
    <w:rsid w:val="00716D48"/>
    <w:rsid w:val="00716D66"/>
    <w:rsid w:val="00716E19"/>
    <w:rsid w:val="00716E6B"/>
    <w:rsid w:val="00716F61"/>
    <w:rsid w:val="0071705A"/>
    <w:rsid w:val="007170B2"/>
    <w:rsid w:val="0071711A"/>
    <w:rsid w:val="0071720D"/>
    <w:rsid w:val="00717216"/>
    <w:rsid w:val="0071725E"/>
    <w:rsid w:val="00717272"/>
    <w:rsid w:val="00717333"/>
    <w:rsid w:val="007173C0"/>
    <w:rsid w:val="00717469"/>
    <w:rsid w:val="007174EF"/>
    <w:rsid w:val="007175D7"/>
    <w:rsid w:val="00717602"/>
    <w:rsid w:val="0071772A"/>
    <w:rsid w:val="007177D1"/>
    <w:rsid w:val="00717824"/>
    <w:rsid w:val="00717859"/>
    <w:rsid w:val="007178DE"/>
    <w:rsid w:val="00717A06"/>
    <w:rsid w:val="00717A87"/>
    <w:rsid w:val="00717AA6"/>
    <w:rsid w:val="00717BEB"/>
    <w:rsid w:val="00717C5D"/>
    <w:rsid w:val="00717D0E"/>
    <w:rsid w:val="00717D35"/>
    <w:rsid w:val="00717DCE"/>
    <w:rsid w:val="00717E39"/>
    <w:rsid w:val="00717F00"/>
    <w:rsid w:val="00717FB0"/>
    <w:rsid w:val="0072008E"/>
    <w:rsid w:val="00720335"/>
    <w:rsid w:val="0072039C"/>
    <w:rsid w:val="007203DE"/>
    <w:rsid w:val="007203EE"/>
    <w:rsid w:val="00720435"/>
    <w:rsid w:val="007204B8"/>
    <w:rsid w:val="007204C2"/>
    <w:rsid w:val="00720609"/>
    <w:rsid w:val="00720683"/>
    <w:rsid w:val="00720708"/>
    <w:rsid w:val="0072077C"/>
    <w:rsid w:val="007207B4"/>
    <w:rsid w:val="007207CD"/>
    <w:rsid w:val="007207DD"/>
    <w:rsid w:val="0072082E"/>
    <w:rsid w:val="00720855"/>
    <w:rsid w:val="007208B8"/>
    <w:rsid w:val="00720931"/>
    <w:rsid w:val="00720AAF"/>
    <w:rsid w:val="00720D6A"/>
    <w:rsid w:val="00720E48"/>
    <w:rsid w:val="00720FBD"/>
    <w:rsid w:val="00721008"/>
    <w:rsid w:val="00721026"/>
    <w:rsid w:val="007210BD"/>
    <w:rsid w:val="00721128"/>
    <w:rsid w:val="00721278"/>
    <w:rsid w:val="00721315"/>
    <w:rsid w:val="00721496"/>
    <w:rsid w:val="0072152C"/>
    <w:rsid w:val="007215E2"/>
    <w:rsid w:val="00721631"/>
    <w:rsid w:val="007216AF"/>
    <w:rsid w:val="007216D5"/>
    <w:rsid w:val="00721707"/>
    <w:rsid w:val="00721735"/>
    <w:rsid w:val="0072195E"/>
    <w:rsid w:val="00721B2D"/>
    <w:rsid w:val="00721B34"/>
    <w:rsid w:val="00721D7F"/>
    <w:rsid w:val="00721F1C"/>
    <w:rsid w:val="00721F74"/>
    <w:rsid w:val="00721FAF"/>
    <w:rsid w:val="00721FCE"/>
    <w:rsid w:val="00721FDC"/>
    <w:rsid w:val="007220C1"/>
    <w:rsid w:val="007220FF"/>
    <w:rsid w:val="007222FD"/>
    <w:rsid w:val="0072231A"/>
    <w:rsid w:val="007224E4"/>
    <w:rsid w:val="0072254A"/>
    <w:rsid w:val="007225C1"/>
    <w:rsid w:val="007225C4"/>
    <w:rsid w:val="00722628"/>
    <w:rsid w:val="0072266B"/>
    <w:rsid w:val="007226C6"/>
    <w:rsid w:val="00722755"/>
    <w:rsid w:val="00722796"/>
    <w:rsid w:val="00722841"/>
    <w:rsid w:val="0072287A"/>
    <w:rsid w:val="00722918"/>
    <w:rsid w:val="0072299D"/>
    <w:rsid w:val="007229E2"/>
    <w:rsid w:val="00722A45"/>
    <w:rsid w:val="00722A67"/>
    <w:rsid w:val="00722AC7"/>
    <w:rsid w:val="00722BAB"/>
    <w:rsid w:val="00722C2C"/>
    <w:rsid w:val="00722CA0"/>
    <w:rsid w:val="00722DDD"/>
    <w:rsid w:val="00722DF3"/>
    <w:rsid w:val="00722E80"/>
    <w:rsid w:val="00722EA7"/>
    <w:rsid w:val="00722F1B"/>
    <w:rsid w:val="00722F46"/>
    <w:rsid w:val="00723019"/>
    <w:rsid w:val="0072302B"/>
    <w:rsid w:val="0072303F"/>
    <w:rsid w:val="00723077"/>
    <w:rsid w:val="00723132"/>
    <w:rsid w:val="00723189"/>
    <w:rsid w:val="007231CF"/>
    <w:rsid w:val="00723269"/>
    <w:rsid w:val="0072326A"/>
    <w:rsid w:val="007233E0"/>
    <w:rsid w:val="00723412"/>
    <w:rsid w:val="007234C3"/>
    <w:rsid w:val="007234C7"/>
    <w:rsid w:val="00723550"/>
    <w:rsid w:val="007235D9"/>
    <w:rsid w:val="0072360B"/>
    <w:rsid w:val="00723663"/>
    <w:rsid w:val="007236A1"/>
    <w:rsid w:val="007236A9"/>
    <w:rsid w:val="00723700"/>
    <w:rsid w:val="0072379C"/>
    <w:rsid w:val="007237D5"/>
    <w:rsid w:val="0072380C"/>
    <w:rsid w:val="00723836"/>
    <w:rsid w:val="0072383E"/>
    <w:rsid w:val="00723885"/>
    <w:rsid w:val="0072388D"/>
    <w:rsid w:val="00723A49"/>
    <w:rsid w:val="00723A69"/>
    <w:rsid w:val="00723BE1"/>
    <w:rsid w:val="00723C55"/>
    <w:rsid w:val="00723C96"/>
    <w:rsid w:val="00723C9A"/>
    <w:rsid w:val="00723D0E"/>
    <w:rsid w:val="00723DF0"/>
    <w:rsid w:val="00723E60"/>
    <w:rsid w:val="00723EEB"/>
    <w:rsid w:val="00723F43"/>
    <w:rsid w:val="00723F97"/>
    <w:rsid w:val="00724091"/>
    <w:rsid w:val="007241D3"/>
    <w:rsid w:val="0072428D"/>
    <w:rsid w:val="00724572"/>
    <w:rsid w:val="007245E9"/>
    <w:rsid w:val="00724716"/>
    <w:rsid w:val="0072477A"/>
    <w:rsid w:val="00724888"/>
    <w:rsid w:val="0072490A"/>
    <w:rsid w:val="007249C6"/>
    <w:rsid w:val="00724AB4"/>
    <w:rsid w:val="00724B3E"/>
    <w:rsid w:val="00724B65"/>
    <w:rsid w:val="00724B67"/>
    <w:rsid w:val="00724BFB"/>
    <w:rsid w:val="00724C31"/>
    <w:rsid w:val="00724C6E"/>
    <w:rsid w:val="00724CE5"/>
    <w:rsid w:val="00724D3F"/>
    <w:rsid w:val="00724E23"/>
    <w:rsid w:val="00724E2F"/>
    <w:rsid w:val="00724EBC"/>
    <w:rsid w:val="00724F85"/>
    <w:rsid w:val="00724FAD"/>
    <w:rsid w:val="0072503C"/>
    <w:rsid w:val="007250B5"/>
    <w:rsid w:val="00725151"/>
    <w:rsid w:val="00725206"/>
    <w:rsid w:val="007252AA"/>
    <w:rsid w:val="00725383"/>
    <w:rsid w:val="00725423"/>
    <w:rsid w:val="0072546E"/>
    <w:rsid w:val="00725487"/>
    <w:rsid w:val="00725554"/>
    <w:rsid w:val="0072565C"/>
    <w:rsid w:val="007257D9"/>
    <w:rsid w:val="0072582A"/>
    <w:rsid w:val="0072597E"/>
    <w:rsid w:val="00725ACB"/>
    <w:rsid w:val="00725ACD"/>
    <w:rsid w:val="00725C6B"/>
    <w:rsid w:val="00725D5A"/>
    <w:rsid w:val="00725E21"/>
    <w:rsid w:val="00725F73"/>
    <w:rsid w:val="007261E3"/>
    <w:rsid w:val="0072622D"/>
    <w:rsid w:val="007262D2"/>
    <w:rsid w:val="00726382"/>
    <w:rsid w:val="00726444"/>
    <w:rsid w:val="00726471"/>
    <w:rsid w:val="00726513"/>
    <w:rsid w:val="0072652C"/>
    <w:rsid w:val="00726603"/>
    <w:rsid w:val="00726860"/>
    <w:rsid w:val="00726919"/>
    <w:rsid w:val="007269BA"/>
    <w:rsid w:val="00726BA0"/>
    <w:rsid w:val="00726BD3"/>
    <w:rsid w:val="00726BF4"/>
    <w:rsid w:val="00726CF0"/>
    <w:rsid w:val="00726ED8"/>
    <w:rsid w:val="00726FB1"/>
    <w:rsid w:val="00727270"/>
    <w:rsid w:val="007273EB"/>
    <w:rsid w:val="007273F5"/>
    <w:rsid w:val="007274A2"/>
    <w:rsid w:val="0072750A"/>
    <w:rsid w:val="00727543"/>
    <w:rsid w:val="007275DD"/>
    <w:rsid w:val="007277C8"/>
    <w:rsid w:val="007277F2"/>
    <w:rsid w:val="007278CD"/>
    <w:rsid w:val="007278E9"/>
    <w:rsid w:val="007279B5"/>
    <w:rsid w:val="00727A12"/>
    <w:rsid w:val="00727A73"/>
    <w:rsid w:val="00727AF5"/>
    <w:rsid w:val="00727B49"/>
    <w:rsid w:val="00727B4B"/>
    <w:rsid w:val="00727BAC"/>
    <w:rsid w:val="00727C44"/>
    <w:rsid w:val="00727C5B"/>
    <w:rsid w:val="00727CDA"/>
    <w:rsid w:val="00727D59"/>
    <w:rsid w:val="00727E22"/>
    <w:rsid w:val="00727E53"/>
    <w:rsid w:val="00727E6D"/>
    <w:rsid w:val="00727E7E"/>
    <w:rsid w:val="00727F85"/>
    <w:rsid w:val="00730057"/>
    <w:rsid w:val="007303D8"/>
    <w:rsid w:val="0073042C"/>
    <w:rsid w:val="007304A8"/>
    <w:rsid w:val="007304DC"/>
    <w:rsid w:val="00730552"/>
    <w:rsid w:val="007307E6"/>
    <w:rsid w:val="0073091E"/>
    <w:rsid w:val="007309AC"/>
    <w:rsid w:val="00730A42"/>
    <w:rsid w:val="00730C58"/>
    <w:rsid w:val="00730E57"/>
    <w:rsid w:val="00730F2A"/>
    <w:rsid w:val="00730F65"/>
    <w:rsid w:val="00730FB2"/>
    <w:rsid w:val="00730FD9"/>
    <w:rsid w:val="0073105E"/>
    <w:rsid w:val="00731183"/>
    <w:rsid w:val="007311F5"/>
    <w:rsid w:val="0073122F"/>
    <w:rsid w:val="007313A5"/>
    <w:rsid w:val="00731444"/>
    <w:rsid w:val="007314DC"/>
    <w:rsid w:val="00731527"/>
    <w:rsid w:val="00731604"/>
    <w:rsid w:val="00731612"/>
    <w:rsid w:val="00731679"/>
    <w:rsid w:val="007316B1"/>
    <w:rsid w:val="007316C6"/>
    <w:rsid w:val="00731706"/>
    <w:rsid w:val="0073174E"/>
    <w:rsid w:val="0073184F"/>
    <w:rsid w:val="007318BD"/>
    <w:rsid w:val="007318E8"/>
    <w:rsid w:val="00731B8E"/>
    <w:rsid w:val="00731EF6"/>
    <w:rsid w:val="00731F52"/>
    <w:rsid w:val="00731F8F"/>
    <w:rsid w:val="00731FBF"/>
    <w:rsid w:val="0073200D"/>
    <w:rsid w:val="007320E1"/>
    <w:rsid w:val="00732138"/>
    <w:rsid w:val="00732356"/>
    <w:rsid w:val="0073253F"/>
    <w:rsid w:val="007325B3"/>
    <w:rsid w:val="00732806"/>
    <w:rsid w:val="007328FE"/>
    <w:rsid w:val="00732A05"/>
    <w:rsid w:val="00732B62"/>
    <w:rsid w:val="00732CDB"/>
    <w:rsid w:val="00732E0A"/>
    <w:rsid w:val="00732E60"/>
    <w:rsid w:val="00732EB3"/>
    <w:rsid w:val="00732EC5"/>
    <w:rsid w:val="00732F17"/>
    <w:rsid w:val="00733002"/>
    <w:rsid w:val="00733060"/>
    <w:rsid w:val="00733134"/>
    <w:rsid w:val="007331B6"/>
    <w:rsid w:val="007331DC"/>
    <w:rsid w:val="00733273"/>
    <w:rsid w:val="00733351"/>
    <w:rsid w:val="007333BA"/>
    <w:rsid w:val="007333F5"/>
    <w:rsid w:val="007334CF"/>
    <w:rsid w:val="00733569"/>
    <w:rsid w:val="007335EC"/>
    <w:rsid w:val="007335ED"/>
    <w:rsid w:val="0073360B"/>
    <w:rsid w:val="007336E9"/>
    <w:rsid w:val="00733795"/>
    <w:rsid w:val="00733813"/>
    <w:rsid w:val="007338A9"/>
    <w:rsid w:val="007338D8"/>
    <w:rsid w:val="00733930"/>
    <w:rsid w:val="0073398D"/>
    <w:rsid w:val="00733993"/>
    <w:rsid w:val="00733AE1"/>
    <w:rsid w:val="00733B06"/>
    <w:rsid w:val="00733C46"/>
    <w:rsid w:val="00733D4F"/>
    <w:rsid w:val="00733DA8"/>
    <w:rsid w:val="00733E14"/>
    <w:rsid w:val="00733E95"/>
    <w:rsid w:val="00733EA7"/>
    <w:rsid w:val="00733EE6"/>
    <w:rsid w:val="00733F64"/>
    <w:rsid w:val="007340FE"/>
    <w:rsid w:val="00734188"/>
    <w:rsid w:val="007341FF"/>
    <w:rsid w:val="00734313"/>
    <w:rsid w:val="00734317"/>
    <w:rsid w:val="00734349"/>
    <w:rsid w:val="00734354"/>
    <w:rsid w:val="0073446F"/>
    <w:rsid w:val="00734492"/>
    <w:rsid w:val="007344E1"/>
    <w:rsid w:val="00734560"/>
    <w:rsid w:val="0073456C"/>
    <w:rsid w:val="007345E0"/>
    <w:rsid w:val="00734639"/>
    <w:rsid w:val="00734666"/>
    <w:rsid w:val="007346FD"/>
    <w:rsid w:val="00734731"/>
    <w:rsid w:val="0073474D"/>
    <w:rsid w:val="007347FA"/>
    <w:rsid w:val="00734869"/>
    <w:rsid w:val="007348B3"/>
    <w:rsid w:val="007348D7"/>
    <w:rsid w:val="007348ED"/>
    <w:rsid w:val="00734ACB"/>
    <w:rsid w:val="00734BA0"/>
    <w:rsid w:val="00734BF4"/>
    <w:rsid w:val="00734E19"/>
    <w:rsid w:val="00734E95"/>
    <w:rsid w:val="00734F24"/>
    <w:rsid w:val="00734FA1"/>
    <w:rsid w:val="0073501B"/>
    <w:rsid w:val="0073501E"/>
    <w:rsid w:val="00735170"/>
    <w:rsid w:val="007351C9"/>
    <w:rsid w:val="0073521C"/>
    <w:rsid w:val="00735236"/>
    <w:rsid w:val="007352A8"/>
    <w:rsid w:val="0073531E"/>
    <w:rsid w:val="00735372"/>
    <w:rsid w:val="00735391"/>
    <w:rsid w:val="007353F2"/>
    <w:rsid w:val="007353FA"/>
    <w:rsid w:val="00735555"/>
    <w:rsid w:val="00735582"/>
    <w:rsid w:val="0073559B"/>
    <w:rsid w:val="00735627"/>
    <w:rsid w:val="00735827"/>
    <w:rsid w:val="007358FF"/>
    <w:rsid w:val="00735AE3"/>
    <w:rsid w:val="00735C50"/>
    <w:rsid w:val="00735CCF"/>
    <w:rsid w:val="00735D2C"/>
    <w:rsid w:val="00735E72"/>
    <w:rsid w:val="00735E87"/>
    <w:rsid w:val="00735FF4"/>
    <w:rsid w:val="0073601B"/>
    <w:rsid w:val="007360A4"/>
    <w:rsid w:val="0073611F"/>
    <w:rsid w:val="00736307"/>
    <w:rsid w:val="0073642D"/>
    <w:rsid w:val="00736435"/>
    <w:rsid w:val="0073644E"/>
    <w:rsid w:val="00736520"/>
    <w:rsid w:val="00736585"/>
    <w:rsid w:val="007366B3"/>
    <w:rsid w:val="007366FD"/>
    <w:rsid w:val="00736790"/>
    <w:rsid w:val="007367AF"/>
    <w:rsid w:val="007367FF"/>
    <w:rsid w:val="00736827"/>
    <w:rsid w:val="007368C3"/>
    <w:rsid w:val="007368CC"/>
    <w:rsid w:val="007368CE"/>
    <w:rsid w:val="00736930"/>
    <w:rsid w:val="00736980"/>
    <w:rsid w:val="00736A1A"/>
    <w:rsid w:val="00736BBB"/>
    <w:rsid w:val="00736C20"/>
    <w:rsid w:val="00736C75"/>
    <w:rsid w:val="00736DAA"/>
    <w:rsid w:val="00736E60"/>
    <w:rsid w:val="00736F13"/>
    <w:rsid w:val="00736F1D"/>
    <w:rsid w:val="00736F33"/>
    <w:rsid w:val="00736F8E"/>
    <w:rsid w:val="00736FD0"/>
    <w:rsid w:val="007371C3"/>
    <w:rsid w:val="007371D1"/>
    <w:rsid w:val="007371F2"/>
    <w:rsid w:val="0073721D"/>
    <w:rsid w:val="00737344"/>
    <w:rsid w:val="007373C9"/>
    <w:rsid w:val="00737536"/>
    <w:rsid w:val="007376AE"/>
    <w:rsid w:val="007376BB"/>
    <w:rsid w:val="007376F0"/>
    <w:rsid w:val="00737708"/>
    <w:rsid w:val="0073779D"/>
    <w:rsid w:val="007378A0"/>
    <w:rsid w:val="00737973"/>
    <w:rsid w:val="007379DB"/>
    <w:rsid w:val="00737AF7"/>
    <w:rsid w:val="00737AFB"/>
    <w:rsid w:val="00737B84"/>
    <w:rsid w:val="00737C47"/>
    <w:rsid w:val="00737C4D"/>
    <w:rsid w:val="00737C6C"/>
    <w:rsid w:val="00737C9C"/>
    <w:rsid w:val="00737CFC"/>
    <w:rsid w:val="00737E1F"/>
    <w:rsid w:val="00737E5D"/>
    <w:rsid w:val="00737F20"/>
    <w:rsid w:val="00737F7D"/>
    <w:rsid w:val="0073C930"/>
    <w:rsid w:val="0073E11A"/>
    <w:rsid w:val="00740024"/>
    <w:rsid w:val="00740193"/>
    <w:rsid w:val="007401F6"/>
    <w:rsid w:val="00740244"/>
    <w:rsid w:val="00740317"/>
    <w:rsid w:val="0074031D"/>
    <w:rsid w:val="0074039F"/>
    <w:rsid w:val="007403AD"/>
    <w:rsid w:val="007404DF"/>
    <w:rsid w:val="00740516"/>
    <w:rsid w:val="0074057E"/>
    <w:rsid w:val="007405A4"/>
    <w:rsid w:val="0074066A"/>
    <w:rsid w:val="007406E0"/>
    <w:rsid w:val="00740759"/>
    <w:rsid w:val="007407E2"/>
    <w:rsid w:val="007408E6"/>
    <w:rsid w:val="00740915"/>
    <w:rsid w:val="00740B3F"/>
    <w:rsid w:val="00740B89"/>
    <w:rsid w:val="00740BD9"/>
    <w:rsid w:val="00740CD6"/>
    <w:rsid w:val="00740D02"/>
    <w:rsid w:val="00740D68"/>
    <w:rsid w:val="00740F05"/>
    <w:rsid w:val="00740F18"/>
    <w:rsid w:val="00740F59"/>
    <w:rsid w:val="00740FBC"/>
    <w:rsid w:val="007410AB"/>
    <w:rsid w:val="007411DA"/>
    <w:rsid w:val="007412A8"/>
    <w:rsid w:val="007412B2"/>
    <w:rsid w:val="007412BB"/>
    <w:rsid w:val="007412ED"/>
    <w:rsid w:val="0074136B"/>
    <w:rsid w:val="007413DE"/>
    <w:rsid w:val="0074143E"/>
    <w:rsid w:val="007414C6"/>
    <w:rsid w:val="007414E9"/>
    <w:rsid w:val="007414F8"/>
    <w:rsid w:val="007415A5"/>
    <w:rsid w:val="00741735"/>
    <w:rsid w:val="00741747"/>
    <w:rsid w:val="00741843"/>
    <w:rsid w:val="00741860"/>
    <w:rsid w:val="00741893"/>
    <w:rsid w:val="007418DB"/>
    <w:rsid w:val="00741A17"/>
    <w:rsid w:val="00741A75"/>
    <w:rsid w:val="00741A89"/>
    <w:rsid w:val="00741AC7"/>
    <w:rsid w:val="00741C42"/>
    <w:rsid w:val="00741CE9"/>
    <w:rsid w:val="00741D24"/>
    <w:rsid w:val="00741D31"/>
    <w:rsid w:val="00741E53"/>
    <w:rsid w:val="00741EBE"/>
    <w:rsid w:val="00741EFE"/>
    <w:rsid w:val="00741F99"/>
    <w:rsid w:val="0074206D"/>
    <w:rsid w:val="00742107"/>
    <w:rsid w:val="0074212B"/>
    <w:rsid w:val="00742400"/>
    <w:rsid w:val="0074244B"/>
    <w:rsid w:val="00742468"/>
    <w:rsid w:val="00742499"/>
    <w:rsid w:val="007424BB"/>
    <w:rsid w:val="0074253C"/>
    <w:rsid w:val="00742558"/>
    <w:rsid w:val="0074255C"/>
    <w:rsid w:val="007425BB"/>
    <w:rsid w:val="00742719"/>
    <w:rsid w:val="00742758"/>
    <w:rsid w:val="007427E8"/>
    <w:rsid w:val="00742859"/>
    <w:rsid w:val="0074287C"/>
    <w:rsid w:val="007428B7"/>
    <w:rsid w:val="007429EF"/>
    <w:rsid w:val="00742A93"/>
    <w:rsid w:val="00742AC4"/>
    <w:rsid w:val="00742B8C"/>
    <w:rsid w:val="00742BCD"/>
    <w:rsid w:val="00742BF4"/>
    <w:rsid w:val="00742C9A"/>
    <w:rsid w:val="00742D4D"/>
    <w:rsid w:val="00742D63"/>
    <w:rsid w:val="00742D85"/>
    <w:rsid w:val="00742DF5"/>
    <w:rsid w:val="00742E66"/>
    <w:rsid w:val="00742EDC"/>
    <w:rsid w:val="00742F34"/>
    <w:rsid w:val="00743076"/>
    <w:rsid w:val="0074307F"/>
    <w:rsid w:val="007431EC"/>
    <w:rsid w:val="0074328F"/>
    <w:rsid w:val="00743317"/>
    <w:rsid w:val="007433E6"/>
    <w:rsid w:val="0074345D"/>
    <w:rsid w:val="007435AF"/>
    <w:rsid w:val="007436F2"/>
    <w:rsid w:val="0074370B"/>
    <w:rsid w:val="0074378B"/>
    <w:rsid w:val="00743900"/>
    <w:rsid w:val="00743935"/>
    <w:rsid w:val="00743968"/>
    <w:rsid w:val="007439AC"/>
    <w:rsid w:val="007439BC"/>
    <w:rsid w:val="00743A2F"/>
    <w:rsid w:val="00743AB1"/>
    <w:rsid w:val="00743AEE"/>
    <w:rsid w:val="00743B1B"/>
    <w:rsid w:val="00743B24"/>
    <w:rsid w:val="00743B3C"/>
    <w:rsid w:val="00743BB5"/>
    <w:rsid w:val="00743CA6"/>
    <w:rsid w:val="00743CD2"/>
    <w:rsid w:val="00743CE2"/>
    <w:rsid w:val="00743D85"/>
    <w:rsid w:val="00743E16"/>
    <w:rsid w:val="00743EA2"/>
    <w:rsid w:val="00744091"/>
    <w:rsid w:val="007440BE"/>
    <w:rsid w:val="007440F6"/>
    <w:rsid w:val="0074417A"/>
    <w:rsid w:val="00744329"/>
    <w:rsid w:val="00744366"/>
    <w:rsid w:val="00744383"/>
    <w:rsid w:val="00744610"/>
    <w:rsid w:val="00744611"/>
    <w:rsid w:val="007446A3"/>
    <w:rsid w:val="007446FC"/>
    <w:rsid w:val="00744771"/>
    <w:rsid w:val="00744892"/>
    <w:rsid w:val="007448FE"/>
    <w:rsid w:val="00744A38"/>
    <w:rsid w:val="00744C17"/>
    <w:rsid w:val="00744C2E"/>
    <w:rsid w:val="00744C50"/>
    <w:rsid w:val="00744DA0"/>
    <w:rsid w:val="00744DFA"/>
    <w:rsid w:val="00744E3C"/>
    <w:rsid w:val="00744E59"/>
    <w:rsid w:val="00744E75"/>
    <w:rsid w:val="00744ED3"/>
    <w:rsid w:val="00744F55"/>
    <w:rsid w:val="007450C0"/>
    <w:rsid w:val="00745175"/>
    <w:rsid w:val="0074518E"/>
    <w:rsid w:val="007451E5"/>
    <w:rsid w:val="00745383"/>
    <w:rsid w:val="0074547E"/>
    <w:rsid w:val="00745623"/>
    <w:rsid w:val="00745AD7"/>
    <w:rsid w:val="00745AE8"/>
    <w:rsid w:val="00745B1D"/>
    <w:rsid w:val="00745C49"/>
    <w:rsid w:val="00745CB5"/>
    <w:rsid w:val="00745D3C"/>
    <w:rsid w:val="00745D9F"/>
    <w:rsid w:val="00745DF2"/>
    <w:rsid w:val="00745E24"/>
    <w:rsid w:val="00746038"/>
    <w:rsid w:val="007460DE"/>
    <w:rsid w:val="0074611C"/>
    <w:rsid w:val="00746130"/>
    <w:rsid w:val="007461BC"/>
    <w:rsid w:val="007461DD"/>
    <w:rsid w:val="007462CB"/>
    <w:rsid w:val="007462E5"/>
    <w:rsid w:val="007463D9"/>
    <w:rsid w:val="007463F5"/>
    <w:rsid w:val="0074650A"/>
    <w:rsid w:val="0074653B"/>
    <w:rsid w:val="007465C9"/>
    <w:rsid w:val="00746622"/>
    <w:rsid w:val="007466BB"/>
    <w:rsid w:val="0074673F"/>
    <w:rsid w:val="0074686B"/>
    <w:rsid w:val="007468C7"/>
    <w:rsid w:val="00746931"/>
    <w:rsid w:val="00746959"/>
    <w:rsid w:val="00746ADC"/>
    <w:rsid w:val="00746BE9"/>
    <w:rsid w:val="00746C15"/>
    <w:rsid w:val="00746C6B"/>
    <w:rsid w:val="00746EA3"/>
    <w:rsid w:val="00746F3A"/>
    <w:rsid w:val="00746F41"/>
    <w:rsid w:val="00746FEE"/>
    <w:rsid w:val="00747086"/>
    <w:rsid w:val="00747136"/>
    <w:rsid w:val="00747261"/>
    <w:rsid w:val="00747295"/>
    <w:rsid w:val="007472D9"/>
    <w:rsid w:val="00747335"/>
    <w:rsid w:val="0074746C"/>
    <w:rsid w:val="00747543"/>
    <w:rsid w:val="00747605"/>
    <w:rsid w:val="0074762D"/>
    <w:rsid w:val="00747775"/>
    <w:rsid w:val="007477C9"/>
    <w:rsid w:val="00747893"/>
    <w:rsid w:val="0074798A"/>
    <w:rsid w:val="007479A7"/>
    <w:rsid w:val="007479D2"/>
    <w:rsid w:val="00747A6C"/>
    <w:rsid w:val="00747AD8"/>
    <w:rsid w:val="00747B4C"/>
    <w:rsid w:val="00747BB4"/>
    <w:rsid w:val="00747CAA"/>
    <w:rsid w:val="00747CEB"/>
    <w:rsid w:val="00747D0E"/>
    <w:rsid w:val="00747D15"/>
    <w:rsid w:val="00747D2A"/>
    <w:rsid w:val="00747D45"/>
    <w:rsid w:val="00747DA8"/>
    <w:rsid w:val="00747E7A"/>
    <w:rsid w:val="00747F55"/>
    <w:rsid w:val="00750005"/>
    <w:rsid w:val="0075000A"/>
    <w:rsid w:val="007500BD"/>
    <w:rsid w:val="007501A7"/>
    <w:rsid w:val="007501F6"/>
    <w:rsid w:val="007502E3"/>
    <w:rsid w:val="007503C8"/>
    <w:rsid w:val="0075050E"/>
    <w:rsid w:val="0075068A"/>
    <w:rsid w:val="00750692"/>
    <w:rsid w:val="007506CE"/>
    <w:rsid w:val="0075071E"/>
    <w:rsid w:val="007507F2"/>
    <w:rsid w:val="0075084C"/>
    <w:rsid w:val="0075092A"/>
    <w:rsid w:val="00750A12"/>
    <w:rsid w:val="00750A3E"/>
    <w:rsid w:val="00750A59"/>
    <w:rsid w:val="00750AC9"/>
    <w:rsid w:val="00750ADA"/>
    <w:rsid w:val="00750B53"/>
    <w:rsid w:val="00750B72"/>
    <w:rsid w:val="00750CCD"/>
    <w:rsid w:val="00750CE6"/>
    <w:rsid w:val="00750E20"/>
    <w:rsid w:val="00750EBC"/>
    <w:rsid w:val="00751029"/>
    <w:rsid w:val="00751118"/>
    <w:rsid w:val="00751141"/>
    <w:rsid w:val="007511B6"/>
    <w:rsid w:val="0075149A"/>
    <w:rsid w:val="007514EA"/>
    <w:rsid w:val="00751525"/>
    <w:rsid w:val="0075158D"/>
    <w:rsid w:val="0075159F"/>
    <w:rsid w:val="007516B1"/>
    <w:rsid w:val="007516B4"/>
    <w:rsid w:val="00751C28"/>
    <w:rsid w:val="00751C8B"/>
    <w:rsid w:val="00751D7C"/>
    <w:rsid w:val="00751E19"/>
    <w:rsid w:val="00751EBE"/>
    <w:rsid w:val="00751F6D"/>
    <w:rsid w:val="00751F78"/>
    <w:rsid w:val="00751F9D"/>
    <w:rsid w:val="00751FC5"/>
    <w:rsid w:val="00752005"/>
    <w:rsid w:val="0075216C"/>
    <w:rsid w:val="007521A2"/>
    <w:rsid w:val="007521B3"/>
    <w:rsid w:val="0075221F"/>
    <w:rsid w:val="0075229E"/>
    <w:rsid w:val="0075231A"/>
    <w:rsid w:val="00752465"/>
    <w:rsid w:val="0075256C"/>
    <w:rsid w:val="00752635"/>
    <w:rsid w:val="007526E7"/>
    <w:rsid w:val="00752749"/>
    <w:rsid w:val="0075274D"/>
    <w:rsid w:val="00752978"/>
    <w:rsid w:val="00752980"/>
    <w:rsid w:val="007529A7"/>
    <w:rsid w:val="00752AE0"/>
    <w:rsid w:val="00752B05"/>
    <w:rsid w:val="00752B3E"/>
    <w:rsid w:val="00752BE0"/>
    <w:rsid w:val="00752C3E"/>
    <w:rsid w:val="00752C5D"/>
    <w:rsid w:val="00752C99"/>
    <w:rsid w:val="00752DA5"/>
    <w:rsid w:val="00752DC2"/>
    <w:rsid w:val="00752F9F"/>
    <w:rsid w:val="007530BA"/>
    <w:rsid w:val="007530EE"/>
    <w:rsid w:val="007531BF"/>
    <w:rsid w:val="0075329E"/>
    <w:rsid w:val="00753459"/>
    <w:rsid w:val="0075348C"/>
    <w:rsid w:val="0075358B"/>
    <w:rsid w:val="00753647"/>
    <w:rsid w:val="0075365B"/>
    <w:rsid w:val="007536CE"/>
    <w:rsid w:val="007536E2"/>
    <w:rsid w:val="00753757"/>
    <w:rsid w:val="00753808"/>
    <w:rsid w:val="00753868"/>
    <w:rsid w:val="00753978"/>
    <w:rsid w:val="007539C4"/>
    <w:rsid w:val="007539CB"/>
    <w:rsid w:val="00753C6A"/>
    <w:rsid w:val="00753D88"/>
    <w:rsid w:val="00753D8A"/>
    <w:rsid w:val="00753DBE"/>
    <w:rsid w:val="00753EBA"/>
    <w:rsid w:val="00753ECB"/>
    <w:rsid w:val="00754153"/>
    <w:rsid w:val="00754384"/>
    <w:rsid w:val="00754495"/>
    <w:rsid w:val="007544A7"/>
    <w:rsid w:val="00754638"/>
    <w:rsid w:val="00754662"/>
    <w:rsid w:val="007546FE"/>
    <w:rsid w:val="007547DD"/>
    <w:rsid w:val="00754982"/>
    <w:rsid w:val="007549E2"/>
    <w:rsid w:val="00754A50"/>
    <w:rsid w:val="00754A6E"/>
    <w:rsid w:val="00754A78"/>
    <w:rsid w:val="00754B8E"/>
    <w:rsid w:val="00754BDA"/>
    <w:rsid w:val="00754C72"/>
    <w:rsid w:val="00754C89"/>
    <w:rsid w:val="00754DA4"/>
    <w:rsid w:val="00754E36"/>
    <w:rsid w:val="00754E79"/>
    <w:rsid w:val="00755156"/>
    <w:rsid w:val="007551A8"/>
    <w:rsid w:val="007551AA"/>
    <w:rsid w:val="007551F4"/>
    <w:rsid w:val="007552C3"/>
    <w:rsid w:val="0075532E"/>
    <w:rsid w:val="00755467"/>
    <w:rsid w:val="00755478"/>
    <w:rsid w:val="0075551B"/>
    <w:rsid w:val="00755588"/>
    <w:rsid w:val="00755595"/>
    <w:rsid w:val="007556DD"/>
    <w:rsid w:val="007558C6"/>
    <w:rsid w:val="00755905"/>
    <w:rsid w:val="00755AEE"/>
    <w:rsid w:val="00755AF1"/>
    <w:rsid w:val="00755B0E"/>
    <w:rsid w:val="00755B9F"/>
    <w:rsid w:val="00755BD3"/>
    <w:rsid w:val="00755C69"/>
    <w:rsid w:val="00755CED"/>
    <w:rsid w:val="00755D0B"/>
    <w:rsid w:val="00755D27"/>
    <w:rsid w:val="00755D67"/>
    <w:rsid w:val="00755DD9"/>
    <w:rsid w:val="00755E77"/>
    <w:rsid w:val="00756231"/>
    <w:rsid w:val="00756253"/>
    <w:rsid w:val="007562AD"/>
    <w:rsid w:val="007562BE"/>
    <w:rsid w:val="007563B4"/>
    <w:rsid w:val="0075641A"/>
    <w:rsid w:val="00756489"/>
    <w:rsid w:val="0075665A"/>
    <w:rsid w:val="00756A17"/>
    <w:rsid w:val="00756BBF"/>
    <w:rsid w:val="00756BEB"/>
    <w:rsid w:val="00756C53"/>
    <w:rsid w:val="00756CB9"/>
    <w:rsid w:val="00756D39"/>
    <w:rsid w:val="00756D71"/>
    <w:rsid w:val="00756E6E"/>
    <w:rsid w:val="00756EF7"/>
    <w:rsid w:val="00756F2C"/>
    <w:rsid w:val="00756FEA"/>
    <w:rsid w:val="00756FEB"/>
    <w:rsid w:val="0075702C"/>
    <w:rsid w:val="007570BE"/>
    <w:rsid w:val="007570E5"/>
    <w:rsid w:val="007571D7"/>
    <w:rsid w:val="0075732A"/>
    <w:rsid w:val="007573D8"/>
    <w:rsid w:val="007573EF"/>
    <w:rsid w:val="00757481"/>
    <w:rsid w:val="0075762F"/>
    <w:rsid w:val="007576EA"/>
    <w:rsid w:val="007579B7"/>
    <w:rsid w:val="00757A09"/>
    <w:rsid w:val="00757B03"/>
    <w:rsid w:val="00757D12"/>
    <w:rsid w:val="00757D3B"/>
    <w:rsid w:val="00757E62"/>
    <w:rsid w:val="00757F33"/>
    <w:rsid w:val="00760010"/>
    <w:rsid w:val="0076016B"/>
    <w:rsid w:val="00760284"/>
    <w:rsid w:val="00760291"/>
    <w:rsid w:val="0076034C"/>
    <w:rsid w:val="00760373"/>
    <w:rsid w:val="00760427"/>
    <w:rsid w:val="007604AF"/>
    <w:rsid w:val="007604B6"/>
    <w:rsid w:val="00760551"/>
    <w:rsid w:val="00760607"/>
    <w:rsid w:val="00760790"/>
    <w:rsid w:val="007607DB"/>
    <w:rsid w:val="0076085E"/>
    <w:rsid w:val="00760868"/>
    <w:rsid w:val="007609C9"/>
    <w:rsid w:val="007609DB"/>
    <w:rsid w:val="00760A65"/>
    <w:rsid w:val="00760A8E"/>
    <w:rsid w:val="00760B92"/>
    <w:rsid w:val="00760CF4"/>
    <w:rsid w:val="00760EBB"/>
    <w:rsid w:val="00761014"/>
    <w:rsid w:val="00761097"/>
    <w:rsid w:val="0076113E"/>
    <w:rsid w:val="007611E6"/>
    <w:rsid w:val="00761218"/>
    <w:rsid w:val="0076128C"/>
    <w:rsid w:val="007612AC"/>
    <w:rsid w:val="007612F4"/>
    <w:rsid w:val="007613FC"/>
    <w:rsid w:val="00761471"/>
    <w:rsid w:val="007614F5"/>
    <w:rsid w:val="0076155E"/>
    <w:rsid w:val="007615B3"/>
    <w:rsid w:val="007615BE"/>
    <w:rsid w:val="007617AD"/>
    <w:rsid w:val="00761816"/>
    <w:rsid w:val="0076185D"/>
    <w:rsid w:val="00761866"/>
    <w:rsid w:val="00761916"/>
    <w:rsid w:val="00761BE0"/>
    <w:rsid w:val="00761C8F"/>
    <w:rsid w:val="00761D2B"/>
    <w:rsid w:val="00761EDC"/>
    <w:rsid w:val="00761F8F"/>
    <w:rsid w:val="00761F9D"/>
    <w:rsid w:val="00761FDE"/>
    <w:rsid w:val="00762050"/>
    <w:rsid w:val="0076209A"/>
    <w:rsid w:val="007620C6"/>
    <w:rsid w:val="00762121"/>
    <w:rsid w:val="007621A3"/>
    <w:rsid w:val="007623AD"/>
    <w:rsid w:val="007623B8"/>
    <w:rsid w:val="00762651"/>
    <w:rsid w:val="00762664"/>
    <w:rsid w:val="007626E7"/>
    <w:rsid w:val="00762852"/>
    <w:rsid w:val="00762859"/>
    <w:rsid w:val="007628A8"/>
    <w:rsid w:val="00762917"/>
    <w:rsid w:val="00762980"/>
    <w:rsid w:val="007629BC"/>
    <w:rsid w:val="00762A79"/>
    <w:rsid w:val="00762B0C"/>
    <w:rsid w:val="00762B48"/>
    <w:rsid w:val="00762C0F"/>
    <w:rsid w:val="00762D91"/>
    <w:rsid w:val="00762DA9"/>
    <w:rsid w:val="00762EA4"/>
    <w:rsid w:val="00762F07"/>
    <w:rsid w:val="00762FB4"/>
    <w:rsid w:val="00763032"/>
    <w:rsid w:val="007630B2"/>
    <w:rsid w:val="007632EB"/>
    <w:rsid w:val="00763394"/>
    <w:rsid w:val="00763431"/>
    <w:rsid w:val="00763474"/>
    <w:rsid w:val="00763477"/>
    <w:rsid w:val="007635CB"/>
    <w:rsid w:val="00763604"/>
    <w:rsid w:val="00763730"/>
    <w:rsid w:val="0076374C"/>
    <w:rsid w:val="007637D0"/>
    <w:rsid w:val="007637F9"/>
    <w:rsid w:val="0076387F"/>
    <w:rsid w:val="007639B2"/>
    <w:rsid w:val="007639FB"/>
    <w:rsid w:val="00763A3D"/>
    <w:rsid w:val="00763B90"/>
    <w:rsid w:val="00763B96"/>
    <w:rsid w:val="00763CA1"/>
    <w:rsid w:val="00763E30"/>
    <w:rsid w:val="00763F11"/>
    <w:rsid w:val="00764024"/>
    <w:rsid w:val="007640AF"/>
    <w:rsid w:val="007641B2"/>
    <w:rsid w:val="007642EB"/>
    <w:rsid w:val="007642FA"/>
    <w:rsid w:val="007643F5"/>
    <w:rsid w:val="00764453"/>
    <w:rsid w:val="00764553"/>
    <w:rsid w:val="007645CA"/>
    <w:rsid w:val="0076468C"/>
    <w:rsid w:val="007647E7"/>
    <w:rsid w:val="0076487F"/>
    <w:rsid w:val="00764981"/>
    <w:rsid w:val="00764B74"/>
    <w:rsid w:val="00764C74"/>
    <w:rsid w:val="00764CA1"/>
    <w:rsid w:val="00764D9B"/>
    <w:rsid w:val="00764DFD"/>
    <w:rsid w:val="00764E7A"/>
    <w:rsid w:val="00764F87"/>
    <w:rsid w:val="00764FB8"/>
    <w:rsid w:val="00765139"/>
    <w:rsid w:val="007651B8"/>
    <w:rsid w:val="007651DB"/>
    <w:rsid w:val="00765287"/>
    <w:rsid w:val="00765361"/>
    <w:rsid w:val="007653D5"/>
    <w:rsid w:val="00765487"/>
    <w:rsid w:val="007655B3"/>
    <w:rsid w:val="0076563F"/>
    <w:rsid w:val="0076566E"/>
    <w:rsid w:val="007656A3"/>
    <w:rsid w:val="00765721"/>
    <w:rsid w:val="007657D3"/>
    <w:rsid w:val="00765948"/>
    <w:rsid w:val="00765A71"/>
    <w:rsid w:val="00765A77"/>
    <w:rsid w:val="00765B12"/>
    <w:rsid w:val="00765C0F"/>
    <w:rsid w:val="00765C58"/>
    <w:rsid w:val="00765C6A"/>
    <w:rsid w:val="00765C78"/>
    <w:rsid w:val="00765CD6"/>
    <w:rsid w:val="00765CE4"/>
    <w:rsid w:val="00765DE8"/>
    <w:rsid w:val="00765E2C"/>
    <w:rsid w:val="00765FFB"/>
    <w:rsid w:val="007660FE"/>
    <w:rsid w:val="007662F8"/>
    <w:rsid w:val="00766301"/>
    <w:rsid w:val="0076638E"/>
    <w:rsid w:val="00766453"/>
    <w:rsid w:val="00766481"/>
    <w:rsid w:val="0076648E"/>
    <w:rsid w:val="0076659D"/>
    <w:rsid w:val="007665CD"/>
    <w:rsid w:val="00766660"/>
    <w:rsid w:val="00766696"/>
    <w:rsid w:val="0076670A"/>
    <w:rsid w:val="00766810"/>
    <w:rsid w:val="007668F7"/>
    <w:rsid w:val="00766939"/>
    <w:rsid w:val="00766B58"/>
    <w:rsid w:val="00766C5F"/>
    <w:rsid w:val="00766C64"/>
    <w:rsid w:val="00766CF7"/>
    <w:rsid w:val="00766DAA"/>
    <w:rsid w:val="00766E10"/>
    <w:rsid w:val="00766E7C"/>
    <w:rsid w:val="00766EA1"/>
    <w:rsid w:val="00766FD3"/>
    <w:rsid w:val="0076706B"/>
    <w:rsid w:val="0076707B"/>
    <w:rsid w:val="007670C6"/>
    <w:rsid w:val="00767202"/>
    <w:rsid w:val="00767386"/>
    <w:rsid w:val="007673A6"/>
    <w:rsid w:val="007673C9"/>
    <w:rsid w:val="007673ED"/>
    <w:rsid w:val="0076746B"/>
    <w:rsid w:val="007674A2"/>
    <w:rsid w:val="007674FC"/>
    <w:rsid w:val="00767503"/>
    <w:rsid w:val="00767568"/>
    <w:rsid w:val="007677BA"/>
    <w:rsid w:val="007678F2"/>
    <w:rsid w:val="0076796F"/>
    <w:rsid w:val="0076799D"/>
    <w:rsid w:val="007679F3"/>
    <w:rsid w:val="00767A6F"/>
    <w:rsid w:val="00767BD9"/>
    <w:rsid w:val="00767C42"/>
    <w:rsid w:val="00767D8C"/>
    <w:rsid w:val="00767E02"/>
    <w:rsid w:val="00767EAD"/>
    <w:rsid w:val="0076CE76"/>
    <w:rsid w:val="0077002E"/>
    <w:rsid w:val="007701F8"/>
    <w:rsid w:val="007702FE"/>
    <w:rsid w:val="00770337"/>
    <w:rsid w:val="007703CE"/>
    <w:rsid w:val="007703E8"/>
    <w:rsid w:val="0077051B"/>
    <w:rsid w:val="00770547"/>
    <w:rsid w:val="00770628"/>
    <w:rsid w:val="0077065F"/>
    <w:rsid w:val="007706C9"/>
    <w:rsid w:val="007706FB"/>
    <w:rsid w:val="007707CC"/>
    <w:rsid w:val="00770908"/>
    <w:rsid w:val="0077095F"/>
    <w:rsid w:val="00770A08"/>
    <w:rsid w:val="00770CEC"/>
    <w:rsid w:val="00770D22"/>
    <w:rsid w:val="00770E0A"/>
    <w:rsid w:val="00770F63"/>
    <w:rsid w:val="00771126"/>
    <w:rsid w:val="0077119B"/>
    <w:rsid w:val="007712E5"/>
    <w:rsid w:val="00771474"/>
    <w:rsid w:val="0077148D"/>
    <w:rsid w:val="007715B7"/>
    <w:rsid w:val="00771644"/>
    <w:rsid w:val="00771680"/>
    <w:rsid w:val="007716C3"/>
    <w:rsid w:val="00771749"/>
    <w:rsid w:val="00771815"/>
    <w:rsid w:val="00771972"/>
    <w:rsid w:val="00771AFE"/>
    <w:rsid w:val="00771BE6"/>
    <w:rsid w:val="00771C21"/>
    <w:rsid w:val="00771CFD"/>
    <w:rsid w:val="00771D2E"/>
    <w:rsid w:val="00771DAC"/>
    <w:rsid w:val="00771E0F"/>
    <w:rsid w:val="00771E14"/>
    <w:rsid w:val="00771E1E"/>
    <w:rsid w:val="00771E72"/>
    <w:rsid w:val="00771F42"/>
    <w:rsid w:val="00771FAC"/>
    <w:rsid w:val="00771FE5"/>
    <w:rsid w:val="007720A2"/>
    <w:rsid w:val="007720EA"/>
    <w:rsid w:val="00772131"/>
    <w:rsid w:val="00772143"/>
    <w:rsid w:val="007721F5"/>
    <w:rsid w:val="00772204"/>
    <w:rsid w:val="00772269"/>
    <w:rsid w:val="00772287"/>
    <w:rsid w:val="007722D5"/>
    <w:rsid w:val="00772376"/>
    <w:rsid w:val="0077238F"/>
    <w:rsid w:val="007725C8"/>
    <w:rsid w:val="007726A5"/>
    <w:rsid w:val="007726F3"/>
    <w:rsid w:val="007729D7"/>
    <w:rsid w:val="00772A1A"/>
    <w:rsid w:val="00772A93"/>
    <w:rsid w:val="00772AFE"/>
    <w:rsid w:val="00772BA8"/>
    <w:rsid w:val="00772C95"/>
    <w:rsid w:val="00772D62"/>
    <w:rsid w:val="00772DC6"/>
    <w:rsid w:val="00772DC9"/>
    <w:rsid w:val="00772DF2"/>
    <w:rsid w:val="00772E8E"/>
    <w:rsid w:val="00772FD6"/>
    <w:rsid w:val="00773023"/>
    <w:rsid w:val="0077306A"/>
    <w:rsid w:val="00773098"/>
    <w:rsid w:val="0077318E"/>
    <w:rsid w:val="007731CB"/>
    <w:rsid w:val="00773374"/>
    <w:rsid w:val="007733C4"/>
    <w:rsid w:val="007733D2"/>
    <w:rsid w:val="007734F4"/>
    <w:rsid w:val="0077352E"/>
    <w:rsid w:val="00773535"/>
    <w:rsid w:val="00773537"/>
    <w:rsid w:val="00773548"/>
    <w:rsid w:val="007735C8"/>
    <w:rsid w:val="007735DB"/>
    <w:rsid w:val="00773714"/>
    <w:rsid w:val="007737E7"/>
    <w:rsid w:val="007737F0"/>
    <w:rsid w:val="00773894"/>
    <w:rsid w:val="007738D3"/>
    <w:rsid w:val="00773903"/>
    <w:rsid w:val="00773956"/>
    <w:rsid w:val="007739A7"/>
    <w:rsid w:val="007739EA"/>
    <w:rsid w:val="00773A9D"/>
    <w:rsid w:val="00773C53"/>
    <w:rsid w:val="00773C7E"/>
    <w:rsid w:val="00773CC0"/>
    <w:rsid w:val="00773D17"/>
    <w:rsid w:val="00773FCD"/>
    <w:rsid w:val="007740DE"/>
    <w:rsid w:val="0077418B"/>
    <w:rsid w:val="00774342"/>
    <w:rsid w:val="00774361"/>
    <w:rsid w:val="00774428"/>
    <w:rsid w:val="00774498"/>
    <w:rsid w:val="007744B6"/>
    <w:rsid w:val="007744D2"/>
    <w:rsid w:val="00774543"/>
    <w:rsid w:val="007745ED"/>
    <w:rsid w:val="007746D8"/>
    <w:rsid w:val="00774819"/>
    <w:rsid w:val="00774893"/>
    <w:rsid w:val="00774B18"/>
    <w:rsid w:val="00774B66"/>
    <w:rsid w:val="00774BDD"/>
    <w:rsid w:val="00774C51"/>
    <w:rsid w:val="00774C84"/>
    <w:rsid w:val="00774CE1"/>
    <w:rsid w:val="00774DC5"/>
    <w:rsid w:val="00774E05"/>
    <w:rsid w:val="00774E69"/>
    <w:rsid w:val="00774E8E"/>
    <w:rsid w:val="00775187"/>
    <w:rsid w:val="007751A9"/>
    <w:rsid w:val="007751ED"/>
    <w:rsid w:val="0077523F"/>
    <w:rsid w:val="00775251"/>
    <w:rsid w:val="00775349"/>
    <w:rsid w:val="00775436"/>
    <w:rsid w:val="007754B9"/>
    <w:rsid w:val="007755B0"/>
    <w:rsid w:val="0077566F"/>
    <w:rsid w:val="00775670"/>
    <w:rsid w:val="007756AF"/>
    <w:rsid w:val="007756F0"/>
    <w:rsid w:val="00775777"/>
    <w:rsid w:val="007757D9"/>
    <w:rsid w:val="00775AC2"/>
    <w:rsid w:val="00775B0F"/>
    <w:rsid w:val="00775CB7"/>
    <w:rsid w:val="00775CE6"/>
    <w:rsid w:val="00775E16"/>
    <w:rsid w:val="00775F3A"/>
    <w:rsid w:val="00775F46"/>
    <w:rsid w:val="00776204"/>
    <w:rsid w:val="0077629D"/>
    <w:rsid w:val="007762C1"/>
    <w:rsid w:val="007762CC"/>
    <w:rsid w:val="0077634C"/>
    <w:rsid w:val="0077635E"/>
    <w:rsid w:val="00776449"/>
    <w:rsid w:val="0077646C"/>
    <w:rsid w:val="007766CC"/>
    <w:rsid w:val="007766EF"/>
    <w:rsid w:val="00776839"/>
    <w:rsid w:val="007768AA"/>
    <w:rsid w:val="007768B8"/>
    <w:rsid w:val="00776916"/>
    <w:rsid w:val="00776A28"/>
    <w:rsid w:val="00776B30"/>
    <w:rsid w:val="00776B94"/>
    <w:rsid w:val="00776C01"/>
    <w:rsid w:val="00776C1B"/>
    <w:rsid w:val="00776CF2"/>
    <w:rsid w:val="00776D41"/>
    <w:rsid w:val="00776DCD"/>
    <w:rsid w:val="00776E01"/>
    <w:rsid w:val="00776E08"/>
    <w:rsid w:val="00776EEA"/>
    <w:rsid w:val="007771BC"/>
    <w:rsid w:val="0077724A"/>
    <w:rsid w:val="007773D6"/>
    <w:rsid w:val="00777405"/>
    <w:rsid w:val="00777433"/>
    <w:rsid w:val="007774FE"/>
    <w:rsid w:val="0077760D"/>
    <w:rsid w:val="007777B6"/>
    <w:rsid w:val="00777831"/>
    <w:rsid w:val="00777913"/>
    <w:rsid w:val="00777A3C"/>
    <w:rsid w:val="00777A85"/>
    <w:rsid w:val="00777BF4"/>
    <w:rsid w:val="00777C0C"/>
    <w:rsid w:val="00777CCC"/>
    <w:rsid w:val="00777D3C"/>
    <w:rsid w:val="00777D66"/>
    <w:rsid w:val="00777EEB"/>
    <w:rsid w:val="00777F47"/>
    <w:rsid w:val="0077DEC5"/>
    <w:rsid w:val="00780143"/>
    <w:rsid w:val="00780251"/>
    <w:rsid w:val="007802A1"/>
    <w:rsid w:val="0078036B"/>
    <w:rsid w:val="0078039E"/>
    <w:rsid w:val="00780411"/>
    <w:rsid w:val="007804C7"/>
    <w:rsid w:val="00780508"/>
    <w:rsid w:val="00780575"/>
    <w:rsid w:val="00780587"/>
    <w:rsid w:val="0078063E"/>
    <w:rsid w:val="007806E3"/>
    <w:rsid w:val="00780706"/>
    <w:rsid w:val="007808AF"/>
    <w:rsid w:val="007808E3"/>
    <w:rsid w:val="0078095D"/>
    <w:rsid w:val="007809EC"/>
    <w:rsid w:val="00780A82"/>
    <w:rsid w:val="00780B2F"/>
    <w:rsid w:val="00780D74"/>
    <w:rsid w:val="00780ED2"/>
    <w:rsid w:val="00780F60"/>
    <w:rsid w:val="00781009"/>
    <w:rsid w:val="007810CA"/>
    <w:rsid w:val="007811B3"/>
    <w:rsid w:val="007812AC"/>
    <w:rsid w:val="007813C4"/>
    <w:rsid w:val="007814D1"/>
    <w:rsid w:val="007814E4"/>
    <w:rsid w:val="00781625"/>
    <w:rsid w:val="00781635"/>
    <w:rsid w:val="007816F5"/>
    <w:rsid w:val="00781706"/>
    <w:rsid w:val="00781895"/>
    <w:rsid w:val="007819AD"/>
    <w:rsid w:val="00781AEE"/>
    <w:rsid w:val="00781B74"/>
    <w:rsid w:val="00781C13"/>
    <w:rsid w:val="00781D30"/>
    <w:rsid w:val="00781DFC"/>
    <w:rsid w:val="00781E68"/>
    <w:rsid w:val="00781EBE"/>
    <w:rsid w:val="00781F8C"/>
    <w:rsid w:val="0078205C"/>
    <w:rsid w:val="00782442"/>
    <w:rsid w:val="00782486"/>
    <w:rsid w:val="007825DE"/>
    <w:rsid w:val="00782703"/>
    <w:rsid w:val="0078293A"/>
    <w:rsid w:val="00782A4F"/>
    <w:rsid w:val="00782AC2"/>
    <w:rsid w:val="00782AD8"/>
    <w:rsid w:val="00782ADA"/>
    <w:rsid w:val="00782B12"/>
    <w:rsid w:val="00782D6F"/>
    <w:rsid w:val="00782E78"/>
    <w:rsid w:val="00782F0D"/>
    <w:rsid w:val="00782F30"/>
    <w:rsid w:val="00782F34"/>
    <w:rsid w:val="00782F51"/>
    <w:rsid w:val="00783027"/>
    <w:rsid w:val="00783089"/>
    <w:rsid w:val="007833BE"/>
    <w:rsid w:val="00783455"/>
    <w:rsid w:val="0078347E"/>
    <w:rsid w:val="007835A2"/>
    <w:rsid w:val="007835F5"/>
    <w:rsid w:val="00783655"/>
    <w:rsid w:val="00783697"/>
    <w:rsid w:val="00783744"/>
    <w:rsid w:val="007837B4"/>
    <w:rsid w:val="0078398B"/>
    <w:rsid w:val="007839C1"/>
    <w:rsid w:val="00783A15"/>
    <w:rsid w:val="00783A9F"/>
    <w:rsid w:val="00783B22"/>
    <w:rsid w:val="00783C32"/>
    <w:rsid w:val="00783C96"/>
    <w:rsid w:val="00783CD0"/>
    <w:rsid w:val="00783DB3"/>
    <w:rsid w:val="00783DD0"/>
    <w:rsid w:val="00783EB5"/>
    <w:rsid w:val="00783EDB"/>
    <w:rsid w:val="00783EDD"/>
    <w:rsid w:val="00783FA8"/>
    <w:rsid w:val="0078400A"/>
    <w:rsid w:val="0078408A"/>
    <w:rsid w:val="007841DC"/>
    <w:rsid w:val="00784254"/>
    <w:rsid w:val="007842C7"/>
    <w:rsid w:val="007843BD"/>
    <w:rsid w:val="00784409"/>
    <w:rsid w:val="00784461"/>
    <w:rsid w:val="00784489"/>
    <w:rsid w:val="007844B4"/>
    <w:rsid w:val="007844DC"/>
    <w:rsid w:val="0078477B"/>
    <w:rsid w:val="007847CE"/>
    <w:rsid w:val="00784823"/>
    <w:rsid w:val="007849A7"/>
    <w:rsid w:val="007849B1"/>
    <w:rsid w:val="00784B08"/>
    <w:rsid w:val="00784C43"/>
    <w:rsid w:val="00784C50"/>
    <w:rsid w:val="00784D84"/>
    <w:rsid w:val="00785308"/>
    <w:rsid w:val="0078530C"/>
    <w:rsid w:val="00785385"/>
    <w:rsid w:val="0078538E"/>
    <w:rsid w:val="007853A0"/>
    <w:rsid w:val="00785408"/>
    <w:rsid w:val="00785456"/>
    <w:rsid w:val="00785479"/>
    <w:rsid w:val="0078554B"/>
    <w:rsid w:val="0078563F"/>
    <w:rsid w:val="007857FB"/>
    <w:rsid w:val="00785875"/>
    <w:rsid w:val="00785959"/>
    <w:rsid w:val="00785ACC"/>
    <w:rsid w:val="00785C5E"/>
    <w:rsid w:val="00785D7C"/>
    <w:rsid w:val="00785DFD"/>
    <w:rsid w:val="0078603E"/>
    <w:rsid w:val="0078605A"/>
    <w:rsid w:val="007860D6"/>
    <w:rsid w:val="00786168"/>
    <w:rsid w:val="00786247"/>
    <w:rsid w:val="00786347"/>
    <w:rsid w:val="00786453"/>
    <w:rsid w:val="00786456"/>
    <w:rsid w:val="00786586"/>
    <w:rsid w:val="00786613"/>
    <w:rsid w:val="00786620"/>
    <w:rsid w:val="007866F3"/>
    <w:rsid w:val="00786717"/>
    <w:rsid w:val="00786965"/>
    <w:rsid w:val="00786A18"/>
    <w:rsid w:val="00786A30"/>
    <w:rsid w:val="00786AE6"/>
    <w:rsid w:val="00786BD0"/>
    <w:rsid w:val="00786C66"/>
    <w:rsid w:val="00786CC6"/>
    <w:rsid w:val="00786CDD"/>
    <w:rsid w:val="00786F16"/>
    <w:rsid w:val="00786F89"/>
    <w:rsid w:val="00787128"/>
    <w:rsid w:val="007871AA"/>
    <w:rsid w:val="007872B9"/>
    <w:rsid w:val="007872BD"/>
    <w:rsid w:val="007872C5"/>
    <w:rsid w:val="00787301"/>
    <w:rsid w:val="007873A6"/>
    <w:rsid w:val="007873E7"/>
    <w:rsid w:val="00787409"/>
    <w:rsid w:val="00787438"/>
    <w:rsid w:val="007874B0"/>
    <w:rsid w:val="007874BB"/>
    <w:rsid w:val="0078758C"/>
    <w:rsid w:val="0078760B"/>
    <w:rsid w:val="0078761A"/>
    <w:rsid w:val="0078761E"/>
    <w:rsid w:val="00787647"/>
    <w:rsid w:val="00787749"/>
    <w:rsid w:val="00787845"/>
    <w:rsid w:val="00787886"/>
    <w:rsid w:val="00787C22"/>
    <w:rsid w:val="00787DA4"/>
    <w:rsid w:val="0079001B"/>
    <w:rsid w:val="00790113"/>
    <w:rsid w:val="00790199"/>
    <w:rsid w:val="00790241"/>
    <w:rsid w:val="007902EF"/>
    <w:rsid w:val="0079033D"/>
    <w:rsid w:val="007903FC"/>
    <w:rsid w:val="0079045F"/>
    <w:rsid w:val="0079053B"/>
    <w:rsid w:val="0079053C"/>
    <w:rsid w:val="007905D0"/>
    <w:rsid w:val="00790628"/>
    <w:rsid w:val="00790696"/>
    <w:rsid w:val="00790702"/>
    <w:rsid w:val="0079077D"/>
    <w:rsid w:val="007907EC"/>
    <w:rsid w:val="007907FD"/>
    <w:rsid w:val="00790837"/>
    <w:rsid w:val="0079085E"/>
    <w:rsid w:val="0079088B"/>
    <w:rsid w:val="00790921"/>
    <w:rsid w:val="007909BC"/>
    <w:rsid w:val="00790A83"/>
    <w:rsid w:val="00790B61"/>
    <w:rsid w:val="00790BFD"/>
    <w:rsid w:val="00790C53"/>
    <w:rsid w:val="00790C5E"/>
    <w:rsid w:val="00790CA4"/>
    <w:rsid w:val="00790D53"/>
    <w:rsid w:val="00790D84"/>
    <w:rsid w:val="00790DEE"/>
    <w:rsid w:val="007910E8"/>
    <w:rsid w:val="007911F3"/>
    <w:rsid w:val="007912C1"/>
    <w:rsid w:val="00791340"/>
    <w:rsid w:val="0079140F"/>
    <w:rsid w:val="0079149B"/>
    <w:rsid w:val="00791581"/>
    <w:rsid w:val="00791592"/>
    <w:rsid w:val="0079163F"/>
    <w:rsid w:val="0079168F"/>
    <w:rsid w:val="00791692"/>
    <w:rsid w:val="00791713"/>
    <w:rsid w:val="007917AD"/>
    <w:rsid w:val="00791849"/>
    <w:rsid w:val="0079184E"/>
    <w:rsid w:val="00791ABE"/>
    <w:rsid w:val="00791B1C"/>
    <w:rsid w:val="00791C20"/>
    <w:rsid w:val="00791CA0"/>
    <w:rsid w:val="00791CF7"/>
    <w:rsid w:val="00791D3A"/>
    <w:rsid w:val="00791D9A"/>
    <w:rsid w:val="00791DD3"/>
    <w:rsid w:val="0079200D"/>
    <w:rsid w:val="0079203D"/>
    <w:rsid w:val="00792060"/>
    <w:rsid w:val="0079212F"/>
    <w:rsid w:val="007921B8"/>
    <w:rsid w:val="007921D2"/>
    <w:rsid w:val="0079221D"/>
    <w:rsid w:val="007924AD"/>
    <w:rsid w:val="00792553"/>
    <w:rsid w:val="00792770"/>
    <w:rsid w:val="007927E3"/>
    <w:rsid w:val="0079280D"/>
    <w:rsid w:val="007928BB"/>
    <w:rsid w:val="007928F5"/>
    <w:rsid w:val="007928FD"/>
    <w:rsid w:val="00792AD2"/>
    <w:rsid w:val="00792AD3"/>
    <w:rsid w:val="00792C05"/>
    <w:rsid w:val="00792D79"/>
    <w:rsid w:val="00792DEC"/>
    <w:rsid w:val="00792F04"/>
    <w:rsid w:val="00792F1D"/>
    <w:rsid w:val="00792F5D"/>
    <w:rsid w:val="00792F7E"/>
    <w:rsid w:val="00792F93"/>
    <w:rsid w:val="00792FF9"/>
    <w:rsid w:val="0079313F"/>
    <w:rsid w:val="007931A8"/>
    <w:rsid w:val="00793205"/>
    <w:rsid w:val="00793289"/>
    <w:rsid w:val="007932A4"/>
    <w:rsid w:val="007932B8"/>
    <w:rsid w:val="007933C7"/>
    <w:rsid w:val="007933CC"/>
    <w:rsid w:val="007933EF"/>
    <w:rsid w:val="0079344F"/>
    <w:rsid w:val="007934E0"/>
    <w:rsid w:val="0079357F"/>
    <w:rsid w:val="007936F1"/>
    <w:rsid w:val="00793715"/>
    <w:rsid w:val="00793767"/>
    <w:rsid w:val="007937B7"/>
    <w:rsid w:val="007938B6"/>
    <w:rsid w:val="00793C71"/>
    <w:rsid w:val="00793E0B"/>
    <w:rsid w:val="00793E53"/>
    <w:rsid w:val="00793E71"/>
    <w:rsid w:val="00793F03"/>
    <w:rsid w:val="00793F65"/>
    <w:rsid w:val="00793FA1"/>
    <w:rsid w:val="00793FB6"/>
    <w:rsid w:val="007940FE"/>
    <w:rsid w:val="0079410F"/>
    <w:rsid w:val="00794152"/>
    <w:rsid w:val="00794159"/>
    <w:rsid w:val="007941F0"/>
    <w:rsid w:val="007941FC"/>
    <w:rsid w:val="00794207"/>
    <w:rsid w:val="00794314"/>
    <w:rsid w:val="00794564"/>
    <w:rsid w:val="007945F4"/>
    <w:rsid w:val="00794717"/>
    <w:rsid w:val="007947DC"/>
    <w:rsid w:val="00794B85"/>
    <w:rsid w:val="00794B95"/>
    <w:rsid w:val="00794D1D"/>
    <w:rsid w:val="00794DBA"/>
    <w:rsid w:val="00794E7F"/>
    <w:rsid w:val="00794E9D"/>
    <w:rsid w:val="00794F43"/>
    <w:rsid w:val="00794F69"/>
    <w:rsid w:val="00794FB1"/>
    <w:rsid w:val="00794FFE"/>
    <w:rsid w:val="007950FC"/>
    <w:rsid w:val="00795164"/>
    <w:rsid w:val="00795245"/>
    <w:rsid w:val="0079547C"/>
    <w:rsid w:val="007954EF"/>
    <w:rsid w:val="0079553C"/>
    <w:rsid w:val="007955C9"/>
    <w:rsid w:val="007955D7"/>
    <w:rsid w:val="007956AB"/>
    <w:rsid w:val="007956D8"/>
    <w:rsid w:val="007956E3"/>
    <w:rsid w:val="00795777"/>
    <w:rsid w:val="0079577E"/>
    <w:rsid w:val="007957E2"/>
    <w:rsid w:val="00795843"/>
    <w:rsid w:val="00795873"/>
    <w:rsid w:val="0079588E"/>
    <w:rsid w:val="00795897"/>
    <w:rsid w:val="00795DD1"/>
    <w:rsid w:val="0079604C"/>
    <w:rsid w:val="0079606F"/>
    <w:rsid w:val="00796122"/>
    <w:rsid w:val="00796195"/>
    <w:rsid w:val="007962E8"/>
    <w:rsid w:val="007962F3"/>
    <w:rsid w:val="0079637E"/>
    <w:rsid w:val="007963B4"/>
    <w:rsid w:val="00796500"/>
    <w:rsid w:val="007966B1"/>
    <w:rsid w:val="0079682D"/>
    <w:rsid w:val="00796966"/>
    <w:rsid w:val="00796B27"/>
    <w:rsid w:val="00796B83"/>
    <w:rsid w:val="00796BC8"/>
    <w:rsid w:val="00796D1F"/>
    <w:rsid w:val="00796D46"/>
    <w:rsid w:val="00796D9D"/>
    <w:rsid w:val="00796ED5"/>
    <w:rsid w:val="00796EF9"/>
    <w:rsid w:val="00797013"/>
    <w:rsid w:val="00797041"/>
    <w:rsid w:val="00797261"/>
    <w:rsid w:val="007972B0"/>
    <w:rsid w:val="007972F5"/>
    <w:rsid w:val="00797439"/>
    <w:rsid w:val="007974F1"/>
    <w:rsid w:val="00797612"/>
    <w:rsid w:val="0079768D"/>
    <w:rsid w:val="007977D0"/>
    <w:rsid w:val="0079788C"/>
    <w:rsid w:val="007978C8"/>
    <w:rsid w:val="00797966"/>
    <w:rsid w:val="00797A35"/>
    <w:rsid w:val="00797A53"/>
    <w:rsid w:val="00797AB0"/>
    <w:rsid w:val="00797C71"/>
    <w:rsid w:val="00797C7E"/>
    <w:rsid w:val="00797CCF"/>
    <w:rsid w:val="00797CF1"/>
    <w:rsid w:val="00797D89"/>
    <w:rsid w:val="00797DD8"/>
    <w:rsid w:val="00797E31"/>
    <w:rsid w:val="00797E46"/>
    <w:rsid w:val="00797E49"/>
    <w:rsid w:val="00797F23"/>
    <w:rsid w:val="00797FE6"/>
    <w:rsid w:val="00797FEB"/>
    <w:rsid w:val="0079F2AE"/>
    <w:rsid w:val="007A0137"/>
    <w:rsid w:val="007A0151"/>
    <w:rsid w:val="007A0155"/>
    <w:rsid w:val="007A018C"/>
    <w:rsid w:val="007A01C2"/>
    <w:rsid w:val="007A01E2"/>
    <w:rsid w:val="007A01EE"/>
    <w:rsid w:val="007A026E"/>
    <w:rsid w:val="007A0282"/>
    <w:rsid w:val="007A0352"/>
    <w:rsid w:val="007A035F"/>
    <w:rsid w:val="007A0392"/>
    <w:rsid w:val="007A03E2"/>
    <w:rsid w:val="007A04F1"/>
    <w:rsid w:val="007A054A"/>
    <w:rsid w:val="007A056B"/>
    <w:rsid w:val="007A065F"/>
    <w:rsid w:val="007A0845"/>
    <w:rsid w:val="007A08DE"/>
    <w:rsid w:val="007A0CCB"/>
    <w:rsid w:val="007A0CED"/>
    <w:rsid w:val="007A0E47"/>
    <w:rsid w:val="007A0FDB"/>
    <w:rsid w:val="007A1156"/>
    <w:rsid w:val="007A1161"/>
    <w:rsid w:val="007A1166"/>
    <w:rsid w:val="007A1181"/>
    <w:rsid w:val="007A1505"/>
    <w:rsid w:val="007A15B3"/>
    <w:rsid w:val="007A1688"/>
    <w:rsid w:val="007A17A7"/>
    <w:rsid w:val="007A192D"/>
    <w:rsid w:val="007A19A4"/>
    <w:rsid w:val="007A19E8"/>
    <w:rsid w:val="007A1A24"/>
    <w:rsid w:val="007A1CAA"/>
    <w:rsid w:val="007A1CC9"/>
    <w:rsid w:val="007A1D16"/>
    <w:rsid w:val="007A1D1E"/>
    <w:rsid w:val="007A1DEC"/>
    <w:rsid w:val="007A1E9B"/>
    <w:rsid w:val="007A1F90"/>
    <w:rsid w:val="007A2046"/>
    <w:rsid w:val="007A2079"/>
    <w:rsid w:val="007A2224"/>
    <w:rsid w:val="007A2287"/>
    <w:rsid w:val="007A22EE"/>
    <w:rsid w:val="007A2504"/>
    <w:rsid w:val="007A254D"/>
    <w:rsid w:val="007A2619"/>
    <w:rsid w:val="007A27A4"/>
    <w:rsid w:val="007A27BB"/>
    <w:rsid w:val="007A27C7"/>
    <w:rsid w:val="007A29D1"/>
    <w:rsid w:val="007A2B4B"/>
    <w:rsid w:val="007A2B80"/>
    <w:rsid w:val="007A2C73"/>
    <w:rsid w:val="007A2DC5"/>
    <w:rsid w:val="007A2E3C"/>
    <w:rsid w:val="007A2E7A"/>
    <w:rsid w:val="007A2EA5"/>
    <w:rsid w:val="007A2EB1"/>
    <w:rsid w:val="007A2FD4"/>
    <w:rsid w:val="007A3005"/>
    <w:rsid w:val="007A305F"/>
    <w:rsid w:val="007A308C"/>
    <w:rsid w:val="007A30A6"/>
    <w:rsid w:val="007A30AC"/>
    <w:rsid w:val="007A3293"/>
    <w:rsid w:val="007A3315"/>
    <w:rsid w:val="007A345E"/>
    <w:rsid w:val="007A34F3"/>
    <w:rsid w:val="007A3578"/>
    <w:rsid w:val="007A360E"/>
    <w:rsid w:val="007A3622"/>
    <w:rsid w:val="007A36EC"/>
    <w:rsid w:val="007A383E"/>
    <w:rsid w:val="007A396E"/>
    <w:rsid w:val="007A397F"/>
    <w:rsid w:val="007A3A40"/>
    <w:rsid w:val="007A3B64"/>
    <w:rsid w:val="007A3D23"/>
    <w:rsid w:val="007A3D95"/>
    <w:rsid w:val="007A3DC6"/>
    <w:rsid w:val="007A3DEC"/>
    <w:rsid w:val="007A3F23"/>
    <w:rsid w:val="007A3F3E"/>
    <w:rsid w:val="007A3F50"/>
    <w:rsid w:val="007A3F60"/>
    <w:rsid w:val="007A4291"/>
    <w:rsid w:val="007A42CA"/>
    <w:rsid w:val="007A4397"/>
    <w:rsid w:val="007A4408"/>
    <w:rsid w:val="007A449D"/>
    <w:rsid w:val="007A44BA"/>
    <w:rsid w:val="007A461F"/>
    <w:rsid w:val="007A464F"/>
    <w:rsid w:val="007A465E"/>
    <w:rsid w:val="007A472A"/>
    <w:rsid w:val="007A47CE"/>
    <w:rsid w:val="007A4BBD"/>
    <w:rsid w:val="007A4D69"/>
    <w:rsid w:val="007A4D92"/>
    <w:rsid w:val="007A4DE5"/>
    <w:rsid w:val="007A4E42"/>
    <w:rsid w:val="007A4E47"/>
    <w:rsid w:val="007A4E4E"/>
    <w:rsid w:val="007A4E66"/>
    <w:rsid w:val="007A4FA5"/>
    <w:rsid w:val="007A4FDE"/>
    <w:rsid w:val="007A4FF2"/>
    <w:rsid w:val="007A503F"/>
    <w:rsid w:val="007A5188"/>
    <w:rsid w:val="007A51E3"/>
    <w:rsid w:val="007A52B9"/>
    <w:rsid w:val="007A5332"/>
    <w:rsid w:val="007A536D"/>
    <w:rsid w:val="007A53E0"/>
    <w:rsid w:val="007A5493"/>
    <w:rsid w:val="007A5568"/>
    <w:rsid w:val="007A5663"/>
    <w:rsid w:val="007A57D6"/>
    <w:rsid w:val="007A588C"/>
    <w:rsid w:val="007A58CC"/>
    <w:rsid w:val="007A59EF"/>
    <w:rsid w:val="007A5AF6"/>
    <w:rsid w:val="007A5B4E"/>
    <w:rsid w:val="007A5B70"/>
    <w:rsid w:val="007A5CCB"/>
    <w:rsid w:val="007A5D62"/>
    <w:rsid w:val="007A5E07"/>
    <w:rsid w:val="007A608F"/>
    <w:rsid w:val="007A61AD"/>
    <w:rsid w:val="007A6350"/>
    <w:rsid w:val="007A6384"/>
    <w:rsid w:val="007A63D6"/>
    <w:rsid w:val="007A64E6"/>
    <w:rsid w:val="007A654D"/>
    <w:rsid w:val="007A65DF"/>
    <w:rsid w:val="007A6838"/>
    <w:rsid w:val="007A6868"/>
    <w:rsid w:val="007A6906"/>
    <w:rsid w:val="007A69CF"/>
    <w:rsid w:val="007A6AB9"/>
    <w:rsid w:val="007A6C3B"/>
    <w:rsid w:val="007A6D22"/>
    <w:rsid w:val="007A6F96"/>
    <w:rsid w:val="007A7235"/>
    <w:rsid w:val="007A72D9"/>
    <w:rsid w:val="007A7320"/>
    <w:rsid w:val="007A745E"/>
    <w:rsid w:val="007A7481"/>
    <w:rsid w:val="007A74F5"/>
    <w:rsid w:val="007A75F4"/>
    <w:rsid w:val="007A76BC"/>
    <w:rsid w:val="007A77A4"/>
    <w:rsid w:val="007A785E"/>
    <w:rsid w:val="007A796B"/>
    <w:rsid w:val="007A79A6"/>
    <w:rsid w:val="007A7A54"/>
    <w:rsid w:val="007A7B3B"/>
    <w:rsid w:val="007A7B3C"/>
    <w:rsid w:val="007A7BB5"/>
    <w:rsid w:val="007A7C43"/>
    <w:rsid w:val="007A7CF6"/>
    <w:rsid w:val="007A7DAD"/>
    <w:rsid w:val="007A7DE5"/>
    <w:rsid w:val="007A7E73"/>
    <w:rsid w:val="007A7E95"/>
    <w:rsid w:val="007B000F"/>
    <w:rsid w:val="007B00AF"/>
    <w:rsid w:val="007B01B4"/>
    <w:rsid w:val="007B0262"/>
    <w:rsid w:val="007B0274"/>
    <w:rsid w:val="007B034A"/>
    <w:rsid w:val="007B03AB"/>
    <w:rsid w:val="007B04D9"/>
    <w:rsid w:val="007B050C"/>
    <w:rsid w:val="007B0561"/>
    <w:rsid w:val="007B060C"/>
    <w:rsid w:val="007B06F3"/>
    <w:rsid w:val="007B0707"/>
    <w:rsid w:val="007B08D1"/>
    <w:rsid w:val="007B09AC"/>
    <w:rsid w:val="007B0A04"/>
    <w:rsid w:val="007B0AB3"/>
    <w:rsid w:val="007B0B72"/>
    <w:rsid w:val="007B0BC2"/>
    <w:rsid w:val="007B0C05"/>
    <w:rsid w:val="007B0CAA"/>
    <w:rsid w:val="007B0CFC"/>
    <w:rsid w:val="007B0D25"/>
    <w:rsid w:val="007B0E1F"/>
    <w:rsid w:val="007B0EC7"/>
    <w:rsid w:val="007B0F06"/>
    <w:rsid w:val="007B10AC"/>
    <w:rsid w:val="007B12C6"/>
    <w:rsid w:val="007B14C8"/>
    <w:rsid w:val="007B1601"/>
    <w:rsid w:val="007B1682"/>
    <w:rsid w:val="007B1786"/>
    <w:rsid w:val="007B17E7"/>
    <w:rsid w:val="007B18CB"/>
    <w:rsid w:val="007B18D9"/>
    <w:rsid w:val="007B1B6D"/>
    <w:rsid w:val="007B1BCE"/>
    <w:rsid w:val="007B1BE4"/>
    <w:rsid w:val="007B1CB0"/>
    <w:rsid w:val="007B1CEC"/>
    <w:rsid w:val="007B1D1A"/>
    <w:rsid w:val="007B1D91"/>
    <w:rsid w:val="007B1DDE"/>
    <w:rsid w:val="007B1E3A"/>
    <w:rsid w:val="007B1F86"/>
    <w:rsid w:val="007B211B"/>
    <w:rsid w:val="007B21B6"/>
    <w:rsid w:val="007B2201"/>
    <w:rsid w:val="007B22D9"/>
    <w:rsid w:val="007B22E8"/>
    <w:rsid w:val="007B2380"/>
    <w:rsid w:val="007B23D9"/>
    <w:rsid w:val="007B243A"/>
    <w:rsid w:val="007B24AC"/>
    <w:rsid w:val="007B24E6"/>
    <w:rsid w:val="007B2550"/>
    <w:rsid w:val="007B25FB"/>
    <w:rsid w:val="007B2699"/>
    <w:rsid w:val="007B27C0"/>
    <w:rsid w:val="007B2987"/>
    <w:rsid w:val="007B2C39"/>
    <w:rsid w:val="007B2C5E"/>
    <w:rsid w:val="007B2CB1"/>
    <w:rsid w:val="007B2CF0"/>
    <w:rsid w:val="007B2D4B"/>
    <w:rsid w:val="007B2EF9"/>
    <w:rsid w:val="007B2F42"/>
    <w:rsid w:val="007B303C"/>
    <w:rsid w:val="007B305E"/>
    <w:rsid w:val="007B30A9"/>
    <w:rsid w:val="007B312A"/>
    <w:rsid w:val="007B32DC"/>
    <w:rsid w:val="007B33C3"/>
    <w:rsid w:val="007B348D"/>
    <w:rsid w:val="007B3547"/>
    <w:rsid w:val="007B3552"/>
    <w:rsid w:val="007B3588"/>
    <w:rsid w:val="007B35C2"/>
    <w:rsid w:val="007B3612"/>
    <w:rsid w:val="007B368D"/>
    <w:rsid w:val="007B3714"/>
    <w:rsid w:val="007B374C"/>
    <w:rsid w:val="007B3761"/>
    <w:rsid w:val="007B3799"/>
    <w:rsid w:val="007B37AA"/>
    <w:rsid w:val="007B38AD"/>
    <w:rsid w:val="007B394B"/>
    <w:rsid w:val="007B3B02"/>
    <w:rsid w:val="007B3B11"/>
    <w:rsid w:val="007B3BBA"/>
    <w:rsid w:val="007B3DDE"/>
    <w:rsid w:val="007B3F4F"/>
    <w:rsid w:val="007B3F67"/>
    <w:rsid w:val="007B3FBF"/>
    <w:rsid w:val="007B4024"/>
    <w:rsid w:val="007B4092"/>
    <w:rsid w:val="007B4095"/>
    <w:rsid w:val="007B4189"/>
    <w:rsid w:val="007B41AF"/>
    <w:rsid w:val="007B41DF"/>
    <w:rsid w:val="007B4357"/>
    <w:rsid w:val="007B4579"/>
    <w:rsid w:val="007B45B0"/>
    <w:rsid w:val="007B45E9"/>
    <w:rsid w:val="007B4637"/>
    <w:rsid w:val="007B46B7"/>
    <w:rsid w:val="007B46DD"/>
    <w:rsid w:val="007B4714"/>
    <w:rsid w:val="007B47E0"/>
    <w:rsid w:val="007B48DF"/>
    <w:rsid w:val="007B49FA"/>
    <w:rsid w:val="007B4B7A"/>
    <w:rsid w:val="007B4C16"/>
    <w:rsid w:val="007B4CBF"/>
    <w:rsid w:val="007B4D23"/>
    <w:rsid w:val="007B4D6C"/>
    <w:rsid w:val="007B4E16"/>
    <w:rsid w:val="007B4E6B"/>
    <w:rsid w:val="007B4E8E"/>
    <w:rsid w:val="007B4FEE"/>
    <w:rsid w:val="007B5005"/>
    <w:rsid w:val="007B527E"/>
    <w:rsid w:val="007B53BA"/>
    <w:rsid w:val="007B53C7"/>
    <w:rsid w:val="007B540C"/>
    <w:rsid w:val="007B5429"/>
    <w:rsid w:val="007B5514"/>
    <w:rsid w:val="007B56E2"/>
    <w:rsid w:val="007B56F5"/>
    <w:rsid w:val="007B5AB8"/>
    <w:rsid w:val="007B5C14"/>
    <w:rsid w:val="007B5C23"/>
    <w:rsid w:val="007B5C9C"/>
    <w:rsid w:val="007B5D46"/>
    <w:rsid w:val="007B5D73"/>
    <w:rsid w:val="007B5E5B"/>
    <w:rsid w:val="007B5E6F"/>
    <w:rsid w:val="007B5E78"/>
    <w:rsid w:val="007B5F64"/>
    <w:rsid w:val="007B6056"/>
    <w:rsid w:val="007B60D8"/>
    <w:rsid w:val="007B6200"/>
    <w:rsid w:val="007B62F7"/>
    <w:rsid w:val="007B62F9"/>
    <w:rsid w:val="007B63CE"/>
    <w:rsid w:val="007B647E"/>
    <w:rsid w:val="007B65A2"/>
    <w:rsid w:val="007B662A"/>
    <w:rsid w:val="007B6691"/>
    <w:rsid w:val="007B6741"/>
    <w:rsid w:val="007B6750"/>
    <w:rsid w:val="007B67BC"/>
    <w:rsid w:val="007B68B9"/>
    <w:rsid w:val="007B68FA"/>
    <w:rsid w:val="007B6954"/>
    <w:rsid w:val="007B69BE"/>
    <w:rsid w:val="007B69D1"/>
    <w:rsid w:val="007B69D6"/>
    <w:rsid w:val="007B69F4"/>
    <w:rsid w:val="007B6C29"/>
    <w:rsid w:val="007B6C40"/>
    <w:rsid w:val="007B6EA6"/>
    <w:rsid w:val="007B7021"/>
    <w:rsid w:val="007B7154"/>
    <w:rsid w:val="007B720D"/>
    <w:rsid w:val="007B732D"/>
    <w:rsid w:val="007B7336"/>
    <w:rsid w:val="007B739D"/>
    <w:rsid w:val="007B751A"/>
    <w:rsid w:val="007B75B3"/>
    <w:rsid w:val="007B763B"/>
    <w:rsid w:val="007B76F9"/>
    <w:rsid w:val="007B7821"/>
    <w:rsid w:val="007B78B8"/>
    <w:rsid w:val="007B7927"/>
    <w:rsid w:val="007B792C"/>
    <w:rsid w:val="007B795B"/>
    <w:rsid w:val="007B7971"/>
    <w:rsid w:val="007B79C4"/>
    <w:rsid w:val="007B7A8D"/>
    <w:rsid w:val="007B7A9A"/>
    <w:rsid w:val="007B7B77"/>
    <w:rsid w:val="007B7C09"/>
    <w:rsid w:val="007B7C89"/>
    <w:rsid w:val="007B7CB8"/>
    <w:rsid w:val="007B7D45"/>
    <w:rsid w:val="007B7E48"/>
    <w:rsid w:val="007B7EB4"/>
    <w:rsid w:val="007B7FC1"/>
    <w:rsid w:val="007C0028"/>
    <w:rsid w:val="007C0045"/>
    <w:rsid w:val="007C005E"/>
    <w:rsid w:val="007C0115"/>
    <w:rsid w:val="007C026D"/>
    <w:rsid w:val="007C027C"/>
    <w:rsid w:val="007C0295"/>
    <w:rsid w:val="007C0416"/>
    <w:rsid w:val="007C0438"/>
    <w:rsid w:val="007C044B"/>
    <w:rsid w:val="007C04D4"/>
    <w:rsid w:val="007C06CA"/>
    <w:rsid w:val="007C08AF"/>
    <w:rsid w:val="007C095A"/>
    <w:rsid w:val="007C09B0"/>
    <w:rsid w:val="007C0A69"/>
    <w:rsid w:val="007C0AB2"/>
    <w:rsid w:val="007C0B43"/>
    <w:rsid w:val="007C0B4F"/>
    <w:rsid w:val="007C0B83"/>
    <w:rsid w:val="007C0BC2"/>
    <w:rsid w:val="007C0D68"/>
    <w:rsid w:val="007C0ED2"/>
    <w:rsid w:val="007C0EF3"/>
    <w:rsid w:val="007C0F38"/>
    <w:rsid w:val="007C0F8D"/>
    <w:rsid w:val="007C111A"/>
    <w:rsid w:val="007C1183"/>
    <w:rsid w:val="007C1279"/>
    <w:rsid w:val="007C137F"/>
    <w:rsid w:val="007C149A"/>
    <w:rsid w:val="007C163F"/>
    <w:rsid w:val="007C1690"/>
    <w:rsid w:val="007C1810"/>
    <w:rsid w:val="007C1829"/>
    <w:rsid w:val="007C184D"/>
    <w:rsid w:val="007C1883"/>
    <w:rsid w:val="007C1890"/>
    <w:rsid w:val="007C1951"/>
    <w:rsid w:val="007C1962"/>
    <w:rsid w:val="007C1974"/>
    <w:rsid w:val="007C197A"/>
    <w:rsid w:val="007C19D5"/>
    <w:rsid w:val="007C1A09"/>
    <w:rsid w:val="007C1A4A"/>
    <w:rsid w:val="007C1A6A"/>
    <w:rsid w:val="007C1A71"/>
    <w:rsid w:val="007C1B39"/>
    <w:rsid w:val="007C1C80"/>
    <w:rsid w:val="007C1CBE"/>
    <w:rsid w:val="007C1D6D"/>
    <w:rsid w:val="007C1E44"/>
    <w:rsid w:val="007C1E62"/>
    <w:rsid w:val="007C1E76"/>
    <w:rsid w:val="007C1EAA"/>
    <w:rsid w:val="007C1F87"/>
    <w:rsid w:val="007C2205"/>
    <w:rsid w:val="007C223D"/>
    <w:rsid w:val="007C2402"/>
    <w:rsid w:val="007C247C"/>
    <w:rsid w:val="007C2617"/>
    <w:rsid w:val="007C2668"/>
    <w:rsid w:val="007C2764"/>
    <w:rsid w:val="007C2772"/>
    <w:rsid w:val="007C2832"/>
    <w:rsid w:val="007C2893"/>
    <w:rsid w:val="007C290B"/>
    <w:rsid w:val="007C293A"/>
    <w:rsid w:val="007C2949"/>
    <w:rsid w:val="007C2972"/>
    <w:rsid w:val="007C29B8"/>
    <w:rsid w:val="007C2ABB"/>
    <w:rsid w:val="007C2AC0"/>
    <w:rsid w:val="007C2B07"/>
    <w:rsid w:val="007C2CAE"/>
    <w:rsid w:val="007C2D14"/>
    <w:rsid w:val="007C2D48"/>
    <w:rsid w:val="007C2D68"/>
    <w:rsid w:val="007C2E06"/>
    <w:rsid w:val="007C2E9C"/>
    <w:rsid w:val="007C2ECE"/>
    <w:rsid w:val="007C3114"/>
    <w:rsid w:val="007C31B4"/>
    <w:rsid w:val="007C31EA"/>
    <w:rsid w:val="007C3279"/>
    <w:rsid w:val="007C3328"/>
    <w:rsid w:val="007C33B3"/>
    <w:rsid w:val="007C33F4"/>
    <w:rsid w:val="007C3433"/>
    <w:rsid w:val="007C34B1"/>
    <w:rsid w:val="007C34E1"/>
    <w:rsid w:val="007C34F8"/>
    <w:rsid w:val="007C367A"/>
    <w:rsid w:val="007C367D"/>
    <w:rsid w:val="007C3729"/>
    <w:rsid w:val="007C38A2"/>
    <w:rsid w:val="007C39E0"/>
    <w:rsid w:val="007C3BA7"/>
    <w:rsid w:val="007C3D0F"/>
    <w:rsid w:val="007C3D43"/>
    <w:rsid w:val="007C3D76"/>
    <w:rsid w:val="007C3F26"/>
    <w:rsid w:val="007C401A"/>
    <w:rsid w:val="007C4068"/>
    <w:rsid w:val="007C4170"/>
    <w:rsid w:val="007C41E7"/>
    <w:rsid w:val="007C4220"/>
    <w:rsid w:val="007C426B"/>
    <w:rsid w:val="007C4298"/>
    <w:rsid w:val="007C44C9"/>
    <w:rsid w:val="007C44DD"/>
    <w:rsid w:val="007C45E7"/>
    <w:rsid w:val="007C466F"/>
    <w:rsid w:val="007C46DD"/>
    <w:rsid w:val="007C47F6"/>
    <w:rsid w:val="007C4815"/>
    <w:rsid w:val="007C486F"/>
    <w:rsid w:val="007C49ED"/>
    <w:rsid w:val="007C4A0E"/>
    <w:rsid w:val="007C4AAD"/>
    <w:rsid w:val="007C4ABF"/>
    <w:rsid w:val="007C4B29"/>
    <w:rsid w:val="007C4B94"/>
    <w:rsid w:val="007C4B96"/>
    <w:rsid w:val="007C4D9C"/>
    <w:rsid w:val="007C4F2D"/>
    <w:rsid w:val="007C4FA2"/>
    <w:rsid w:val="007C4FF5"/>
    <w:rsid w:val="007C5116"/>
    <w:rsid w:val="007C518C"/>
    <w:rsid w:val="007C51DF"/>
    <w:rsid w:val="007C51E0"/>
    <w:rsid w:val="007C5386"/>
    <w:rsid w:val="007C54BB"/>
    <w:rsid w:val="007C55C6"/>
    <w:rsid w:val="007C562A"/>
    <w:rsid w:val="007C5697"/>
    <w:rsid w:val="007C57A2"/>
    <w:rsid w:val="007C58B9"/>
    <w:rsid w:val="007C5A7A"/>
    <w:rsid w:val="007C5ACA"/>
    <w:rsid w:val="007C5B1D"/>
    <w:rsid w:val="007C5BCC"/>
    <w:rsid w:val="007C5D27"/>
    <w:rsid w:val="007C5FE0"/>
    <w:rsid w:val="007C6118"/>
    <w:rsid w:val="007C6121"/>
    <w:rsid w:val="007C6132"/>
    <w:rsid w:val="007C6246"/>
    <w:rsid w:val="007C624A"/>
    <w:rsid w:val="007C6316"/>
    <w:rsid w:val="007C6358"/>
    <w:rsid w:val="007C63D4"/>
    <w:rsid w:val="007C64FA"/>
    <w:rsid w:val="007C6586"/>
    <w:rsid w:val="007C65E1"/>
    <w:rsid w:val="007C6620"/>
    <w:rsid w:val="007C67C5"/>
    <w:rsid w:val="007C69DD"/>
    <w:rsid w:val="007C6A21"/>
    <w:rsid w:val="007C6AC4"/>
    <w:rsid w:val="007C6B77"/>
    <w:rsid w:val="007C6BA4"/>
    <w:rsid w:val="007C6C01"/>
    <w:rsid w:val="007C6CDB"/>
    <w:rsid w:val="007C6D03"/>
    <w:rsid w:val="007C6D35"/>
    <w:rsid w:val="007C6DF1"/>
    <w:rsid w:val="007C6EF7"/>
    <w:rsid w:val="007C7085"/>
    <w:rsid w:val="007C7111"/>
    <w:rsid w:val="007C71F5"/>
    <w:rsid w:val="007C7314"/>
    <w:rsid w:val="007C7348"/>
    <w:rsid w:val="007C73D9"/>
    <w:rsid w:val="007C73F5"/>
    <w:rsid w:val="007C74CE"/>
    <w:rsid w:val="007C7838"/>
    <w:rsid w:val="007C7AB4"/>
    <w:rsid w:val="007C7AFA"/>
    <w:rsid w:val="007C7BD6"/>
    <w:rsid w:val="007C7CD5"/>
    <w:rsid w:val="007D005A"/>
    <w:rsid w:val="007D0081"/>
    <w:rsid w:val="007D00D0"/>
    <w:rsid w:val="007D01A9"/>
    <w:rsid w:val="007D01CA"/>
    <w:rsid w:val="007D0273"/>
    <w:rsid w:val="007D0279"/>
    <w:rsid w:val="007D02EF"/>
    <w:rsid w:val="007D033C"/>
    <w:rsid w:val="007D0399"/>
    <w:rsid w:val="007D03B2"/>
    <w:rsid w:val="007D04B7"/>
    <w:rsid w:val="007D04C6"/>
    <w:rsid w:val="007D0615"/>
    <w:rsid w:val="007D065F"/>
    <w:rsid w:val="007D0799"/>
    <w:rsid w:val="007D083C"/>
    <w:rsid w:val="007D0846"/>
    <w:rsid w:val="007D0885"/>
    <w:rsid w:val="007D08A7"/>
    <w:rsid w:val="007D08E8"/>
    <w:rsid w:val="007D091E"/>
    <w:rsid w:val="007D092B"/>
    <w:rsid w:val="007D095A"/>
    <w:rsid w:val="007D09D2"/>
    <w:rsid w:val="007D0A2A"/>
    <w:rsid w:val="007D0BDB"/>
    <w:rsid w:val="007D0C36"/>
    <w:rsid w:val="007D0C55"/>
    <w:rsid w:val="007D0D04"/>
    <w:rsid w:val="007D0D3F"/>
    <w:rsid w:val="007D0DEC"/>
    <w:rsid w:val="007D0E44"/>
    <w:rsid w:val="007D0E7D"/>
    <w:rsid w:val="007D0E95"/>
    <w:rsid w:val="007D0F5C"/>
    <w:rsid w:val="007D0FCA"/>
    <w:rsid w:val="007D1016"/>
    <w:rsid w:val="007D119C"/>
    <w:rsid w:val="007D123E"/>
    <w:rsid w:val="007D1278"/>
    <w:rsid w:val="007D1309"/>
    <w:rsid w:val="007D1345"/>
    <w:rsid w:val="007D177C"/>
    <w:rsid w:val="007D1816"/>
    <w:rsid w:val="007D182B"/>
    <w:rsid w:val="007D1859"/>
    <w:rsid w:val="007D18BC"/>
    <w:rsid w:val="007D191F"/>
    <w:rsid w:val="007D1941"/>
    <w:rsid w:val="007D1ACE"/>
    <w:rsid w:val="007D1B01"/>
    <w:rsid w:val="007D1BC1"/>
    <w:rsid w:val="007D1BE9"/>
    <w:rsid w:val="007D1D72"/>
    <w:rsid w:val="007D1DA0"/>
    <w:rsid w:val="007D1E71"/>
    <w:rsid w:val="007D1EA1"/>
    <w:rsid w:val="007D1F69"/>
    <w:rsid w:val="007D1FD0"/>
    <w:rsid w:val="007D1FEA"/>
    <w:rsid w:val="007D2057"/>
    <w:rsid w:val="007D20B2"/>
    <w:rsid w:val="007D20B6"/>
    <w:rsid w:val="007D21B6"/>
    <w:rsid w:val="007D21C9"/>
    <w:rsid w:val="007D21E2"/>
    <w:rsid w:val="007D2222"/>
    <w:rsid w:val="007D2238"/>
    <w:rsid w:val="007D237C"/>
    <w:rsid w:val="007D2430"/>
    <w:rsid w:val="007D247D"/>
    <w:rsid w:val="007D250C"/>
    <w:rsid w:val="007D2538"/>
    <w:rsid w:val="007D26B1"/>
    <w:rsid w:val="007D26CE"/>
    <w:rsid w:val="007D26FE"/>
    <w:rsid w:val="007D27E0"/>
    <w:rsid w:val="007D2847"/>
    <w:rsid w:val="007D2931"/>
    <w:rsid w:val="007D2A20"/>
    <w:rsid w:val="007D2B3C"/>
    <w:rsid w:val="007D2C10"/>
    <w:rsid w:val="007D2C84"/>
    <w:rsid w:val="007D2D70"/>
    <w:rsid w:val="007D2E56"/>
    <w:rsid w:val="007D2E9C"/>
    <w:rsid w:val="007D2EAB"/>
    <w:rsid w:val="007D2F0A"/>
    <w:rsid w:val="007D2F82"/>
    <w:rsid w:val="007D2F96"/>
    <w:rsid w:val="007D30B3"/>
    <w:rsid w:val="007D3112"/>
    <w:rsid w:val="007D325F"/>
    <w:rsid w:val="007D326E"/>
    <w:rsid w:val="007D32B5"/>
    <w:rsid w:val="007D32BD"/>
    <w:rsid w:val="007D3358"/>
    <w:rsid w:val="007D33CD"/>
    <w:rsid w:val="007D3433"/>
    <w:rsid w:val="007D3461"/>
    <w:rsid w:val="007D34F0"/>
    <w:rsid w:val="007D35C5"/>
    <w:rsid w:val="007D37BA"/>
    <w:rsid w:val="007D3824"/>
    <w:rsid w:val="007D387A"/>
    <w:rsid w:val="007D38D6"/>
    <w:rsid w:val="007D39E4"/>
    <w:rsid w:val="007D3A94"/>
    <w:rsid w:val="007D3ABD"/>
    <w:rsid w:val="007D3BF1"/>
    <w:rsid w:val="007D3C93"/>
    <w:rsid w:val="007D3D5E"/>
    <w:rsid w:val="007D3E3F"/>
    <w:rsid w:val="007D3FC9"/>
    <w:rsid w:val="007D40D1"/>
    <w:rsid w:val="007D4183"/>
    <w:rsid w:val="007D4255"/>
    <w:rsid w:val="007D436F"/>
    <w:rsid w:val="007D437B"/>
    <w:rsid w:val="007D43CC"/>
    <w:rsid w:val="007D43DE"/>
    <w:rsid w:val="007D4402"/>
    <w:rsid w:val="007D4529"/>
    <w:rsid w:val="007D45FC"/>
    <w:rsid w:val="007D4696"/>
    <w:rsid w:val="007D475F"/>
    <w:rsid w:val="007D476E"/>
    <w:rsid w:val="007D4784"/>
    <w:rsid w:val="007D4807"/>
    <w:rsid w:val="007D4818"/>
    <w:rsid w:val="007D481D"/>
    <w:rsid w:val="007D48AF"/>
    <w:rsid w:val="007D48FD"/>
    <w:rsid w:val="007D493E"/>
    <w:rsid w:val="007D4B15"/>
    <w:rsid w:val="007D4C72"/>
    <w:rsid w:val="007D4C79"/>
    <w:rsid w:val="007D4C85"/>
    <w:rsid w:val="007D4CB1"/>
    <w:rsid w:val="007D4D17"/>
    <w:rsid w:val="007D4D4B"/>
    <w:rsid w:val="007D4DE3"/>
    <w:rsid w:val="007D4FE2"/>
    <w:rsid w:val="007D4FE6"/>
    <w:rsid w:val="007D4FF9"/>
    <w:rsid w:val="007D5048"/>
    <w:rsid w:val="007D5062"/>
    <w:rsid w:val="007D50B5"/>
    <w:rsid w:val="007D50DF"/>
    <w:rsid w:val="007D517F"/>
    <w:rsid w:val="007D521F"/>
    <w:rsid w:val="007D5469"/>
    <w:rsid w:val="007D5645"/>
    <w:rsid w:val="007D56E9"/>
    <w:rsid w:val="007D56FC"/>
    <w:rsid w:val="007D570F"/>
    <w:rsid w:val="007D572B"/>
    <w:rsid w:val="007D57C8"/>
    <w:rsid w:val="007D5A3C"/>
    <w:rsid w:val="007D5BC3"/>
    <w:rsid w:val="007D5C53"/>
    <w:rsid w:val="007D5C80"/>
    <w:rsid w:val="007D5C87"/>
    <w:rsid w:val="007D5CF2"/>
    <w:rsid w:val="007D5D5B"/>
    <w:rsid w:val="007D5DE2"/>
    <w:rsid w:val="007D5E42"/>
    <w:rsid w:val="007D5F71"/>
    <w:rsid w:val="007D5F87"/>
    <w:rsid w:val="007D6143"/>
    <w:rsid w:val="007D61EB"/>
    <w:rsid w:val="007D622D"/>
    <w:rsid w:val="007D626E"/>
    <w:rsid w:val="007D62D6"/>
    <w:rsid w:val="007D63EA"/>
    <w:rsid w:val="007D6529"/>
    <w:rsid w:val="007D65B4"/>
    <w:rsid w:val="007D65F1"/>
    <w:rsid w:val="007D661F"/>
    <w:rsid w:val="007D6627"/>
    <w:rsid w:val="007D670A"/>
    <w:rsid w:val="007D67D3"/>
    <w:rsid w:val="007D6927"/>
    <w:rsid w:val="007D6942"/>
    <w:rsid w:val="007D6983"/>
    <w:rsid w:val="007D6A15"/>
    <w:rsid w:val="007D6B74"/>
    <w:rsid w:val="007D6C41"/>
    <w:rsid w:val="007D6CBE"/>
    <w:rsid w:val="007D6CEF"/>
    <w:rsid w:val="007D6D99"/>
    <w:rsid w:val="007D6EE8"/>
    <w:rsid w:val="007D6FC8"/>
    <w:rsid w:val="007D71CB"/>
    <w:rsid w:val="007D71EB"/>
    <w:rsid w:val="007D730C"/>
    <w:rsid w:val="007D7420"/>
    <w:rsid w:val="007D7438"/>
    <w:rsid w:val="007D7455"/>
    <w:rsid w:val="007D7806"/>
    <w:rsid w:val="007D785B"/>
    <w:rsid w:val="007D7879"/>
    <w:rsid w:val="007D7A51"/>
    <w:rsid w:val="007D7B48"/>
    <w:rsid w:val="007D7B49"/>
    <w:rsid w:val="007D7CE7"/>
    <w:rsid w:val="007D7D2B"/>
    <w:rsid w:val="007D7D5C"/>
    <w:rsid w:val="007D7DE1"/>
    <w:rsid w:val="007D7E03"/>
    <w:rsid w:val="007D7E06"/>
    <w:rsid w:val="007D7E14"/>
    <w:rsid w:val="007D7F0F"/>
    <w:rsid w:val="007D7FE1"/>
    <w:rsid w:val="007E0023"/>
    <w:rsid w:val="007E0096"/>
    <w:rsid w:val="007E00A9"/>
    <w:rsid w:val="007E0217"/>
    <w:rsid w:val="007E0244"/>
    <w:rsid w:val="007E0260"/>
    <w:rsid w:val="007E03D5"/>
    <w:rsid w:val="007E0408"/>
    <w:rsid w:val="007E04A2"/>
    <w:rsid w:val="007E0547"/>
    <w:rsid w:val="007E07D1"/>
    <w:rsid w:val="007E08A5"/>
    <w:rsid w:val="007E08F5"/>
    <w:rsid w:val="007E0A07"/>
    <w:rsid w:val="007E0A6D"/>
    <w:rsid w:val="007E0B47"/>
    <w:rsid w:val="007E0C0B"/>
    <w:rsid w:val="007E0D2A"/>
    <w:rsid w:val="007E0D43"/>
    <w:rsid w:val="007E0D82"/>
    <w:rsid w:val="007E0DC0"/>
    <w:rsid w:val="007E0E11"/>
    <w:rsid w:val="007E0EC4"/>
    <w:rsid w:val="007E0ECE"/>
    <w:rsid w:val="007E0F4F"/>
    <w:rsid w:val="007E105C"/>
    <w:rsid w:val="007E1076"/>
    <w:rsid w:val="007E113A"/>
    <w:rsid w:val="007E11E1"/>
    <w:rsid w:val="007E1263"/>
    <w:rsid w:val="007E137B"/>
    <w:rsid w:val="007E1387"/>
    <w:rsid w:val="007E1393"/>
    <w:rsid w:val="007E1463"/>
    <w:rsid w:val="007E14B6"/>
    <w:rsid w:val="007E1697"/>
    <w:rsid w:val="007E173E"/>
    <w:rsid w:val="007E17BD"/>
    <w:rsid w:val="007E180D"/>
    <w:rsid w:val="007E1879"/>
    <w:rsid w:val="007E18F4"/>
    <w:rsid w:val="007E19C5"/>
    <w:rsid w:val="007E19EA"/>
    <w:rsid w:val="007E19F1"/>
    <w:rsid w:val="007E1ABC"/>
    <w:rsid w:val="007E1B5E"/>
    <w:rsid w:val="007E1BDD"/>
    <w:rsid w:val="007E1D73"/>
    <w:rsid w:val="007E1EBB"/>
    <w:rsid w:val="007E1F7A"/>
    <w:rsid w:val="007E20C5"/>
    <w:rsid w:val="007E22BF"/>
    <w:rsid w:val="007E22FE"/>
    <w:rsid w:val="007E232A"/>
    <w:rsid w:val="007E23A5"/>
    <w:rsid w:val="007E24B8"/>
    <w:rsid w:val="007E2871"/>
    <w:rsid w:val="007E294A"/>
    <w:rsid w:val="007E29F7"/>
    <w:rsid w:val="007E2A09"/>
    <w:rsid w:val="007E2D33"/>
    <w:rsid w:val="007E2F47"/>
    <w:rsid w:val="007E3078"/>
    <w:rsid w:val="007E307D"/>
    <w:rsid w:val="007E309D"/>
    <w:rsid w:val="007E30A3"/>
    <w:rsid w:val="007E30B6"/>
    <w:rsid w:val="007E30C8"/>
    <w:rsid w:val="007E3126"/>
    <w:rsid w:val="007E3291"/>
    <w:rsid w:val="007E3380"/>
    <w:rsid w:val="007E33ED"/>
    <w:rsid w:val="007E34AF"/>
    <w:rsid w:val="007E34EB"/>
    <w:rsid w:val="007E35D8"/>
    <w:rsid w:val="007E36BF"/>
    <w:rsid w:val="007E387C"/>
    <w:rsid w:val="007E3949"/>
    <w:rsid w:val="007E3B05"/>
    <w:rsid w:val="007E3B06"/>
    <w:rsid w:val="007E3BB7"/>
    <w:rsid w:val="007E3C46"/>
    <w:rsid w:val="007E3DE5"/>
    <w:rsid w:val="007E3FDA"/>
    <w:rsid w:val="007E4174"/>
    <w:rsid w:val="007E4294"/>
    <w:rsid w:val="007E42CA"/>
    <w:rsid w:val="007E42DF"/>
    <w:rsid w:val="007E432D"/>
    <w:rsid w:val="007E43A2"/>
    <w:rsid w:val="007E43A5"/>
    <w:rsid w:val="007E43C3"/>
    <w:rsid w:val="007E448A"/>
    <w:rsid w:val="007E448F"/>
    <w:rsid w:val="007E4755"/>
    <w:rsid w:val="007E4A0B"/>
    <w:rsid w:val="007E4A74"/>
    <w:rsid w:val="007E4C44"/>
    <w:rsid w:val="007E4D3F"/>
    <w:rsid w:val="007E4F59"/>
    <w:rsid w:val="007E4F96"/>
    <w:rsid w:val="007E4FC0"/>
    <w:rsid w:val="007E5033"/>
    <w:rsid w:val="007E509A"/>
    <w:rsid w:val="007E5158"/>
    <w:rsid w:val="007E52AB"/>
    <w:rsid w:val="007E5384"/>
    <w:rsid w:val="007E53FC"/>
    <w:rsid w:val="007E5460"/>
    <w:rsid w:val="007E546F"/>
    <w:rsid w:val="007E548D"/>
    <w:rsid w:val="007E5495"/>
    <w:rsid w:val="007E55FF"/>
    <w:rsid w:val="007E560E"/>
    <w:rsid w:val="007E5637"/>
    <w:rsid w:val="007E573A"/>
    <w:rsid w:val="007E57F6"/>
    <w:rsid w:val="007E580D"/>
    <w:rsid w:val="007E5914"/>
    <w:rsid w:val="007E594B"/>
    <w:rsid w:val="007E5A24"/>
    <w:rsid w:val="007E5A9B"/>
    <w:rsid w:val="007E5BFE"/>
    <w:rsid w:val="007E5CB7"/>
    <w:rsid w:val="007E5CD5"/>
    <w:rsid w:val="007E5D4C"/>
    <w:rsid w:val="007E5DA0"/>
    <w:rsid w:val="007E5DCB"/>
    <w:rsid w:val="007E5E56"/>
    <w:rsid w:val="007E5E7A"/>
    <w:rsid w:val="007E6035"/>
    <w:rsid w:val="007E61E8"/>
    <w:rsid w:val="007E62C1"/>
    <w:rsid w:val="007E630D"/>
    <w:rsid w:val="007E63C1"/>
    <w:rsid w:val="007E644B"/>
    <w:rsid w:val="007E647B"/>
    <w:rsid w:val="007E64BD"/>
    <w:rsid w:val="007E6680"/>
    <w:rsid w:val="007E66A7"/>
    <w:rsid w:val="007E66FF"/>
    <w:rsid w:val="007E672A"/>
    <w:rsid w:val="007E672E"/>
    <w:rsid w:val="007E6748"/>
    <w:rsid w:val="007E6801"/>
    <w:rsid w:val="007E6929"/>
    <w:rsid w:val="007E6974"/>
    <w:rsid w:val="007E698B"/>
    <w:rsid w:val="007E6A45"/>
    <w:rsid w:val="007E6BD5"/>
    <w:rsid w:val="007E6BDA"/>
    <w:rsid w:val="007E6C10"/>
    <w:rsid w:val="007E6C44"/>
    <w:rsid w:val="007E6C8A"/>
    <w:rsid w:val="007E6CA5"/>
    <w:rsid w:val="007E6D1A"/>
    <w:rsid w:val="007E6D47"/>
    <w:rsid w:val="007E6D99"/>
    <w:rsid w:val="007E6DC1"/>
    <w:rsid w:val="007E6DD6"/>
    <w:rsid w:val="007E6E3B"/>
    <w:rsid w:val="007E6EED"/>
    <w:rsid w:val="007E7029"/>
    <w:rsid w:val="007E7146"/>
    <w:rsid w:val="007E718A"/>
    <w:rsid w:val="007E71A8"/>
    <w:rsid w:val="007E7215"/>
    <w:rsid w:val="007E7232"/>
    <w:rsid w:val="007E735A"/>
    <w:rsid w:val="007E7456"/>
    <w:rsid w:val="007E7534"/>
    <w:rsid w:val="007E75BA"/>
    <w:rsid w:val="007E75BB"/>
    <w:rsid w:val="007E78AA"/>
    <w:rsid w:val="007E7912"/>
    <w:rsid w:val="007E798A"/>
    <w:rsid w:val="007E7A6E"/>
    <w:rsid w:val="007E7ABA"/>
    <w:rsid w:val="007E7AE6"/>
    <w:rsid w:val="007E7BA8"/>
    <w:rsid w:val="007E7BE5"/>
    <w:rsid w:val="007E7CE3"/>
    <w:rsid w:val="007E7D12"/>
    <w:rsid w:val="007E7D37"/>
    <w:rsid w:val="007E7D55"/>
    <w:rsid w:val="007E7FD7"/>
    <w:rsid w:val="007F0057"/>
    <w:rsid w:val="007F007E"/>
    <w:rsid w:val="007F00B5"/>
    <w:rsid w:val="007F00C0"/>
    <w:rsid w:val="007F00DD"/>
    <w:rsid w:val="007F0203"/>
    <w:rsid w:val="007F0276"/>
    <w:rsid w:val="007F029F"/>
    <w:rsid w:val="007F02EA"/>
    <w:rsid w:val="007F03A2"/>
    <w:rsid w:val="007F0417"/>
    <w:rsid w:val="007F0551"/>
    <w:rsid w:val="007F0631"/>
    <w:rsid w:val="007F07CA"/>
    <w:rsid w:val="007F0818"/>
    <w:rsid w:val="007F08CD"/>
    <w:rsid w:val="007F0B17"/>
    <w:rsid w:val="007F0BD8"/>
    <w:rsid w:val="007F0C3B"/>
    <w:rsid w:val="007F0CB0"/>
    <w:rsid w:val="007F0D70"/>
    <w:rsid w:val="007F0DB9"/>
    <w:rsid w:val="007F0E71"/>
    <w:rsid w:val="007F0FA9"/>
    <w:rsid w:val="007F0FDC"/>
    <w:rsid w:val="007F0FE7"/>
    <w:rsid w:val="007F1015"/>
    <w:rsid w:val="007F1062"/>
    <w:rsid w:val="007F106E"/>
    <w:rsid w:val="007F10C8"/>
    <w:rsid w:val="007F10FA"/>
    <w:rsid w:val="007F1130"/>
    <w:rsid w:val="007F117C"/>
    <w:rsid w:val="007F11D0"/>
    <w:rsid w:val="007F11E1"/>
    <w:rsid w:val="007F12A8"/>
    <w:rsid w:val="007F1435"/>
    <w:rsid w:val="007F1442"/>
    <w:rsid w:val="007F1473"/>
    <w:rsid w:val="007F14B3"/>
    <w:rsid w:val="007F1576"/>
    <w:rsid w:val="007F15D8"/>
    <w:rsid w:val="007F1627"/>
    <w:rsid w:val="007F1831"/>
    <w:rsid w:val="007F18A4"/>
    <w:rsid w:val="007F193D"/>
    <w:rsid w:val="007F19D3"/>
    <w:rsid w:val="007F1AA4"/>
    <w:rsid w:val="007F1BD2"/>
    <w:rsid w:val="007F1D01"/>
    <w:rsid w:val="007F1DB7"/>
    <w:rsid w:val="007F1DDA"/>
    <w:rsid w:val="007F1F3E"/>
    <w:rsid w:val="007F2037"/>
    <w:rsid w:val="007F20D5"/>
    <w:rsid w:val="007F2257"/>
    <w:rsid w:val="007F227A"/>
    <w:rsid w:val="007F2447"/>
    <w:rsid w:val="007F269C"/>
    <w:rsid w:val="007F26BF"/>
    <w:rsid w:val="007F26C4"/>
    <w:rsid w:val="007F26EE"/>
    <w:rsid w:val="007F27A1"/>
    <w:rsid w:val="007F27B2"/>
    <w:rsid w:val="007F27F9"/>
    <w:rsid w:val="007F289A"/>
    <w:rsid w:val="007F2987"/>
    <w:rsid w:val="007F2B53"/>
    <w:rsid w:val="007F2C59"/>
    <w:rsid w:val="007F2CAE"/>
    <w:rsid w:val="007F2D2A"/>
    <w:rsid w:val="007F2D66"/>
    <w:rsid w:val="007F2DBF"/>
    <w:rsid w:val="007F2F18"/>
    <w:rsid w:val="007F2F32"/>
    <w:rsid w:val="007F2FB2"/>
    <w:rsid w:val="007F2FDD"/>
    <w:rsid w:val="007F3004"/>
    <w:rsid w:val="007F302B"/>
    <w:rsid w:val="007F317D"/>
    <w:rsid w:val="007F31A4"/>
    <w:rsid w:val="007F3208"/>
    <w:rsid w:val="007F323C"/>
    <w:rsid w:val="007F32B4"/>
    <w:rsid w:val="007F348A"/>
    <w:rsid w:val="007F36E6"/>
    <w:rsid w:val="007F36F1"/>
    <w:rsid w:val="007F37DA"/>
    <w:rsid w:val="007F3930"/>
    <w:rsid w:val="007F3999"/>
    <w:rsid w:val="007F3A2C"/>
    <w:rsid w:val="007F3A31"/>
    <w:rsid w:val="007F3A61"/>
    <w:rsid w:val="007F3AD0"/>
    <w:rsid w:val="007F3B0C"/>
    <w:rsid w:val="007F3DCE"/>
    <w:rsid w:val="007F3EFD"/>
    <w:rsid w:val="007F3FC0"/>
    <w:rsid w:val="007F400B"/>
    <w:rsid w:val="007F40FB"/>
    <w:rsid w:val="007F4147"/>
    <w:rsid w:val="007F421B"/>
    <w:rsid w:val="007F421D"/>
    <w:rsid w:val="007F425E"/>
    <w:rsid w:val="007F42F1"/>
    <w:rsid w:val="007F4328"/>
    <w:rsid w:val="007F4350"/>
    <w:rsid w:val="007F4370"/>
    <w:rsid w:val="007F43F1"/>
    <w:rsid w:val="007F4475"/>
    <w:rsid w:val="007F44B6"/>
    <w:rsid w:val="007F44BB"/>
    <w:rsid w:val="007F469D"/>
    <w:rsid w:val="007F47EC"/>
    <w:rsid w:val="007F4893"/>
    <w:rsid w:val="007F4971"/>
    <w:rsid w:val="007F4997"/>
    <w:rsid w:val="007F4A2F"/>
    <w:rsid w:val="007F4ABC"/>
    <w:rsid w:val="007F4BDA"/>
    <w:rsid w:val="007F4C8E"/>
    <w:rsid w:val="007F4D00"/>
    <w:rsid w:val="007F4D27"/>
    <w:rsid w:val="007F4D97"/>
    <w:rsid w:val="007F4DAB"/>
    <w:rsid w:val="007F4E0E"/>
    <w:rsid w:val="007F4EA1"/>
    <w:rsid w:val="007F5098"/>
    <w:rsid w:val="007F50DB"/>
    <w:rsid w:val="007F5126"/>
    <w:rsid w:val="007F5169"/>
    <w:rsid w:val="007F516A"/>
    <w:rsid w:val="007F5247"/>
    <w:rsid w:val="007F5310"/>
    <w:rsid w:val="007F5596"/>
    <w:rsid w:val="007F5690"/>
    <w:rsid w:val="007F57DB"/>
    <w:rsid w:val="007F58CF"/>
    <w:rsid w:val="007F5902"/>
    <w:rsid w:val="007F59A5"/>
    <w:rsid w:val="007F59F8"/>
    <w:rsid w:val="007F5A81"/>
    <w:rsid w:val="007F5AE1"/>
    <w:rsid w:val="007F5D0A"/>
    <w:rsid w:val="007F5E33"/>
    <w:rsid w:val="007F5FAF"/>
    <w:rsid w:val="007F600E"/>
    <w:rsid w:val="007F60A4"/>
    <w:rsid w:val="007F60BA"/>
    <w:rsid w:val="007F63A2"/>
    <w:rsid w:val="007F653F"/>
    <w:rsid w:val="007F6622"/>
    <w:rsid w:val="007F66A4"/>
    <w:rsid w:val="007F688F"/>
    <w:rsid w:val="007F69DD"/>
    <w:rsid w:val="007F6A19"/>
    <w:rsid w:val="007F6A3B"/>
    <w:rsid w:val="007F6A3F"/>
    <w:rsid w:val="007F6A4D"/>
    <w:rsid w:val="007F6AD0"/>
    <w:rsid w:val="007F6B3A"/>
    <w:rsid w:val="007F6BA6"/>
    <w:rsid w:val="007F6CD2"/>
    <w:rsid w:val="007F6F4D"/>
    <w:rsid w:val="007F71B6"/>
    <w:rsid w:val="007F72FF"/>
    <w:rsid w:val="007F752D"/>
    <w:rsid w:val="007F75D7"/>
    <w:rsid w:val="007F76F2"/>
    <w:rsid w:val="007F78B0"/>
    <w:rsid w:val="007F7938"/>
    <w:rsid w:val="007F79E9"/>
    <w:rsid w:val="007F7AEB"/>
    <w:rsid w:val="007F7AF7"/>
    <w:rsid w:val="007F7B4B"/>
    <w:rsid w:val="007F7B8D"/>
    <w:rsid w:val="007F7BB1"/>
    <w:rsid w:val="007F7CD8"/>
    <w:rsid w:val="007F7D42"/>
    <w:rsid w:val="007F7DA2"/>
    <w:rsid w:val="007F7E31"/>
    <w:rsid w:val="007F7F33"/>
    <w:rsid w:val="007F7FD9"/>
    <w:rsid w:val="00800292"/>
    <w:rsid w:val="008002B6"/>
    <w:rsid w:val="00800340"/>
    <w:rsid w:val="00800444"/>
    <w:rsid w:val="0080046C"/>
    <w:rsid w:val="00800538"/>
    <w:rsid w:val="0080055D"/>
    <w:rsid w:val="00800731"/>
    <w:rsid w:val="00800780"/>
    <w:rsid w:val="00800799"/>
    <w:rsid w:val="00800804"/>
    <w:rsid w:val="0080084C"/>
    <w:rsid w:val="00800889"/>
    <w:rsid w:val="008008AB"/>
    <w:rsid w:val="00800931"/>
    <w:rsid w:val="00800971"/>
    <w:rsid w:val="00800B73"/>
    <w:rsid w:val="00800B81"/>
    <w:rsid w:val="00800B8B"/>
    <w:rsid w:val="00800DD1"/>
    <w:rsid w:val="00800EE6"/>
    <w:rsid w:val="00801014"/>
    <w:rsid w:val="0080105D"/>
    <w:rsid w:val="00801070"/>
    <w:rsid w:val="00801337"/>
    <w:rsid w:val="008014EB"/>
    <w:rsid w:val="00801525"/>
    <w:rsid w:val="0080157D"/>
    <w:rsid w:val="008015D2"/>
    <w:rsid w:val="0080166E"/>
    <w:rsid w:val="008016D3"/>
    <w:rsid w:val="0080173E"/>
    <w:rsid w:val="00801856"/>
    <w:rsid w:val="008018A3"/>
    <w:rsid w:val="008019DE"/>
    <w:rsid w:val="00801A70"/>
    <w:rsid w:val="00801BC1"/>
    <w:rsid w:val="00801BD9"/>
    <w:rsid w:val="00801C80"/>
    <w:rsid w:val="00801D27"/>
    <w:rsid w:val="00801D32"/>
    <w:rsid w:val="00801DD2"/>
    <w:rsid w:val="00801EEC"/>
    <w:rsid w:val="008020D6"/>
    <w:rsid w:val="008021AA"/>
    <w:rsid w:val="008021C0"/>
    <w:rsid w:val="0080230E"/>
    <w:rsid w:val="00802343"/>
    <w:rsid w:val="008024E5"/>
    <w:rsid w:val="008027A8"/>
    <w:rsid w:val="00802804"/>
    <w:rsid w:val="00802834"/>
    <w:rsid w:val="0080287A"/>
    <w:rsid w:val="00802893"/>
    <w:rsid w:val="00802962"/>
    <w:rsid w:val="00802A73"/>
    <w:rsid w:val="00802ACD"/>
    <w:rsid w:val="00802B38"/>
    <w:rsid w:val="00802B91"/>
    <w:rsid w:val="00802B98"/>
    <w:rsid w:val="00802C32"/>
    <w:rsid w:val="00802C73"/>
    <w:rsid w:val="00802D73"/>
    <w:rsid w:val="00802DFC"/>
    <w:rsid w:val="00802DFE"/>
    <w:rsid w:val="00802E74"/>
    <w:rsid w:val="00802E90"/>
    <w:rsid w:val="00802EE1"/>
    <w:rsid w:val="00802F09"/>
    <w:rsid w:val="00802FF7"/>
    <w:rsid w:val="00803015"/>
    <w:rsid w:val="0080301C"/>
    <w:rsid w:val="00803094"/>
    <w:rsid w:val="008030DC"/>
    <w:rsid w:val="00803213"/>
    <w:rsid w:val="0080321F"/>
    <w:rsid w:val="008032EA"/>
    <w:rsid w:val="0080333A"/>
    <w:rsid w:val="008033C1"/>
    <w:rsid w:val="008033C2"/>
    <w:rsid w:val="008034A8"/>
    <w:rsid w:val="008034E4"/>
    <w:rsid w:val="0080350B"/>
    <w:rsid w:val="0080360A"/>
    <w:rsid w:val="0080362F"/>
    <w:rsid w:val="00803670"/>
    <w:rsid w:val="008036F4"/>
    <w:rsid w:val="008037B2"/>
    <w:rsid w:val="00803834"/>
    <w:rsid w:val="008039A5"/>
    <w:rsid w:val="008039B4"/>
    <w:rsid w:val="00803A67"/>
    <w:rsid w:val="00803A6E"/>
    <w:rsid w:val="00803ABF"/>
    <w:rsid w:val="00803DC5"/>
    <w:rsid w:val="00803EAB"/>
    <w:rsid w:val="00803F93"/>
    <w:rsid w:val="0080401D"/>
    <w:rsid w:val="0080405F"/>
    <w:rsid w:val="00804067"/>
    <w:rsid w:val="00804192"/>
    <w:rsid w:val="008042A3"/>
    <w:rsid w:val="00804413"/>
    <w:rsid w:val="00804434"/>
    <w:rsid w:val="008044F3"/>
    <w:rsid w:val="0080450C"/>
    <w:rsid w:val="0080452B"/>
    <w:rsid w:val="00804540"/>
    <w:rsid w:val="008045EE"/>
    <w:rsid w:val="00804641"/>
    <w:rsid w:val="00804725"/>
    <w:rsid w:val="008048B6"/>
    <w:rsid w:val="0080493C"/>
    <w:rsid w:val="00804BFC"/>
    <w:rsid w:val="00804C29"/>
    <w:rsid w:val="00804C81"/>
    <w:rsid w:val="00804C82"/>
    <w:rsid w:val="00804D9C"/>
    <w:rsid w:val="00804DC2"/>
    <w:rsid w:val="00804E55"/>
    <w:rsid w:val="00804EF2"/>
    <w:rsid w:val="00804F67"/>
    <w:rsid w:val="00805117"/>
    <w:rsid w:val="00805209"/>
    <w:rsid w:val="00805278"/>
    <w:rsid w:val="008052AE"/>
    <w:rsid w:val="0080530B"/>
    <w:rsid w:val="008054D6"/>
    <w:rsid w:val="00805588"/>
    <w:rsid w:val="008055B1"/>
    <w:rsid w:val="0080562D"/>
    <w:rsid w:val="00805727"/>
    <w:rsid w:val="00805778"/>
    <w:rsid w:val="008057C8"/>
    <w:rsid w:val="008057D0"/>
    <w:rsid w:val="00805825"/>
    <w:rsid w:val="008059B9"/>
    <w:rsid w:val="008059FC"/>
    <w:rsid w:val="00805A83"/>
    <w:rsid w:val="00805B38"/>
    <w:rsid w:val="00805C31"/>
    <w:rsid w:val="00805CDE"/>
    <w:rsid w:val="00805D77"/>
    <w:rsid w:val="00805E5F"/>
    <w:rsid w:val="00805FAE"/>
    <w:rsid w:val="00805FC2"/>
    <w:rsid w:val="00805FFD"/>
    <w:rsid w:val="008060BF"/>
    <w:rsid w:val="008060F4"/>
    <w:rsid w:val="008061B0"/>
    <w:rsid w:val="008061D2"/>
    <w:rsid w:val="008064D4"/>
    <w:rsid w:val="008065CD"/>
    <w:rsid w:val="008066A7"/>
    <w:rsid w:val="008066D9"/>
    <w:rsid w:val="008067D6"/>
    <w:rsid w:val="00806887"/>
    <w:rsid w:val="0080688D"/>
    <w:rsid w:val="00806893"/>
    <w:rsid w:val="008068CC"/>
    <w:rsid w:val="008069DB"/>
    <w:rsid w:val="008069F6"/>
    <w:rsid w:val="008069FC"/>
    <w:rsid w:val="00806A3B"/>
    <w:rsid w:val="00806B68"/>
    <w:rsid w:val="00806C2A"/>
    <w:rsid w:val="00806CCF"/>
    <w:rsid w:val="00806D5B"/>
    <w:rsid w:val="00806E1F"/>
    <w:rsid w:val="00806F20"/>
    <w:rsid w:val="008070E3"/>
    <w:rsid w:val="008070F0"/>
    <w:rsid w:val="0080710B"/>
    <w:rsid w:val="0080717E"/>
    <w:rsid w:val="00807289"/>
    <w:rsid w:val="008075E4"/>
    <w:rsid w:val="008075E5"/>
    <w:rsid w:val="0080766E"/>
    <w:rsid w:val="00807812"/>
    <w:rsid w:val="0080782E"/>
    <w:rsid w:val="0080784B"/>
    <w:rsid w:val="008078A2"/>
    <w:rsid w:val="008079EA"/>
    <w:rsid w:val="00807A53"/>
    <w:rsid w:val="00807A5D"/>
    <w:rsid w:val="00807AA2"/>
    <w:rsid w:val="00807B01"/>
    <w:rsid w:val="00807B71"/>
    <w:rsid w:val="00807B77"/>
    <w:rsid w:val="00807BA3"/>
    <w:rsid w:val="00807BB7"/>
    <w:rsid w:val="00807BED"/>
    <w:rsid w:val="00807CE6"/>
    <w:rsid w:val="00807CF6"/>
    <w:rsid w:val="00807E59"/>
    <w:rsid w:val="00807F0F"/>
    <w:rsid w:val="00807FBA"/>
    <w:rsid w:val="0081001D"/>
    <w:rsid w:val="008100A9"/>
    <w:rsid w:val="008100BA"/>
    <w:rsid w:val="0081044F"/>
    <w:rsid w:val="00810481"/>
    <w:rsid w:val="00810492"/>
    <w:rsid w:val="00810499"/>
    <w:rsid w:val="0081050D"/>
    <w:rsid w:val="0081068C"/>
    <w:rsid w:val="00810704"/>
    <w:rsid w:val="008107B0"/>
    <w:rsid w:val="008108C2"/>
    <w:rsid w:val="008109E2"/>
    <w:rsid w:val="00810ADF"/>
    <w:rsid w:val="00810C94"/>
    <w:rsid w:val="00810D25"/>
    <w:rsid w:val="00810D9A"/>
    <w:rsid w:val="00810DE3"/>
    <w:rsid w:val="00810F2E"/>
    <w:rsid w:val="00810F50"/>
    <w:rsid w:val="00810F8E"/>
    <w:rsid w:val="00810FA0"/>
    <w:rsid w:val="00810FD8"/>
    <w:rsid w:val="0081105E"/>
    <w:rsid w:val="008110BB"/>
    <w:rsid w:val="0081118E"/>
    <w:rsid w:val="008111F1"/>
    <w:rsid w:val="008112F5"/>
    <w:rsid w:val="0081149F"/>
    <w:rsid w:val="008114B2"/>
    <w:rsid w:val="0081150A"/>
    <w:rsid w:val="00811606"/>
    <w:rsid w:val="0081165D"/>
    <w:rsid w:val="00811677"/>
    <w:rsid w:val="0081169A"/>
    <w:rsid w:val="008116D4"/>
    <w:rsid w:val="008118D1"/>
    <w:rsid w:val="008118DD"/>
    <w:rsid w:val="00811AB2"/>
    <w:rsid w:val="00811ACA"/>
    <w:rsid w:val="00811B80"/>
    <w:rsid w:val="00811BB1"/>
    <w:rsid w:val="00811C47"/>
    <w:rsid w:val="00811C8A"/>
    <w:rsid w:val="00811C92"/>
    <w:rsid w:val="00811D27"/>
    <w:rsid w:val="00811DCB"/>
    <w:rsid w:val="00811E03"/>
    <w:rsid w:val="00811E13"/>
    <w:rsid w:val="00811E1D"/>
    <w:rsid w:val="00811F67"/>
    <w:rsid w:val="00811F95"/>
    <w:rsid w:val="00811FC2"/>
    <w:rsid w:val="00812050"/>
    <w:rsid w:val="00812114"/>
    <w:rsid w:val="008121CF"/>
    <w:rsid w:val="008121D5"/>
    <w:rsid w:val="008122E7"/>
    <w:rsid w:val="0081236C"/>
    <w:rsid w:val="00812381"/>
    <w:rsid w:val="00812396"/>
    <w:rsid w:val="008123D0"/>
    <w:rsid w:val="008124BC"/>
    <w:rsid w:val="00812501"/>
    <w:rsid w:val="00812506"/>
    <w:rsid w:val="0081250E"/>
    <w:rsid w:val="0081252D"/>
    <w:rsid w:val="00812593"/>
    <w:rsid w:val="008126A3"/>
    <w:rsid w:val="00812873"/>
    <w:rsid w:val="00812895"/>
    <w:rsid w:val="00812904"/>
    <w:rsid w:val="00812A4B"/>
    <w:rsid w:val="00812AB8"/>
    <w:rsid w:val="00812AFF"/>
    <w:rsid w:val="00812BF0"/>
    <w:rsid w:val="00812C15"/>
    <w:rsid w:val="00812C41"/>
    <w:rsid w:val="00812D40"/>
    <w:rsid w:val="00812E51"/>
    <w:rsid w:val="00812EBE"/>
    <w:rsid w:val="00812F98"/>
    <w:rsid w:val="00812FFA"/>
    <w:rsid w:val="00813158"/>
    <w:rsid w:val="0081320D"/>
    <w:rsid w:val="00813286"/>
    <w:rsid w:val="0081329F"/>
    <w:rsid w:val="008132B6"/>
    <w:rsid w:val="008132D6"/>
    <w:rsid w:val="0081330C"/>
    <w:rsid w:val="008133A2"/>
    <w:rsid w:val="008133BB"/>
    <w:rsid w:val="008133F1"/>
    <w:rsid w:val="008135AE"/>
    <w:rsid w:val="008135B9"/>
    <w:rsid w:val="00813603"/>
    <w:rsid w:val="008136E8"/>
    <w:rsid w:val="0081370D"/>
    <w:rsid w:val="00813713"/>
    <w:rsid w:val="0081378D"/>
    <w:rsid w:val="00813790"/>
    <w:rsid w:val="008137C9"/>
    <w:rsid w:val="00813923"/>
    <w:rsid w:val="008139E6"/>
    <w:rsid w:val="00813A15"/>
    <w:rsid w:val="00813A98"/>
    <w:rsid w:val="00813B1E"/>
    <w:rsid w:val="00813B5E"/>
    <w:rsid w:val="00813BBB"/>
    <w:rsid w:val="00813C04"/>
    <w:rsid w:val="00813C8E"/>
    <w:rsid w:val="00813CF8"/>
    <w:rsid w:val="00813DC2"/>
    <w:rsid w:val="00813EA4"/>
    <w:rsid w:val="00813EFC"/>
    <w:rsid w:val="00814011"/>
    <w:rsid w:val="00814074"/>
    <w:rsid w:val="008140F5"/>
    <w:rsid w:val="0081413A"/>
    <w:rsid w:val="00814191"/>
    <w:rsid w:val="0081428B"/>
    <w:rsid w:val="008142E6"/>
    <w:rsid w:val="008142EF"/>
    <w:rsid w:val="0081434C"/>
    <w:rsid w:val="0081438B"/>
    <w:rsid w:val="00814437"/>
    <w:rsid w:val="0081456D"/>
    <w:rsid w:val="00814626"/>
    <w:rsid w:val="008146AD"/>
    <w:rsid w:val="008146FB"/>
    <w:rsid w:val="00814712"/>
    <w:rsid w:val="0081474D"/>
    <w:rsid w:val="0081477B"/>
    <w:rsid w:val="008147E8"/>
    <w:rsid w:val="008148A9"/>
    <w:rsid w:val="008148ED"/>
    <w:rsid w:val="00814AE2"/>
    <w:rsid w:val="00814BC1"/>
    <w:rsid w:val="00814BCE"/>
    <w:rsid w:val="00814BF9"/>
    <w:rsid w:val="00814D1F"/>
    <w:rsid w:val="00814E26"/>
    <w:rsid w:val="00815090"/>
    <w:rsid w:val="008150CE"/>
    <w:rsid w:val="008150FE"/>
    <w:rsid w:val="00815126"/>
    <w:rsid w:val="0081512F"/>
    <w:rsid w:val="00815395"/>
    <w:rsid w:val="00815421"/>
    <w:rsid w:val="00815497"/>
    <w:rsid w:val="00815503"/>
    <w:rsid w:val="008155D4"/>
    <w:rsid w:val="00815756"/>
    <w:rsid w:val="008157B7"/>
    <w:rsid w:val="0081583E"/>
    <w:rsid w:val="00815886"/>
    <w:rsid w:val="008158B7"/>
    <w:rsid w:val="0081594A"/>
    <w:rsid w:val="008159BC"/>
    <w:rsid w:val="00815A1E"/>
    <w:rsid w:val="00815A6B"/>
    <w:rsid w:val="00815ADB"/>
    <w:rsid w:val="00815C39"/>
    <w:rsid w:val="00815C43"/>
    <w:rsid w:val="00815C99"/>
    <w:rsid w:val="00815CB0"/>
    <w:rsid w:val="00815DC6"/>
    <w:rsid w:val="00815E64"/>
    <w:rsid w:val="00815F30"/>
    <w:rsid w:val="00816017"/>
    <w:rsid w:val="00816058"/>
    <w:rsid w:val="0081607E"/>
    <w:rsid w:val="0081608C"/>
    <w:rsid w:val="00816149"/>
    <w:rsid w:val="00816189"/>
    <w:rsid w:val="008161D3"/>
    <w:rsid w:val="00816327"/>
    <w:rsid w:val="00816336"/>
    <w:rsid w:val="00816406"/>
    <w:rsid w:val="00816438"/>
    <w:rsid w:val="0081646B"/>
    <w:rsid w:val="008164B4"/>
    <w:rsid w:val="008164E6"/>
    <w:rsid w:val="008165B0"/>
    <w:rsid w:val="008165F3"/>
    <w:rsid w:val="00816601"/>
    <w:rsid w:val="0081668C"/>
    <w:rsid w:val="0081669C"/>
    <w:rsid w:val="00816790"/>
    <w:rsid w:val="00816836"/>
    <w:rsid w:val="0081683E"/>
    <w:rsid w:val="00816850"/>
    <w:rsid w:val="00816923"/>
    <w:rsid w:val="008169CD"/>
    <w:rsid w:val="00816D5A"/>
    <w:rsid w:val="00816D81"/>
    <w:rsid w:val="00816E7D"/>
    <w:rsid w:val="00816FE5"/>
    <w:rsid w:val="00817011"/>
    <w:rsid w:val="00817049"/>
    <w:rsid w:val="00817242"/>
    <w:rsid w:val="00817375"/>
    <w:rsid w:val="008173B2"/>
    <w:rsid w:val="00817467"/>
    <w:rsid w:val="00817534"/>
    <w:rsid w:val="0081755B"/>
    <w:rsid w:val="00817584"/>
    <w:rsid w:val="00817625"/>
    <w:rsid w:val="00817692"/>
    <w:rsid w:val="008177CA"/>
    <w:rsid w:val="0081782A"/>
    <w:rsid w:val="00817843"/>
    <w:rsid w:val="00817858"/>
    <w:rsid w:val="008178B1"/>
    <w:rsid w:val="008178BF"/>
    <w:rsid w:val="0081797E"/>
    <w:rsid w:val="00817A84"/>
    <w:rsid w:val="00817C1F"/>
    <w:rsid w:val="00817C58"/>
    <w:rsid w:val="00817CF8"/>
    <w:rsid w:val="00817D88"/>
    <w:rsid w:val="00817DD5"/>
    <w:rsid w:val="00817E46"/>
    <w:rsid w:val="00817E64"/>
    <w:rsid w:val="00817EB0"/>
    <w:rsid w:val="00817EEB"/>
    <w:rsid w:val="00817EF6"/>
    <w:rsid w:val="00820012"/>
    <w:rsid w:val="008200B4"/>
    <w:rsid w:val="008201C3"/>
    <w:rsid w:val="0082027B"/>
    <w:rsid w:val="008202EA"/>
    <w:rsid w:val="0082032C"/>
    <w:rsid w:val="00820339"/>
    <w:rsid w:val="0082043F"/>
    <w:rsid w:val="008204B2"/>
    <w:rsid w:val="008204DF"/>
    <w:rsid w:val="0082050A"/>
    <w:rsid w:val="00820517"/>
    <w:rsid w:val="00820545"/>
    <w:rsid w:val="00820558"/>
    <w:rsid w:val="0082088E"/>
    <w:rsid w:val="008208C8"/>
    <w:rsid w:val="00820A6D"/>
    <w:rsid w:val="00820A9F"/>
    <w:rsid w:val="00820AB0"/>
    <w:rsid w:val="00820B4F"/>
    <w:rsid w:val="00820C46"/>
    <w:rsid w:val="00820C6C"/>
    <w:rsid w:val="00820CBD"/>
    <w:rsid w:val="00820D8B"/>
    <w:rsid w:val="00820E05"/>
    <w:rsid w:val="00820E3B"/>
    <w:rsid w:val="00820E47"/>
    <w:rsid w:val="00820F43"/>
    <w:rsid w:val="00820F49"/>
    <w:rsid w:val="0082101F"/>
    <w:rsid w:val="0082102D"/>
    <w:rsid w:val="008212AF"/>
    <w:rsid w:val="00821345"/>
    <w:rsid w:val="00821427"/>
    <w:rsid w:val="00821474"/>
    <w:rsid w:val="0082158D"/>
    <w:rsid w:val="00821597"/>
    <w:rsid w:val="008215BD"/>
    <w:rsid w:val="008215CA"/>
    <w:rsid w:val="0082176F"/>
    <w:rsid w:val="008217C9"/>
    <w:rsid w:val="008217D0"/>
    <w:rsid w:val="00821894"/>
    <w:rsid w:val="00821917"/>
    <w:rsid w:val="00821933"/>
    <w:rsid w:val="00821963"/>
    <w:rsid w:val="008219AE"/>
    <w:rsid w:val="008219DA"/>
    <w:rsid w:val="00821A97"/>
    <w:rsid w:val="00821C11"/>
    <w:rsid w:val="00821CDF"/>
    <w:rsid w:val="00821DBA"/>
    <w:rsid w:val="00821DE1"/>
    <w:rsid w:val="00821E0E"/>
    <w:rsid w:val="00821E44"/>
    <w:rsid w:val="00821E4E"/>
    <w:rsid w:val="00821FAF"/>
    <w:rsid w:val="00821FCE"/>
    <w:rsid w:val="00821FE1"/>
    <w:rsid w:val="0082203B"/>
    <w:rsid w:val="00822081"/>
    <w:rsid w:val="00822172"/>
    <w:rsid w:val="008221E5"/>
    <w:rsid w:val="0082222C"/>
    <w:rsid w:val="008223E9"/>
    <w:rsid w:val="00822513"/>
    <w:rsid w:val="00822591"/>
    <w:rsid w:val="00822894"/>
    <w:rsid w:val="00822975"/>
    <w:rsid w:val="008229B2"/>
    <w:rsid w:val="008229B9"/>
    <w:rsid w:val="00822A45"/>
    <w:rsid w:val="00822A51"/>
    <w:rsid w:val="00822B49"/>
    <w:rsid w:val="00822BA5"/>
    <w:rsid w:val="00822C7B"/>
    <w:rsid w:val="00822CA2"/>
    <w:rsid w:val="00822E74"/>
    <w:rsid w:val="0082305D"/>
    <w:rsid w:val="00823077"/>
    <w:rsid w:val="008231F6"/>
    <w:rsid w:val="0082321A"/>
    <w:rsid w:val="00823326"/>
    <w:rsid w:val="00823455"/>
    <w:rsid w:val="0082347F"/>
    <w:rsid w:val="008234F5"/>
    <w:rsid w:val="008239A9"/>
    <w:rsid w:val="00823B57"/>
    <w:rsid w:val="00823B6C"/>
    <w:rsid w:val="00823B8F"/>
    <w:rsid w:val="00823E9D"/>
    <w:rsid w:val="00824034"/>
    <w:rsid w:val="008241D8"/>
    <w:rsid w:val="008241DB"/>
    <w:rsid w:val="00824294"/>
    <w:rsid w:val="00824321"/>
    <w:rsid w:val="0082442B"/>
    <w:rsid w:val="0082469E"/>
    <w:rsid w:val="008246C6"/>
    <w:rsid w:val="008246F4"/>
    <w:rsid w:val="00824757"/>
    <w:rsid w:val="00824767"/>
    <w:rsid w:val="008247DA"/>
    <w:rsid w:val="00824841"/>
    <w:rsid w:val="00824863"/>
    <w:rsid w:val="008248D8"/>
    <w:rsid w:val="008249CF"/>
    <w:rsid w:val="00824AF2"/>
    <w:rsid w:val="00824B70"/>
    <w:rsid w:val="00824BCD"/>
    <w:rsid w:val="00824D2F"/>
    <w:rsid w:val="00824DC5"/>
    <w:rsid w:val="00824E90"/>
    <w:rsid w:val="00824F77"/>
    <w:rsid w:val="0082500A"/>
    <w:rsid w:val="00825065"/>
    <w:rsid w:val="008250DE"/>
    <w:rsid w:val="0082522E"/>
    <w:rsid w:val="00825309"/>
    <w:rsid w:val="00825358"/>
    <w:rsid w:val="00825388"/>
    <w:rsid w:val="008253AC"/>
    <w:rsid w:val="00825456"/>
    <w:rsid w:val="0082547E"/>
    <w:rsid w:val="00825635"/>
    <w:rsid w:val="00825792"/>
    <w:rsid w:val="008257A4"/>
    <w:rsid w:val="008257BD"/>
    <w:rsid w:val="00825858"/>
    <w:rsid w:val="008258E4"/>
    <w:rsid w:val="008259A9"/>
    <w:rsid w:val="00825A04"/>
    <w:rsid w:val="00825AF3"/>
    <w:rsid w:val="00825B47"/>
    <w:rsid w:val="00825B5A"/>
    <w:rsid w:val="00825B6C"/>
    <w:rsid w:val="00825C5A"/>
    <w:rsid w:val="00825D55"/>
    <w:rsid w:val="00825DC7"/>
    <w:rsid w:val="00825E42"/>
    <w:rsid w:val="00825F79"/>
    <w:rsid w:val="00826055"/>
    <w:rsid w:val="008262ED"/>
    <w:rsid w:val="008263BA"/>
    <w:rsid w:val="008265A3"/>
    <w:rsid w:val="008265F1"/>
    <w:rsid w:val="00826658"/>
    <w:rsid w:val="00826757"/>
    <w:rsid w:val="0082676F"/>
    <w:rsid w:val="00826777"/>
    <w:rsid w:val="0082679E"/>
    <w:rsid w:val="008267D0"/>
    <w:rsid w:val="008267E7"/>
    <w:rsid w:val="008267F9"/>
    <w:rsid w:val="0082685F"/>
    <w:rsid w:val="00826875"/>
    <w:rsid w:val="008269D9"/>
    <w:rsid w:val="00826B1D"/>
    <w:rsid w:val="00826B32"/>
    <w:rsid w:val="00826C80"/>
    <w:rsid w:val="00826CB2"/>
    <w:rsid w:val="00826CD4"/>
    <w:rsid w:val="00826CFD"/>
    <w:rsid w:val="00826DFB"/>
    <w:rsid w:val="00826EA6"/>
    <w:rsid w:val="00826EFB"/>
    <w:rsid w:val="00826FE0"/>
    <w:rsid w:val="00827038"/>
    <w:rsid w:val="00827083"/>
    <w:rsid w:val="00827099"/>
    <w:rsid w:val="00827141"/>
    <w:rsid w:val="008271E1"/>
    <w:rsid w:val="0082722D"/>
    <w:rsid w:val="0082741C"/>
    <w:rsid w:val="0082743A"/>
    <w:rsid w:val="008274E8"/>
    <w:rsid w:val="0082754B"/>
    <w:rsid w:val="0082759E"/>
    <w:rsid w:val="00827655"/>
    <w:rsid w:val="00827744"/>
    <w:rsid w:val="00827772"/>
    <w:rsid w:val="00827796"/>
    <w:rsid w:val="0082783A"/>
    <w:rsid w:val="0082785D"/>
    <w:rsid w:val="00827895"/>
    <w:rsid w:val="0082789D"/>
    <w:rsid w:val="008279B0"/>
    <w:rsid w:val="008279F8"/>
    <w:rsid w:val="00827A09"/>
    <w:rsid w:val="00827C17"/>
    <w:rsid w:val="00827C22"/>
    <w:rsid w:val="00827F15"/>
    <w:rsid w:val="00827FD1"/>
    <w:rsid w:val="008300DD"/>
    <w:rsid w:val="0083028D"/>
    <w:rsid w:val="0083029E"/>
    <w:rsid w:val="0083040D"/>
    <w:rsid w:val="0083064B"/>
    <w:rsid w:val="00830707"/>
    <w:rsid w:val="0083070C"/>
    <w:rsid w:val="00830828"/>
    <w:rsid w:val="0083084B"/>
    <w:rsid w:val="008308C1"/>
    <w:rsid w:val="0083095F"/>
    <w:rsid w:val="00830A55"/>
    <w:rsid w:val="00830C03"/>
    <w:rsid w:val="00830C6F"/>
    <w:rsid w:val="00830D06"/>
    <w:rsid w:val="00830E44"/>
    <w:rsid w:val="00830EC7"/>
    <w:rsid w:val="00830F24"/>
    <w:rsid w:val="0083116D"/>
    <w:rsid w:val="0083126A"/>
    <w:rsid w:val="00831289"/>
    <w:rsid w:val="008312AE"/>
    <w:rsid w:val="008312C0"/>
    <w:rsid w:val="00831358"/>
    <w:rsid w:val="008313FE"/>
    <w:rsid w:val="00831440"/>
    <w:rsid w:val="00831537"/>
    <w:rsid w:val="0083162C"/>
    <w:rsid w:val="00831757"/>
    <w:rsid w:val="0083181D"/>
    <w:rsid w:val="00831822"/>
    <w:rsid w:val="00831831"/>
    <w:rsid w:val="008318DE"/>
    <w:rsid w:val="008318E0"/>
    <w:rsid w:val="00831C5D"/>
    <w:rsid w:val="00831D1D"/>
    <w:rsid w:val="00831D24"/>
    <w:rsid w:val="00831D3E"/>
    <w:rsid w:val="00831DC4"/>
    <w:rsid w:val="00831DDC"/>
    <w:rsid w:val="00831E4C"/>
    <w:rsid w:val="00831EC3"/>
    <w:rsid w:val="00831ED6"/>
    <w:rsid w:val="00831ED8"/>
    <w:rsid w:val="00831F2D"/>
    <w:rsid w:val="00831F3E"/>
    <w:rsid w:val="008320CE"/>
    <w:rsid w:val="00832595"/>
    <w:rsid w:val="00832679"/>
    <w:rsid w:val="008326B9"/>
    <w:rsid w:val="00832745"/>
    <w:rsid w:val="00832852"/>
    <w:rsid w:val="008328D1"/>
    <w:rsid w:val="008328D6"/>
    <w:rsid w:val="00832954"/>
    <w:rsid w:val="00832A27"/>
    <w:rsid w:val="00832AA2"/>
    <w:rsid w:val="00832B16"/>
    <w:rsid w:val="00832B83"/>
    <w:rsid w:val="00832BBF"/>
    <w:rsid w:val="00832BD7"/>
    <w:rsid w:val="00832DB9"/>
    <w:rsid w:val="00832E2C"/>
    <w:rsid w:val="00832E59"/>
    <w:rsid w:val="00832EB3"/>
    <w:rsid w:val="00832EE2"/>
    <w:rsid w:val="00833016"/>
    <w:rsid w:val="008330C0"/>
    <w:rsid w:val="008331FD"/>
    <w:rsid w:val="008332CC"/>
    <w:rsid w:val="008333CB"/>
    <w:rsid w:val="008333F3"/>
    <w:rsid w:val="0083341E"/>
    <w:rsid w:val="0083348E"/>
    <w:rsid w:val="008334CD"/>
    <w:rsid w:val="00833529"/>
    <w:rsid w:val="0083357E"/>
    <w:rsid w:val="00833596"/>
    <w:rsid w:val="0083360A"/>
    <w:rsid w:val="00833714"/>
    <w:rsid w:val="008337BE"/>
    <w:rsid w:val="008338CC"/>
    <w:rsid w:val="008339CC"/>
    <w:rsid w:val="00833A15"/>
    <w:rsid w:val="00833C84"/>
    <w:rsid w:val="00833D67"/>
    <w:rsid w:val="00833E02"/>
    <w:rsid w:val="00833E05"/>
    <w:rsid w:val="00833E20"/>
    <w:rsid w:val="00833F7B"/>
    <w:rsid w:val="0083415A"/>
    <w:rsid w:val="0083428E"/>
    <w:rsid w:val="008342BB"/>
    <w:rsid w:val="008342E0"/>
    <w:rsid w:val="00834305"/>
    <w:rsid w:val="00834327"/>
    <w:rsid w:val="00834350"/>
    <w:rsid w:val="00834411"/>
    <w:rsid w:val="008344BA"/>
    <w:rsid w:val="00834550"/>
    <w:rsid w:val="008345F1"/>
    <w:rsid w:val="008346BE"/>
    <w:rsid w:val="00834833"/>
    <w:rsid w:val="008348D9"/>
    <w:rsid w:val="0083491A"/>
    <w:rsid w:val="008349BA"/>
    <w:rsid w:val="00834AAD"/>
    <w:rsid w:val="00834AED"/>
    <w:rsid w:val="00834B7A"/>
    <w:rsid w:val="00834B9D"/>
    <w:rsid w:val="00834BC7"/>
    <w:rsid w:val="00834BE1"/>
    <w:rsid w:val="00834C55"/>
    <w:rsid w:val="00834C64"/>
    <w:rsid w:val="00834CD1"/>
    <w:rsid w:val="00834FC7"/>
    <w:rsid w:val="00834FF8"/>
    <w:rsid w:val="00835126"/>
    <w:rsid w:val="00835143"/>
    <w:rsid w:val="00835193"/>
    <w:rsid w:val="008351A5"/>
    <w:rsid w:val="00835315"/>
    <w:rsid w:val="008353B9"/>
    <w:rsid w:val="008353DB"/>
    <w:rsid w:val="00835435"/>
    <w:rsid w:val="00835485"/>
    <w:rsid w:val="00835533"/>
    <w:rsid w:val="00835605"/>
    <w:rsid w:val="008356F3"/>
    <w:rsid w:val="00835796"/>
    <w:rsid w:val="008357C0"/>
    <w:rsid w:val="008357C2"/>
    <w:rsid w:val="008357C6"/>
    <w:rsid w:val="00835886"/>
    <w:rsid w:val="008358D6"/>
    <w:rsid w:val="0083590D"/>
    <w:rsid w:val="008359AD"/>
    <w:rsid w:val="00835A40"/>
    <w:rsid w:val="00835AD5"/>
    <w:rsid w:val="00835B2D"/>
    <w:rsid w:val="00835C0B"/>
    <w:rsid w:val="00835C11"/>
    <w:rsid w:val="00835DA3"/>
    <w:rsid w:val="00835EFD"/>
    <w:rsid w:val="00835F73"/>
    <w:rsid w:val="00835F8E"/>
    <w:rsid w:val="00835FDE"/>
    <w:rsid w:val="00836003"/>
    <w:rsid w:val="008361D0"/>
    <w:rsid w:val="008361E8"/>
    <w:rsid w:val="008363AE"/>
    <w:rsid w:val="0083641C"/>
    <w:rsid w:val="00836713"/>
    <w:rsid w:val="008367CE"/>
    <w:rsid w:val="00836807"/>
    <w:rsid w:val="008368B7"/>
    <w:rsid w:val="008368E1"/>
    <w:rsid w:val="00836A90"/>
    <w:rsid w:val="00836AB3"/>
    <w:rsid w:val="00836ACF"/>
    <w:rsid w:val="00836B69"/>
    <w:rsid w:val="00836E34"/>
    <w:rsid w:val="00836EE1"/>
    <w:rsid w:val="00836FA9"/>
    <w:rsid w:val="0083712A"/>
    <w:rsid w:val="008371FA"/>
    <w:rsid w:val="00837204"/>
    <w:rsid w:val="00837225"/>
    <w:rsid w:val="0083723B"/>
    <w:rsid w:val="008373AA"/>
    <w:rsid w:val="008373EB"/>
    <w:rsid w:val="0083744A"/>
    <w:rsid w:val="00837595"/>
    <w:rsid w:val="0083775C"/>
    <w:rsid w:val="0083786F"/>
    <w:rsid w:val="008378B6"/>
    <w:rsid w:val="00837922"/>
    <w:rsid w:val="008379C0"/>
    <w:rsid w:val="00837A7C"/>
    <w:rsid w:val="00837A8E"/>
    <w:rsid w:val="00837BAF"/>
    <w:rsid w:val="00837BBF"/>
    <w:rsid w:val="00837C3B"/>
    <w:rsid w:val="00837C87"/>
    <w:rsid w:val="00837DAE"/>
    <w:rsid w:val="00837DFB"/>
    <w:rsid w:val="00837E12"/>
    <w:rsid w:val="00837E41"/>
    <w:rsid w:val="00837F04"/>
    <w:rsid w:val="00837F8D"/>
    <w:rsid w:val="00838B7A"/>
    <w:rsid w:val="0084014D"/>
    <w:rsid w:val="008401EB"/>
    <w:rsid w:val="008401EE"/>
    <w:rsid w:val="00840284"/>
    <w:rsid w:val="0084033A"/>
    <w:rsid w:val="008403BD"/>
    <w:rsid w:val="00840409"/>
    <w:rsid w:val="00840486"/>
    <w:rsid w:val="008405C8"/>
    <w:rsid w:val="00840644"/>
    <w:rsid w:val="0084067C"/>
    <w:rsid w:val="00840699"/>
    <w:rsid w:val="0084071B"/>
    <w:rsid w:val="008407EA"/>
    <w:rsid w:val="00840853"/>
    <w:rsid w:val="008408B2"/>
    <w:rsid w:val="008408E1"/>
    <w:rsid w:val="0084093D"/>
    <w:rsid w:val="00840ADB"/>
    <w:rsid w:val="00840C68"/>
    <w:rsid w:val="00840DE5"/>
    <w:rsid w:val="00840E39"/>
    <w:rsid w:val="00840EAB"/>
    <w:rsid w:val="00840F10"/>
    <w:rsid w:val="00841004"/>
    <w:rsid w:val="00841079"/>
    <w:rsid w:val="00841229"/>
    <w:rsid w:val="00841251"/>
    <w:rsid w:val="0084134D"/>
    <w:rsid w:val="00841406"/>
    <w:rsid w:val="00841485"/>
    <w:rsid w:val="00841487"/>
    <w:rsid w:val="00841531"/>
    <w:rsid w:val="00841546"/>
    <w:rsid w:val="008415F4"/>
    <w:rsid w:val="0084171A"/>
    <w:rsid w:val="00841751"/>
    <w:rsid w:val="00841802"/>
    <w:rsid w:val="00841963"/>
    <w:rsid w:val="008419EA"/>
    <w:rsid w:val="00841A5F"/>
    <w:rsid w:val="00841B50"/>
    <w:rsid w:val="00841B8C"/>
    <w:rsid w:val="00841BC3"/>
    <w:rsid w:val="00841C00"/>
    <w:rsid w:val="00841C63"/>
    <w:rsid w:val="00841C9A"/>
    <w:rsid w:val="00841CB2"/>
    <w:rsid w:val="00841D6C"/>
    <w:rsid w:val="00841DE8"/>
    <w:rsid w:val="00841FF5"/>
    <w:rsid w:val="0084204B"/>
    <w:rsid w:val="00842218"/>
    <w:rsid w:val="00842232"/>
    <w:rsid w:val="0084233A"/>
    <w:rsid w:val="00842389"/>
    <w:rsid w:val="0084243F"/>
    <w:rsid w:val="0084250B"/>
    <w:rsid w:val="00842548"/>
    <w:rsid w:val="0084256E"/>
    <w:rsid w:val="0084257E"/>
    <w:rsid w:val="0084280B"/>
    <w:rsid w:val="00842932"/>
    <w:rsid w:val="008429B6"/>
    <w:rsid w:val="008429D1"/>
    <w:rsid w:val="00842BEE"/>
    <w:rsid w:val="00842C1A"/>
    <w:rsid w:val="00842D87"/>
    <w:rsid w:val="00842DB9"/>
    <w:rsid w:val="00842DFB"/>
    <w:rsid w:val="00842E6F"/>
    <w:rsid w:val="00842F18"/>
    <w:rsid w:val="00842F6D"/>
    <w:rsid w:val="008430EF"/>
    <w:rsid w:val="00843167"/>
    <w:rsid w:val="00843361"/>
    <w:rsid w:val="00843379"/>
    <w:rsid w:val="00843388"/>
    <w:rsid w:val="008433A5"/>
    <w:rsid w:val="00843455"/>
    <w:rsid w:val="00843457"/>
    <w:rsid w:val="008434D3"/>
    <w:rsid w:val="00843543"/>
    <w:rsid w:val="0084355F"/>
    <w:rsid w:val="0084359C"/>
    <w:rsid w:val="008435F7"/>
    <w:rsid w:val="008435FA"/>
    <w:rsid w:val="0084362F"/>
    <w:rsid w:val="008436FD"/>
    <w:rsid w:val="00843766"/>
    <w:rsid w:val="00843768"/>
    <w:rsid w:val="008437C1"/>
    <w:rsid w:val="008437C7"/>
    <w:rsid w:val="0084383E"/>
    <w:rsid w:val="00843847"/>
    <w:rsid w:val="00843A1A"/>
    <w:rsid w:val="00843ABA"/>
    <w:rsid w:val="00843BBE"/>
    <w:rsid w:val="00843C45"/>
    <w:rsid w:val="00843CF0"/>
    <w:rsid w:val="00843D14"/>
    <w:rsid w:val="00843D9E"/>
    <w:rsid w:val="00843EFA"/>
    <w:rsid w:val="00843F82"/>
    <w:rsid w:val="00844015"/>
    <w:rsid w:val="008440E0"/>
    <w:rsid w:val="0084412A"/>
    <w:rsid w:val="0084416D"/>
    <w:rsid w:val="008441D7"/>
    <w:rsid w:val="008441F9"/>
    <w:rsid w:val="0084420C"/>
    <w:rsid w:val="0084430E"/>
    <w:rsid w:val="00844329"/>
    <w:rsid w:val="00844331"/>
    <w:rsid w:val="008443B3"/>
    <w:rsid w:val="00844432"/>
    <w:rsid w:val="0084455E"/>
    <w:rsid w:val="00844566"/>
    <w:rsid w:val="0084465B"/>
    <w:rsid w:val="00844676"/>
    <w:rsid w:val="008446AD"/>
    <w:rsid w:val="008449F9"/>
    <w:rsid w:val="00844A7B"/>
    <w:rsid w:val="00844AE3"/>
    <w:rsid w:val="00844B37"/>
    <w:rsid w:val="00844CB6"/>
    <w:rsid w:val="00844EBB"/>
    <w:rsid w:val="00844F07"/>
    <w:rsid w:val="00844F35"/>
    <w:rsid w:val="00844F4D"/>
    <w:rsid w:val="00844FC4"/>
    <w:rsid w:val="00844FCF"/>
    <w:rsid w:val="0084500E"/>
    <w:rsid w:val="00845118"/>
    <w:rsid w:val="00845119"/>
    <w:rsid w:val="00845127"/>
    <w:rsid w:val="008451D0"/>
    <w:rsid w:val="00845272"/>
    <w:rsid w:val="008453D6"/>
    <w:rsid w:val="008454FC"/>
    <w:rsid w:val="00845541"/>
    <w:rsid w:val="0084559E"/>
    <w:rsid w:val="00845618"/>
    <w:rsid w:val="008456D7"/>
    <w:rsid w:val="00845757"/>
    <w:rsid w:val="00845A46"/>
    <w:rsid w:val="00845A81"/>
    <w:rsid w:val="00845B30"/>
    <w:rsid w:val="00845B38"/>
    <w:rsid w:val="00845BEA"/>
    <w:rsid w:val="00845BFB"/>
    <w:rsid w:val="00845C05"/>
    <w:rsid w:val="00845DBB"/>
    <w:rsid w:val="00845F53"/>
    <w:rsid w:val="008461E4"/>
    <w:rsid w:val="00846222"/>
    <w:rsid w:val="00846431"/>
    <w:rsid w:val="008464DF"/>
    <w:rsid w:val="00846551"/>
    <w:rsid w:val="008465E7"/>
    <w:rsid w:val="00846605"/>
    <w:rsid w:val="008467C0"/>
    <w:rsid w:val="0084692D"/>
    <w:rsid w:val="00846BD6"/>
    <w:rsid w:val="00846E01"/>
    <w:rsid w:val="00846E73"/>
    <w:rsid w:val="00846F8C"/>
    <w:rsid w:val="008470BD"/>
    <w:rsid w:val="008470FF"/>
    <w:rsid w:val="0084717C"/>
    <w:rsid w:val="00847325"/>
    <w:rsid w:val="008473EF"/>
    <w:rsid w:val="008473F5"/>
    <w:rsid w:val="008474A4"/>
    <w:rsid w:val="00847579"/>
    <w:rsid w:val="00847595"/>
    <w:rsid w:val="0084764D"/>
    <w:rsid w:val="00847685"/>
    <w:rsid w:val="00847691"/>
    <w:rsid w:val="0084782B"/>
    <w:rsid w:val="00847964"/>
    <w:rsid w:val="0084799F"/>
    <w:rsid w:val="00847A76"/>
    <w:rsid w:val="00847B48"/>
    <w:rsid w:val="00847B4A"/>
    <w:rsid w:val="00847C24"/>
    <w:rsid w:val="00847CBE"/>
    <w:rsid w:val="00847D2C"/>
    <w:rsid w:val="00847E7E"/>
    <w:rsid w:val="00847FF9"/>
    <w:rsid w:val="0085003D"/>
    <w:rsid w:val="00850111"/>
    <w:rsid w:val="008501B4"/>
    <w:rsid w:val="008501DC"/>
    <w:rsid w:val="00850207"/>
    <w:rsid w:val="00850459"/>
    <w:rsid w:val="008504F7"/>
    <w:rsid w:val="00850551"/>
    <w:rsid w:val="008505B6"/>
    <w:rsid w:val="00850625"/>
    <w:rsid w:val="008506BE"/>
    <w:rsid w:val="00850775"/>
    <w:rsid w:val="0085083B"/>
    <w:rsid w:val="008508FE"/>
    <w:rsid w:val="00850C2D"/>
    <w:rsid w:val="00850C65"/>
    <w:rsid w:val="00850D24"/>
    <w:rsid w:val="00850DC6"/>
    <w:rsid w:val="00850E3D"/>
    <w:rsid w:val="00850E53"/>
    <w:rsid w:val="00850EB3"/>
    <w:rsid w:val="00850FC4"/>
    <w:rsid w:val="008510AA"/>
    <w:rsid w:val="008510F2"/>
    <w:rsid w:val="00851305"/>
    <w:rsid w:val="00851375"/>
    <w:rsid w:val="008513C8"/>
    <w:rsid w:val="008514DF"/>
    <w:rsid w:val="00851569"/>
    <w:rsid w:val="008515CF"/>
    <w:rsid w:val="008515E4"/>
    <w:rsid w:val="008515F1"/>
    <w:rsid w:val="00851672"/>
    <w:rsid w:val="00851693"/>
    <w:rsid w:val="0085173D"/>
    <w:rsid w:val="008518CF"/>
    <w:rsid w:val="008519DA"/>
    <w:rsid w:val="00851A26"/>
    <w:rsid w:val="00851B6D"/>
    <w:rsid w:val="00851CB1"/>
    <w:rsid w:val="00851DB5"/>
    <w:rsid w:val="00851DD0"/>
    <w:rsid w:val="00851DE0"/>
    <w:rsid w:val="00851EAB"/>
    <w:rsid w:val="00851F5D"/>
    <w:rsid w:val="00851FDD"/>
    <w:rsid w:val="0085201B"/>
    <w:rsid w:val="00852027"/>
    <w:rsid w:val="0085207D"/>
    <w:rsid w:val="008520F4"/>
    <w:rsid w:val="00852175"/>
    <w:rsid w:val="008522DE"/>
    <w:rsid w:val="00852339"/>
    <w:rsid w:val="00852395"/>
    <w:rsid w:val="00852476"/>
    <w:rsid w:val="008524FC"/>
    <w:rsid w:val="00852526"/>
    <w:rsid w:val="00852527"/>
    <w:rsid w:val="00852545"/>
    <w:rsid w:val="00852643"/>
    <w:rsid w:val="008526BF"/>
    <w:rsid w:val="008526E9"/>
    <w:rsid w:val="0085280D"/>
    <w:rsid w:val="00852ADF"/>
    <w:rsid w:val="00852AE8"/>
    <w:rsid w:val="00852B03"/>
    <w:rsid w:val="00852B52"/>
    <w:rsid w:val="00852BD7"/>
    <w:rsid w:val="00852C1C"/>
    <w:rsid w:val="00852D78"/>
    <w:rsid w:val="00852E0D"/>
    <w:rsid w:val="00853046"/>
    <w:rsid w:val="00853206"/>
    <w:rsid w:val="00853249"/>
    <w:rsid w:val="008532A4"/>
    <w:rsid w:val="00853307"/>
    <w:rsid w:val="00853561"/>
    <w:rsid w:val="008536F4"/>
    <w:rsid w:val="00853723"/>
    <w:rsid w:val="0085377A"/>
    <w:rsid w:val="008537A5"/>
    <w:rsid w:val="008537EA"/>
    <w:rsid w:val="008537F7"/>
    <w:rsid w:val="00853864"/>
    <w:rsid w:val="008538BC"/>
    <w:rsid w:val="008538C2"/>
    <w:rsid w:val="008538F1"/>
    <w:rsid w:val="00853957"/>
    <w:rsid w:val="00853B1B"/>
    <w:rsid w:val="00853B53"/>
    <w:rsid w:val="00853BC1"/>
    <w:rsid w:val="00853BDB"/>
    <w:rsid w:val="00853D2E"/>
    <w:rsid w:val="00853DD1"/>
    <w:rsid w:val="00853EAB"/>
    <w:rsid w:val="00853ECE"/>
    <w:rsid w:val="00853EEC"/>
    <w:rsid w:val="00853FC4"/>
    <w:rsid w:val="008540A2"/>
    <w:rsid w:val="008541CD"/>
    <w:rsid w:val="008541F7"/>
    <w:rsid w:val="00854255"/>
    <w:rsid w:val="00854277"/>
    <w:rsid w:val="00854292"/>
    <w:rsid w:val="008542A1"/>
    <w:rsid w:val="00854390"/>
    <w:rsid w:val="008543B3"/>
    <w:rsid w:val="008543F4"/>
    <w:rsid w:val="0085459A"/>
    <w:rsid w:val="008545EB"/>
    <w:rsid w:val="00854700"/>
    <w:rsid w:val="00854728"/>
    <w:rsid w:val="008547CB"/>
    <w:rsid w:val="008548A5"/>
    <w:rsid w:val="008549F0"/>
    <w:rsid w:val="00854A80"/>
    <w:rsid w:val="00854B35"/>
    <w:rsid w:val="00854BD3"/>
    <w:rsid w:val="00854C90"/>
    <w:rsid w:val="00854D4E"/>
    <w:rsid w:val="00854DB8"/>
    <w:rsid w:val="00854DD8"/>
    <w:rsid w:val="00854E86"/>
    <w:rsid w:val="00854EAA"/>
    <w:rsid w:val="00854F99"/>
    <w:rsid w:val="008550DA"/>
    <w:rsid w:val="00855117"/>
    <w:rsid w:val="00855125"/>
    <w:rsid w:val="0085512B"/>
    <w:rsid w:val="0085515A"/>
    <w:rsid w:val="008551E6"/>
    <w:rsid w:val="0085524A"/>
    <w:rsid w:val="0085541E"/>
    <w:rsid w:val="0085542A"/>
    <w:rsid w:val="00855580"/>
    <w:rsid w:val="008555D4"/>
    <w:rsid w:val="00855664"/>
    <w:rsid w:val="008556D0"/>
    <w:rsid w:val="008557F9"/>
    <w:rsid w:val="00855815"/>
    <w:rsid w:val="00855916"/>
    <w:rsid w:val="008559CB"/>
    <w:rsid w:val="00855A48"/>
    <w:rsid w:val="00855AB2"/>
    <w:rsid w:val="00855AFC"/>
    <w:rsid w:val="00855C51"/>
    <w:rsid w:val="00855CBB"/>
    <w:rsid w:val="00855D62"/>
    <w:rsid w:val="00855D79"/>
    <w:rsid w:val="00855D97"/>
    <w:rsid w:val="00855E3A"/>
    <w:rsid w:val="00855F3E"/>
    <w:rsid w:val="00855F58"/>
    <w:rsid w:val="00855FB3"/>
    <w:rsid w:val="00855FE8"/>
    <w:rsid w:val="00856047"/>
    <w:rsid w:val="00856075"/>
    <w:rsid w:val="0085608E"/>
    <w:rsid w:val="00856189"/>
    <w:rsid w:val="008561B9"/>
    <w:rsid w:val="008562A9"/>
    <w:rsid w:val="008562AD"/>
    <w:rsid w:val="008562D0"/>
    <w:rsid w:val="008562E2"/>
    <w:rsid w:val="008563BF"/>
    <w:rsid w:val="00856426"/>
    <w:rsid w:val="008565A1"/>
    <w:rsid w:val="00856614"/>
    <w:rsid w:val="0085665C"/>
    <w:rsid w:val="008567C4"/>
    <w:rsid w:val="00856874"/>
    <w:rsid w:val="00856879"/>
    <w:rsid w:val="008568F6"/>
    <w:rsid w:val="00856A74"/>
    <w:rsid w:val="00856CE6"/>
    <w:rsid w:val="00856DD8"/>
    <w:rsid w:val="00856DEF"/>
    <w:rsid w:val="00856F07"/>
    <w:rsid w:val="00856FDB"/>
    <w:rsid w:val="00857018"/>
    <w:rsid w:val="00857043"/>
    <w:rsid w:val="00857047"/>
    <w:rsid w:val="00857078"/>
    <w:rsid w:val="008570D6"/>
    <w:rsid w:val="0085710C"/>
    <w:rsid w:val="00857136"/>
    <w:rsid w:val="008573C3"/>
    <w:rsid w:val="008573D5"/>
    <w:rsid w:val="00857441"/>
    <w:rsid w:val="00857582"/>
    <w:rsid w:val="0085758A"/>
    <w:rsid w:val="0085759D"/>
    <w:rsid w:val="008576D8"/>
    <w:rsid w:val="00857788"/>
    <w:rsid w:val="008577BD"/>
    <w:rsid w:val="008577F5"/>
    <w:rsid w:val="00857812"/>
    <w:rsid w:val="0085784F"/>
    <w:rsid w:val="00857940"/>
    <w:rsid w:val="008579D0"/>
    <w:rsid w:val="00857A30"/>
    <w:rsid w:val="00857A42"/>
    <w:rsid w:val="00857A4A"/>
    <w:rsid w:val="00857B85"/>
    <w:rsid w:val="00857C00"/>
    <w:rsid w:val="00857C8D"/>
    <w:rsid w:val="00857D5D"/>
    <w:rsid w:val="00857DBD"/>
    <w:rsid w:val="00857DC7"/>
    <w:rsid w:val="00857DD6"/>
    <w:rsid w:val="00857DDB"/>
    <w:rsid w:val="00857DFD"/>
    <w:rsid w:val="008600D0"/>
    <w:rsid w:val="008601C0"/>
    <w:rsid w:val="008601E9"/>
    <w:rsid w:val="00860354"/>
    <w:rsid w:val="0086041B"/>
    <w:rsid w:val="00860457"/>
    <w:rsid w:val="0086059A"/>
    <w:rsid w:val="00860634"/>
    <w:rsid w:val="008606EC"/>
    <w:rsid w:val="008606EE"/>
    <w:rsid w:val="00860756"/>
    <w:rsid w:val="00860898"/>
    <w:rsid w:val="00860A06"/>
    <w:rsid w:val="00860A1E"/>
    <w:rsid w:val="00860AE0"/>
    <w:rsid w:val="00860B28"/>
    <w:rsid w:val="00860B87"/>
    <w:rsid w:val="00860BE1"/>
    <w:rsid w:val="00860C89"/>
    <w:rsid w:val="00860D26"/>
    <w:rsid w:val="00860D6A"/>
    <w:rsid w:val="00860D71"/>
    <w:rsid w:val="00860D83"/>
    <w:rsid w:val="00860E98"/>
    <w:rsid w:val="00860F08"/>
    <w:rsid w:val="00860F77"/>
    <w:rsid w:val="0086101C"/>
    <w:rsid w:val="00861083"/>
    <w:rsid w:val="008610AE"/>
    <w:rsid w:val="0086117A"/>
    <w:rsid w:val="008611C6"/>
    <w:rsid w:val="00861293"/>
    <w:rsid w:val="0086129B"/>
    <w:rsid w:val="008614A0"/>
    <w:rsid w:val="00861564"/>
    <w:rsid w:val="0086164E"/>
    <w:rsid w:val="00861653"/>
    <w:rsid w:val="00861739"/>
    <w:rsid w:val="00861749"/>
    <w:rsid w:val="008617C7"/>
    <w:rsid w:val="00861910"/>
    <w:rsid w:val="00861978"/>
    <w:rsid w:val="00861A3D"/>
    <w:rsid w:val="00861B4B"/>
    <w:rsid w:val="00861C88"/>
    <w:rsid w:val="00861CCF"/>
    <w:rsid w:val="00861E0A"/>
    <w:rsid w:val="00861E9E"/>
    <w:rsid w:val="00861F8A"/>
    <w:rsid w:val="00862188"/>
    <w:rsid w:val="00862276"/>
    <w:rsid w:val="008622F6"/>
    <w:rsid w:val="008625AB"/>
    <w:rsid w:val="008625DF"/>
    <w:rsid w:val="00862653"/>
    <w:rsid w:val="008627AE"/>
    <w:rsid w:val="00862812"/>
    <w:rsid w:val="00862867"/>
    <w:rsid w:val="00862A00"/>
    <w:rsid w:val="00862B0D"/>
    <w:rsid w:val="00862BEF"/>
    <w:rsid w:val="00862F03"/>
    <w:rsid w:val="00862FAE"/>
    <w:rsid w:val="00863030"/>
    <w:rsid w:val="00863074"/>
    <w:rsid w:val="0086310C"/>
    <w:rsid w:val="0086320B"/>
    <w:rsid w:val="0086320D"/>
    <w:rsid w:val="00863252"/>
    <w:rsid w:val="008633A7"/>
    <w:rsid w:val="008633F6"/>
    <w:rsid w:val="0086340C"/>
    <w:rsid w:val="00863454"/>
    <w:rsid w:val="00863556"/>
    <w:rsid w:val="00863560"/>
    <w:rsid w:val="00863564"/>
    <w:rsid w:val="008635EA"/>
    <w:rsid w:val="0086365E"/>
    <w:rsid w:val="0086366A"/>
    <w:rsid w:val="008636B1"/>
    <w:rsid w:val="008639C6"/>
    <w:rsid w:val="008639CE"/>
    <w:rsid w:val="008639F3"/>
    <w:rsid w:val="008639FD"/>
    <w:rsid w:val="00863AF7"/>
    <w:rsid w:val="00863B02"/>
    <w:rsid w:val="00863BC4"/>
    <w:rsid w:val="00863BD9"/>
    <w:rsid w:val="00863D38"/>
    <w:rsid w:val="00863E18"/>
    <w:rsid w:val="00863E1A"/>
    <w:rsid w:val="00863E36"/>
    <w:rsid w:val="00863E49"/>
    <w:rsid w:val="00863EBA"/>
    <w:rsid w:val="00863F05"/>
    <w:rsid w:val="00863F48"/>
    <w:rsid w:val="00863F61"/>
    <w:rsid w:val="008640AA"/>
    <w:rsid w:val="00864161"/>
    <w:rsid w:val="008641BF"/>
    <w:rsid w:val="0086434D"/>
    <w:rsid w:val="00864458"/>
    <w:rsid w:val="008644DE"/>
    <w:rsid w:val="008645A2"/>
    <w:rsid w:val="00864601"/>
    <w:rsid w:val="0086465E"/>
    <w:rsid w:val="00864750"/>
    <w:rsid w:val="0086477C"/>
    <w:rsid w:val="00864795"/>
    <w:rsid w:val="008647E2"/>
    <w:rsid w:val="008647FB"/>
    <w:rsid w:val="00864857"/>
    <w:rsid w:val="008648E2"/>
    <w:rsid w:val="00864A27"/>
    <w:rsid w:val="00864B51"/>
    <w:rsid w:val="00864B9B"/>
    <w:rsid w:val="00864C27"/>
    <w:rsid w:val="00864C2E"/>
    <w:rsid w:val="00864D79"/>
    <w:rsid w:val="00864DDD"/>
    <w:rsid w:val="00864DEC"/>
    <w:rsid w:val="00864E59"/>
    <w:rsid w:val="00864E8E"/>
    <w:rsid w:val="00864EC0"/>
    <w:rsid w:val="00864F6F"/>
    <w:rsid w:val="00864F75"/>
    <w:rsid w:val="00864FC5"/>
    <w:rsid w:val="00864FD2"/>
    <w:rsid w:val="0086502E"/>
    <w:rsid w:val="0086508C"/>
    <w:rsid w:val="00865292"/>
    <w:rsid w:val="00865341"/>
    <w:rsid w:val="00865357"/>
    <w:rsid w:val="00865446"/>
    <w:rsid w:val="0086544E"/>
    <w:rsid w:val="00865556"/>
    <w:rsid w:val="00865837"/>
    <w:rsid w:val="00865926"/>
    <w:rsid w:val="008659F5"/>
    <w:rsid w:val="00865A96"/>
    <w:rsid w:val="00865ABB"/>
    <w:rsid w:val="00865B1C"/>
    <w:rsid w:val="00865B6C"/>
    <w:rsid w:val="00865BAF"/>
    <w:rsid w:val="00865D74"/>
    <w:rsid w:val="00865DD2"/>
    <w:rsid w:val="00865EBA"/>
    <w:rsid w:val="00865EBB"/>
    <w:rsid w:val="00865F31"/>
    <w:rsid w:val="00866010"/>
    <w:rsid w:val="00866188"/>
    <w:rsid w:val="0086624A"/>
    <w:rsid w:val="00866255"/>
    <w:rsid w:val="008666C0"/>
    <w:rsid w:val="008666C4"/>
    <w:rsid w:val="008666E1"/>
    <w:rsid w:val="00866795"/>
    <w:rsid w:val="008667B4"/>
    <w:rsid w:val="008667B9"/>
    <w:rsid w:val="0086688B"/>
    <w:rsid w:val="008668C7"/>
    <w:rsid w:val="00866940"/>
    <w:rsid w:val="0086695F"/>
    <w:rsid w:val="00866A7F"/>
    <w:rsid w:val="00866AF8"/>
    <w:rsid w:val="00866B3C"/>
    <w:rsid w:val="00866B41"/>
    <w:rsid w:val="00866B49"/>
    <w:rsid w:val="00866BA8"/>
    <w:rsid w:val="00866D6B"/>
    <w:rsid w:val="00866E19"/>
    <w:rsid w:val="00866E57"/>
    <w:rsid w:val="00866EBB"/>
    <w:rsid w:val="00866F16"/>
    <w:rsid w:val="0086707E"/>
    <w:rsid w:val="00867184"/>
    <w:rsid w:val="00867189"/>
    <w:rsid w:val="008671BA"/>
    <w:rsid w:val="00867309"/>
    <w:rsid w:val="008673BA"/>
    <w:rsid w:val="00867496"/>
    <w:rsid w:val="008676B7"/>
    <w:rsid w:val="008676C1"/>
    <w:rsid w:val="00867702"/>
    <w:rsid w:val="00867738"/>
    <w:rsid w:val="00867848"/>
    <w:rsid w:val="0086787B"/>
    <w:rsid w:val="008678A5"/>
    <w:rsid w:val="00867906"/>
    <w:rsid w:val="00867A01"/>
    <w:rsid w:val="00867A6B"/>
    <w:rsid w:val="00867B94"/>
    <w:rsid w:val="00867D43"/>
    <w:rsid w:val="00867D45"/>
    <w:rsid w:val="00867DA2"/>
    <w:rsid w:val="00867E3E"/>
    <w:rsid w:val="00867F88"/>
    <w:rsid w:val="00867F9E"/>
    <w:rsid w:val="00870212"/>
    <w:rsid w:val="00870272"/>
    <w:rsid w:val="008702A2"/>
    <w:rsid w:val="0087040E"/>
    <w:rsid w:val="00870415"/>
    <w:rsid w:val="0087077B"/>
    <w:rsid w:val="00870786"/>
    <w:rsid w:val="008707E6"/>
    <w:rsid w:val="0087096E"/>
    <w:rsid w:val="00870ADD"/>
    <w:rsid w:val="00870B19"/>
    <w:rsid w:val="00870DEE"/>
    <w:rsid w:val="00870EAC"/>
    <w:rsid w:val="00870ECA"/>
    <w:rsid w:val="00870F34"/>
    <w:rsid w:val="00870F67"/>
    <w:rsid w:val="00871019"/>
    <w:rsid w:val="0087107C"/>
    <w:rsid w:val="00871272"/>
    <w:rsid w:val="008712EA"/>
    <w:rsid w:val="00871366"/>
    <w:rsid w:val="00871373"/>
    <w:rsid w:val="0087141E"/>
    <w:rsid w:val="0087144C"/>
    <w:rsid w:val="0087148D"/>
    <w:rsid w:val="008715F3"/>
    <w:rsid w:val="00871648"/>
    <w:rsid w:val="00871655"/>
    <w:rsid w:val="008717F9"/>
    <w:rsid w:val="008719A0"/>
    <w:rsid w:val="00871A93"/>
    <w:rsid w:val="00871B7D"/>
    <w:rsid w:val="00871C09"/>
    <w:rsid w:val="00871C47"/>
    <w:rsid w:val="00871D1A"/>
    <w:rsid w:val="00871D1B"/>
    <w:rsid w:val="00871D5E"/>
    <w:rsid w:val="00871E4F"/>
    <w:rsid w:val="00871EFE"/>
    <w:rsid w:val="00871F0F"/>
    <w:rsid w:val="00871F61"/>
    <w:rsid w:val="00872108"/>
    <w:rsid w:val="008721B4"/>
    <w:rsid w:val="0087220D"/>
    <w:rsid w:val="00872243"/>
    <w:rsid w:val="00872367"/>
    <w:rsid w:val="008723E1"/>
    <w:rsid w:val="00872441"/>
    <w:rsid w:val="008724B0"/>
    <w:rsid w:val="0087251C"/>
    <w:rsid w:val="00872586"/>
    <w:rsid w:val="008725DD"/>
    <w:rsid w:val="008725E8"/>
    <w:rsid w:val="00872635"/>
    <w:rsid w:val="0087266F"/>
    <w:rsid w:val="00872723"/>
    <w:rsid w:val="008727D3"/>
    <w:rsid w:val="00872812"/>
    <w:rsid w:val="00872A95"/>
    <w:rsid w:val="00872AC1"/>
    <w:rsid w:val="00872D66"/>
    <w:rsid w:val="00872DAD"/>
    <w:rsid w:val="00872DCD"/>
    <w:rsid w:val="00872DD8"/>
    <w:rsid w:val="00872FA0"/>
    <w:rsid w:val="00872FB4"/>
    <w:rsid w:val="00872FC6"/>
    <w:rsid w:val="00872FF0"/>
    <w:rsid w:val="008730CE"/>
    <w:rsid w:val="008731E4"/>
    <w:rsid w:val="0087327B"/>
    <w:rsid w:val="0087339F"/>
    <w:rsid w:val="00873447"/>
    <w:rsid w:val="008734F5"/>
    <w:rsid w:val="00873538"/>
    <w:rsid w:val="00873598"/>
    <w:rsid w:val="0087361D"/>
    <w:rsid w:val="0087377A"/>
    <w:rsid w:val="008737F4"/>
    <w:rsid w:val="00873945"/>
    <w:rsid w:val="0087395D"/>
    <w:rsid w:val="00873A91"/>
    <w:rsid w:val="00873AB7"/>
    <w:rsid w:val="00873AEC"/>
    <w:rsid w:val="00873B0E"/>
    <w:rsid w:val="00873BA6"/>
    <w:rsid w:val="00873BED"/>
    <w:rsid w:val="00873C1D"/>
    <w:rsid w:val="00873CB5"/>
    <w:rsid w:val="00873EB3"/>
    <w:rsid w:val="00873F48"/>
    <w:rsid w:val="00873F7E"/>
    <w:rsid w:val="008740E8"/>
    <w:rsid w:val="00874132"/>
    <w:rsid w:val="008741C7"/>
    <w:rsid w:val="00874318"/>
    <w:rsid w:val="008744DA"/>
    <w:rsid w:val="008744FF"/>
    <w:rsid w:val="00874640"/>
    <w:rsid w:val="00874792"/>
    <w:rsid w:val="00874A30"/>
    <w:rsid w:val="00874A83"/>
    <w:rsid w:val="00874AD8"/>
    <w:rsid w:val="00874AF4"/>
    <w:rsid w:val="00874C01"/>
    <w:rsid w:val="00874C43"/>
    <w:rsid w:val="00874CA6"/>
    <w:rsid w:val="00874CCB"/>
    <w:rsid w:val="00874D31"/>
    <w:rsid w:val="00874DBB"/>
    <w:rsid w:val="00874DD2"/>
    <w:rsid w:val="00874E20"/>
    <w:rsid w:val="00874E8B"/>
    <w:rsid w:val="00874F8F"/>
    <w:rsid w:val="0087512A"/>
    <w:rsid w:val="0087518B"/>
    <w:rsid w:val="008751CC"/>
    <w:rsid w:val="008751D8"/>
    <w:rsid w:val="008753B9"/>
    <w:rsid w:val="008753F8"/>
    <w:rsid w:val="0087552A"/>
    <w:rsid w:val="00875583"/>
    <w:rsid w:val="0087569A"/>
    <w:rsid w:val="008756F0"/>
    <w:rsid w:val="00875780"/>
    <w:rsid w:val="008757CE"/>
    <w:rsid w:val="0087587D"/>
    <w:rsid w:val="0087590F"/>
    <w:rsid w:val="00875A5F"/>
    <w:rsid w:val="00875A87"/>
    <w:rsid w:val="00875AE4"/>
    <w:rsid w:val="00875BD3"/>
    <w:rsid w:val="00875BFD"/>
    <w:rsid w:val="00875DF2"/>
    <w:rsid w:val="00875E0B"/>
    <w:rsid w:val="00875E14"/>
    <w:rsid w:val="00875E28"/>
    <w:rsid w:val="00876218"/>
    <w:rsid w:val="00876241"/>
    <w:rsid w:val="00876251"/>
    <w:rsid w:val="0087627B"/>
    <w:rsid w:val="0087638D"/>
    <w:rsid w:val="008763BD"/>
    <w:rsid w:val="00876514"/>
    <w:rsid w:val="0087653C"/>
    <w:rsid w:val="008765A5"/>
    <w:rsid w:val="00876602"/>
    <w:rsid w:val="0087660D"/>
    <w:rsid w:val="008767FE"/>
    <w:rsid w:val="00876898"/>
    <w:rsid w:val="008768AE"/>
    <w:rsid w:val="008768DE"/>
    <w:rsid w:val="008769A8"/>
    <w:rsid w:val="00876A3C"/>
    <w:rsid w:val="00876CBB"/>
    <w:rsid w:val="00876DE9"/>
    <w:rsid w:val="00876EAE"/>
    <w:rsid w:val="00876F90"/>
    <w:rsid w:val="00876F95"/>
    <w:rsid w:val="0087702C"/>
    <w:rsid w:val="008771CF"/>
    <w:rsid w:val="00877279"/>
    <w:rsid w:val="008772E5"/>
    <w:rsid w:val="00877321"/>
    <w:rsid w:val="00877334"/>
    <w:rsid w:val="0087739B"/>
    <w:rsid w:val="008774DD"/>
    <w:rsid w:val="00877505"/>
    <w:rsid w:val="008775A0"/>
    <w:rsid w:val="00877638"/>
    <w:rsid w:val="008776FF"/>
    <w:rsid w:val="0087779D"/>
    <w:rsid w:val="008777DF"/>
    <w:rsid w:val="00877801"/>
    <w:rsid w:val="0087783D"/>
    <w:rsid w:val="008778E7"/>
    <w:rsid w:val="00877A85"/>
    <w:rsid w:val="00877D9E"/>
    <w:rsid w:val="00877DB3"/>
    <w:rsid w:val="00877E5D"/>
    <w:rsid w:val="00877F43"/>
    <w:rsid w:val="00877FF8"/>
    <w:rsid w:val="00880045"/>
    <w:rsid w:val="00880088"/>
    <w:rsid w:val="0088018E"/>
    <w:rsid w:val="008801D7"/>
    <w:rsid w:val="00880238"/>
    <w:rsid w:val="008802D0"/>
    <w:rsid w:val="008803BC"/>
    <w:rsid w:val="00880408"/>
    <w:rsid w:val="00880422"/>
    <w:rsid w:val="00880432"/>
    <w:rsid w:val="0088045B"/>
    <w:rsid w:val="0088059C"/>
    <w:rsid w:val="008807A8"/>
    <w:rsid w:val="00880962"/>
    <w:rsid w:val="00880A2C"/>
    <w:rsid w:val="00880AEA"/>
    <w:rsid w:val="00880AEB"/>
    <w:rsid w:val="00880C48"/>
    <w:rsid w:val="00880CED"/>
    <w:rsid w:val="00880EB4"/>
    <w:rsid w:val="00880EB8"/>
    <w:rsid w:val="00880F61"/>
    <w:rsid w:val="00880F8A"/>
    <w:rsid w:val="008811F8"/>
    <w:rsid w:val="008812A4"/>
    <w:rsid w:val="008812AD"/>
    <w:rsid w:val="008812CC"/>
    <w:rsid w:val="008812EA"/>
    <w:rsid w:val="0088132F"/>
    <w:rsid w:val="00881407"/>
    <w:rsid w:val="00881483"/>
    <w:rsid w:val="0088150D"/>
    <w:rsid w:val="00881554"/>
    <w:rsid w:val="008817B0"/>
    <w:rsid w:val="008817D9"/>
    <w:rsid w:val="0088181F"/>
    <w:rsid w:val="008819BA"/>
    <w:rsid w:val="00881A83"/>
    <w:rsid w:val="00881A96"/>
    <w:rsid w:val="00881B0C"/>
    <w:rsid w:val="00881B45"/>
    <w:rsid w:val="00881C95"/>
    <w:rsid w:val="00881CE7"/>
    <w:rsid w:val="00881E07"/>
    <w:rsid w:val="00881E0B"/>
    <w:rsid w:val="00881FE3"/>
    <w:rsid w:val="00882071"/>
    <w:rsid w:val="00882090"/>
    <w:rsid w:val="008820E4"/>
    <w:rsid w:val="00882244"/>
    <w:rsid w:val="008822A3"/>
    <w:rsid w:val="008822B2"/>
    <w:rsid w:val="0088236C"/>
    <w:rsid w:val="00882547"/>
    <w:rsid w:val="00882560"/>
    <w:rsid w:val="008826C5"/>
    <w:rsid w:val="008827EB"/>
    <w:rsid w:val="00882806"/>
    <w:rsid w:val="00882840"/>
    <w:rsid w:val="00882988"/>
    <w:rsid w:val="00882B62"/>
    <w:rsid w:val="00882C8C"/>
    <w:rsid w:val="00882E29"/>
    <w:rsid w:val="00882EA9"/>
    <w:rsid w:val="00882F16"/>
    <w:rsid w:val="00882F22"/>
    <w:rsid w:val="00883018"/>
    <w:rsid w:val="00883097"/>
    <w:rsid w:val="008832E7"/>
    <w:rsid w:val="00883309"/>
    <w:rsid w:val="00883332"/>
    <w:rsid w:val="008833C0"/>
    <w:rsid w:val="00883560"/>
    <w:rsid w:val="008836A0"/>
    <w:rsid w:val="008836C8"/>
    <w:rsid w:val="008836E5"/>
    <w:rsid w:val="00883717"/>
    <w:rsid w:val="008837F2"/>
    <w:rsid w:val="0088394E"/>
    <w:rsid w:val="00883A54"/>
    <w:rsid w:val="00883AE9"/>
    <w:rsid w:val="00883CEF"/>
    <w:rsid w:val="00883D5C"/>
    <w:rsid w:val="00883EE5"/>
    <w:rsid w:val="00883EF3"/>
    <w:rsid w:val="00883F9B"/>
    <w:rsid w:val="00884030"/>
    <w:rsid w:val="00884081"/>
    <w:rsid w:val="008840D7"/>
    <w:rsid w:val="0088423D"/>
    <w:rsid w:val="008842B0"/>
    <w:rsid w:val="008842D3"/>
    <w:rsid w:val="00884386"/>
    <w:rsid w:val="00884494"/>
    <w:rsid w:val="008844E0"/>
    <w:rsid w:val="008844E1"/>
    <w:rsid w:val="00884549"/>
    <w:rsid w:val="00884655"/>
    <w:rsid w:val="008846D9"/>
    <w:rsid w:val="008846E9"/>
    <w:rsid w:val="008847F2"/>
    <w:rsid w:val="00884943"/>
    <w:rsid w:val="00884952"/>
    <w:rsid w:val="00884A1A"/>
    <w:rsid w:val="00884A1B"/>
    <w:rsid w:val="00884B82"/>
    <w:rsid w:val="00884BAD"/>
    <w:rsid w:val="00884C08"/>
    <w:rsid w:val="00884DE0"/>
    <w:rsid w:val="00884E37"/>
    <w:rsid w:val="00884F7E"/>
    <w:rsid w:val="0088508D"/>
    <w:rsid w:val="0088542D"/>
    <w:rsid w:val="008855A1"/>
    <w:rsid w:val="0088568D"/>
    <w:rsid w:val="008856FC"/>
    <w:rsid w:val="008857E4"/>
    <w:rsid w:val="00885813"/>
    <w:rsid w:val="00885818"/>
    <w:rsid w:val="00885870"/>
    <w:rsid w:val="00885873"/>
    <w:rsid w:val="00885906"/>
    <w:rsid w:val="008859B0"/>
    <w:rsid w:val="008859B3"/>
    <w:rsid w:val="00885A21"/>
    <w:rsid w:val="00885A2A"/>
    <w:rsid w:val="00885AC7"/>
    <w:rsid w:val="00885B57"/>
    <w:rsid w:val="00885B9E"/>
    <w:rsid w:val="00885C6D"/>
    <w:rsid w:val="00885C7E"/>
    <w:rsid w:val="00885C84"/>
    <w:rsid w:val="00885D41"/>
    <w:rsid w:val="00885D97"/>
    <w:rsid w:val="00885E2D"/>
    <w:rsid w:val="00885F2F"/>
    <w:rsid w:val="008862F8"/>
    <w:rsid w:val="00886438"/>
    <w:rsid w:val="008864FF"/>
    <w:rsid w:val="0088651D"/>
    <w:rsid w:val="00886656"/>
    <w:rsid w:val="00886708"/>
    <w:rsid w:val="008867C3"/>
    <w:rsid w:val="008867CE"/>
    <w:rsid w:val="008869E1"/>
    <w:rsid w:val="00886B6B"/>
    <w:rsid w:val="00886BBA"/>
    <w:rsid w:val="00886BDF"/>
    <w:rsid w:val="00886C0E"/>
    <w:rsid w:val="00886C5E"/>
    <w:rsid w:val="00886D56"/>
    <w:rsid w:val="00886DD0"/>
    <w:rsid w:val="00886E27"/>
    <w:rsid w:val="00886F1F"/>
    <w:rsid w:val="0088709F"/>
    <w:rsid w:val="0088715A"/>
    <w:rsid w:val="00887350"/>
    <w:rsid w:val="00887406"/>
    <w:rsid w:val="00887428"/>
    <w:rsid w:val="008874C5"/>
    <w:rsid w:val="008874FA"/>
    <w:rsid w:val="0088753B"/>
    <w:rsid w:val="00887658"/>
    <w:rsid w:val="0088778D"/>
    <w:rsid w:val="008877DE"/>
    <w:rsid w:val="00887801"/>
    <w:rsid w:val="00887868"/>
    <w:rsid w:val="00887918"/>
    <w:rsid w:val="00887985"/>
    <w:rsid w:val="00887B23"/>
    <w:rsid w:val="00887C3B"/>
    <w:rsid w:val="00887CF5"/>
    <w:rsid w:val="00887D7E"/>
    <w:rsid w:val="00887EA5"/>
    <w:rsid w:val="00887F2C"/>
    <w:rsid w:val="00887F3C"/>
    <w:rsid w:val="00887FEF"/>
    <w:rsid w:val="0088A2BA"/>
    <w:rsid w:val="00890097"/>
    <w:rsid w:val="0089017D"/>
    <w:rsid w:val="00890203"/>
    <w:rsid w:val="0089032F"/>
    <w:rsid w:val="0089035A"/>
    <w:rsid w:val="0089037F"/>
    <w:rsid w:val="008903AB"/>
    <w:rsid w:val="008903E8"/>
    <w:rsid w:val="00890449"/>
    <w:rsid w:val="0089059B"/>
    <w:rsid w:val="008905BB"/>
    <w:rsid w:val="00890851"/>
    <w:rsid w:val="00890859"/>
    <w:rsid w:val="0089091D"/>
    <w:rsid w:val="008909F5"/>
    <w:rsid w:val="00890A11"/>
    <w:rsid w:val="00890A6C"/>
    <w:rsid w:val="00890B10"/>
    <w:rsid w:val="00890BDF"/>
    <w:rsid w:val="00890BEE"/>
    <w:rsid w:val="00890C73"/>
    <w:rsid w:val="00890CF3"/>
    <w:rsid w:val="00890CFD"/>
    <w:rsid w:val="00890CFF"/>
    <w:rsid w:val="00890D4A"/>
    <w:rsid w:val="00890D8E"/>
    <w:rsid w:val="00890F78"/>
    <w:rsid w:val="00891056"/>
    <w:rsid w:val="008911A1"/>
    <w:rsid w:val="0089132A"/>
    <w:rsid w:val="00891512"/>
    <w:rsid w:val="0089153D"/>
    <w:rsid w:val="00891577"/>
    <w:rsid w:val="00891593"/>
    <w:rsid w:val="00891616"/>
    <w:rsid w:val="008916D4"/>
    <w:rsid w:val="008916DC"/>
    <w:rsid w:val="00891793"/>
    <w:rsid w:val="008917E4"/>
    <w:rsid w:val="00891A28"/>
    <w:rsid w:val="00891A50"/>
    <w:rsid w:val="00891BC7"/>
    <w:rsid w:val="00891C02"/>
    <w:rsid w:val="00891C99"/>
    <w:rsid w:val="00891CA9"/>
    <w:rsid w:val="00891D31"/>
    <w:rsid w:val="00891DDE"/>
    <w:rsid w:val="00891E10"/>
    <w:rsid w:val="00891EA1"/>
    <w:rsid w:val="00891FA4"/>
    <w:rsid w:val="00892028"/>
    <w:rsid w:val="0089206B"/>
    <w:rsid w:val="0089218B"/>
    <w:rsid w:val="0089218E"/>
    <w:rsid w:val="00892193"/>
    <w:rsid w:val="008921AE"/>
    <w:rsid w:val="008921B8"/>
    <w:rsid w:val="00892367"/>
    <w:rsid w:val="0089242C"/>
    <w:rsid w:val="00892566"/>
    <w:rsid w:val="00892636"/>
    <w:rsid w:val="008926DC"/>
    <w:rsid w:val="0089275E"/>
    <w:rsid w:val="0089277F"/>
    <w:rsid w:val="008929BB"/>
    <w:rsid w:val="00892AA7"/>
    <w:rsid w:val="00892B7D"/>
    <w:rsid w:val="00892B87"/>
    <w:rsid w:val="00892BC3"/>
    <w:rsid w:val="00892C0A"/>
    <w:rsid w:val="00892E0B"/>
    <w:rsid w:val="00892ED0"/>
    <w:rsid w:val="00892ED2"/>
    <w:rsid w:val="00892EFF"/>
    <w:rsid w:val="00892FAE"/>
    <w:rsid w:val="00892FD4"/>
    <w:rsid w:val="0089307B"/>
    <w:rsid w:val="0089309C"/>
    <w:rsid w:val="008930BE"/>
    <w:rsid w:val="00893114"/>
    <w:rsid w:val="008931DD"/>
    <w:rsid w:val="008932CA"/>
    <w:rsid w:val="0089336A"/>
    <w:rsid w:val="0089337C"/>
    <w:rsid w:val="00893386"/>
    <w:rsid w:val="0089341C"/>
    <w:rsid w:val="00893427"/>
    <w:rsid w:val="008934E7"/>
    <w:rsid w:val="00893627"/>
    <w:rsid w:val="0089372E"/>
    <w:rsid w:val="00893780"/>
    <w:rsid w:val="008938E6"/>
    <w:rsid w:val="00893917"/>
    <w:rsid w:val="00893A0F"/>
    <w:rsid w:val="00893A68"/>
    <w:rsid w:val="00893B03"/>
    <w:rsid w:val="00893B47"/>
    <w:rsid w:val="00893BCA"/>
    <w:rsid w:val="00893C12"/>
    <w:rsid w:val="00893CD9"/>
    <w:rsid w:val="00893D2F"/>
    <w:rsid w:val="00893D61"/>
    <w:rsid w:val="00893F7A"/>
    <w:rsid w:val="00893F81"/>
    <w:rsid w:val="00893FF8"/>
    <w:rsid w:val="008940B1"/>
    <w:rsid w:val="008940C9"/>
    <w:rsid w:val="00894571"/>
    <w:rsid w:val="008945CC"/>
    <w:rsid w:val="00894621"/>
    <w:rsid w:val="0089463A"/>
    <w:rsid w:val="008946B7"/>
    <w:rsid w:val="008949C6"/>
    <w:rsid w:val="00894A8C"/>
    <w:rsid w:val="00894B25"/>
    <w:rsid w:val="00894B6D"/>
    <w:rsid w:val="00894BBC"/>
    <w:rsid w:val="00894C2D"/>
    <w:rsid w:val="00894E54"/>
    <w:rsid w:val="00894E5E"/>
    <w:rsid w:val="00894E7A"/>
    <w:rsid w:val="00894EAF"/>
    <w:rsid w:val="00894F25"/>
    <w:rsid w:val="00894F6E"/>
    <w:rsid w:val="0089558D"/>
    <w:rsid w:val="008955FE"/>
    <w:rsid w:val="0089565E"/>
    <w:rsid w:val="008956DD"/>
    <w:rsid w:val="00895802"/>
    <w:rsid w:val="00895911"/>
    <w:rsid w:val="00895984"/>
    <w:rsid w:val="00895A57"/>
    <w:rsid w:val="00895B1F"/>
    <w:rsid w:val="00895B79"/>
    <w:rsid w:val="00895B87"/>
    <w:rsid w:val="00895C5D"/>
    <w:rsid w:val="00895E06"/>
    <w:rsid w:val="00895EE4"/>
    <w:rsid w:val="00895F91"/>
    <w:rsid w:val="00895FF7"/>
    <w:rsid w:val="00896025"/>
    <w:rsid w:val="0089607A"/>
    <w:rsid w:val="008960A7"/>
    <w:rsid w:val="008960EF"/>
    <w:rsid w:val="0089615F"/>
    <w:rsid w:val="00896384"/>
    <w:rsid w:val="008963EB"/>
    <w:rsid w:val="00896424"/>
    <w:rsid w:val="00896434"/>
    <w:rsid w:val="0089666D"/>
    <w:rsid w:val="008966D0"/>
    <w:rsid w:val="00896718"/>
    <w:rsid w:val="00896757"/>
    <w:rsid w:val="008967C5"/>
    <w:rsid w:val="008967FE"/>
    <w:rsid w:val="008968DF"/>
    <w:rsid w:val="00896954"/>
    <w:rsid w:val="00896988"/>
    <w:rsid w:val="00896B20"/>
    <w:rsid w:val="00896B4D"/>
    <w:rsid w:val="00896BE8"/>
    <w:rsid w:val="00896CE2"/>
    <w:rsid w:val="00896D74"/>
    <w:rsid w:val="00896D8E"/>
    <w:rsid w:val="00896DF0"/>
    <w:rsid w:val="00896ED8"/>
    <w:rsid w:val="00896F77"/>
    <w:rsid w:val="0089701E"/>
    <w:rsid w:val="0089702C"/>
    <w:rsid w:val="0089705D"/>
    <w:rsid w:val="0089715A"/>
    <w:rsid w:val="0089729A"/>
    <w:rsid w:val="008972FD"/>
    <w:rsid w:val="00897360"/>
    <w:rsid w:val="00897471"/>
    <w:rsid w:val="0089759C"/>
    <w:rsid w:val="008976D7"/>
    <w:rsid w:val="008976E9"/>
    <w:rsid w:val="00897758"/>
    <w:rsid w:val="0089779A"/>
    <w:rsid w:val="0089784B"/>
    <w:rsid w:val="00897980"/>
    <w:rsid w:val="00897992"/>
    <w:rsid w:val="00897A06"/>
    <w:rsid w:val="00897A84"/>
    <w:rsid w:val="00897CBB"/>
    <w:rsid w:val="00897CCC"/>
    <w:rsid w:val="00897CE3"/>
    <w:rsid w:val="00897DEC"/>
    <w:rsid w:val="00897E63"/>
    <w:rsid w:val="00897E87"/>
    <w:rsid w:val="00897EFB"/>
    <w:rsid w:val="00897F3F"/>
    <w:rsid w:val="008A0186"/>
    <w:rsid w:val="008A01F5"/>
    <w:rsid w:val="008A0213"/>
    <w:rsid w:val="008A034E"/>
    <w:rsid w:val="008A0370"/>
    <w:rsid w:val="008A038D"/>
    <w:rsid w:val="008A052A"/>
    <w:rsid w:val="008A0562"/>
    <w:rsid w:val="008A059E"/>
    <w:rsid w:val="008A05BB"/>
    <w:rsid w:val="008A065C"/>
    <w:rsid w:val="008A06A0"/>
    <w:rsid w:val="008A06E9"/>
    <w:rsid w:val="008A0765"/>
    <w:rsid w:val="008A07E9"/>
    <w:rsid w:val="008A0894"/>
    <w:rsid w:val="008A08AA"/>
    <w:rsid w:val="008A08F1"/>
    <w:rsid w:val="008A098C"/>
    <w:rsid w:val="008A098D"/>
    <w:rsid w:val="008A09B4"/>
    <w:rsid w:val="008A0A7B"/>
    <w:rsid w:val="008A0B2A"/>
    <w:rsid w:val="008A0B72"/>
    <w:rsid w:val="008A0C05"/>
    <w:rsid w:val="008A0D90"/>
    <w:rsid w:val="008A0F86"/>
    <w:rsid w:val="008A0FFC"/>
    <w:rsid w:val="008A1097"/>
    <w:rsid w:val="008A1180"/>
    <w:rsid w:val="008A1195"/>
    <w:rsid w:val="008A124C"/>
    <w:rsid w:val="008A12B0"/>
    <w:rsid w:val="008A1442"/>
    <w:rsid w:val="008A1550"/>
    <w:rsid w:val="008A1639"/>
    <w:rsid w:val="008A182C"/>
    <w:rsid w:val="008A1867"/>
    <w:rsid w:val="008A18A0"/>
    <w:rsid w:val="008A18D4"/>
    <w:rsid w:val="008A194C"/>
    <w:rsid w:val="008A19C6"/>
    <w:rsid w:val="008A1B0C"/>
    <w:rsid w:val="008A1B74"/>
    <w:rsid w:val="008A1BD7"/>
    <w:rsid w:val="008A1C38"/>
    <w:rsid w:val="008A1E2B"/>
    <w:rsid w:val="008A1EB1"/>
    <w:rsid w:val="008A1EB5"/>
    <w:rsid w:val="008A1FC1"/>
    <w:rsid w:val="008A1FC3"/>
    <w:rsid w:val="008A20FD"/>
    <w:rsid w:val="008A2149"/>
    <w:rsid w:val="008A219E"/>
    <w:rsid w:val="008A237F"/>
    <w:rsid w:val="008A23B8"/>
    <w:rsid w:val="008A23E4"/>
    <w:rsid w:val="008A25FC"/>
    <w:rsid w:val="008A261D"/>
    <w:rsid w:val="008A2676"/>
    <w:rsid w:val="008A2683"/>
    <w:rsid w:val="008A26A6"/>
    <w:rsid w:val="008A2768"/>
    <w:rsid w:val="008A2817"/>
    <w:rsid w:val="008A2999"/>
    <w:rsid w:val="008A29EF"/>
    <w:rsid w:val="008A2A15"/>
    <w:rsid w:val="008A2B96"/>
    <w:rsid w:val="008A2BD8"/>
    <w:rsid w:val="008A2D5E"/>
    <w:rsid w:val="008A2DBC"/>
    <w:rsid w:val="008A2E82"/>
    <w:rsid w:val="008A302D"/>
    <w:rsid w:val="008A304B"/>
    <w:rsid w:val="008A30CF"/>
    <w:rsid w:val="008A30E9"/>
    <w:rsid w:val="008A3119"/>
    <w:rsid w:val="008A31D0"/>
    <w:rsid w:val="008A35A4"/>
    <w:rsid w:val="008A35BB"/>
    <w:rsid w:val="008A35C1"/>
    <w:rsid w:val="008A3800"/>
    <w:rsid w:val="008A386D"/>
    <w:rsid w:val="008A392D"/>
    <w:rsid w:val="008A3943"/>
    <w:rsid w:val="008A39AA"/>
    <w:rsid w:val="008A39D8"/>
    <w:rsid w:val="008A3A48"/>
    <w:rsid w:val="008A3ABC"/>
    <w:rsid w:val="008A3B1A"/>
    <w:rsid w:val="008A3B7D"/>
    <w:rsid w:val="008A3BE6"/>
    <w:rsid w:val="008A3C4C"/>
    <w:rsid w:val="008A3D47"/>
    <w:rsid w:val="008A3D7A"/>
    <w:rsid w:val="008A3DB2"/>
    <w:rsid w:val="008A3EA8"/>
    <w:rsid w:val="008A4111"/>
    <w:rsid w:val="008A41B4"/>
    <w:rsid w:val="008A41B9"/>
    <w:rsid w:val="008A4301"/>
    <w:rsid w:val="008A435D"/>
    <w:rsid w:val="008A43B0"/>
    <w:rsid w:val="008A43B1"/>
    <w:rsid w:val="008A443C"/>
    <w:rsid w:val="008A465B"/>
    <w:rsid w:val="008A46D9"/>
    <w:rsid w:val="008A4709"/>
    <w:rsid w:val="008A48A7"/>
    <w:rsid w:val="008A48FF"/>
    <w:rsid w:val="008A49CD"/>
    <w:rsid w:val="008A4A74"/>
    <w:rsid w:val="008A4ABD"/>
    <w:rsid w:val="008A4B69"/>
    <w:rsid w:val="008A4BA4"/>
    <w:rsid w:val="008A4BB1"/>
    <w:rsid w:val="008A4BD2"/>
    <w:rsid w:val="008A4C2B"/>
    <w:rsid w:val="008A4C91"/>
    <w:rsid w:val="008A4D12"/>
    <w:rsid w:val="008A4D45"/>
    <w:rsid w:val="008A4D89"/>
    <w:rsid w:val="008A4DA0"/>
    <w:rsid w:val="008A4DA1"/>
    <w:rsid w:val="008A4DEF"/>
    <w:rsid w:val="008A4E1B"/>
    <w:rsid w:val="008A4E86"/>
    <w:rsid w:val="008A4EA0"/>
    <w:rsid w:val="008A51B0"/>
    <w:rsid w:val="008A5504"/>
    <w:rsid w:val="008A552A"/>
    <w:rsid w:val="008A55F1"/>
    <w:rsid w:val="008A5608"/>
    <w:rsid w:val="008A57D1"/>
    <w:rsid w:val="008A57E7"/>
    <w:rsid w:val="008A595C"/>
    <w:rsid w:val="008A597F"/>
    <w:rsid w:val="008A5A65"/>
    <w:rsid w:val="008A5B40"/>
    <w:rsid w:val="008A5DED"/>
    <w:rsid w:val="008A5E95"/>
    <w:rsid w:val="008A5F6C"/>
    <w:rsid w:val="008A611F"/>
    <w:rsid w:val="008A6129"/>
    <w:rsid w:val="008A622C"/>
    <w:rsid w:val="008A6396"/>
    <w:rsid w:val="008A64C0"/>
    <w:rsid w:val="008A64DE"/>
    <w:rsid w:val="008A6538"/>
    <w:rsid w:val="008A65B3"/>
    <w:rsid w:val="008A663B"/>
    <w:rsid w:val="008A6676"/>
    <w:rsid w:val="008A6B18"/>
    <w:rsid w:val="008A6B98"/>
    <w:rsid w:val="008A6BA2"/>
    <w:rsid w:val="008A6C71"/>
    <w:rsid w:val="008A6C80"/>
    <w:rsid w:val="008A6D01"/>
    <w:rsid w:val="008A6F7A"/>
    <w:rsid w:val="008A7014"/>
    <w:rsid w:val="008A70C3"/>
    <w:rsid w:val="008A70DE"/>
    <w:rsid w:val="008A70EF"/>
    <w:rsid w:val="008A7179"/>
    <w:rsid w:val="008A71AC"/>
    <w:rsid w:val="008A73B1"/>
    <w:rsid w:val="008A746B"/>
    <w:rsid w:val="008A752F"/>
    <w:rsid w:val="008A766A"/>
    <w:rsid w:val="008A76A0"/>
    <w:rsid w:val="008A774B"/>
    <w:rsid w:val="008A77FB"/>
    <w:rsid w:val="008A78D0"/>
    <w:rsid w:val="008A78DE"/>
    <w:rsid w:val="008A78E8"/>
    <w:rsid w:val="008A78EA"/>
    <w:rsid w:val="008A7985"/>
    <w:rsid w:val="008A7A29"/>
    <w:rsid w:val="008A7AB3"/>
    <w:rsid w:val="008A7AEB"/>
    <w:rsid w:val="008A7B3F"/>
    <w:rsid w:val="008A7B40"/>
    <w:rsid w:val="008A7C3F"/>
    <w:rsid w:val="008A7C6D"/>
    <w:rsid w:val="008A7D10"/>
    <w:rsid w:val="008A7D3F"/>
    <w:rsid w:val="008A7E1C"/>
    <w:rsid w:val="008A7F14"/>
    <w:rsid w:val="008A7FCE"/>
    <w:rsid w:val="008B0011"/>
    <w:rsid w:val="008B01A9"/>
    <w:rsid w:val="008B0378"/>
    <w:rsid w:val="008B0389"/>
    <w:rsid w:val="008B038C"/>
    <w:rsid w:val="008B03A0"/>
    <w:rsid w:val="008B0419"/>
    <w:rsid w:val="008B0443"/>
    <w:rsid w:val="008B0465"/>
    <w:rsid w:val="008B06DC"/>
    <w:rsid w:val="008B06E2"/>
    <w:rsid w:val="008B07B8"/>
    <w:rsid w:val="008B07FA"/>
    <w:rsid w:val="008B08C2"/>
    <w:rsid w:val="008B090B"/>
    <w:rsid w:val="008B09D3"/>
    <w:rsid w:val="008B0A17"/>
    <w:rsid w:val="008B0B7F"/>
    <w:rsid w:val="008B0BA7"/>
    <w:rsid w:val="008B0C60"/>
    <w:rsid w:val="008B0CB0"/>
    <w:rsid w:val="008B0D36"/>
    <w:rsid w:val="008B0EE9"/>
    <w:rsid w:val="008B0F32"/>
    <w:rsid w:val="008B0FE2"/>
    <w:rsid w:val="008B0FFB"/>
    <w:rsid w:val="008B1154"/>
    <w:rsid w:val="008B120A"/>
    <w:rsid w:val="008B13F9"/>
    <w:rsid w:val="008B1460"/>
    <w:rsid w:val="008B154B"/>
    <w:rsid w:val="008B156A"/>
    <w:rsid w:val="008B1658"/>
    <w:rsid w:val="008B1697"/>
    <w:rsid w:val="008B16B6"/>
    <w:rsid w:val="008B1772"/>
    <w:rsid w:val="008B1819"/>
    <w:rsid w:val="008B184C"/>
    <w:rsid w:val="008B1894"/>
    <w:rsid w:val="008B189E"/>
    <w:rsid w:val="008B19B9"/>
    <w:rsid w:val="008B1AC0"/>
    <w:rsid w:val="008B1ACB"/>
    <w:rsid w:val="008B1B1F"/>
    <w:rsid w:val="008B1B72"/>
    <w:rsid w:val="008B1B9E"/>
    <w:rsid w:val="008B1BD4"/>
    <w:rsid w:val="008B1C13"/>
    <w:rsid w:val="008B1ED8"/>
    <w:rsid w:val="008B2093"/>
    <w:rsid w:val="008B20C7"/>
    <w:rsid w:val="008B2157"/>
    <w:rsid w:val="008B2338"/>
    <w:rsid w:val="008B23CF"/>
    <w:rsid w:val="008B24E4"/>
    <w:rsid w:val="008B2726"/>
    <w:rsid w:val="008B2727"/>
    <w:rsid w:val="008B276C"/>
    <w:rsid w:val="008B283D"/>
    <w:rsid w:val="008B2914"/>
    <w:rsid w:val="008B2987"/>
    <w:rsid w:val="008B29D1"/>
    <w:rsid w:val="008B29E5"/>
    <w:rsid w:val="008B29FD"/>
    <w:rsid w:val="008B2C37"/>
    <w:rsid w:val="008B2CD3"/>
    <w:rsid w:val="008B2D05"/>
    <w:rsid w:val="008B2D4B"/>
    <w:rsid w:val="008B2D66"/>
    <w:rsid w:val="008B2E03"/>
    <w:rsid w:val="008B2E21"/>
    <w:rsid w:val="008B2EB3"/>
    <w:rsid w:val="008B3017"/>
    <w:rsid w:val="008B3302"/>
    <w:rsid w:val="008B3316"/>
    <w:rsid w:val="008B339D"/>
    <w:rsid w:val="008B3425"/>
    <w:rsid w:val="008B3492"/>
    <w:rsid w:val="008B34BA"/>
    <w:rsid w:val="008B34BF"/>
    <w:rsid w:val="008B34C7"/>
    <w:rsid w:val="008B3637"/>
    <w:rsid w:val="008B382F"/>
    <w:rsid w:val="008B3858"/>
    <w:rsid w:val="008B38F0"/>
    <w:rsid w:val="008B3979"/>
    <w:rsid w:val="008B39E0"/>
    <w:rsid w:val="008B3A55"/>
    <w:rsid w:val="008B3AA5"/>
    <w:rsid w:val="008B3ACA"/>
    <w:rsid w:val="008B3AEA"/>
    <w:rsid w:val="008B3BB8"/>
    <w:rsid w:val="008B3C03"/>
    <w:rsid w:val="008B3D85"/>
    <w:rsid w:val="008B3EF2"/>
    <w:rsid w:val="008B3F04"/>
    <w:rsid w:val="008B3F90"/>
    <w:rsid w:val="008B4028"/>
    <w:rsid w:val="008B42DD"/>
    <w:rsid w:val="008B42F1"/>
    <w:rsid w:val="008B430D"/>
    <w:rsid w:val="008B43D7"/>
    <w:rsid w:val="008B43F6"/>
    <w:rsid w:val="008B446C"/>
    <w:rsid w:val="008B44EF"/>
    <w:rsid w:val="008B452B"/>
    <w:rsid w:val="008B4578"/>
    <w:rsid w:val="008B4584"/>
    <w:rsid w:val="008B45C2"/>
    <w:rsid w:val="008B4696"/>
    <w:rsid w:val="008B46DF"/>
    <w:rsid w:val="008B46F9"/>
    <w:rsid w:val="008B48EB"/>
    <w:rsid w:val="008B48EE"/>
    <w:rsid w:val="008B48F3"/>
    <w:rsid w:val="008B48FA"/>
    <w:rsid w:val="008B4962"/>
    <w:rsid w:val="008B4973"/>
    <w:rsid w:val="008B4A1A"/>
    <w:rsid w:val="008B4A23"/>
    <w:rsid w:val="008B4A75"/>
    <w:rsid w:val="008B4AC6"/>
    <w:rsid w:val="008B4B77"/>
    <w:rsid w:val="008B4B96"/>
    <w:rsid w:val="008B4CF1"/>
    <w:rsid w:val="008B4E37"/>
    <w:rsid w:val="008B4F37"/>
    <w:rsid w:val="008B50C3"/>
    <w:rsid w:val="008B516D"/>
    <w:rsid w:val="008B51F3"/>
    <w:rsid w:val="008B5295"/>
    <w:rsid w:val="008B53A2"/>
    <w:rsid w:val="008B5498"/>
    <w:rsid w:val="008B54AF"/>
    <w:rsid w:val="008B54C7"/>
    <w:rsid w:val="008B54F9"/>
    <w:rsid w:val="008B54FF"/>
    <w:rsid w:val="008B5578"/>
    <w:rsid w:val="008B5671"/>
    <w:rsid w:val="008B5810"/>
    <w:rsid w:val="008B5854"/>
    <w:rsid w:val="008B58C0"/>
    <w:rsid w:val="008B5956"/>
    <w:rsid w:val="008B5A67"/>
    <w:rsid w:val="008B5A97"/>
    <w:rsid w:val="008B5BE0"/>
    <w:rsid w:val="008B5DD7"/>
    <w:rsid w:val="008B5ECB"/>
    <w:rsid w:val="008B5ED6"/>
    <w:rsid w:val="008B6193"/>
    <w:rsid w:val="008B6336"/>
    <w:rsid w:val="008B6408"/>
    <w:rsid w:val="008B64CB"/>
    <w:rsid w:val="008B64F6"/>
    <w:rsid w:val="008B650D"/>
    <w:rsid w:val="008B651A"/>
    <w:rsid w:val="008B6578"/>
    <w:rsid w:val="008B65CE"/>
    <w:rsid w:val="008B65E3"/>
    <w:rsid w:val="008B665E"/>
    <w:rsid w:val="008B666B"/>
    <w:rsid w:val="008B6691"/>
    <w:rsid w:val="008B66D1"/>
    <w:rsid w:val="008B6753"/>
    <w:rsid w:val="008B6769"/>
    <w:rsid w:val="008B681B"/>
    <w:rsid w:val="008B6862"/>
    <w:rsid w:val="008B68D2"/>
    <w:rsid w:val="008B6A5F"/>
    <w:rsid w:val="008B6B1E"/>
    <w:rsid w:val="008B6D01"/>
    <w:rsid w:val="008B6D18"/>
    <w:rsid w:val="008B6DBD"/>
    <w:rsid w:val="008B6DC0"/>
    <w:rsid w:val="008B6F10"/>
    <w:rsid w:val="008B6F5B"/>
    <w:rsid w:val="008B6F5F"/>
    <w:rsid w:val="008B708F"/>
    <w:rsid w:val="008B7382"/>
    <w:rsid w:val="008B74A1"/>
    <w:rsid w:val="008B7509"/>
    <w:rsid w:val="008B7538"/>
    <w:rsid w:val="008B7548"/>
    <w:rsid w:val="008B755B"/>
    <w:rsid w:val="008B7598"/>
    <w:rsid w:val="008B77B6"/>
    <w:rsid w:val="008B78F8"/>
    <w:rsid w:val="008B79B1"/>
    <w:rsid w:val="008B7A11"/>
    <w:rsid w:val="008B7CFA"/>
    <w:rsid w:val="008B7D06"/>
    <w:rsid w:val="008B7D13"/>
    <w:rsid w:val="008B7DD6"/>
    <w:rsid w:val="008B7E0C"/>
    <w:rsid w:val="008B7FB1"/>
    <w:rsid w:val="008B7FB8"/>
    <w:rsid w:val="008C00C7"/>
    <w:rsid w:val="008C017A"/>
    <w:rsid w:val="008C021B"/>
    <w:rsid w:val="008C027E"/>
    <w:rsid w:val="008C02BB"/>
    <w:rsid w:val="008C036D"/>
    <w:rsid w:val="008C0372"/>
    <w:rsid w:val="008C0393"/>
    <w:rsid w:val="008C05FF"/>
    <w:rsid w:val="008C068F"/>
    <w:rsid w:val="008C0742"/>
    <w:rsid w:val="008C07DB"/>
    <w:rsid w:val="008C0840"/>
    <w:rsid w:val="008C08A9"/>
    <w:rsid w:val="008C0A28"/>
    <w:rsid w:val="008C0A31"/>
    <w:rsid w:val="008C0AB7"/>
    <w:rsid w:val="008C0AF9"/>
    <w:rsid w:val="008C0BE4"/>
    <w:rsid w:val="008C0C9F"/>
    <w:rsid w:val="008C0DF4"/>
    <w:rsid w:val="008C1015"/>
    <w:rsid w:val="008C1042"/>
    <w:rsid w:val="008C10F8"/>
    <w:rsid w:val="008C1121"/>
    <w:rsid w:val="008C1169"/>
    <w:rsid w:val="008C1277"/>
    <w:rsid w:val="008C1291"/>
    <w:rsid w:val="008C12C2"/>
    <w:rsid w:val="008C1364"/>
    <w:rsid w:val="008C13C7"/>
    <w:rsid w:val="008C142E"/>
    <w:rsid w:val="008C14DF"/>
    <w:rsid w:val="008C150C"/>
    <w:rsid w:val="008C1536"/>
    <w:rsid w:val="008C1561"/>
    <w:rsid w:val="008C15CB"/>
    <w:rsid w:val="008C1618"/>
    <w:rsid w:val="008C16D4"/>
    <w:rsid w:val="008C171F"/>
    <w:rsid w:val="008C17CD"/>
    <w:rsid w:val="008C180E"/>
    <w:rsid w:val="008C183E"/>
    <w:rsid w:val="008C184B"/>
    <w:rsid w:val="008C1866"/>
    <w:rsid w:val="008C18B2"/>
    <w:rsid w:val="008C1A98"/>
    <w:rsid w:val="008C1AFA"/>
    <w:rsid w:val="008C1CF8"/>
    <w:rsid w:val="008C1D8F"/>
    <w:rsid w:val="008C1E34"/>
    <w:rsid w:val="008C1FA7"/>
    <w:rsid w:val="008C206F"/>
    <w:rsid w:val="008C21EA"/>
    <w:rsid w:val="008C21EB"/>
    <w:rsid w:val="008C2206"/>
    <w:rsid w:val="008C23C3"/>
    <w:rsid w:val="008C2412"/>
    <w:rsid w:val="008C249E"/>
    <w:rsid w:val="008C24C3"/>
    <w:rsid w:val="008C257B"/>
    <w:rsid w:val="008C2602"/>
    <w:rsid w:val="008C2705"/>
    <w:rsid w:val="008C2A7A"/>
    <w:rsid w:val="008C2BCD"/>
    <w:rsid w:val="008C2C83"/>
    <w:rsid w:val="008C2C89"/>
    <w:rsid w:val="008C2CAB"/>
    <w:rsid w:val="008C2CE2"/>
    <w:rsid w:val="008C2D06"/>
    <w:rsid w:val="008C2F55"/>
    <w:rsid w:val="008C2FA8"/>
    <w:rsid w:val="008C30D1"/>
    <w:rsid w:val="008C312E"/>
    <w:rsid w:val="008C3143"/>
    <w:rsid w:val="008C321C"/>
    <w:rsid w:val="008C338E"/>
    <w:rsid w:val="008C359C"/>
    <w:rsid w:val="008C35CF"/>
    <w:rsid w:val="008C35EA"/>
    <w:rsid w:val="008C3714"/>
    <w:rsid w:val="008C375F"/>
    <w:rsid w:val="008C387C"/>
    <w:rsid w:val="008C38E0"/>
    <w:rsid w:val="008C38ED"/>
    <w:rsid w:val="008C392E"/>
    <w:rsid w:val="008C3953"/>
    <w:rsid w:val="008C3982"/>
    <w:rsid w:val="008C3C5C"/>
    <w:rsid w:val="008C3ECD"/>
    <w:rsid w:val="008C4390"/>
    <w:rsid w:val="008C43BD"/>
    <w:rsid w:val="008C4465"/>
    <w:rsid w:val="008C44B5"/>
    <w:rsid w:val="008C44B9"/>
    <w:rsid w:val="008C44FF"/>
    <w:rsid w:val="008C454D"/>
    <w:rsid w:val="008C4595"/>
    <w:rsid w:val="008C4665"/>
    <w:rsid w:val="008C466A"/>
    <w:rsid w:val="008C4711"/>
    <w:rsid w:val="008C47E9"/>
    <w:rsid w:val="008C48FF"/>
    <w:rsid w:val="008C4AC2"/>
    <w:rsid w:val="008C4B82"/>
    <w:rsid w:val="008C4C77"/>
    <w:rsid w:val="008C4CEA"/>
    <w:rsid w:val="008C4D89"/>
    <w:rsid w:val="008C4F78"/>
    <w:rsid w:val="008C4F79"/>
    <w:rsid w:val="008C5004"/>
    <w:rsid w:val="008C50F8"/>
    <w:rsid w:val="008C51CC"/>
    <w:rsid w:val="008C5201"/>
    <w:rsid w:val="008C5213"/>
    <w:rsid w:val="008C52B1"/>
    <w:rsid w:val="008C52D0"/>
    <w:rsid w:val="008C5303"/>
    <w:rsid w:val="008C545F"/>
    <w:rsid w:val="008C548A"/>
    <w:rsid w:val="008C550A"/>
    <w:rsid w:val="008C5525"/>
    <w:rsid w:val="008C5528"/>
    <w:rsid w:val="008C552D"/>
    <w:rsid w:val="008C55FD"/>
    <w:rsid w:val="008C55FF"/>
    <w:rsid w:val="008C579F"/>
    <w:rsid w:val="008C5818"/>
    <w:rsid w:val="008C58A5"/>
    <w:rsid w:val="008C58E5"/>
    <w:rsid w:val="008C593A"/>
    <w:rsid w:val="008C5998"/>
    <w:rsid w:val="008C599F"/>
    <w:rsid w:val="008C59DE"/>
    <w:rsid w:val="008C5A20"/>
    <w:rsid w:val="008C5CB3"/>
    <w:rsid w:val="008C5D35"/>
    <w:rsid w:val="008C5DAE"/>
    <w:rsid w:val="008C5FEB"/>
    <w:rsid w:val="008C6126"/>
    <w:rsid w:val="008C623C"/>
    <w:rsid w:val="008C623F"/>
    <w:rsid w:val="008C63E3"/>
    <w:rsid w:val="008C6412"/>
    <w:rsid w:val="008C647C"/>
    <w:rsid w:val="008C6489"/>
    <w:rsid w:val="008C6493"/>
    <w:rsid w:val="008C65C2"/>
    <w:rsid w:val="008C6650"/>
    <w:rsid w:val="008C67B0"/>
    <w:rsid w:val="008C6838"/>
    <w:rsid w:val="008C695A"/>
    <w:rsid w:val="008C698B"/>
    <w:rsid w:val="008C6A3E"/>
    <w:rsid w:val="008C6AD2"/>
    <w:rsid w:val="008C6C05"/>
    <w:rsid w:val="008C6CB4"/>
    <w:rsid w:val="008C6D78"/>
    <w:rsid w:val="008C6E9D"/>
    <w:rsid w:val="008C6F64"/>
    <w:rsid w:val="008C6FEE"/>
    <w:rsid w:val="008C7118"/>
    <w:rsid w:val="008C7246"/>
    <w:rsid w:val="008C737C"/>
    <w:rsid w:val="008C7657"/>
    <w:rsid w:val="008C7720"/>
    <w:rsid w:val="008C7854"/>
    <w:rsid w:val="008C7A75"/>
    <w:rsid w:val="008C7B48"/>
    <w:rsid w:val="008C7C0D"/>
    <w:rsid w:val="008C7CDE"/>
    <w:rsid w:val="008C7CE0"/>
    <w:rsid w:val="008C7E63"/>
    <w:rsid w:val="008C7EC4"/>
    <w:rsid w:val="008C7F04"/>
    <w:rsid w:val="008C7FE7"/>
    <w:rsid w:val="008D00ED"/>
    <w:rsid w:val="008D00FE"/>
    <w:rsid w:val="008D02B5"/>
    <w:rsid w:val="008D0471"/>
    <w:rsid w:val="008D04CD"/>
    <w:rsid w:val="008D0547"/>
    <w:rsid w:val="008D05DA"/>
    <w:rsid w:val="008D0626"/>
    <w:rsid w:val="008D063D"/>
    <w:rsid w:val="008D0726"/>
    <w:rsid w:val="008D076C"/>
    <w:rsid w:val="008D09E2"/>
    <w:rsid w:val="008D0ACD"/>
    <w:rsid w:val="008D0B5C"/>
    <w:rsid w:val="008D0C03"/>
    <w:rsid w:val="008D0CC1"/>
    <w:rsid w:val="008D0CDB"/>
    <w:rsid w:val="008D0D5B"/>
    <w:rsid w:val="008D1248"/>
    <w:rsid w:val="008D1419"/>
    <w:rsid w:val="008D14F1"/>
    <w:rsid w:val="008D15CE"/>
    <w:rsid w:val="008D16D0"/>
    <w:rsid w:val="008D1709"/>
    <w:rsid w:val="008D178C"/>
    <w:rsid w:val="008D1792"/>
    <w:rsid w:val="008D17F7"/>
    <w:rsid w:val="008D1812"/>
    <w:rsid w:val="008D1820"/>
    <w:rsid w:val="008D1823"/>
    <w:rsid w:val="008D186B"/>
    <w:rsid w:val="008D18DF"/>
    <w:rsid w:val="008D1AFC"/>
    <w:rsid w:val="008D1BCB"/>
    <w:rsid w:val="008D1C8A"/>
    <w:rsid w:val="008D1E30"/>
    <w:rsid w:val="008D1F12"/>
    <w:rsid w:val="008D1F74"/>
    <w:rsid w:val="008D1FCB"/>
    <w:rsid w:val="008D20E7"/>
    <w:rsid w:val="008D214E"/>
    <w:rsid w:val="008D2160"/>
    <w:rsid w:val="008D23AE"/>
    <w:rsid w:val="008D2617"/>
    <w:rsid w:val="008D262F"/>
    <w:rsid w:val="008D2741"/>
    <w:rsid w:val="008D2772"/>
    <w:rsid w:val="008D288C"/>
    <w:rsid w:val="008D28EF"/>
    <w:rsid w:val="008D2907"/>
    <w:rsid w:val="008D2A73"/>
    <w:rsid w:val="008D2D40"/>
    <w:rsid w:val="008D2D5B"/>
    <w:rsid w:val="008D2DB6"/>
    <w:rsid w:val="008D2F65"/>
    <w:rsid w:val="008D31C2"/>
    <w:rsid w:val="008D324D"/>
    <w:rsid w:val="008D3255"/>
    <w:rsid w:val="008D3285"/>
    <w:rsid w:val="008D3297"/>
    <w:rsid w:val="008D32D8"/>
    <w:rsid w:val="008D3328"/>
    <w:rsid w:val="008D3335"/>
    <w:rsid w:val="008D33EC"/>
    <w:rsid w:val="008D3439"/>
    <w:rsid w:val="008D34FB"/>
    <w:rsid w:val="008D35CD"/>
    <w:rsid w:val="008D35D4"/>
    <w:rsid w:val="008D363C"/>
    <w:rsid w:val="008D36EB"/>
    <w:rsid w:val="008D373E"/>
    <w:rsid w:val="008D37B3"/>
    <w:rsid w:val="008D37EC"/>
    <w:rsid w:val="008D383E"/>
    <w:rsid w:val="008D3869"/>
    <w:rsid w:val="008D3998"/>
    <w:rsid w:val="008D3ADA"/>
    <w:rsid w:val="008D3B9D"/>
    <w:rsid w:val="008D3C37"/>
    <w:rsid w:val="008D3D9B"/>
    <w:rsid w:val="008D3DA1"/>
    <w:rsid w:val="008D3DB2"/>
    <w:rsid w:val="008D3E38"/>
    <w:rsid w:val="008D3EF1"/>
    <w:rsid w:val="008D3F18"/>
    <w:rsid w:val="008D3FBC"/>
    <w:rsid w:val="008D409B"/>
    <w:rsid w:val="008D40A0"/>
    <w:rsid w:val="008D4120"/>
    <w:rsid w:val="008D4137"/>
    <w:rsid w:val="008D426C"/>
    <w:rsid w:val="008D4341"/>
    <w:rsid w:val="008D437C"/>
    <w:rsid w:val="008D463E"/>
    <w:rsid w:val="008D4658"/>
    <w:rsid w:val="008D4DD7"/>
    <w:rsid w:val="008D4E24"/>
    <w:rsid w:val="008D4F1C"/>
    <w:rsid w:val="008D4F77"/>
    <w:rsid w:val="008D4FA6"/>
    <w:rsid w:val="008D5125"/>
    <w:rsid w:val="008D51AF"/>
    <w:rsid w:val="008D5219"/>
    <w:rsid w:val="008D52CB"/>
    <w:rsid w:val="008D5350"/>
    <w:rsid w:val="008D539D"/>
    <w:rsid w:val="008D53DF"/>
    <w:rsid w:val="008D5669"/>
    <w:rsid w:val="008D5678"/>
    <w:rsid w:val="008D5757"/>
    <w:rsid w:val="008D5864"/>
    <w:rsid w:val="008D5981"/>
    <w:rsid w:val="008D5982"/>
    <w:rsid w:val="008D5A1B"/>
    <w:rsid w:val="008D5AC4"/>
    <w:rsid w:val="008D5B41"/>
    <w:rsid w:val="008D5B6A"/>
    <w:rsid w:val="008D5BA1"/>
    <w:rsid w:val="008D5C72"/>
    <w:rsid w:val="008D5C86"/>
    <w:rsid w:val="008D5CC4"/>
    <w:rsid w:val="008D5E10"/>
    <w:rsid w:val="008D5F0D"/>
    <w:rsid w:val="008D5F2F"/>
    <w:rsid w:val="008D5FA6"/>
    <w:rsid w:val="008D5FBA"/>
    <w:rsid w:val="008D5FED"/>
    <w:rsid w:val="008D6074"/>
    <w:rsid w:val="008D6133"/>
    <w:rsid w:val="008D6212"/>
    <w:rsid w:val="008D636B"/>
    <w:rsid w:val="008D6552"/>
    <w:rsid w:val="008D65FD"/>
    <w:rsid w:val="008D667C"/>
    <w:rsid w:val="008D66BF"/>
    <w:rsid w:val="008D677A"/>
    <w:rsid w:val="008D6865"/>
    <w:rsid w:val="008D689C"/>
    <w:rsid w:val="008D68BD"/>
    <w:rsid w:val="008D68F3"/>
    <w:rsid w:val="008D6948"/>
    <w:rsid w:val="008D6A39"/>
    <w:rsid w:val="008D6CDE"/>
    <w:rsid w:val="008D6D12"/>
    <w:rsid w:val="008D6D15"/>
    <w:rsid w:val="008D6DDB"/>
    <w:rsid w:val="008D6DE5"/>
    <w:rsid w:val="008D6E95"/>
    <w:rsid w:val="008D6EB8"/>
    <w:rsid w:val="008D6EE9"/>
    <w:rsid w:val="008D6EF5"/>
    <w:rsid w:val="008D6F05"/>
    <w:rsid w:val="008D6F8E"/>
    <w:rsid w:val="008D6FFB"/>
    <w:rsid w:val="008D7093"/>
    <w:rsid w:val="008D709E"/>
    <w:rsid w:val="008D70FE"/>
    <w:rsid w:val="008D726C"/>
    <w:rsid w:val="008D72ED"/>
    <w:rsid w:val="008D7428"/>
    <w:rsid w:val="008D7454"/>
    <w:rsid w:val="008D7574"/>
    <w:rsid w:val="008D75A9"/>
    <w:rsid w:val="008D75B6"/>
    <w:rsid w:val="008D75F1"/>
    <w:rsid w:val="008D760A"/>
    <w:rsid w:val="008D76EA"/>
    <w:rsid w:val="008D7738"/>
    <w:rsid w:val="008D7776"/>
    <w:rsid w:val="008D77BE"/>
    <w:rsid w:val="008D786A"/>
    <w:rsid w:val="008D78B9"/>
    <w:rsid w:val="008D7923"/>
    <w:rsid w:val="008D7934"/>
    <w:rsid w:val="008D7A12"/>
    <w:rsid w:val="008D7A7D"/>
    <w:rsid w:val="008D7A80"/>
    <w:rsid w:val="008D7A9E"/>
    <w:rsid w:val="008D7AEB"/>
    <w:rsid w:val="008D7B2C"/>
    <w:rsid w:val="008D7B87"/>
    <w:rsid w:val="008D7B9B"/>
    <w:rsid w:val="008D7C6C"/>
    <w:rsid w:val="008D7DAE"/>
    <w:rsid w:val="008D7DEF"/>
    <w:rsid w:val="008D7E5D"/>
    <w:rsid w:val="008D7E7F"/>
    <w:rsid w:val="008D7E89"/>
    <w:rsid w:val="008D7F11"/>
    <w:rsid w:val="008D7F50"/>
    <w:rsid w:val="008DB1D9"/>
    <w:rsid w:val="008E0047"/>
    <w:rsid w:val="008E0084"/>
    <w:rsid w:val="008E00EC"/>
    <w:rsid w:val="008E0116"/>
    <w:rsid w:val="008E0255"/>
    <w:rsid w:val="008E0278"/>
    <w:rsid w:val="008E0296"/>
    <w:rsid w:val="008E030C"/>
    <w:rsid w:val="008E034E"/>
    <w:rsid w:val="008E0373"/>
    <w:rsid w:val="008E0485"/>
    <w:rsid w:val="008E04FC"/>
    <w:rsid w:val="008E0514"/>
    <w:rsid w:val="008E0537"/>
    <w:rsid w:val="008E0631"/>
    <w:rsid w:val="008E0749"/>
    <w:rsid w:val="008E0859"/>
    <w:rsid w:val="008E0894"/>
    <w:rsid w:val="008E09AB"/>
    <w:rsid w:val="008E09C4"/>
    <w:rsid w:val="008E0B1E"/>
    <w:rsid w:val="008E0BD4"/>
    <w:rsid w:val="008E0BF0"/>
    <w:rsid w:val="008E0C08"/>
    <w:rsid w:val="008E0CC5"/>
    <w:rsid w:val="008E0CE2"/>
    <w:rsid w:val="008E0E1A"/>
    <w:rsid w:val="008E0E6F"/>
    <w:rsid w:val="008E15F6"/>
    <w:rsid w:val="008E160F"/>
    <w:rsid w:val="008E161C"/>
    <w:rsid w:val="008E16B4"/>
    <w:rsid w:val="008E16DB"/>
    <w:rsid w:val="008E1706"/>
    <w:rsid w:val="008E17B4"/>
    <w:rsid w:val="008E17EB"/>
    <w:rsid w:val="008E18AB"/>
    <w:rsid w:val="008E1915"/>
    <w:rsid w:val="008E194F"/>
    <w:rsid w:val="008E1A5C"/>
    <w:rsid w:val="008E1AAD"/>
    <w:rsid w:val="008E1B45"/>
    <w:rsid w:val="008E1C54"/>
    <w:rsid w:val="008E1CFC"/>
    <w:rsid w:val="008E1E93"/>
    <w:rsid w:val="008E1F1E"/>
    <w:rsid w:val="008E1F20"/>
    <w:rsid w:val="008E1F6E"/>
    <w:rsid w:val="008E2049"/>
    <w:rsid w:val="008E2060"/>
    <w:rsid w:val="008E20AB"/>
    <w:rsid w:val="008E20C2"/>
    <w:rsid w:val="008E21AA"/>
    <w:rsid w:val="008E2417"/>
    <w:rsid w:val="008E2420"/>
    <w:rsid w:val="008E2482"/>
    <w:rsid w:val="008E24A8"/>
    <w:rsid w:val="008E24FB"/>
    <w:rsid w:val="008E25E2"/>
    <w:rsid w:val="008E2633"/>
    <w:rsid w:val="008E274F"/>
    <w:rsid w:val="008E2791"/>
    <w:rsid w:val="008E27F3"/>
    <w:rsid w:val="008E2ACA"/>
    <w:rsid w:val="008E2C31"/>
    <w:rsid w:val="008E2CCD"/>
    <w:rsid w:val="008E2D0F"/>
    <w:rsid w:val="008E2DF5"/>
    <w:rsid w:val="008E2E5B"/>
    <w:rsid w:val="008E2ED3"/>
    <w:rsid w:val="008E2F96"/>
    <w:rsid w:val="008E2FD7"/>
    <w:rsid w:val="008E30C4"/>
    <w:rsid w:val="008E32B9"/>
    <w:rsid w:val="008E32BB"/>
    <w:rsid w:val="008E3379"/>
    <w:rsid w:val="008E3385"/>
    <w:rsid w:val="008E33DA"/>
    <w:rsid w:val="008E343F"/>
    <w:rsid w:val="008E3466"/>
    <w:rsid w:val="008E3570"/>
    <w:rsid w:val="008E358D"/>
    <w:rsid w:val="008E35CA"/>
    <w:rsid w:val="008E35F5"/>
    <w:rsid w:val="008E3601"/>
    <w:rsid w:val="008E3669"/>
    <w:rsid w:val="008E36EC"/>
    <w:rsid w:val="008E36F7"/>
    <w:rsid w:val="008E3717"/>
    <w:rsid w:val="008E38AE"/>
    <w:rsid w:val="008E38EE"/>
    <w:rsid w:val="008E3967"/>
    <w:rsid w:val="008E3968"/>
    <w:rsid w:val="008E3A0F"/>
    <w:rsid w:val="008E3A57"/>
    <w:rsid w:val="008E3AF8"/>
    <w:rsid w:val="008E3C14"/>
    <w:rsid w:val="008E3C32"/>
    <w:rsid w:val="008E3D0F"/>
    <w:rsid w:val="008E3D99"/>
    <w:rsid w:val="008E3DF2"/>
    <w:rsid w:val="008E3EB8"/>
    <w:rsid w:val="008E4025"/>
    <w:rsid w:val="008E40D4"/>
    <w:rsid w:val="008E40D9"/>
    <w:rsid w:val="008E4116"/>
    <w:rsid w:val="008E4135"/>
    <w:rsid w:val="008E419B"/>
    <w:rsid w:val="008E423F"/>
    <w:rsid w:val="008E43B4"/>
    <w:rsid w:val="008E440F"/>
    <w:rsid w:val="008E44B8"/>
    <w:rsid w:val="008E44FB"/>
    <w:rsid w:val="008E4669"/>
    <w:rsid w:val="008E4686"/>
    <w:rsid w:val="008E47D2"/>
    <w:rsid w:val="008E482A"/>
    <w:rsid w:val="008E482E"/>
    <w:rsid w:val="008E4851"/>
    <w:rsid w:val="008E485C"/>
    <w:rsid w:val="008E48D1"/>
    <w:rsid w:val="008E4A2B"/>
    <w:rsid w:val="008E4A2E"/>
    <w:rsid w:val="008E4B47"/>
    <w:rsid w:val="008E4BA2"/>
    <w:rsid w:val="008E4BC6"/>
    <w:rsid w:val="008E4C15"/>
    <w:rsid w:val="008E4C4A"/>
    <w:rsid w:val="008E4C5A"/>
    <w:rsid w:val="008E4C77"/>
    <w:rsid w:val="008E4D21"/>
    <w:rsid w:val="008E4D25"/>
    <w:rsid w:val="008E4D51"/>
    <w:rsid w:val="008E4DB4"/>
    <w:rsid w:val="008E4E64"/>
    <w:rsid w:val="008E4F90"/>
    <w:rsid w:val="008E50F6"/>
    <w:rsid w:val="008E5106"/>
    <w:rsid w:val="008E513C"/>
    <w:rsid w:val="008E51E9"/>
    <w:rsid w:val="008E51FB"/>
    <w:rsid w:val="008E51FE"/>
    <w:rsid w:val="008E5636"/>
    <w:rsid w:val="008E571F"/>
    <w:rsid w:val="008E573C"/>
    <w:rsid w:val="008E583D"/>
    <w:rsid w:val="008E5969"/>
    <w:rsid w:val="008E5B16"/>
    <w:rsid w:val="008E5B29"/>
    <w:rsid w:val="008E5C00"/>
    <w:rsid w:val="008E5C01"/>
    <w:rsid w:val="008E5D0E"/>
    <w:rsid w:val="008E5DEC"/>
    <w:rsid w:val="008E5E69"/>
    <w:rsid w:val="008E5EBD"/>
    <w:rsid w:val="008E5FA8"/>
    <w:rsid w:val="008E5FB3"/>
    <w:rsid w:val="008E5FB4"/>
    <w:rsid w:val="008E5FCD"/>
    <w:rsid w:val="008E624C"/>
    <w:rsid w:val="008E6265"/>
    <w:rsid w:val="008E6397"/>
    <w:rsid w:val="008E6538"/>
    <w:rsid w:val="008E6685"/>
    <w:rsid w:val="008E67C1"/>
    <w:rsid w:val="008E6825"/>
    <w:rsid w:val="008E686C"/>
    <w:rsid w:val="008E6908"/>
    <w:rsid w:val="008E6927"/>
    <w:rsid w:val="008E69F3"/>
    <w:rsid w:val="008E6B72"/>
    <w:rsid w:val="008E6B7F"/>
    <w:rsid w:val="008E6C29"/>
    <w:rsid w:val="008E6C78"/>
    <w:rsid w:val="008E6E02"/>
    <w:rsid w:val="008E6E43"/>
    <w:rsid w:val="008E6EAE"/>
    <w:rsid w:val="008E7086"/>
    <w:rsid w:val="008E715C"/>
    <w:rsid w:val="008E71B5"/>
    <w:rsid w:val="008E7225"/>
    <w:rsid w:val="008E7236"/>
    <w:rsid w:val="008E7380"/>
    <w:rsid w:val="008E738F"/>
    <w:rsid w:val="008E75F9"/>
    <w:rsid w:val="008E7A70"/>
    <w:rsid w:val="008E7AB0"/>
    <w:rsid w:val="008E7B65"/>
    <w:rsid w:val="008E7B7C"/>
    <w:rsid w:val="008E7BAA"/>
    <w:rsid w:val="008E7C2C"/>
    <w:rsid w:val="008E7CBE"/>
    <w:rsid w:val="008E7D9D"/>
    <w:rsid w:val="008E7E5E"/>
    <w:rsid w:val="008E9E24"/>
    <w:rsid w:val="008F002F"/>
    <w:rsid w:val="008F0045"/>
    <w:rsid w:val="008F0047"/>
    <w:rsid w:val="008F0131"/>
    <w:rsid w:val="008F01F5"/>
    <w:rsid w:val="008F029F"/>
    <w:rsid w:val="008F0358"/>
    <w:rsid w:val="008F05DB"/>
    <w:rsid w:val="008F05ED"/>
    <w:rsid w:val="008F0789"/>
    <w:rsid w:val="008F07A9"/>
    <w:rsid w:val="008F07B3"/>
    <w:rsid w:val="008F07B8"/>
    <w:rsid w:val="008F089D"/>
    <w:rsid w:val="008F09A2"/>
    <w:rsid w:val="008F0A86"/>
    <w:rsid w:val="008F0B59"/>
    <w:rsid w:val="008F0B95"/>
    <w:rsid w:val="008F0DA9"/>
    <w:rsid w:val="008F0DDA"/>
    <w:rsid w:val="008F0E16"/>
    <w:rsid w:val="008F0F9E"/>
    <w:rsid w:val="008F12B0"/>
    <w:rsid w:val="008F141E"/>
    <w:rsid w:val="008F1481"/>
    <w:rsid w:val="008F16EE"/>
    <w:rsid w:val="008F1775"/>
    <w:rsid w:val="008F17BA"/>
    <w:rsid w:val="008F195E"/>
    <w:rsid w:val="008F19CE"/>
    <w:rsid w:val="008F1A3E"/>
    <w:rsid w:val="008F1B68"/>
    <w:rsid w:val="008F1C00"/>
    <w:rsid w:val="008F1C59"/>
    <w:rsid w:val="008F1D3F"/>
    <w:rsid w:val="008F1DCF"/>
    <w:rsid w:val="008F1E0E"/>
    <w:rsid w:val="008F1FDB"/>
    <w:rsid w:val="008F2015"/>
    <w:rsid w:val="008F2036"/>
    <w:rsid w:val="008F205B"/>
    <w:rsid w:val="008F2132"/>
    <w:rsid w:val="008F21BB"/>
    <w:rsid w:val="008F2260"/>
    <w:rsid w:val="008F22D9"/>
    <w:rsid w:val="008F2314"/>
    <w:rsid w:val="008F2336"/>
    <w:rsid w:val="008F2798"/>
    <w:rsid w:val="008F2893"/>
    <w:rsid w:val="008F28E5"/>
    <w:rsid w:val="008F2A8E"/>
    <w:rsid w:val="008F2AA2"/>
    <w:rsid w:val="008F2B98"/>
    <w:rsid w:val="008F2BFA"/>
    <w:rsid w:val="008F2CD4"/>
    <w:rsid w:val="008F2CEE"/>
    <w:rsid w:val="008F2DDF"/>
    <w:rsid w:val="008F2E84"/>
    <w:rsid w:val="008F2EBE"/>
    <w:rsid w:val="008F300F"/>
    <w:rsid w:val="008F318C"/>
    <w:rsid w:val="008F3265"/>
    <w:rsid w:val="008F327C"/>
    <w:rsid w:val="008F32DC"/>
    <w:rsid w:val="008F32DE"/>
    <w:rsid w:val="008F32F3"/>
    <w:rsid w:val="008F33AF"/>
    <w:rsid w:val="008F34F1"/>
    <w:rsid w:val="008F3505"/>
    <w:rsid w:val="008F373F"/>
    <w:rsid w:val="008F374F"/>
    <w:rsid w:val="008F3789"/>
    <w:rsid w:val="008F37C8"/>
    <w:rsid w:val="008F39F8"/>
    <w:rsid w:val="008F39FF"/>
    <w:rsid w:val="008F3B27"/>
    <w:rsid w:val="008F3C2F"/>
    <w:rsid w:val="008F3C40"/>
    <w:rsid w:val="008F3DB8"/>
    <w:rsid w:val="008F3E9F"/>
    <w:rsid w:val="008F3EAA"/>
    <w:rsid w:val="008F3ED8"/>
    <w:rsid w:val="008F3FBC"/>
    <w:rsid w:val="008F3FEF"/>
    <w:rsid w:val="008F4041"/>
    <w:rsid w:val="008F4042"/>
    <w:rsid w:val="008F413B"/>
    <w:rsid w:val="008F4210"/>
    <w:rsid w:val="008F426F"/>
    <w:rsid w:val="008F42C1"/>
    <w:rsid w:val="008F42E4"/>
    <w:rsid w:val="008F446B"/>
    <w:rsid w:val="008F44BA"/>
    <w:rsid w:val="008F451E"/>
    <w:rsid w:val="008F45E0"/>
    <w:rsid w:val="008F485B"/>
    <w:rsid w:val="008F48F3"/>
    <w:rsid w:val="008F49FC"/>
    <w:rsid w:val="008F4A97"/>
    <w:rsid w:val="008F4AF3"/>
    <w:rsid w:val="008F4C7C"/>
    <w:rsid w:val="008F4CCA"/>
    <w:rsid w:val="008F4CF3"/>
    <w:rsid w:val="008F4D25"/>
    <w:rsid w:val="008F4D5F"/>
    <w:rsid w:val="008F4E24"/>
    <w:rsid w:val="008F4EA4"/>
    <w:rsid w:val="008F509B"/>
    <w:rsid w:val="008F516A"/>
    <w:rsid w:val="008F51A3"/>
    <w:rsid w:val="008F51DB"/>
    <w:rsid w:val="008F5264"/>
    <w:rsid w:val="008F5269"/>
    <w:rsid w:val="008F527D"/>
    <w:rsid w:val="008F52D1"/>
    <w:rsid w:val="008F53B2"/>
    <w:rsid w:val="008F53EB"/>
    <w:rsid w:val="008F53FE"/>
    <w:rsid w:val="008F559B"/>
    <w:rsid w:val="008F5688"/>
    <w:rsid w:val="008F569F"/>
    <w:rsid w:val="008F56A2"/>
    <w:rsid w:val="008F5721"/>
    <w:rsid w:val="008F575D"/>
    <w:rsid w:val="008F5870"/>
    <w:rsid w:val="008F5982"/>
    <w:rsid w:val="008F5990"/>
    <w:rsid w:val="008F5AE5"/>
    <w:rsid w:val="008F5B1F"/>
    <w:rsid w:val="008F5B2C"/>
    <w:rsid w:val="008F5D14"/>
    <w:rsid w:val="008F5D37"/>
    <w:rsid w:val="008F5D93"/>
    <w:rsid w:val="008F5FA3"/>
    <w:rsid w:val="008F5FA8"/>
    <w:rsid w:val="008F5FE4"/>
    <w:rsid w:val="008F5FF1"/>
    <w:rsid w:val="008F602A"/>
    <w:rsid w:val="008F6107"/>
    <w:rsid w:val="008F613E"/>
    <w:rsid w:val="008F6152"/>
    <w:rsid w:val="008F6195"/>
    <w:rsid w:val="008F623E"/>
    <w:rsid w:val="008F6377"/>
    <w:rsid w:val="008F651A"/>
    <w:rsid w:val="008F652E"/>
    <w:rsid w:val="008F6565"/>
    <w:rsid w:val="008F656F"/>
    <w:rsid w:val="008F661E"/>
    <w:rsid w:val="008F6652"/>
    <w:rsid w:val="008F6674"/>
    <w:rsid w:val="008F6675"/>
    <w:rsid w:val="008F6681"/>
    <w:rsid w:val="008F685F"/>
    <w:rsid w:val="008F6872"/>
    <w:rsid w:val="008F6980"/>
    <w:rsid w:val="008F6AFD"/>
    <w:rsid w:val="008F6B6A"/>
    <w:rsid w:val="008F6B9E"/>
    <w:rsid w:val="008F6C0B"/>
    <w:rsid w:val="008F6C1C"/>
    <w:rsid w:val="008F6C2F"/>
    <w:rsid w:val="008F6C64"/>
    <w:rsid w:val="008F6C82"/>
    <w:rsid w:val="008F6DA1"/>
    <w:rsid w:val="008F6F50"/>
    <w:rsid w:val="008F6F7D"/>
    <w:rsid w:val="008F6FAA"/>
    <w:rsid w:val="008F6FF1"/>
    <w:rsid w:val="008F7093"/>
    <w:rsid w:val="008F70A6"/>
    <w:rsid w:val="008F71D0"/>
    <w:rsid w:val="008F7208"/>
    <w:rsid w:val="008F72C9"/>
    <w:rsid w:val="008F7377"/>
    <w:rsid w:val="008F737F"/>
    <w:rsid w:val="008F74A4"/>
    <w:rsid w:val="008F75A3"/>
    <w:rsid w:val="008F760D"/>
    <w:rsid w:val="008F768B"/>
    <w:rsid w:val="008F773C"/>
    <w:rsid w:val="008F781B"/>
    <w:rsid w:val="008F781F"/>
    <w:rsid w:val="008F7986"/>
    <w:rsid w:val="008F79CD"/>
    <w:rsid w:val="008F7B6A"/>
    <w:rsid w:val="008F7BF8"/>
    <w:rsid w:val="008F7C5C"/>
    <w:rsid w:val="008F7C74"/>
    <w:rsid w:val="008F7C7D"/>
    <w:rsid w:val="008F7CAD"/>
    <w:rsid w:val="008F7D9D"/>
    <w:rsid w:val="008F7DBB"/>
    <w:rsid w:val="008F7DDA"/>
    <w:rsid w:val="008F7E98"/>
    <w:rsid w:val="008FBEA7"/>
    <w:rsid w:val="00900083"/>
    <w:rsid w:val="00900086"/>
    <w:rsid w:val="0090009E"/>
    <w:rsid w:val="009000A4"/>
    <w:rsid w:val="009000BC"/>
    <w:rsid w:val="0090010F"/>
    <w:rsid w:val="00900193"/>
    <w:rsid w:val="00900231"/>
    <w:rsid w:val="00900360"/>
    <w:rsid w:val="00900517"/>
    <w:rsid w:val="00900637"/>
    <w:rsid w:val="0090064E"/>
    <w:rsid w:val="009006F9"/>
    <w:rsid w:val="00900729"/>
    <w:rsid w:val="00900730"/>
    <w:rsid w:val="00900850"/>
    <w:rsid w:val="00900960"/>
    <w:rsid w:val="0090097A"/>
    <w:rsid w:val="009009A5"/>
    <w:rsid w:val="009009D5"/>
    <w:rsid w:val="00900A0E"/>
    <w:rsid w:val="00900B19"/>
    <w:rsid w:val="00900BB5"/>
    <w:rsid w:val="00900BC6"/>
    <w:rsid w:val="00900BE3"/>
    <w:rsid w:val="00900BF8"/>
    <w:rsid w:val="00900C8D"/>
    <w:rsid w:val="00900D06"/>
    <w:rsid w:val="00900DA5"/>
    <w:rsid w:val="00900E37"/>
    <w:rsid w:val="00901013"/>
    <w:rsid w:val="0090108A"/>
    <w:rsid w:val="009010CA"/>
    <w:rsid w:val="00901115"/>
    <w:rsid w:val="0090121E"/>
    <w:rsid w:val="0090126D"/>
    <w:rsid w:val="009012D4"/>
    <w:rsid w:val="00901372"/>
    <w:rsid w:val="00901374"/>
    <w:rsid w:val="00901385"/>
    <w:rsid w:val="00901453"/>
    <w:rsid w:val="00901525"/>
    <w:rsid w:val="00901584"/>
    <w:rsid w:val="00901589"/>
    <w:rsid w:val="00901634"/>
    <w:rsid w:val="00901658"/>
    <w:rsid w:val="009016CD"/>
    <w:rsid w:val="00901745"/>
    <w:rsid w:val="00901A3F"/>
    <w:rsid w:val="00901A72"/>
    <w:rsid w:val="00901B46"/>
    <w:rsid w:val="00901B6F"/>
    <w:rsid w:val="00901BDF"/>
    <w:rsid w:val="00901BEF"/>
    <w:rsid w:val="00901C20"/>
    <w:rsid w:val="00901CB2"/>
    <w:rsid w:val="00901D7B"/>
    <w:rsid w:val="00901F47"/>
    <w:rsid w:val="00902008"/>
    <w:rsid w:val="009020B5"/>
    <w:rsid w:val="009021B5"/>
    <w:rsid w:val="009021C5"/>
    <w:rsid w:val="0090226F"/>
    <w:rsid w:val="009023BC"/>
    <w:rsid w:val="0090240C"/>
    <w:rsid w:val="00902517"/>
    <w:rsid w:val="009025FB"/>
    <w:rsid w:val="00902692"/>
    <w:rsid w:val="009026DD"/>
    <w:rsid w:val="00902A9C"/>
    <w:rsid w:val="00902B6B"/>
    <w:rsid w:val="00902DD5"/>
    <w:rsid w:val="00902E9C"/>
    <w:rsid w:val="00902F10"/>
    <w:rsid w:val="00902F8A"/>
    <w:rsid w:val="00902FAA"/>
    <w:rsid w:val="00903234"/>
    <w:rsid w:val="009032B3"/>
    <w:rsid w:val="0090344B"/>
    <w:rsid w:val="009034A1"/>
    <w:rsid w:val="009034C9"/>
    <w:rsid w:val="009035E4"/>
    <w:rsid w:val="00903826"/>
    <w:rsid w:val="009038A9"/>
    <w:rsid w:val="009038C4"/>
    <w:rsid w:val="0090397A"/>
    <w:rsid w:val="00903A2C"/>
    <w:rsid w:val="00903AD6"/>
    <w:rsid w:val="00903B22"/>
    <w:rsid w:val="00903DA6"/>
    <w:rsid w:val="00903F7F"/>
    <w:rsid w:val="009040C6"/>
    <w:rsid w:val="0090410E"/>
    <w:rsid w:val="009042A5"/>
    <w:rsid w:val="009043B2"/>
    <w:rsid w:val="009043F3"/>
    <w:rsid w:val="009046B7"/>
    <w:rsid w:val="009047EF"/>
    <w:rsid w:val="00904844"/>
    <w:rsid w:val="0090491A"/>
    <w:rsid w:val="00904959"/>
    <w:rsid w:val="00904A85"/>
    <w:rsid w:val="00904AD7"/>
    <w:rsid w:val="00904B44"/>
    <w:rsid w:val="00904C4D"/>
    <w:rsid w:val="00904CEB"/>
    <w:rsid w:val="00904D04"/>
    <w:rsid w:val="00904DE1"/>
    <w:rsid w:val="00904F91"/>
    <w:rsid w:val="00905011"/>
    <w:rsid w:val="009050DB"/>
    <w:rsid w:val="00905109"/>
    <w:rsid w:val="009051F7"/>
    <w:rsid w:val="0090524D"/>
    <w:rsid w:val="0090531F"/>
    <w:rsid w:val="0090533A"/>
    <w:rsid w:val="0090560A"/>
    <w:rsid w:val="00905610"/>
    <w:rsid w:val="00905671"/>
    <w:rsid w:val="00905680"/>
    <w:rsid w:val="0090569F"/>
    <w:rsid w:val="0090574A"/>
    <w:rsid w:val="0090576F"/>
    <w:rsid w:val="0090583A"/>
    <w:rsid w:val="009059D6"/>
    <w:rsid w:val="00905A18"/>
    <w:rsid w:val="00905B43"/>
    <w:rsid w:val="00905C1D"/>
    <w:rsid w:val="00905CC9"/>
    <w:rsid w:val="00905D77"/>
    <w:rsid w:val="00905DCE"/>
    <w:rsid w:val="00905E5B"/>
    <w:rsid w:val="00905F5C"/>
    <w:rsid w:val="00905F85"/>
    <w:rsid w:val="00905FE4"/>
    <w:rsid w:val="00905FF2"/>
    <w:rsid w:val="00906008"/>
    <w:rsid w:val="00906044"/>
    <w:rsid w:val="00906078"/>
    <w:rsid w:val="009060FE"/>
    <w:rsid w:val="0090615D"/>
    <w:rsid w:val="009061D3"/>
    <w:rsid w:val="00906256"/>
    <w:rsid w:val="00906307"/>
    <w:rsid w:val="0090631A"/>
    <w:rsid w:val="009063A4"/>
    <w:rsid w:val="009063F7"/>
    <w:rsid w:val="0090641A"/>
    <w:rsid w:val="0090641B"/>
    <w:rsid w:val="0090648B"/>
    <w:rsid w:val="009064D8"/>
    <w:rsid w:val="0090650D"/>
    <w:rsid w:val="0090680C"/>
    <w:rsid w:val="00906831"/>
    <w:rsid w:val="0090686F"/>
    <w:rsid w:val="009068A3"/>
    <w:rsid w:val="009068F1"/>
    <w:rsid w:val="00906AA5"/>
    <w:rsid w:val="00906B69"/>
    <w:rsid w:val="00906BFC"/>
    <w:rsid w:val="00906C57"/>
    <w:rsid w:val="00906C6B"/>
    <w:rsid w:val="00906D58"/>
    <w:rsid w:val="00906ED0"/>
    <w:rsid w:val="00906EFE"/>
    <w:rsid w:val="00906F65"/>
    <w:rsid w:val="00907032"/>
    <w:rsid w:val="0090714C"/>
    <w:rsid w:val="009071BB"/>
    <w:rsid w:val="00907212"/>
    <w:rsid w:val="0090728E"/>
    <w:rsid w:val="009072D5"/>
    <w:rsid w:val="009073C6"/>
    <w:rsid w:val="00907412"/>
    <w:rsid w:val="00907479"/>
    <w:rsid w:val="009074A0"/>
    <w:rsid w:val="009074BF"/>
    <w:rsid w:val="00907519"/>
    <w:rsid w:val="00907567"/>
    <w:rsid w:val="0090759F"/>
    <w:rsid w:val="00907755"/>
    <w:rsid w:val="00907768"/>
    <w:rsid w:val="009078BC"/>
    <w:rsid w:val="0090798F"/>
    <w:rsid w:val="00907A01"/>
    <w:rsid w:val="00907B88"/>
    <w:rsid w:val="00907C1A"/>
    <w:rsid w:val="00907C39"/>
    <w:rsid w:val="00907D1C"/>
    <w:rsid w:val="00907D66"/>
    <w:rsid w:val="00907DF9"/>
    <w:rsid w:val="00907E05"/>
    <w:rsid w:val="00907FEE"/>
    <w:rsid w:val="009100C9"/>
    <w:rsid w:val="009100CB"/>
    <w:rsid w:val="009100ED"/>
    <w:rsid w:val="00910116"/>
    <w:rsid w:val="009102BA"/>
    <w:rsid w:val="009102D9"/>
    <w:rsid w:val="00910350"/>
    <w:rsid w:val="00910378"/>
    <w:rsid w:val="0091058E"/>
    <w:rsid w:val="00910604"/>
    <w:rsid w:val="009106E7"/>
    <w:rsid w:val="00910755"/>
    <w:rsid w:val="009108DD"/>
    <w:rsid w:val="0091099E"/>
    <w:rsid w:val="00910A68"/>
    <w:rsid w:val="00910BAF"/>
    <w:rsid w:val="00910CCA"/>
    <w:rsid w:val="00910D34"/>
    <w:rsid w:val="00910D75"/>
    <w:rsid w:val="00910DD1"/>
    <w:rsid w:val="00910EC0"/>
    <w:rsid w:val="00910F85"/>
    <w:rsid w:val="00911029"/>
    <w:rsid w:val="00911097"/>
    <w:rsid w:val="009110ED"/>
    <w:rsid w:val="009112B7"/>
    <w:rsid w:val="009112F7"/>
    <w:rsid w:val="00911399"/>
    <w:rsid w:val="009113C7"/>
    <w:rsid w:val="009113D1"/>
    <w:rsid w:val="009113DF"/>
    <w:rsid w:val="00911441"/>
    <w:rsid w:val="00911533"/>
    <w:rsid w:val="009115DE"/>
    <w:rsid w:val="0091164D"/>
    <w:rsid w:val="009116B5"/>
    <w:rsid w:val="00911770"/>
    <w:rsid w:val="009119D9"/>
    <w:rsid w:val="00911A13"/>
    <w:rsid w:val="00911A39"/>
    <w:rsid w:val="00911ADC"/>
    <w:rsid w:val="00911E12"/>
    <w:rsid w:val="00911EA6"/>
    <w:rsid w:val="00911ED0"/>
    <w:rsid w:val="0091203D"/>
    <w:rsid w:val="00912150"/>
    <w:rsid w:val="00912207"/>
    <w:rsid w:val="00912285"/>
    <w:rsid w:val="00912343"/>
    <w:rsid w:val="00912440"/>
    <w:rsid w:val="00912657"/>
    <w:rsid w:val="009126EC"/>
    <w:rsid w:val="009127DD"/>
    <w:rsid w:val="00912819"/>
    <w:rsid w:val="00912A3E"/>
    <w:rsid w:val="00912AD8"/>
    <w:rsid w:val="00912B54"/>
    <w:rsid w:val="00912BC2"/>
    <w:rsid w:val="00912C12"/>
    <w:rsid w:val="00912C48"/>
    <w:rsid w:val="00912C8C"/>
    <w:rsid w:val="00912DC7"/>
    <w:rsid w:val="00912E47"/>
    <w:rsid w:val="00912E8D"/>
    <w:rsid w:val="009130FF"/>
    <w:rsid w:val="00913164"/>
    <w:rsid w:val="009131AE"/>
    <w:rsid w:val="009131FD"/>
    <w:rsid w:val="00913208"/>
    <w:rsid w:val="009132DC"/>
    <w:rsid w:val="009133F4"/>
    <w:rsid w:val="00913403"/>
    <w:rsid w:val="009134B3"/>
    <w:rsid w:val="0091375E"/>
    <w:rsid w:val="00913785"/>
    <w:rsid w:val="009137E1"/>
    <w:rsid w:val="00913810"/>
    <w:rsid w:val="0091395E"/>
    <w:rsid w:val="009139A3"/>
    <w:rsid w:val="00913A3E"/>
    <w:rsid w:val="00913A45"/>
    <w:rsid w:val="00913AF4"/>
    <w:rsid w:val="00913B4C"/>
    <w:rsid w:val="00913BEF"/>
    <w:rsid w:val="00913D52"/>
    <w:rsid w:val="00913E5B"/>
    <w:rsid w:val="00913EAB"/>
    <w:rsid w:val="00913ECE"/>
    <w:rsid w:val="00913ED3"/>
    <w:rsid w:val="00913F07"/>
    <w:rsid w:val="00913F42"/>
    <w:rsid w:val="00913FB5"/>
    <w:rsid w:val="009140FA"/>
    <w:rsid w:val="0091417F"/>
    <w:rsid w:val="009141E4"/>
    <w:rsid w:val="009141F1"/>
    <w:rsid w:val="0091420A"/>
    <w:rsid w:val="0091426D"/>
    <w:rsid w:val="009142AC"/>
    <w:rsid w:val="009142E3"/>
    <w:rsid w:val="00914379"/>
    <w:rsid w:val="00914490"/>
    <w:rsid w:val="009144CB"/>
    <w:rsid w:val="009144E1"/>
    <w:rsid w:val="009144F4"/>
    <w:rsid w:val="00914599"/>
    <w:rsid w:val="00914648"/>
    <w:rsid w:val="0091466E"/>
    <w:rsid w:val="00914962"/>
    <w:rsid w:val="00914A40"/>
    <w:rsid w:val="00914AE6"/>
    <w:rsid w:val="00914B03"/>
    <w:rsid w:val="00914C16"/>
    <w:rsid w:val="00914C46"/>
    <w:rsid w:val="00914CDE"/>
    <w:rsid w:val="00914EFD"/>
    <w:rsid w:val="00914F21"/>
    <w:rsid w:val="009150AF"/>
    <w:rsid w:val="009151B4"/>
    <w:rsid w:val="009151EE"/>
    <w:rsid w:val="00915341"/>
    <w:rsid w:val="009153A3"/>
    <w:rsid w:val="009153F0"/>
    <w:rsid w:val="00915585"/>
    <w:rsid w:val="009155F5"/>
    <w:rsid w:val="0091565A"/>
    <w:rsid w:val="0091566C"/>
    <w:rsid w:val="009156B8"/>
    <w:rsid w:val="009156CA"/>
    <w:rsid w:val="00915744"/>
    <w:rsid w:val="009157CB"/>
    <w:rsid w:val="00915849"/>
    <w:rsid w:val="00915868"/>
    <w:rsid w:val="00915897"/>
    <w:rsid w:val="00915927"/>
    <w:rsid w:val="00915928"/>
    <w:rsid w:val="00915C4A"/>
    <w:rsid w:val="00915D99"/>
    <w:rsid w:val="00915DB6"/>
    <w:rsid w:val="00915DC2"/>
    <w:rsid w:val="00915DFA"/>
    <w:rsid w:val="00915E0F"/>
    <w:rsid w:val="00915EEF"/>
    <w:rsid w:val="00915EF5"/>
    <w:rsid w:val="00916097"/>
    <w:rsid w:val="009160B3"/>
    <w:rsid w:val="0091610F"/>
    <w:rsid w:val="00916153"/>
    <w:rsid w:val="0091615E"/>
    <w:rsid w:val="0091616E"/>
    <w:rsid w:val="009161C8"/>
    <w:rsid w:val="009161E6"/>
    <w:rsid w:val="009161F6"/>
    <w:rsid w:val="00916320"/>
    <w:rsid w:val="009164CA"/>
    <w:rsid w:val="0091664B"/>
    <w:rsid w:val="009166DD"/>
    <w:rsid w:val="009166E9"/>
    <w:rsid w:val="00916714"/>
    <w:rsid w:val="0091686E"/>
    <w:rsid w:val="00916923"/>
    <w:rsid w:val="00916A33"/>
    <w:rsid w:val="00916BC8"/>
    <w:rsid w:val="00916BD8"/>
    <w:rsid w:val="00916BEB"/>
    <w:rsid w:val="00916BF7"/>
    <w:rsid w:val="00916CB5"/>
    <w:rsid w:val="00916DE2"/>
    <w:rsid w:val="0091701A"/>
    <w:rsid w:val="00917040"/>
    <w:rsid w:val="00917156"/>
    <w:rsid w:val="00917282"/>
    <w:rsid w:val="009172D8"/>
    <w:rsid w:val="00917336"/>
    <w:rsid w:val="009173B6"/>
    <w:rsid w:val="009173BB"/>
    <w:rsid w:val="009173FA"/>
    <w:rsid w:val="00917445"/>
    <w:rsid w:val="00917495"/>
    <w:rsid w:val="0091754C"/>
    <w:rsid w:val="009176BD"/>
    <w:rsid w:val="0091784E"/>
    <w:rsid w:val="0091785B"/>
    <w:rsid w:val="00917882"/>
    <w:rsid w:val="009179B1"/>
    <w:rsid w:val="00917A02"/>
    <w:rsid w:val="00917AE2"/>
    <w:rsid w:val="00917AE8"/>
    <w:rsid w:val="00917B3E"/>
    <w:rsid w:val="00917C23"/>
    <w:rsid w:val="00917C42"/>
    <w:rsid w:val="00917C7B"/>
    <w:rsid w:val="00917CEB"/>
    <w:rsid w:val="00917CFF"/>
    <w:rsid w:val="00917E06"/>
    <w:rsid w:val="00917F11"/>
    <w:rsid w:val="00917F8E"/>
    <w:rsid w:val="00917FDB"/>
    <w:rsid w:val="00917FDD"/>
    <w:rsid w:val="00920029"/>
    <w:rsid w:val="0092006E"/>
    <w:rsid w:val="0092010F"/>
    <w:rsid w:val="0092017C"/>
    <w:rsid w:val="00920195"/>
    <w:rsid w:val="00920232"/>
    <w:rsid w:val="009202C4"/>
    <w:rsid w:val="009203AA"/>
    <w:rsid w:val="009203B2"/>
    <w:rsid w:val="009203EF"/>
    <w:rsid w:val="00920447"/>
    <w:rsid w:val="0092055B"/>
    <w:rsid w:val="0092059C"/>
    <w:rsid w:val="00920671"/>
    <w:rsid w:val="009207EC"/>
    <w:rsid w:val="009208BA"/>
    <w:rsid w:val="009209FC"/>
    <w:rsid w:val="00920C99"/>
    <w:rsid w:val="00920D2D"/>
    <w:rsid w:val="00920DC7"/>
    <w:rsid w:val="00920E30"/>
    <w:rsid w:val="00921107"/>
    <w:rsid w:val="00921138"/>
    <w:rsid w:val="009211FE"/>
    <w:rsid w:val="00921219"/>
    <w:rsid w:val="00921223"/>
    <w:rsid w:val="00921292"/>
    <w:rsid w:val="00921496"/>
    <w:rsid w:val="009214EF"/>
    <w:rsid w:val="00921678"/>
    <w:rsid w:val="009216D9"/>
    <w:rsid w:val="0092170E"/>
    <w:rsid w:val="0092172E"/>
    <w:rsid w:val="009217C8"/>
    <w:rsid w:val="009217D1"/>
    <w:rsid w:val="00921820"/>
    <w:rsid w:val="009218CB"/>
    <w:rsid w:val="0092192A"/>
    <w:rsid w:val="0092196F"/>
    <w:rsid w:val="00921AB5"/>
    <w:rsid w:val="00921AD1"/>
    <w:rsid w:val="00921B52"/>
    <w:rsid w:val="00921C61"/>
    <w:rsid w:val="00921D7D"/>
    <w:rsid w:val="00921DC1"/>
    <w:rsid w:val="00921E34"/>
    <w:rsid w:val="00921EF8"/>
    <w:rsid w:val="00921F5B"/>
    <w:rsid w:val="00921FA9"/>
    <w:rsid w:val="00921FFE"/>
    <w:rsid w:val="009220E2"/>
    <w:rsid w:val="00922110"/>
    <w:rsid w:val="0092219E"/>
    <w:rsid w:val="0092219F"/>
    <w:rsid w:val="009221B1"/>
    <w:rsid w:val="009221C8"/>
    <w:rsid w:val="009221DB"/>
    <w:rsid w:val="00922288"/>
    <w:rsid w:val="009222A7"/>
    <w:rsid w:val="009222C8"/>
    <w:rsid w:val="009223A2"/>
    <w:rsid w:val="0092243A"/>
    <w:rsid w:val="00922494"/>
    <w:rsid w:val="009224DB"/>
    <w:rsid w:val="0092250D"/>
    <w:rsid w:val="0092257B"/>
    <w:rsid w:val="009225AC"/>
    <w:rsid w:val="009225E9"/>
    <w:rsid w:val="009226BB"/>
    <w:rsid w:val="009227D5"/>
    <w:rsid w:val="009228B2"/>
    <w:rsid w:val="009228E0"/>
    <w:rsid w:val="00922967"/>
    <w:rsid w:val="00922A51"/>
    <w:rsid w:val="00922A8E"/>
    <w:rsid w:val="00922AA3"/>
    <w:rsid w:val="00922B3D"/>
    <w:rsid w:val="00922BE7"/>
    <w:rsid w:val="00922BEA"/>
    <w:rsid w:val="00922D86"/>
    <w:rsid w:val="00922D89"/>
    <w:rsid w:val="00922EA9"/>
    <w:rsid w:val="00922F88"/>
    <w:rsid w:val="009230D7"/>
    <w:rsid w:val="009230E7"/>
    <w:rsid w:val="0092344A"/>
    <w:rsid w:val="0092345E"/>
    <w:rsid w:val="009234D5"/>
    <w:rsid w:val="009234EB"/>
    <w:rsid w:val="00923536"/>
    <w:rsid w:val="0092371C"/>
    <w:rsid w:val="009237F4"/>
    <w:rsid w:val="0092387C"/>
    <w:rsid w:val="0092388D"/>
    <w:rsid w:val="009238F5"/>
    <w:rsid w:val="00923AF1"/>
    <w:rsid w:val="00923B35"/>
    <w:rsid w:val="00923B47"/>
    <w:rsid w:val="00923BAB"/>
    <w:rsid w:val="00923BD8"/>
    <w:rsid w:val="00923BEA"/>
    <w:rsid w:val="00923CB8"/>
    <w:rsid w:val="00923CE1"/>
    <w:rsid w:val="00923CEF"/>
    <w:rsid w:val="00923E24"/>
    <w:rsid w:val="00923E89"/>
    <w:rsid w:val="0092400F"/>
    <w:rsid w:val="00924034"/>
    <w:rsid w:val="009241C3"/>
    <w:rsid w:val="00924241"/>
    <w:rsid w:val="009244CE"/>
    <w:rsid w:val="009245C3"/>
    <w:rsid w:val="0092469B"/>
    <w:rsid w:val="00924774"/>
    <w:rsid w:val="0092480A"/>
    <w:rsid w:val="00924938"/>
    <w:rsid w:val="00924968"/>
    <w:rsid w:val="00924C24"/>
    <w:rsid w:val="00924C3B"/>
    <w:rsid w:val="00924D02"/>
    <w:rsid w:val="00924DEE"/>
    <w:rsid w:val="00924DEF"/>
    <w:rsid w:val="00925370"/>
    <w:rsid w:val="0092544E"/>
    <w:rsid w:val="009254A0"/>
    <w:rsid w:val="00925505"/>
    <w:rsid w:val="0092555B"/>
    <w:rsid w:val="009256AA"/>
    <w:rsid w:val="009256F5"/>
    <w:rsid w:val="0092586A"/>
    <w:rsid w:val="0092587F"/>
    <w:rsid w:val="0092588C"/>
    <w:rsid w:val="00925929"/>
    <w:rsid w:val="00925ABB"/>
    <w:rsid w:val="00925B34"/>
    <w:rsid w:val="00925C1B"/>
    <w:rsid w:val="00925C2B"/>
    <w:rsid w:val="00925CDE"/>
    <w:rsid w:val="00925DD6"/>
    <w:rsid w:val="00925E88"/>
    <w:rsid w:val="00925E92"/>
    <w:rsid w:val="00926025"/>
    <w:rsid w:val="0092603C"/>
    <w:rsid w:val="00926059"/>
    <w:rsid w:val="009260A9"/>
    <w:rsid w:val="0092616C"/>
    <w:rsid w:val="009261A4"/>
    <w:rsid w:val="009261DF"/>
    <w:rsid w:val="00926202"/>
    <w:rsid w:val="00926270"/>
    <w:rsid w:val="00926408"/>
    <w:rsid w:val="00926448"/>
    <w:rsid w:val="00926621"/>
    <w:rsid w:val="00926772"/>
    <w:rsid w:val="0092677D"/>
    <w:rsid w:val="00926796"/>
    <w:rsid w:val="00926886"/>
    <w:rsid w:val="009269C3"/>
    <w:rsid w:val="00926A07"/>
    <w:rsid w:val="00926B21"/>
    <w:rsid w:val="00926B27"/>
    <w:rsid w:val="00926B8F"/>
    <w:rsid w:val="00926C1A"/>
    <w:rsid w:val="00926DB3"/>
    <w:rsid w:val="00926E68"/>
    <w:rsid w:val="00926E77"/>
    <w:rsid w:val="00926E86"/>
    <w:rsid w:val="00926F83"/>
    <w:rsid w:val="00926F89"/>
    <w:rsid w:val="00926FB4"/>
    <w:rsid w:val="00927008"/>
    <w:rsid w:val="009270E9"/>
    <w:rsid w:val="009271E3"/>
    <w:rsid w:val="009273B5"/>
    <w:rsid w:val="009274B9"/>
    <w:rsid w:val="009274DB"/>
    <w:rsid w:val="009274FA"/>
    <w:rsid w:val="0092757B"/>
    <w:rsid w:val="009275C8"/>
    <w:rsid w:val="009277B0"/>
    <w:rsid w:val="009277D7"/>
    <w:rsid w:val="00927845"/>
    <w:rsid w:val="00927869"/>
    <w:rsid w:val="009278A2"/>
    <w:rsid w:val="00927A5B"/>
    <w:rsid w:val="00927B04"/>
    <w:rsid w:val="00927B06"/>
    <w:rsid w:val="00927C89"/>
    <w:rsid w:val="00927C95"/>
    <w:rsid w:val="00927D28"/>
    <w:rsid w:val="00927DBB"/>
    <w:rsid w:val="00927EF6"/>
    <w:rsid w:val="00927F0A"/>
    <w:rsid w:val="00927FE5"/>
    <w:rsid w:val="009300CC"/>
    <w:rsid w:val="009301B2"/>
    <w:rsid w:val="0093035E"/>
    <w:rsid w:val="0093037B"/>
    <w:rsid w:val="00930455"/>
    <w:rsid w:val="009304D4"/>
    <w:rsid w:val="00930545"/>
    <w:rsid w:val="009305C0"/>
    <w:rsid w:val="009305C3"/>
    <w:rsid w:val="0093060A"/>
    <w:rsid w:val="00930741"/>
    <w:rsid w:val="00930943"/>
    <w:rsid w:val="00930ADA"/>
    <w:rsid w:val="00930AE1"/>
    <w:rsid w:val="00930BA3"/>
    <w:rsid w:val="00930C49"/>
    <w:rsid w:val="00930CBD"/>
    <w:rsid w:val="00930CF8"/>
    <w:rsid w:val="00930D2A"/>
    <w:rsid w:val="00930EC1"/>
    <w:rsid w:val="00930F29"/>
    <w:rsid w:val="00930F3C"/>
    <w:rsid w:val="00930F4F"/>
    <w:rsid w:val="00930FB2"/>
    <w:rsid w:val="009310CF"/>
    <w:rsid w:val="00931237"/>
    <w:rsid w:val="0093127F"/>
    <w:rsid w:val="00931316"/>
    <w:rsid w:val="0093153F"/>
    <w:rsid w:val="00931692"/>
    <w:rsid w:val="009316EE"/>
    <w:rsid w:val="009318C2"/>
    <w:rsid w:val="009318C8"/>
    <w:rsid w:val="00931A0F"/>
    <w:rsid w:val="00931A76"/>
    <w:rsid w:val="00931B5D"/>
    <w:rsid w:val="00931C23"/>
    <w:rsid w:val="00931CC4"/>
    <w:rsid w:val="00931D82"/>
    <w:rsid w:val="00931D9D"/>
    <w:rsid w:val="00931E73"/>
    <w:rsid w:val="00931FEA"/>
    <w:rsid w:val="0093208A"/>
    <w:rsid w:val="009320DB"/>
    <w:rsid w:val="0093215C"/>
    <w:rsid w:val="009321FC"/>
    <w:rsid w:val="0093227A"/>
    <w:rsid w:val="00932389"/>
    <w:rsid w:val="0093238A"/>
    <w:rsid w:val="00932428"/>
    <w:rsid w:val="0093246D"/>
    <w:rsid w:val="00932602"/>
    <w:rsid w:val="0093265A"/>
    <w:rsid w:val="00932767"/>
    <w:rsid w:val="00932A02"/>
    <w:rsid w:val="00932AD1"/>
    <w:rsid w:val="00932AE7"/>
    <w:rsid w:val="00932BDF"/>
    <w:rsid w:val="00932C66"/>
    <w:rsid w:val="00932DBB"/>
    <w:rsid w:val="00932E3E"/>
    <w:rsid w:val="00932EEB"/>
    <w:rsid w:val="00932F66"/>
    <w:rsid w:val="00932FFA"/>
    <w:rsid w:val="00933068"/>
    <w:rsid w:val="009330D1"/>
    <w:rsid w:val="00933300"/>
    <w:rsid w:val="00933307"/>
    <w:rsid w:val="00933573"/>
    <w:rsid w:val="009335B2"/>
    <w:rsid w:val="00933669"/>
    <w:rsid w:val="009336C0"/>
    <w:rsid w:val="009336DD"/>
    <w:rsid w:val="00933720"/>
    <w:rsid w:val="009337CA"/>
    <w:rsid w:val="009337CD"/>
    <w:rsid w:val="00933840"/>
    <w:rsid w:val="009338BD"/>
    <w:rsid w:val="00933945"/>
    <w:rsid w:val="00933A1E"/>
    <w:rsid w:val="00933A89"/>
    <w:rsid w:val="00933AF2"/>
    <w:rsid w:val="00933C4B"/>
    <w:rsid w:val="00933CDA"/>
    <w:rsid w:val="00933EAD"/>
    <w:rsid w:val="00933EBE"/>
    <w:rsid w:val="00933F11"/>
    <w:rsid w:val="00934088"/>
    <w:rsid w:val="00934148"/>
    <w:rsid w:val="0093415F"/>
    <w:rsid w:val="009341A5"/>
    <w:rsid w:val="009341DD"/>
    <w:rsid w:val="00934276"/>
    <w:rsid w:val="009342A6"/>
    <w:rsid w:val="009343F7"/>
    <w:rsid w:val="009343F9"/>
    <w:rsid w:val="00934449"/>
    <w:rsid w:val="009344AA"/>
    <w:rsid w:val="009344EA"/>
    <w:rsid w:val="009345F7"/>
    <w:rsid w:val="0093470C"/>
    <w:rsid w:val="009348D3"/>
    <w:rsid w:val="009348E9"/>
    <w:rsid w:val="00934A97"/>
    <w:rsid w:val="00934B6A"/>
    <w:rsid w:val="00934B76"/>
    <w:rsid w:val="00934BBA"/>
    <w:rsid w:val="00934CF0"/>
    <w:rsid w:val="00934E05"/>
    <w:rsid w:val="00934E4D"/>
    <w:rsid w:val="00934E59"/>
    <w:rsid w:val="00934EB3"/>
    <w:rsid w:val="00934FDA"/>
    <w:rsid w:val="009351A6"/>
    <w:rsid w:val="009352DF"/>
    <w:rsid w:val="0093537C"/>
    <w:rsid w:val="009354AA"/>
    <w:rsid w:val="009354FD"/>
    <w:rsid w:val="009355BA"/>
    <w:rsid w:val="009355E6"/>
    <w:rsid w:val="0093560E"/>
    <w:rsid w:val="0093561D"/>
    <w:rsid w:val="00935680"/>
    <w:rsid w:val="00935727"/>
    <w:rsid w:val="00935738"/>
    <w:rsid w:val="00935876"/>
    <w:rsid w:val="009358AF"/>
    <w:rsid w:val="00935A7D"/>
    <w:rsid w:val="00935A7F"/>
    <w:rsid w:val="00935ADA"/>
    <w:rsid w:val="00935C2A"/>
    <w:rsid w:val="00935CDE"/>
    <w:rsid w:val="00935DF5"/>
    <w:rsid w:val="00935EA5"/>
    <w:rsid w:val="00935EE6"/>
    <w:rsid w:val="0093605F"/>
    <w:rsid w:val="00936129"/>
    <w:rsid w:val="00936182"/>
    <w:rsid w:val="00936377"/>
    <w:rsid w:val="0093640B"/>
    <w:rsid w:val="00936623"/>
    <w:rsid w:val="00936743"/>
    <w:rsid w:val="009367C3"/>
    <w:rsid w:val="0093683E"/>
    <w:rsid w:val="0093695B"/>
    <w:rsid w:val="00936A0A"/>
    <w:rsid w:val="00936B1E"/>
    <w:rsid w:val="00936B54"/>
    <w:rsid w:val="00936BC5"/>
    <w:rsid w:val="00936BE5"/>
    <w:rsid w:val="00936D31"/>
    <w:rsid w:val="00936E7D"/>
    <w:rsid w:val="00937060"/>
    <w:rsid w:val="009371B2"/>
    <w:rsid w:val="009371BC"/>
    <w:rsid w:val="0093721C"/>
    <w:rsid w:val="00937406"/>
    <w:rsid w:val="0093743E"/>
    <w:rsid w:val="00937507"/>
    <w:rsid w:val="0093753D"/>
    <w:rsid w:val="0093769E"/>
    <w:rsid w:val="00937872"/>
    <w:rsid w:val="009378AD"/>
    <w:rsid w:val="00937943"/>
    <w:rsid w:val="00937A40"/>
    <w:rsid w:val="00937C41"/>
    <w:rsid w:val="00937C53"/>
    <w:rsid w:val="00937C70"/>
    <w:rsid w:val="00937D7A"/>
    <w:rsid w:val="00937DFE"/>
    <w:rsid w:val="00937F5D"/>
    <w:rsid w:val="0094007C"/>
    <w:rsid w:val="00940081"/>
    <w:rsid w:val="00940094"/>
    <w:rsid w:val="0094015D"/>
    <w:rsid w:val="009401B7"/>
    <w:rsid w:val="00940202"/>
    <w:rsid w:val="009402ED"/>
    <w:rsid w:val="00940381"/>
    <w:rsid w:val="0094051D"/>
    <w:rsid w:val="00940572"/>
    <w:rsid w:val="00940579"/>
    <w:rsid w:val="00940586"/>
    <w:rsid w:val="00940623"/>
    <w:rsid w:val="00940790"/>
    <w:rsid w:val="009407C7"/>
    <w:rsid w:val="009407DE"/>
    <w:rsid w:val="00940A34"/>
    <w:rsid w:val="00940ACE"/>
    <w:rsid w:val="00940BD9"/>
    <w:rsid w:val="00940F58"/>
    <w:rsid w:val="00940F5F"/>
    <w:rsid w:val="00941091"/>
    <w:rsid w:val="009410C6"/>
    <w:rsid w:val="00941194"/>
    <w:rsid w:val="0094124C"/>
    <w:rsid w:val="00941270"/>
    <w:rsid w:val="00941442"/>
    <w:rsid w:val="009414DF"/>
    <w:rsid w:val="00941531"/>
    <w:rsid w:val="00941544"/>
    <w:rsid w:val="00941577"/>
    <w:rsid w:val="00941797"/>
    <w:rsid w:val="00941882"/>
    <w:rsid w:val="009418A7"/>
    <w:rsid w:val="00941927"/>
    <w:rsid w:val="0094193A"/>
    <w:rsid w:val="0094194F"/>
    <w:rsid w:val="00941A4B"/>
    <w:rsid w:val="00941AB6"/>
    <w:rsid w:val="00941D52"/>
    <w:rsid w:val="00941D86"/>
    <w:rsid w:val="00941E52"/>
    <w:rsid w:val="009420E2"/>
    <w:rsid w:val="00942267"/>
    <w:rsid w:val="0094229F"/>
    <w:rsid w:val="00942315"/>
    <w:rsid w:val="009423D9"/>
    <w:rsid w:val="0094248F"/>
    <w:rsid w:val="009425A5"/>
    <w:rsid w:val="00942636"/>
    <w:rsid w:val="00942642"/>
    <w:rsid w:val="009426C1"/>
    <w:rsid w:val="009426FD"/>
    <w:rsid w:val="009427DD"/>
    <w:rsid w:val="00942818"/>
    <w:rsid w:val="0094289D"/>
    <w:rsid w:val="00942960"/>
    <w:rsid w:val="009429ED"/>
    <w:rsid w:val="00942A7F"/>
    <w:rsid w:val="00942ACA"/>
    <w:rsid w:val="00942AD3"/>
    <w:rsid w:val="00942B7E"/>
    <w:rsid w:val="00942CDC"/>
    <w:rsid w:val="00942D49"/>
    <w:rsid w:val="00942D84"/>
    <w:rsid w:val="00942EE4"/>
    <w:rsid w:val="00942F48"/>
    <w:rsid w:val="00943003"/>
    <w:rsid w:val="009430BE"/>
    <w:rsid w:val="00943208"/>
    <w:rsid w:val="00943243"/>
    <w:rsid w:val="00943507"/>
    <w:rsid w:val="00943681"/>
    <w:rsid w:val="009436D9"/>
    <w:rsid w:val="009437B6"/>
    <w:rsid w:val="00943830"/>
    <w:rsid w:val="00943897"/>
    <w:rsid w:val="009438FE"/>
    <w:rsid w:val="00943921"/>
    <w:rsid w:val="00943951"/>
    <w:rsid w:val="00943967"/>
    <w:rsid w:val="009439F5"/>
    <w:rsid w:val="00943A4D"/>
    <w:rsid w:val="00943CEC"/>
    <w:rsid w:val="00943D2D"/>
    <w:rsid w:val="00943D34"/>
    <w:rsid w:val="00943D62"/>
    <w:rsid w:val="00943DD7"/>
    <w:rsid w:val="00943EE6"/>
    <w:rsid w:val="00943F8B"/>
    <w:rsid w:val="00943FA9"/>
    <w:rsid w:val="00943FDF"/>
    <w:rsid w:val="0094403B"/>
    <w:rsid w:val="0094406D"/>
    <w:rsid w:val="009440D8"/>
    <w:rsid w:val="00944116"/>
    <w:rsid w:val="0094430D"/>
    <w:rsid w:val="0094435C"/>
    <w:rsid w:val="00944418"/>
    <w:rsid w:val="0094442D"/>
    <w:rsid w:val="0094443A"/>
    <w:rsid w:val="0094443B"/>
    <w:rsid w:val="0094444F"/>
    <w:rsid w:val="00944598"/>
    <w:rsid w:val="0094466A"/>
    <w:rsid w:val="00944693"/>
    <w:rsid w:val="00944955"/>
    <w:rsid w:val="00944A68"/>
    <w:rsid w:val="00944ACD"/>
    <w:rsid w:val="00944B48"/>
    <w:rsid w:val="00944BC2"/>
    <w:rsid w:val="00944BD7"/>
    <w:rsid w:val="00944C57"/>
    <w:rsid w:val="00944C5E"/>
    <w:rsid w:val="00944CA4"/>
    <w:rsid w:val="00944D98"/>
    <w:rsid w:val="00944E0A"/>
    <w:rsid w:val="00944E94"/>
    <w:rsid w:val="00944F19"/>
    <w:rsid w:val="0094501D"/>
    <w:rsid w:val="00945064"/>
    <w:rsid w:val="009450B9"/>
    <w:rsid w:val="0094511E"/>
    <w:rsid w:val="0094525A"/>
    <w:rsid w:val="009452C2"/>
    <w:rsid w:val="00945358"/>
    <w:rsid w:val="009453BB"/>
    <w:rsid w:val="009456A5"/>
    <w:rsid w:val="009457ED"/>
    <w:rsid w:val="00945808"/>
    <w:rsid w:val="0094588F"/>
    <w:rsid w:val="009458F5"/>
    <w:rsid w:val="0094598E"/>
    <w:rsid w:val="00945A41"/>
    <w:rsid w:val="00945B2A"/>
    <w:rsid w:val="00945BD4"/>
    <w:rsid w:val="00945C1D"/>
    <w:rsid w:val="00945D21"/>
    <w:rsid w:val="00945D78"/>
    <w:rsid w:val="00945EAE"/>
    <w:rsid w:val="00945EEB"/>
    <w:rsid w:val="00946027"/>
    <w:rsid w:val="009462A5"/>
    <w:rsid w:val="009462C6"/>
    <w:rsid w:val="00946380"/>
    <w:rsid w:val="009463D0"/>
    <w:rsid w:val="0094645D"/>
    <w:rsid w:val="0094647F"/>
    <w:rsid w:val="009465BF"/>
    <w:rsid w:val="009465D7"/>
    <w:rsid w:val="009468FF"/>
    <w:rsid w:val="0094690B"/>
    <w:rsid w:val="00946934"/>
    <w:rsid w:val="00946A8E"/>
    <w:rsid w:val="00946B63"/>
    <w:rsid w:val="00946C38"/>
    <w:rsid w:val="00946E38"/>
    <w:rsid w:val="00946FE6"/>
    <w:rsid w:val="00947049"/>
    <w:rsid w:val="009470BE"/>
    <w:rsid w:val="009472F4"/>
    <w:rsid w:val="009473DF"/>
    <w:rsid w:val="00947480"/>
    <w:rsid w:val="00947533"/>
    <w:rsid w:val="00947543"/>
    <w:rsid w:val="00947591"/>
    <w:rsid w:val="009475F1"/>
    <w:rsid w:val="0094763E"/>
    <w:rsid w:val="00947691"/>
    <w:rsid w:val="009476A8"/>
    <w:rsid w:val="00947871"/>
    <w:rsid w:val="00947906"/>
    <w:rsid w:val="00947A7E"/>
    <w:rsid w:val="00947A9E"/>
    <w:rsid w:val="00947AE0"/>
    <w:rsid w:val="00947C71"/>
    <w:rsid w:val="00947CE2"/>
    <w:rsid w:val="00947CEE"/>
    <w:rsid w:val="00947DBC"/>
    <w:rsid w:val="00947DDD"/>
    <w:rsid w:val="00947E62"/>
    <w:rsid w:val="00947E83"/>
    <w:rsid w:val="00947F04"/>
    <w:rsid w:val="00947F5D"/>
    <w:rsid w:val="00950016"/>
    <w:rsid w:val="0095002D"/>
    <w:rsid w:val="0095017A"/>
    <w:rsid w:val="00950246"/>
    <w:rsid w:val="00950453"/>
    <w:rsid w:val="009504A3"/>
    <w:rsid w:val="00950502"/>
    <w:rsid w:val="0095055B"/>
    <w:rsid w:val="009505A8"/>
    <w:rsid w:val="00950652"/>
    <w:rsid w:val="009506A5"/>
    <w:rsid w:val="009506C7"/>
    <w:rsid w:val="009507A1"/>
    <w:rsid w:val="009508F6"/>
    <w:rsid w:val="00950932"/>
    <w:rsid w:val="00950938"/>
    <w:rsid w:val="00950958"/>
    <w:rsid w:val="009509EA"/>
    <w:rsid w:val="00950C83"/>
    <w:rsid w:val="00950E66"/>
    <w:rsid w:val="00950F39"/>
    <w:rsid w:val="0095105C"/>
    <w:rsid w:val="0095107C"/>
    <w:rsid w:val="0095117C"/>
    <w:rsid w:val="009511ED"/>
    <w:rsid w:val="0095121C"/>
    <w:rsid w:val="0095129C"/>
    <w:rsid w:val="00951398"/>
    <w:rsid w:val="0095139A"/>
    <w:rsid w:val="009513B0"/>
    <w:rsid w:val="00951532"/>
    <w:rsid w:val="0095160C"/>
    <w:rsid w:val="0095167B"/>
    <w:rsid w:val="00951687"/>
    <w:rsid w:val="00951703"/>
    <w:rsid w:val="00951797"/>
    <w:rsid w:val="009518F3"/>
    <w:rsid w:val="009519D2"/>
    <w:rsid w:val="00951A32"/>
    <w:rsid w:val="00951A54"/>
    <w:rsid w:val="00951B00"/>
    <w:rsid w:val="00951C5C"/>
    <w:rsid w:val="00951CC3"/>
    <w:rsid w:val="00951D2D"/>
    <w:rsid w:val="00951E94"/>
    <w:rsid w:val="00951EE1"/>
    <w:rsid w:val="00951F58"/>
    <w:rsid w:val="00952037"/>
    <w:rsid w:val="0095206C"/>
    <w:rsid w:val="009520CA"/>
    <w:rsid w:val="009520DB"/>
    <w:rsid w:val="009521B9"/>
    <w:rsid w:val="009522A2"/>
    <w:rsid w:val="00952353"/>
    <w:rsid w:val="00952412"/>
    <w:rsid w:val="0095247C"/>
    <w:rsid w:val="00952668"/>
    <w:rsid w:val="00952696"/>
    <w:rsid w:val="00952702"/>
    <w:rsid w:val="009529C9"/>
    <w:rsid w:val="009529DA"/>
    <w:rsid w:val="00952AC1"/>
    <w:rsid w:val="00952B1B"/>
    <w:rsid w:val="00952BA3"/>
    <w:rsid w:val="00952BAD"/>
    <w:rsid w:val="00952C64"/>
    <w:rsid w:val="00952CD9"/>
    <w:rsid w:val="00952DAE"/>
    <w:rsid w:val="00952DE4"/>
    <w:rsid w:val="00952E78"/>
    <w:rsid w:val="00952E8F"/>
    <w:rsid w:val="00952EE4"/>
    <w:rsid w:val="00952FD2"/>
    <w:rsid w:val="009530F7"/>
    <w:rsid w:val="00953172"/>
    <w:rsid w:val="00953410"/>
    <w:rsid w:val="00953473"/>
    <w:rsid w:val="0095350B"/>
    <w:rsid w:val="00953641"/>
    <w:rsid w:val="00953654"/>
    <w:rsid w:val="009536EF"/>
    <w:rsid w:val="00953791"/>
    <w:rsid w:val="009537F5"/>
    <w:rsid w:val="00953877"/>
    <w:rsid w:val="00953936"/>
    <w:rsid w:val="0095395A"/>
    <w:rsid w:val="00953A1F"/>
    <w:rsid w:val="00953B23"/>
    <w:rsid w:val="00953B69"/>
    <w:rsid w:val="00953BAE"/>
    <w:rsid w:val="00953C62"/>
    <w:rsid w:val="00953F47"/>
    <w:rsid w:val="00953FE9"/>
    <w:rsid w:val="009540F5"/>
    <w:rsid w:val="00954145"/>
    <w:rsid w:val="00954351"/>
    <w:rsid w:val="009543B8"/>
    <w:rsid w:val="0095443E"/>
    <w:rsid w:val="0095446F"/>
    <w:rsid w:val="0095447F"/>
    <w:rsid w:val="0095448E"/>
    <w:rsid w:val="009547DF"/>
    <w:rsid w:val="00954999"/>
    <w:rsid w:val="00954BEC"/>
    <w:rsid w:val="00954CE9"/>
    <w:rsid w:val="00954D21"/>
    <w:rsid w:val="00954ECC"/>
    <w:rsid w:val="00954ECD"/>
    <w:rsid w:val="00954F00"/>
    <w:rsid w:val="00954F51"/>
    <w:rsid w:val="00954FA6"/>
    <w:rsid w:val="0095503D"/>
    <w:rsid w:val="0095504F"/>
    <w:rsid w:val="00955237"/>
    <w:rsid w:val="00955272"/>
    <w:rsid w:val="00955297"/>
    <w:rsid w:val="009552F6"/>
    <w:rsid w:val="00955453"/>
    <w:rsid w:val="009554B2"/>
    <w:rsid w:val="00955566"/>
    <w:rsid w:val="009555AD"/>
    <w:rsid w:val="00955685"/>
    <w:rsid w:val="009556CD"/>
    <w:rsid w:val="00955BDB"/>
    <w:rsid w:val="00955C3E"/>
    <w:rsid w:val="00955E1C"/>
    <w:rsid w:val="0095601D"/>
    <w:rsid w:val="00956084"/>
    <w:rsid w:val="00956278"/>
    <w:rsid w:val="00956280"/>
    <w:rsid w:val="009563AC"/>
    <w:rsid w:val="009563CF"/>
    <w:rsid w:val="0095648C"/>
    <w:rsid w:val="0095656B"/>
    <w:rsid w:val="009565B7"/>
    <w:rsid w:val="0095662C"/>
    <w:rsid w:val="009566D7"/>
    <w:rsid w:val="009567E3"/>
    <w:rsid w:val="00956BEC"/>
    <w:rsid w:val="00956C1D"/>
    <w:rsid w:val="00956CED"/>
    <w:rsid w:val="00956D22"/>
    <w:rsid w:val="00956E23"/>
    <w:rsid w:val="00956E96"/>
    <w:rsid w:val="00956EA2"/>
    <w:rsid w:val="00956F2F"/>
    <w:rsid w:val="00956F93"/>
    <w:rsid w:val="009570C6"/>
    <w:rsid w:val="009571EB"/>
    <w:rsid w:val="009572BD"/>
    <w:rsid w:val="0095738D"/>
    <w:rsid w:val="009573C9"/>
    <w:rsid w:val="0095755E"/>
    <w:rsid w:val="0095762E"/>
    <w:rsid w:val="0095774A"/>
    <w:rsid w:val="00957751"/>
    <w:rsid w:val="009578D8"/>
    <w:rsid w:val="009579EE"/>
    <w:rsid w:val="009579F3"/>
    <w:rsid w:val="00957A1F"/>
    <w:rsid w:val="00957A65"/>
    <w:rsid w:val="00957B5C"/>
    <w:rsid w:val="00957B8E"/>
    <w:rsid w:val="00957C73"/>
    <w:rsid w:val="00957D85"/>
    <w:rsid w:val="00957DA8"/>
    <w:rsid w:val="00960142"/>
    <w:rsid w:val="00960420"/>
    <w:rsid w:val="00960433"/>
    <w:rsid w:val="009605AA"/>
    <w:rsid w:val="009606DB"/>
    <w:rsid w:val="00960712"/>
    <w:rsid w:val="00960737"/>
    <w:rsid w:val="0096084B"/>
    <w:rsid w:val="00960ABF"/>
    <w:rsid w:val="00960B07"/>
    <w:rsid w:val="00960B68"/>
    <w:rsid w:val="00960BD7"/>
    <w:rsid w:val="00960D33"/>
    <w:rsid w:val="00960D55"/>
    <w:rsid w:val="00960DCD"/>
    <w:rsid w:val="009610E5"/>
    <w:rsid w:val="009611AC"/>
    <w:rsid w:val="00961252"/>
    <w:rsid w:val="009612DC"/>
    <w:rsid w:val="00961444"/>
    <w:rsid w:val="009615BE"/>
    <w:rsid w:val="009616C7"/>
    <w:rsid w:val="0096184A"/>
    <w:rsid w:val="0096197B"/>
    <w:rsid w:val="0096198B"/>
    <w:rsid w:val="009619D2"/>
    <w:rsid w:val="00961A6E"/>
    <w:rsid w:val="00961B4C"/>
    <w:rsid w:val="00961BDA"/>
    <w:rsid w:val="00961E9A"/>
    <w:rsid w:val="00961EA3"/>
    <w:rsid w:val="009620A0"/>
    <w:rsid w:val="00962167"/>
    <w:rsid w:val="00962231"/>
    <w:rsid w:val="009622A9"/>
    <w:rsid w:val="009622AD"/>
    <w:rsid w:val="009622D9"/>
    <w:rsid w:val="00962358"/>
    <w:rsid w:val="0096259C"/>
    <w:rsid w:val="0096271E"/>
    <w:rsid w:val="009627A6"/>
    <w:rsid w:val="009628A6"/>
    <w:rsid w:val="00962941"/>
    <w:rsid w:val="00962951"/>
    <w:rsid w:val="0096297F"/>
    <w:rsid w:val="00962A4C"/>
    <w:rsid w:val="00962BF1"/>
    <w:rsid w:val="00962C84"/>
    <w:rsid w:val="00962C8E"/>
    <w:rsid w:val="00962C9E"/>
    <w:rsid w:val="00962DD1"/>
    <w:rsid w:val="00962E2E"/>
    <w:rsid w:val="00962FC7"/>
    <w:rsid w:val="0096316A"/>
    <w:rsid w:val="0096318C"/>
    <w:rsid w:val="009631B2"/>
    <w:rsid w:val="00963283"/>
    <w:rsid w:val="009632CD"/>
    <w:rsid w:val="00963448"/>
    <w:rsid w:val="0096344D"/>
    <w:rsid w:val="0096345C"/>
    <w:rsid w:val="009634F5"/>
    <w:rsid w:val="009635D8"/>
    <w:rsid w:val="00963626"/>
    <w:rsid w:val="00963657"/>
    <w:rsid w:val="00963675"/>
    <w:rsid w:val="00963773"/>
    <w:rsid w:val="009637D7"/>
    <w:rsid w:val="00963832"/>
    <w:rsid w:val="00963D67"/>
    <w:rsid w:val="00963DA0"/>
    <w:rsid w:val="00963F2E"/>
    <w:rsid w:val="009640E1"/>
    <w:rsid w:val="00964112"/>
    <w:rsid w:val="009641BF"/>
    <w:rsid w:val="00964264"/>
    <w:rsid w:val="009642DE"/>
    <w:rsid w:val="00964383"/>
    <w:rsid w:val="00964391"/>
    <w:rsid w:val="0096449A"/>
    <w:rsid w:val="009644A4"/>
    <w:rsid w:val="00964501"/>
    <w:rsid w:val="00964525"/>
    <w:rsid w:val="00964600"/>
    <w:rsid w:val="00964640"/>
    <w:rsid w:val="009646D2"/>
    <w:rsid w:val="00964718"/>
    <w:rsid w:val="0096478D"/>
    <w:rsid w:val="009647AD"/>
    <w:rsid w:val="009648AF"/>
    <w:rsid w:val="009648D7"/>
    <w:rsid w:val="009649D0"/>
    <w:rsid w:val="00964A11"/>
    <w:rsid w:val="00964A24"/>
    <w:rsid w:val="00964BE8"/>
    <w:rsid w:val="00964C59"/>
    <w:rsid w:val="00964D22"/>
    <w:rsid w:val="00964D4A"/>
    <w:rsid w:val="00964DAB"/>
    <w:rsid w:val="00964DF1"/>
    <w:rsid w:val="00964E2D"/>
    <w:rsid w:val="00964E76"/>
    <w:rsid w:val="00964F0A"/>
    <w:rsid w:val="00964F8D"/>
    <w:rsid w:val="0096502C"/>
    <w:rsid w:val="00965056"/>
    <w:rsid w:val="009650DD"/>
    <w:rsid w:val="00965149"/>
    <w:rsid w:val="0096516A"/>
    <w:rsid w:val="00965223"/>
    <w:rsid w:val="00965341"/>
    <w:rsid w:val="009653AF"/>
    <w:rsid w:val="009653D9"/>
    <w:rsid w:val="00965407"/>
    <w:rsid w:val="00965501"/>
    <w:rsid w:val="009655D7"/>
    <w:rsid w:val="00965787"/>
    <w:rsid w:val="009659AE"/>
    <w:rsid w:val="00965A70"/>
    <w:rsid w:val="00965AF5"/>
    <w:rsid w:val="00965B68"/>
    <w:rsid w:val="00965DBE"/>
    <w:rsid w:val="00965E3D"/>
    <w:rsid w:val="00965EA1"/>
    <w:rsid w:val="00965ED0"/>
    <w:rsid w:val="00965F71"/>
    <w:rsid w:val="00965FC3"/>
    <w:rsid w:val="009660C5"/>
    <w:rsid w:val="009660D4"/>
    <w:rsid w:val="00966186"/>
    <w:rsid w:val="009662C3"/>
    <w:rsid w:val="009662F3"/>
    <w:rsid w:val="00966336"/>
    <w:rsid w:val="009663A5"/>
    <w:rsid w:val="00966430"/>
    <w:rsid w:val="009664A1"/>
    <w:rsid w:val="0096653B"/>
    <w:rsid w:val="009665B7"/>
    <w:rsid w:val="009665FE"/>
    <w:rsid w:val="00966984"/>
    <w:rsid w:val="009669B5"/>
    <w:rsid w:val="00966A48"/>
    <w:rsid w:val="00966B62"/>
    <w:rsid w:val="00966B85"/>
    <w:rsid w:val="00966BCE"/>
    <w:rsid w:val="00966BED"/>
    <w:rsid w:val="00966D6A"/>
    <w:rsid w:val="00966D83"/>
    <w:rsid w:val="00966D98"/>
    <w:rsid w:val="00966E3A"/>
    <w:rsid w:val="00966E5C"/>
    <w:rsid w:val="00966EA8"/>
    <w:rsid w:val="00967045"/>
    <w:rsid w:val="009671A5"/>
    <w:rsid w:val="009672A2"/>
    <w:rsid w:val="00967436"/>
    <w:rsid w:val="0096754E"/>
    <w:rsid w:val="009675D2"/>
    <w:rsid w:val="00967753"/>
    <w:rsid w:val="00967984"/>
    <w:rsid w:val="00967A48"/>
    <w:rsid w:val="00967B80"/>
    <w:rsid w:val="00967BB8"/>
    <w:rsid w:val="00967C2A"/>
    <w:rsid w:val="00967C62"/>
    <w:rsid w:val="00967D3A"/>
    <w:rsid w:val="00967EB6"/>
    <w:rsid w:val="00967F36"/>
    <w:rsid w:val="0097002D"/>
    <w:rsid w:val="00970102"/>
    <w:rsid w:val="0097020C"/>
    <w:rsid w:val="009702D0"/>
    <w:rsid w:val="009703AB"/>
    <w:rsid w:val="009703C4"/>
    <w:rsid w:val="0097040F"/>
    <w:rsid w:val="00970487"/>
    <w:rsid w:val="009704B1"/>
    <w:rsid w:val="00970529"/>
    <w:rsid w:val="0097057D"/>
    <w:rsid w:val="00970587"/>
    <w:rsid w:val="00970659"/>
    <w:rsid w:val="00970665"/>
    <w:rsid w:val="009706DE"/>
    <w:rsid w:val="0097073C"/>
    <w:rsid w:val="0097090B"/>
    <w:rsid w:val="009709AB"/>
    <w:rsid w:val="00970A1B"/>
    <w:rsid w:val="00970C28"/>
    <w:rsid w:val="00970C87"/>
    <w:rsid w:val="00970ED0"/>
    <w:rsid w:val="00970F47"/>
    <w:rsid w:val="00970F62"/>
    <w:rsid w:val="0097101F"/>
    <w:rsid w:val="0097102A"/>
    <w:rsid w:val="00971134"/>
    <w:rsid w:val="0097116A"/>
    <w:rsid w:val="00971247"/>
    <w:rsid w:val="009712CD"/>
    <w:rsid w:val="009713BE"/>
    <w:rsid w:val="00971470"/>
    <w:rsid w:val="009714AD"/>
    <w:rsid w:val="0097150F"/>
    <w:rsid w:val="00971668"/>
    <w:rsid w:val="00971718"/>
    <w:rsid w:val="009717C4"/>
    <w:rsid w:val="00971851"/>
    <w:rsid w:val="009719D8"/>
    <w:rsid w:val="00971A7F"/>
    <w:rsid w:val="00971AE2"/>
    <w:rsid w:val="00971BD8"/>
    <w:rsid w:val="00971C04"/>
    <w:rsid w:val="00971C70"/>
    <w:rsid w:val="00971D11"/>
    <w:rsid w:val="0097200C"/>
    <w:rsid w:val="00972094"/>
    <w:rsid w:val="00972243"/>
    <w:rsid w:val="009722F6"/>
    <w:rsid w:val="009723B7"/>
    <w:rsid w:val="009723E9"/>
    <w:rsid w:val="009723EA"/>
    <w:rsid w:val="00972419"/>
    <w:rsid w:val="00972493"/>
    <w:rsid w:val="009724E8"/>
    <w:rsid w:val="0097252C"/>
    <w:rsid w:val="00972588"/>
    <w:rsid w:val="009725E1"/>
    <w:rsid w:val="00972701"/>
    <w:rsid w:val="00972736"/>
    <w:rsid w:val="00972870"/>
    <w:rsid w:val="0097289D"/>
    <w:rsid w:val="0097291F"/>
    <w:rsid w:val="00972949"/>
    <w:rsid w:val="00972A58"/>
    <w:rsid w:val="00972A8B"/>
    <w:rsid w:val="00972B18"/>
    <w:rsid w:val="00972B54"/>
    <w:rsid w:val="00972DFB"/>
    <w:rsid w:val="00972EE3"/>
    <w:rsid w:val="00972EF5"/>
    <w:rsid w:val="00972F3A"/>
    <w:rsid w:val="00972F96"/>
    <w:rsid w:val="0097301A"/>
    <w:rsid w:val="00973063"/>
    <w:rsid w:val="00973090"/>
    <w:rsid w:val="009730E0"/>
    <w:rsid w:val="00973155"/>
    <w:rsid w:val="0097315C"/>
    <w:rsid w:val="0097333B"/>
    <w:rsid w:val="00973483"/>
    <w:rsid w:val="009735AF"/>
    <w:rsid w:val="009735D6"/>
    <w:rsid w:val="009737FE"/>
    <w:rsid w:val="0097385D"/>
    <w:rsid w:val="009738D8"/>
    <w:rsid w:val="00973956"/>
    <w:rsid w:val="00973990"/>
    <w:rsid w:val="00973B9D"/>
    <w:rsid w:val="00973CC1"/>
    <w:rsid w:val="00973CD6"/>
    <w:rsid w:val="00973D10"/>
    <w:rsid w:val="00973EDA"/>
    <w:rsid w:val="00973F69"/>
    <w:rsid w:val="00974128"/>
    <w:rsid w:val="0097454F"/>
    <w:rsid w:val="00974600"/>
    <w:rsid w:val="00974636"/>
    <w:rsid w:val="00974701"/>
    <w:rsid w:val="0097471E"/>
    <w:rsid w:val="00974794"/>
    <w:rsid w:val="009747AB"/>
    <w:rsid w:val="00974910"/>
    <w:rsid w:val="00974916"/>
    <w:rsid w:val="009749A3"/>
    <w:rsid w:val="00974AFD"/>
    <w:rsid w:val="00974BD8"/>
    <w:rsid w:val="00974C03"/>
    <w:rsid w:val="00974CA8"/>
    <w:rsid w:val="00974CB9"/>
    <w:rsid w:val="00974CC7"/>
    <w:rsid w:val="00974E2D"/>
    <w:rsid w:val="00974E32"/>
    <w:rsid w:val="00974F04"/>
    <w:rsid w:val="00975115"/>
    <w:rsid w:val="009753BE"/>
    <w:rsid w:val="009756E2"/>
    <w:rsid w:val="0097585A"/>
    <w:rsid w:val="00975926"/>
    <w:rsid w:val="00975965"/>
    <w:rsid w:val="00975AB3"/>
    <w:rsid w:val="00975B11"/>
    <w:rsid w:val="00975B13"/>
    <w:rsid w:val="00975DD3"/>
    <w:rsid w:val="00975E9B"/>
    <w:rsid w:val="0097601D"/>
    <w:rsid w:val="00976039"/>
    <w:rsid w:val="009760F5"/>
    <w:rsid w:val="0097617E"/>
    <w:rsid w:val="00976268"/>
    <w:rsid w:val="009762C5"/>
    <w:rsid w:val="009762E9"/>
    <w:rsid w:val="00976323"/>
    <w:rsid w:val="0097634B"/>
    <w:rsid w:val="009763F9"/>
    <w:rsid w:val="00976440"/>
    <w:rsid w:val="009764D8"/>
    <w:rsid w:val="00976526"/>
    <w:rsid w:val="00976534"/>
    <w:rsid w:val="00976550"/>
    <w:rsid w:val="00976623"/>
    <w:rsid w:val="0097664D"/>
    <w:rsid w:val="0097665F"/>
    <w:rsid w:val="009766B4"/>
    <w:rsid w:val="009766D7"/>
    <w:rsid w:val="009768E7"/>
    <w:rsid w:val="009769C8"/>
    <w:rsid w:val="00976B12"/>
    <w:rsid w:val="00976B2D"/>
    <w:rsid w:val="00976B4E"/>
    <w:rsid w:val="00976C04"/>
    <w:rsid w:val="00976CDB"/>
    <w:rsid w:val="00976DFE"/>
    <w:rsid w:val="00976DFF"/>
    <w:rsid w:val="00976ECD"/>
    <w:rsid w:val="00976FF5"/>
    <w:rsid w:val="00977106"/>
    <w:rsid w:val="009771B9"/>
    <w:rsid w:val="00977273"/>
    <w:rsid w:val="0097733D"/>
    <w:rsid w:val="009774C5"/>
    <w:rsid w:val="0097757E"/>
    <w:rsid w:val="00977634"/>
    <w:rsid w:val="009776F2"/>
    <w:rsid w:val="009777DD"/>
    <w:rsid w:val="00977913"/>
    <w:rsid w:val="00977925"/>
    <w:rsid w:val="00977A0C"/>
    <w:rsid w:val="00977B05"/>
    <w:rsid w:val="00977B84"/>
    <w:rsid w:val="00977BF7"/>
    <w:rsid w:val="00977BFF"/>
    <w:rsid w:val="00977D6D"/>
    <w:rsid w:val="00977D96"/>
    <w:rsid w:val="00977E38"/>
    <w:rsid w:val="00977E78"/>
    <w:rsid w:val="00977E8F"/>
    <w:rsid w:val="00977FCD"/>
    <w:rsid w:val="0098002F"/>
    <w:rsid w:val="00980084"/>
    <w:rsid w:val="00980128"/>
    <w:rsid w:val="00980216"/>
    <w:rsid w:val="00980271"/>
    <w:rsid w:val="009802FC"/>
    <w:rsid w:val="00980317"/>
    <w:rsid w:val="00980365"/>
    <w:rsid w:val="0098038F"/>
    <w:rsid w:val="00980494"/>
    <w:rsid w:val="009804D1"/>
    <w:rsid w:val="009804D9"/>
    <w:rsid w:val="00980563"/>
    <w:rsid w:val="0098062B"/>
    <w:rsid w:val="009806BE"/>
    <w:rsid w:val="009807B0"/>
    <w:rsid w:val="0098087A"/>
    <w:rsid w:val="009808FA"/>
    <w:rsid w:val="00980912"/>
    <w:rsid w:val="0098092A"/>
    <w:rsid w:val="009809C2"/>
    <w:rsid w:val="009809DD"/>
    <w:rsid w:val="00980AB4"/>
    <w:rsid w:val="00980CD8"/>
    <w:rsid w:val="00980E51"/>
    <w:rsid w:val="00980F54"/>
    <w:rsid w:val="00980F76"/>
    <w:rsid w:val="00980FAF"/>
    <w:rsid w:val="0098107C"/>
    <w:rsid w:val="0098116D"/>
    <w:rsid w:val="0098132D"/>
    <w:rsid w:val="009813F6"/>
    <w:rsid w:val="009814AD"/>
    <w:rsid w:val="009814C8"/>
    <w:rsid w:val="009814EC"/>
    <w:rsid w:val="00981685"/>
    <w:rsid w:val="009816EA"/>
    <w:rsid w:val="00981717"/>
    <w:rsid w:val="009818A9"/>
    <w:rsid w:val="009818C0"/>
    <w:rsid w:val="009818D6"/>
    <w:rsid w:val="00981932"/>
    <w:rsid w:val="00981972"/>
    <w:rsid w:val="009819CA"/>
    <w:rsid w:val="00981A0B"/>
    <w:rsid w:val="00981AD1"/>
    <w:rsid w:val="00981AE0"/>
    <w:rsid w:val="00981BC4"/>
    <w:rsid w:val="00981C61"/>
    <w:rsid w:val="00981CC9"/>
    <w:rsid w:val="00981D12"/>
    <w:rsid w:val="00981D16"/>
    <w:rsid w:val="00981D8A"/>
    <w:rsid w:val="00981DA1"/>
    <w:rsid w:val="0098209D"/>
    <w:rsid w:val="00982130"/>
    <w:rsid w:val="00982150"/>
    <w:rsid w:val="0098241E"/>
    <w:rsid w:val="00982480"/>
    <w:rsid w:val="009825B6"/>
    <w:rsid w:val="00982754"/>
    <w:rsid w:val="00982761"/>
    <w:rsid w:val="009827C2"/>
    <w:rsid w:val="00982852"/>
    <w:rsid w:val="009828D4"/>
    <w:rsid w:val="009829C0"/>
    <w:rsid w:val="009829E0"/>
    <w:rsid w:val="00982B0F"/>
    <w:rsid w:val="00982B35"/>
    <w:rsid w:val="00982DEC"/>
    <w:rsid w:val="00982DFE"/>
    <w:rsid w:val="00982EC8"/>
    <w:rsid w:val="00982F8B"/>
    <w:rsid w:val="00982FD6"/>
    <w:rsid w:val="00982FFB"/>
    <w:rsid w:val="0098302F"/>
    <w:rsid w:val="00983090"/>
    <w:rsid w:val="009830B7"/>
    <w:rsid w:val="0098312B"/>
    <w:rsid w:val="009831A1"/>
    <w:rsid w:val="009831E0"/>
    <w:rsid w:val="00983236"/>
    <w:rsid w:val="0098328F"/>
    <w:rsid w:val="009833F2"/>
    <w:rsid w:val="00983618"/>
    <w:rsid w:val="0098363A"/>
    <w:rsid w:val="00983651"/>
    <w:rsid w:val="009836F1"/>
    <w:rsid w:val="009837C0"/>
    <w:rsid w:val="009837E6"/>
    <w:rsid w:val="009837FC"/>
    <w:rsid w:val="009838DE"/>
    <w:rsid w:val="00983980"/>
    <w:rsid w:val="0098398B"/>
    <w:rsid w:val="009839A4"/>
    <w:rsid w:val="00983BE6"/>
    <w:rsid w:val="00983BFD"/>
    <w:rsid w:val="00983E58"/>
    <w:rsid w:val="00984183"/>
    <w:rsid w:val="00984209"/>
    <w:rsid w:val="00984388"/>
    <w:rsid w:val="009843B8"/>
    <w:rsid w:val="0098446A"/>
    <w:rsid w:val="0098446C"/>
    <w:rsid w:val="009845ED"/>
    <w:rsid w:val="00984697"/>
    <w:rsid w:val="00984722"/>
    <w:rsid w:val="00984728"/>
    <w:rsid w:val="009847F3"/>
    <w:rsid w:val="00984907"/>
    <w:rsid w:val="009849B0"/>
    <w:rsid w:val="00984BB7"/>
    <w:rsid w:val="00984E8C"/>
    <w:rsid w:val="00984F01"/>
    <w:rsid w:val="00984F1E"/>
    <w:rsid w:val="00984F23"/>
    <w:rsid w:val="00985040"/>
    <w:rsid w:val="00985053"/>
    <w:rsid w:val="009851BF"/>
    <w:rsid w:val="009851C9"/>
    <w:rsid w:val="009852E9"/>
    <w:rsid w:val="00985453"/>
    <w:rsid w:val="00985574"/>
    <w:rsid w:val="0098562E"/>
    <w:rsid w:val="00985653"/>
    <w:rsid w:val="00985674"/>
    <w:rsid w:val="0098568A"/>
    <w:rsid w:val="00985692"/>
    <w:rsid w:val="00985697"/>
    <w:rsid w:val="00985705"/>
    <w:rsid w:val="0098579C"/>
    <w:rsid w:val="009857C2"/>
    <w:rsid w:val="009857E6"/>
    <w:rsid w:val="009858AB"/>
    <w:rsid w:val="00985A47"/>
    <w:rsid w:val="00985A6B"/>
    <w:rsid w:val="00985AC1"/>
    <w:rsid w:val="00985AEC"/>
    <w:rsid w:val="00985AF2"/>
    <w:rsid w:val="00985B34"/>
    <w:rsid w:val="00985B48"/>
    <w:rsid w:val="00985C2A"/>
    <w:rsid w:val="00985C3D"/>
    <w:rsid w:val="00985D82"/>
    <w:rsid w:val="00985DF6"/>
    <w:rsid w:val="00985E42"/>
    <w:rsid w:val="009860FE"/>
    <w:rsid w:val="0098617B"/>
    <w:rsid w:val="0098619C"/>
    <w:rsid w:val="009862CA"/>
    <w:rsid w:val="00986300"/>
    <w:rsid w:val="00986321"/>
    <w:rsid w:val="00986343"/>
    <w:rsid w:val="00986391"/>
    <w:rsid w:val="00986576"/>
    <w:rsid w:val="009866F0"/>
    <w:rsid w:val="0098678A"/>
    <w:rsid w:val="009867E7"/>
    <w:rsid w:val="009868DA"/>
    <w:rsid w:val="009868E4"/>
    <w:rsid w:val="0098694F"/>
    <w:rsid w:val="00986B73"/>
    <w:rsid w:val="00986BFA"/>
    <w:rsid w:val="00986E1E"/>
    <w:rsid w:val="00986E85"/>
    <w:rsid w:val="00987048"/>
    <w:rsid w:val="009870C2"/>
    <w:rsid w:val="00987344"/>
    <w:rsid w:val="0098737C"/>
    <w:rsid w:val="00987389"/>
    <w:rsid w:val="0098739C"/>
    <w:rsid w:val="009873C2"/>
    <w:rsid w:val="00987645"/>
    <w:rsid w:val="0098773E"/>
    <w:rsid w:val="0098775C"/>
    <w:rsid w:val="00987777"/>
    <w:rsid w:val="009877A2"/>
    <w:rsid w:val="00987807"/>
    <w:rsid w:val="00987837"/>
    <w:rsid w:val="009878D5"/>
    <w:rsid w:val="00987980"/>
    <w:rsid w:val="00987B7D"/>
    <w:rsid w:val="00987B85"/>
    <w:rsid w:val="00987BB3"/>
    <w:rsid w:val="00987BD2"/>
    <w:rsid w:val="00987D03"/>
    <w:rsid w:val="00987D5A"/>
    <w:rsid w:val="00987D79"/>
    <w:rsid w:val="00987DC6"/>
    <w:rsid w:val="00987DFA"/>
    <w:rsid w:val="00987EE3"/>
    <w:rsid w:val="00987F05"/>
    <w:rsid w:val="0098DBF3"/>
    <w:rsid w:val="0099008B"/>
    <w:rsid w:val="0099026D"/>
    <w:rsid w:val="009902AD"/>
    <w:rsid w:val="00990318"/>
    <w:rsid w:val="0099036C"/>
    <w:rsid w:val="009903EF"/>
    <w:rsid w:val="009903FA"/>
    <w:rsid w:val="0099048C"/>
    <w:rsid w:val="009904B8"/>
    <w:rsid w:val="0099053D"/>
    <w:rsid w:val="009905BC"/>
    <w:rsid w:val="0099060E"/>
    <w:rsid w:val="00990752"/>
    <w:rsid w:val="00990854"/>
    <w:rsid w:val="00990917"/>
    <w:rsid w:val="00990982"/>
    <w:rsid w:val="009909DF"/>
    <w:rsid w:val="00990A42"/>
    <w:rsid w:val="00990B0E"/>
    <w:rsid w:val="00990CB1"/>
    <w:rsid w:val="00990CBF"/>
    <w:rsid w:val="00990DF7"/>
    <w:rsid w:val="00990E76"/>
    <w:rsid w:val="00990F55"/>
    <w:rsid w:val="0099103B"/>
    <w:rsid w:val="0099115D"/>
    <w:rsid w:val="009912C6"/>
    <w:rsid w:val="009913AD"/>
    <w:rsid w:val="009913B5"/>
    <w:rsid w:val="009913F3"/>
    <w:rsid w:val="0099152D"/>
    <w:rsid w:val="0099173E"/>
    <w:rsid w:val="00991776"/>
    <w:rsid w:val="00991801"/>
    <w:rsid w:val="009918EF"/>
    <w:rsid w:val="00991BAE"/>
    <w:rsid w:val="00991E6E"/>
    <w:rsid w:val="00991EAD"/>
    <w:rsid w:val="00991FEC"/>
    <w:rsid w:val="00992017"/>
    <w:rsid w:val="009921C1"/>
    <w:rsid w:val="009921E5"/>
    <w:rsid w:val="00992240"/>
    <w:rsid w:val="00992293"/>
    <w:rsid w:val="009922C0"/>
    <w:rsid w:val="009922C8"/>
    <w:rsid w:val="0099231C"/>
    <w:rsid w:val="00992393"/>
    <w:rsid w:val="00992442"/>
    <w:rsid w:val="009926D8"/>
    <w:rsid w:val="00992838"/>
    <w:rsid w:val="009928B6"/>
    <w:rsid w:val="0099292A"/>
    <w:rsid w:val="0099295C"/>
    <w:rsid w:val="009929D4"/>
    <w:rsid w:val="00992A3C"/>
    <w:rsid w:val="00992A97"/>
    <w:rsid w:val="00992B0B"/>
    <w:rsid w:val="00992BE3"/>
    <w:rsid w:val="00992BEF"/>
    <w:rsid w:val="00992C94"/>
    <w:rsid w:val="00992CFC"/>
    <w:rsid w:val="00992D45"/>
    <w:rsid w:val="00992D9C"/>
    <w:rsid w:val="00992EC7"/>
    <w:rsid w:val="00992EE2"/>
    <w:rsid w:val="00993026"/>
    <w:rsid w:val="0099302B"/>
    <w:rsid w:val="009930DD"/>
    <w:rsid w:val="0099310A"/>
    <w:rsid w:val="00993130"/>
    <w:rsid w:val="009932EF"/>
    <w:rsid w:val="009933CD"/>
    <w:rsid w:val="00993420"/>
    <w:rsid w:val="00993560"/>
    <w:rsid w:val="009935B4"/>
    <w:rsid w:val="009935EB"/>
    <w:rsid w:val="0099371D"/>
    <w:rsid w:val="0099371E"/>
    <w:rsid w:val="00993790"/>
    <w:rsid w:val="009937B2"/>
    <w:rsid w:val="00993803"/>
    <w:rsid w:val="00993878"/>
    <w:rsid w:val="00993ADB"/>
    <w:rsid w:val="00993B4D"/>
    <w:rsid w:val="00993B80"/>
    <w:rsid w:val="00993E4B"/>
    <w:rsid w:val="00993E7A"/>
    <w:rsid w:val="00993ED0"/>
    <w:rsid w:val="00993F09"/>
    <w:rsid w:val="00994094"/>
    <w:rsid w:val="009940E2"/>
    <w:rsid w:val="009941CC"/>
    <w:rsid w:val="009941D3"/>
    <w:rsid w:val="009942E6"/>
    <w:rsid w:val="00994358"/>
    <w:rsid w:val="0099442C"/>
    <w:rsid w:val="009946A8"/>
    <w:rsid w:val="009947CD"/>
    <w:rsid w:val="009948FD"/>
    <w:rsid w:val="00994935"/>
    <w:rsid w:val="0099496C"/>
    <w:rsid w:val="00994989"/>
    <w:rsid w:val="009949AA"/>
    <w:rsid w:val="00994B0C"/>
    <w:rsid w:val="00994B64"/>
    <w:rsid w:val="00994BB1"/>
    <w:rsid w:val="00994BB7"/>
    <w:rsid w:val="00994C0C"/>
    <w:rsid w:val="00994C90"/>
    <w:rsid w:val="00994CC1"/>
    <w:rsid w:val="00994D01"/>
    <w:rsid w:val="00994D1B"/>
    <w:rsid w:val="00994D51"/>
    <w:rsid w:val="00994D57"/>
    <w:rsid w:val="00994D90"/>
    <w:rsid w:val="00994D9A"/>
    <w:rsid w:val="00994DFF"/>
    <w:rsid w:val="00994E3E"/>
    <w:rsid w:val="00995010"/>
    <w:rsid w:val="009950CD"/>
    <w:rsid w:val="009950D9"/>
    <w:rsid w:val="009950E0"/>
    <w:rsid w:val="00995150"/>
    <w:rsid w:val="009952A5"/>
    <w:rsid w:val="00995303"/>
    <w:rsid w:val="0099534E"/>
    <w:rsid w:val="0099542F"/>
    <w:rsid w:val="00995435"/>
    <w:rsid w:val="00995513"/>
    <w:rsid w:val="0099554B"/>
    <w:rsid w:val="009956EE"/>
    <w:rsid w:val="00995736"/>
    <w:rsid w:val="00995886"/>
    <w:rsid w:val="00995899"/>
    <w:rsid w:val="009958AC"/>
    <w:rsid w:val="009958CC"/>
    <w:rsid w:val="009958D4"/>
    <w:rsid w:val="00995948"/>
    <w:rsid w:val="0099599D"/>
    <w:rsid w:val="009959E6"/>
    <w:rsid w:val="00995AC8"/>
    <w:rsid w:val="00995B70"/>
    <w:rsid w:val="00995C6B"/>
    <w:rsid w:val="00995E1D"/>
    <w:rsid w:val="00995F17"/>
    <w:rsid w:val="00995F34"/>
    <w:rsid w:val="00995FA4"/>
    <w:rsid w:val="009960F9"/>
    <w:rsid w:val="00996101"/>
    <w:rsid w:val="0099618E"/>
    <w:rsid w:val="009963EB"/>
    <w:rsid w:val="009964D1"/>
    <w:rsid w:val="0099651A"/>
    <w:rsid w:val="0099659F"/>
    <w:rsid w:val="00996654"/>
    <w:rsid w:val="0099671A"/>
    <w:rsid w:val="009967DE"/>
    <w:rsid w:val="009968D9"/>
    <w:rsid w:val="009969B1"/>
    <w:rsid w:val="00996B10"/>
    <w:rsid w:val="00996D16"/>
    <w:rsid w:val="00996D20"/>
    <w:rsid w:val="00996D5C"/>
    <w:rsid w:val="00996D98"/>
    <w:rsid w:val="00996E82"/>
    <w:rsid w:val="00996F0E"/>
    <w:rsid w:val="00996F8B"/>
    <w:rsid w:val="0099707C"/>
    <w:rsid w:val="0099709E"/>
    <w:rsid w:val="009970A2"/>
    <w:rsid w:val="0099711B"/>
    <w:rsid w:val="009971F7"/>
    <w:rsid w:val="00997238"/>
    <w:rsid w:val="009972E2"/>
    <w:rsid w:val="0099734F"/>
    <w:rsid w:val="00997401"/>
    <w:rsid w:val="00997659"/>
    <w:rsid w:val="009976A3"/>
    <w:rsid w:val="009976E9"/>
    <w:rsid w:val="0099798C"/>
    <w:rsid w:val="00997B86"/>
    <w:rsid w:val="00997BC1"/>
    <w:rsid w:val="00997CEB"/>
    <w:rsid w:val="00997D82"/>
    <w:rsid w:val="00997D98"/>
    <w:rsid w:val="00997E00"/>
    <w:rsid w:val="009A0013"/>
    <w:rsid w:val="009A009A"/>
    <w:rsid w:val="009A00FB"/>
    <w:rsid w:val="009A01D4"/>
    <w:rsid w:val="009A037A"/>
    <w:rsid w:val="009A0415"/>
    <w:rsid w:val="009A0468"/>
    <w:rsid w:val="009A0499"/>
    <w:rsid w:val="009A0501"/>
    <w:rsid w:val="009A0516"/>
    <w:rsid w:val="009A053F"/>
    <w:rsid w:val="009A0579"/>
    <w:rsid w:val="009A0823"/>
    <w:rsid w:val="009A08B0"/>
    <w:rsid w:val="009A08D4"/>
    <w:rsid w:val="009A08E9"/>
    <w:rsid w:val="009A0919"/>
    <w:rsid w:val="009A0A25"/>
    <w:rsid w:val="009A0A87"/>
    <w:rsid w:val="009A0ADA"/>
    <w:rsid w:val="009A0AF6"/>
    <w:rsid w:val="009A0BC4"/>
    <w:rsid w:val="009A0C20"/>
    <w:rsid w:val="009A0CC3"/>
    <w:rsid w:val="009A0CE6"/>
    <w:rsid w:val="009A0E5B"/>
    <w:rsid w:val="009A1049"/>
    <w:rsid w:val="009A10C5"/>
    <w:rsid w:val="009A111D"/>
    <w:rsid w:val="009A11C9"/>
    <w:rsid w:val="009A128D"/>
    <w:rsid w:val="009A1390"/>
    <w:rsid w:val="009A141D"/>
    <w:rsid w:val="009A1465"/>
    <w:rsid w:val="009A1518"/>
    <w:rsid w:val="009A151E"/>
    <w:rsid w:val="009A1580"/>
    <w:rsid w:val="009A1675"/>
    <w:rsid w:val="009A1677"/>
    <w:rsid w:val="009A1848"/>
    <w:rsid w:val="009A185C"/>
    <w:rsid w:val="009A18D3"/>
    <w:rsid w:val="009A196D"/>
    <w:rsid w:val="009A1ACA"/>
    <w:rsid w:val="009A1BC7"/>
    <w:rsid w:val="009A1C4A"/>
    <w:rsid w:val="009A1C6D"/>
    <w:rsid w:val="009A1D02"/>
    <w:rsid w:val="009A1D13"/>
    <w:rsid w:val="009A1D3A"/>
    <w:rsid w:val="009A1DC0"/>
    <w:rsid w:val="009A205D"/>
    <w:rsid w:val="009A2107"/>
    <w:rsid w:val="009A2155"/>
    <w:rsid w:val="009A21EF"/>
    <w:rsid w:val="009A2528"/>
    <w:rsid w:val="009A267B"/>
    <w:rsid w:val="009A2697"/>
    <w:rsid w:val="009A26B7"/>
    <w:rsid w:val="009A27EB"/>
    <w:rsid w:val="009A299A"/>
    <w:rsid w:val="009A29E5"/>
    <w:rsid w:val="009A2C03"/>
    <w:rsid w:val="009A2C5D"/>
    <w:rsid w:val="009A2DC2"/>
    <w:rsid w:val="009A2E10"/>
    <w:rsid w:val="009A2E2D"/>
    <w:rsid w:val="009A2E4D"/>
    <w:rsid w:val="009A2E85"/>
    <w:rsid w:val="009A307B"/>
    <w:rsid w:val="009A3082"/>
    <w:rsid w:val="009A3095"/>
    <w:rsid w:val="009A3104"/>
    <w:rsid w:val="009A31C9"/>
    <w:rsid w:val="009A31F5"/>
    <w:rsid w:val="009A3380"/>
    <w:rsid w:val="009A33AB"/>
    <w:rsid w:val="009A3402"/>
    <w:rsid w:val="009A3449"/>
    <w:rsid w:val="009A358A"/>
    <w:rsid w:val="009A36E3"/>
    <w:rsid w:val="009A371B"/>
    <w:rsid w:val="009A3775"/>
    <w:rsid w:val="009A37F3"/>
    <w:rsid w:val="009A38DF"/>
    <w:rsid w:val="009A3946"/>
    <w:rsid w:val="009A395C"/>
    <w:rsid w:val="009A3967"/>
    <w:rsid w:val="009A3994"/>
    <w:rsid w:val="009A3A56"/>
    <w:rsid w:val="009A3A7F"/>
    <w:rsid w:val="009A3B89"/>
    <w:rsid w:val="009A3BD3"/>
    <w:rsid w:val="009A3C17"/>
    <w:rsid w:val="009A3C44"/>
    <w:rsid w:val="009A3CBD"/>
    <w:rsid w:val="009A3D4B"/>
    <w:rsid w:val="009A3DE3"/>
    <w:rsid w:val="009A3E85"/>
    <w:rsid w:val="009A3F47"/>
    <w:rsid w:val="009A3F7F"/>
    <w:rsid w:val="009A4037"/>
    <w:rsid w:val="009A412E"/>
    <w:rsid w:val="009A4214"/>
    <w:rsid w:val="009A42C6"/>
    <w:rsid w:val="009A4356"/>
    <w:rsid w:val="009A43CC"/>
    <w:rsid w:val="009A43DB"/>
    <w:rsid w:val="009A44DF"/>
    <w:rsid w:val="009A44E8"/>
    <w:rsid w:val="009A453D"/>
    <w:rsid w:val="009A4620"/>
    <w:rsid w:val="009A4696"/>
    <w:rsid w:val="009A49C4"/>
    <w:rsid w:val="009A4A18"/>
    <w:rsid w:val="009A4A1B"/>
    <w:rsid w:val="009A4A9F"/>
    <w:rsid w:val="009A4AFA"/>
    <w:rsid w:val="009A4B1C"/>
    <w:rsid w:val="009A4B32"/>
    <w:rsid w:val="009A4BBD"/>
    <w:rsid w:val="009A4C20"/>
    <w:rsid w:val="009A4CCC"/>
    <w:rsid w:val="009A4CE7"/>
    <w:rsid w:val="009A4CF4"/>
    <w:rsid w:val="009A4D68"/>
    <w:rsid w:val="009A4D97"/>
    <w:rsid w:val="009A4DB1"/>
    <w:rsid w:val="009A4E25"/>
    <w:rsid w:val="009A4E47"/>
    <w:rsid w:val="009A5039"/>
    <w:rsid w:val="009A510A"/>
    <w:rsid w:val="009A5138"/>
    <w:rsid w:val="009A5376"/>
    <w:rsid w:val="009A5540"/>
    <w:rsid w:val="009A555A"/>
    <w:rsid w:val="009A55D8"/>
    <w:rsid w:val="009A56D6"/>
    <w:rsid w:val="009A5795"/>
    <w:rsid w:val="009A57B9"/>
    <w:rsid w:val="009A588A"/>
    <w:rsid w:val="009A59A7"/>
    <w:rsid w:val="009A5A32"/>
    <w:rsid w:val="009A5A62"/>
    <w:rsid w:val="009A5B2C"/>
    <w:rsid w:val="009A5B30"/>
    <w:rsid w:val="009A5B95"/>
    <w:rsid w:val="009A5B9F"/>
    <w:rsid w:val="009A5C7C"/>
    <w:rsid w:val="009A5DC5"/>
    <w:rsid w:val="009A5E89"/>
    <w:rsid w:val="009A5F29"/>
    <w:rsid w:val="009A5FFB"/>
    <w:rsid w:val="009A6095"/>
    <w:rsid w:val="009A6157"/>
    <w:rsid w:val="009A622B"/>
    <w:rsid w:val="009A6428"/>
    <w:rsid w:val="009A6429"/>
    <w:rsid w:val="009A654E"/>
    <w:rsid w:val="009A66DF"/>
    <w:rsid w:val="009A6750"/>
    <w:rsid w:val="009A67CE"/>
    <w:rsid w:val="009A67D4"/>
    <w:rsid w:val="009A6919"/>
    <w:rsid w:val="009A6947"/>
    <w:rsid w:val="009A69A6"/>
    <w:rsid w:val="009A69F5"/>
    <w:rsid w:val="009A6A1F"/>
    <w:rsid w:val="009A6A28"/>
    <w:rsid w:val="009A6A29"/>
    <w:rsid w:val="009A6ABF"/>
    <w:rsid w:val="009A6ACF"/>
    <w:rsid w:val="009A6AEE"/>
    <w:rsid w:val="009A6B3C"/>
    <w:rsid w:val="009A6B66"/>
    <w:rsid w:val="009A6B9B"/>
    <w:rsid w:val="009A6D61"/>
    <w:rsid w:val="009A6DC6"/>
    <w:rsid w:val="009A6E2D"/>
    <w:rsid w:val="009A6F51"/>
    <w:rsid w:val="009A7005"/>
    <w:rsid w:val="009A7187"/>
    <w:rsid w:val="009A723F"/>
    <w:rsid w:val="009A7390"/>
    <w:rsid w:val="009A73A0"/>
    <w:rsid w:val="009A74E0"/>
    <w:rsid w:val="009A7522"/>
    <w:rsid w:val="009A7538"/>
    <w:rsid w:val="009A75EC"/>
    <w:rsid w:val="009A76AD"/>
    <w:rsid w:val="009A76C1"/>
    <w:rsid w:val="009A76D4"/>
    <w:rsid w:val="009A7758"/>
    <w:rsid w:val="009A779D"/>
    <w:rsid w:val="009A7914"/>
    <w:rsid w:val="009A79A8"/>
    <w:rsid w:val="009A7A80"/>
    <w:rsid w:val="009A7E6E"/>
    <w:rsid w:val="009A7E84"/>
    <w:rsid w:val="009A7E9E"/>
    <w:rsid w:val="009A7F81"/>
    <w:rsid w:val="009B00CB"/>
    <w:rsid w:val="009B0132"/>
    <w:rsid w:val="009B0164"/>
    <w:rsid w:val="009B0346"/>
    <w:rsid w:val="009B0547"/>
    <w:rsid w:val="009B06B7"/>
    <w:rsid w:val="009B06EE"/>
    <w:rsid w:val="009B0705"/>
    <w:rsid w:val="009B076C"/>
    <w:rsid w:val="009B089B"/>
    <w:rsid w:val="009B08E3"/>
    <w:rsid w:val="009B097F"/>
    <w:rsid w:val="009B0A81"/>
    <w:rsid w:val="009B0AA8"/>
    <w:rsid w:val="009B0AAA"/>
    <w:rsid w:val="009B0BB7"/>
    <w:rsid w:val="009B0C85"/>
    <w:rsid w:val="009B0CCC"/>
    <w:rsid w:val="009B0CF3"/>
    <w:rsid w:val="009B0E74"/>
    <w:rsid w:val="009B0E88"/>
    <w:rsid w:val="009B0EDE"/>
    <w:rsid w:val="009B0EF3"/>
    <w:rsid w:val="009B0F3E"/>
    <w:rsid w:val="009B0F42"/>
    <w:rsid w:val="009B0F57"/>
    <w:rsid w:val="009B0F73"/>
    <w:rsid w:val="009B0FED"/>
    <w:rsid w:val="009B103B"/>
    <w:rsid w:val="009B104F"/>
    <w:rsid w:val="009B1131"/>
    <w:rsid w:val="009B115A"/>
    <w:rsid w:val="009B1166"/>
    <w:rsid w:val="009B1308"/>
    <w:rsid w:val="009B1351"/>
    <w:rsid w:val="009B137C"/>
    <w:rsid w:val="009B13E4"/>
    <w:rsid w:val="009B149C"/>
    <w:rsid w:val="009B14DA"/>
    <w:rsid w:val="009B15A9"/>
    <w:rsid w:val="009B15BB"/>
    <w:rsid w:val="009B15FD"/>
    <w:rsid w:val="009B1666"/>
    <w:rsid w:val="009B16D3"/>
    <w:rsid w:val="009B17E2"/>
    <w:rsid w:val="009B1868"/>
    <w:rsid w:val="009B18F5"/>
    <w:rsid w:val="009B1957"/>
    <w:rsid w:val="009B1986"/>
    <w:rsid w:val="009B1AA5"/>
    <w:rsid w:val="009B1B44"/>
    <w:rsid w:val="009B1B75"/>
    <w:rsid w:val="009B1C55"/>
    <w:rsid w:val="009B1C64"/>
    <w:rsid w:val="009B1E24"/>
    <w:rsid w:val="009B1E62"/>
    <w:rsid w:val="009B1EAA"/>
    <w:rsid w:val="009B1ED0"/>
    <w:rsid w:val="009B1F41"/>
    <w:rsid w:val="009B2004"/>
    <w:rsid w:val="009B202E"/>
    <w:rsid w:val="009B2091"/>
    <w:rsid w:val="009B20CC"/>
    <w:rsid w:val="009B2167"/>
    <w:rsid w:val="009B225B"/>
    <w:rsid w:val="009B22D2"/>
    <w:rsid w:val="009B2474"/>
    <w:rsid w:val="009B25F9"/>
    <w:rsid w:val="009B2642"/>
    <w:rsid w:val="009B266C"/>
    <w:rsid w:val="009B2864"/>
    <w:rsid w:val="009B292F"/>
    <w:rsid w:val="009B29D9"/>
    <w:rsid w:val="009B2A66"/>
    <w:rsid w:val="009B2AB9"/>
    <w:rsid w:val="009B2BBA"/>
    <w:rsid w:val="009B2C85"/>
    <w:rsid w:val="009B2C94"/>
    <w:rsid w:val="009B2CD2"/>
    <w:rsid w:val="009B2DCF"/>
    <w:rsid w:val="009B2E58"/>
    <w:rsid w:val="009B2E9A"/>
    <w:rsid w:val="009B2EB5"/>
    <w:rsid w:val="009B2EE6"/>
    <w:rsid w:val="009B3012"/>
    <w:rsid w:val="009B3079"/>
    <w:rsid w:val="009B30B2"/>
    <w:rsid w:val="009B313D"/>
    <w:rsid w:val="009B323D"/>
    <w:rsid w:val="009B329E"/>
    <w:rsid w:val="009B3360"/>
    <w:rsid w:val="009B33A2"/>
    <w:rsid w:val="009B33E3"/>
    <w:rsid w:val="009B354C"/>
    <w:rsid w:val="009B3630"/>
    <w:rsid w:val="009B367B"/>
    <w:rsid w:val="009B36BE"/>
    <w:rsid w:val="009B3701"/>
    <w:rsid w:val="009B3736"/>
    <w:rsid w:val="009B37A6"/>
    <w:rsid w:val="009B3845"/>
    <w:rsid w:val="009B3994"/>
    <w:rsid w:val="009B39CE"/>
    <w:rsid w:val="009B39DF"/>
    <w:rsid w:val="009B39F2"/>
    <w:rsid w:val="009B3AB1"/>
    <w:rsid w:val="009B3B20"/>
    <w:rsid w:val="009B3B2F"/>
    <w:rsid w:val="009B3B4F"/>
    <w:rsid w:val="009B3BA5"/>
    <w:rsid w:val="009B3C9A"/>
    <w:rsid w:val="009B3CDA"/>
    <w:rsid w:val="009B3D1A"/>
    <w:rsid w:val="009B3DB8"/>
    <w:rsid w:val="009B3FA7"/>
    <w:rsid w:val="009B3FE2"/>
    <w:rsid w:val="009B4222"/>
    <w:rsid w:val="009B4256"/>
    <w:rsid w:val="009B4407"/>
    <w:rsid w:val="009B461B"/>
    <w:rsid w:val="009B4634"/>
    <w:rsid w:val="009B46BD"/>
    <w:rsid w:val="009B487E"/>
    <w:rsid w:val="009B4BCE"/>
    <w:rsid w:val="009B4DA8"/>
    <w:rsid w:val="009B4E7C"/>
    <w:rsid w:val="009B501A"/>
    <w:rsid w:val="009B5287"/>
    <w:rsid w:val="009B5441"/>
    <w:rsid w:val="009B5475"/>
    <w:rsid w:val="009B54E1"/>
    <w:rsid w:val="009B556D"/>
    <w:rsid w:val="009B5579"/>
    <w:rsid w:val="009B56D4"/>
    <w:rsid w:val="009B5846"/>
    <w:rsid w:val="009B58C6"/>
    <w:rsid w:val="009B5995"/>
    <w:rsid w:val="009B5A1B"/>
    <w:rsid w:val="009B5AF1"/>
    <w:rsid w:val="009B5CAC"/>
    <w:rsid w:val="009B5CF9"/>
    <w:rsid w:val="009B5D1C"/>
    <w:rsid w:val="009B5D5A"/>
    <w:rsid w:val="009B5F67"/>
    <w:rsid w:val="009B5FDC"/>
    <w:rsid w:val="009B619B"/>
    <w:rsid w:val="009B61A1"/>
    <w:rsid w:val="009B62C2"/>
    <w:rsid w:val="009B63BE"/>
    <w:rsid w:val="009B63D2"/>
    <w:rsid w:val="009B63E4"/>
    <w:rsid w:val="009B644D"/>
    <w:rsid w:val="009B64D1"/>
    <w:rsid w:val="009B664A"/>
    <w:rsid w:val="009B66C3"/>
    <w:rsid w:val="009B67DE"/>
    <w:rsid w:val="009B6A79"/>
    <w:rsid w:val="009B6C57"/>
    <w:rsid w:val="009B6C85"/>
    <w:rsid w:val="009B6D22"/>
    <w:rsid w:val="009B6E28"/>
    <w:rsid w:val="009B6F86"/>
    <w:rsid w:val="009B6F88"/>
    <w:rsid w:val="009B705B"/>
    <w:rsid w:val="009B716C"/>
    <w:rsid w:val="009B71AC"/>
    <w:rsid w:val="009B7228"/>
    <w:rsid w:val="009B724C"/>
    <w:rsid w:val="009B726B"/>
    <w:rsid w:val="009B73B2"/>
    <w:rsid w:val="009B7683"/>
    <w:rsid w:val="009B76DA"/>
    <w:rsid w:val="009B7701"/>
    <w:rsid w:val="009B7744"/>
    <w:rsid w:val="009B791A"/>
    <w:rsid w:val="009B7942"/>
    <w:rsid w:val="009B79DA"/>
    <w:rsid w:val="009B7A20"/>
    <w:rsid w:val="009B7B53"/>
    <w:rsid w:val="009B7B95"/>
    <w:rsid w:val="009B7C12"/>
    <w:rsid w:val="009B7DF7"/>
    <w:rsid w:val="009B7E9A"/>
    <w:rsid w:val="009B7F0D"/>
    <w:rsid w:val="009B7F37"/>
    <w:rsid w:val="009B7F56"/>
    <w:rsid w:val="009B7FC4"/>
    <w:rsid w:val="009C01A7"/>
    <w:rsid w:val="009C0229"/>
    <w:rsid w:val="009C022E"/>
    <w:rsid w:val="009C0266"/>
    <w:rsid w:val="009C02A6"/>
    <w:rsid w:val="009C041A"/>
    <w:rsid w:val="009C0566"/>
    <w:rsid w:val="009C067A"/>
    <w:rsid w:val="009C0693"/>
    <w:rsid w:val="009C08B1"/>
    <w:rsid w:val="009C0AE5"/>
    <w:rsid w:val="009C0B2D"/>
    <w:rsid w:val="009C0B44"/>
    <w:rsid w:val="009C0B4C"/>
    <w:rsid w:val="009C0BD1"/>
    <w:rsid w:val="009C0C3B"/>
    <w:rsid w:val="009C0CA6"/>
    <w:rsid w:val="009C0CCE"/>
    <w:rsid w:val="009C0CD7"/>
    <w:rsid w:val="009C0E7F"/>
    <w:rsid w:val="009C0F7A"/>
    <w:rsid w:val="009C1062"/>
    <w:rsid w:val="009C112B"/>
    <w:rsid w:val="009C1165"/>
    <w:rsid w:val="009C11AE"/>
    <w:rsid w:val="009C11C9"/>
    <w:rsid w:val="009C1404"/>
    <w:rsid w:val="009C140C"/>
    <w:rsid w:val="009C143E"/>
    <w:rsid w:val="009C1445"/>
    <w:rsid w:val="009C145B"/>
    <w:rsid w:val="009C148D"/>
    <w:rsid w:val="009C14E0"/>
    <w:rsid w:val="009C170F"/>
    <w:rsid w:val="009C1741"/>
    <w:rsid w:val="009C174E"/>
    <w:rsid w:val="009C1806"/>
    <w:rsid w:val="009C18AF"/>
    <w:rsid w:val="009C1B5F"/>
    <w:rsid w:val="009C1BEB"/>
    <w:rsid w:val="009C1CFB"/>
    <w:rsid w:val="009C1DFE"/>
    <w:rsid w:val="009C21CF"/>
    <w:rsid w:val="009C21D1"/>
    <w:rsid w:val="009C2204"/>
    <w:rsid w:val="009C226E"/>
    <w:rsid w:val="009C2295"/>
    <w:rsid w:val="009C22AF"/>
    <w:rsid w:val="009C2371"/>
    <w:rsid w:val="009C24CE"/>
    <w:rsid w:val="009C25FF"/>
    <w:rsid w:val="009C266E"/>
    <w:rsid w:val="009C26C3"/>
    <w:rsid w:val="009C27E3"/>
    <w:rsid w:val="009C2885"/>
    <w:rsid w:val="009C292A"/>
    <w:rsid w:val="009C2951"/>
    <w:rsid w:val="009C2989"/>
    <w:rsid w:val="009C2997"/>
    <w:rsid w:val="009C2AB4"/>
    <w:rsid w:val="009C2BD1"/>
    <w:rsid w:val="009C2D09"/>
    <w:rsid w:val="009C2D22"/>
    <w:rsid w:val="009C2D60"/>
    <w:rsid w:val="009C2D64"/>
    <w:rsid w:val="009C2DA5"/>
    <w:rsid w:val="009C2DDA"/>
    <w:rsid w:val="009C2E95"/>
    <w:rsid w:val="009C30D8"/>
    <w:rsid w:val="009C3181"/>
    <w:rsid w:val="009C323C"/>
    <w:rsid w:val="009C3692"/>
    <w:rsid w:val="009C36BF"/>
    <w:rsid w:val="009C3771"/>
    <w:rsid w:val="009C37D5"/>
    <w:rsid w:val="009C38E4"/>
    <w:rsid w:val="009C3A2E"/>
    <w:rsid w:val="009C3A33"/>
    <w:rsid w:val="009C3A4E"/>
    <w:rsid w:val="009C3B3A"/>
    <w:rsid w:val="009C3B50"/>
    <w:rsid w:val="009C3BA5"/>
    <w:rsid w:val="009C3EBF"/>
    <w:rsid w:val="009C3F3C"/>
    <w:rsid w:val="009C401B"/>
    <w:rsid w:val="009C40F7"/>
    <w:rsid w:val="009C41E4"/>
    <w:rsid w:val="009C4277"/>
    <w:rsid w:val="009C4332"/>
    <w:rsid w:val="009C43AA"/>
    <w:rsid w:val="009C4463"/>
    <w:rsid w:val="009C446A"/>
    <w:rsid w:val="009C4483"/>
    <w:rsid w:val="009C4562"/>
    <w:rsid w:val="009C45A1"/>
    <w:rsid w:val="009C4715"/>
    <w:rsid w:val="009C47DF"/>
    <w:rsid w:val="009C4831"/>
    <w:rsid w:val="009C4866"/>
    <w:rsid w:val="009C4898"/>
    <w:rsid w:val="009C48DA"/>
    <w:rsid w:val="009C497F"/>
    <w:rsid w:val="009C49D6"/>
    <w:rsid w:val="009C4A50"/>
    <w:rsid w:val="009C4AE4"/>
    <w:rsid w:val="009C4B52"/>
    <w:rsid w:val="009C4BE7"/>
    <w:rsid w:val="009C4DF9"/>
    <w:rsid w:val="009C4E69"/>
    <w:rsid w:val="009C4EF6"/>
    <w:rsid w:val="009C4F79"/>
    <w:rsid w:val="009C4FE4"/>
    <w:rsid w:val="009C5119"/>
    <w:rsid w:val="009C518A"/>
    <w:rsid w:val="009C520B"/>
    <w:rsid w:val="009C5239"/>
    <w:rsid w:val="009C5252"/>
    <w:rsid w:val="009C52C7"/>
    <w:rsid w:val="009C5319"/>
    <w:rsid w:val="009C534D"/>
    <w:rsid w:val="009C540F"/>
    <w:rsid w:val="009C5468"/>
    <w:rsid w:val="009C54CD"/>
    <w:rsid w:val="009C5655"/>
    <w:rsid w:val="009C5689"/>
    <w:rsid w:val="009C56F9"/>
    <w:rsid w:val="009C58BD"/>
    <w:rsid w:val="009C5935"/>
    <w:rsid w:val="009C59B1"/>
    <w:rsid w:val="009C59B7"/>
    <w:rsid w:val="009C5B5C"/>
    <w:rsid w:val="009C5B6C"/>
    <w:rsid w:val="009C5B9B"/>
    <w:rsid w:val="009C5CBD"/>
    <w:rsid w:val="009C5D00"/>
    <w:rsid w:val="009C5DA4"/>
    <w:rsid w:val="009C5E4A"/>
    <w:rsid w:val="009C5E7E"/>
    <w:rsid w:val="009C5EFE"/>
    <w:rsid w:val="009C5F7A"/>
    <w:rsid w:val="009C5FF7"/>
    <w:rsid w:val="009C6025"/>
    <w:rsid w:val="009C616D"/>
    <w:rsid w:val="009C634B"/>
    <w:rsid w:val="009C638E"/>
    <w:rsid w:val="009C63AB"/>
    <w:rsid w:val="009C6429"/>
    <w:rsid w:val="009C6439"/>
    <w:rsid w:val="009C6464"/>
    <w:rsid w:val="009C6477"/>
    <w:rsid w:val="009C6611"/>
    <w:rsid w:val="009C677E"/>
    <w:rsid w:val="009C692B"/>
    <w:rsid w:val="009C6A1B"/>
    <w:rsid w:val="009C6A59"/>
    <w:rsid w:val="009C6A9B"/>
    <w:rsid w:val="009C6BA0"/>
    <w:rsid w:val="009C6BC7"/>
    <w:rsid w:val="009C6C1A"/>
    <w:rsid w:val="009C6D1A"/>
    <w:rsid w:val="009C6D77"/>
    <w:rsid w:val="009C6DF0"/>
    <w:rsid w:val="009C6DF1"/>
    <w:rsid w:val="009C6F29"/>
    <w:rsid w:val="009C7273"/>
    <w:rsid w:val="009C73DE"/>
    <w:rsid w:val="009C73F7"/>
    <w:rsid w:val="009C752C"/>
    <w:rsid w:val="009C7600"/>
    <w:rsid w:val="009C764C"/>
    <w:rsid w:val="009C7660"/>
    <w:rsid w:val="009C76D1"/>
    <w:rsid w:val="009C7710"/>
    <w:rsid w:val="009C7739"/>
    <w:rsid w:val="009C782C"/>
    <w:rsid w:val="009C78E0"/>
    <w:rsid w:val="009C78FB"/>
    <w:rsid w:val="009C7978"/>
    <w:rsid w:val="009C79C5"/>
    <w:rsid w:val="009C7A3B"/>
    <w:rsid w:val="009C7A5B"/>
    <w:rsid w:val="009C7AEE"/>
    <w:rsid w:val="009C7C06"/>
    <w:rsid w:val="009C7CC7"/>
    <w:rsid w:val="009C7F9A"/>
    <w:rsid w:val="009D00E8"/>
    <w:rsid w:val="009D0184"/>
    <w:rsid w:val="009D01EE"/>
    <w:rsid w:val="009D026A"/>
    <w:rsid w:val="009D02BC"/>
    <w:rsid w:val="009D0325"/>
    <w:rsid w:val="009D034D"/>
    <w:rsid w:val="009D03CC"/>
    <w:rsid w:val="009D0408"/>
    <w:rsid w:val="009D043A"/>
    <w:rsid w:val="009D0501"/>
    <w:rsid w:val="009D057A"/>
    <w:rsid w:val="009D05AC"/>
    <w:rsid w:val="009D05AD"/>
    <w:rsid w:val="009D05C4"/>
    <w:rsid w:val="009D060F"/>
    <w:rsid w:val="009D065F"/>
    <w:rsid w:val="009D068F"/>
    <w:rsid w:val="009D07AC"/>
    <w:rsid w:val="009D087C"/>
    <w:rsid w:val="009D08CF"/>
    <w:rsid w:val="009D08FB"/>
    <w:rsid w:val="009D091F"/>
    <w:rsid w:val="009D0A2C"/>
    <w:rsid w:val="009D0A61"/>
    <w:rsid w:val="009D0AE2"/>
    <w:rsid w:val="009D0B66"/>
    <w:rsid w:val="009D0B90"/>
    <w:rsid w:val="009D0BE8"/>
    <w:rsid w:val="009D0C0C"/>
    <w:rsid w:val="009D0C13"/>
    <w:rsid w:val="009D0D32"/>
    <w:rsid w:val="009D0DD4"/>
    <w:rsid w:val="009D0E08"/>
    <w:rsid w:val="009D0E0D"/>
    <w:rsid w:val="009D0F4D"/>
    <w:rsid w:val="009D0F62"/>
    <w:rsid w:val="009D0F6C"/>
    <w:rsid w:val="009D0FBE"/>
    <w:rsid w:val="009D1005"/>
    <w:rsid w:val="009D1049"/>
    <w:rsid w:val="009D1226"/>
    <w:rsid w:val="009D124A"/>
    <w:rsid w:val="009D1263"/>
    <w:rsid w:val="009D127E"/>
    <w:rsid w:val="009D12FB"/>
    <w:rsid w:val="009D1409"/>
    <w:rsid w:val="009D1430"/>
    <w:rsid w:val="009D14C1"/>
    <w:rsid w:val="009D15F8"/>
    <w:rsid w:val="009D1620"/>
    <w:rsid w:val="009D16EF"/>
    <w:rsid w:val="009D176C"/>
    <w:rsid w:val="009D17A6"/>
    <w:rsid w:val="009D17D0"/>
    <w:rsid w:val="009D1855"/>
    <w:rsid w:val="009D186D"/>
    <w:rsid w:val="009D1874"/>
    <w:rsid w:val="009D18C2"/>
    <w:rsid w:val="009D19CA"/>
    <w:rsid w:val="009D1AFC"/>
    <w:rsid w:val="009D1D16"/>
    <w:rsid w:val="009D1EA5"/>
    <w:rsid w:val="009D1FCB"/>
    <w:rsid w:val="009D2046"/>
    <w:rsid w:val="009D2170"/>
    <w:rsid w:val="009D2180"/>
    <w:rsid w:val="009D21C1"/>
    <w:rsid w:val="009D21F2"/>
    <w:rsid w:val="009D2216"/>
    <w:rsid w:val="009D22A3"/>
    <w:rsid w:val="009D23B8"/>
    <w:rsid w:val="009D2408"/>
    <w:rsid w:val="009D2438"/>
    <w:rsid w:val="009D2472"/>
    <w:rsid w:val="009D24B6"/>
    <w:rsid w:val="009D2615"/>
    <w:rsid w:val="009D26CA"/>
    <w:rsid w:val="009D2763"/>
    <w:rsid w:val="009D2836"/>
    <w:rsid w:val="009D28C7"/>
    <w:rsid w:val="009D2946"/>
    <w:rsid w:val="009D29E4"/>
    <w:rsid w:val="009D29E8"/>
    <w:rsid w:val="009D2A6A"/>
    <w:rsid w:val="009D2A8F"/>
    <w:rsid w:val="009D2B3D"/>
    <w:rsid w:val="009D2E3F"/>
    <w:rsid w:val="009D2F36"/>
    <w:rsid w:val="009D2F4E"/>
    <w:rsid w:val="009D2F96"/>
    <w:rsid w:val="009D30C5"/>
    <w:rsid w:val="009D3232"/>
    <w:rsid w:val="009D32AE"/>
    <w:rsid w:val="009D32DB"/>
    <w:rsid w:val="009D3371"/>
    <w:rsid w:val="009D341C"/>
    <w:rsid w:val="009D343D"/>
    <w:rsid w:val="009D34F4"/>
    <w:rsid w:val="009D3505"/>
    <w:rsid w:val="009D352A"/>
    <w:rsid w:val="009D35FC"/>
    <w:rsid w:val="009D36B2"/>
    <w:rsid w:val="009D36C4"/>
    <w:rsid w:val="009D36CA"/>
    <w:rsid w:val="009D36CC"/>
    <w:rsid w:val="009D3758"/>
    <w:rsid w:val="009D3770"/>
    <w:rsid w:val="009D377F"/>
    <w:rsid w:val="009D37D6"/>
    <w:rsid w:val="009D387C"/>
    <w:rsid w:val="009D38B4"/>
    <w:rsid w:val="009D38C0"/>
    <w:rsid w:val="009D391E"/>
    <w:rsid w:val="009D3936"/>
    <w:rsid w:val="009D395A"/>
    <w:rsid w:val="009D3980"/>
    <w:rsid w:val="009D3ACE"/>
    <w:rsid w:val="009D3C97"/>
    <w:rsid w:val="009D3CB1"/>
    <w:rsid w:val="009D3E8B"/>
    <w:rsid w:val="009D3F7D"/>
    <w:rsid w:val="009D3F97"/>
    <w:rsid w:val="009D3FD0"/>
    <w:rsid w:val="009D407A"/>
    <w:rsid w:val="009D40FB"/>
    <w:rsid w:val="009D4134"/>
    <w:rsid w:val="009D4148"/>
    <w:rsid w:val="009D41B3"/>
    <w:rsid w:val="009D4378"/>
    <w:rsid w:val="009D43D7"/>
    <w:rsid w:val="009D45DB"/>
    <w:rsid w:val="009D45FD"/>
    <w:rsid w:val="009D4635"/>
    <w:rsid w:val="009D46F4"/>
    <w:rsid w:val="009D47A3"/>
    <w:rsid w:val="009D47F8"/>
    <w:rsid w:val="009D49BC"/>
    <w:rsid w:val="009D4B12"/>
    <w:rsid w:val="009D4B17"/>
    <w:rsid w:val="009D4C76"/>
    <w:rsid w:val="009D4DE2"/>
    <w:rsid w:val="009D4E5B"/>
    <w:rsid w:val="009D4FA2"/>
    <w:rsid w:val="009D506B"/>
    <w:rsid w:val="009D50ED"/>
    <w:rsid w:val="009D510E"/>
    <w:rsid w:val="009D514D"/>
    <w:rsid w:val="009D51D2"/>
    <w:rsid w:val="009D52A6"/>
    <w:rsid w:val="009D52F1"/>
    <w:rsid w:val="009D536B"/>
    <w:rsid w:val="009D53AB"/>
    <w:rsid w:val="009D54E1"/>
    <w:rsid w:val="009D558C"/>
    <w:rsid w:val="009D55EA"/>
    <w:rsid w:val="009D5626"/>
    <w:rsid w:val="009D5660"/>
    <w:rsid w:val="009D569E"/>
    <w:rsid w:val="009D56BB"/>
    <w:rsid w:val="009D5760"/>
    <w:rsid w:val="009D57FF"/>
    <w:rsid w:val="009D5856"/>
    <w:rsid w:val="009D590E"/>
    <w:rsid w:val="009D5A4E"/>
    <w:rsid w:val="009D5CD4"/>
    <w:rsid w:val="009D5E9A"/>
    <w:rsid w:val="009D605A"/>
    <w:rsid w:val="009D6149"/>
    <w:rsid w:val="009D627F"/>
    <w:rsid w:val="009D629E"/>
    <w:rsid w:val="009D62A1"/>
    <w:rsid w:val="009D62DE"/>
    <w:rsid w:val="009D635F"/>
    <w:rsid w:val="009D64A0"/>
    <w:rsid w:val="009D64BE"/>
    <w:rsid w:val="009D64EA"/>
    <w:rsid w:val="009D6546"/>
    <w:rsid w:val="009D6568"/>
    <w:rsid w:val="009D6597"/>
    <w:rsid w:val="009D65A3"/>
    <w:rsid w:val="009D6717"/>
    <w:rsid w:val="009D6724"/>
    <w:rsid w:val="009D6738"/>
    <w:rsid w:val="009D67FB"/>
    <w:rsid w:val="009D681B"/>
    <w:rsid w:val="009D68DC"/>
    <w:rsid w:val="009D6A1A"/>
    <w:rsid w:val="009D6A71"/>
    <w:rsid w:val="009D6BA2"/>
    <w:rsid w:val="009D6C3E"/>
    <w:rsid w:val="009D6C8A"/>
    <w:rsid w:val="009D6C9D"/>
    <w:rsid w:val="009D6F55"/>
    <w:rsid w:val="009D6FA7"/>
    <w:rsid w:val="009D6FBF"/>
    <w:rsid w:val="009D710A"/>
    <w:rsid w:val="009D711A"/>
    <w:rsid w:val="009D725D"/>
    <w:rsid w:val="009D7342"/>
    <w:rsid w:val="009D7430"/>
    <w:rsid w:val="009D74C3"/>
    <w:rsid w:val="009D750C"/>
    <w:rsid w:val="009D7641"/>
    <w:rsid w:val="009D7896"/>
    <w:rsid w:val="009D78AA"/>
    <w:rsid w:val="009D798E"/>
    <w:rsid w:val="009D7B43"/>
    <w:rsid w:val="009D7C65"/>
    <w:rsid w:val="009D7D78"/>
    <w:rsid w:val="009D7E2C"/>
    <w:rsid w:val="009D7EFF"/>
    <w:rsid w:val="009D7F8B"/>
    <w:rsid w:val="009DD0BE"/>
    <w:rsid w:val="009DDDD2"/>
    <w:rsid w:val="009E0094"/>
    <w:rsid w:val="009E01CE"/>
    <w:rsid w:val="009E02FD"/>
    <w:rsid w:val="009E039C"/>
    <w:rsid w:val="009E0477"/>
    <w:rsid w:val="009E051B"/>
    <w:rsid w:val="009E059D"/>
    <w:rsid w:val="009E0629"/>
    <w:rsid w:val="009E0695"/>
    <w:rsid w:val="009E070A"/>
    <w:rsid w:val="009E071B"/>
    <w:rsid w:val="009E0737"/>
    <w:rsid w:val="009E07FA"/>
    <w:rsid w:val="009E0814"/>
    <w:rsid w:val="009E0837"/>
    <w:rsid w:val="009E0892"/>
    <w:rsid w:val="009E0969"/>
    <w:rsid w:val="009E0973"/>
    <w:rsid w:val="009E09AE"/>
    <w:rsid w:val="009E09F4"/>
    <w:rsid w:val="009E0A95"/>
    <w:rsid w:val="009E0AC3"/>
    <w:rsid w:val="009E0B25"/>
    <w:rsid w:val="009E0B28"/>
    <w:rsid w:val="009E0C4F"/>
    <w:rsid w:val="009E0CA6"/>
    <w:rsid w:val="009E0CC0"/>
    <w:rsid w:val="009E0D47"/>
    <w:rsid w:val="009E0D53"/>
    <w:rsid w:val="009E0ED3"/>
    <w:rsid w:val="009E0F68"/>
    <w:rsid w:val="009E0FE2"/>
    <w:rsid w:val="009E1230"/>
    <w:rsid w:val="009E1372"/>
    <w:rsid w:val="009E1400"/>
    <w:rsid w:val="009E155D"/>
    <w:rsid w:val="009E1595"/>
    <w:rsid w:val="009E162C"/>
    <w:rsid w:val="009E16FA"/>
    <w:rsid w:val="009E17D1"/>
    <w:rsid w:val="009E183B"/>
    <w:rsid w:val="009E18C5"/>
    <w:rsid w:val="009E1930"/>
    <w:rsid w:val="009E1A95"/>
    <w:rsid w:val="009E1D10"/>
    <w:rsid w:val="009E1E96"/>
    <w:rsid w:val="009E1EF3"/>
    <w:rsid w:val="009E1FA5"/>
    <w:rsid w:val="009E20DE"/>
    <w:rsid w:val="009E22C1"/>
    <w:rsid w:val="009E242F"/>
    <w:rsid w:val="009E2463"/>
    <w:rsid w:val="009E24A1"/>
    <w:rsid w:val="009E25E9"/>
    <w:rsid w:val="009E274F"/>
    <w:rsid w:val="009E2898"/>
    <w:rsid w:val="009E28B5"/>
    <w:rsid w:val="009E28FD"/>
    <w:rsid w:val="009E29DB"/>
    <w:rsid w:val="009E29E4"/>
    <w:rsid w:val="009E2B26"/>
    <w:rsid w:val="009E2B65"/>
    <w:rsid w:val="009E2C39"/>
    <w:rsid w:val="009E2CAF"/>
    <w:rsid w:val="009E2DD4"/>
    <w:rsid w:val="009E2DEE"/>
    <w:rsid w:val="009E2F29"/>
    <w:rsid w:val="009E2FC6"/>
    <w:rsid w:val="009E2FD9"/>
    <w:rsid w:val="009E2FFB"/>
    <w:rsid w:val="009E301F"/>
    <w:rsid w:val="009E30F7"/>
    <w:rsid w:val="009E3203"/>
    <w:rsid w:val="009E3267"/>
    <w:rsid w:val="009E3336"/>
    <w:rsid w:val="009E33EC"/>
    <w:rsid w:val="009E344D"/>
    <w:rsid w:val="009E34B4"/>
    <w:rsid w:val="009E34C2"/>
    <w:rsid w:val="009E3595"/>
    <w:rsid w:val="009E379D"/>
    <w:rsid w:val="009E37BD"/>
    <w:rsid w:val="009E37F5"/>
    <w:rsid w:val="009E3912"/>
    <w:rsid w:val="009E3972"/>
    <w:rsid w:val="009E3A21"/>
    <w:rsid w:val="009E3A93"/>
    <w:rsid w:val="009E3AF2"/>
    <w:rsid w:val="009E3AFA"/>
    <w:rsid w:val="009E3CB9"/>
    <w:rsid w:val="009E3D51"/>
    <w:rsid w:val="009E3D9C"/>
    <w:rsid w:val="009E3DA6"/>
    <w:rsid w:val="009E3DAD"/>
    <w:rsid w:val="009E3E20"/>
    <w:rsid w:val="009E3E6F"/>
    <w:rsid w:val="009E3F8A"/>
    <w:rsid w:val="009E3F95"/>
    <w:rsid w:val="009E3FD2"/>
    <w:rsid w:val="009E4066"/>
    <w:rsid w:val="009E40E5"/>
    <w:rsid w:val="009E4332"/>
    <w:rsid w:val="009E43E4"/>
    <w:rsid w:val="009E44B1"/>
    <w:rsid w:val="009E4576"/>
    <w:rsid w:val="009E458B"/>
    <w:rsid w:val="009E4639"/>
    <w:rsid w:val="009E468E"/>
    <w:rsid w:val="009E4727"/>
    <w:rsid w:val="009E4784"/>
    <w:rsid w:val="009E4A42"/>
    <w:rsid w:val="009E4CE3"/>
    <w:rsid w:val="009E4EC2"/>
    <w:rsid w:val="009E4F28"/>
    <w:rsid w:val="009E4F30"/>
    <w:rsid w:val="009E4F65"/>
    <w:rsid w:val="009E5164"/>
    <w:rsid w:val="009E51E3"/>
    <w:rsid w:val="009E521E"/>
    <w:rsid w:val="009E5302"/>
    <w:rsid w:val="009E54D4"/>
    <w:rsid w:val="009E555C"/>
    <w:rsid w:val="009E55A5"/>
    <w:rsid w:val="009E56DD"/>
    <w:rsid w:val="009E5767"/>
    <w:rsid w:val="009E5937"/>
    <w:rsid w:val="009E595A"/>
    <w:rsid w:val="009E59A1"/>
    <w:rsid w:val="009E5A66"/>
    <w:rsid w:val="009E5B0A"/>
    <w:rsid w:val="009E5CFF"/>
    <w:rsid w:val="009E5E03"/>
    <w:rsid w:val="009E5E61"/>
    <w:rsid w:val="009E5E85"/>
    <w:rsid w:val="009E5EF9"/>
    <w:rsid w:val="009E5F25"/>
    <w:rsid w:val="009E5FE5"/>
    <w:rsid w:val="009E5FF4"/>
    <w:rsid w:val="009E5FF6"/>
    <w:rsid w:val="009E604D"/>
    <w:rsid w:val="009E606B"/>
    <w:rsid w:val="009E6149"/>
    <w:rsid w:val="009E6158"/>
    <w:rsid w:val="009E6196"/>
    <w:rsid w:val="009E61DC"/>
    <w:rsid w:val="009E6343"/>
    <w:rsid w:val="009E6374"/>
    <w:rsid w:val="009E63CA"/>
    <w:rsid w:val="009E645B"/>
    <w:rsid w:val="009E6589"/>
    <w:rsid w:val="009E65C7"/>
    <w:rsid w:val="009E65D2"/>
    <w:rsid w:val="009E6667"/>
    <w:rsid w:val="009E67CA"/>
    <w:rsid w:val="009E6A07"/>
    <w:rsid w:val="009E6A4B"/>
    <w:rsid w:val="009E6AA3"/>
    <w:rsid w:val="009E6AC3"/>
    <w:rsid w:val="009E6AFB"/>
    <w:rsid w:val="009E6BCD"/>
    <w:rsid w:val="009E6BD9"/>
    <w:rsid w:val="009E6D64"/>
    <w:rsid w:val="009E6D7F"/>
    <w:rsid w:val="009E6E0C"/>
    <w:rsid w:val="009E6E28"/>
    <w:rsid w:val="009E6E74"/>
    <w:rsid w:val="009E6E7D"/>
    <w:rsid w:val="009E6F2A"/>
    <w:rsid w:val="009E6F35"/>
    <w:rsid w:val="009E71A1"/>
    <w:rsid w:val="009E7286"/>
    <w:rsid w:val="009E72BA"/>
    <w:rsid w:val="009E733B"/>
    <w:rsid w:val="009E7356"/>
    <w:rsid w:val="009E73F2"/>
    <w:rsid w:val="009E74F2"/>
    <w:rsid w:val="009E7516"/>
    <w:rsid w:val="009E7655"/>
    <w:rsid w:val="009E7684"/>
    <w:rsid w:val="009E7688"/>
    <w:rsid w:val="009E779D"/>
    <w:rsid w:val="009E78C8"/>
    <w:rsid w:val="009E78EB"/>
    <w:rsid w:val="009E799F"/>
    <w:rsid w:val="009E7A04"/>
    <w:rsid w:val="009E7A54"/>
    <w:rsid w:val="009E7AC3"/>
    <w:rsid w:val="009E7B36"/>
    <w:rsid w:val="009E7BBA"/>
    <w:rsid w:val="009E7DF0"/>
    <w:rsid w:val="009E7EF5"/>
    <w:rsid w:val="009E7F8D"/>
    <w:rsid w:val="009EB3A0"/>
    <w:rsid w:val="009F00D9"/>
    <w:rsid w:val="009F017B"/>
    <w:rsid w:val="009F0182"/>
    <w:rsid w:val="009F0214"/>
    <w:rsid w:val="009F0220"/>
    <w:rsid w:val="009F026E"/>
    <w:rsid w:val="009F030D"/>
    <w:rsid w:val="009F03D4"/>
    <w:rsid w:val="009F0408"/>
    <w:rsid w:val="009F0453"/>
    <w:rsid w:val="009F04D3"/>
    <w:rsid w:val="009F0593"/>
    <w:rsid w:val="009F05D3"/>
    <w:rsid w:val="009F06D9"/>
    <w:rsid w:val="009F06F0"/>
    <w:rsid w:val="009F0820"/>
    <w:rsid w:val="009F082F"/>
    <w:rsid w:val="009F08A3"/>
    <w:rsid w:val="009F08B9"/>
    <w:rsid w:val="009F0A79"/>
    <w:rsid w:val="009F0B0B"/>
    <w:rsid w:val="009F0D8D"/>
    <w:rsid w:val="009F0E01"/>
    <w:rsid w:val="009F0E9C"/>
    <w:rsid w:val="009F109E"/>
    <w:rsid w:val="009F10AB"/>
    <w:rsid w:val="009F120D"/>
    <w:rsid w:val="009F125F"/>
    <w:rsid w:val="009F135E"/>
    <w:rsid w:val="009F13F6"/>
    <w:rsid w:val="009F141A"/>
    <w:rsid w:val="009F1426"/>
    <w:rsid w:val="009F1602"/>
    <w:rsid w:val="009F16F4"/>
    <w:rsid w:val="009F176D"/>
    <w:rsid w:val="009F18E2"/>
    <w:rsid w:val="009F19B3"/>
    <w:rsid w:val="009F1A02"/>
    <w:rsid w:val="009F1B3C"/>
    <w:rsid w:val="009F1B5D"/>
    <w:rsid w:val="009F1B61"/>
    <w:rsid w:val="009F1C93"/>
    <w:rsid w:val="009F1DA3"/>
    <w:rsid w:val="009F1DF0"/>
    <w:rsid w:val="009F1EBD"/>
    <w:rsid w:val="009F1F5F"/>
    <w:rsid w:val="009F1FD7"/>
    <w:rsid w:val="009F1FE6"/>
    <w:rsid w:val="009F20F1"/>
    <w:rsid w:val="009F2140"/>
    <w:rsid w:val="009F21C7"/>
    <w:rsid w:val="009F21DC"/>
    <w:rsid w:val="009F222F"/>
    <w:rsid w:val="009F2231"/>
    <w:rsid w:val="009F227D"/>
    <w:rsid w:val="009F22A8"/>
    <w:rsid w:val="009F23C4"/>
    <w:rsid w:val="009F240A"/>
    <w:rsid w:val="009F2411"/>
    <w:rsid w:val="009F2617"/>
    <w:rsid w:val="009F2730"/>
    <w:rsid w:val="009F2759"/>
    <w:rsid w:val="009F2827"/>
    <w:rsid w:val="009F286D"/>
    <w:rsid w:val="009F29A4"/>
    <w:rsid w:val="009F29D9"/>
    <w:rsid w:val="009F2A35"/>
    <w:rsid w:val="009F2A83"/>
    <w:rsid w:val="009F2A99"/>
    <w:rsid w:val="009F2CAD"/>
    <w:rsid w:val="009F2D25"/>
    <w:rsid w:val="009F2D50"/>
    <w:rsid w:val="009F2D9C"/>
    <w:rsid w:val="009F2F37"/>
    <w:rsid w:val="009F3031"/>
    <w:rsid w:val="009F3097"/>
    <w:rsid w:val="009F30A4"/>
    <w:rsid w:val="009F30EE"/>
    <w:rsid w:val="009F3355"/>
    <w:rsid w:val="009F33E7"/>
    <w:rsid w:val="009F3418"/>
    <w:rsid w:val="009F3432"/>
    <w:rsid w:val="009F3440"/>
    <w:rsid w:val="009F344F"/>
    <w:rsid w:val="009F348F"/>
    <w:rsid w:val="009F34B9"/>
    <w:rsid w:val="009F3576"/>
    <w:rsid w:val="009F366A"/>
    <w:rsid w:val="009F371B"/>
    <w:rsid w:val="009F3754"/>
    <w:rsid w:val="009F3761"/>
    <w:rsid w:val="009F37DD"/>
    <w:rsid w:val="009F3963"/>
    <w:rsid w:val="009F3A42"/>
    <w:rsid w:val="009F3A44"/>
    <w:rsid w:val="009F3AFE"/>
    <w:rsid w:val="009F3B62"/>
    <w:rsid w:val="009F3BE5"/>
    <w:rsid w:val="009F3C0B"/>
    <w:rsid w:val="009F3C42"/>
    <w:rsid w:val="009F3C8A"/>
    <w:rsid w:val="009F3DCA"/>
    <w:rsid w:val="009F3ED8"/>
    <w:rsid w:val="009F3F27"/>
    <w:rsid w:val="009F4081"/>
    <w:rsid w:val="009F411F"/>
    <w:rsid w:val="009F4121"/>
    <w:rsid w:val="009F4168"/>
    <w:rsid w:val="009F41EB"/>
    <w:rsid w:val="009F42B9"/>
    <w:rsid w:val="009F446F"/>
    <w:rsid w:val="009F4539"/>
    <w:rsid w:val="009F4719"/>
    <w:rsid w:val="009F4A65"/>
    <w:rsid w:val="009F4AC6"/>
    <w:rsid w:val="009F4BCF"/>
    <w:rsid w:val="009F4C2B"/>
    <w:rsid w:val="009F4CA9"/>
    <w:rsid w:val="009F4CCC"/>
    <w:rsid w:val="009F4DF1"/>
    <w:rsid w:val="009F503D"/>
    <w:rsid w:val="009F5054"/>
    <w:rsid w:val="009F5074"/>
    <w:rsid w:val="009F50A0"/>
    <w:rsid w:val="009F50CF"/>
    <w:rsid w:val="009F50E7"/>
    <w:rsid w:val="009F511F"/>
    <w:rsid w:val="009F51B0"/>
    <w:rsid w:val="009F52F3"/>
    <w:rsid w:val="009F532E"/>
    <w:rsid w:val="009F5359"/>
    <w:rsid w:val="009F537E"/>
    <w:rsid w:val="009F53B3"/>
    <w:rsid w:val="009F5404"/>
    <w:rsid w:val="009F548A"/>
    <w:rsid w:val="009F5553"/>
    <w:rsid w:val="009F55BE"/>
    <w:rsid w:val="009F55DF"/>
    <w:rsid w:val="009F5647"/>
    <w:rsid w:val="009F5648"/>
    <w:rsid w:val="009F5669"/>
    <w:rsid w:val="009F567C"/>
    <w:rsid w:val="009F56EF"/>
    <w:rsid w:val="009F5765"/>
    <w:rsid w:val="009F57CB"/>
    <w:rsid w:val="009F57EF"/>
    <w:rsid w:val="009F5828"/>
    <w:rsid w:val="009F58F6"/>
    <w:rsid w:val="009F5900"/>
    <w:rsid w:val="009F59F1"/>
    <w:rsid w:val="009F5A60"/>
    <w:rsid w:val="009F5ACF"/>
    <w:rsid w:val="009F5C7F"/>
    <w:rsid w:val="009F5D05"/>
    <w:rsid w:val="009F5D31"/>
    <w:rsid w:val="009F5F17"/>
    <w:rsid w:val="009F5F51"/>
    <w:rsid w:val="009F5F82"/>
    <w:rsid w:val="009F5FBB"/>
    <w:rsid w:val="009F6004"/>
    <w:rsid w:val="009F6135"/>
    <w:rsid w:val="009F6210"/>
    <w:rsid w:val="009F62BE"/>
    <w:rsid w:val="009F6327"/>
    <w:rsid w:val="009F639A"/>
    <w:rsid w:val="009F63B3"/>
    <w:rsid w:val="009F63EA"/>
    <w:rsid w:val="009F659A"/>
    <w:rsid w:val="009F673A"/>
    <w:rsid w:val="009F6787"/>
    <w:rsid w:val="009F6798"/>
    <w:rsid w:val="009F67A1"/>
    <w:rsid w:val="009F682E"/>
    <w:rsid w:val="009F6A08"/>
    <w:rsid w:val="009F6A1F"/>
    <w:rsid w:val="009F6C94"/>
    <w:rsid w:val="009F6D97"/>
    <w:rsid w:val="009F6EDE"/>
    <w:rsid w:val="009F6EFC"/>
    <w:rsid w:val="009F6F21"/>
    <w:rsid w:val="009F6F73"/>
    <w:rsid w:val="009F7031"/>
    <w:rsid w:val="009F7095"/>
    <w:rsid w:val="009F7131"/>
    <w:rsid w:val="009F718D"/>
    <w:rsid w:val="009F721D"/>
    <w:rsid w:val="009F722C"/>
    <w:rsid w:val="009F728E"/>
    <w:rsid w:val="009F7346"/>
    <w:rsid w:val="009F7408"/>
    <w:rsid w:val="009F747B"/>
    <w:rsid w:val="009F7543"/>
    <w:rsid w:val="009F755F"/>
    <w:rsid w:val="009F76F5"/>
    <w:rsid w:val="009F781F"/>
    <w:rsid w:val="009F78E8"/>
    <w:rsid w:val="009F79C9"/>
    <w:rsid w:val="009F7A43"/>
    <w:rsid w:val="009F7A86"/>
    <w:rsid w:val="009F7B85"/>
    <w:rsid w:val="009F7D6A"/>
    <w:rsid w:val="009F7D88"/>
    <w:rsid w:val="009F7E63"/>
    <w:rsid w:val="009F7E7B"/>
    <w:rsid w:val="009F7F24"/>
    <w:rsid w:val="00A00031"/>
    <w:rsid w:val="00A0003B"/>
    <w:rsid w:val="00A00391"/>
    <w:rsid w:val="00A004AE"/>
    <w:rsid w:val="00A004EE"/>
    <w:rsid w:val="00A0063E"/>
    <w:rsid w:val="00A006EA"/>
    <w:rsid w:val="00A007F8"/>
    <w:rsid w:val="00A0095E"/>
    <w:rsid w:val="00A009CB"/>
    <w:rsid w:val="00A00A67"/>
    <w:rsid w:val="00A00B88"/>
    <w:rsid w:val="00A00BB6"/>
    <w:rsid w:val="00A00C22"/>
    <w:rsid w:val="00A00C36"/>
    <w:rsid w:val="00A00C92"/>
    <w:rsid w:val="00A00E5B"/>
    <w:rsid w:val="00A00E62"/>
    <w:rsid w:val="00A00F08"/>
    <w:rsid w:val="00A00FAE"/>
    <w:rsid w:val="00A01068"/>
    <w:rsid w:val="00A01122"/>
    <w:rsid w:val="00A01233"/>
    <w:rsid w:val="00A013A2"/>
    <w:rsid w:val="00A013B5"/>
    <w:rsid w:val="00A0143A"/>
    <w:rsid w:val="00A014DD"/>
    <w:rsid w:val="00A014EF"/>
    <w:rsid w:val="00A015DA"/>
    <w:rsid w:val="00A0163B"/>
    <w:rsid w:val="00A01684"/>
    <w:rsid w:val="00A01A13"/>
    <w:rsid w:val="00A01AA2"/>
    <w:rsid w:val="00A01B49"/>
    <w:rsid w:val="00A01C76"/>
    <w:rsid w:val="00A01D3B"/>
    <w:rsid w:val="00A01E93"/>
    <w:rsid w:val="00A01EB9"/>
    <w:rsid w:val="00A01F33"/>
    <w:rsid w:val="00A01FA3"/>
    <w:rsid w:val="00A0218A"/>
    <w:rsid w:val="00A02194"/>
    <w:rsid w:val="00A021B4"/>
    <w:rsid w:val="00A021BA"/>
    <w:rsid w:val="00A02289"/>
    <w:rsid w:val="00A023ED"/>
    <w:rsid w:val="00A024D2"/>
    <w:rsid w:val="00A02602"/>
    <w:rsid w:val="00A0266C"/>
    <w:rsid w:val="00A0278A"/>
    <w:rsid w:val="00A027A2"/>
    <w:rsid w:val="00A02819"/>
    <w:rsid w:val="00A02863"/>
    <w:rsid w:val="00A0288D"/>
    <w:rsid w:val="00A028C9"/>
    <w:rsid w:val="00A028E9"/>
    <w:rsid w:val="00A0290C"/>
    <w:rsid w:val="00A02A44"/>
    <w:rsid w:val="00A02A92"/>
    <w:rsid w:val="00A02C21"/>
    <w:rsid w:val="00A02D70"/>
    <w:rsid w:val="00A02DEE"/>
    <w:rsid w:val="00A02EA5"/>
    <w:rsid w:val="00A02ECF"/>
    <w:rsid w:val="00A02F10"/>
    <w:rsid w:val="00A03136"/>
    <w:rsid w:val="00A032E6"/>
    <w:rsid w:val="00A0331C"/>
    <w:rsid w:val="00A03379"/>
    <w:rsid w:val="00A0338A"/>
    <w:rsid w:val="00A034DF"/>
    <w:rsid w:val="00A035DE"/>
    <w:rsid w:val="00A035EF"/>
    <w:rsid w:val="00A0372B"/>
    <w:rsid w:val="00A037C9"/>
    <w:rsid w:val="00A0385C"/>
    <w:rsid w:val="00A03BA5"/>
    <w:rsid w:val="00A03CDF"/>
    <w:rsid w:val="00A03DD8"/>
    <w:rsid w:val="00A03DE1"/>
    <w:rsid w:val="00A03DF0"/>
    <w:rsid w:val="00A0405D"/>
    <w:rsid w:val="00A040D9"/>
    <w:rsid w:val="00A04335"/>
    <w:rsid w:val="00A043B8"/>
    <w:rsid w:val="00A043BF"/>
    <w:rsid w:val="00A0442E"/>
    <w:rsid w:val="00A04473"/>
    <w:rsid w:val="00A0456C"/>
    <w:rsid w:val="00A04593"/>
    <w:rsid w:val="00A04594"/>
    <w:rsid w:val="00A045AA"/>
    <w:rsid w:val="00A04600"/>
    <w:rsid w:val="00A0462E"/>
    <w:rsid w:val="00A0469C"/>
    <w:rsid w:val="00A04760"/>
    <w:rsid w:val="00A049B3"/>
    <w:rsid w:val="00A04AFC"/>
    <w:rsid w:val="00A04B9B"/>
    <w:rsid w:val="00A04CE3"/>
    <w:rsid w:val="00A04D7E"/>
    <w:rsid w:val="00A04E51"/>
    <w:rsid w:val="00A05046"/>
    <w:rsid w:val="00A0516F"/>
    <w:rsid w:val="00A05263"/>
    <w:rsid w:val="00A052B1"/>
    <w:rsid w:val="00A05301"/>
    <w:rsid w:val="00A05309"/>
    <w:rsid w:val="00A05360"/>
    <w:rsid w:val="00A053C9"/>
    <w:rsid w:val="00A053DE"/>
    <w:rsid w:val="00A05481"/>
    <w:rsid w:val="00A05523"/>
    <w:rsid w:val="00A05721"/>
    <w:rsid w:val="00A0572C"/>
    <w:rsid w:val="00A05735"/>
    <w:rsid w:val="00A057B7"/>
    <w:rsid w:val="00A058AC"/>
    <w:rsid w:val="00A05909"/>
    <w:rsid w:val="00A05ABF"/>
    <w:rsid w:val="00A05B99"/>
    <w:rsid w:val="00A05CB1"/>
    <w:rsid w:val="00A05E5C"/>
    <w:rsid w:val="00A05FA6"/>
    <w:rsid w:val="00A05FE1"/>
    <w:rsid w:val="00A0600B"/>
    <w:rsid w:val="00A0605A"/>
    <w:rsid w:val="00A060FA"/>
    <w:rsid w:val="00A061A1"/>
    <w:rsid w:val="00A06215"/>
    <w:rsid w:val="00A06242"/>
    <w:rsid w:val="00A062AD"/>
    <w:rsid w:val="00A062CA"/>
    <w:rsid w:val="00A0635A"/>
    <w:rsid w:val="00A0641E"/>
    <w:rsid w:val="00A06429"/>
    <w:rsid w:val="00A0648B"/>
    <w:rsid w:val="00A0649A"/>
    <w:rsid w:val="00A06523"/>
    <w:rsid w:val="00A065B1"/>
    <w:rsid w:val="00A0663B"/>
    <w:rsid w:val="00A0664A"/>
    <w:rsid w:val="00A066C6"/>
    <w:rsid w:val="00A066D5"/>
    <w:rsid w:val="00A06741"/>
    <w:rsid w:val="00A0677E"/>
    <w:rsid w:val="00A06788"/>
    <w:rsid w:val="00A067B8"/>
    <w:rsid w:val="00A0682E"/>
    <w:rsid w:val="00A0690E"/>
    <w:rsid w:val="00A0694B"/>
    <w:rsid w:val="00A069F2"/>
    <w:rsid w:val="00A06A65"/>
    <w:rsid w:val="00A06A92"/>
    <w:rsid w:val="00A06AF9"/>
    <w:rsid w:val="00A06B4B"/>
    <w:rsid w:val="00A06B6A"/>
    <w:rsid w:val="00A06CAE"/>
    <w:rsid w:val="00A06CBA"/>
    <w:rsid w:val="00A06CD3"/>
    <w:rsid w:val="00A06D2C"/>
    <w:rsid w:val="00A06DE7"/>
    <w:rsid w:val="00A06E16"/>
    <w:rsid w:val="00A06EC4"/>
    <w:rsid w:val="00A06F48"/>
    <w:rsid w:val="00A06FB3"/>
    <w:rsid w:val="00A0703B"/>
    <w:rsid w:val="00A070E3"/>
    <w:rsid w:val="00A07121"/>
    <w:rsid w:val="00A07237"/>
    <w:rsid w:val="00A072E9"/>
    <w:rsid w:val="00A07345"/>
    <w:rsid w:val="00A07373"/>
    <w:rsid w:val="00A0743E"/>
    <w:rsid w:val="00A07460"/>
    <w:rsid w:val="00A07547"/>
    <w:rsid w:val="00A07556"/>
    <w:rsid w:val="00A07743"/>
    <w:rsid w:val="00A07768"/>
    <w:rsid w:val="00A0794C"/>
    <w:rsid w:val="00A07A4D"/>
    <w:rsid w:val="00A07A7C"/>
    <w:rsid w:val="00A07B19"/>
    <w:rsid w:val="00A07C10"/>
    <w:rsid w:val="00A07C5F"/>
    <w:rsid w:val="00A07E96"/>
    <w:rsid w:val="00A07EA3"/>
    <w:rsid w:val="00A07FDB"/>
    <w:rsid w:val="00A07FFA"/>
    <w:rsid w:val="00A10059"/>
    <w:rsid w:val="00A10151"/>
    <w:rsid w:val="00A101D0"/>
    <w:rsid w:val="00A101FA"/>
    <w:rsid w:val="00A1022C"/>
    <w:rsid w:val="00A10349"/>
    <w:rsid w:val="00A103DC"/>
    <w:rsid w:val="00A10434"/>
    <w:rsid w:val="00A105E1"/>
    <w:rsid w:val="00A105EB"/>
    <w:rsid w:val="00A10612"/>
    <w:rsid w:val="00A10670"/>
    <w:rsid w:val="00A106B7"/>
    <w:rsid w:val="00A10793"/>
    <w:rsid w:val="00A10844"/>
    <w:rsid w:val="00A108E6"/>
    <w:rsid w:val="00A1099A"/>
    <w:rsid w:val="00A10A55"/>
    <w:rsid w:val="00A10AA1"/>
    <w:rsid w:val="00A10B90"/>
    <w:rsid w:val="00A10C0A"/>
    <w:rsid w:val="00A10CC3"/>
    <w:rsid w:val="00A10DB5"/>
    <w:rsid w:val="00A10DD5"/>
    <w:rsid w:val="00A10E33"/>
    <w:rsid w:val="00A110E4"/>
    <w:rsid w:val="00A111D3"/>
    <w:rsid w:val="00A1120A"/>
    <w:rsid w:val="00A11344"/>
    <w:rsid w:val="00A113B9"/>
    <w:rsid w:val="00A113E7"/>
    <w:rsid w:val="00A11476"/>
    <w:rsid w:val="00A114CF"/>
    <w:rsid w:val="00A11581"/>
    <w:rsid w:val="00A115F4"/>
    <w:rsid w:val="00A1162B"/>
    <w:rsid w:val="00A11676"/>
    <w:rsid w:val="00A116BD"/>
    <w:rsid w:val="00A11745"/>
    <w:rsid w:val="00A117FE"/>
    <w:rsid w:val="00A118B2"/>
    <w:rsid w:val="00A11924"/>
    <w:rsid w:val="00A11945"/>
    <w:rsid w:val="00A11982"/>
    <w:rsid w:val="00A119FB"/>
    <w:rsid w:val="00A11A54"/>
    <w:rsid w:val="00A11DF9"/>
    <w:rsid w:val="00A11EB2"/>
    <w:rsid w:val="00A11F49"/>
    <w:rsid w:val="00A11F5B"/>
    <w:rsid w:val="00A120E5"/>
    <w:rsid w:val="00A12290"/>
    <w:rsid w:val="00A1230A"/>
    <w:rsid w:val="00A1240A"/>
    <w:rsid w:val="00A124CC"/>
    <w:rsid w:val="00A124E4"/>
    <w:rsid w:val="00A124E8"/>
    <w:rsid w:val="00A12686"/>
    <w:rsid w:val="00A12714"/>
    <w:rsid w:val="00A12775"/>
    <w:rsid w:val="00A129F8"/>
    <w:rsid w:val="00A12AE9"/>
    <w:rsid w:val="00A12B02"/>
    <w:rsid w:val="00A12B4D"/>
    <w:rsid w:val="00A12B64"/>
    <w:rsid w:val="00A12C1F"/>
    <w:rsid w:val="00A12C3B"/>
    <w:rsid w:val="00A12C95"/>
    <w:rsid w:val="00A12CBF"/>
    <w:rsid w:val="00A12DA4"/>
    <w:rsid w:val="00A12DAA"/>
    <w:rsid w:val="00A12E10"/>
    <w:rsid w:val="00A12E20"/>
    <w:rsid w:val="00A12E9C"/>
    <w:rsid w:val="00A1307A"/>
    <w:rsid w:val="00A13099"/>
    <w:rsid w:val="00A1321E"/>
    <w:rsid w:val="00A1322E"/>
    <w:rsid w:val="00A13380"/>
    <w:rsid w:val="00A134BC"/>
    <w:rsid w:val="00A134F5"/>
    <w:rsid w:val="00A13716"/>
    <w:rsid w:val="00A13775"/>
    <w:rsid w:val="00A137BF"/>
    <w:rsid w:val="00A137E7"/>
    <w:rsid w:val="00A13870"/>
    <w:rsid w:val="00A1387C"/>
    <w:rsid w:val="00A138B7"/>
    <w:rsid w:val="00A13950"/>
    <w:rsid w:val="00A139EE"/>
    <w:rsid w:val="00A13B4E"/>
    <w:rsid w:val="00A13B58"/>
    <w:rsid w:val="00A13BC2"/>
    <w:rsid w:val="00A13DCF"/>
    <w:rsid w:val="00A13F27"/>
    <w:rsid w:val="00A1401F"/>
    <w:rsid w:val="00A14054"/>
    <w:rsid w:val="00A140AF"/>
    <w:rsid w:val="00A141DF"/>
    <w:rsid w:val="00A1425C"/>
    <w:rsid w:val="00A14334"/>
    <w:rsid w:val="00A1435A"/>
    <w:rsid w:val="00A14375"/>
    <w:rsid w:val="00A143DB"/>
    <w:rsid w:val="00A14419"/>
    <w:rsid w:val="00A14455"/>
    <w:rsid w:val="00A14524"/>
    <w:rsid w:val="00A14536"/>
    <w:rsid w:val="00A1467A"/>
    <w:rsid w:val="00A146AC"/>
    <w:rsid w:val="00A1479E"/>
    <w:rsid w:val="00A147CD"/>
    <w:rsid w:val="00A1485B"/>
    <w:rsid w:val="00A148EB"/>
    <w:rsid w:val="00A14918"/>
    <w:rsid w:val="00A149F1"/>
    <w:rsid w:val="00A14B04"/>
    <w:rsid w:val="00A14C4D"/>
    <w:rsid w:val="00A14C71"/>
    <w:rsid w:val="00A14CF7"/>
    <w:rsid w:val="00A14D45"/>
    <w:rsid w:val="00A15041"/>
    <w:rsid w:val="00A150B3"/>
    <w:rsid w:val="00A15136"/>
    <w:rsid w:val="00A1517D"/>
    <w:rsid w:val="00A151FA"/>
    <w:rsid w:val="00A15281"/>
    <w:rsid w:val="00A153C4"/>
    <w:rsid w:val="00A1543C"/>
    <w:rsid w:val="00A1555A"/>
    <w:rsid w:val="00A15570"/>
    <w:rsid w:val="00A15608"/>
    <w:rsid w:val="00A156EF"/>
    <w:rsid w:val="00A15708"/>
    <w:rsid w:val="00A1574B"/>
    <w:rsid w:val="00A157ED"/>
    <w:rsid w:val="00A1588B"/>
    <w:rsid w:val="00A158DB"/>
    <w:rsid w:val="00A15A2B"/>
    <w:rsid w:val="00A15AFA"/>
    <w:rsid w:val="00A15BE9"/>
    <w:rsid w:val="00A15D7B"/>
    <w:rsid w:val="00A15DB9"/>
    <w:rsid w:val="00A15E4C"/>
    <w:rsid w:val="00A15F04"/>
    <w:rsid w:val="00A15F36"/>
    <w:rsid w:val="00A15F72"/>
    <w:rsid w:val="00A15F9C"/>
    <w:rsid w:val="00A16078"/>
    <w:rsid w:val="00A1610E"/>
    <w:rsid w:val="00A161AB"/>
    <w:rsid w:val="00A161D5"/>
    <w:rsid w:val="00A16218"/>
    <w:rsid w:val="00A162F5"/>
    <w:rsid w:val="00A163B9"/>
    <w:rsid w:val="00A1644B"/>
    <w:rsid w:val="00A164D2"/>
    <w:rsid w:val="00A16676"/>
    <w:rsid w:val="00A16701"/>
    <w:rsid w:val="00A168A5"/>
    <w:rsid w:val="00A168AD"/>
    <w:rsid w:val="00A16939"/>
    <w:rsid w:val="00A1696B"/>
    <w:rsid w:val="00A16991"/>
    <w:rsid w:val="00A16AD5"/>
    <w:rsid w:val="00A16BBA"/>
    <w:rsid w:val="00A16C00"/>
    <w:rsid w:val="00A16C3B"/>
    <w:rsid w:val="00A16C40"/>
    <w:rsid w:val="00A16CA2"/>
    <w:rsid w:val="00A16E3A"/>
    <w:rsid w:val="00A16E54"/>
    <w:rsid w:val="00A1717D"/>
    <w:rsid w:val="00A171C4"/>
    <w:rsid w:val="00A17205"/>
    <w:rsid w:val="00A1726B"/>
    <w:rsid w:val="00A1729F"/>
    <w:rsid w:val="00A172BC"/>
    <w:rsid w:val="00A172DF"/>
    <w:rsid w:val="00A17358"/>
    <w:rsid w:val="00A17366"/>
    <w:rsid w:val="00A1736B"/>
    <w:rsid w:val="00A173B0"/>
    <w:rsid w:val="00A173B9"/>
    <w:rsid w:val="00A173C6"/>
    <w:rsid w:val="00A173DF"/>
    <w:rsid w:val="00A17429"/>
    <w:rsid w:val="00A174EB"/>
    <w:rsid w:val="00A17594"/>
    <w:rsid w:val="00A17760"/>
    <w:rsid w:val="00A17798"/>
    <w:rsid w:val="00A1786D"/>
    <w:rsid w:val="00A178FE"/>
    <w:rsid w:val="00A17952"/>
    <w:rsid w:val="00A17A03"/>
    <w:rsid w:val="00A17A42"/>
    <w:rsid w:val="00A17A57"/>
    <w:rsid w:val="00A17A81"/>
    <w:rsid w:val="00A17B81"/>
    <w:rsid w:val="00A17BA6"/>
    <w:rsid w:val="00A17D0F"/>
    <w:rsid w:val="00A17E20"/>
    <w:rsid w:val="00A17E6D"/>
    <w:rsid w:val="00A17E9F"/>
    <w:rsid w:val="00A17EDB"/>
    <w:rsid w:val="00A17F73"/>
    <w:rsid w:val="00A17FC9"/>
    <w:rsid w:val="00A17FD0"/>
    <w:rsid w:val="00A20060"/>
    <w:rsid w:val="00A201AE"/>
    <w:rsid w:val="00A20222"/>
    <w:rsid w:val="00A2027A"/>
    <w:rsid w:val="00A202A5"/>
    <w:rsid w:val="00A202A7"/>
    <w:rsid w:val="00A20320"/>
    <w:rsid w:val="00A203F6"/>
    <w:rsid w:val="00A203FD"/>
    <w:rsid w:val="00A204A1"/>
    <w:rsid w:val="00A204D2"/>
    <w:rsid w:val="00A2053D"/>
    <w:rsid w:val="00A2054D"/>
    <w:rsid w:val="00A20553"/>
    <w:rsid w:val="00A206A2"/>
    <w:rsid w:val="00A206E6"/>
    <w:rsid w:val="00A2088A"/>
    <w:rsid w:val="00A2098C"/>
    <w:rsid w:val="00A20A35"/>
    <w:rsid w:val="00A20A6A"/>
    <w:rsid w:val="00A20A71"/>
    <w:rsid w:val="00A20ADA"/>
    <w:rsid w:val="00A20B00"/>
    <w:rsid w:val="00A20BE3"/>
    <w:rsid w:val="00A20E0E"/>
    <w:rsid w:val="00A20E7E"/>
    <w:rsid w:val="00A20F1E"/>
    <w:rsid w:val="00A20FC2"/>
    <w:rsid w:val="00A20FE8"/>
    <w:rsid w:val="00A21027"/>
    <w:rsid w:val="00A210A0"/>
    <w:rsid w:val="00A21159"/>
    <w:rsid w:val="00A21231"/>
    <w:rsid w:val="00A2132D"/>
    <w:rsid w:val="00A21339"/>
    <w:rsid w:val="00A21342"/>
    <w:rsid w:val="00A21365"/>
    <w:rsid w:val="00A2140C"/>
    <w:rsid w:val="00A214FF"/>
    <w:rsid w:val="00A21527"/>
    <w:rsid w:val="00A21537"/>
    <w:rsid w:val="00A2154C"/>
    <w:rsid w:val="00A21665"/>
    <w:rsid w:val="00A21669"/>
    <w:rsid w:val="00A21688"/>
    <w:rsid w:val="00A217A8"/>
    <w:rsid w:val="00A217FB"/>
    <w:rsid w:val="00A219E3"/>
    <w:rsid w:val="00A219ED"/>
    <w:rsid w:val="00A219F3"/>
    <w:rsid w:val="00A21A02"/>
    <w:rsid w:val="00A21A05"/>
    <w:rsid w:val="00A21A2F"/>
    <w:rsid w:val="00A21AB6"/>
    <w:rsid w:val="00A21AC9"/>
    <w:rsid w:val="00A21AFA"/>
    <w:rsid w:val="00A21BFB"/>
    <w:rsid w:val="00A21C6E"/>
    <w:rsid w:val="00A21CB1"/>
    <w:rsid w:val="00A21CEE"/>
    <w:rsid w:val="00A21DC0"/>
    <w:rsid w:val="00A21DED"/>
    <w:rsid w:val="00A21DFE"/>
    <w:rsid w:val="00A21EC3"/>
    <w:rsid w:val="00A21EE3"/>
    <w:rsid w:val="00A2202F"/>
    <w:rsid w:val="00A2208D"/>
    <w:rsid w:val="00A221C0"/>
    <w:rsid w:val="00A2221D"/>
    <w:rsid w:val="00A22264"/>
    <w:rsid w:val="00A22384"/>
    <w:rsid w:val="00A223A9"/>
    <w:rsid w:val="00A223B4"/>
    <w:rsid w:val="00A224CA"/>
    <w:rsid w:val="00A2252B"/>
    <w:rsid w:val="00A226B3"/>
    <w:rsid w:val="00A227F8"/>
    <w:rsid w:val="00A22836"/>
    <w:rsid w:val="00A22B3D"/>
    <w:rsid w:val="00A22BF1"/>
    <w:rsid w:val="00A22D34"/>
    <w:rsid w:val="00A22D57"/>
    <w:rsid w:val="00A22D82"/>
    <w:rsid w:val="00A22DDA"/>
    <w:rsid w:val="00A22F23"/>
    <w:rsid w:val="00A23070"/>
    <w:rsid w:val="00A23072"/>
    <w:rsid w:val="00A2312B"/>
    <w:rsid w:val="00A23207"/>
    <w:rsid w:val="00A23242"/>
    <w:rsid w:val="00A232D9"/>
    <w:rsid w:val="00A232F2"/>
    <w:rsid w:val="00A2347D"/>
    <w:rsid w:val="00A2363B"/>
    <w:rsid w:val="00A23722"/>
    <w:rsid w:val="00A23774"/>
    <w:rsid w:val="00A238CF"/>
    <w:rsid w:val="00A239E6"/>
    <w:rsid w:val="00A23BA6"/>
    <w:rsid w:val="00A23BB3"/>
    <w:rsid w:val="00A23CA6"/>
    <w:rsid w:val="00A23CE9"/>
    <w:rsid w:val="00A23D12"/>
    <w:rsid w:val="00A23D8D"/>
    <w:rsid w:val="00A23E82"/>
    <w:rsid w:val="00A23E93"/>
    <w:rsid w:val="00A23E96"/>
    <w:rsid w:val="00A24031"/>
    <w:rsid w:val="00A24062"/>
    <w:rsid w:val="00A24068"/>
    <w:rsid w:val="00A24199"/>
    <w:rsid w:val="00A2419F"/>
    <w:rsid w:val="00A2430D"/>
    <w:rsid w:val="00A2431D"/>
    <w:rsid w:val="00A24351"/>
    <w:rsid w:val="00A24471"/>
    <w:rsid w:val="00A244C5"/>
    <w:rsid w:val="00A244FA"/>
    <w:rsid w:val="00A246D2"/>
    <w:rsid w:val="00A246EE"/>
    <w:rsid w:val="00A24729"/>
    <w:rsid w:val="00A2478E"/>
    <w:rsid w:val="00A24805"/>
    <w:rsid w:val="00A24847"/>
    <w:rsid w:val="00A248DE"/>
    <w:rsid w:val="00A2497F"/>
    <w:rsid w:val="00A24B4F"/>
    <w:rsid w:val="00A24C5E"/>
    <w:rsid w:val="00A24CC2"/>
    <w:rsid w:val="00A24D68"/>
    <w:rsid w:val="00A24E11"/>
    <w:rsid w:val="00A24E15"/>
    <w:rsid w:val="00A24EE6"/>
    <w:rsid w:val="00A24FF9"/>
    <w:rsid w:val="00A25011"/>
    <w:rsid w:val="00A251A6"/>
    <w:rsid w:val="00A25291"/>
    <w:rsid w:val="00A252AB"/>
    <w:rsid w:val="00A252D7"/>
    <w:rsid w:val="00A2536E"/>
    <w:rsid w:val="00A25439"/>
    <w:rsid w:val="00A25501"/>
    <w:rsid w:val="00A25538"/>
    <w:rsid w:val="00A255F8"/>
    <w:rsid w:val="00A2583A"/>
    <w:rsid w:val="00A25881"/>
    <w:rsid w:val="00A2589F"/>
    <w:rsid w:val="00A25902"/>
    <w:rsid w:val="00A25944"/>
    <w:rsid w:val="00A25963"/>
    <w:rsid w:val="00A2599B"/>
    <w:rsid w:val="00A25A01"/>
    <w:rsid w:val="00A25A70"/>
    <w:rsid w:val="00A25A7B"/>
    <w:rsid w:val="00A25AEF"/>
    <w:rsid w:val="00A25B4F"/>
    <w:rsid w:val="00A25B6E"/>
    <w:rsid w:val="00A25BA8"/>
    <w:rsid w:val="00A25C37"/>
    <w:rsid w:val="00A25C69"/>
    <w:rsid w:val="00A25C92"/>
    <w:rsid w:val="00A25D2C"/>
    <w:rsid w:val="00A25D9A"/>
    <w:rsid w:val="00A25E14"/>
    <w:rsid w:val="00A25E91"/>
    <w:rsid w:val="00A25F13"/>
    <w:rsid w:val="00A2603E"/>
    <w:rsid w:val="00A2619E"/>
    <w:rsid w:val="00A26238"/>
    <w:rsid w:val="00A262E8"/>
    <w:rsid w:val="00A262F5"/>
    <w:rsid w:val="00A2632D"/>
    <w:rsid w:val="00A26331"/>
    <w:rsid w:val="00A263F8"/>
    <w:rsid w:val="00A26475"/>
    <w:rsid w:val="00A26477"/>
    <w:rsid w:val="00A26505"/>
    <w:rsid w:val="00A2662E"/>
    <w:rsid w:val="00A26655"/>
    <w:rsid w:val="00A26672"/>
    <w:rsid w:val="00A26674"/>
    <w:rsid w:val="00A266A8"/>
    <w:rsid w:val="00A266FB"/>
    <w:rsid w:val="00A26775"/>
    <w:rsid w:val="00A2678A"/>
    <w:rsid w:val="00A2680B"/>
    <w:rsid w:val="00A26872"/>
    <w:rsid w:val="00A26874"/>
    <w:rsid w:val="00A269D8"/>
    <w:rsid w:val="00A26A21"/>
    <w:rsid w:val="00A26C86"/>
    <w:rsid w:val="00A26DC6"/>
    <w:rsid w:val="00A26E41"/>
    <w:rsid w:val="00A26F75"/>
    <w:rsid w:val="00A27130"/>
    <w:rsid w:val="00A27154"/>
    <w:rsid w:val="00A2722C"/>
    <w:rsid w:val="00A272B7"/>
    <w:rsid w:val="00A272F9"/>
    <w:rsid w:val="00A27338"/>
    <w:rsid w:val="00A273FC"/>
    <w:rsid w:val="00A27463"/>
    <w:rsid w:val="00A2750E"/>
    <w:rsid w:val="00A27535"/>
    <w:rsid w:val="00A275A9"/>
    <w:rsid w:val="00A277A0"/>
    <w:rsid w:val="00A277EB"/>
    <w:rsid w:val="00A2789B"/>
    <w:rsid w:val="00A2791A"/>
    <w:rsid w:val="00A27924"/>
    <w:rsid w:val="00A27A67"/>
    <w:rsid w:val="00A27BCE"/>
    <w:rsid w:val="00A27BD0"/>
    <w:rsid w:val="00A27C3B"/>
    <w:rsid w:val="00A27C73"/>
    <w:rsid w:val="00A27CA7"/>
    <w:rsid w:val="00A27D62"/>
    <w:rsid w:val="00A27DDA"/>
    <w:rsid w:val="00A27E02"/>
    <w:rsid w:val="00A27F4D"/>
    <w:rsid w:val="00A30079"/>
    <w:rsid w:val="00A30088"/>
    <w:rsid w:val="00A300C1"/>
    <w:rsid w:val="00A300F6"/>
    <w:rsid w:val="00A3016D"/>
    <w:rsid w:val="00A302AE"/>
    <w:rsid w:val="00A302D0"/>
    <w:rsid w:val="00A30333"/>
    <w:rsid w:val="00A3033B"/>
    <w:rsid w:val="00A30350"/>
    <w:rsid w:val="00A30371"/>
    <w:rsid w:val="00A3038E"/>
    <w:rsid w:val="00A30477"/>
    <w:rsid w:val="00A3049A"/>
    <w:rsid w:val="00A304CC"/>
    <w:rsid w:val="00A3063A"/>
    <w:rsid w:val="00A306E1"/>
    <w:rsid w:val="00A30788"/>
    <w:rsid w:val="00A30794"/>
    <w:rsid w:val="00A30797"/>
    <w:rsid w:val="00A307A0"/>
    <w:rsid w:val="00A307C7"/>
    <w:rsid w:val="00A30827"/>
    <w:rsid w:val="00A3089B"/>
    <w:rsid w:val="00A30961"/>
    <w:rsid w:val="00A30A4B"/>
    <w:rsid w:val="00A30B37"/>
    <w:rsid w:val="00A30BDF"/>
    <w:rsid w:val="00A30C20"/>
    <w:rsid w:val="00A30D5C"/>
    <w:rsid w:val="00A30DF8"/>
    <w:rsid w:val="00A30E31"/>
    <w:rsid w:val="00A30E3A"/>
    <w:rsid w:val="00A30EA4"/>
    <w:rsid w:val="00A30F53"/>
    <w:rsid w:val="00A30FD9"/>
    <w:rsid w:val="00A31049"/>
    <w:rsid w:val="00A310B9"/>
    <w:rsid w:val="00A31159"/>
    <w:rsid w:val="00A3118E"/>
    <w:rsid w:val="00A31236"/>
    <w:rsid w:val="00A31256"/>
    <w:rsid w:val="00A313CB"/>
    <w:rsid w:val="00A31417"/>
    <w:rsid w:val="00A31425"/>
    <w:rsid w:val="00A31459"/>
    <w:rsid w:val="00A31746"/>
    <w:rsid w:val="00A31788"/>
    <w:rsid w:val="00A3185D"/>
    <w:rsid w:val="00A3185F"/>
    <w:rsid w:val="00A318A5"/>
    <w:rsid w:val="00A31BB2"/>
    <w:rsid w:val="00A31C0A"/>
    <w:rsid w:val="00A31CDA"/>
    <w:rsid w:val="00A31D70"/>
    <w:rsid w:val="00A31DE2"/>
    <w:rsid w:val="00A31EE9"/>
    <w:rsid w:val="00A31F00"/>
    <w:rsid w:val="00A31FC2"/>
    <w:rsid w:val="00A3204C"/>
    <w:rsid w:val="00A32067"/>
    <w:rsid w:val="00A321F1"/>
    <w:rsid w:val="00A32202"/>
    <w:rsid w:val="00A32297"/>
    <w:rsid w:val="00A322B5"/>
    <w:rsid w:val="00A322E0"/>
    <w:rsid w:val="00A32314"/>
    <w:rsid w:val="00A32494"/>
    <w:rsid w:val="00A326C3"/>
    <w:rsid w:val="00A326DF"/>
    <w:rsid w:val="00A32705"/>
    <w:rsid w:val="00A328C3"/>
    <w:rsid w:val="00A328DB"/>
    <w:rsid w:val="00A329E9"/>
    <w:rsid w:val="00A32C88"/>
    <w:rsid w:val="00A32CF0"/>
    <w:rsid w:val="00A32DB0"/>
    <w:rsid w:val="00A32E51"/>
    <w:rsid w:val="00A32EC9"/>
    <w:rsid w:val="00A32F32"/>
    <w:rsid w:val="00A32FDC"/>
    <w:rsid w:val="00A32FEF"/>
    <w:rsid w:val="00A32FF8"/>
    <w:rsid w:val="00A3303E"/>
    <w:rsid w:val="00A332DC"/>
    <w:rsid w:val="00A3335E"/>
    <w:rsid w:val="00A3342D"/>
    <w:rsid w:val="00A33437"/>
    <w:rsid w:val="00A3344F"/>
    <w:rsid w:val="00A3349E"/>
    <w:rsid w:val="00A33586"/>
    <w:rsid w:val="00A3361A"/>
    <w:rsid w:val="00A33657"/>
    <w:rsid w:val="00A336CF"/>
    <w:rsid w:val="00A33736"/>
    <w:rsid w:val="00A337B0"/>
    <w:rsid w:val="00A3380F"/>
    <w:rsid w:val="00A338FF"/>
    <w:rsid w:val="00A33AC9"/>
    <w:rsid w:val="00A33BB7"/>
    <w:rsid w:val="00A33BC2"/>
    <w:rsid w:val="00A33DCF"/>
    <w:rsid w:val="00A33DDC"/>
    <w:rsid w:val="00A33E9E"/>
    <w:rsid w:val="00A33F52"/>
    <w:rsid w:val="00A33FCC"/>
    <w:rsid w:val="00A34021"/>
    <w:rsid w:val="00A34045"/>
    <w:rsid w:val="00A341A4"/>
    <w:rsid w:val="00A34345"/>
    <w:rsid w:val="00A3440A"/>
    <w:rsid w:val="00A34411"/>
    <w:rsid w:val="00A3452B"/>
    <w:rsid w:val="00A3458F"/>
    <w:rsid w:val="00A345FA"/>
    <w:rsid w:val="00A34625"/>
    <w:rsid w:val="00A346DE"/>
    <w:rsid w:val="00A346EE"/>
    <w:rsid w:val="00A3476F"/>
    <w:rsid w:val="00A3478E"/>
    <w:rsid w:val="00A347E3"/>
    <w:rsid w:val="00A347F4"/>
    <w:rsid w:val="00A34944"/>
    <w:rsid w:val="00A34976"/>
    <w:rsid w:val="00A34C95"/>
    <w:rsid w:val="00A34E74"/>
    <w:rsid w:val="00A34F09"/>
    <w:rsid w:val="00A34F47"/>
    <w:rsid w:val="00A34FA4"/>
    <w:rsid w:val="00A350FE"/>
    <w:rsid w:val="00A351BD"/>
    <w:rsid w:val="00A35210"/>
    <w:rsid w:val="00A352EB"/>
    <w:rsid w:val="00A3535A"/>
    <w:rsid w:val="00A3535F"/>
    <w:rsid w:val="00A3541C"/>
    <w:rsid w:val="00A3555D"/>
    <w:rsid w:val="00A3559C"/>
    <w:rsid w:val="00A35701"/>
    <w:rsid w:val="00A3570D"/>
    <w:rsid w:val="00A357C0"/>
    <w:rsid w:val="00A3583B"/>
    <w:rsid w:val="00A3588E"/>
    <w:rsid w:val="00A35936"/>
    <w:rsid w:val="00A359CC"/>
    <w:rsid w:val="00A359E2"/>
    <w:rsid w:val="00A35A3D"/>
    <w:rsid w:val="00A35B70"/>
    <w:rsid w:val="00A35B7E"/>
    <w:rsid w:val="00A35C4E"/>
    <w:rsid w:val="00A35C7F"/>
    <w:rsid w:val="00A35D46"/>
    <w:rsid w:val="00A35D5A"/>
    <w:rsid w:val="00A35DFC"/>
    <w:rsid w:val="00A35E3C"/>
    <w:rsid w:val="00A35F6F"/>
    <w:rsid w:val="00A360DA"/>
    <w:rsid w:val="00A361BA"/>
    <w:rsid w:val="00A362C2"/>
    <w:rsid w:val="00A363BD"/>
    <w:rsid w:val="00A36404"/>
    <w:rsid w:val="00A3664C"/>
    <w:rsid w:val="00A3665C"/>
    <w:rsid w:val="00A36810"/>
    <w:rsid w:val="00A36856"/>
    <w:rsid w:val="00A368C9"/>
    <w:rsid w:val="00A36924"/>
    <w:rsid w:val="00A36CA7"/>
    <w:rsid w:val="00A36CB2"/>
    <w:rsid w:val="00A36D12"/>
    <w:rsid w:val="00A36F4D"/>
    <w:rsid w:val="00A3700A"/>
    <w:rsid w:val="00A37043"/>
    <w:rsid w:val="00A37059"/>
    <w:rsid w:val="00A37111"/>
    <w:rsid w:val="00A3712F"/>
    <w:rsid w:val="00A371CB"/>
    <w:rsid w:val="00A371F1"/>
    <w:rsid w:val="00A3720B"/>
    <w:rsid w:val="00A3723F"/>
    <w:rsid w:val="00A37422"/>
    <w:rsid w:val="00A37447"/>
    <w:rsid w:val="00A37499"/>
    <w:rsid w:val="00A37649"/>
    <w:rsid w:val="00A37659"/>
    <w:rsid w:val="00A37783"/>
    <w:rsid w:val="00A377F0"/>
    <w:rsid w:val="00A3780F"/>
    <w:rsid w:val="00A37858"/>
    <w:rsid w:val="00A3798D"/>
    <w:rsid w:val="00A37A8D"/>
    <w:rsid w:val="00A37B6B"/>
    <w:rsid w:val="00A37C54"/>
    <w:rsid w:val="00A37CA4"/>
    <w:rsid w:val="00A37EFC"/>
    <w:rsid w:val="00A37F2F"/>
    <w:rsid w:val="00A37F41"/>
    <w:rsid w:val="00A40047"/>
    <w:rsid w:val="00A4007F"/>
    <w:rsid w:val="00A400B3"/>
    <w:rsid w:val="00A400D1"/>
    <w:rsid w:val="00A400E4"/>
    <w:rsid w:val="00A402B9"/>
    <w:rsid w:val="00A402CA"/>
    <w:rsid w:val="00A40326"/>
    <w:rsid w:val="00A403B9"/>
    <w:rsid w:val="00A40452"/>
    <w:rsid w:val="00A4072C"/>
    <w:rsid w:val="00A4084D"/>
    <w:rsid w:val="00A40882"/>
    <w:rsid w:val="00A408DC"/>
    <w:rsid w:val="00A409BE"/>
    <w:rsid w:val="00A409DA"/>
    <w:rsid w:val="00A40A93"/>
    <w:rsid w:val="00A40B90"/>
    <w:rsid w:val="00A40BFE"/>
    <w:rsid w:val="00A40CC3"/>
    <w:rsid w:val="00A40DBA"/>
    <w:rsid w:val="00A40E56"/>
    <w:rsid w:val="00A40E75"/>
    <w:rsid w:val="00A40EF9"/>
    <w:rsid w:val="00A41061"/>
    <w:rsid w:val="00A4106E"/>
    <w:rsid w:val="00A41079"/>
    <w:rsid w:val="00A410D4"/>
    <w:rsid w:val="00A411B0"/>
    <w:rsid w:val="00A411FF"/>
    <w:rsid w:val="00A4121E"/>
    <w:rsid w:val="00A4137F"/>
    <w:rsid w:val="00A41423"/>
    <w:rsid w:val="00A41437"/>
    <w:rsid w:val="00A41458"/>
    <w:rsid w:val="00A414D1"/>
    <w:rsid w:val="00A41583"/>
    <w:rsid w:val="00A415CB"/>
    <w:rsid w:val="00A41629"/>
    <w:rsid w:val="00A4167F"/>
    <w:rsid w:val="00A416D0"/>
    <w:rsid w:val="00A41754"/>
    <w:rsid w:val="00A41903"/>
    <w:rsid w:val="00A41AB3"/>
    <w:rsid w:val="00A41B75"/>
    <w:rsid w:val="00A41BCC"/>
    <w:rsid w:val="00A41BD0"/>
    <w:rsid w:val="00A41BF9"/>
    <w:rsid w:val="00A41CD1"/>
    <w:rsid w:val="00A41CE1"/>
    <w:rsid w:val="00A41F3B"/>
    <w:rsid w:val="00A4208F"/>
    <w:rsid w:val="00A42093"/>
    <w:rsid w:val="00A4218F"/>
    <w:rsid w:val="00A421D5"/>
    <w:rsid w:val="00A42236"/>
    <w:rsid w:val="00A4224C"/>
    <w:rsid w:val="00A42277"/>
    <w:rsid w:val="00A423B6"/>
    <w:rsid w:val="00A423B9"/>
    <w:rsid w:val="00A42488"/>
    <w:rsid w:val="00A4254A"/>
    <w:rsid w:val="00A425A4"/>
    <w:rsid w:val="00A4272A"/>
    <w:rsid w:val="00A427C4"/>
    <w:rsid w:val="00A42868"/>
    <w:rsid w:val="00A42890"/>
    <w:rsid w:val="00A42915"/>
    <w:rsid w:val="00A42948"/>
    <w:rsid w:val="00A42957"/>
    <w:rsid w:val="00A429B1"/>
    <w:rsid w:val="00A42A18"/>
    <w:rsid w:val="00A42A39"/>
    <w:rsid w:val="00A42AA1"/>
    <w:rsid w:val="00A42C07"/>
    <w:rsid w:val="00A42DF1"/>
    <w:rsid w:val="00A42E1F"/>
    <w:rsid w:val="00A42E61"/>
    <w:rsid w:val="00A42EAC"/>
    <w:rsid w:val="00A42FCE"/>
    <w:rsid w:val="00A43104"/>
    <w:rsid w:val="00A4316D"/>
    <w:rsid w:val="00A431AF"/>
    <w:rsid w:val="00A432E1"/>
    <w:rsid w:val="00A43410"/>
    <w:rsid w:val="00A434D2"/>
    <w:rsid w:val="00A4350C"/>
    <w:rsid w:val="00A4353F"/>
    <w:rsid w:val="00A43555"/>
    <w:rsid w:val="00A43661"/>
    <w:rsid w:val="00A438FD"/>
    <w:rsid w:val="00A439C5"/>
    <w:rsid w:val="00A43BCE"/>
    <w:rsid w:val="00A43CAF"/>
    <w:rsid w:val="00A43E14"/>
    <w:rsid w:val="00A43E6D"/>
    <w:rsid w:val="00A43FB1"/>
    <w:rsid w:val="00A43FE1"/>
    <w:rsid w:val="00A44034"/>
    <w:rsid w:val="00A44084"/>
    <w:rsid w:val="00A44129"/>
    <w:rsid w:val="00A441CD"/>
    <w:rsid w:val="00A442B5"/>
    <w:rsid w:val="00A442CC"/>
    <w:rsid w:val="00A4438F"/>
    <w:rsid w:val="00A443A2"/>
    <w:rsid w:val="00A44400"/>
    <w:rsid w:val="00A44457"/>
    <w:rsid w:val="00A4477C"/>
    <w:rsid w:val="00A4478E"/>
    <w:rsid w:val="00A4488D"/>
    <w:rsid w:val="00A449D4"/>
    <w:rsid w:val="00A44A06"/>
    <w:rsid w:val="00A44AD6"/>
    <w:rsid w:val="00A44B0A"/>
    <w:rsid w:val="00A44B84"/>
    <w:rsid w:val="00A44B93"/>
    <w:rsid w:val="00A44C27"/>
    <w:rsid w:val="00A44DBF"/>
    <w:rsid w:val="00A44DD7"/>
    <w:rsid w:val="00A44E4A"/>
    <w:rsid w:val="00A44E4C"/>
    <w:rsid w:val="00A44E59"/>
    <w:rsid w:val="00A44ED6"/>
    <w:rsid w:val="00A44F1B"/>
    <w:rsid w:val="00A44F3E"/>
    <w:rsid w:val="00A44F4F"/>
    <w:rsid w:val="00A44F87"/>
    <w:rsid w:val="00A44FE9"/>
    <w:rsid w:val="00A45036"/>
    <w:rsid w:val="00A45135"/>
    <w:rsid w:val="00A45188"/>
    <w:rsid w:val="00A45194"/>
    <w:rsid w:val="00A4524D"/>
    <w:rsid w:val="00A45262"/>
    <w:rsid w:val="00A45292"/>
    <w:rsid w:val="00A45298"/>
    <w:rsid w:val="00A452B0"/>
    <w:rsid w:val="00A452D7"/>
    <w:rsid w:val="00A452DE"/>
    <w:rsid w:val="00A45386"/>
    <w:rsid w:val="00A45425"/>
    <w:rsid w:val="00A45431"/>
    <w:rsid w:val="00A45503"/>
    <w:rsid w:val="00A45588"/>
    <w:rsid w:val="00A45725"/>
    <w:rsid w:val="00A4572C"/>
    <w:rsid w:val="00A457D4"/>
    <w:rsid w:val="00A45936"/>
    <w:rsid w:val="00A459A7"/>
    <w:rsid w:val="00A459E3"/>
    <w:rsid w:val="00A45A8D"/>
    <w:rsid w:val="00A45A97"/>
    <w:rsid w:val="00A45B40"/>
    <w:rsid w:val="00A45DE7"/>
    <w:rsid w:val="00A45E49"/>
    <w:rsid w:val="00A45F6C"/>
    <w:rsid w:val="00A4607B"/>
    <w:rsid w:val="00A460F0"/>
    <w:rsid w:val="00A460FB"/>
    <w:rsid w:val="00A4621B"/>
    <w:rsid w:val="00A46582"/>
    <w:rsid w:val="00A46845"/>
    <w:rsid w:val="00A46894"/>
    <w:rsid w:val="00A46BDC"/>
    <w:rsid w:val="00A46C44"/>
    <w:rsid w:val="00A46D10"/>
    <w:rsid w:val="00A46DA1"/>
    <w:rsid w:val="00A46F46"/>
    <w:rsid w:val="00A46F5C"/>
    <w:rsid w:val="00A46F74"/>
    <w:rsid w:val="00A46F77"/>
    <w:rsid w:val="00A46FB0"/>
    <w:rsid w:val="00A47086"/>
    <w:rsid w:val="00A47097"/>
    <w:rsid w:val="00A471AA"/>
    <w:rsid w:val="00A47256"/>
    <w:rsid w:val="00A4727A"/>
    <w:rsid w:val="00A472A7"/>
    <w:rsid w:val="00A472C3"/>
    <w:rsid w:val="00A4737E"/>
    <w:rsid w:val="00A47413"/>
    <w:rsid w:val="00A475F0"/>
    <w:rsid w:val="00A476DD"/>
    <w:rsid w:val="00A47781"/>
    <w:rsid w:val="00A47861"/>
    <w:rsid w:val="00A47937"/>
    <w:rsid w:val="00A479BF"/>
    <w:rsid w:val="00A47A2E"/>
    <w:rsid w:val="00A47A84"/>
    <w:rsid w:val="00A47ABF"/>
    <w:rsid w:val="00A47B24"/>
    <w:rsid w:val="00A47B73"/>
    <w:rsid w:val="00A47BA0"/>
    <w:rsid w:val="00A47C48"/>
    <w:rsid w:val="00A47C97"/>
    <w:rsid w:val="00A47DD5"/>
    <w:rsid w:val="00A47DDE"/>
    <w:rsid w:val="00A47E31"/>
    <w:rsid w:val="00A47E32"/>
    <w:rsid w:val="00A47ED6"/>
    <w:rsid w:val="00A47EDE"/>
    <w:rsid w:val="00A47F19"/>
    <w:rsid w:val="00A47FFB"/>
    <w:rsid w:val="00A502F9"/>
    <w:rsid w:val="00A50371"/>
    <w:rsid w:val="00A50404"/>
    <w:rsid w:val="00A50473"/>
    <w:rsid w:val="00A50542"/>
    <w:rsid w:val="00A5068D"/>
    <w:rsid w:val="00A508CA"/>
    <w:rsid w:val="00A50A08"/>
    <w:rsid w:val="00A50A8F"/>
    <w:rsid w:val="00A50B1A"/>
    <w:rsid w:val="00A50B58"/>
    <w:rsid w:val="00A50BB2"/>
    <w:rsid w:val="00A50C13"/>
    <w:rsid w:val="00A50CA3"/>
    <w:rsid w:val="00A50DD9"/>
    <w:rsid w:val="00A50ECA"/>
    <w:rsid w:val="00A50F20"/>
    <w:rsid w:val="00A50F63"/>
    <w:rsid w:val="00A50F8F"/>
    <w:rsid w:val="00A5112E"/>
    <w:rsid w:val="00A51191"/>
    <w:rsid w:val="00A512B0"/>
    <w:rsid w:val="00A512DD"/>
    <w:rsid w:val="00A512F2"/>
    <w:rsid w:val="00A51356"/>
    <w:rsid w:val="00A5140B"/>
    <w:rsid w:val="00A514E4"/>
    <w:rsid w:val="00A51568"/>
    <w:rsid w:val="00A517C4"/>
    <w:rsid w:val="00A5187D"/>
    <w:rsid w:val="00A518FE"/>
    <w:rsid w:val="00A5195D"/>
    <w:rsid w:val="00A51A0D"/>
    <w:rsid w:val="00A51AC9"/>
    <w:rsid w:val="00A51AD1"/>
    <w:rsid w:val="00A51B26"/>
    <w:rsid w:val="00A51CB2"/>
    <w:rsid w:val="00A51CE9"/>
    <w:rsid w:val="00A51D5F"/>
    <w:rsid w:val="00A51E04"/>
    <w:rsid w:val="00A51E05"/>
    <w:rsid w:val="00A51F79"/>
    <w:rsid w:val="00A520CB"/>
    <w:rsid w:val="00A52106"/>
    <w:rsid w:val="00A5211A"/>
    <w:rsid w:val="00A52200"/>
    <w:rsid w:val="00A52319"/>
    <w:rsid w:val="00A52446"/>
    <w:rsid w:val="00A52471"/>
    <w:rsid w:val="00A524CD"/>
    <w:rsid w:val="00A524CF"/>
    <w:rsid w:val="00A5256A"/>
    <w:rsid w:val="00A525BE"/>
    <w:rsid w:val="00A525EA"/>
    <w:rsid w:val="00A5264B"/>
    <w:rsid w:val="00A5273B"/>
    <w:rsid w:val="00A527DF"/>
    <w:rsid w:val="00A5290C"/>
    <w:rsid w:val="00A52940"/>
    <w:rsid w:val="00A5296E"/>
    <w:rsid w:val="00A529B1"/>
    <w:rsid w:val="00A529FF"/>
    <w:rsid w:val="00A52A39"/>
    <w:rsid w:val="00A52BE1"/>
    <w:rsid w:val="00A52C04"/>
    <w:rsid w:val="00A52C17"/>
    <w:rsid w:val="00A52DC2"/>
    <w:rsid w:val="00A52E69"/>
    <w:rsid w:val="00A52E90"/>
    <w:rsid w:val="00A52F22"/>
    <w:rsid w:val="00A52F68"/>
    <w:rsid w:val="00A52FBB"/>
    <w:rsid w:val="00A52FCE"/>
    <w:rsid w:val="00A5304C"/>
    <w:rsid w:val="00A530A5"/>
    <w:rsid w:val="00A530B0"/>
    <w:rsid w:val="00A53399"/>
    <w:rsid w:val="00A533AA"/>
    <w:rsid w:val="00A535ED"/>
    <w:rsid w:val="00A53675"/>
    <w:rsid w:val="00A5369B"/>
    <w:rsid w:val="00A536D3"/>
    <w:rsid w:val="00A53754"/>
    <w:rsid w:val="00A537B8"/>
    <w:rsid w:val="00A537E1"/>
    <w:rsid w:val="00A53837"/>
    <w:rsid w:val="00A5385A"/>
    <w:rsid w:val="00A53915"/>
    <w:rsid w:val="00A5397C"/>
    <w:rsid w:val="00A53A9B"/>
    <w:rsid w:val="00A53DAD"/>
    <w:rsid w:val="00A53EB9"/>
    <w:rsid w:val="00A53F02"/>
    <w:rsid w:val="00A53F15"/>
    <w:rsid w:val="00A53F40"/>
    <w:rsid w:val="00A53F7B"/>
    <w:rsid w:val="00A54003"/>
    <w:rsid w:val="00A54126"/>
    <w:rsid w:val="00A54274"/>
    <w:rsid w:val="00A5433B"/>
    <w:rsid w:val="00A543DA"/>
    <w:rsid w:val="00A54454"/>
    <w:rsid w:val="00A54519"/>
    <w:rsid w:val="00A545C1"/>
    <w:rsid w:val="00A5460C"/>
    <w:rsid w:val="00A5464E"/>
    <w:rsid w:val="00A546E7"/>
    <w:rsid w:val="00A54759"/>
    <w:rsid w:val="00A54799"/>
    <w:rsid w:val="00A54855"/>
    <w:rsid w:val="00A54886"/>
    <w:rsid w:val="00A5489D"/>
    <w:rsid w:val="00A54981"/>
    <w:rsid w:val="00A549FE"/>
    <w:rsid w:val="00A54A0E"/>
    <w:rsid w:val="00A54E59"/>
    <w:rsid w:val="00A54E63"/>
    <w:rsid w:val="00A54ED0"/>
    <w:rsid w:val="00A54F06"/>
    <w:rsid w:val="00A54F36"/>
    <w:rsid w:val="00A5508C"/>
    <w:rsid w:val="00A550FF"/>
    <w:rsid w:val="00A55135"/>
    <w:rsid w:val="00A55230"/>
    <w:rsid w:val="00A552F0"/>
    <w:rsid w:val="00A552FA"/>
    <w:rsid w:val="00A55339"/>
    <w:rsid w:val="00A55348"/>
    <w:rsid w:val="00A55463"/>
    <w:rsid w:val="00A554FE"/>
    <w:rsid w:val="00A554FF"/>
    <w:rsid w:val="00A55506"/>
    <w:rsid w:val="00A55549"/>
    <w:rsid w:val="00A55669"/>
    <w:rsid w:val="00A556A5"/>
    <w:rsid w:val="00A557E8"/>
    <w:rsid w:val="00A55852"/>
    <w:rsid w:val="00A55A42"/>
    <w:rsid w:val="00A55ACF"/>
    <w:rsid w:val="00A55B1C"/>
    <w:rsid w:val="00A55B43"/>
    <w:rsid w:val="00A55B46"/>
    <w:rsid w:val="00A55B8B"/>
    <w:rsid w:val="00A55E30"/>
    <w:rsid w:val="00A55EBD"/>
    <w:rsid w:val="00A55FD4"/>
    <w:rsid w:val="00A56086"/>
    <w:rsid w:val="00A560D7"/>
    <w:rsid w:val="00A560E8"/>
    <w:rsid w:val="00A5620D"/>
    <w:rsid w:val="00A564AF"/>
    <w:rsid w:val="00A564BD"/>
    <w:rsid w:val="00A565FA"/>
    <w:rsid w:val="00A566E8"/>
    <w:rsid w:val="00A56772"/>
    <w:rsid w:val="00A567E9"/>
    <w:rsid w:val="00A56900"/>
    <w:rsid w:val="00A56B1A"/>
    <w:rsid w:val="00A56B1F"/>
    <w:rsid w:val="00A56C74"/>
    <w:rsid w:val="00A56DB4"/>
    <w:rsid w:val="00A56F8D"/>
    <w:rsid w:val="00A56FF2"/>
    <w:rsid w:val="00A56FFC"/>
    <w:rsid w:val="00A57002"/>
    <w:rsid w:val="00A57144"/>
    <w:rsid w:val="00A5724E"/>
    <w:rsid w:val="00A5724F"/>
    <w:rsid w:val="00A572A7"/>
    <w:rsid w:val="00A57369"/>
    <w:rsid w:val="00A5746F"/>
    <w:rsid w:val="00A57555"/>
    <w:rsid w:val="00A5758F"/>
    <w:rsid w:val="00A575B2"/>
    <w:rsid w:val="00A575D9"/>
    <w:rsid w:val="00A5779A"/>
    <w:rsid w:val="00A577C9"/>
    <w:rsid w:val="00A577DD"/>
    <w:rsid w:val="00A578AA"/>
    <w:rsid w:val="00A5792A"/>
    <w:rsid w:val="00A57935"/>
    <w:rsid w:val="00A57989"/>
    <w:rsid w:val="00A57A2F"/>
    <w:rsid w:val="00A57A6D"/>
    <w:rsid w:val="00A57ADB"/>
    <w:rsid w:val="00A57C6F"/>
    <w:rsid w:val="00A57DCC"/>
    <w:rsid w:val="00A57E87"/>
    <w:rsid w:val="00A57FDB"/>
    <w:rsid w:val="00A601BE"/>
    <w:rsid w:val="00A603D8"/>
    <w:rsid w:val="00A60444"/>
    <w:rsid w:val="00A6047D"/>
    <w:rsid w:val="00A605BD"/>
    <w:rsid w:val="00A6067A"/>
    <w:rsid w:val="00A6069A"/>
    <w:rsid w:val="00A606DC"/>
    <w:rsid w:val="00A608BF"/>
    <w:rsid w:val="00A608F1"/>
    <w:rsid w:val="00A60A90"/>
    <w:rsid w:val="00A60AF7"/>
    <w:rsid w:val="00A60B83"/>
    <w:rsid w:val="00A60C07"/>
    <w:rsid w:val="00A60D33"/>
    <w:rsid w:val="00A60F26"/>
    <w:rsid w:val="00A60F8C"/>
    <w:rsid w:val="00A60FFC"/>
    <w:rsid w:val="00A61113"/>
    <w:rsid w:val="00A61118"/>
    <w:rsid w:val="00A61137"/>
    <w:rsid w:val="00A612C0"/>
    <w:rsid w:val="00A6143B"/>
    <w:rsid w:val="00A614F5"/>
    <w:rsid w:val="00A615D2"/>
    <w:rsid w:val="00A615EA"/>
    <w:rsid w:val="00A615EE"/>
    <w:rsid w:val="00A6164A"/>
    <w:rsid w:val="00A616DE"/>
    <w:rsid w:val="00A6172A"/>
    <w:rsid w:val="00A61748"/>
    <w:rsid w:val="00A61759"/>
    <w:rsid w:val="00A6179C"/>
    <w:rsid w:val="00A619BB"/>
    <w:rsid w:val="00A619E2"/>
    <w:rsid w:val="00A61B50"/>
    <w:rsid w:val="00A61B5B"/>
    <w:rsid w:val="00A61BF1"/>
    <w:rsid w:val="00A61C05"/>
    <w:rsid w:val="00A61C5C"/>
    <w:rsid w:val="00A61C75"/>
    <w:rsid w:val="00A61EB0"/>
    <w:rsid w:val="00A61F4A"/>
    <w:rsid w:val="00A61FBE"/>
    <w:rsid w:val="00A6205E"/>
    <w:rsid w:val="00A620A3"/>
    <w:rsid w:val="00A620EA"/>
    <w:rsid w:val="00A6215C"/>
    <w:rsid w:val="00A62262"/>
    <w:rsid w:val="00A62366"/>
    <w:rsid w:val="00A6239E"/>
    <w:rsid w:val="00A62571"/>
    <w:rsid w:val="00A62596"/>
    <w:rsid w:val="00A6264C"/>
    <w:rsid w:val="00A62678"/>
    <w:rsid w:val="00A62710"/>
    <w:rsid w:val="00A627AA"/>
    <w:rsid w:val="00A628B9"/>
    <w:rsid w:val="00A62937"/>
    <w:rsid w:val="00A62A68"/>
    <w:rsid w:val="00A62AB1"/>
    <w:rsid w:val="00A62BF8"/>
    <w:rsid w:val="00A62C0B"/>
    <w:rsid w:val="00A62D4D"/>
    <w:rsid w:val="00A62DAD"/>
    <w:rsid w:val="00A62E0A"/>
    <w:rsid w:val="00A62E3C"/>
    <w:rsid w:val="00A62F10"/>
    <w:rsid w:val="00A6306E"/>
    <w:rsid w:val="00A63086"/>
    <w:rsid w:val="00A63173"/>
    <w:rsid w:val="00A63181"/>
    <w:rsid w:val="00A63193"/>
    <w:rsid w:val="00A6327A"/>
    <w:rsid w:val="00A6328B"/>
    <w:rsid w:val="00A632D7"/>
    <w:rsid w:val="00A632DD"/>
    <w:rsid w:val="00A633E5"/>
    <w:rsid w:val="00A634FD"/>
    <w:rsid w:val="00A63536"/>
    <w:rsid w:val="00A635A9"/>
    <w:rsid w:val="00A635EA"/>
    <w:rsid w:val="00A6367D"/>
    <w:rsid w:val="00A63697"/>
    <w:rsid w:val="00A637D2"/>
    <w:rsid w:val="00A63850"/>
    <w:rsid w:val="00A639C9"/>
    <w:rsid w:val="00A63AD4"/>
    <w:rsid w:val="00A63AFB"/>
    <w:rsid w:val="00A63B63"/>
    <w:rsid w:val="00A63C31"/>
    <w:rsid w:val="00A63C3E"/>
    <w:rsid w:val="00A63D8A"/>
    <w:rsid w:val="00A640F2"/>
    <w:rsid w:val="00A641C1"/>
    <w:rsid w:val="00A64271"/>
    <w:rsid w:val="00A642C6"/>
    <w:rsid w:val="00A64356"/>
    <w:rsid w:val="00A64403"/>
    <w:rsid w:val="00A64456"/>
    <w:rsid w:val="00A644FA"/>
    <w:rsid w:val="00A64642"/>
    <w:rsid w:val="00A6464C"/>
    <w:rsid w:val="00A646D7"/>
    <w:rsid w:val="00A64767"/>
    <w:rsid w:val="00A6494C"/>
    <w:rsid w:val="00A64993"/>
    <w:rsid w:val="00A64A74"/>
    <w:rsid w:val="00A64AAE"/>
    <w:rsid w:val="00A64B32"/>
    <w:rsid w:val="00A64BE6"/>
    <w:rsid w:val="00A6501E"/>
    <w:rsid w:val="00A65057"/>
    <w:rsid w:val="00A650B7"/>
    <w:rsid w:val="00A651C9"/>
    <w:rsid w:val="00A65236"/>
    <w:rsid w:val="00A6527D"/>
    <w:rsid w:val="00A65363"/>
    <w:rsid w:val="00A65373"/>
    <w:rsid w:val="00A65700"/>
    <w:rsid w:val="00A65720"/>
    <w:rsid w:val="00A65894"/>
    <w:rsid w:val="00A658C9"/>
    <w:rsid w:val="00A65A71"/>
    <w:rsid w:val="00A65AC7"/>
    <w:rsid w:val="00A65BE4"/>
    <w:rsid w:val="00A65CEE"/>
    <w:rsid w:val="00A65E07"/>
    <w:rsid w:val="00A66007"/>
    <w:rsid w:val="00A66025"/>
    <w:rsid w:val="00A66129"/>
    <w:rsid w:val="00A6612F"/>
    <w:rsid w:val="00A66174"/>
    <w:rsid w:val="00A66203"/>
    <w:rsid w:val="00A662A4"/>
    <w:rsid w:val="00A663B2"/>
    <w:rsid w:val="00A663BF"/>
    <w:rsid w:val="00A663FF"/>
    <w:rsid w:val="00A66529"/>
    <w:rsid w:val="00A6655A"/>
    <w:rsid w:val="00A665D3"/>
    <w:rsid w:val="00A66637"/>
    <w:rsid w:val="00A6667A"/>
    <w:rsid w:val="00A666E1"/>
    <w:rsid w:val="00A666E7"/>
    <w:rsid w:val="00A6684B"/>
    <w:rsid w:val="00A669BB"/>
    <w:rsid w:val="00A66A1F"/>
    <w:rsid w:val="00A66A20"/>
    <w:rsid w:val="00A66B8C"/>
    <w:rsid w:val="00A66BF2"/>
    <w:rsid w:val="00A66C69"/>
    <w:rsid w:val="00A66C81"/>
    <w:rsid w:val="00A66CC1"/>
    <w:rsid w:val="00A6700D"/>
    <w:rsid w:val="00A671AA"/>
    <w:rsid w:val="00A6723D"/>
    <w:rsid w:val="00A6744E"/>
    <w:rsid w:val="00A67583"/>
    <w:rsid w:val="00A6761D"/>
    <w:rsid w:val="00A6781F"/>
    <w:rsid w:val="00A6799A"/>
    <w:rsid w:val="00A67AB8"/>
    <w:rsid w:val="00A67BE4"/>
    <w:rsid w:val="00A67CA3"/>
    <w:rsid w:val="00A67CE1"/>
    <w:rsid w:val="00A67CF4"/>
    <w:rsid w:val="00A67D4D"/>
    <w:rsid w:val="00A67D88"/>
    <w:rsid w:val="00A67DEB"/>
    <w:rsid w:val="00A67E24"/>
    <w:rsid w:val="00A67FA4"/>
    <w:rsid w:val="00A67FDB"/>
    <w:rsid w:val="00A70094"/>
    <w:rsid w:val="00A70121"/>
    <w:rsid w:val="00A70191"/>
    <w:rsid w:val="00A701CA"/>
    <w:rsid w:val="00A70227"/>
    <w:rsid w:val="00A70277"/>
    <w:rsid w:val="00A7027F"/>
    <w:rsid w:val="00A70300"/>
    <w:rsid w:val="00A70302"/>
    <w:rsid w:val="00A70393"/>
    <w:rsid w:val="00A703FA"/>
    <w:rsid w:val="00A704CA"/>
    <w:rsid w:val="00A70536"/>
    <w:rsid w:val="00A70604"/>
    <w:rsid w:val="00A70689"/>
    <w:rsid w:val="00A70789"/>
    <w:rsid w:val="00A7078F"/>
    <w:rsid w:val="00A707C0"/>
    <w:rsid w:val="00A70862"/>
    <w:rsid w:val="00A708B4"/>
    <w:rsid w:val="00A708D0"/>
    <w:rsid w:val="00A70908"/>
    <w:rsid w:val="00A70A75"/>
    <w:rsid w:val="00A70AB1"/>
    <w:rsid w:val="00A70C05"/>
    <w:rsid w:val="00A70CA8"/>
    <w:rsid w:val="00A70D5F"/>
    <w:rsid w:val="00A70DE4"/>
    <w:rsid w:val="00A70E30"/>
    <w:rsid w:val="00A70E50"/>
    <w:rsid w:val="00A70E5D"/>
    <w:rsid w:val="00A70FA0"/>
    <w:rsid w:val="00A70FA3"/>
    <w:rsid w:val="00A71041"/>
    <w:rsid w:val="00A71047"/>
    <w:rsid w:val="00A7122D"/>
    <w:rsid w:val="00A712CE"/>
    <w:rsid w:val="00A712E9"/>
    <w:rsid w:val="00A71333"/>
    <w:rsid w:val="00A713EA"/>
    <w:rsid w:val="00A714F1"/>
    <w:rsid w:val="00A7150F"/>
    <w:rsid w:val="00A7156A"/>
    <w:rsid w:val="00A715A9"/>
    <w:rsid w:val="00A71647"/>
    <w:rsid w:val="00A716A3"/>
    <w:rsid w:val="00A71881"/>
    <w:rsid w:val="00A7188F"/>
    <w:rsid w:val="00A718AE"/>
    <w:rsid w:val="00A71952"/>
    <w:rsid w:val="00A71957"/>
    <w:rsid w:val="00A7199F"/>
    <w:rsid w:val="00A719FE"/>
    <w:rsid w:val="00A71ACF"/>
    <w:rsid w:val="00A71BF3"/>
    <w:rsid w:val="00A71C07"/>
    <w:rsid w:val="00A71D51"/>
    <w:rsid w:val="00A71E11"/>
    <w:rsid w:val="00A71E5A"/>
    <w:rsid w:val="00A71F2A"/>
    <w:rsid w:val="00A71FC3"/>
    <w:rsid w:val="00A72015"/>
    <w:rsid w:val="00A72017"/>
    <w:rsid w:val="00A7202C"/>
    <w:rsid w:val="00A7208D"/>
    <w:rsid w:val="00A72105"/>
    <w:rsid w:val="00A72209"/>
    <w:rsid w:val="00A722A9"/>
    <w:rsid w:val="00A722E5"/>
    <w:rsid w:val="00A72357"/>
    <w:rsid w:val="00A72401"/>
    <w:rsid w:val="00A72458"/>
    <w:rsid w:val="00A724DD"/>
    <w:rsid w:val="00A72584"/>
    <w:rsid w:val="00A727D7"/>
    <w:rsid w:val="00A72841"/>
    <w:rsid w:val="00A72908"/>
    <w:rsid w:val="00A7294F"/>
    <w:rsid w:val="00A72959"/>
    <w:rsid w:val="00A7299B"/>
    <w:rsid w:val="00A729E3"/>
    <w:rsid w:val="00A72A46"/>
    <w:rsid w:val="00A72A6C"/>
    <w:rsid w:val="00A72AE2"/>
    <w:rsid w:val="00A72B71"/>
    <w:rsid w:val="00A72BB8"/>
    <w:rsid w:val="00A72BB9"/>
    <w:rsid w:val="00A72C91"/>
    <w:rsid w:val="00A72D07"/>
    <w:rsid w:val="00A72D3D"/>
    <w:rsid w:val="00A72E97"/>
    <w:rsid w:val="00A72EC4"/>
    <w:rsid w:val="00A72EDD"/>
    <w:rsid w:val="00A72F14"/>
    <w:rsid w:val="00A73046"/>
    <w:rsid w:val="00A7307D"/>
    <w:rsid w:val="00A730F4"/>
    <w:rsid w:val="00A73159"/>
    <w:rsid w:val="00A7318B"/>
    <w:rsid w:val="00A731C2"/>
    <w:rsid w:val="00A731EF"/>
    <w:rsid w:val="00A7322B"/>
    <w:rsid w:val="00A733DD"/>
    <w:rsid w:val="00A73437"/>
    <w:rsid w:val="00A7349D"/>
    <w:rsid w:val="00A734E6"/>
    <w:rsid w:val="00A73522"/>
    <w:rsid w:val="00A73524"/>
    <w:rsid w:val="00A735B2"/>
    <w:rsid w:val="00A735F2"/>
    <w:rsid w:val="00A73763"/>
    <w:rsid w:val="00A7376F"/>
    <w:rsid w:val="00A73872"/>
    <w:rsid w:val="00A7388B"/>
    <w:rsid w:val="00A739B3"/>
    <w:rsid w:val="00A73A0B"/>
    <w:rsid w:val="00A73B39"/>
    <w:rsid w:val="00A73B3D"/>
    <w:rsid w:val="00A73BFA"/>
    <w:rsid w:val="00A73C2C"/>
    <w:rsid w:val="00A73C40"/>
    <w:rsid w:val="00A73D28"/>
    <w:rsid w:val="00A73D47"/>
    <w:rsid w:val="00A73DB5"/>
    <w:rsid w:val="00A73EA7"/>
    <w:rsid w:val="00A73F39"/>
    <w:rsid w:val="00A73F73"/>
    <w:rsid w:val="00A74037"/>
    <w:rsid w:val="00A7414E"/>
    <w:rsid w:val="00A742D4"/>
    <w:rsid w:val="00A74333"/>
    <w:rsid w:val="00A7436B"/>
    <w:rsid w:val="00A7442A"/>
    <w:rsid w:val="00A74478"/>
    <w:rsid w:val="00A7448C"/>
    <w:rsid w:val="00A744CE"/>
    <w:rsid w:val="00A745B7"/>
    <w:rsid w:val="00A74636"/>
    <w:rsid w:val="00A7468F"/>
    <w:rsid w:val="00A74752"/>
    <w:rsid w:val="00A7479C"/>
    <w:rsid w:val="00A74808"/>
    <w:rsid w:val="00A74962"/>
    <w:rsid w:val="00A7499A"/>
    <w:rsid w:val="00A749A6"/>
    <w:rsid w:val="00A74B6C"/>
    <w:rsid w:val="00A74BD0"/>
    <w:rsid w:val="00A74C59"/>
    <w:rsid w:val="00A74C98"/>
    <w:rsid w:val="00A74CBF"/>
    <w:rsid w:val="00A74CC8"/>
    <w:rsid w:val="00A74D74"/>
    <w:rsid w:val="00A74FC8"/>
    <w:rsid w:val="00A74FCF"/>
    <w:rsid w:val="00A74FE0"/>
    <w:rsid w:val="00A75039"/>
    <w:rsid w:val="00A750BE"/>
    <w:rsid w:val="00A750EC"/>
    <w:rsid w:val="00A75239"/>
    <w:rsid w:val="00A7532B"/>
    <w:rsid w:val="00A753BE"/>
    <w:rsid w:val="00A75492"/>
    <w:rsid w:val="00A754AD"/>
    <w:rsid w:val="00A754F6"/>
    <w:rsid w:val="00A754FD"/>
    <w:rsid w:val="00A75517"/>
    <w:rsid w:val="00A7554A"/>
    <w:rsid w:val="00A755AB"/>
    <w:rsid w:val="00A75618"/>
    <w:rsid w:val="00A75771"/>
    <w:rsid w:val="00A757C4"/>
    <w:rsid w:val="00A75850"/>
    <w:rsid w:val="00A75978"/>
    <w:rsid w:val="00A75A7F"/>
    <w:rsid w:val="00A75C0F"/>
    <w:rsid w:val="00A75DA9"/>
    <w:rsid w:val="00A75E2C"/>
    <w:rsid w:val="00A76131"/>
    <w:rsid w:val="00A761AF"/>
    <w:rsid w:val="00A7624E"/>
    <w:rsid w:val="00A762EB"/>
    <w:rsid w:val="00A762EE"/>
    <w:rsid w:val="00A7630A"/>
    <w:rsid w:val="00A763C7"/>
    <w:rsid w:val="00A763E7"/>
    <w:rsid w:val="00A76439"/>
    <w:rsid w:val="00A76593"/>
    <w:rsid w:val="00A765C1"/>
    <w:rsid w:val="00A765C6"/>
    <w:rsid w:val="00A7680A"/>
    <w:rsid w:val="00A76833"/>
    <w:rsid w:val="00A768C0"/>
    <w:rsid w:val="00A76961"/>
    <w:rsid w:val="00A76B09"/>
    <w:rsid w:val="00A76BD8"/>
    <w:rsid w:val="00A76BDD"/>
    <w:rsid w:val="00A76C69"/>
    <w:rsid w:val="00A76CF2"/>
    <w:rsid w:val="00A76E47"/>
    <w:rsid w:val="00A76FEA"/>
    <w:rsid w:val="00A76FFD"/>
    <w:rsid w:val="00A770F5"/>
    <w:rsid w:val="00A7710B"/>
    <w:rsid w:val="00A7719B"/>
    <w:rsid w:val="00A77209"/>
    <w:rsid w:val="00A77217"/>
    <w:rsid w:val="00A772B4"/>
    <w:rsid w:val="00A772C7"/>
    <w:rsid w:val="00A773A0"/>
    <w:rsid w:val="00A773E4"/>
    <w:rsid w:val="00A774CC"/>
    <w:rsid w:val="00A774FA"/>
    <w:rsid w:val="00A774FE"/>
    <w:rsid w:val="00A77561"/>
    <w:rsid w:val="00A775DD"/>
    <w:rsid w:val="00A775FE"/>
    <w:rsid w:val="00A77850"/>
    <w:rsid w:val="00A778C6"/>
    <w:rsid w:val="00A77935"/>
    <w:rsid w:val="00A77955"/>
    <w:rsid w:val="00A77AAA"/>
    <w:rsid w:val="00A77B55"/>
    <w:rsid w:val="00A77CE2"/>
    <w:rsid w:val="00A77F2C"/>
    <w:rsid w:val="00A77FC4"/>
    <w:rsid w:val="00A7C632"/>
    <w:rsid w:val="00A8001E"/>
    <w:rsid w:val="00A80076"/>
    <w:rsid w:val="00A800BD"/>
    <w:rsid w:val="00A800EF"/>
    <w:rsid w:val="00A80129"/>
    <w:rsid w:val="00A8027A"/>
    <w:rsid w:val="00A80504"/>
    <w:rsid w:val="00A8057D"/>
    <w:rsid w:val="00A80603"/>
    <w:rsid w:val="00A80727"/>
    <w:rsid w:val="00A8074F"/>
    <w:rsid w:val="00A8076E"/>
    <w:rsid w:val="00A80985"/>
    <w:rsid w:val="00A80988"/>
    <w:rsid w:val="00A80AA6"/>
    <w:rsid w:val="00A80B1D"/>
    <w:rsid w:val="00A80BD7"/>
    <w:rsid w:val="00A80BEF"/>
    <w:rsid w:val="00A80C27"/>
    <w:rsid w:val="00A80C70"/>
    <w:rsid w:val="00A80D7F"/>
    <w:rsid w:val="00A80E15"/>
    <w:rsid w:val="00A80E8B"/>
    <w:rsid w:val="00A80F4B"/>
    <w:rsid w:val="00A810C9"/>
    <w:rsid w:val="00A810F6"/>
    <w:rsid w:val="00A81181"/>
    <w:rsid w:val="00A81215"/>
    <w:rsid w:val="00A81282"/>
    <w:rsid w:val="00A812BF"/>
    <w:rsid w:val="00A8136A"/>
    <w:rsid w:val="00A813D7"/>
    <w:rsid w:val="00A813EA"/>
    <w:rsid w:val="00A81411"/>
    <w:rsid w:val="00A81451"/>
    <w:rsid w:val="00A81543"/>
    <w:rsid w:val="00A815CB"/>
    <w:rsid w:val="00A815D9"/>
    <w:rsid w:val="00A816DC"/>
    <w:rsid w:val="00A817F7"/>
    <w:rsid w:val="00A818BD"/>
    <w:rsid w:val="00A81A96"/>
    <w:rsid w:val="00A81AB1"/>
    <w:rsid w:val="00A81C88"/>
    <w:rsid w:val="00A81CD1"/>
    <w:rsid w:val="00A81D63"/>
    <w:rsid w:val="00A81E4E"/>
    <w:rsid w:val="00A82033"/>
    <w:rsid w:val="00A82136"/>
    <w:rsid w:val="00A82195"/>
    <w:rsid w:val="00A821A3"/>
    <w:rsid w:val="00A821BB"/>
    <w:rsid w:val="00A82293"/>
    <w:rsid w:val="00A822B1"/>
    <w:rsid w:val="00A822F0"/>
    <w:rsid w:val="00A823EF"/>
    <w:rsid w:val="00A8242E"/>
    <w:rsid w:val="00A8255E"/>
    <w:rsid w:val="00A82614"/>
    <w:rsid w:val="00A826F3"/>
    <w:rsid w:val="00A8284B"/>
    <w:rsid w:val="00A8288B"/>
    <w:rsid w:val="00A828DD"/>
    <w:rsid w:val="00A82939"/>
    <w:rsid w:val="00A8294A"/>
    <w:rsid w:val="00A82AC3"/>
    <w:rsid w:val="00A82B69"/>
    <w:rsid w:val="00A82BA0"/>
    <w:rsid w:val="00A82C08"/>
    <w:rsid w:val="00A82CFF"/>
    <w:rsid w:val="00A82D4B"/>
    <w:rsid w:val="00A82D4C"/>
    <w:rsid w:val="00A82D5F"/>
    <w:rsid w:val="00A82DBD"/>
    <w:rsid w:val="00A83084"/>
    <w:rsid w:val="00A8313F"/>
    <w:rsid w:val="00A83184"/>
    <w:rsid w:val="00A831E0"/>
    <w:rsid w:val="00A831E8"/>
    <w:rsid w:val="00A8339E"/>
    <w:rsid w:val="00A83457"/>
    <w:rsid w:val="00A834CA"/>
    <w:rsid w:val="00A83513"/>
    <w:rsid w:val="00A83536"/>
    <w:rsid w:val="00A83606"/>
    <w:rsid w:val="00A83661"/>
    <w:rsid w:val="00A8375A"/>
    <w:rsid w:val="00A83823"/>
    <w:rsid w:val="00A83AB5"/>
    <w:rsid w:val="00A83ACD"/>
    <w:rsid w:val="00A83AD6"/>
    <w:rsid w:val="00A83C27"/>
    <w:rsid w:val="00A83D18"/>
    <w:rsid w:val="00A83D36"/>
    <w:rsid w:val="00A83E1A"/>
    <w:rsid w:val="00A83E25"/>
    <w:rsid w:val="00A83E44"/>
    <w:rsid w:val="00A83E47"/>
    <w:rsid w:val="00A83EAA"/>
    <w:rsid w:val="00A83EC0"/>
    <w:rsid w:val="00A83ECC"/>
    <w:rsid w:val="00A83F1C"/>
    <w:rsid w:val="00A83F67"/>
    <w:rsid w:val="00A83F9A"/>
    <w:rsid w:val="00A83FD2"/>
    <w:rsid w:val="00A840FE"/>
    <w:rsid w:val="00A8411C"/>
    <w:rsid w:val="00A841E0"/>
    <w:rsid w:val="00A8429C"/>
    <w:rsid w:val="00A842CD"/>
    <w:rsid w:val="00A8442F"/>
    <w:rsid w:val="00A84713"/>
    <w:rsid w:val="00A84733"/>
    <w:rsid w:val="00A84741"/>
    <w:rsid w:val="00A848A4"/>
    <w:rsid w:val="00A848E5"/>
    <w:rsid w:val="00A84A25"/>
    <w:rsid w:val="00A84A3F"/>
    <w:rsid w:val="00A84B99"/>
    <w:rsid w:val="00A84C4C"/>
    <w:rsid w:val="00A84C87"/>
    <w:rsid w:val="00A84C89"/>
    <w:rsid w:val="00A84D63"/>
    <w:rsid w:val="00A84DD8"/>
    <w:rsid w:val="00A84DDD"/>
    <w:rsid w:val="00A84DE3"/>
    <w:rsid w:val="00A84E26"/>
    <w:rsid w:val="00A84E71"/>
    <w:rsid w:val="00A84E80"/>
    <w:rsid w:val="00A84F3F"/>
    <w:rsid w:val="00A84F77"/>
    <w:rsid w:val="00A84FF1"/>
    <w:rsid w:val="00A8503D"/>
    <w:rsid w:val="00A851D5"/>
    <w:rsid w:val="00A851F9"/>
    <w:rsid w:val="00A85201"/>
    <w:rsid w:val="00A85281"/>
    <w:rsid w:val="00A852F8"/>
    <w:rsid w:val="00A8542C"/>
    <w:rsid w:val="00A8554D"/>
    <w:rsid w:val="00A855DA"/>
    <w:rsid w:val="00A856B8"/>
    <w:rsid w:val="00A857E5"/>
    <w:rsid w:val="00A85837"/>
    <w:rsid w:val="00A85843"/>
    <w:rsid w:val="00A85881"/>
    <w:rsid w:val="00A8597A"/>
    <w:rsid w:val="00A859BD"/>
    <w:rsid w:val="00A85B89"/>
    <w:rsid w:val="00A85CB9"/>
    <w:rsid w:val="00A85CFA"/>
    <w:rsid w:val="00A85D28"/>
    <w:rsid w:val="00A85D8F"/>
    <w:rsid w:val="00A85EE4"/>
    <w:rsid w:val="00A85F2A"/>
    <w:rsid w:val="00A85F8E"/>
    <w:rsid w:val="00A86004"/>
    <w:rsid w:val="00A860BB"/>
    <w:rsid w:val="00A86151"/>
    <w:rsid w:val="00A8618D"/>
    <w:rsid w:val="00A8630F"/>
    <w:rsid w:val="00A86335"/>
    <w:rsid w:val="00A86382"/>
    <w:rsid w:val="00A86536"/>
    <w:rsid w:val="00A8656F"/>
    <w:rsid w:val="00A8659F"/>
    <w:rsid w:val="00A86722"/>
    <w:rsid w:val="00A86774"/>
    <w:rsid w:val="00A86788"/>
    <w:rsid w:val="00A86874"/>
    <w:rsid w:val="00A8687E"/>
    <w:rsid w:val="00A8693A"/>
    <w:rsid w:val="00A86941"/>
    <w:rsid w:val="00A8694C"/>
    <w:rsid w:val="00A86B02"/>
    <w:rsid w:val="00A86BFD"/>
    <w:rsid w:val="00A86C7E"/>
    <w:rsid w:val="00A86D4E"/>
    <w:rsid w:val="00A86EA4"/>
    <w:rsid w:val="00A86EE3"/>
    <w:rsid w:val="00A86F19"/>
    <w:rsid w:val="00A86F29"/>
    <w:rsid w:val="00A86F41"/>
    <w:rsid w:val="00A86F8E"/>
    <w:rsid w:val="00A87043"/>
    <w:rsid w:val="00A870CE"/>
    <w:rsid w:val="00A870FD"/>
    <w:rsid w:val="00A87112"/>
    <w:rsid w:val="00A8715A"/>
    <w:rsid w:val="00A871C4"/>
    <w:rsid w:val="00A8732A"/>
    <w:rsid w:val="00A8743A"/>
    <w:rsid w:val="00A874A3"/>
    <w:rsid w:val="00A875E1"/>
    <w:rsid w:val="00A876A7"/>
    <w:rsid w:val="00A87724"/>
    <w:rsid w:val="00A87792"/>
    <w:rsid w:val="00A878E8"/>
    <w:rsid w:val="00A879BC"/>
    <w:rsid w:val="00A87A83"/>
    <w:rsid w:val="00A87AFD"/>
    <w:rsid w:val="00A87B4F"/>
    <w:rsid w:val="00A87BA4"/>
    <w:rsid w:val="00A87C7A"/>
    <w:rsid w:val="00A87CAE"/>
    <w:rsid w:val="00A87CD1"/>
    <w:rsid w:val="00A87CFD"/>
    <w:rsid w:val="00A87F1C"/>
    <w:rsid w:val="00A900A0"/>
    <w:rsid w:val="00A901A1"/>
    <w:rsid w:val="00A901B1"/>
    <w:rsid w:val="00A9027D"/>
    <w:rsid w:val="00A903D4"/>
    <w:rsid w:val="00A9042A"/>
    <w:rsid w:val="00A90470"/>
    <w:rsid w:val="00A90614"/>
    <w:rsid w:val="00A90626"/>
    <w:rsid w:val="00A906D0"/>
    <w:rsid w:val="00A90744"/>
    <w:rsid w:val="00A90784"/>
    <w:rsid w:val="00A90857"/>
    <w:rsid w:val="00A90877"/>
    <w:rsid w:val="00A90952"/>
    <w:rsid w:val="00A9097B"/>
    <w:rsid w:val="00A90AE0"/>
    <w:rsid w:val="00A90B6B"/>
    <w:rsid w:val="00A90BEC"/>
    <w:rsid w:val="00A90C6A"/>
    <w:rsid w:val="00A90CE5"/>
    <w:rsid w:val="00A90D4A"/>
    <w:rsid w:val="00A90D4E"/>
    <w:rsid w:val="00A90D53"/>
    <w:rsid w:val="00A90D84"/>
    <w:rsid w:val="00A90DAE"/>
    <w:rsid w:val="00A9106B"/>
    <w:rsid w:val="00A911A6"/>
    <w:rsid w:val="00A911F2"/>
    <w:rsid w:val="00A912A9"/>
    <w:rsid w:val="00A91379"/>
    <w:rsid w:val="00A9137A"/>
    <w:rsid w:val="00A9138C"/>
    <w:rsid w:val="00A913DC"/>
    <w:rsid w:val="00A913E9"/>
    <w:rsid w:val="00A9143C"/>
    <w:rsid w:val="00A91448"/>
    <w:rsid w:val="00A9150C"/>
    <w:rsid w:val="00A915A3"/>
    <w:rsid w:val="00A915BF"/>
    <w:rsid w:val="00A915D6"/>
    <w:rsid w:val="00A916DA"/>
    <w:rsid w:val="00A917DF"/>
    <w:rsid w:val="00A91942"/>
    <w:rsid w:val="00A919E1"/>
    <w:rsid w:val="00A91A7B"/>
    <w:rsid w:val="00A91A7C"/>
    <w:rsid w:val="00A91D9A"/>
    <w:rsid w:val="00A91DE6"/>
    <w:rsid w:val="00A91DFE"/>
    <w:rsid w:val="00A91E86"/>
    <w:rsid w:val="00A91EA6"/>
    <w:rsid w:val="00A91EBC"/>
    <w:rsid w:val="00A91ED0"/>
    <w:rsid w:val="00A92060"/>
    <w:rsid w:val="00A921C9"/>
    <w:rsid w:val="00A921FB"/>
    <w:rsid w:val="00A92298"/>
    <w:rsid w:val="00A924A0"/>
    <w:rsid w:val="00A92622"/>
    <w:rsid w:val="00A9265F"/>
    <w:rsid w:val="00A92690"/>
    <w:rsid w:val="00A92760"/>
    <w:rsid w:val="00A927D0"/>
    <w:rsid w:val="00A927FF"/>
    <w:rsid w:val="00A9283F"/>
    <w:rsid w:val="00A92894"/>
    <w:rsid w:val="00A9290A"/>
    <w:rsid w:val="00A92917"/>
    <w:rsid w:val="00A9291E"/>
    <w:rsid w:val="00A9295A"/>
    <w:rsid w:val="00A92995"/>
    <w:rsid w:val="00A929CB"/>
    <w:rsid w:val="00A92A68"/>
    <w:rsid w:val="00A92A98"/>
    <w:rsid w:val="00A92C7E"/>
    <w:rsid w:val="00A92D7F"/>
    <w:rsid w:val="00A92DAD"/>
    <w:rsid w:val="00A92DBF"/>
    <w:rsid w:val="00A92EB9"/>
    <w:rsid w:val="00A93004"/>
    <w:rsid w:val="00A93070"/>
    <w:rsid w:val="00A9313A"/>
    <w:rsid w:val="00A93215"/>
    <w:rsid w:val="00A93255"/>
    <w:rsid w:val="00A93306"/>
    <w:rsid w:val="00A93374"/>
    <w:rsid w:val="00A93719"/>
    <w:rsid w:val="00A9378C"/>
    <w:rsid w:val="00A93850"/>
    <w:rsid w:val="00A938BE"/>
    <w:rsid w:val="00A93952"/>
    <w:rsid w:val="00A93961"/>
    <w:rsid w:val="00A939A0"/>
    <w:rsid w:val="00A939C7"/>
    <w:rsid w:val="00A93AC7"/>
    <w:rsid w:val="00A93B6E"/>
    <w:rsid w:val="00A93BE1"/>
    <w:rsid w:val="00A93C08"/>
    <w:rsid w:val="00A93DC7"/>
    <w:rsid w:val="00A93F13"/>
    <w:rsid w:val="00A93F4E"/>
    <w:rsid w:val="00A93F7F"/>
    <w:rsid w:val="00A94099"/>
    <w:rsid w:val="00A940B1"/>
    <w:rsid w:val="00A9414D"/>
    <w:rsid w:val="00A94212"/>
    <w:rsid w:val="00A943AF"/>
    <w:rsid w:val="00A943D0"/>
    <w:rsid w:val="00A94459"/>
    <w:rsid w:val="00A94523"/>
    <w:rsid w:val="00A94526"/>
    <w:rsid w:val="00A94533"/>
    <w:rsid w:val="00A9457D"/>
    <w:rsid w:val="00A94697"/>
    <w:rsid w:val="00A94741"/>
    <w:rsid w:val="00A9475B"/>
    <w:rsid w:val="00A94850"/>
    <w:rsid w:val="00A94864"/>
    <w:rsid w:val="00A948FD"/>
    <w:rsid w:val="00A9498F"/>
    <w:rsid w:val="00A94B63"/>
    <w:rsid w:val="00A94B8F"/>
    <w:rsid w:val="00A94BE8"/>
    <w:rsid w:val="00A94DC2"/>
    <w:rsid w:val="00A94DF1"/>
    <w:rsid w:val="00A94F3D"/>
    <w:rsid w:val="00A94FAB"/>
    <w:rsid w:val="00A9511D"/>
    <w:rsid w:val="00A95123"/>
    <w:rsid w:val="00A9517D"/>
    <w:rsid w:val="00A951AD"/>
    <w:rsid w:val="00A951B7"/>
    <w:rsid w:val="00A953C3"/>
    <w:rsid w:val="00A9543A"/>
    <w:rsid w:val="00A95551"/>
    <w:rsid w:val="00A95594"/>
    <w:rsid w:val="00A955BA"/>
    <w:rsid w:val="00A955C5"/>
    <w:rsid w:val="00A95612"/>
    <w:rsid w:val="00A957EA"/>
    <w:rsid w:val="00A957FB"/>
    <w:rsid w:val="00A95800"/>
    <w:rsid w:val="00A95A14"/>
    <w:rsid w:val="00A95C04"/>
    <w:rsid w:val="00A95C19"/>
    <w:rsid w:val="00A95ED7"/>
    <w:rsid w:val="00A95F0E"/>
    <w:rsid w:val="00A95F1A"/>
    <w:rsid w:val="00A95F42"/>
    <w:rsid w:val="00A95F4A"/>
    <w:rsid w:val="00A960AA"/>
    <w:rsid w:val="00A9610C"/>
    <w:rsid w:val="00A961E9"/>
    <w:rsid w:val="00A96209"/>
    <w:rsid w:val="00A96333"/>
    <w:rsid w:val="00A963BE"/>
    <w:rsid w:val="00A964D8"/>
    <w:rsid w:val="00A96522"/>
    <w:rsid w:val="00A966CD"/>
    <w:rsid w:val="00A968C1"/>
    <w:rsid w:val="00A9694A"/>
    <w:rsid w:val="00A96981"/>
    <w:rsid w:val="00A969E8"/>
    <w:rsid w:val="00A96A5E"/>
    <w:rsid w:val="00A96ACC"/>
    <w:rsid w:val="00A96BDC"/>
    <w:rsid w:val="00A96C31"/>
    <w:rsid w:val="00A96C9A"/>
    <w:rsid w:val="00A96F0E"/>
    <w:rsid w:val="00A96F81"/>
    <w:rsid w:val="00A9701D"/>
    <w:rsid w:val="00A97127"/>
    <w:rsid w:val="00A971FD"/>
    <w:rsid w:val="00A97339"/>
    <w:rsid w:val="00A97347"/>
    <w:rsid w:val="00A9734D"/>
    <w:rsid w:val="00A9742B"/>
    <w:rsid w:val="00A97484"/>
    <w:rsid w:val="00A974EB"/>
    <w:rsid w:val="00A9758D"/>
    <w:rsid w:val="00A9759E"/>
    <w:rsid w:val="00A975A1"/>
    <w:rsid w:val="00A975C3"/>
    <w:rsid w:val="00A9772C"/>
    <w:rsid w:val="00A97767"/>
    <w:rsid w:val="00A977E6"/>
    <w:rsid w:val="00A977FB"/>
    <w:rsid w:val="00A9782E"/>
    <w:rsid w:val="00A978C3"/>
    <w:rsid w:val="00A978D3"/>
    <w:rsid w:val="00A9791E"/>
    <w:rsid w:val="00A97A28"/>
    <w:rsid w:val="00A97A82"/>
    <w:rsid w:val="00A97B94"/>
    <w:rsid w:val="00A97BFA"/>
    <w:rsid w:val="00A97E24"/>
    <w:rsid w:val="00A97E4A"/>
    <w:rsid w:val="00A97F86"/>
    <w:rsid w:val="00A97FFA"/>
    <w:rsid w:val="00AA0013"/>
    <w:rsid w:val="00AA00A8"/>
    <w:rsid w:val="00AA012F"/>
    <w:rsid w:val="00AA0234"/>
    <w:rsid w:val="00AA0289"/>
    <w:rsid w:val="00AA0334"/>
    <w:rsid w:val="00AA03D9"/>
    <w:rsid w:val="00AA0444"/>
    <w:rsid w:val="00AA0465"/>
    <w:rsid w:val="00AA05B0"/>
    <w:rsid w:val="00AA060A"/>
    <w:rsid w:val="00AA06C2"/>
    <w:rsid w:val="00AA0778"/>
    <w:rsid w:val="00AA0829"/>
    <w:rsid w:val="00AA08CA"/>
    <w:rsid w:val="00AA0956"/>
    <w:rsid w:val="00AA0966"/>
    <w:rsid w:val="00AA0968"/>
    <w:rsid w:val="00AA09CA"/>
    <w:rsid w:val="00AA09DE"/>
    <w:rsid w:val="00AA0A83"/>
    <w:rsid w:val="00AA0ACA"/>
    <w:rsid w:val="00AA0B17"/>
    <w:rsid w:val="00AA0B24"/>
    <w:rsid w:val="00AA0BF6"/>
    <w:rsid w:val="00AA0C91"/>
    <w:rsid w:val="00AA0E04"/>
    <w:rsid w:val="00AA0E74"/>
    <w:rsid w:val="00AA0E89"/>
    <w:rsid w:val="00AA0E8D"/>
    <w:rsid w:val="00AA0F40"/>
    <w:rsid w:val="00AA105E"/>
    <w:rsid w:val="00AA1180"/>
    <w:rsid w:val="00AA1209"/>
    <w:rsid w:val="00AA12BF"/>
    <w:rsid w:val="00AA13D2"/>
    <w:rsid w:val="00AA151D"/>
    <w:rsid w:val="00AA152F"/>
    <w:rsid w:val="00AA157D"/>
    <w:rsid w:val="00AA15BE"/>
    <w:rsid w:val="00AA1718"/>
    <w:rsid w:val="00AA184B"/>
    <w:rsid w:val="00AA18D6"/>
    <w:rsid w:val="00AA1A5B"/>
    <w:rsid w:val="00AA1BF4"/>
    <w:rsid w:val="00AA1C02"/>
    <w:rsid w:val="00AA1C3D"/>
    <w:rsid w:val="00AA1E69"/>
    <w:rsid w:val="00AA1E7D"/>
    <w:rsid w:val="00AA1F1D"/>
    <w:rsid w:val="00AA1F30"/>
    <w:rsid w:val="00AA1F62"/>
    <w:rsid w:val="00AA1FC7"/>
    <w:rsid w:val="00AA219B"/>
    <w:rsid w:val="00AA21D6"/>
    <w:rsid w:val="00AA21FE"/>
    <w:rsid w:val="00AA225D"/>
    <w:rsid w:val="00AA2291"/>
    <w:rsid w:val="00AA2306"/>
    <w:rsid w:val="00AA2331"/>
    <w:rsid w:val="00AA2404"/>
    <w:rsid w:val="00AA2464"/>
    <w:rsid w:val="00AA2476"/>
    <w:rsid w:val="00AA24AC"/>
    <w:rsid w:val="00AA24BD"/>
    <w:rsid w:val="00AA251B"/>
    <w:rsid w:val="00AA25D6"/>
    <w:rsid w:val="00AA262B"/>
    <w:rsid w:val="00AA287E"/>
    <w:rsid w:val="00AA28B3"/>
    <w:rsid w:val="00AA28C3"/>
    <w:rsid w:val="00AA298F"/>
    <w:rsid w:val="00AA2994"/>
    <w:rsid w:val="00AA29E8"/>
    <w:rsid w:val="00AA2A66"/>
    <w:rsid w:val="00AA2ABD"/>
    <w:rsid w:val="00AA2B09"/>
    <w:rsid w:val="00AA2B55"/>
    <w:rsid w:val="00AA2BAC"/>
    <w:rsid w:val="00AA2C98"/>
    <w:rsid w:val="00AA2DDA"/>
    <w:rsid w:val="00AA2EF1"/>
    <w:rsid w:val="00AA2F3B"/>
    <w:rsid w:val="00AA2F56"/>
    <w:rsid w:val="00AA300C"/>
    <w:rsid w:val="00AA302B"/>
    <w:rsid w:val="00AA3064"/>
    <w:rsid w:val="00AA30C7"/>
    <w:rsid w:val="00AA31FB"/>
    <w:rsid w:val="00AA3252"/>
    <w:rsid w:val="00AA325D"/>
    <w:rsid w:val="00AA32CF"/>
    <w:rsid w:val="00AA3361"/>
    <w:rsid w:val="00AA339A"/>
    <w:rsid w:val="00AA342E"/>
    <w:rsid w:val="00AA35E2"/>
    <w:rsid w:val="00AA3679"/>
    <w:rsid w:val="00AA3684"/>
    <w:rsid w:val="00AA36E4"/>
    <w:rsid w:val="00AA3705"/>
    <w:rsid w:val="00AA3716"/>
    <w:rsid w:val="00AA375F"/>
    <w:rsid w:val="00AA37D0"/>
    <w:rsid w:val="00AA38BA"/>
    <w:rsid w:val="00AA3958"/>
    <w:rsid w:val="00AA3975"/>
    <w:rsid w:val="00AA3A15"/>
    <w:rsid w:val="00AA3ADF"/>
    <w:rsid w:val="00AA3C44"/>
    <w:rsid w:val="00AA3CB0"/>
    <w:rsid w:val="00AA3D6D"/>
    <w:rsid w:val="00AA3DED"/>
    <w:rsid w:val="00AA3EE7"/>
    <w:rsid w:val="00AA3F33"/>
    <w:rsid w:val="00AA3F4E"/>
    <w:rsid w:val="00AA3FC9"/>
    <w:rsid w:val="00AA40B7"/>
    <w:rsid w:val="00AA4129"/>
    <w:rsid w:val="00AA4131"/>
    <w:rsid w:val="00AA420E"/>
    <w:rsid w:val="00AA4236"/>
    <w:rsid w:val="00AA434C"/>
    <w:rsid w:val="00AA446D"/>
    <w:rsid w:val="00AA457A"/>
    <w:rsid w:val="00AA46A2"/>
    <w:rsid w:val="00AA4809"/>
    <w:rsid w:val="00AA4823"/>
    <w:rsid w:val="00AA493A"/>
    <w:rsid w:val="00AA4ADF"/>
    <w:rsid w:val="00AA4BCF"/>
    <w:rsid w:val="00AA4C4A"/>
    <w:rsid w:val="00AA4C76"/>
    <w:rsid w:val="00AA4CF9"/>
    <w:rsid w:val="00AA4D7C"/>
    <w:rsid w:val="00AA4DDD"/>
    <w:rsid w:val="00AA4EC1"/>
    <w:rsid w:val="00AA4F82"/>
    <w:rsid w:val="00AA503C"/>
    <w:rsid w:val="00AA50D7"/>
    <w:rsid w:val="00AA5100"/>
    <w:rsid w:val="00AA51CB"/>
    <w:rsid w:val="00AA51E7"/>
    <w:rsid w:val="00AA5229"/>
    <w:rsid w:val="00AA5284"/>
    <w:rsid w:val="00AA529D"/>
    <w:rsid w:val="00AA54C6"/>
    <w:rsid w:val="00AA568A"/>
    <w:rsid w:val="00AA5783"/>
    <w:rsid w:val="00AA57D3"/>
    <w:rsid w:val="00AA5880"/>
    <w:rsid w:val="00AA5B03"/>
    <w:rsid w:val="00AA5B3F"/>
    <w:rsid w:val="00AA5C88"/>
    <w:rsid w:val="00AA5D00"/>
    <w:rsid w:val="00AA5F98"/>
    <w:rsid w:val="00AA6052"/>
    <w:rsid w:val="00AA611D"/>
    <w:rsid w:val="00AA616D"/>
    <w:rsid w:val="00AA6223"/>
    <w:rsid w:val="00AA6229"/>
    <w:rsid w:val="00AA625D"/>
    <w:rsid w:val="00AA632C"/>
    <w:rsid w:val="00AA64CC"/>
    <w:rsid w:val="00AA64DB"/>
    <w:rsid w:val="00AA64E1"/>
    <w:rsid w:val="00AA677C"/>
    <w:rsid w:val="00AA691A"/>
    <w:rsid w:val="00AA6AF8"/>
    <w:rsid w:val="00AA6C56"/>
    <w:rsid w:val="00AA6C75"/>
    <w:rsid w:val="00AA6C93"/>
    <w:rsid w:val="00AA6EAD"/>
    <w:rsid w:val="00AA6F18"/>
    <w:rsid w:val="00AA6F4A"/>
    <w:rsid w:val="00AA7080"/>
    <w:rsid w:val="00AA7153"/>
    <w:rsid w:val="00AA722F"/>
    <w:rsid w:val="00AA7265"/>
    <w:rsid w:val="00AA733E"/>
    <w:rsid w:val="00AA73CE"/>
    <w:rsid w:val="00AA7440"/>
    <w:rsid w:val="00AA772B"/>
    <w:rsid w:val="00AA77DC"/>
    <w:rsid w:val="00AA786F"/>
    <w:rsid w:val="00AA7894"/>
    <w:rsid w:val="00AA7957"/>
    <w:rsid w:val="00AA79D9"/>
    <w:rsid w:val="00AA79F7"/>
    <w:rsid w:val="00AA7A78"/>
    <w:rsid w:val="00AA7A96"/>
    <w:rsid w:val="00AA7AFF"/>
    <w:rsid w:val="00AA7B06"/>
    <w:rsid w:val="00AA7B8B"/>
    <w:rsid w:val="00AA7C9F"/>
    <w:rsid w:val="00AA7E5F"/>
    <w:rsid w:val="00AA7EA5"/>
    <w:rsid w:val="00AA7F74"/>
    <w:rsid w:val="00AA7FB5"/>
    <w:rsid w:val="00AA96BC"/>
    <w:rsid w:val="00AB00BD"/>
    <w:rsid w:val="00AB00D1"/>
    <w:rsid w:val="00AB043C"/>
    <w:rsid w:val="00AB0481"/>
    <w:rsid w:val="00AB05F0"/>
    <w:rsid w:val="00AB0605"/>
    <w:rsid w:val="00AB090A"/>
    <w:rsid w:val="00AB091E"/>
    <w:rsid w:val="00AB09EE"/>
    <w:rsid w:val="00AB0B63"/>
    <w:rsid w:val="00AB0C41"/>
    <w:rsid w:val="00AB0C79"/>
    <w:rsid w:val="00AB0D0C"/>
    <w:rsid w:val="00AB0DF9"/>
    <w:rsid w:val="00AB1012"/>
    <w:rsid w:val="00AB109C"/>
    <w:rsid w:val="00AB1145"/>
    <w:rsid w:val="00AB1251"/>
    <w:rsid w:val="00AB1263"/>
    <w:rsid w:val="00AB12ED"/>
    <w:rsid w:val="00AB1340"/>
    <w:rsid w:val="00AB1362"/>
    <w:rsid w:val="00AB13C2"/>
    <w:rsid w:val="00AB1524"/>
    <w:rsid w:val="00AB15AB"/>
    <w:rsid w:val="00AB15C4"/>
    <w:rsid w:val="00AB1615"/>
    <w:rsid w:val="00AB16C6"/>
    <w:rsid w:val="00AB171E"/>
    <w:rsid w:val="00AB17D0"/>
    <w:rsid w:val="00AB17E7"/>
    <w:rsid w:val="00AB1999"/>
    <w:rsid w:val="00AB1A7B"/>
    <w:rsid w:val="00AB1A89"/>
    <w:rsid w:val="00AB1AA8"/>
    <w:rsid w:val="00AB1B39"/>
    <w:rsid w:val="00AB1B87"/>
    <w:rsid w:val="00AB1BF9"/>
    <w:rsid w:val="00AB1C1E"/>
    <w:rsid w:val="00AB1C1F"/>
    <w:rsid w:val="00AB1C26"/>
    <w:rsid w:val="00AB1C8B"/>
    <w:rsid w:val="00AB1E6D"/>
    <w:rsid w:val="00AB2024"/>
    <w:rsid w:val="00AB2077"/>
    <w:rsid w:val="00AB21B5"/>
    <w:rsid w:val="00AB2365"/>
    <w:rsid w:val="00AB2366"/>
    <w:rsid w:val="00AB2388"/>
    <w:rsid w:val="00AB2399"/>
    <w:rsid w:val="00AB2570"/>
    <w:rsid w:val="00AB25BD"/>
    <w:rsid w:val="00AB267B"/>
    <w:rsid w:val="00AB2715"/>
    <w:rsid w:val="00AB27FE"/>
    <w:rsid w:val="00AB292A"/>
    <w:rsid w:val="00AB2B5B"/>
    <w:rsid w:val="00AB2E2D"/>
    <w:rsid w:val="00AB2E55"/>
    <w:rsid w:val="00AB2F32"/>
    <w:rsid w:val="00AB2F3D"/>
    <w:rsid w:val="00AB3238"/>
    <w:rsid w:val="00AB333F"/>
    <w:rsid w:val="00AB3461"/>
    <w:rsid w:val="00AB3607"/>
    <w:rsid w:val="00AB37D5"/>
    <w:rsid w:val="00AB39E2"/>
    <w:rsid w:val="00AB3B80"/>
    <w:rsid w:val="00AB3B8B"/>
    <w:rsid w:val="00AB3B95"/>
    <w:rsid w:val="00AB3C91"/>
    <w:rsid w:val="00AB3CDD"/>
    <w:rsid w:val="00AB3CFD"/>
    <w:rsid w:val="00AB3E8A"/>
    <w:rsid w:val="00AB3EB7"/>
    <w:rsid w:val="00AB3F83"/>
    <w:rsid w:val="00AB3FC6"/>
    <w:rsid w:val="00AB420D"/>
    <w:rsid w:val="00AB436F"/>
    <w:rsid w:val="00AB43F0"/>
    <w:rsid w:val="00AB447D"/>
    <w:rsid w:val="00AB453A"/>
    <w:rsid w:val="00AB4587"/>
    <w:rsid w:val="00AB45C9"/>
    <w:rsid w:val="00AB46F4"/>
    <w:rsid w:val="00AB4760"/>
    <w:rsid w:val="00AB47A8"/>
    <w:rsid w:val="00AB48E3"/>
    <w:rsid w:val="00AB490D"/>
    <w:rsid w:val="00AB4B8C"/>
    <w:rsid w:val="00AB4BF3"/>
    <w:rsid w:val="00AB4EDC"/>
    <w:rsid w:val="00AB4F1F"/>
    <w:rsid w:val="00AB4F40"/>
    <w:rsid w:val="00AB5175"/>
    <w:rsid w:val="00AB51B5"/>
    <w:rsid w:val="00AB53D6"/>
    <w:rsid w:val="00AB54A4"/>
    <w:rsid w:val="00AB55FD"/>
    <w:rsid w:val="00AB5680"/>
    <w:rsid w:val="00AB57A3"/>
    <w:rsid w:val="00AB57D5"/>
    <w:rsid w:val="00AB582C"/>
    <w:rsid w:val="00AB58B9"/>
    <w:rsid w:val="00AB594C"/>
    <w:rsid w:val="00AB5B23"/>
    <w:rsid w:val="00AB5B25"/>
    <w:rsid w:val="00AB5B76"/>
    <w:rsid w:val="00AB5B9D"/>
    <w:rsid w:val="00AB5BCF"/>
    <w:rsid w:val="00AB5C5E"/>
    <w:rsid w:val="00AB5C78"/>
    <w:rsid w:val="00AB5CD2"/>
    <w:rsid w:val="00AB5CF3"/>
    <w:rsid w:val="00AB5DBD"/>
    <w:rsid w:val="00AB5DF8"/>
    <w:rsid w:val="00AB5DFA"/>
    <w:rsid w:val="00AB5E17"/>
    <w:rsid w:val="00AB5E65"/>
    <w:rsid w:val="00AB5E97"/>
    <w:rsid w:val="00AB5FB4"/>
    <w:rsid w:val="00AB6002"/>
    <w:rsid w:val="00AB617B"/>
    <w:rsid w:val="00AB630C"/>
    <w:rsid w:val="00AB63C4"/>
    <w:rsid w:val="00AB63FE"/>
    <w:rsid w:val="00AB6402"/>
    <w:rsid w:val="00AB655B"/>
    <w:rsid w:val="00AB6626"/>
    <w:rsid w:val="00AB6649"/>
    <w:rsid w:val="00AB668D"/>
    <w:rsid w:val="00AB670D"/>
    <w:rsid w:val="00AB6772"/>
    <w:rsid w:val="00AB678F"/>
    <w:rsid w:val="00AB67DE"/>
    <w:rsid w:val="00AB685A"/>
    <w:rsid w:val="00AB68AF"/>
    <w:rsid w:val="00AB68B9"/>
    <w:rsid w:val="00AB69E7"/>
    <w:rsid w:val="00AB6AA1"/>
    <w:rsid w:val="00AB6C72"/>
    <w:rsid w:val="00AB6C87"/>
    <w:rsid w:val="00AB6DD3"/>
    <w:rsid w:val="00AB6F5C"/>
    <w:rsid w:val="00AB709F"/>
    <w:rsid w:val="00AB717E"/>
    <w:rsid w:val="00AB7188"/>
    <w:rsid w:val="00AB71AB"/>
    <w:rsid w:val="00AB723D"/>
    <w:rsid w:val="00AB725A"/>
    <w:rsid w:val="00AB7287"/>
    <w:rsid w:val="00AB729B"/>
    <w:rsid w:val="00AB72F7"/>
    <w:rsid w:val="00AB758C"/>
    <w:rsid w:val="00AB75F9"/>
    <w:rsid w:val="00AB760E"/>
    <w:rsid w:val="00AB7772"/>
    <w:rsid w:val="00AB778C"/>
    <w:rsid w:val="00AB7800"/>
    <w:rsid w:val="00AB7C82"/>
    <w:rsid w:val="00AB7D2D"/>
    <w:rsid w:val="00AB7D30"/>
    <w:rsid w:val="00AB7DDB"/>
    <w:rsid w:val="00AB7E02"/>
    <w:rsid w:val="00AB7F97"/>
    <w:rsid w:val="00AB7FC3"/>
    <w:rsid w:val="00AC0026"/>
    <w:rsid w:val="00AC011A"/>
    <w:rsid w:val="00AC011B"/>
    <w:rsid w:val="00AC01D9"/>
    <w:rsid w:val="00AC01F6"/>
    <w:rsid w:val="00AC01FA"/>
    <w:rsid w:val="00AC029D"/>
    <w:rsid w:val="00AC02D3"/>
    <w:rsid w:val="00AC0305"/>
    <w:rsid w:val="00AC03B6"/>
    <w:rsid w:val="00AC052C"/>
    <w:rsid w:val="00AC072E"/>
    <w:rsid w:val="00AC0732"/>
    <w:rsid w:val="00AC0784"/>
    <w:rsid w:val="00AC0C8A"/>
    <w:rsid w:val="00AC0D0E"/>
    <w:rsid w:val="00AC0D40"/>
    <w:rsid w:val="00AC0DC2"/>
    <w:rsid w:val="00AC0EDF"/>
    <w:rsid w:val="00AC0F43"/>
    <w:rsid w:val="00AC0FC5"/>
    <w:rsid w:val="00AC10C5"/>
    <w:rsid w:val="00AC111D"/>
    <w:rsid w:val="00AC1218"/>
    <w:rsid w:val="00AC123C"/>
    <w:rsid w:val="00AC12A2"/>
    <w:rsid w:val="00AC12E4"/>
    <w:rsid w:val="00AC137B"/>
    <w:rsid w:val="00AC14F8"/>
    <w:rsid w:val="00AC154C"/>
    <w:rsid w:val="00AC155E"/>
    <w:rsid w:val="00AC1624"/>
    <w:rsid w:val="00AC174B"/>
    <w:rsid w:val="00AC1756"/>
    <w:rsid w:val="00AC17EB"/>
    <w:rsid w:val="00AC1823"/>
    <w:rsid w:val="00AC189B"/>
    <w:rsid w:val="00AC18D4"/>
    <w:rsid w:val="00AC1A01"/>
    <w:rsid w:val="00AC1A29"/>
    <w:rsid w:val="00AC1A40"/>
    <w:rsid w:val="00AC1A68"/>
    <w:rsid w:val="00AC1BA0"/>
    <w:rsid w:val="00AC1C37"/>
    <w:rsid w:val="00AC1D61"/>
    <w:rsid w:val="00AC1DF0"/>
    <w:rsid w:val="00AC1EF3"/>
    <w:rsid w:val="00AC1F80"/>
    <w:rsid w:val="00AC20E7"/>
    <w:rsid w:val="00AC2181"/>
    <w:rsid w:val="00AC2210"/>
    <w:rsid w:val="00AC229D"/>
    <w:rsid w:val="00AC22D7"/>
    <w:rsid w:val="00AC23F1"/>
    <w:rsid w:val="00AC24A8"/>
    <w:rsid w:val="00AC2599"/>
    <w:rsid w:val="00AC2617"/>
    <w:rsid w:val="00AC2682"/>
    <w:rsid w:val="00AC2691"/>
    <w:rsid w:val="00AC28CA"/>
    <w:rsid w:val="00AC297E"/>
    <w:rsid w:val="00AC29C5"/>
    <w:rsid w:val="00AC2AB0"/>
    <w:rsid w:val="00AC2AF2"/>
    <w:rsid w:val="00AC2B78"/>
    <w:rsid w:val="00AC2C1F"/>
    <w:rsid w:val="00AC2C69"/>
    <w:rsid w:val="00AC2CDB"/>
    <w:rsid w:val="00AC2FDC"/>
    <w:rsid w:val="00AC3218"/>
    <w:rsid w:val="00AC325F"/>
    <w:rsid w:val="00AC33B6"/>
    <w:rsid w:val="00AC3403"/>
    <w:rsid w:val="00AC35A1"/>
    <w:rsid w:val="00AC3676"/>
    <w:rsid w:val="00AC3682"/>
    <w:rsid w:val="00AC3796"/>
    <w:rsid w:val="00AC37D7"/>
    <w:rsid w:val="00AC3803"/>
    <w:rsid w:val="00AC3843"/>
    <w:rsid w:val="00AC39CF"/>
    <w:rsid w:val="00AC39F7"/>
    <w:rsid w:val="00AC3A8F"/>
    <w:rsid w:val="00AC3AA4"/>
    <w:rsid w:val="00AC3C05"/>
    <w:rsid w:val="00AC3CB5"/>
    <w:rsid w:val="00AC3D7F"/>
    <w:rsid w:val="00AC3E9B"/>
    <w:rsid w:val="00AC3EC2"/>
    <w:rsid w:val="00AC3ED4"/>
    <w:rsid w:val="00AC3F80"/>
    <w:rsid w:val="00AC3FBE"/>
    <w:rsid w:val="00AC3FE2"/>
    <w:rsid w:val="00AC40ED"/>
    <w:rsid w:val="00AC4119"/>
    <w:rsid w:val="00AC41BB"/>
    <w:rsid w:val="00AC41F3"/>
    <w:rsid w:val="00AC420E"/>
    <w:rsid w:val="00AC428B"/>
    <w:rsid w:val="00AC4357"/>
    <w:rsid w:val="00AC4391"/>
    <w:rsid w:val="00AC4464"/>
    <w:rsid w:val="00AC4655"/>
    <w:rsid w:val="00AC46B8"/>
    <w:rsid w:val="00AC46C6"/>
    <w:rsid w:val="00AC4745"/>
    <w:rsid w:val="00AC47AD"/>
    <w:rsid w:val="00AC47BA"/>
    <w:rsid w:val="00AC4833"/>
    <w:rsid w:val="00AC487C"/>
    <w:rsid w:val="00AC49E0"/>
    <w:rsid w:val="00AC49F9"/>
    <w:rsid w:val="00AC4CAB"/>
    <w:rsid w:val="00AC4D4A"/>
    <w:rsid w:val="00AC4DE2"/>
    <w:rsid w:val="00AC4E14"/>
    <w:rsid w:val="00AC4EB8"/>
    <w:rsid w:val="00AC4F7B"/>
    <w:rsid w:val="00AC4FA2"/>
    <w:rsid w:val="00AC4FAF"/>
    <w:rsid w:val="00AC5117"/>
    <w:rsid w:val="00AC5122"/>
    <w:rsid w:val="00AC512F"/>
    <w:rsid w:val="00AC5170"/>
    <w:rsid w:val="00AC51A6"/>
    <w:rsid w:val="00AC524B"/>
    <w:rsid w:val="00AC527B"/>
    <w:rsid w:val="00AC529C"/>
    <w:rsid w:val="00AC5570"/>
    <w:rsid w:val="00AC5634"/>
    <w:rsid w:val="00AC583C"/>
    <w:rsid w:val="00AC589B"/>
    <w:rsid w:val="00AC5960"/>
    <w:rsid w:val="00AC59EF"/>
    <w:rsid w:val="00AC5A18"/>
    <w:rsid w:val="00AC5B7D"/>
    <w:rsid w:val="00AC5BE1"/>
    <w:rsid w:val="00AC5CA0"/>
    <w:rsid w:val="00AC5CCD"/>
    <w:rsid w:val="00AC5CD6"/>
    <w:rsid w:val="00AC5D6E"/>
    <w:rsid w:val="00AC5D90"/>
    <w:rsid w:val="00AC5FA6"/>
    <w:rsid w:val="00AC6238"/>
    <w:rsid w:val="00AC623C"/>
    <w:rsid w:val="00AC6448"/>
    <w:rsid w:val="00AC64F8"/>
    <w:rsid w:val="00AC6601"/>
    <w:rsid w:val="00AC6612"/>
    <w:rsid w:val="00AC669E"/>
    <w:rsid w:val="00AC676C"/>
    <w:rsid w:val="00AC677E"/>
    <w:rsid w:val="00AC67A5"/>
    <w:rsid w:val="00AC688C"/>
    <w:rsid w:val="00AC68D3"/>
    <w:rsid w:val="00AC694F"/>
    <w:rsid w:val="00AC697D"/>
    <w:rsid w:val="00AC69C3"/>
    <w:rsid w:val="00AC6ADE"/>
    <w:rsid w:val="00AC6C9A"/>
    <w:rsid w:val="00AC6E24"/>
    <w:rsid w:val="00AC6E84"/>
    <w:rsid w:val="00AC6EBC"/>
    <w:rsid w:val="00AC6F1E"/>
    <w:rsid w:val="00AC6F35"/>
    <w:rsid w:val="00AC7009"/>
    <w:rsid w:val="00AC7057"/>
    <w:rsid w:val="00AC7063"/>
    <w:rsid w:val="00AC7077"/>
    <w:rsid w:val="00AC7085"/>
    <w:rsid w:val="00AC7174"/>
    <w:rsid w:val="00AC71D9"/>
    <w:rsid w:val="00AC7443"/>
    <w:rsid w:val="00AC74AD"/>
    <w:rsid w:val="00AC75CB"/>
    <w:rsid w:val="00AC7672"/>
    <w:rsid w:val="00AC7696"/>
    <w:rsid w:val="00AC76A6"/>
    <w:rsid w:val="00AC76C7"/>
    <w:rsid w:val="00AC7715"/>
    <w:rsid w:val="00AC77AB"/>
    <w:rsid w:val="00AC7879"/>
    <w:rsid w:val="00AC78FF"/>
    <w:rsid w:val="00AC7936"/>
    <w:rsid w:val="00AC7A20"/>
    <w:rsid w:val="00AC7A7E"/>
    <w:rsid w:val="00AC7C3F"/>
    <w:rsid w:val="00AC7D73"/>
    <w:rsid w:val="00AC7D78"/>
    <w:rsid w:val="00AC7DBA"/>
    <w:rsid w:val="00AC7DD1"/>
    <w:rsid w:val="00AC7DEB"/>
    <w:rsid w:val="00AC7FCD"/>
    <w:rsid w:val="00AD005A"/>
    <w:rsid w:val="00AD0100"/>
    <w:rsid w:val="00AD01EF"/>
    <w:rsid w:val="00AD0310"/>
    <w:rsid w:val="00AD0445"/>
    <w:rsid w:val="00AD0536"/>
    <w:rsid w:val="00AD05F1"/>
    <w:rsid w:val="00AD0670"/>
    <w:rsid w:val="00AD0685"/>
    <w:rsid w:val="00AD06EC"/>
    <w:rsid w:val="00AD07D2"/>
    <w:rsid w:val="00AD0A70"/>
    <w:rsid w:val="00AD0B51"/>
    <w:rsid w:val="00AD0C89"/>
    <w:rsid w:val="00AD0D89"/>
    <w:rsid w:val="00AD0DA2"/>
    <w:rsid w:val="00AD0E9A"/>
    <w:rsid w:val="00AD0FE4"/>
    <w:rsid w:val="00AD107C"/>
    <w:rsid w:val="00AD112F"/>
    <w:rsid w:val="00AD1187"/>
    <w:rsid w:val="00AD1206"/>
    <w:rsid w:val="00AD12C9"/>
    <w:rsid w:val="00AD1348"/>
    <w:rsid w:val="00AD139B"/>
    <w:rsid w:val="00AD139F"/>
    <w:rsid w:val="00AD1440"/>
    <w:rsid w:val="00AD14AD"/>
    <w:rsid w:val="00AD15EE"/>
    <w:rsid w:val="00AD1843"/>
    <w:rsid w:val="00AD19DC"/>
    <w:rsid w:val="00AD1A26"/>
    <w:rsid w:val="00AD1AD2"/>
    <w:rsid w:val="00AD1B83"/>
    <w:rsid w:val="00AD1BF8"/>
    <w:rsid w:val="00AD1C67"/>
    <w:rsid w:val="00AD1CDB"/>
    <w:rsid w:val="00AD1E18"/>
    <w:rsid w:val="00AD1EEF"/>
    <w:rsid w:val="00AD1F4D"/>
    <w:rsid w:val="00AD1F64"/>
    <w:rsid w:val="00AD215D"/>
    <w:rsid w:val="00AD226F"/>
    <w:rsid w:val="00AD23F3"/>
    <w:rsid w:val="00AD242F"/>
    <w:rsid w:val="00AD2582"/>
    <w:rsid w:val="00AD2705"/>
    <w:rsid w:val="00AD2753"/>
    <w:rsid w:val="00AD27D5"/>
    <w:rsid w:val="00AD2844"/>
    <w:rsid w:val="00AD2873"/>
    <w:rsid w:val="00AD28AC"/>
    <w:rsid w:val="00AD28F4"/>
    <w:rsid w:val="00AD29A9"/>
    <w:rsid w:val="00AD29F7"/>
    <w:rsid w:val="00AD2A02"/>
    <w:rsid w:val="00AD2A6C"/>
    <w:rsid w:val="00AD2B0F"/>
    <w:rsid w:val="00AD2B23"/>
    <w:rsid w:val="00AD2B3D"/>
    <w:rsid w:val="00AD2BB9"/>
    <w:rsid w:val="00AD2C0D"/>
    <w:rsid w:val="00AD2D6F"/>
    <w:rsid w:val="00AD2DD8"/>
    <w:rsid w:val="00AD2ED5"/>
    <w:rsid w:val="00AD2EEF"/>
    <w:rsid w:val="00AD2EF7"/>
    <w:rsid w:val="00AD3317"/>
    <w:rsid w:val="00AD3318"/>
    <w:rsid w:val="00AD343C"/>
    <w:rsid w:val="00AD3726"/>
    <w:rsid w:val="00AD37AA"/>
    <w:rsid w:val="00AD37BF"/>
    <w:rsid w:val="00AD386E"/>
    <w:rsid w:val="00AD3878"/>
    <w:rsid w:val="00AD38B3"/>
    <w:rsid w:val="00AD3914"/>
    <w:rsid w:val="00AD399A"/>
    <w:rsid w:val="00AD3AEA"/>
    <w:rsid w:val="00AD3B48"/>
    <w:rsid w:val="00AD3BB6"/>
    <w:rsid w:val="00AD3C05"/>
    <w:rsid w:val="00AD3C42"/>
    <w:rsid w:val="00AD3CD4"/>
    <w:rsid w:val="00AD3D94"/>
    <w:rsid w:val="00AD3E6B"/>
    <w:rsid w:val="00AD3EB0"/>
    <w:rsid w:val="00AD409C"/>
    <w:rsid w:val="00AD416E"/>
    <w:rsid w:val="00AD41C1"/>
    <w:rsid w:val="00AD41FC"/>
    <w:rsid w:val="00AD4379"/>
    <w:rsid w:val="00AD441F"/>
    <w:rsid w:val="00AD44FC"/>
    <w:rsid w:val="00AD4553"/>
    <w:rsid w:val="00AD4567"/>
    <w:rsid w:val="00AD45AA"/>
    <w:rsid w:val="00AD464E"/>
    <w:rsid w:val="00AD4667"/>
    <w:rsid w:val="00AD475B"/>
    <w:rsid w:val="00AD47B7"/>
    <w:rsid w:val="00AD49E7"/>
    <w:rsid w:val="00AD4A15"/>
    <w:rsid w:val="00AD4A63"/>
    <w:rsid w:val="00AD4BA1"/>
    <w:rsid w:val="00AD4C42"/>
    <w:rsid w:val="00AD4CDE"/>
    <w:rsid w:val="00AD4DBB"/>
    <w:rsid w:val="00AD4E9B"/>
    <w:rsid w:val="00AD5039"/>
    <w:rsid w:val="00AD5058"/>
    <w:rsid w:val="00AD5102"/>
    <w:rsid w:val="00AD5177"/>
    <w:rsid w:val="00AD5220"/>
    <w:rsid w:val="00AD5254"/>
    <w:rsid w:val="00AD5315"/>
    <w:rsid w:val="00AD5426"/>
    <w:rsid w:val="00AD5436"/>
    <w:rsid w:val="00AD54C1"/>
    <w:rsid w:val="00AD56E5"/>
    <w:rsid w:val="00AD57B3"/>
    <w:rsid w:val="00AD5994"/>
    <w:rsid w:val="00AD599B"/>
    <w:rsid w:val="00AD59AB"/>
    <w:rsid w:val="00AD59C3"/>
    <w:rsid w:val="00AD5AB2"/>
    <w:rsid w:val="00AD5AFB"/>
    <w:rsid w:val="00AD5BA5"/>
    <w:rsid w:val="00AD5C8A"/>
    <w:rsid w:val="00AD5CCE"/>
    <w:rsid w:val="00AD5CEA"/>
    <w:rsid w:val="00AD5D6F"/>
    <w:rsid w:val="00AD5DA5"/>
    <w:rsid w:val="00AD5E42"/>
    <w:rsid w:val="00AD5F3E"/>
    <w:rsid w:val="00AD5F5B"/>
    <w:rsid w:val="00AD60D9"/>
    <w:rsid w:val="00AD6121"/>
    <w:rsid w:val="00AD6146"/>
    <w:rsid w:val="00AD61EF"/>
    <w:rsid w:val="00AD64F4"/>
    <w:rsid w:val="00AD6598"/>
    <w:rsid w:val="00AD670A"/>
    <w:rsid w:val="00AD687C"/>
    <w:rsid w:val="00AD69B1"/>
    <w:rsid w:val="00AD6A55"/>
    <w:rsid w:val="00AD6B52"/>
    <w:rsid w:val="00AD6C7F"/>
    <w:rsid w:val="00AD6C88"/>
    <w:rsid w:val="00AD6DFE"/>
    <w:rsid w:val="00AD6E8E"/>
    <w:rsid w:val="00AD6EC0"/>
    <w:rsid w:val="00AD6F93"/>
    <w:rsid w:val="00AD6FE8"/>
    <w:rsid w:val="00AD70C1"/>
    <w:rsid w:val="00AD720E"/>
    <w:rsid w:val="00AD7250"/>
    <w:rsid w:val="00AD733B"/>
    <w:rsid w:val="00AD736F"/>
    <w:rsid w:val="00AD73AD"/>
    <w:rsid w:val="00AD73D7"/>
    <w:rsid w:val="00AD7424"/>
    <w:rsid w:val="00AD7442"/>
    <w:rsid w:val="00AD74C1"/>
    <w:rsid w:val="00AD7518"/>
    <w:rsid w:val="00AD7563"/>
    <w:rsid w:val="00AD75D5"/>
    <w:rsid w:val="00AD75E3"/>
    <w:rsid w:val="00AD7658"/>
    <w:rsid w:val="00AD76E7"/>
    <w:rsid w:val="00AD783F"/>
    <w:rsid w:val="00AD788F"/>
    <w:rsid w:val="00AD78D0"/>
    <w:rsid w:val="00AD78E9"/>
    <w:rsid w:val="00AD78FC"/>
    <w:rsid w:val="00AD7904"/>
    <w:rsid w:val="00AD7A12"/>
    <w:rsid w:val="00AD7A8E"/>
    <w:rsid w:val="00AD7AF1"/>
    <w:rsid w:val="00AD7B1D"/>
    <w:rsid w:val="00AD7D60"/>
    <w:rsid w:val="00AD7D66"/>
    <w:rsid w:val="00AD7DD6"/>
    <w:rsid w:val="00AD7E17"/>
    <w:rsid w:val="00AD7E8E"/>
    <w:rsid w:val="00AD7F4C"/>
    <w:rsid w:val="00AD7F86"/>
    <w:rsid w:val="00AD7FDC"/>
    <w:rsid w:val="00AE000B"/>
    <w:rsid w:val="00AE021F"/>
    <w:rsid w:val="00AE027D"/>
    <w:rsid w:val="00AE0361"/>
    <w:rsid w:val="00AE047D"/>
    <w:rsid w:val="00AE04FD"/>
    <w:rsid w:val="00AE064F"/>
    <w:rsid w:val="00AE0695"/>
    <w:rsid w:val="00AE0730"/>
    <w:rsid w:val="00AE080B"/>
    <w:rsid w:val="00AE08AF"/>
    <w:rsid w:val="00AE0950"/>
    <w:rsid w:val="00AE0B4F"/>
    <w:rsid w:val="00AE0B7A"/>
    <w:rsid w:val="00AE0BD8"/>
    <w:rsid w:val="00AE0BE4"/>
    <w:rsid w:val="00AE0D1F"/>
    <w:rsid w:val="00AE0DA6"/>
    <w:rsid w:val="00AE0DE8"/>
    <w:rsid w:val="00AE0E3D"/>
    <w:rsid w:val="00AE0E8B"/>
    <w:rsid w:val="00AE106F"/>
    <w:rsid w:val="00AE108F"/>
    <w:rsid w:val="00AE1098"/>
    <w:rsid w:val="00AE10FB"/>
    <w:rsid w:val="00AE1180"/>
    <w:rsid w:val="00AE137D"/>
    <w:rsid w:val="00AE1540"/>
    <w:rsid w:val="00AE15DB"/>
    <w:rsid w:val="00AE15E3"/>
    <w:rsid w:val="00AE1628"/>
    <w:rsid w:val="00AE1786"/>
    <w:rsid w:val="00AE1797"/>
    <w:rsid w:val="00AE1872"/>
    <w:rsid w:val="00AE1913"/>
    <w:rsid w:val="00AE1958"/>
    <w:rsid w:val="00AE197F"/>
    <w:rsid w:val="00AE1B0A"/>
    <w:rsid w:val="00AE1BF9"/>
    <w:rsid w:val="00AE1C8B"/>
    <w:rsid w:val="00AE1C8F"/>
    <w:rsid w:val="00AE1D75"/>
    <w:rsid w:val="00AE1DF8"/>
    <w:rsid w:val="00AE1EB4"/>
    <w:rsid w:val="00AE221B"/>
    <w:rsid w:val="00AE2286"/>
    <w:rsid w:val="00AE22D8"/>
    <w:rsid w:val="00AE2400"/>
    <w:rsid w:val="00AE245C"/>
    <w:rsid w:val="00AE24B2"/>
    <w:rsid w:val="00AE25FF"/>
    <w:rsid w:val="00AE2611"/>
    <w:rsid w:val="00AE2671"/>
    <w:rsid w:val="00AE2781"/>
    <w:rsid w:val="00AE284C"/>
    <w:rsid w:val="00AE29C0"/>
    <w:rsid w:val="00AE2A5A"/>
    <w:rsid w:val="00AE2A99"/>
    <w:rsid w:val="00AE2B27"/>
    <w:rsid w:val="00AE2BC4"/>
    <w:rsid w:val="00AE2CFB"/>
    <w:rsid w:val="00AE2D62"/>
    <w:rsid w:val="00AE2DA6"/>
    <w:rsid w:val="00AE2F0E"/>
    <w:rsid w:val="00AE2F20"/>
    <w:rsid w:val="00AE2FEE"/>
    <w:rsid w:val="00AE308D"/>
    <w:rsid w:val="00AE30B0"/>
    <w:rsid w:val="00AE31A5"/>
    <w:rsid w:val="00AE31AE"/>
    <w:rsid w:val="00AE3245"/>
    <w:rsid w:val="00AE3361"/>
    <w:rsid w:val="00AE3366"/>
    <w:rsid w:val="00AE35B2"/>
    <w:rsid w:val="00AE36A6"/>
    <w:rsid w:val="00AE3720"/>
    <w:rsid w:val="00AE3750"/>
    <w:rsid w:val="00AE376E"/>
    <w:rsid w:val="00AE3A59"/>
    <w:rsid w:val="00AE3AA3"/>
    <w:rsid w:val="00AE3ADB"/>
    <w:rsid w:val="00AE3B0D"/>
    <w:rsid w:val="00AE3B2B"/>
    <w:rsid w:val="00AE3BAF"/>
    <w:rsid w:val="00AE3C0B"/>
    <w:rsid w:val="00AE3C15"/>
    <w:rsid w:val="00AE3CAE"/>
    <w:rsid w:val="00AE3CB8"/>
    <w:rsid w:val="00AE3D2F"/>
    <w:rsid w:val="00AE3DA8"/>
    <w:rsid w:val="00AE3E52"/>
    <w:rsid w:val="00AE3EC6"/>
    <w:rsid w:val="00AE3FAD"/>
    <w:rsid w:val="00AE4104"/>
    <w:rsid w:val="00AE417F"/>
    <w:rsid w:val="00AE4306"/>
    <w:rsid w:val="00AE4366"/>
    <w:rsid w:val="00AE4674"/>
    <w:rsid w:val="00AE46F4"/>
    <w:rsid w:val="00AE46FE"/>
    <w:rsid w:val="00AE47D4"/>
    <w:rsid w:val="00AE47E7"/>
    <w:rsid w:val="00AE4818"/>
    <w:rsid w:val="00AE489D"/>
    <w:rsid w:val="00AE4928"/>
    <w:rsid w:val="00AE4A80"/>
    <w:rsid w:val="00AE4B1B"/>
    <w:rsid w:val="00AE4BFB"/>
    <w:rsid w:val="00AE4D3D"/>
    <w:rsid w:val="00AE4D5A"/>
    <w:rsid w:val="00AE4E2E"/>
    <w:rsid w:val="00AE4E7C"/>
    <w:rsid w:val="00AE4EA7"/>
    <w:rsid w:val="00AE4FB5"/>
    <w:rsid w:val="00AE5037"/>
    <w:rsid w:val="00AE53E9"/>
    <w:rsid w:val="00AE5470"/>
    <w:rsid w:val="00AE54B8"/>
    <w:rsid w:val="00AE5757"/>
    <w:rsid w:val="00AE5856"/>
    <w:rsid w:val="00AE5972"/>
    <w:rsid w:val="00AE59B4"/>
    <w:rsid w:val="00AE5AB6"/>
    <w:rsid w:val="00AE5BF7"/>
    <w:rsid w:val="00AE5C6C"/>
    <w:rsid w:val="00AE5E30"/>
    <w:rsid w:val="00AE5E32"/>
    <w:rsid w:val="00AE5E97"/>
    <w:rsid w:val="00AE5F1B"/>
    <w:rsid w:val="00AE602C"/>
    <w:rsid w:val="00AE60E5"/>
    <w:rsid w:val="00AE612B"/>
    <w:rsid w:val="00AE6353"/>
    <w:rsid w:val="00AE637D"/>
    <w:rsid w:val="00AE6391"/>
    <w:rsid w:val="00AE639A"/>
    <w:rsid w:val="00AE642E"/>
    <w:rsid w:val="00AE6495"/>
    <w:rsid w:val="00AE64D2"/>
    <w:rsid w:val="00AE6591"/>
    <w:rsid w:val="00AE65E6"/>
    <w:rsid w:val="00AE66C6"/>
    <w:rsid w:val="00AE673E"/>
    <w:rsid w:val="00AE6819"/>
    <w:rsid w:val="00AE68F2"/>
    <w:rsid w:val="00AE6949"/>
    <w:rsid w:val="00AE695D"/>
    <w:rsid w:val="00AE69CD"/>
    <w:rsid w:val="00AE69FD"/>
    <w:rsid w:val="00AE6A7B"/>
    <w:rsid w:val="00AE6B21"/>
    <w:rsid w:val="00AE6EA9"/>
    <w:rsid w:val="00AE6F16"/>
    <w:rsid w:val="00AE6F92"/>
    <w:rsid w:val="00AE70A9"/>
    <w:rsid w:val="00AE70E7"/>
    <w:rsid w:val="00AE7245"/>
    <w:rsid w:val="00AE73DA"/>
    <w:rsid w:val="00AE73E5"/>
    <w:rsid w:val="00AE7408"/>
    <w:rsid w:val="00AE7434"/>
    <w:rsid w:val="00AE7468"/>
    <w:rsid w:val="00AE752D"/>
    <w:rsid w:val="00AE7610"/>
    <w:rsid w:val="00AE7674"/>
    <w:rsid w:val="00AE769A"/>
    <w:rsid w:val="00AE7848"/>
    <w:rsid w:val="00AE7964"/>
    <w:rsid w:val="00AE7987"/>
    <w:rsid w:val="00AE79D6"/>
    <w:rsid w:val="00AE7AEC"/>
    <w:rsid w:val="00AE7B37"/>
    <w:rsid w:val="00AE7C9E"/>
    <w:rsid w:val="00AE7CAA"/>
    <w:rsid w:val="00AE7CF5"/>
    <w:rsid w:val="00AE7E16"/>
    <w:rsid w:val="00AE7F13"/>
    <w:rsid w:val="00AF00AD"/>
    <w:rsid w:val="00AF029A"/>
    <w:rsid w:val="00AF037A"/>
    <w:rsid w:val="00AF04BC"/>
    <w:rsid w:val="00AF04D1"/>
    <w:rsid w:val="00AF0631"/>
    <w:rsid w:val="00AF0642"/>
    <w:rsid w:val="00AF0688"/>
    <w:rsid w:val="00AF082E"/>
    <w:rsid w:val="00AF0878"/>
    <w:rsid w:val="00AF0A0C"/>
    <w:rsid w:val="00AF0B30"/>
    <w:rsid w:val="00AF0C73"/>
    <w:rsid w:val="00AF0CF9"/>
    <w:rsid w:val="00AF0E2A"/>
    <w:rsid w:val="00AF0E62"/>
    <w:rsid w:val="00AF0EC0"/>
    <w:rsid w:val="00AF0F46"/>
    <w:rsid w:val="00AF1044"/>
    <w:rsid w:val="00AF109A"/>
    <w:rsid w:val="00AF1171"/>
    <w:rsid w:val="00AF11B7"/>
    <w:rsid w:val="00AF13B8"/>
    <w:rsid w:val="00AF13CE"/>
    <w:rsid w:val="00AF140A"/>
    <w:rsid w:val="00AF1440"/>
    <w:rsid w:val="00AF1577"/>
    <w:rsid w:val="00AF15AA"/>
    <w:rsid w:val="00AF15FD"/>
    <w:rsid w:val="00AF164C"/>
    <w:rsid w:val="00AF16E2"/>
    <w:rsid w:val="00AF16F3"/>
    <w:rsid w:val="00AF19CB"/>
    <w:rsid w:val="00AF1A00"/>
    <w:rsid w:val="00AF1A19"/>
    <w:rsid w:val="00AF1A1C"/>
    <w:rsid w:val="00AF1B44"/>
    <w:rsid w:val="00AF1B6C"/>
    <w:rsid w:val="00AF1BF3"/>
    <w:rsid w:val="00AF1C4D"/>
    <w:rsid w:val="00AF1D4B"/>
    <w:rsid w:val="00AF1DE3"/>
    <w:rsid w:val="00AF1EEE"/>
    <w:rsid w:val="00AF207B"/>
    <w:rsid w:val="00AF20F3"/>
    <w:rsid w:val="00AF20F4"/>
    <w:rsid w:val="00AF2163"/>
    <w:rsid w:val="00AF221D"/>
    <w:rsid w:val="00AF223E"/>
    <w:rsid w:val="00AF2248"/>
    <w:rsid w:val="00AF2464"/>
    <w:rsid w:val="00AF24AB"/>
    <w:rsid w:val="00AF262F"/>
    <w:rsid w:val="00AF2669"/>
    <w:rsid w:val="00AF2748"/>
    <w:rsid w:val="00AF274A"/>
    <w:rsid w:val="00AF2784"/>
    <w:rsid w:val="00AF27D2"/>
    <w:rsid w:val="00AF2849"/>
    <w:rsid w:val="00AF2861"/>
    <w:rsid w:val="00AF2898"/>
    <w:rsid w:val="00AF29F7"/>
    <w:rsid w:val="00AF2B6C"/>
    <w:rsid w:val="00AF2C25"/>
    <w:rsid w:val="00AF2CFA"/>
    <w:rsid w:val="00AF2D57"/>
    <w:rsid w:val="00AF2D83"/>
    <w:rsid w:val="00AF2E70"/>
    <w:rsid w:val="00AF2EEB"/>
    <w:rsid w:val="00AF2F28"/>
    <w:rsid w:val="00AF2FCD"/>
    <w:rsid w:val="00AF2FDB"/>
    <w:rsid w:val="00AF307D"/>
    <w:rsid w:val="00AF31D0"/>
    <w:rsid w:val="00AF32B7"/>
    <w:rsid w:val="00AF3355"/>
    <w:rsid w:val="00AF3392"/>
    <w:rsid w:val="00AF3590"/>
    <w:rsid w:val="00AF35F9"/>
    <w:rsid w:val="00AF3878"/>
    <w:rsid w:val="00AF3907"/>
    <w:rsid w:val="00AF3A37"/>
    <w:rsid w:val="00AF3ACA"/>
    <w:rsid w:val="00AF3CD7"/>
    <w:rsid w:val="00AF3D2B"/>
    <w:rsid w:val="00AF3F34"/>
    <w:rsid w:val="00AF4052"/>
    <w:rsid w:val="00AF4095"/>
    <w:rsid w:val="00AF4107"/>
    <w:rsid w:val="00AF418E"/>
    <w:rsid w:val="00AF41BC"/>
    <w:rsid w:val="00AF41BD"/>
    <w:rsid w:val="00AF4208"/>
    <w:rsid w:val="00AF44F3"/>
    <w:rsid w:val="00AF45A6"/>
    <w:rsid w:val="00AF45AF"/>
    <w:rsid w:val="00AF473E"/>
    <w:rsid w:val="00AF4928"/>
    <w:rsid w:val="00AF4961"/>
    <w:rsid w:val="00AF49C4"/>
    <w:rsid w:val="00AF4A50"/>
    <w:rsid w:val="00AF4B48"/>
    <w:rsid w:val="00AF4BB3"/>
    <w:rsid w:val="00AF4D45"/>
    <w:rsid w:val="00AF4F0E"/>
    <w:rsid w:val="00AF4FD1"/>
    <w:rsid w:val="00AF50B9"/>
    <w:rsid w:val="00AF5115"/>
    <w:rsid w:val="00AF51D9"/>
    <w:rsid w:val="00AF5321"/>
    <w:rsid w:val="00AF538C"/>
    <w:rsid w:val="00AF5392"/>
    <w:rsid w:val="00AF53D9"/>
    <w:rsid w:val="00AF5546"/>
    <w:rsid w:val="00AF557E"/>
    <w:rsid w:val="00AF5613"/>
    <w:rsid w:val="00AF5700"/>
    <w:rsid w:val="00AF5761"/>
    <w:rsid w:val="00AF57A7"/>
    <w:rsid w:val="00AF580B"/>
    <w:rsid w:val="00AF5895"/>
    <w:rsid w:val="00AF58F5"/>
    <w:rsid w:val="00AF5933"/>
    <w:rsid w:val="00AF5C30"/>
    <w:rsid w:val="00AF5C93"/>
    <w:rsid w:val="00AF5D02"/>
    <w:rsid w:val="00AF5E26"/>
    <w:rsid w:val="00AF5EE0"/>
    <w:rsid w:val="00AF5EF3"/>
    <w:rsid w:val="00AF5F39"/>
    <w:rsid w:val="00AF6055"/>
    <w:rsid w:val="00AF6063"/>
    <w:rsid w:val="00AF60AA"/>
    <w:rsid w:val="00AF617A"/>
    <w:rsid w:val="00AF61C7"/>
    <w:rsid w:val="00AF61D3"/>
    <w:rsid w:val="00AF626C"/>
    <w:rsid w:val="00AF628A"/>
    <w:rsid w:val="00AF6315"/>
    <w:rsid w:val="00AF6418"/>
    <w:rsid w:val="00AF64F4"/>
    <w:rsid w:val="00AF66BE"/>
    <w:rsid w:val="00AF66D7"/>
    <w:rsid w:val="00AF6769"/>
    <w:rsid w:val="00AF6806"/>
    <w:rsid w:val="00AF688E"/>
    <w:rsid w:val="00AF68AF"/>
    <w:rsid w:val="00AF6928"/>
    <w:rsid w:val="00AF695F"/>
    <w:rsid w:val="00AF6A7C"/>
    <w:rsid w:val="00AF6B3B"/>
    <w:rsid w:val="00AF6E24"/>
    <w:rsid w:val="00AF6FE9"/>
    <w:rsid w:val="00AF701B"/>
    <w:rsid w:val="00AF7128"/>
    <w:rsid w:val="00AF7161"/>
    <w:rsid w:val="00AF71BD"/>
    <w:rsid w:val="00AF7283"/>
    <w:rsid w:val="00AF73A9"/>
    <w:rsid w:val="00AF73D6"/>
    <w:rsid w:val="00AF73F4"/>
    <w:rsid w:val="00AF74AD"/>
    <w:rsid w:val="00AF74B9"/>
    <w:rsid w:val="00AF7504"/>
    <w:rsid w:val="00AF75ED"/>
    <w:rsid w:val="00AF764C"/>
    <w:rsid w:val="00AF77BC"/>
    <w:rsid w:val="00AF78B8"/>
    <w:rsid w:val="00AF7D9D"/>
    <w:rsid w:val="00AF7F72"/>
    <w:rsid w:val="00AF7FB3"/>
    <w:rsid w:val="00B00005"/>
    <w:rsid w:val="00B00027"/>
    <w:rsid w:val="00B00047"/>
    <w:rsid w:val="00B00074"/>
    <w:rsid w:val="00B0009B"/>
    <w:rsid w:val="00B000B0"/>
    <w:rsid w:val="00B000BF"/>
    <w:rsid w:val="00B000DA"/>
    <w:rsid w:val="00B0022F"/>
    <w:rsid w:val="00B002DE"/>
    <w:rsid w:val="00B00434"/>
    <w:rsid w:val="00B004E2"/>
    <w:rsid w:val="00B00666"/>
    <w:rsid w:val="00B00714"/>
    <w:rsid w:val="00B00750"/>
    <w:rsid w:val="00B007D8"/>
    <w:rsid w:val="00B007EB"/>
    <w:rsid w:val="00B008A4"/>
    <w:rsid w:val="00B00AD8"/>
    <w:rsid w:val="00B00B05"/>
    <w:rsid w:val="00B00B89"/>
    <w:rsid w:val="00B00DD2"/>
    <w:rsid w:val="00B00E62"/>
    <w:rsid w:val="00B00FBD"/>
    <w:rsid w:val="00B01016"/>
    <w:rsid w:val="00B01020"/>
    <w:rsid w:val="00B01028"/>
    <w:rsid w:val="00B01057"/>
    <w:rsid w:val="00B01114"/>
    <w:rsid w:val="00B0115A"/>
    <w:rsid w:val="00B011B5"/>
    <w:rsid w:val="00B0131E"/>
    <w:rsid w:val="00B015E5"/>
    <w:rsid w:val="00B017B4"/>
    <w:rsid w:val="00B0196B"/>
    <w:rsid w:val="00B01A75"/>
    <w:rsid w:val="00B01B6C"/>
    <w:rsid w:val="00B01BAB"/>
    <w:rsid w:val="00B01BBA"/>
    <w:rsid w:val="00B01C93"/>
    <w:rsid w:val="00B01CF7"/>
    <w:rsid w:val="00B01DF8"/>
    <w:rsid w:val="00B02043"/>
    <w:rsid w:val="00B02185"/>
    <w:rsid w:val="00B02195"/>
    <w:rsid w:val="00B022AB"/>
    <w:rsid w:val="00B02332"/>
    <w:rsid w:val="00B0234E"/>
    <w:rsid w:val="00B023A7"/>
    <w:rsid w:val="00B02437"/>
    <w:rsid w:val="00B02570"/>
    <w:rsid w:val="00B02581"/>
    <w:rsid w:val="00B02650"/>
    <w:rsid w:val="00B02678"/>
    <w:rsid w:val="00B02735"/>
    <w:rsid w:val="00B0273C"/>
    <w:rsid w:val="00B028A0"/>
    <w:rsid w:val="00B029C8"/>
    <w:rsid w:val="00B02A0D"/>
    <w:rsid w:val="00B02A19"/>
    <w:rsid w:val="00B02ABC"/>
    <w:rsid w:val="00B02BCB"/>
    <w:rsid w:val="00B02D1C"/>
    <w:rsid w:val="00B02E10"/>
    <w:rsid w:val="00B02E5E"/>
    <w:rsid w:val="00B02EF0"/>
    <w:rsid w:val="00B02FBE"/>
    <w:rsid w:val="00B03020"/>
    <w:rsid w:val="00B03028"/>
    <w:rsid w:val="00B030F2"/>
    <w:rsid w:val="00B0313F"/>
    <w:rsid w:val="00B031BF"/>
    <w:rsid w:val="00B03432"/>
    <w:rsid w:val="00B03590"/>
    <w:rsid w:val="00B0360F"/>
    <w:rsid w:val="00B03644"/>
    <w:rsid w:val="00B03723"/>
    <w:rsid w:val="00B03740"/>
    <w:rsid w:val="00B03841"/>
    <w:rsid w:val="00B039A6"/>
    <w:rsid w:val="00B039D7"/>
    <w:rsid w:val="00B03AD3"/>
    <w:rsid w:val="00B03BAC"/>
    <w:rsid w:val="00B03C70"/>
    <w:rsid w:val="00B03DE8"/>
    <w:rsid w:val="00B03F72"/>
    <w:rsid w:val="00B04063"/>
    <w:rsid w:val="00B04064"/>
    <w:rsid w:val="00B0411B"/>
    <w:rsid w:val="00B0417F"/>
    <w:rsid w:val="00B041AF"/>
    <w:rsid w:val="00B042CD"/>
    <w:rsid w:val="00B0438A"/>
    <w:rsid w:val="00B043F1"/>
    <w:rsid w:val="00B04486"/>
    <w:rsid w:val="00B045B6"/>
    <w:rsid w:val="00B04611"/>
    <w:rsid w:val="00B04613"/>
    <w:rsid w:val="00B04675"/>
    <w:rsid w:val="00B04718"/>
    <w:rsid w:val="00B047C6"/>
    <w:rsid w:val="00B047E6"/>
    <w:rsid w:val="00B04858"/>
    <w:rsid w:val="00B0485D"/>
    <w:rsid w:val="00B0491F"/>
    <w:rsid w:val="00B049B5"/>
    <w:rsid w:val="00B04A94"/>
    <w:rsid w:val="00B04AA8"/>
    <w:rsid w:val="00B04AF2"/>
    <w:rsid w:val="00B04AF3"/>
    <w:rsid w:val="00B04B82"/>
    <w:rsid w:val="00B04D1B"/>
    <w:rsid w:val="00B04DE7"/>
    <w:rsid w:val="00B04EB0"/>
    <w:rsid w:val="00B04FA1"/>
    <w:rsid w:val="00B05168"/>
    <w:rsid w:val="00B0522B"/>
    <w:rsid w:val="00B05283"/>
    <w:rsid w:val="00B05339"/>
    <w:rsid w:val="00B05363"/>
    <w:rsid w:val="00B053AD"/>
    <w:rsid w:val="00B0549A"/>
    <w:rsid w:val="00B0555A"/>
    <w:rsid w:val="00B055F4"/>
    <w:rsid w:val="00B0582C"/>
    <w:rsid w:val="00B0587C"/>
    <w:rsid w:val="00B05978"/>
    <w:rsid w:val="00B05B62"/>
    <w:rsid w:val="00B05B76"/>
    <w:rsid w:val="00B05CDE"/>
    <w:rsid w:val="00B05CE0"/>
    <w:rsid w:val="00B05D20"/>
    <w:rsid w:val="00B05D66"/>
    <w:rsid w:val="00B05D8A"/>
    <w:rsid w:val="00B05E05"/>
    <w:rsid w:val="00B05E49"/>
    <w:rsid w:val="00B05EA1"/>
    <w:rsid w:val="00B060FE"/>
    <w:rsid w:val="00B06128"/>
    <w:rsid w:val="00B062C6"/>
    <w:rsid w:val="00B062E0"/>
    <w:rsid w:val="00B0630F"/>
    <w:rsid w:val="00B065B3"/>
    <w:rsid w:val="00B0661F"/>
    <w:rsid w:val="00B0677D"/>
    <w:rsid w:val="00B0678E"/>
    <w:rsid w:val="00B067E8"/>
    <w:rsid w:val="00B0681F"/>
    <w:rsid w:val="00B0685C"/>
    <w:rsid w:val="00B0691E"/>
    <w:rsid w:val="00B06A47"/>
    <w:rsid w:val="00B06B49"/>
    <w:rsid w:val="00B06BAF"/>
    <w:rsid w:val="00B06DC1"/>
    <w:rsid w:val="00B06EC6"/>
    <w:rsid w:val="00B06F11"/>
    <w:rsid w:val="00B06F15"/>
    <w:rsid w:val="00B071D0"/>
    <w:rsid w:val="00B071F2"/>
    <w:rsid w:val="00B07218"/>
    <w:rsid w:val="00B07256"/>
    <w:rsid w:val="00B07275"/>
    <w:rsid w:val="00B07293"/>
    <w:rsid w:val="00B07380"/>
    <w:rsid w:val="00B07386"/>
    <w:rsid w:val="00B07496"/>
    <w:rsid w:val="00B074A3"/>
    <w:rsid w:val="00B074DB"/>
    <w:rsid w:val="00B074E3"/>
    <w:rsid w:val="00B075F5"/>
    <w:rsid w:val="00B07628"/>
    <w:rsid w:val="00B076A9"/>
    <w:rsid w:val="00B076D6"/>
    <w:rsid w:val="00B07708"/>
    <w:rsid w:val="00B0776D"/>
    <w:rsid w:val="00B0777C"/>
    <w:rsid w:val="00B0788D"/>
    <w:rsid w:val="00B078FF"/>
    <w:rsid w:val="00B079A2"/>
    <w:rsid w:val="00B07A5B"/>
    <w:rsid w:val="00B07A70"/>
    <w:rsid w:val="00B07B65"/>
    <w:rsid w:val="00B07C23"/>
    <w:rsid w:val="00B07D9F"/>
    <w:rsid w:val="00B07DE2"/>
    <w:rsid w:val="00B07EB9"/>
    <w:rsid w:val="00B07FC8"/>
    <w:rsid w:val="00B100E5"/>
    <w:rsid w:val="00B10111"/>
    <w:rsid w:val="00B101C6"/>
    <w:rsid w:val="00B104CE"/>
    <w:rsid w:val="00B10568"/>
    <w:rsid w:val="00B105A6"/>
    <w:rsid w:val="00B1061D"/>
    <w:rsid w:val="00B10659"/>
    <w:rsid w:val="00B10692"/>
    <w:rsid w:val="00B107A8"/>
    <w:rsid w:val="00B107FF"/>
    <w:rsid w:val="00B10818"/>
    <w:rsid w:val="00B109C7"/>
    <w:rsid w:val="00B10A0D"/>
    <w:rsid w:val="00B10AB2"/>
    <w:rsid w:val="00B10ADE"/>
    <w:rsid w:val="00B10BF4"/>
    <w:rsid w:val="00B10BFE"/>
    <w:rsid w:val="00B10C31"/>
    <w:rsid w:val="00B10EAB"/>
    <w:rsid w:val="00B10F8C"/>
    <w:rsid w:val="00B11018"/>
    <w:rsid w:val="00B11055"/>
    <w:rsid w:val="00B1106C"/>
    <w:rsid w:val="00B1129B"/>
    <w:rsid w:val="00B1131C"/>
    <w:rsid w:val="00B113A3"/>
    <w:rsid w:val="00B113C2"/>
    <w:rsid w:val="00B1150A"/>
    <w:rsid w:val="00B11557"/>
    <w:rsid w:val="00B1155E"/>
    <w:rsid w:val="00B1156B"/>
    <w:rsid w:val="00B11862"/>
    <w:rsid w:val="00B11868"/>
    <w:rsid w:val="00B118E2"/>
    <w:rsid w:val="00B119EC"/>
    <w:rsid w:val="00B11ABF"/>
    <w:rsid w:val="00B11B38"/>
    <w:rsid w:val="00B11B65"/>
    <w:rsid w:val="00B11CC5"/>
    <w:rsid w:val="00B11CE4"/>
    <w:rsid w:val="00B11D3B"/>
    <w:rsid w:val="00B11D8E"/>
    <w:rsid w:val="00B11DB7"/>
    <w:rsid w:val="00B11E3E"/>
    <w:rsid w:val="00B12046"/>
    <w:rsid w:val="00B120BC"/>
    <w:rsid w:val="00B12125"/>
    <w:rsid w:val="00B12127"/>
    <w:rsid w:val="00B1226F"/>
    <w:rsid w:val="00B12343"/>
    <w:rsid w:val="00B123A0"/>
    <w:rsid w:val="00B123F4"/>
    <w:rsid w:val="00B1243C"/>
    <w:rsid w:val="00B12459"/>
    <w:rsid w:val="00B1248C"/>
    <w:rsid w:val="00B124AF"/>
    <w:rsid w:val="00B12854"/>
    <w:rsid w:val="00B1285D"/>
    <w:rsid w:val="00B12955"/>
    <w:rsid w:val="00B12C0B"/>
    <w:rsid w:val="00B12C2D"/>
    <w:rsid w:val="00B12D53"/>
    <w:rsid w:val="00B12DBC"/>
    <w:rsid w:val="00B12DC4"/>
    <w:rsid w:val="00B12DF3"/>
    <w:rsid w:val="00B12E89"/>
    <w:rsid w:val="00B12ED2"/>
    <w:rsid w:val="00B12F4A"/>
    <w:rsid w:val="00B12F96"/>
    <w:rsid w:val="00B12FB7"/>
    <w:rsid w:val="00B131A6"/>
    <w:rsid w:val="00B131E9"/>
    <w:rsid w:val="00B13316"/>
    <w:rsid w:val="00B13657"/>
    <w:rsid w:val="00B137B3"/>
    <w:rsid w:val="00B137F6"/>
    <w:rsid w:val="00B137FE"/>
    <w:rsid w:val="00B1388B"/>
    <w:rsid w:val="00B138A0"/>
    <w:rsid w:val="00B13916"/>
    <w:rsid w:val="00B1391C"/>
    <w:rsid w:val="00B13952"/>
    <w:rsid w:val="00B13A08"/>
    <w:rsid w:val="00B13B5B"/>
    <w:rsid w:val="00B13BC9"/>
    <w:rsid w:val="00B13D92"/>
    <w:rsid w:val="00B13DF6"/>
    <w:rsid w:val="00B13E04"/>
    <w:rsid w:val="00B13F0F"/>
    <w:rsid w:val="00B141F9"/>
    <w:rsid w:val="00B14295"/>
    <w:rsid w:val="00B14497"/>
    <w:rsid w:val="00B144B9"/>
    <w:rsid w:val="00B14513"/>
    <w:rsid w:val="00B14561"/>
    <w:rsid w:val="00B14594"/>
    <w:rsid w:val="00B1460A"/>
    <w:rsid w:val="00B14636"/>
    <w:rsid w:val="00B146A8"/>
    <w:rsid w:val="00B147CD"/>
    <w:rsid w:val="00B14875"/>
    <w:rsid w:val="00B1491D"/>
    <w:rsid w:val="00B1495D"/>
    <w:rsid w:val="00B149F4"/>
    <w:rsid w:val="00B14CED"/>
    <w:rsid w:val="00B14ECD"/>
    <w:rsid w:val="00B14F94"/>
    <w:rsid w:val="00B14FDD"/>
    <w:rsid w:val="00B14FFC"/>
    <w:rsid w:val="00B15091"/>
    <w:rsid w:val="00B1512D"/>
    <w:rsid w:val="00B151A0"/>
    <w:rsid w:val="00B15204"/>
    <w:rsid w:val="00B1525F"/>
    <w:rsid w:val="00B1529F"/>
    <w:rsid w:val="00B152EC"/>
    <w:rsid w:val="00B15311"/>
    <w:rsid w:val="00B15323"/>
    <w:rsid w:val="00B1538A"/>
    <w:rsid w:val="00B153C8"/>
    <w:rsid w:val="00B15447"/>
    <w:rsid w:val="00B15449"/>
    <w:rsid w:val="00B154AB"/>
    <w:rsid w:val="00B15661"/>
    <w:rsid w:val="00B15840"/>
    <w:rsid w:val="00B159C9"/>
    <w:rsid w:val="00B159ED"/>
    <w:rsid w:val="00B15AFC"/>
    <w:rsid w:val="00B15B7E"/>
    <w:rsid w:val="00B15DA8"/>
    <w:rsid w:val="00B15E3F"/>
    <w:rsid w:val="00B15F25"/>
    <w:rsid w:val="00B15F70"/>
    <w:rsid w:val="00B1604D"/>
    <w:rsid w:val="00B16050"/>
    <w:rsid w:val="00B16199"/>
    <w:rsid w:val="00B161B1"/>
    <w:rsid w:val="00B1628C"/>
    <w:rsid w:val="00B16404"/>
    <w:rsid w:val="00B1640B"/>
    <w:rsid w:val="00B1648C"/>
    <w:rsid w:val="00B1663F"/>
    <w:rsid w:val="00B16698"/>
    <w:rsid w:val="00B166AC"/>
    <w:rsid w:val="00B166D7"/>
    <w:rsid w:val="00B166F4"/>
    <w:rsid w:val="00B1670A"/>
    <w:rsid w:val="00B167CF"/>
    <w:rsid w:val="00B16859"/>
    <w:rsid w:val="00B1695A"/>
    <w:rsid w:val="00B169FE"/>
    <w:rsid w:val="00B16B0C"/>
    <w:rsid w:val="00B16B0F"/>
    <w:rsid w:val="00B16B12"/>
    <w:rsid w:val="00B16B5C"/>
    <w:rsid w:val="00B16B7C"/>
    <w:rsid w:val="00B16B96"/>
    <w:rsid w:val="00B16CF9"/>
    <w:rsid w:val="00B16D7D"/>
    <w:rsid w:val="00B16E16"/>
    <w:rsid w:val="00B16E43"/>
    <w:rsid w:val="00B16E64"/>
    <w:rsid w:val="00B16E97"/>
    <w:rsid w:val="00B16F1D"/>
    <w:rsid w:val="00B16F27"/>
    <w:rsid w:val="00B17023"/>
    <w:rsid w:val="00B17086"/>
    <w:rsid w:val="00B17160"/>
    <w:rsid w:val="00B17259"/>
    <w:rsid w:val="00B1727E"/>
    <w:rsid w:val="00B17286"/>
    <w:rsid w:val="00B173D7"/>
    <w:rsid w:val="00B17407"/>
    <w:rsid w:val="00B17416"/>
    <w:rsid w:val="00B17474"/>
    <w:rsid w:val="00B174D7"/>
    <w:rsid w:val="00B17621"/>
    <w:rsid w:val="00B1764D"/>
    <w:rsid w:val="00B17672"/>
    <w:rsid w:val="00B1782C"/>
    <w:rsid w:val="00B17884"/>
    <w:rsid w:val="00B178D2"/>
    <w:rsid w:val="00B178D8"/>
    <w:rsid w:val="00B178E6"/>
    <w:rsid w:val="00B17906"/>
    <w:rsid w:val="00B1796B"/>
    <w:rsid w:val="00B17985"/>
    <w:rsid w:val="00B179C6"/>
    <w:rsid w:val="00B17A35"/>
    <w:rsid w:val="00B17AE2"/>
    <w:rsid w:val="00B17B3F"/>
    <w:rsid w:val="00B17B9D"/>
    <w:rsid w:val="00B17C58"/>
    <w:rsid w:val="00B17C97"/>
    <w:rsid w:val="00B17D02"/>
    <w:rsid w:val="00B17D79"/>
    <w:rsid w:val="00B17E73"/>
    <w:rsid w:val="00B17FF7"/>
    <w:rsid w:val="00B17FFC"/>
    <w:rsid w:val="00B20324"/>
    <w:rsid w:val="00B204A1"/>
    <w:rsid w:val="00B2052E"/>
    <w:rsid w:val="00B20588"/>
    <w:rsid w:val="00B2072D"/>
    <w:rsid w:val="00B208AB"/>
    <w:rsid w:val="00B2092E"/>
    <w:rsid w:val="00B20986"/>
    <w:rsid w:val="00B209E6"/>
    <w:rsid w:val="00B20B57"/>
    <w:rsid w:val="00B20C11"/>
    <w:rsid w:val="00B20C28"/>
    <w:rsid w:val="00B20CEB"/>
    <w:rsid w:val="00B20E97"/>
    <w:rsid w:val="00B20EAC"/>
    <w:rsid w:val="00B210BB"/>
    <w:rsid w:val="00B210FE"/>
    <w:rsid w:val="00B21287"/>
    <w:rsid w:val="00B212BA"/>
    <w:rsid w:val="00B2139E"/>
    <w:rsid w:val="00B213DB"/>
    <w:rsid w:val="00B214A9"/>
    <w:rsid w:val="00B21583"/>
    <w:rsid w:val="00B215DA"/>
    <w:rsid w:val="00B215F6"/>
    <w:rsid w:val="00B217B3"/>
    <w:rsid w:val="00B217D9"/>
    <w:rsid w:val="00B218D8"/>
    <w:rsid w:val="00B21982"/>
    <w:rsid w:val="00B219D9"/>
    <w:rsid w:val="00B21A13"/>
    <w:rsid w:val="00B21A7F"/>
    <w:rsid w:val="00B21C82"/>
    <w:rsid w:val="00B21E1E"/>
    <w:rsid w:val="00B21E74"/>
    <w:rsid w:val="00B21E7D"/>
    <w:rsid w:val="00B21EA8"/>
    <w:rsid w:val="00B21ED1"/>
    <w:rsid w:val="00B21F7D"/>
    <w:rsid w:val="00B221E6"/>
    <w:rsid w:val="00B22281"/>
    <w:rsid w:val="00B22351"/>
    <w:rsid w:val="00B223A0"/>
    <w:rsid w:val="00B223E0"/>
    <w:rsid w:val="00B2240E"/>
    <w:rsid w:val="00B224DD"/>
    <w:rsid w:val="00B2265B"/>
    <w:rsid w:val="00B22661"/>
    <w:rsid w:val="00B22670"/>
    <w:rsid w:val="00B22671"/>
    <w:rsid w:val="00B22773"/>
    <w:rsid w:val="00B22800"/>
    <w:rsid w:val="00B228BE"/>
    <w:rsid w:val="00B228C7"/>
    <w:rsid w:val="00B2294F"/>
    <w:rsid w:val="00B22950"/>
    <w:rsid w:val="00B22A2C"/>
    <w:rsid w:val="00B22BCA"/>
    <w:rsid w:val="00B22C46"/>
    <w:rsid w:val="00B22E0F"/>
    <w:rsid w:val="00B22F08"/>
    <w:rsid w:val="00B22F71"/>
    <w:rsid w:val="00B22FD5"/>
    <w:rsid w:val="00B23082"/>
    <w:rsid w:val="00B2329D"/>
    <w:rsid w:val="00B2334C"/>
    <w:rsid w:val="00B23436"/>
    <w:rsid w:val="00B234BA"/>
    <w:rsid w:val="00B23531"/>
    <w:rsid w:val="00B23561"/>
    <w:rsid w:val="00B237BE"/>
    <w:rsid w:val="00B237E0"/>
    <w:rsid w:val="00B23806"/>
    <w:rsid w:val="00B23862"/>
    <w:rsid w:val="00B238D0"/>
    <w:rsid w:val="00B23915"/>
    <w:rsid w:val="00B23922"/>
    <w:rsid w:val="00B2392C"/>
    <w:rsid w:val="00B239B3"/>
    <w:rsid w:val="00B23A0F"/>
    <w:rsid w:val="00B23A2A"/>
    <w:rsid w:val="00B23A8C"/>
    <w:rsid w:val="00B23B5F"/>
    <w:rsid w:val="00B23C8E"/>
    <w:rsid w:val="00B23D96"/>
    <w:rsid w:val="00B23DE0"/>
    <w:rsid w:val="00B23F86"/>
    <w:rsid w:val="00B23F8D"/>
    <w:rsid w:val="00B240BA"/>
    <w:rsid w:val="00B2426C"/>
    <w:rsid w:val="00B2427A"/>
    <w:rsid w:val="00B2439C"/>
    <w:rsid w:val="00B243B7"/>
    <w:rsid w:val="00B2467C"/>
    <w:rsid w:val="00B24792"/>
    <w:rsid w:val="00B24855"/>
    <w:rsid w:val="00B24858"/>
    <w:rsid w:val="00B24873"/>
    <w:rsid w:val="00B248C9"/>
    <w:rsid w:val="00B248D9"/>
    <w:rsid w:val="00B24974"/>
    <w:rsid w:val="00B24A8E"/>
    <w:rsid w:val="00B24B90"/>
    <w:rsid w:val="00B24B98"/>
    <w:rsid w:val="00B24B99"/>
    <w:rsid w:val="00B24C5A"/>
    <w:rsid w:val="00B24C89"/>
    <w:rsid w:val="00B24DA9"/>
    <w:rsid w:val="00B24E14"/>
    <w:rsid w:val="00B24F59"/>
    <w:rsid w:val="00B25178"/>
    <w:rsid w:val="00B251C2"/>
    <w:rsid w:val="00B251E8"/>
    <w:rsid w:val="00B251FE"/>
    <w:rsid w:val="00B253FA"/>
    <w:rsid w:val="00B25434"/>
    <w:rsid w:val="00B254C4"/>
    <w:rsid w:val="00B25536"/>
    <w:rsid w:val="00B25564"/>
    <w:rsid w:val="00B2560F"/>
    <w:rsid w:val="00B25694"/>
    <w:rsid w:val="00B256EC"/>
    <w:rsid w:val="00B25738"/>
    <w:rsid w:val="00B2578A"/>
    <w:rsid w:val="00B257E1"/>
    <w:rsid w:val="00B25891"/>
    <w:rsid w:val="00B258BD"/>
    <w:rsid w:val="00B25917"/>
    <w:rsid w:val="00B25AF7"/>
    <w:rsid w:val="00B25BD9"/>
    <w:rsid w:val="00B25C8D"/>
    <w:rsid w:val="00B25D94"/>
    <w:rsid w:val="00B25E41"/>
    <w:rsid w:val="00B25EE6"/>
    <w:rsid w:val="00B25F03"/>
    <w:rsid w:val="00B25F10"/>
    <w:rsid w:val="00B25FF0"/>
    <w:rsid w:val="00B2605C"/>
    <w:rsid w:val="00B26099"/>
    <w:rsid w:val="00B260FB"/>
    <w:rsid w:val="00B2615E"/>
    <w:rsid w:val="00B261AC"/>
    <w:rsid w:val="00B261BC"/>
    <w:rsid w:val="00B26216"/>
    <w:rsid w:val="00B263B7"/>
    <w:rsid w:val="00B26447"/>
    <w:rsid w:val="00B26515"/>
    <w:rsid w:val="00B265D2"/>
    <w:rsid w:val="00B2667E"/>
    <w:rsid w:val="00B26822"/>
    <w:rsid w:val="00B268B0"/>
    <w:rsid w:val="00B2692C"/>
    <w:rsid w:val="00B2692D"/>
    <w:rsid w:val="00B269FD"/>
    <w:rsid w:val="00B26AA5"/>
    <w:rsid w:val="00B26C6F"/>
    <w:rsid w:val="00B26CC8"/>
    <w:rsid w:val="00B26E4C"/>
    <w:rsid w:val="00B26E7A"/>
    <w:rsid w:val="00B26EE7"/>
    <w:rsid w:val="00B26F0A"/>
    <w:rsid w:val="00B27098"/>
    <w:rsid w:val="00B270DC"/>
    <w:rsid w:val="00B27102"/>
    <w:rsid w:val="00B27187"/>
    <w:rsid w:val="00B271BD"/>
    <w:rsid w:val="00B271CF"/>
    <w:rsid w:val="00B271DE"/>
    <w:rsid w:val="00B27305"/>
    <w:rsid w:val="00B2734F"/>
    <w:rsid w:val="00B274F4"/>
    <w:rsid w:val="00B27655"/>
    <w:rsid w:val="00B27661"/>
    <w:rsid w:val="00B277D1"/>
    <w:rsid w:val="00B27880"/>
    <w:rsid w:val="00B27895"/>
    <w:rsid w:val="00B27974"/>
    <w:rsid w:val="00B27C2F"/>
    <w:rsid w:val="00B27CAE"/>
    <w:rsid w:val="00B27DD2"/>
    <w:rsid w:val="00B27F03"/>
    <w:rsid w:val="00B2A2D2"/>
    <w:rsid w:val="00B30085"/>
    <w:rsid w:val="00B301D2"/>
    <w:rsid w:val="00B30203"/>
    <w:rsid w:val="00B30293"/>
    <w:rsid w:val="00B30335"/>
    <w:rsid w:val="00B3036C"/>
    <w:rsid w:val="00B3038C"/>
    <w:rsid w:val="00B303EE"/>
    <w:rsid w:val="00B3057D"/>
    <w:rsid w:val="00B306DA"/>
    <w:rsid w:val="00B306FD"/>
    <w:rsid w:val="00B3094E"/>
    <w:rsid w:val="00B30A56"/>
    <w:rsid w:val="00B30AAE"/>
    <w:rsid w:val="00B30B25"/>
    <w:rsid w:val="00B30B67"/>
    <w:rsid w:val="00B30BD0"/>
    <w:rsid w:val="00B30BD2"/>
    <w:rsid w:val="00B30D26"/>
    <w:rsid w:val="00B30D82"/>
    <w:rsid w:val="00B30D89"/>
    <w:rsid w:val="00B30DA3"/>
    <w:rsid w:val="00B30E3B"/>
    <w:rsid w:val="00B30E94"/>
    <w:rsid w:val="00B30F37"/>
    <w:rsid w:val="00B30F4C"/>
    <w:rsid w:val="00B30F79"/>
    <w:rsid w:val="00B31020"/>
    <w:rsid w:val="00B310AE"/>
    <w:rsid w:val="00B310D1"/>
    <w:rsid w:val="00B310D5"/>
    <w:rsid w:val="00B31245"/>
    <w:rsid w:val="00B312C2"/>
    <w:rsid w:val="00B312DB"/>
    <w:rsid w:val="00B31320"/>
    <w:rsid w:val="00B3136F"/>
    <w:rsid w:val="00B313C5"/>
    <w:rsid w:val="00B31476"/>
    <w:rsid w:val="00B31592"/>
    <w:rsid w:val="00B31724"/>
    <w:rsid w:val="00B3172D"/>
    <w:rsid w:val="00B31812"/>
    <w:rsid w:val="00B31936"/>
    <w:rsid w:val="00B31AB5"/>
    <w:rsid w:val="00B31DB4"/>
    <w:rsid w:val="00B31EFB"/>
    <w:rsid w:val="00B31F8B"/>
    <w:rsid w:val="00B32009"/>
    <w:rsid w:val="00B32043"/>
    <w:rsid w:val="00B32176"/>
    <w:rsid w:val="00B324BD"/>
    <w:rsid w:val="00B324E2"/>
    <w:rsid w:val="00B32506"/>
    <w:rsid w:val="00B32617"/>
    <w:rsid w:val="00B3267B"/>
    <w:rsid w:val="00B32801"/>
    <w:rsid w:val="00B3284E"/>
    <w:rsid w:val="00B3292D"/>
    <w:rsid w:val="00B32A3C"/>
    <w:rsid w:val="00B32A6B"/>
    <w:rsid w:val="00B32AA4"/>
    <w:rsid w:val="00B32B50"/>
    <w:rsid w:val="00B32B81"/>
    <w:rsid w:val="00B32C3E"/>
    <w:rsid w:val="00B32D84"/>
    <w:rsid w:val="00B32DFF"/>
    <w:rsid w:val="00B32EC7"/>
    <w:rsid w:val="00B32ED7"/>
    <w:rsid w:val="00B32FA4"/>
    <w:rsid w:val="00B32FC0"/>
    <w:rsid w:val="00B32FDB"/>
    <w:rsid w:val="00B330AD"/>
    <w:rsid w:val="00B331CB"/>
    <w:rsid w:val="00B331EC"/>
    <w:rsid w:val="00B332CC"/>
    <w:rsid w:val="00B33392"/>
    <w:rsid w:val="00B33442"/>
    <w:rsid w:val="00B3362D"/>
    <w:rsid w:val="00B33664"/>
    <w:rsid w:val="00B33713"/>
    <w:rsid w:val="00B33777"/>
    <w:rsid w:val="00B3385C"/>
    <w:rsid w:val="00B3388F"/>
    <w:rsid w:val="00B339A6"/>
    <w:rsid w:val="00B339ED"/>
    <w:rsid w:val="00B33A50"/>
    <w:rsid w:val="00B33C1D"/>
    <w:rsid w:val="00B33C59"/>
    <w:rsid w:val="00B33CFF"/>
    <w:rsid w:val="00B33DDE"/>
    <w:rsid w:val="00B33EFE"/>
    <w:rsid w:val="00B33F1D"/>
    <w:rsid w:val="00B33F66"/>
    <w:rsid w:val="00B33F72"/>
    <w:rsid w:val="00B33FDE"/>
    <w:rsid w:val="00B34150"/>
    <w:rsid w:val="00B34178"/>
    <w:rsid w:val="00B3417C"/>
    <w:rsid w:val="00B34320"/>
    <w:rsid w:val="00B34331"/>
    <w:rsid w:val="00B3447A"/>
    <w:rsid w:val="00B34550"/>
    <w:rsid w:val="00B34569"/>
    <w:rsid w:val="00B34644"/>
    <w:rsid w:val="00B34749"/>
    <w:rsid w:val="00B34915"/>
    <w:rsid w:val="00B349DC"/>
    <w:rsid w:val="00B34A2B"/>
    <w:rsid w:val="00B34A4B"/>
    <w:rsid w:val="00B34A53"/>
    <w:rsid w:val="00B34CB0"/>
    <w:rsid w:val="00B34CDE"/>
    <w:rsid w:val="00B34D4C"/>
    <w:rsid w:val="00B34D77"/>
    <w:rsid w:val="00B34DF6"/>
    <w:rsid w:val="00B35146"/>
    <w:rsid w:val="00B35241"/>
    <w:rsid w:val="00B35270"/>
    <w:rsid w:val="00B352CE"/>
    <w:rsid w:val="00B35353"/>
    <w:rsid w:val="00B3548E"/>
    <w:rsid w:val="00B354FC"/>
    <w:rsid w:val="00B35524"/>
    <w:rsid w:val="00B35552"/>
    <w:rsid w:val="00B356D1"/>
    <w:rsid w:val="00B357BB"/>
    <w:rsid w:val="00B358D1"/>
    <w:rsid w:val="00B359B0"/>
    <w:rsid w:val="00B35A95"/>
    <w:rsid w:val="00B35C4D"/>
    <w:rsid w:val="00B35C67"/>
    <w:rsid w:val="00B35CCF"/>
    <w:rsid w:val="00B35CF3"/>
    <w:rsid w:val="00B35D2E"/>
    <w:rsid w:val="00B35E41"/>
    <w:rsid w:val="00B35F1F"/>
    <w:rsid w:val="00B35F83"/>
    <w:rsid w:val="00B36112"/>
    <w:rsid w:val="00B36207"/>
    <w:rsid w:val="00B363FF"/>
    <w:rsid w:val="00B364A3"/>
    <w:rsid w:val="00B3650A"/>
    <w:rsid w:val="00B3651C"/>
    <w:rsid w:val="00B36569"/>
    <w:rsid w:val="00B365EB"/>
    <w:rsid w:val="00B366CF"/>
    <w:rsid w:val="00B367CF"/>
    <w:rsid w:val="00B36876"/>
    <w:rsid w:val="00B368A0"/>
    <w:rsid w:val="00B368F8"/>
    <w:rsid w:val="00B36A5C"/>
    <w:rsid w:val="00B36A81"/>
    <w:rsid w:val="00B36A91"/>
    <w:rsid w:val="00B36ACA"/>
    <w:rsid w:val="00B36B62"/>
    <w:rsid w:val="00B36B6F"/>
    <w:rsid w:val="00B36C80"/>
    <w:rsid w:val="00B36E13"/>
    <w:rsid w:val="00B36E77"/>
    <w:rsid w:val="00B36EAF"/>
    <w:rsid w:val="00B370DD"/>
    <w:rsid w:val="00B37131"/>
    <w:rsid w:val="00B3720A"/>
    <w:rsid w:val="00B37215"/>
    <w:rsid w:val="00B37399"/>
    <w:rsid w:val="00B37504"/>
    <w:rsid w:val="00B37520"/>
    <w:rsid w:val="00B37622"/>
    <w:rsid w:val="00B378BA"/>
    <w:rsid w:val="00B378E1"/>
    <w:rsid w:val="00B37919"/>
    <w:rsid w:val="00B37995"/>
    <w:rsid w:val="00B379B4"/>
    <w:rsid w:val="00B37C99"/>
    <w:rsid w:val="00B37D49"/>
    <w:rsid w:val="00B37DBE"/>
    <w:rsid w:val="00B37DC1"/>
    <w:rsid w:val="00B37F47"/>
    <w:rsid w:val="00B37FCF"/>
    <w:rsid w:val="00B37FF8"/>
    <w:rsid w:val="00B3B830"/>
    <w:rsid w:val="00B40129"/>
    <w:rsid w:val="00B40196"/>
    <w:rsid w:val="00B401B0"/>
    <w:rsid w:val="00B402C2"/>
    <w:rsid w:val="00B40306"/>
    <w:rsid w:val="00B4040B"/>
    <w:rsid w:val="00B40494"/>
    <w:rsid w:val="00B4055D"/>
    <w:rsid w:val="00B4064E"/>
    <w:rsid w:val="00B40744"/>
    <w:rsid w:val="00B407B0"/>
    <w:rsid w:val="00B4086A"/>
    <w:rsid w:val="00B408AE"/>
    <w:rsid w:val="00B40A30"/>
    <w:rsid w:val="00B40A68"/>
    <w:rsid w:val="00B40AB3"/>
    <w:rsid w:val="00B40AE9"/>
    <w:rsid w:val="00B40B5E"/>
    <w:rsid w:val="00B40C7E"/>
    <w:rsid w:val="00B40C93"/>
    <w:rsid w:val="00B40CC1"/>
    <w:rsid w:val="00B40DB9"/>
    <w:rsid w:val="00B40E43"/>
    <w:rsid w:val="00B40E72"/>
    <w:rsid w:val="00B40EC8"/>
    <w:rsid w:val="00B410E4"/>
    <w:rsid w:val="00B411D3"/>
    <w:rsid w:val="00B41242"/>
    <w:rsid w:val="00B412F7"/>
    <w:rsid w:val="00B41463"/>
    <w:rsid w:val="00B4159A"/>
    <w:rsid w:val="00B416E0"/>
    <w:rsid w:val="00B4171E"/>
    <w:rsid w:val="00B4174D"/>
    <w:rsid w:val="00B417D0"/>
    <w:rsid w:val="00B419BE"/>
    <w:rsid w:val="00B419CF"/>
    <w:rsid w:val="00B41A05"/>
    <w:rsid w:val="00B41AAA"/>
    <w:rsid w:val="00B41AC9"/>
    <w:rsid w:val="00B41AD0"/>
    <w:rsid w:val="00B41AFF"/>
    <w:rsid w:val="00B41B95"/>
    <w:rsid w:val="00B41CB9"/>
    <w:rsid w:val="00B41D4B"/>
    <w:rsid w:val="00B41FFD"/>
    <w:rsid w:val="00B42000"/>
    <w:rsid w:val="00B42004"/>
    <w:rsid w:val="00B42120"/>
    <w:rsid w:val="00B42174"/>
    <w:rsid w:val="00B42286"/>
    <w:rsid w:val="00B42457"/>
    <w:rsid w:val="00B4254A"/>
    <w:rsid w:val="00B425BA"/>
    <w:rsid w:val="00B42822"/>
    <w:rsid w:val="00B42981"/>
    <w:rsid w:val="00B42A4C"/>
    <w:rsid w:val="00B42B09"/>
    <w:rsid w:val="00B42B17"/>
    <w:rsid w:val="00B42BBD"/>
    <w:rsid w:val="00B42CE8"/>
    <w:rsid w:val="00B42D72"/>
    <w:rsid w:val="00B42D8F"/>
    <w:rsid w:val="00B42D99"/>
    <w:rsid w:val="00B42EC1"/>
    <w:rsid w:val="00B42F39"/>
    <w:rsid w:val="00B42F73"/>
    <w:rsid w:val="00B42FE9"/>
    <w:rsid w:val="00B430A2"/>
    <w:rsid w:val="00B431B2"/>
    <w:rsid w:val="00B4326B"/>
    <w:rsid w:val="00B4337F"/>
    <w:rsid w:val="00B433F6"/>
    <w:rsid w:val="00B433FF"/>
    <w:rsid w:val="00B435A7"/>
    <w:rsid w:val="00B435B8"/>
    <w:rsid w:val="00B43654"/>
    <w:rsid w:val="00B43719"/>
    <w:rsid w:val="00B43788"/>
    <w:rsid w:val="00B437B8"/>
    <w:rsid w:val="00B4384E"/>
    <w:rsid w:val="00B4396D"/>
    <w:rsid w:val="00B43974"/>
    <w:rsid w:val="00B43A5C"/>
    <w:rsid w:val="00B43B24"/>
    <w:rsid w:val="00B43B63"/>
    <w:rsid w:val="00B43B87"/>
    <w:rsid w:val="00B43C50"/>
    <w:rsid w:val="00B43CFE"/>
    <w:rsid w:val="00B43D28"/>
    <w:rsid w:val="00B43D39"/>
    <w:rsid w:val="00B43DD5"/>
    <w:rsid w:val="00B43EAB"/>
    <w:rsid w:val="00B440BC"/>
    <w:rsid w:val="00B441D1"/>
    <w:rsid w:val="00B442DE"/>
    <w:rsid w:val="00B442EF"/>
    <w:rsid w:val="00B4430B"/>
    <w:rsid w:val="00B444AB"/>
    <w:rsid w:val="00B446D1"/>
    <w:rsid w:val="00B446D6"/>
    <w:rsid w:val="00B44710"/>
    <w:rsid w:val="00B447D2"/>
    <w:rsid w:val="00B448FF"/>
    <w:rsid w:val="00B4490E"/>
    <w:rsid w:val="00B44915"/>
    <w:rsid w:val="00B4499C"/>
    <w:rsid w:val="00B44AFC"/>
    <w:rsid w:val="00B44B43"/>
    <w:rsid w:val="00B44B7A"/>
    <w:rsid w:val="00B44BDD"/>
    <w:rsid w:val="00B44CAC"/>
    <w:rsid w:val="00B44D48"/>
    <w:rsid w:val="00B44E50"/>
    <w:rsid w:val="00B44E8C"/>
    <w:rsid w:val="00B44F5B"/>
    <w:rsid w:val="00B45008"/>
    <w:rsid w:val="00B451CE"/>
    <w:rsid w:val="00B45212"/>
    <w:rsid w:val="00B45299"/>
    <w:rsid w:val="00B4529A"/>
    <w:rsid w:val="00B45304"/>
    <w:rsid w:val="00B4540A"/>
    <w:rsid w:val="00B45495"/>
    <w:rsid w:val="00B4549E"/>
    <w:rsid w:val="00B454F5"/>
    <w:rsid w:val="00B4550C"/>
    <w:rsid w:val="00B45556"/>
    <w:rsid w:val="00B455D9"/>
    <w:rsid w:val="00B455F5"/>
    <w:rsid w:val="00B45737"/>
    <w:rsid w:val="00B4578A"/>
    <w:rsid w:val="00B457A6"/>
    <w:rsid w:val="00B45931"/>
    <w:rsid w:val="00B4594F"/>
    <w:rsid w:val="00B4595B"/>
    <w:rsid w:val="00B459BB"/>
    <w:rsid w:val="00B459E8"/>
    <w:rsid w:val="00B45A00"/>
    <w:rsid w:val="00B45B26"/>
    <w:rsid w:val="00B45B6C"/>
    <w:rsid w:val="00B45C12"/>
    <w:rsid w:val="00B45D6F"/>
    <w:rsid w:val="00B45E34"/>
    <w:rsid w:val="00B45E52"/>
    <w:rsid w:val="00B45E5F"/>
    <w:rsid w:val="00B46081"/>
    <w:rsid w:val="00B4623D"/>
    <w:rsid w:val="00B46811"/>
    <w:rsid w:val="00B46900"/>
    <w:rsid w:val="00B46929"/>
    <w:rsid w:val="00B469B2"/>
    <w:rsid w:val="00B46C52"/>
    <w:rsid w:val="00B46D54"/>
    <w:rsid w:val="00B46D87"/>
    <w:rsid w:val="00B46DBF"/>
    <w:rsid w:val="00B46E4A"/>
    <w:rsid w:val="00B46E79"/>
    <w:rsid w:val="00B46FDD"/>
    <w:rsid w:val="00B470F9"/>
    <w:rsid w:val="00B47109"/>
    <w:rsid w:val="00B471A7"/>
    <w:rsid w:val="00B4728A"/>
    <w:rsid w:val="00B47305"/>
    <w:rsid w:val="00B473D8"/>
    <w:rsid w:val="00B4744D"/>
    <w:rsid w:val="00B4746A"/>
    <w:rsid w:val="00B4746D"/>
    <w:rsid w:val="00B47562"/>
    <w:rsid w:val="00B47629"/>
    <w:rsid w:val="00B4769A"/>
    <w:rsid w:val="00B476B2"/>
    <w:rsid w:val="00B476BF"/>
    <w:rsid w:val="00B477D6"/>
    <w:rsid w:val="00B47898"/>
    <w:rsid w:val="00B478BF"/>
    <w:rsid w:val="00B47918"/>
    <w:rsid w:val="00B4798C"/>
    <w:rsid w:val="00B479CC"/>
    <w:rsid w:val="00B47AD9"/>
    <w:rsid w:val="00B47B22"/>
    <w:rsid w:val="00B47C15"/>
    <w:rsid w:val="00B47C1E"/>
    <w:rsid w:val="00B47CB2"/>
    <w:rsid w:val="00B47E47"/>
    <w:rsid w:val="00B47EC4"/>
    <w:rsid w:val="00B47EE3"/>
    <w:rsid w:val="00B50283"/>
    <w:rsid w:val="00B50326"/>
    <w:rsid w:val="00B505DE"/>
    <w:rsid w:val="00B505E4"/>
    <w:rsid w:val="00B505ED"/>
    <w:rsid w:val="00B50670"/>
    <w:rsid w:val="00B506CB"/>
    <w:rsid w:val="00B50705"/>
    <w:rsid w:val="00B50721"/>
    <w:rsid w:val="00B5072D"/>
    <w:rsid w:val="00B50880"/>
    <w:rsid w:val="00B508ED"/>
    <w:rsid w:val="00B50A55"/>
    <w:rsid w:val="00B50B2E"/>
    <w:rsid w:val="00B50C49"/>
    <w:rsid w:val="00B50D05"/>
    <w:rsid w:val="00B50DE9"/>
    <w:rsid w:val="00B50E74"/>
    <w:rsid w:val="00B50FB4"/>
    <w:rsid w:val="00B510C6"/>
    <w:rsid w:val="00B51181"/>
    <w:rsid w:val="00B511C3"/>
    <w:rsid w:val="00B51218"/>
    <w:rsid w:val="00B51261"/>
    <w:rsid w:val="00B51321"/>
    <w:rsid w:val="00B51349"/>
    <w:rsid w:val="00B5134D"/>
    <w:rsid w:val="00B5136D"/>
    <w:rsid w:val="00B51432"/>
    <w:rsid w:val="00B51453"/>
    <w:rsid w:val="00B5145A"/>
    <w:rsid w:val="00B514F5"/>
    <w:rsid w:val="00B515F7"/>
    <w:rsid w:val="00B5162B"/>
    <w:rsid w:val="00B51642"/>
    <w:rsid w:val="00B51660"/>
    <w:rsid w:val="00B516F6"/>
    <w:rsid w:val="00B51757"/>
    <w:rsid w:val="00B517EA"/>
    <w:rsid w:val="00B517FC"/>
    <w:rsid w:val="00B51990"/>
    <w:rsid w:val="00B519AE"/>
    <w:rsid w:val="00B51C76"/>
    <w:rsid w:val="00B51CBE"/>
    <w:rsid w:val="00B51DE4"/>
    <w:rsid w:val="00B51E4F"/>
    <w:rsid w:val="00B51EA0"/>
    <w:rsid w:val="00B51EBD"/>
    <w:rsid w:val="00B51EF4"/>
    <w:rsid w:val="00B51F12"/>
    <w:rsid w:val="00B52041"/>
    <w:rsid w:val="00B52081"/>
    <w:rsid w:val="00B52113"/>
    <w:rsid w:val="00B52114"/>
    <w:rsid w:val="00B52153"/>
    <w:rsid w:val="00B52377"/>
    <w:rsid w:val="00B523B9"/>
    <w:rsid w:val="00B5247D"/>
    <w:rsid w:val="00B5252E"/>
    <w:rsid w:val="00B5267A"/>
    <w:rsid w:val="00B52866"/>
    <w:rsid w:val="00B52978"/>
    <w:rsid w:val="00B52984"/>
    <w:rsid w:val="00B529A4"/>
    <w:rsid w:val="00B52BF7"/>
    <w:rsid w:val="00B52DFA"/>
    <w:rsid w:val="00B52E23"/>
    <w:rsid w:val="00B52EDA"/>
    <w:rsid w:val="00B52EF0"/>
    <w:rsid w:val="00B52F6E"/>
    <w:rsid w:val="00B52F7E"/>
    <w:rsid w:val="00B52FD2"/>
    <w:rsid w:val="00B53093"/>
    <w:rsid w:val="00B531C8"/>
    <w:rsid w:val="00B5320E"/>
    <w:rsid w:val="00B534A4"/>
    <w:rsid w:val="00B534D7"/>
    <w:rsid w:val="00B5355E"/>
    <w:rsid w:val="00B535A2"/>
    <w:rsid w:val="00B535AE"/>
    <w:rsid w:val="00B537DB"/>
    <w:rsid w:val="00B538FF"/>
    <w:rsid w:val="00B5392B"/>
    <w:rsid w:val="00B539BC"/>
    <w:rsid w:val="00B539C2"/>
    <w:rsid w:val="00B53A4E"/>
    <w:rsid w:val="00B53B41"/>
    <w:rsid w:val="00B53C45"/>
    <w:rsid w:val="00B53C91"/>
    <w:rsid w:val="00B53CCB"/>
    <w:rsid w:val="00B53D99"/>
    <w:rsid w:val="00B53DE3"/>
    <w:rsid w:val="00B53E83"/>
    <w:rsid w:val="00B53E96"/>
    <w:rsid w:val="00B541BB"/>
    <w:rsid w:val="00B5432B"/>
    <w:rsid w:val="00B5440C"/>
    <w:rsid w:val="00B54486"/>
    <w:rsid w:val="00B54502"/>
    <w:rsid w:val="00B54504"/>
    <w:rsid w:val="00B54625"/>
    <w:rsid w:val="00B5463C"/>
    <w:rsid w:val="00B54698"/>
    <w:rsid w:val="00B546E4"/>
    <w:rsid w:val="00B547E9"/>
    <w:rsid w:val="00B54849"/>
    <w:rsid w:val="00B54998"/>
    <w:rsid w:val="00B549DD"/>
    <w:rsid w:val="00B54AB7"/>
    <w:rsid w:val="00B54B97"/>
    <w:rsid w:val="00B54D87"/>
    <w:rsid w:val="00B54EBC"/>
    <w:rsid w:val="00B54F47"/>
    <w:rsid w:val="00B54FA5"/>
    <w:rsid w:val="00B54FE5"/>
    <w:rsid w:val="00B5501C"/>
    <w:rsid w:val="00B5508A"/>
    <w:rsid w:val="00B55095"/>
    <w:rsid w:val="00B55157"/>
    <w:rsid w:val="00B55589"/>
    <w:rsid w:val="00B555EA"/>
    <w:rsid w:val="00B5575E"/>
    <w:rsid w:val="00B55801"/>
    <w:rsid w:val="00B5580D"/>
    <w:rsid w:val="00B5593D"/>
    <w:rsid w:val="00B559FC"/>
    <w:rsid w:val="00B55A77"/>
    <w:rsid w:val="00B55AF4"/>
    <w:rsid w:val="00B55BB7"/>
    <w:rsid w:val="00B55BBD"/>
    <w:rsid w:val="00B55C3E"/>
    <w:rsid w:val="00B55D41"/>
    <w:rsid w:val="00B55D55"/>
    <w:rsid w:val="00B55DBA"/>
    <w:rsid w:val="00B55DD0"/>
    <w:rsid w:val="00B55E39"/>
    <w:rsid w:val="00B55E7D"/>
    <w:rsid w:val="00B55F0A"/>
    <w:rsid w:val="00B55FC4"/>
    <w:rsid w:val="00B55FF6"/>
    <w:rsid w:val="00B56195"/>
    <w:rsid w:val="00B56289"/>
    <w:rsid w:val="00B5632A"/>
    <w:rsid w:val="00B56331"/>
    <w:rsid w:val="00B5635A"/>
    <w:rsid w:val="00B563BE"/>
    <w:rsid w:val="00B5643D"/>
    <w:rsid w:val="00B564AB"/>
    <w:rsid w:val="00B564D7"/>
    <w:rsid w:val="00B565E6"/>
    <w:rsid w:val="00B5663C"/>
    <w:rsid w:val="00B56963"/>
    <w:rsid w:val="00B56A30"/>
    <w:rsid w:val="00B56A80"/>
    <w:rsid w:val="00B56AF2"/>
    <w:rsid w:val="00B56B31"/>
    <w:rsid w:val="00B56BD9"/>
    <w:rsid w:val="00B56C25"/>
    <w:rsid w:val="00B56C5F"/>
    <w:rsid w:val="00B56DAF"/>
    <w:rsid w:val="00B56DB9"/>
    <w:rsid w:val="00B56EB4"/>
    <w:rsid w:val="00B56F28"/>
    <w:rsid w:val="00B57007"/>
    <w:rsid w:val="00B57137"/>
    <w:rsid w:val="00B5715F"/>
    <w:rsid w:val="00B57195"/>
    <w:rsid w:val="00B57256"/>
    <w:rsid w:val="00B5736C"/>
    <w:rsid w:val="00B573BE"/>
    <w:rsid w:val="00B575D7"/>
    <w:rsid w:val="00B57784"/>
    <w:rsid w:val="00B5781F"/>
    <w:rsid w:val="00B5786C"/>
    <w:rsid w:val="00B5787D"/>
    <w:rsid w:val="00B57880"/>
    <w:rsid w:val="00B57979"/>
    <w:rsid w:val="00B57A59"/>
    <w:rsid w:val="00B57BBA"/>
    <w:rsid w:val="00B57CD4"/>
    <w:rsid w:val="00B57D9B"/>
    <w:rsid w:val="00B57E1F"/>
    <w:rsid w:val="00B57EB1"/>
    <w:rsid w:val="00B57FC0"/>
    <w:rsid w:val="00B57FC5"/>
    <w:rsid w:val="00B57FFD"/>
    <w:rsid w:val="00B600D9"/>
    <w:rsid w:val="00B6010B"/>
    <w:rsid w:val="00B60188"/>
    <w:rsid w:val="00B60301"/>
    <w:rsid w:val="00B60428"/>
    <w:rsid w:val="00B60480"/>
    <w:rsid w:val="00B604C1"/>
    <w:rsid w:val="00B605D4"/>
    <w:rsid w:val="00B60636"/>
    <w:rsid w:val="00B6085F"/>
    <w:rsid w:val="00B6091C"/>
    <w:rsid w:val="00B60A72"/>
    <w:rsid w:val="00B60B6A"/>
    <w:rsid w:val="00B60B94"/>
    <w:rsid w:val="00B60C0D"/>
    <w:rsid w:val="00B60CA8"/>
    <w:rsid w:val="00B60D45"/>
    <w:rsid w:val="00B60D6A"/>
    <w:rsid w:val="00B60DBC"/>
    <w:rsid w:val="00B60EFF"/>
    <w:rsid w:val="00B60F55"/>
    <w:rsid w:val="00B60FBE"/>
    <w:rsid w:val="00B60FDD"/>
    <w:rsid w:val="00B61086"/>
    <w:rsid w:val="00B61104"/>
    <w:rsid w:val="00B61123"/>
    <w:rsid w:val="00B61166"/>
    <w:rsid w:val="00B6116B"/>
    <w:rsid w:val="00B61182"/>
    <w:rsid w:val="00B61216"/>
    <w:rsid w:val="00B61243"/>
    <w:rsid w:val="00B6130F"/>
    <w:rsid w:val="00B6134A"/>
    <w:rsid w:val="00B61402"/>
    <w:rsid w:val="00B615B8"/>
    <w:rsid w:val="00B6167F"/>
    <w:rsid w:val="00B617BB"/>
    <w:rsid w:val="00B617CF"/>
    <w:rsid w:val="00B61906"/>
    <w:rsid w:val="00B619C7"/>
    <w:rsid w:val="00B619CD"/>
    <w:rsid w:val="00B61B9F"/>
    <w:rsid w:val="00B61BD5"/>
    <w:rsid w:val="00B61C1F"/>
    <w:rsid w:val="00B61C92"/>
    <w:rsid w:val="00B61CF2"/>
    <w:rsid w:val="00B61E99"/>
    <w:rsid w:val="00B61F7B"/>
    <w:rsid w:val="00B61F93"/>
    <w:rsid w:val="00B61FCC"/>
    <w:rsid w:val="00B6209B"/>
    <w:rsid w:val="00B620EF"/>
    <w:rsid w:val="00B62176"/>
    <w:rsid w:val="00B621D4"/>
    <w:rsid w:val="00B622BD"/>
    <w:rsid w:val="00B6235E"/>
    <w:rsid w:val="00B626B3"/>
    <w:rsid w:val="00B6277D"/>
    <w:rsid w:val="00B627AB"/>
    <w:rsid w:val="00B627F0"/>
    <w:rsid w:val="00B6280D"/>
    <w:rsid w:val="00B62915"/>
    <w:rsid w:val="00B62967"/>
    <w:rsid w:val="00B629D7"/>
    <w:rsid w:val="00B62A00"/>
    <w:rsid w:val="00B62A9C"/>
    <w:rsid w:val="00B62BB3"/>
    <w:rsid w:val="00B62CE4"/>
    <w:rsid w:val="00B62DE9"/>
    <w:rsid w:val="00B62ED2"/>
    <w:rsid w:val="00B6300C"/>
    <w:rsid w:val="00B63032"/>
    <w:rsid w:val="00B6306B"/>
    <w:rsid w:val="00B631DC"/>
    <w:rsid w:val="00B631E9"/>
    <w:rsid w:val="00B63200"/>
    <w:rsid w:val="00B6329F"/>
    <w:rsid w:val="00B632E9"/>
    <w:rsid w:val="00B63333"/>
    <w:rsid w:val="00B6336B"/>
    <w:rsid w:val="00B634AB"/>
    <w:rsid w:val="00B6359C"/>
    <w:rsid w:val="00B635B9"/>
    <w:rsid w:val="00B635CB"/>
    <w:rsid w:val="00B635FF"/>
    <w:rsid w:val="00B637F8"/>
    <w:rsid w:val="00B63B95"/>
    <w:rsid w:val="00B63D07"/>
    <w:rsid w:val="00B63D37"/>
    <w:rsid w:val="00B63DFF"/>
    <w:rsid w:val="00B63F36"/>
    <w:rsid w:val="00B64022"/>
    <w:rsid w:val="00B640E8"/>
    <w:rsid w:val="00B64131"/>
    <w:rsid w:val="00B64136"/>
    <w:rsid w:val="00B6427D"/>
    <w:rsid w:val="00B642E7"/>
    <w:rsid w:val="00B64313"/>
    <w:rsid w:val="00B64369"/>
    <w:rsid w:val="00B643CF"/>
    <w:rsid w:val="00B6441E"/>
    <w:rsid w:val="00B64441"/>
    <w:rsid w:val="00B6455D"/>
    <w:rsid w:val="00B64592"/>
    <w:rsid w:val="00B64597"/>
    <w:rsid w:val="00B645BB"/>
    <w:rsid w:val="00B64724"/>
    <w:rsid w:val="00B648C8"/>
    <w:rsid w:val="00B64997"/>
    <w:rsid w:val="00B649F2"/>
    <w:rsid w:val="00B64AF9"/>
    <w:rsid w:val="00B64B2C"/>
    <w:rsid w:val="00B64B71"/>
    <w:rsid w:val="00B64C7E"/>
    <w:rsid w:val="00B64E95"/>
    <w:rsid w:val="00B64F58"/>
    <w:rsid w:val="00B64F77"/>
    <w:rsid w:val="00B64F81"/>
    <w:rsid w:val="00B650C7"/>
    <w:rsid w:val="00B65161"/>
    <w:rsid w:val="00B651EB"/>
    <w:rsid w:val="00B65216"/>
    <w:rsid w:val="00B652B4"/>
    <w:rsid w:val="00B6536F"/>
    <w:rsid w:val="00B6555D"/>
    <w:rsid w:val="00B65681"/>
    <w:rsid w:val="00B657CC"/>
    <w:rsid w:val="00B65AC6"/>
    <w:rsid w:val="00B65B28"/>
    <w:rsid w:val="00B65B74"/>
    <w:rsid w:val="00B65BB8"/>
    <w:rsid w:val="00B65BE8"/>
    <w:rsid w:val="00B65C5E"/>
    <w:rsid w:val="00B65CBA"/>
    <w:rsid w:val="00B65DF8"/>
    <w:rsid w:val="00B65E46"/>
    <w:rsid w:val="00B65EBB"/>
    <w:rsid w:val="00B65F0A"/>
    <w:rsid w:val="00B66002"/>
    <w:rsid w:val="00B66010"/>
    <w:rsid w:val="00B6604F"/>
    <w:rsid w:val="00B660A6"/>
    <w:rsid w:val="00B66111"/>
    <w:rsid w:val="00B6623A"/>
    <w:rsid w:val="00B66294"/>
    <w:rsid w:val="00B662CC"/>
    <w:rsid w:val="00B66424"/>
    <w:rsid w:val="00B66494"/>
    <w:rsid w:val="00B664FF"/>
    <w:rsid w:val="00B6651C"/>
    <w:rsid w:val="00B66539"/>
    <w:rsid w:val="00B665FB"/>
    <w:rsid w:val="00B66757"/>
    <w:rsid w:val="00B66799"/>
    <w:rsid w:val="00B667C2"/>
    <w:rsid w:val="00B667CC"/>
    <w:rsid w:val="00B66856"/>
    <w:rsid w:val="00B66857"/>
    <w:rsid w:val="00B6698B"/>
    <w:rsid w:val="00B66A18"/>
    <w:rsid w:val="00B66A56"/>
    <w:rsid w:val="00B66B5B"/>
    <w:rsid w:val="00B66BA1"/>
    <w:rsid w:val="00B66DE3"/>
    <w:rsid w:val="00B66DF4"/>
    <w:rsid w:val="00B66E5E"/>
    <w:rsid w:val="00B66F7C"/>
    <w:rsid w:val="00B66FB6"/>
    <w:rsid w:val="00B6702F"/>
    <w:rsid w:val="00B67096"/>
    <w:rsid w:val="00B670B6"/>
    <w:rsid w:val="00B67110"/>
    <w:rsid w:val="00B67191"/>
    <w:rsid w:val="00B67230"/>
    <w:rsid w:val="00B67563"/>
    <w:rsid w:val="00B6764F"/>
    <w:rsid w:val="00B676AA"/>
    <w:rsid w:val="00B67751"/>
    <w:rsid w:val="00B6786D"/>
    <w:rsid w:val="00B679C6"/>
    <w:rsid w:val="00B679F3"/>
    <w:rsid w:val="00B67AC1"/>
    <w:rsid w:val="00B67BFE"/>
    <w:rsid w:val="00B67C0C"/>
    <w:rsid w:val="00B67E23"/>
    <w:rsid w:val="00B67E61"/>
    <w:rsid w:val="00B67EBD"/>
    <w:rsid w:val="00B700B9"/>
    <w:rsid w:val="00B70140"/>
    <w:rsid w:val="00B70177"/>
    <w:rsid w:val="00B7021F"/>
    <w:rsid w:val="00B70286"/>
    <w:rsid w:val="00B702A4"/>
    <w:rsid w:val="00B70311"/>
    <w:rsid w:val="00B703F2"/>
    <w:rsid w:val="00B70401"/>
    <w:rsid w:val="00B70409"/>
    <w:rsid w:val="00B704A5"/>
    <w:rsid w:val="00B705F4"/>
    <w:rsid w:val="00B70641"/>
    <w:rsid w:val="00B707CF"/>
    <w:rsid w:val="00B70869"/>
    <w:rsid w:val="00B7088F"/>
    <w:rsid w:val="00B70997"/>
    <w:rsid w:val="00B709B6"/>
    <w:rsid w:val="00B70A37"/>
    <w:rsid w:val="00B70BD2"/>
    <w:rsid w:val="00B70C4B"/>
    <w:rsid w:val="00B70CAA"/>
    <w:rsid w:val="00B70CDC"/>
    <w:rsid w:val="00B70D16"/>
    <w:rsid w:val="00B70D92"/>
    <w:rsid w:val="00B70DA1"/>
    <w:rsid w:val="00B70DF6"/>
    <w:rsid w:val="00B70E79"/>
    <w:rsid w:val="00B70FA2"/>
    <w:rsid w:val="00B7100B"/>
    <w:rsid w:val="00B710F6"/>
    <w:rsid w:val="00B711A5"/>
    <w:rsid w:val="00B711C0"/>
    <w:rsid w:val="00B711F0"/>
    <w:rsid w:val="00B713E2"/>
    <w:rsid w:val="00B71440"/>
    <w:rsid w:val="00B716AE"/>
    <w:rsid w:val="00B7170E"/>
    <w:rsid w:val="00B71766"/>
    <w:rsid w:val="00B7177B"/>
    <w:rsid w:val="00B7184D"/>
    <w:rsid w:val="00B71859"/>
    <w:rsid w:val="00B7186E"/>
    <w:rsid w:val="00B71905"/>
    <w:rsid w:val="00B719B6"/>
    <w:rsid w:val="00B71B33"/>
    <w:rsid w:val="00B71BCB"/>
    <w:rsid w:val="00B71CBC"/>
    <w:rsid w:val="00B71D17"/>
    <w:rsid w:val="00B71D2F"/>
    <w:rsid w:val="00B71DCD"/>
    <w:rsid w:val="00B71F7C"/>
    <w:rsid w:val="00B71F99"/>
    <w:rsid w:val="00B72051"/>
    <w:rsid w:val="00B720F2"/>
    <w:rsid w:val="00B72188"/>
    <w:rsid w:val="00B7237F"/>
    <w:rsid w:val="00B723A6"/>
    <w:rsid w:val="00B723C6"/>
    <w:rsid w:val="00B72405"/>
    <w:rsid w:val="00B72409"/>
    <w:rsid w:val="00B724CD"/>
    <w:rsid w:val="00B72503"/>
    <w:rsid w:val="00B72826"/>
    <w:rsid w:val="00B729B0"/>
    <w:rsid w:val="00B72A59"/>
    <w:rsid w:val="00B72BB9"/>
    <w:rsid w:val="00B72BD8"/>
    <w:rsid w:val="00B72CD0"/>
    <w:rsid w:val="00B72D32"/>
    <w:rsid w:val="00B72DDE"/>
    <w:rsid w:val="00B72F53"/>
    <w:rsid w:val="00B72FF2"/>
    <w:rsid w:val="00B73093"/>
    <w:rsid w:val="00B7318F"/>
    <w:rsid w:val="00B731F5"/>
    <w:rsid w:val="00B73496"/>
    <w:rsid w:val="00B734E0"/>
    <w:rsid w:val="00B734E8"/>
    <w:rsid w:val="00B73619"/>
    <w:rsid w:val="00B73686"/>
    <w:rsid w:val="00B73688"/>
    <w:rsid w:val="00B73748"/>
    <w:rsid w:val="00B73764"/>
    <w:rsid w:val="00B738E8"/>
    <w:rsid w:val="00B739BE"/>
    <w:rsid w:val="00B739ED"/>
    <w:rsid w:val="00B73A05"/>
    <w:rsid w:val="00B73A77"/>
    <w:rsid w:val="00B73A78"/>
    <w:rsid w:val="00B73B9A"/>
    <w:rsid w:val="00B73BC1"/>
    <w:rsid w:val="00B73DBD"/>
    <w:rsid w:val="00B73EC4"/>
    <w:rsid w:val="00B73EE2"/>
    <w:rsid w:val="00B73F70"/>
    <w:rsid w:val="00B73FD2"/>
    <w:rsid w:val="00B7404D"/>
    <w:rsid w:val="00B7410E"/>
    <w:rsid w:val="00B74299"/>
    <w:rsid w:val="00B7429E"/>
    <w:rsid w:val="00B7431F"/>
    <w:rsid w:val="00B7454F"/>
    <w:rsid w:val="00B7455E"/>
    <w:rsid w:val="00B74672"/>
    <w:rsid w:val="00B7467F"/>
    <w:rsid w:val="00B74794"/>
    <w:rsid w:val="00B74876"/>
    <w:rsid w:val="00B74891"/>
    <w:rsid w:val="00B748C7"/>
    <w:rsid w:val="00B74956"/>
    <w:rsid w:val="00B749CE"/>
    <w:rsid w:val="00B74A26"/>
    <w:rsid w:val="00B74A2B"/>
    <w:rsid w:val="00B74A87"/>
    <w:rsid w:val="00B74B1F"/>
    <w:rsid w:val="00B74BA0"/>
    <w:rsid w:val="00B74BAD"/>
    <w:rsid w:val="00B74BC8"/>
    <w:rsid w:val="00B74BF6"/>
    <w:rsid w:val="00B74C1C"/>
    <w:rsid w:val="00B74D02"/>
    <w:rsid w:val="00B74EA3"/>
    <w:rsid w:val="00B74F82"/>
    <w:rsid w:val="00B75014"/>
    <w:rsid w:val="00B7507E"/>
    <w:rsid w:val="00B752FD"/>
    <w:rsid w:val="00B7535F"/>
    <w:rsid w:val="00B753D3"/>
    <w:rsid w:val="00B75530"/>
    <w:rsid w:val="00B75714"/>
    <w:rsid w:val="00B757E9"/>
    <w:rsid w:val="00B757EA"/>
    <w:rsid w:val="00B7598A"/>
    <w:rsid w:val="00B759B2"/>
    <w:rsid w:val="00B759DB"/>
    <w:rsid w:val="00B75A30"/>
    <w:rsid w:val="00B75AF3"/>
    <w:rsid w:val="00B75B11"/>
    <w:rsid w:val="00B75B66"/>
    <w:rsid w:val="00B75C29"/>
    <w:rsid w:val="00B75D4E"/>
    <w:rsid w:val="00B75EE9"/>
    <w:rsid w:val="00B75FCA"/>
    <w:rsid w:val="00B761F4"/>
    <w:rsid w:val="00B7621E"/>
    <w:rsid w:val="00B76276"/>
    <w:rsid w:val="00B762D4"/>
    <w:rsid w:val="00B76348"/>
    <w:rsid w:val="00B76583"/>
    <w:rsid w:val="00B76599"/>
    <w:rsid w:val="00B76671"/>
    <w:rsid w:val="00B766F3"/>
    <w:rsid w:val="00B7677A"/>
    <w:rsid w:val="00B767E0"/>
    <w:rsid w:val="00B76848"/>
    <w:rsid w:val="00B76A2A"/>
    <w:rsid w:val="00B76A33"/>
    <w:rsid w:val="00B76AB9"/>
    <w:rsid w:val="00B76BFC"/>
    <w:rsid w:val="00B76C2F"/>
    <w:rsid w:val="00B76CD0"/>
    <w:rsid w:val="00B76D6D"/>
    <w:rsid w:val="00B76D81"/>
    <w:rsid w:val="00B76E95"/>
    <w:rsid w:val="00B76EAB"/>
    <w:rsid w:val="00B76ECE"/>
    <w:rsid w:val="00B76F2D"/>
    <w:rsid w:val="00B77094"/>
    <w:rsid w:val="00B770D6"/>
    <w:rsid w:val="00B77115"/>
    <w:rsid w:val="00B7727F"/>
    <w:rsid w:val="00B7734E"/>
    <w:rsid w:val="00B773CF"/>
    <w:rsid w:val="00B775B1"/>
    <w:rsid w:val="00B77693"/>
    <w:rsid w:val="00B77819"/>
    <w:rsid w:val="00B7795F"/>
    <w:rsid w:val="00B77A74"/>
    <w:rsid w:val="00B77A7A"/>
    <w:rsid w:val="00B77AD8"/>
    <w:rsid w:val="00B77B01"/>
    <w:rsid w:val="00B77B0A"/>
    <w:rsid w:val="00B77B56"/>
    <w:rsid w:val="00B77BC1"/>
    <w:rsid w:val="00B77D5C"/>
    <w:rsid w:val="00B77E64"/>
    <w:rsid w:val="00B77EA9"/>
    <w:rsid w:val="00B77EAE"/>
    <w:rsid w:val="00B800ED"/>
    <w:rsid w:val="00B80100"/>
    <w:rsid w:val="00B802D9"/>
    <w:rsid w:val="00B80339"/>
    <w:rsid w:val="00B80483"/>
    <w:rsid w:val="00B804A3"/>
    <w:rsid w:val="00B80538"/>
    <w:rsid w:val="00B805A4"/>
    <w:rsid w:val="00B805C6"/>
    <w:rsid w:val="00B805C8"/>
    <w:rsid w:val="00B805FF"/>
    <w:rsid w:val="00B80610"/>
    <w:rsid w:val="00B80641"/>
    <w:rsid w:val="00B80678"/>
    <w:rsid w:val="00B808AA"/>
    <w:rsid w:val="00B80999"/>
    <w:rsid w:val="00B80A03"/>
    <w:rsid w:val="00B80BFC"/>
    <w:rsid w:val="00B80D6B"/>
    <w:rsid w:val="00B80DC9"/>
    <w:rsid w:val="00B80FF6"/>
    <w:rsid w:val="00B811E7"/>
    <w:rsid w:val="00B811FD"/>
    <w:rsid w:val="00B8130E"/>
    <w:rsid w:val="00B81482"/>
    <w:rsid w:val="00B8157B"/>
    <w:rsid w:val="00B81588"/>
    <w:rsid w:val="00B8166C"/>
    <w:rsid w:val="00B8170C"/>
    <w:rsid w:val="00B81722"/>
    <w:rsid w:val="00B81749"/>
    <w:rsid w:val="00B8184D"/>
    <w:rsid w:val="00B819C5"/>
    <w:rsid w:val="00B81A60"/>
    <w:rsid w:val="00B81AC2"/>
    <w:rsid w:val="00B81ACE"/>
    <w:rsid w:val="00B81AF8"/>
    <w:rsid w:val="00B81B75"/>
    <w:rsid w:val="00B81C2A"/>
    <w:rsid w:val="00B81C8B"/>
    <w:rsid w:val="00B81D4B"/>
    <w:rsid w:val="00B81DFF"/>
    <w:rsid w:val="00B81EA1"/>
    <w:rsid w:val="00B81EC1"/>
    <w:rsid w:val="00B81F03"/>
    <w:rsid w:val="00B81F20"/>
    <w:rsid w:val="00B81FF1"/>
    <w:rsid w:val="00B81FFF"/>
    <w:rsid w:val="00B82074"/>
    <w:rsid w:val="00B82076"/>
    <w:rsid w:val="00B820F8"/>
    <w:rsid w:val="00B82121"/>
    <w:rsid w:val="00B82178"/>
    <w:rsid w:val="00B821AA"/>
    <w:rsid w:val="00B822AD"/>
    <w:rsid w:val="00B8240E"/>
    <w:rsid w:val="00B82445"/>
    <w:rsid w:val="00B8245D"/>
    <w:rsid w:val="00B82460"/>
    <w:rsid w:val="00B82462"/>
    <w:rsid w:val="00B8252A"/>
    <w:rsid w:val="00B8257A"/>
    <w:rsid w:val="00B8258B"/>
    <w:rsid w:val="00B827A9"/>
    <w:rsid w:val="00B8285D"/>
    <w:rsid w:val="00B829C1"/>
    <w:rsid w:val="00B82AD1"/>
    <w:rsid w:val="00B82AF1"/>
    <w:rsid w:val="00B82B89"/>
    <w:rsid w:val="00B82BC5"/>
    <w:rsid w:val="00B82C04"/>
    <w:rsid w:val="00B82D5D"/>
    <w:rsid w:val="00B82D7E"/>
    <w:rsid w:val="00B82DF1"/>
    <w:rsid w:val="00B82EF2"/>
    <w:rsid w:val="00B82F9A"/>
    <w:rsid w:val="00B82FEE"/>
    <w:rsid w:val="00B83026"/>
    <w:rsid w:val="00B830BC"/>
    <w:rsid w:val="00B83131"/>
    <w:rsid w:val="00B8325C"/>
    <w:rsid w:val="00B8326B"/>
    <w:rsid w:val="00B8327D"/>
    <w:rsid w:val="00B832AC"/>
    <w:rsid w:val="00B832BB"/>
    <w:rsid w:val="00B832EE"/>
    <w:rsid w:val="00B8331B"/>
    <w:rsid w:val="00B8333E"/>
    <w:rsid w:val="00B8336F"/>
    <w:rsid w:val="00B8339D"/>
    <w:rsid w:val="00B83431"/>
    <w:rsid w:val="00B834E7"/>
    <w:rsid w:val="00B83530"/>
    <w:rsid w:val="00B83591"/>
    <w:rsid w:val="00B83637"/>
    <w:rsid w:val="00B837CC"/>
    <w:rsid w:val="00B837EA"/>
    <w:rsid w:val="00B83830"/>
    <w:rsid w:val="00B8386C"/>
    <w:rsid w:val="00B8394B"/>
    <w:rsid w:val="00B839A1"/>
    <w:rsid w:val="00B839FF"/>
    <w:rsid w:val="00B83A99"/>
    <w:rsid w:val="00B83AE4"/>
    <w:rsid w:val="00B83BD5"/>
    <w:rsid w:val="00B83D09"/>
    <w:rsid w:val="00B83D0B"/>
    <w:rsid w:val="00B83D28"/>
    <w:rsid w:val="00B83DF8"/>
    <w:rsid w:val="00B83E7B"/>
    <w:rsid w:val="00B83ED7"/>
    <w:rsid w:val="00B83F10"/>
    <w:rsid w:val="00B83F14"/>
    <w:rsid w:val="00B83F9A"/>
    <w:rsid w:val="00B83FD3"/>
    <w:rsid w:val="00B84059"/>
    <w:rsid w:val="00B840F4"/>
    <w:rsid w:val="00B84172"/>
    <w:rsid w:val="00B841C7"/>
    <w:rsid w:val="00B841CC"/>
    <w:rsid w:val="00B842A7"/>
    <w:rsid w:val="00B8433D"/>
    <w:rsid w:val="00B8474A"/>
    <w:rsid w:val="00B848CA"/>
    <w:rsid w:val="00B848E4"/>
    <w:rsid w:val="00B8496F"/>
    <w:rsid w:val="00B84B28"/>
    <w:rsid w:val="00B84C75"/>
    <w:rsid w:val="00B84C9C"/>
    <w:rsid w:val="00B84E04"/>
    <w:rsid w:val="00B84E6A"/>
    <w:rsid w:val="00B84F71"/>
    <w:rsid w:val="00B84F9C"/>
    <w:rsid w:val="00B84FB5"/>
    <w:rsid w:val="00B85001"/>
    <w:rsid w:val="00B85018"/>
    <w:rsid w:val="00B85092"/>
    <w:rsid w:val="00B850D0"/>
    <w:rsid w:val="00B852C7"/>
    <w:rsid w:val="00B853D3"/>
    <w:rsid w:val="00B85460"/>
    <w:rsid w:val="00B854D6"/>
    <w:rsid w:val="00B8564C"/>
    <w:rsid w:val="00B85678"/>
    <w:rsid w:val="00B856F3"/>
    <w:rsid w:val="00B85739"/>
    <w:rsid w:val="00B85743"/>
    <w:rsid w:val="00B85910"/>
    <w:rsid w:val="00B85A60"/>
    <w:rsid w:val="00B85A6C"/>
    <w:rsid w:val="00B85A6E"/>
    <w:rsid w:val="00B85A96"/>
    <w:rsid w:val="00B85AA1"/>
    <w:rsid w:val="00B85B88"/>
    <w:rsid w:val="00B85B98"/>
    <w:rsid w:val="00B85CF1"/>
    <w:rsid w:val="00B85DC5"/>
    <w:rsid w:val="00B85DDC"/>
    <w:rsid w:val="00B85E72"/>
    <w:rsid w:val="00B85F07"/>
    <w:rsid w:val="00B85FF8"/>
    <w:rsid w:val="00B861C4"/>
    <w:rsid w:val="00B861C7"/>
    <w:rsid w:val="00B86437"/>
    <w:rsid w:val="00B8653D"/>
    <w:rsid w:val="00B86572"/>
    <w:rsid w:val="00B86653"/>
    <w:rsid w:val="00B86660"/>
    <w:rsid w:val="00B86764"/>
    <w:rsid w:val="00B867FF"/>
    <w:rsid w:val="00B8691E"/>
    <w:rsid w:val="00B8693C"/>
    <w:rsid w:val="00B86AC9"/>
    <w:rsid w:val="00B86BB7"/>
    <w:rsid w:val="00B86BDF"/>
    <w:rsid w:val="00B86C07"/>
    <w:rsid w:val="00B86C53"/>
    <w:rsid w:val="00B86D4F"/>
    <w:rsid w:val="00B86FFD"/>
    <w:rsid w:val="00B87188"/>
    <w:rsid w:val="00B871DD"/>
    <w:rsid w:val="00B87273"/>
    <w:rsid w:val="00B87357"/>
    <w:rsid w:val="00B87487"/>
    <w:rsid w:val="00B874F3"/>
    <w:rsid w:val="00B875B7"/>
    <w:rsid w:val="00B8769D"/>
    <w:rsid w:val="00B876CF"/>
    <w:rsid w:val="00B876DD"/>
    <w:rsid w:val="00B8772D"/>
    <w:rsid w:val="00B87775"/>
    <w:rsid w:val="00B87825"/>
    <w:rsid w:val="00B8793E"/>
    <w:rsid w:val="00B87B1A"/>
    <w:rsid w:val="00B87B4C"/>
    <w:rsid w:val="00B87B56"/>
    <w:rsid w:val="00B87BA0"/>
    <w:rsid w:val="00B87C0B"/>
    <w:rsid w:val="00B87C1D"/>
    <w:rsid w:val="00B87D3E"/>
    <w:rsid w:val="00B87D51"/>
    <w:rsid w:val="00B87DD4"/>
    <w:rsid w:val="00B87DDD"/>
    <w:rsid w:val="00B87F16"/>
    <w:rsid w:val="00B90150"/>
    <w:rsid w:val="00B90151"/>
    <w:rsid w:val="00B9023E"/>
    <w:rsid w:val="00B90493"/>
    <w:rsid w:val="00B904D6"/>
    <w:rsid w:val="00B904E5"/>
    <w:rsid w:val="00B90524"/>
    <w:rsid w:val="00B90659"/>
    <w:rsid w:val="00B906D5"/>
    <w:rsid w:val="00B90701"/>
    <w:rsid w:val="00B90838"/>
    <w:rsid w:val="00B90904"/>
    <w:rsid w:val="00B9099D"/>
    <w:rsid w:val="00B909C8"/>
    <w:rsid w:val="00B909CB"/>
    <w:rsid w:val="00B909FE"/>
    <w:rsid w:val="00B90AF0"/>
    <w:rsid w:val="00B90B03"/>
    <w:rsid w:val="00B90B07"/>
    <w:rsid w:val="00B90B5D"/>
    <w:rsid w:val="00B90D1E"/>
    <w:rsid w:val="00B90DCB"/>
    <w:rsid w:val="00B90EED"/>
    <w:rsid w:val="00B90F9A"/>
    <w:rsid w:val="00B9105F"/>
    <w:rsid w:val="00B91061"/>
    <w:rsid w:val="00B910A0"/>
    <w:rsid w:val="00B911F5"/>
    <w:rsid w:val="00B91305"/>
    <w:rsid w:val="00B9130B"/>
    <w:rsid w:val="00B9141F"/>
    <w:rsid w:val="00B91598"/>
    <w:rsid w:val="00B915FC"/>
    <w:rsid w:val="00B9188B"/>
    <w:rsid w:val="00B91950"/>
    <w:rsid w:val="00B91ACC"/>
    <w:rsid w:val="00B91C91"/>
    <w:rsid w:val="00B91D63"/>
    <w:rsid w:val="00B91E3F"/>
    <w:rsid w:val="00B91E41"/>
    <w:rsid w:val="00B91E53"/>
    <w:rsid w:val="00B91E7D"/>
    <w:rsid w:val="00B91EBA"/>
    <w:rsid w:val="00B91F65"/>
    <w:rsid w:val="00B91F96"/>
    <w:rsid w:val="00B91FC6"/>
    <w:rsid w:val="00B92036"/>
    <w:rsid w:val="00B92092"/>
    <w:rsid w:val="00B92112"/>
    <w:rsid w:val="00B9216C"/>
    <w:rsid w:val="00B921FB"/>
    <w:rsid w:val="00B92237"/>
    <w:rsid w:val="00B922C2"/>
    <w:rsid w:val="00B92314"/>
    <w:rsid w:val="00B92319"/>
    <w:rsid w:val="00B923F1"/>
    <w:rsid w:val="00B9259E"/>
    <w:rsid w:val="00B92717"/>
    <w:rsid w:val="00B927B5"/>
    <w:rsid w:val="00B92904"/>
    <w:rsid w:val="00B9290F"/>
    <w:rsid w:val="00B92953"/>
    <w:rsid w:val="00B929EB"/>
    <w:rsid w:val="00B92A7E"/>
    <w:rsid w:val="00B92B43"/>
    <w:rsid w:val="00B92B4B"/>
    <w:rsid w:val="00B92C2E"/>
    <w:rsid w:val="00B92C45"/>
    <w:rsid w:val="00B92C4E"/>
    <w:rsid w:val="00B92EBF"/>
    <w:rsid w:val="00B92ED0"/>
    <w:rsid w:val="00B92F01"/>
    <w:rsid w:val="00B92FB7"/>
    <w:rsid w:val="00B93054"/>
    <w:rsid w:val="00B93065"/>
    <w:rsid w:val="00B93134"/>
    <w:rsid w:val="00B9314E"/>
    <w:rsid w:val="00B9315C"/>
    <w:rsid w:val="00B9316C"/>
    <w:rsid w:val="00B9317A"/>
    <w:rsid w:val="00B9319A"/>
    <w:rsid w:val="00B93251"/>
    <w:rsid w:val="00B93300"/>
    <w:rsid w:val="00B9331D"/>
    <w:rsid w:val="00B93553"/>
    <w:rsid w:val="00B9355D"/>
    <w:rsid w:val="00B93647"/>
    <w:rsid w:val="00B9365E"/>
    <w:rsid w:val="00B936A9"/>
    <w:rsid w:val="00B936BC"/>
    <w:rsid w:val="00B93724"/>
    <w:rsid w:val="00B9372F"/>
    <w:rsid w:val="00B93744"/>
    <w:rsid w:val="00B93852"/>
    <w:rsid w:val="00B938D4"/>
    <w:rsid w:val="00B9395B"/>
    <w:rsid w:val="00B93B72"/>
    <w:rsid w:val="00B93BE3"/>
    <w:rsid w:val="00B93BEC"/>
    <w:rsid w:val="00B93E1D"/>
    <w:rsid w:val="00B93EBA"/>
    <w:rsid w:val="00B9403D"/>
    <w:rsid w:val="00B941B8"/>
    <w:rsid w:val="00B94203"/>
    <w:rsid w:val="00B9420C"/>
    <w:rsid w:val="00B94428"/>
    <w:rsid w:val="00B94474"/>
    <w:rsid w:val="00B9450B"/>
    <w:rsid w:val="00B945AB"/>
    <w:rsid w:val="00B9478A"/>
    <w:rsid w:val="00B94795"/>
    <w:rsid w:val="00B9479A"/>
    <w:rsid w:val="00B94854"/>
    <w:rsid w:val="00B948E4"/>
    <w:rsid w:val="00B94948"/>
    <w:rsid w:val="00B94B3E"/>
    <w:rsid w:val="00B94B4A"/>
    <w:rsid w:val="00B94BE3"/>
    <w:rsid w:val="00B94C44"/>
    <w:rsid w:val="00B94DF9"/>
    <w:rsid w:val="00B950A2"/>
    <w:rsid w:val="00B95277"/>
    <w:rsid w:val="00B9535E"/>
    <w:rsid w:val="00B95459"/>
    <w:rsid w:val="00B954B6"/>
    <w:rsid w:val="00B95785"/>
    <w:rsid w:val="00B957CD"/>
    <w:rsid w:val="00B9599D"/>
    <w:rsid w:val="00B959CF"/>
    <w:rsid w:val="00B959D5"/>
    <w:rsid w:val="00B95A4A"/>
    <w:rsid w:val="00B95A7A"/>
    <w:rsid w:val="00B95AF1"/>
    <w:rsid w:val="00B95AFA"/>
    <w:rsid w:val="00B95B41"/>
    <w:rsid w:val="00B95DAA"/>
    <w:rsid w:val="00B95E53"/>
    <w:rsid w:val="00B95F09"/>
    <w:rsid w:val="00B95FA5"/>
    <w:rsid w:val="00B95FB4"/>
    <w:rsid w:val="00B96213"/>
    <w:rsid w:val="00B9628F"/>
    <w:rsid w:val="00B96345"/>
    <w:rsid w:val="00B9634C"/>
    <w:rsid w:val="00B963CA"/>
    <w:rsid w:val="00B96553"/>
    <w:rsid w:val="00B96579"/>
    <w:rsid w:val="00B965E0"/>
    <w:rsid w:val="00B9679B"/>
    <w:rsid w:val="00B967A7"/>
    <w:rsid w:val="00B96847"/>
    <w:rsid w:val="00B968C5"/>
    <w:rsid w:val="00B96A0A"/>
    <w:rsid w:val="00B96ABF"/>
    <w:rsid w:val="00B96B33"/>
    <w:rsid w:val="00B96C03"/>
    <w:rsid w:val="00B96D81"/>
    <w:rsid w:val="00B96E7C"/>
    <w:rsid w:val="00B96F64"/>
    <w:rsid w:val="00B96FBC"/>
    <w:rsid w:val="00B96FC6"/>
    <w:rsid w:val="00B97024"/>
    <w:rsid w:val="00B97175"/>
    <w:rsid w:val="00B971D3"/>
    <w:rsid w:val="00B9744E"/>
    <w:rsid w:val="00B9747A"/>
    <w:rsid w:val="00B97495"/>
    <w:rsid w:val="00B975B2"/>
    <w:rsid w:val="00B97612"/>
    <w:rsid w:val="00B97613"/>
    <w:rsid w:val="00B976A4"/>
    <w:rsid w:val="00B97765"/>
    <w:rsid w:val="00B97923"/>
    <w:rsid w:val="00B97A13"/>
    <w:rsid w:val="00B97A6E"/>
    <w:rsid w:val="00B97AFA"/>
    <w:rsid w:val="00B97B52"/>
    <w:rsid w:val="00B97BBD"/>
    <w:rsid w:val="00B97BC2"/>
    <w:rsid w:val="00B97C2C"/>
    <w:rsid w:val="00B97C87"/>
    <w:rsid w:val="00B97CF9"/>
    <w:rsid w:val="00B97E07"/>
    <w:rsid w:val="00B97E35"/>
    <w:rsid w:val="00B97E41"/>
    <w:rsid w:val="00B97FBC"/>
    <w:rsid w:val="00B9E7B2"/>
    <w:rsid w:val="00BA0124"/>
    <w:rsid w:val="00BA01A8"/>
    <w:rsid w:val="00BA01E1"/>
    <w:rsid w:val="00BA0201"/>
    <w:rsid w:val="00BA020A"/>
    <w:rsid w:val="00BA0265"/>
    <w:rsid w:val="00BA0328"/>
    <w:rsid w:val="00BA0444"/>
    <w:rsid w:val="00BA05A7"/>
    <w:rsid w:val="00BA0637"/>
    <w:rsid w:val="00BA06A8"/>
    <w:rsid w:val="00BA0769"/>
    <w:rsid w:val="00BA084A"/>
    <w:rsid w:val="00BA097C"/>
    <w:rsid w:val="00BA09D1"/>
    <w:rsid w:val="00BA0B2C"/>
    <w:rsid w:val="00BA0C18"/>
    <w:rsid w:val="00BA0CEF"/>
    <w:rsid w:val="00BA0DF0"/>
    <w:rsid w:val="00BA0ED2"/>
    <w:rsid w:val="00BA0FB0"/>
    <w:rsid w:val="00BA10A3"/>
    <w:rsid w:val="00BA10C9"/>
    <w:rsid w:val="00BA10F4"/>
    <w:rsid w:val="00BA110C"/>
    <w:rsid w:val="00BA11FD"/>
    <w:rsid w:val="00BA1300"/>
    <w:rsid w:val="00BA13F5"/>
    <w:rsid w:val="00BA1429"/>
    <w:rsid w:val="00BA143B"/>
    <w:rsid w:val="00BA154B"/>
    <w:rsid w:val="00BA157B"/>
    <w:rsid w:val="00BA191C"/>
    <w:rsid w:val="00BA1A68"/>
    <w:rsid w:val="00BA1B8C"/>
    <w:rsid w:val="00BA1CD3"/>
    <w:rsid w:val="00BA1D76"/>
    <w:rsid w:val="00BA1D81"/>
    <w:rsid w:val="00BA1DA8"/>
    <w:rsid w:val="00BA201B"/>
    <w:rsid w:val="00BA20FA"/>
    <w:rsid w:val="00BA2129"/>
    <w:rsid w:val="00BA21D0"/>
    <w:rsid w:val="00BA2391"/>
    <w:rsid w:val="00BA259E"/>
    <w:rsid w:val="00BA25EC"/>
    <w:rsid w:val="00BA2644"/>
    <w:rsid w:val="00BA26E8"/>
    <w:rsid w:val="00BA278A"/>
    <w:rsid w:val="00BA28F0"/>
    <w:rsid w:val="00BA2920"/>
    <w:rsid w:val="00BA29AC"/>
    <w:rsid w:val="00BA29FF"/>
    <w:rsid w:val="00BA2AD7"/>
    <w:rsid w:val="00BA2AE0"/>
    <w:rsid w:val="00BA2B8C"/>
    <w:rsid w:val="00BA2DE0"/>
    <w:rsid w:val="00BA2EE0"/>
    <w:rsid w:val="00BA2F0A"/>
    <w:rsid w:val="00BA2F6D"/>
    <w:rsid w:val="00BA2F78"/>
    <w:rsid w:val="00BA323B"/>
    <w:rsid w:val="00BA32B5"/>
    <w:rsid w:val="00BA3324"/>
    <w:rsid w:val="00BA3514"/>
    <w:rsid w:val="00BA3775"/>
    <w:rsid w:val="00BA3ABD"/>
    <w:rsid w:val="00BA3AF1"/>
    <w:rsid w:val="00BA3B93"/>
    <w:rsid w:val="00BA3C16"/>
    <w:rsid w:val="00BA3E2E"/>
    <w:rsid w:val="00BA3EB8"/>
    <w:rsid w:val="00BA41F2"/>
    <w:rsid w:val="00BA4433"/>
    <w:rsid w:val="00BA4648"/>
    <w:rsid w:val="00BA491E"/>
    <w:rsid w:val="00BA49AF"/>
    <w:rsid w:val="00BA49CC"/>
    <w:rsid w:val="00BA4A54"/>
    <w:rsid w:val="00BA4A56"/>
    <w:rsid w:val="00BA4A76"/>
    <w:rsid w:val="00BA4ABC"/>
    <w:rsid w:val="00BA4B1B"/>
    <w:rsid w:val="00BA4BA2"/>
    <w:rsid w:val="00BA4D11"/>
    <w:rsid w:val="00BA4E1F"/>
    <w:rsid w:val="00BA4EB0"/>
    <w:rsid w:val="00BA4EB9"/>
    <w:rsid w:val="00BA4F90"/>
    <w:rsid w:val="00BA5085"/>
    <w:rsid w:val="00BA5095"/>
    <w:rsid w:val="00BA50A5"/>
    <w:rsid w:val="00BA50E1"/>
    <w:rsid w:val="00BA5142"/>
    <w:rsid w:val="00BA5145"/>
    <w:rsid w:val="00BA526D"/>
    <w:rsid w:val="00BA538F"/>
    <w:rsid w:val="00BA54B3"/>
    <w:rsid w:val="00BA5682"/>
    <w:rsid w:val="00BA5716"/>
    <w:rsid w:val="00BA57E5"/>
    <w:rsid w:val="00BA5821"/>
    <w:rsid w:val="00BA5822"/>
    <w:rsid w:val="00BA585E"/>
    <w:rsid w:val="00BA5884"/>
    <w:rsid w:val="00BA5921"/>
    <w:rsid w:val="00BA59D3"/>
    <w:rsid w:val="00BA5A50"/>
    <w:rsid w:val="00BA5ACC"/>
    <w:rsid w:val="00BA5B60"/>
    <w:rsid w:val="00BA5B67"/>
    <w:rsid w:val="00BA5D25"/>
    <w:rsid w:val="00BA5E13"/>
    <w:rsid w:val="00BA5E48"/>
    <w:rsid w:val="00BA5F60"/>
    <w:rsid w:val="00BA5F71"/>
    <w:rsid w:val="00BA5FE0"/>
    <w:rsid w:val="00BA60CF"/>
    <w:rsid w:val="00BA6175"/>
    <w:rsid w:val="00BA624F"/>
    <w:rsid w:val="00BA62CF"/>
    <w:rsid w:val="00BA62DD"/>
    <w:rsid w:val="00BA6318"/>
    <w:rsid w:val="00BA6348"/>
    <w:rsid w:val="00BA6462"/>
    <w:rsid w:val="00BA648D"/>
    <w:rsid w:val="00BA6523"/>
    <w:rsid w:val="00BA65F4"/>
    <w:rsid w:val="00BA6634"/>
    <w:rsid w:val="00BA6694"/>
    <w:rsid w:val="00BA6751"/>
    <w:rsid w:val="00BA67CC"/>
    <w:rsid w:val="00BA685D"/>
    <w:rsid w:val="00BA6A6D"/>
    <w:rsid w:val="00BA6B7A"/>
    <w:rsid w:val="00BA6C8D"/>
    <w:rsid w:val="00BA6D76"/>
    <w:rsid w:val="00BA6DE3"/>
    <w:rsid w:val="00BA6F9C"/>
    <w:rsid w:val="00BA71AB"/>
    <w:rsid w:val="00BA7212"/>
    <w:rsid w:val="00BA7232"/>
    <w:rsid w:val="00BA7239"/>
    <w:rsid w:val="00BA7243"/>
    <w:rsid w:val="00BA724D"/>
    <w:rsid w:val="00BA72A2"/>
    <w:rsid w:val="00BA73CA"/>
    <w:rsid w:val="00BA7410"/>
    <w:rsid w:val="00BA7468"/>
    <w:rsid w:val="00BA746F"/>
    <w:rsid w:val="00BA74CC"/>
    <w:rsid w:val="00BA750C"/>
    <w:rsid w:val="00BA75AA"/>
    <w:rsid w:val="00BA793E"/>
    <w:rsid w:val="00BA794A"/>
    <w:rsid w:val="00BA798D"/>
    <w:rsid w:val="00BA7A3F"/>
    <w:rsid w:val="00BA7CCB"/>
    <w:rsid w:val="00BA7DF4"/>
    <w:rsid w:val="00BA7EE5"/>
    <w:rsid w:val="00BA7F51"/>
    <w:rsid w:val="00BB0276"/>
    <w:rsid w:val="00BB0281"/>
    <w:rsid w:val="00BB0320"/>
    <w:rsid w:val="00BB0341"/>
    <w:rsid w:val="00BB0444"/>
    <w:rsid w:val="00BB054B"/>
    <w:rsid w:val="00BB0632"/>
    <w:rsid w:val="00BB069F"/>
    <w:rsid w:val="00BB0789"/>
    <w:rsid w:val="00BB07A4"/>
    <w:rsid w:val="00BB0825"/>
    <w:rsid w:val="00BB08F3"/>
    <w:rsid w:val="00BB090B"/>
    <w:rsid w:val="00BB0A34"/>
    <w:rsid w:val="00BB0A44"/>
    <w:rsid w:val="00BB0A67"/>
    <w:rsid w:val="00BB0B9A"/>
    <w:rsid w:val="00BB0C5D"/>
    <w:rsid w:val="00BB0CA3"/>
    <w:rsid w:val="00BB0F2C"/>
    <w:rsid w:val="00BB114C"/>
    <w:rsid w:val="00BB13D4"/>
    <w:rsid w:val="00BB13F6"/>
    <w:rsid w:val="00BB1419"/>
    <w:rsid w:val="00BB1498"/>
    <w:rsid w:val="00BB161C"/>
    <w:rsid w:val="00BB16F4"/>
    <w:rsid w:val="00BB16F5"/>
    <w:rsid w:val="00BB176B"/>
    <w:rsid w:val="00BB190A"/>
    <w:rsid w:val="00BB1932"/>
    <w:rsid w:val="00BB19A6"/>
    <w:rsid w:val="00BB1AC6"/>
    <w:rsid w:val="00BB1BBE"/>
    <w:rsid w:val="00BB1D5D"/>
    <w:rsid w:val="00BB1D83"/>
    <w:rsid w:val="00BB1DE4"/>
    <w:rsid w:val="00BB1E10"/>
    <w:rsid w:val="00BB1FAD"/>
    <w:rsid w:val="00BB20B2"/>
    <w:rsid w:val="00BB20DD"/>
    <w:rsid w:val="00BB20E3"/>
    <w:rsid w:val="00BB2122"/>
    <w:rsid w:val="00BB216A"/>
    <w:rsid w:val="00BB2189"/>
    <w:rsid w:val="00BB21C8"/>
    <w:rsid w:val="00BB21FF"/>
    <w:rsid w:val="00BB2294"/>
    <w:rsid w:val="00BB23D4"/>
    <w:rsid w:val="00BB2534"/>
    <w:rsid w:val="00BB25D5"/>
    <w:rsid w:val="00BB2657"/>
    <w:rsid w:val="00BB2847"/>
    <w:rsid w:val="00BB2855"/>
    <w:rsid w:val="00BB2916"/>
    <w:rsid w:val="00BB29F8"/>
    <w:rsid w:val="00BB2A6F"/>
    <w:rsid w:val="00BB2A96"/>
    <w:rsid w:val="00BB2BB2"/>
    <w:rsid w:val="00BB2D46"/>
    <w:rsid w:val="00BB2EF8"/>
    <w:rsid w:val="00BB2F62"/>
    <w:rsid w:val="00BB2F97"/>
    <w:rsid w:val="00BB3092"/>
    <w:rsid w:val="00BB316A"/>
    <w:rsid w:val="00BB31D5"/>
    <w:rsid w:val="00BB3215"/>
    <w:rsid w:val="00BB323D"/>
    <w:rsid w:val="00BB3300"/>
    <w:rsid w:val="00BB330A"/>
    <w:rsid w:val="00BB339C"/>
    <w:rsid w:val="00BB34F3"/>
    <w:rsid w:val="00BB35CF"/>
    <w:rsid w:val="00BB35F3"/>
    <w:rsid w:val="00BB35F9"/>
    <w:rsid w:val="00BB3622"/>
    <w:rsid w:val="00BB3740"/>
    <w:rsid w:val="00BB379E"/>
    <w:rsid w:val="00BB38A7"/>
    <w:rsid w:val="00BB3987"/>
    <w:rsid w:val="00BB3A30"/>
    <w:rsid w:val="00BB3BBF"/>
    <w:rsid w:val="00BB3BC8"/>
    <w:rsid w:val="00BB3C74"/>
    <w:rsid w:val="00BB3D0F"/>
    <w:rsid w:val="00BB3D3B"/>
    <w:rsid w:val="00BB3E20"/>
    <w:rsid w:val="00BB3EEE"/>
    <w:rsid w:val="00BB3F39"/>
    <w:rsid w:val="00BB3F91"/>
    <w:rsid w:val="00BB4146"/>
    <w:rsid w:val="00BB4319"/>
    <w:rsid w:val="00BB4350"/>
    <w:rsid w:val="00BB4666"/>
    <w:rsid w:val="00BB467E"/>
    <w:rsid w:val="00BB46BE"/>
    <w:rsid w:val="00BB47B7"/>
    <w:rsid w:val="00BB4802"/>
    <w:rsid w:val="00BB482C"/>
    <w:rsid w:val="00BB4950"/>
    <w:rsid w:val="00BB49F8"/>
    <w:rsid w:val="00BB4B2E"/>
    <w:rsid w:val="00BB4B5E"/>
    <w:rsid w:val="00BB4C22"/>
    <w:rsid w:val="00BB4CAC"/>
    <w:rsid w:val="00BB4D4C"/>
    <w:rsid w:val="00BB4DD9"/>
    <w:rsid w:val="00BB4E72"/>
    <w:rsid w:val="00BB4E98"/>
    <w:rsid w:val="00BB4E9D"/>
    <w:rsid w:val="00BB4F29"/>
    <w:rsid w:val="00BB4FD0"/>
    <w:rsid w:val="00BB4FE3"/>
    <w:rsid w:val="00BB501D"/>
    <w:rsid w:val="00BB5084"/>
    <w:rsid w:val="00BB508C"/>
    <w:rsid w:val="00BB514A"/>
    <w:rsid w:val="00BB52A9"/>
    <w:rsid w:val="00BB5360"/>
    <w:rsid w:val="00BB53CC"/>
    <w:rsid w:val="00BB540E"/>
    <w:rsid w:val="00BB5449"/>
    <w:rsid w:val="00BB553B"/>
    <w:rsid w:val="00BB55D8"/>
    <w:rsid w:val="00BB55EE"/>
    <w:rsid w:val="00BB574B"/>
    <w:rsid w:val="00BB587C"/>
    <w:rsid w:val="00BB58DE"/>
    <w:rsid w:val="00BB599B"/>
    <w:rsid w:val="00BB5B4B"/>
    <w:rsid w:val="00BB5B4C"/>
    <w:rsid w:val="00BB5BDC"/>
    <w:rsid w:val="00BB5C4A"/>
    <w:rsid w:val="00BB5C84"/>
    <w:rsid w:val="00BB5C99"/>
    <w:rsid w:val="00BB5D41"/>
    <w:rsid w:val="00BB5E72"/>
    <w:rsid w:val="00BB5E8D"/>
    <w:rsid w:val="00BB5F0D"/>
    <w:rsid w:val="00BB5F37"/>
    <w:rsid w:val="00BB5F96"/>
    <w:rsid w:val="00BB5F9E"/>
    <w:rsid w:val="00BB607A"/>
    <w:rsid w:val="00BB607C"/>
    <w:rsid w:val="00BB60C6"/>
    <w:rsid w:val="00BB60E7"/>
    <w:rsid w:val="00BB6125"/>
    <w:rsid w:val="00BB61EA"/>
    <w:rsid w:val="00BB6218"/>
    <w:rsid w:val="00BB6276"/>
    <w:rsid w:val="00BB64FF"/>
    <w:rsid w:val="00BB6538"/>
    <w:rsid w:val="00BB672C"/>
    <w:rsid w:val="00BB67BD"/>
    <w:rsid w:val="00BB6915"/>
    <w:rsid w:val="00BB6932"/>
    <w:rsid w:val="00BB694D"/>
    <w:rsid w:val="00BB6988"/>
    <w:rsid w:val="00BB6A8A"/>
    <w:rsid w:val="00BB6C65"/>
    <w:rsid w:val="00BB6D22"/>
    <w:rsid w:val="00BB6E23"/>
    <w:rsid w:val="00BB6F14"/>
    <w:rsid w:val="00BB6FB4"/>
    <w:rsid w:val="00BB7049"/>
    <w:rsid w:val="00BB7120"/>
    <w:rsid w:val="00BB7125"/>
    <w:rsid w:val="00BB7209"/>
    <w:rsid w:val="00BB722C"/>
    <w:rsid w:val="00BB7247"/>
    <w:rsid w:val="00BB7313"/>
    <w:rsid w:val="00BB734D"/>
    <w:rsid w:val="00BB73E3"/>
    <w:rsid w:val="00BB7450"/>
    <w:rsid w:val="00BB745B"/>
    <w:rsid w:val="00BB75BA"/>
    <w:rsid w:val="00BB7614"/>
    <w:rsid w:val="00BB769C"/>
    <w:rsid w:val="00BB76D9"/>
    <w:rsid w:val="00BB7715"/>
    <w:rsid w:val="00BB77BF"/>
    <w:rsid w:val="00BB7832"/>
    <w:rsid w:val="00BB78A0"/>
    <w:rsid w:val="00BB78E4"/>
    <w:rsid w:val="00BB79BE"/>
    <w:rsid w:val="00BB79F4"/>
    <w:rsid w:val="00BB7A49"/>
    <w:rsid w:val="00BB7A90"/>
    <w:rsid w:val="00BB7AFD"/>
    <w:rsid w:val="00BB7BEB"/>
    <w:rsid w:val="00BB7C22"/>
    <w:rsid w:val="00BB7C27"/>
    <w:rsid w:val="00BB7C46"/>
    <w:rsid w:val="00BB7C4F"/>
    <w:rsid w:val="00BB7CB7"/>
    <w:rsid w:val="00BB7CD0"/>
    <w:rsid w:val="00BB7F50"/>
    <w:rsid w:val="00BC0153"/>
    <w:rsid w:val="00BC0180"/>
    <w:rsid w:val="00BC0181"/>
    <w:rsid w:val="00BC028A"/>
    <w:rsid w:val="00BC034D"/>
    <w:rsid w:val="00BC03AA"/>
    <w:rsid w:val="00BC062D"/>
    <w:rsid w:val="00BC0641"/>
    <w:rsid w:val="00BC067E"/>
    <w:rsid w:val="00BC0839"/>
    <w:rsid w:val="00BC0851"/>
    <w:rsid w:val="00BC08E9"/>
    <w:rsid w:val="00BC0A33"/>
    <w:rsid w:val="00BC0B5A"/>
    <w:rsid w:val="00BC0C42"/>
    <w:rsid w:val="00BC0E63"/>
    <w:rsid w:val="00BC0E6D"/>
    <w:rsid w:val="00BC0E6E"/>
    <w:rsid w:val="00BC0F2E"/>
    <w:rsid w:val="00BC103B"/>
    <w:rsid w:val="00BC109D"/>
    <w:rsid w:val="00BC1113"/>
    <w:rsid w:val="00BC11C5"/>
    <w:rsid w:val="00BC11E2"/>
    <w:rsid w:val="00BC12A1"/>
    <w:rsid w:val="00BC12AD"/>
    <w:rsid w:val="00BC160A"/>
    <w:rsid w:val="00BC161F"/>
    <w:rsid w:val="00BC1640"/>
    <w:rsid w:val="00BC1661"/>
    <w:rsid w:val="00BC17A5"/>
    <w:rsid w:val="00BC17F1"/>
    <w:rsid w:val="00BC189A"/>
    <w:rsid w:val="00BC19AD"/>
    <w:rsid w:val="00BC19E2"/>
    <w:rsid w:val="00BC1AFE"/>
    <w:rsid w:val="00BC1B38"/>
    <w:rsid w:val="00BC1BAA"/>
    <w:rsid w:val="00BC1BD7"/>
    <w:rsid w:val="00BC1CA3"/>
    <w:rsid w:val="00BC1D0D"/>
    <w:rsid w:val="00BC1E0E"/>
    <w:rsid w:val="00BC1ED7"/>
    <w:rsid w:val="00BC1F28"/>
    <w:rsid w:val="00BC1F87"/>
    <w:rsid w:val="00BC2220"/>
    <w:rsid w:val="00BC2342"/>
    <w:rsid w:val="00BC23DC"/>
    <w:rsid w:val="00BC2418"/>
    <w:rsid w:val="00BC25BE"/>
    <w:rsid w:val="00BC262F"/>
    <w:rsid w:val="00BC2690"/>
    <w:rsid w:val="00BC26AC"/>
    <w:rsid w:val="00BC285B"/>
    <w:rsid w:val="00BC2884"/>
    <w:rsid w:val="00BC2888"/>
    <w:rsid w:val="00BC28BE"/>
    <w:rsid w:val="00BC290C"/>
    <w:rsid w:val="00BC29AC"/>
    <w:rsid w:val="00BC2A78"/>
    <w:rsid w:val="00BC2AB5"/>
    <w:rsid w:val="00BC2D0A"/>
    <w:rsid w:val="00BC2EB8"/>
    <w:rsid w:val="00BC32C8"/>
    <w:rsid w:val="00BC33E2"/>
    <w:rsid w:val="00BC34DC"/>
    <w:rsid w:val="00BC34EF"/>
    <w:rsid w:val="00BC35CD"/>
    <w:rsid w:val="00BC373D"/>
    <w:rsid w:val="00BC3779"/>
    <w:rsid w:val="00BC3896"/>
    <w:rsid w:val="00BC38BC"/>
    <w:rsid w:val="00BC3A5E"/>
    <w:rsid w:val="00BC3C27"/>
    <w:rsid w:val="00BC3C28"/>
    <w:rsid w:val="00BC3C90"/>
    <w:rsid w:val="00BC3CF9"/>
    <w:rsid w:val="00BC3D1B"/>
    <w:rsid w:val="00BC3E1C"/>
    <w:rsid w:val="00BC3ECD"/>
    <w:rsid w:val="00BC4044"/>
    <w:rsid w:val="00BC40BD"/>
    <w:rsid w:val="00BC411F"/>
    <w:rsid w:val="00BC414E"/>
    <w:rsid w:val="00BC416E"/>
    <w:rsid w:val="00BC41B3"/>
    <w:rsid w:val="00BC4347"/>
    <w:rsid w:val="00BC43BE"/>
    <w:rsid w:val="00BC43CA"/>
    <w:rsid w:val="00BC4418"/>
    <w:rsid w:val="00BC442A"/>
    <w:rsid w:val="00BC4460"/>
    <w:rsid w:val="00BC4532"/>
    <w:rsid w:val="00BC4542"/>
    <w:rsid w:val="00BC455F"/>
    <w:rsid w:val="00BC4627"/>
    <w:rsid w:val="00BC463F"/>
    <w:rsid w:val="00BC464D"/>
    <w:rsid w:val="00BC4678"/>
    <w:rsid w:val="00BC46B9"/>
    <w:rsid w:val="00BC4BE8"/>
    <w:rsid w:val="00BC4C57"/>
    <w:rsid w:val="00BC4C59"/>
    <w:rsid w:val="00BC4E20"/>
    <w:rsid w:val="00BC4E2B"/>
    <w:rsid w:val="00BC4E39"/>
    <w:rsid w:val="00BC4E85"/>
    <w:rsid w:val="00BC4F7B"/>
    <w:rsid w:val="00BC4FBE"/>
    <w:rsid w:val="00BC5038"/>
    <w:rsid w:val="00BC512A"/>
    <w:rsid w:val="00BC5162"/>
    <w:rsid w:val="00BC53F0"/>
    <w:rsid w:val="00BC5435"/>
    <w:rsid w:val="00BC5479"/>
    <w:rsid w:val="00BC54EF"/>
    <w:rsid w:val="00BC56AB"/>
    <w:rsid w:val="00BC571A"/>
    <w:rsid w:val="00BC592C"/>
    <w:rsid w:val="00BC59EF"/>
    <w:rsid w:val="00BC59FD"/>
    <w:rsid w:val="00BC5A25"/>
    <w:rsid w:val="00BC5AFB"/>
    <w:rsid w:val="00BC5BEE"/>
    <w:rsid w:val="00BC5CF3"/>
    <w:rsid w:val="00BC5D37"/>
    <w:rsid w:val="00BC5D56"/>
    <w:rsid w:val="00BC5DDD"/>
    <w:rsid w:val="00BC5DE8"/>
    <w:rsid w:val="00BC5F06"/>
    <w:rsid w:val="00BC5F39"/>
    <w:rsid w:val="00BC6024"/>
    <w:rsid w:val="00BC6178"/>
    <w:rsid w:val="00BC64D2"/>
    <w:rsid w:val="00BC6525"/>
    <w:rsid w:val="00BC6650"/>
    <w:rsid w:val="00BC665D"/>
    <w:rsid w:val="00BC668B"/>
    <w:rsid w:val="00BC684F"/>
    <w:rsid w:val="00BC6859"/>
    <w:rsid w:val="00BC68AD"/>
    <w:rsid w:val="00BC68C0"/>
    <w:rsid w:val="00BC6913"/>
    <w:rsid w:val="00BC6B01"/>
    <w:rsid w:val="00BC6C73"/>
    <w:rsid w:val="00BC6CF4"/>
    <w:rsid w:val="00BC6D6A"/>
    <w:rsid w:val="00BC6DCB"/>
    <w:rsid w:val="00BC6DE7"/>
    <w:rsid w:val="00BC6F3D"/>
    <w:rsid w:val="00BC70D0"/>
    <w:rsid w:val="00BC7115"/>
    <w:rsid w:val="00BC73F7"/>
    <w:rsid w:val="00BC7490"/>
    <w:rsid w:val="00BC75ED"/>
    <w:rsid w:val="00BC7600"/>
    <w:rsid w:val="00BC76D9"/>
    <w:rsid w:val="00BC76DF"/>
    <w:rsid w:val="00BC77EC"/>
    <w:rsid w:val="00BC783D"/>
    <w:rsid w:val="00BC793F"/>
    <w:rsid w:val="00BC79D3"/>
    <w:rsid w:val="00BC79D5"/>
    <w:rsid w:val="00BC7A3C"/>
    <w:rsid w:val="00BC7A81"/>
    <w:rsid w:val="00BC7B4A"/>
    <w:rsid w:val="00BC7D0F"/>
    <w:rsid w:val="00BC7D13"/>
    <w:rsid w:val="00BC7D61"/>
    <w:rsid w:val="00BC7D92"/>
    <w:rsid w:val="00BC7DC7"/>
    <w:rsid w:val="00BC7E15"/>
    <w:rsid w:val="00BC7EB5"/>
    <w:rsid w:val="00BC7F03"/>
    <w:rsid w:val="00BC7FD4"/>
    <w:rsid w:val="00BD0001"/>
    <w:rsid w:val="00BD004C"/>
    <w:rsid w:val="00BD00E7"/>
    <w:rsid w:val="00BD00F5"/>
    <w:rsid w:val="00BD0146"/>
    <w:rsid w:val="00BD0211"/>
    <w:rsid w:val="00BD0319"/>
    <w:rsid w:val="00BD0324"/>
    <w:rsid w:val="00BD034E"/>
    <w:rsid w:val="00BD03D8"/>
    <w:rsid w:val="00BD04AC"/>
    <w:rsid w:val="00BD060B"/>
    <w:rsid w:val="00BD062C"/>
    <w:rsid w:val="00BD0685"/>
    <w:rsid w:val="00BD06CC"/>
    <w:rsid w:val="00BD088C"/>
    <w:rsid w:val="00BD0A40"/>
    <w:rsid w:val="00BD0ADF"/>
    <w:rsid w:val="00BD0BF4"/>
    <w:rsid w:val="00BD0D42"/>
    <w:rsid w:val="00BD0D89"/>
    <w:rsid w:val="00BD0DE3"/>
    <w:rsid w:val="00BD0E49"/>
    <w:rsid w:val="00BD0E6A"/>
    <w:rsid w:val="00BD1066"/>
    <w:rsid w:val="00BD13A1"/>
    <w:rsid w:val="00BD13A4"/>
    <w:rsid w:val="00BD148E"/>
    <w:rsid w:val="00BD14C2"/>
    <w:rsid w:val="00BD15D6"/>
    <w:rsid w:val="00BD1651"/>
    <w:rsid w:val="00BD165E"/>
    <w:rsid w:val="00BD16E3"/>
    <w:rsid w:val="00BD16EC"/>
    <w:rsid w:val="00BD1B93"/>
    <w:rsid w:val="00BD1C38"/>
    <w:rsid w:val="00BD1C5E"/>
    <w:rsid w:val="00BD1C72"/>
    <w:rsid w:val="00BD1D72"/>
    <w:rsid w:val="00BD1D92"/>
    <w:rsid w:val="00BD1DD5"/>
    <w:rsid w:val="00BD1E08"/>
    <w:rsid w:val="00BD2076"/>
    <w:rsid w:val="00BD208B"/>
    <w:rsid w:val="00BD2183"/>
    <w:rsid w:val="00BD2218"/>
    <w:rsid w:val="00BD2237"/>
    <w:rsid w:val="00BD22EA"/>
    <w:rsid w:val="00BD23C6"/>
    <w:rsid w:val="00BD2488"/>
    <w:rsid w:val="00BD258B"/>
    <w:rsid w:val="00BD259F"/>
    <w:rsid w:val="00BD25ED"/>
    <w:rsid w:val="00BD261C"/>
    <w:rsid w:val="00BD2664"/>
    <w:rsid w:val="00BD268F"/>
    <w:rsid w:val="00BD2764"/>
    <w:rsid w:val="00BD277F"/>
    <w:rsid w:val="00BD2790"/>
    <w:rsid w:val="00BD27C8"/>
    <w:rsid w:val="00BD2880"/>
    <w:rsid w:val="00BD28A9"/>
    <w:rsid w:val="00BD290F"/>
    <w:rsid w:val="00BD2924"/>
    <w:rsid w:val="00BD29DD"/>
    <w:rsid w:val="00BD2B0B"/>
    <w:rsid w:val="00BD2DD9"/>
    <w:rsid w:val="00BD2E5B"/>
    <w:rsid w:val="00BD3174"/>
    <w:rsid w:val="00BD31B8"/>
    <w:rsid w:val="00BD320F"/>
    <w:rsid w:val="00BD3330"/>
    <w:rsid w:val="00BD336E"/>
    <w:rsid w:val="00BD33B7"/>
    <w:rsid w:val="00BD33D7"/>
    <w:rsid w:val="00BD3414"/>
    <w:rsid w:val="00BD34AF"/>
    <w:rsid w:val="00BD34D4"/>
    <w:rsid w:val="00BD34E5"/>
    <w:rsid w:val="00BD368A"/>
    <w:rsid w:val="00BD373A"/>
    <w:rsid w:val="00BD374D"/>
    <w:rsid w:val="00BD37CB"/>
    <w:rsid w:val="00BD380B"/>
    <w:rsid w:val="00BD3818"/>
    <w:rsid w:val="00BD3853"/>
    <w:rsid w:val="00BD3874"/>
    <w:rsid w:val="00BD38A9"/>
    <w:rsid w:val="00BD38B2"/>
    <w:rsid w:val="00BD38C3"/>
    <w:rsid w:val="00BD39D0"/>
    <w:rsid w:val="00BD3A3E"/>
    <w:rsid w:val="00BD3A5B"/>
    <w:rsid w:val="00BD3A96"/>
    <w:rsid w:val="00BD3AE1"/>
    <w:rsid w:val="00BD3AF1"/>
    <w:rsid w:val="00BD3BAF"/>
    <w:rsid w:val="00BD3BE6"/>
    <w:rsid w:val="00BD3C31"/>
    <w:rsid w:val="00BD3C97"/>
    <w:rsid w:val="00BD3CBC"/>
    <w:rsid w:val="00BD3E40"/>
    <w:rsid w:val="00BD3E4E"/>
    <w:rsid w:val="00BD3EC0"/>
    <w:rsid w:val="00BD3F1C"/>
    <w:rsid w:val="00BD3FD4"/>
    <w:rsid w:val="00BD3FDE"/>
    <w:rsid w:val="00BD40C9"/>
    <w:rsid w:val="00BD4107"/>
    <w:rsid w:val="00BD421A"/>
    <w:rsid w:val="00BD4248"/>
    <w:rsid w:val="00BD42AF"/>
    <w:rsid w:val="00BD43A5"/>
    <w:rsid w:val="00BD44B2"/>
    <w:rsid w:val="00BD4708"/>
    <w:rsid w:val="00BD4711"/>
    <w:rsid w:val="00BD4737"/>
    <w:rsid w:val="00BD489E"/>
    <w:rsid w:val="00BD4922"/>
    <w:rsid w:val="00BD49B4"/>
    <w:rsid w:val="00BD4A01"/>
    <w:rsid w:val="00BD4A22"/>
    <w:rsid w:val="00BD4A58"/>
    <w:rsid w:val="00BD4AF6"/>
    <w:rsid w:val="00BD4B51"/>
    <w:rsid w:val="00BD4CBB"/>
    <w:rsid w:val="00BD4DE7"/>
    <w:rsid w:val="00BD4E2F"/>
    <w:rsid w:val="00BD4EFB"/>
    <w:rsid w:val="00BD4F00"/>
    <w:rsid w:val="00BD514C"/>
    <w:rsid w:val="00BD51EA"/>
    <w:rsid w:val="00BD521C"/>
    <w:rsid w:val="00BD5233"/>
    <w:rsid w:val="00BD539D"/>
    <w:rsid w:val="00BD5401"/>
    <w:rsid w:val="00BD543D"/>
    <w:rsid w:val="00BD558A"/>
    <w:rsid w:val="00BD564F"/>
    <w:rsid w:val="00BD5706"/>
    <w:rsid w:val="00BD586C"/>
    <w:rsid w:val="00BD58F5"/>
    <w:rsid w:val="00BD591A"/>
    <w:rsid w:val="00BD59D0"/>
    <w:rsid w:val="00BD5AED"/>
    <w:rsid w:val="00BD5B08"/>
    <w:rsid w:val="00BD5B5D"/>
    <w:rsid w:val="00BD5BCE"/>
    <w:rsid w:val="00BD5C25"/>
    <w:rsid w:val="00BD5C2D"/>
    <w:rsid w:val="00BD5C4E"/>
    <w:rsid w:val="00BD5C59"/>
    <w:rsid w:val="00BD5C6A"/>
    <w:rsid w:val="00BD5C94"/>
    <w:rsid w:val="00BD5CBF"/>
    <w:rsid w:val="00BD5DA0"/>
    <w:rsid w:val="00BD5E18"/>
    <w:rsid w:val="00BD5EB1"/>
    <w:rsid w:val="00BD5F54"/>
    <w:rsid w:val="00BD6086"/>
    <w:rsid w:val="00BD6465"/>
    <w:rsid w:val="00BD6483"/>
    <w:rsid w:val="00BD65D6"/>
    <w:rsid w:val="00BD6617"/>
    <w:rsid w:val="00BD685B"/>
    <w:rsid w:val="00BD6945"/>
    <w:rsid w:val="00BD69A6"/>
    <w:rsid w:val="00BD6B23"/>
    <w:rsid w:val="00BD6B50"/>
    <w:rsid w:val="00BD6D78"/>
    <w:rsid w:val="00BD6E2F"/>
    <w:rsid w:val="00BD6E6A"/>
    <w:rsid w:val="00BD6E85"/>
    <w:rsid w:val="00BD6F41"/>
    <w:rsid w:val="00BD6FFF"/>
    <w:rsid w:val="00BD7381"/>
    <w:rsid w:val="00BD7405"/>
    <w:rsid w:val="00BD748D"/>
    <w:rsid w:val="00BD7584"/>
    <w:rsid w:val="00BD75A6"/>
    <w:rsid w:val="00BD76BA"/>
    <w:rsid w:val="00BD7784"/>
    <w:rsid w:val="00BD780D"/>
    <w:rsid w:val="00BD7843"/>
    <w:rsid w:val="00BD79C2"/>
    <w:rsid w:val="00BD79C3"/>
    <w:rsid w:val="00BD7AC5"/>
    <w:rsid w:val="00BD7B00"/>
    <w:rsid w:val="00BD7BC3"/>
    <w:rsid w:val="00BD7C4D"/>
    <w:rsid w:val="00BD7C70"/>
    <w:rsid w:val="00BD7C81"/>
    <w:rsid w:val="00BD7D20"/>
    <w:rsid w:val="00BD7D28"/>
    <w:rsid w:val="00BD7E16"/>
    <w:rsid w:val="00BD7E42"/>
    <w:rsid w:val="00BE00DB"/>
    <w:rsid w:val="00BE0134"/>
    <w:rsid w:val="00BE0165"/>
    <w:rsid w:val="00BE0184"/>
    <w:rsid w:val="00BE0221"/>
    <w:rsid w:val="00BE02EB"/>
    <w:rsid w:val="00BE035E"/>
    <w:rsid w:val="00BE048A"/>
    <w:rsid w:val="00BE06FC"/>
    <w:rsid w:val="00BE07BF"/>
    <w:rsid w:val="00BE0870"/>
    <w:rsid w:val="00BE091C"/>
    <w:rsid w:val="00BE0AC3"/>
    <w:rsid w:val="00BE0AE9"/>
    <w:rsid w:val="00BE0B0D"/>
    <w:rsid w:val="00BE0C2F"/>
    <w:rsid w:val="00BE0F68"/>
    <w:rsid w:val="00BE1020"/>
    <w:rsid w:val="00BE106A"/>
    <w:rsid w:val="00BE10A2"/>
    <w:rsid w:val="00BE1140"/>
    <w:rsid w:val="00BE116E"/>
    <w:rsid w:val="00BE1353"/>
    <w:rsid w:val="00BE1449"/>
    <w:rsid w:val="00BE15B1"/>
    <w:rsid w:val="00BE167E"/>
    <w:rsid w:val="00BE1756"/>
    <w:rsid w:val="00BE1834"/>
    <w:rsid w:val="00BE190B"/>
    <w:rsid w:val="00BE1A32"/>
    <w:rsid w:val="00BE1AEF"/>
    <w:rsid w:val="00BE1B17"/>
    <w:rsid w:val="00BE1B8C"/>
    <w:rsid w:val="00BE1DD3"/>
    <w:rsid w:val="00BE1DD4"/>
    <w:rsid w:val="00BE1DEA"/>
    <w:rsid w:val="00BE1E6E"/>
    <w:rsid w:val="00BE1EE7"/>
    <w:rsid w:val="00BE1F64"/>
    <w:rsid w:val="00BE20C2"/>
    <w:rsid w:val="00BE2362"/>
    <w:rsid w:val="00BE2380"/>
    <w:rsid w:val="00BE23A0"/>
    <w:rsid w:val="00BE23FE"/>
    <w:rsid w:val="00BE2411"/>
    <w:rsid w:val="00BE2450"/>
    <w:rsid w:val="00BE248D"/>
    <w:rsid w:val="00BE2550"/>
    <w:rsid w:val="00BE25A3"/>
    <w:rsid w:val="00BE2664"/>
    <w:rsid w:val="00BE274F"/>
    <w:rsid w:val="00BE2813"/>
    <w:rsid w:val="00BE2857"/>
    <w:rsid w:val="00BE287B"/>
    <w:rsid w:val="00BE2937"/>
    <w:rsid w:val="00BE294A"/>
    <w:rsid w:val="00BE2A3A"/>
    <w:rsid w:val="00BE2B48"/>
    <w:rsid w:val="00BE2BCC"/>
    <w:rsid w:val="00BE2C10"/>
    <w:rsid w:val="00BE2C9E"/>
    <w:rsid w:val="00BE2CFE"/>
    <w:rsid w:val="00BE2DE0"/>
    <w:rsid w:val="00BE2E68"/>
    <w:rsid w:val="00BE3006"/>
    <w:rsid w:val="00BE311F"/>
    <w:rsid w:val="00BE3177"/>
    <w:rsid w:val="00BE323F"/>
    <w:rsid w:val="00BE3477"/>
    <w:rsid w:val="00BE34C9"/>
    <w:rsid w:val="00BE3518"/>
    <w:rsid w:val="00BE36C4"/>
    <w:rsid w:val="00BE36E7"/>
    <w:rsid w:val="00BE373B"/>
    <w:rsid w:val="00BE374A"/>
    <w:rsid w:val="00BE3770"/>
    <w:rsid w:val="00BE3802"/>
    <w:rsid w:val="00BE38C7"/>
    <w:rsid w:val="00BE394C"/>
    <w:rsid w:val="00BE39BE"/>
    <w:rsid w:val="00BE39F4"/>
    <w:rsid w:val="00BE3B07"/>
    <w:rsid w:val="00BE3B2B"/>
    <w:rsid w:val="00BE3B59"/>
    <w:rsid w:val="00BE3BC2"/>
    <w:rsid w:val="00BE3C45"/>
    <w:rsid w:val="00BE3C65"/>
    <w:rsid w:val="00BE3CEA"/>
    <w:rsid w:val="00BE3DAA"/>
    <w:rsid w:val="00BE3FEE"/>
    <w:rsid w:val="00BE406A"/>
    <w:rsid w:val="00BE408C"/>
    <w:rsid w:val="00BE4154"/>
    <w:rsid w:val="00BE41F2"/>
    <w:rsid w:val="00BE421B"/>
    <w:rsid w:val="00BE4319"/>
    <w:rsid w:val="00BE4473"/>
    <w:rsid w:val="00BE4480"/>
    <w:rsid w:val="00BE462C"/>
    <w:rsid w:val="00BE468A"/>
    <w:rsid w:val="00BE4738"/>
    <w:rsid w:val="00BE4746"/>
    <w:rsid w:val="00BE47F7"/>
    <w:rsid w:val="00BE4932"/>
    <w:rsid w:val="00BE49D8"/>
    <w:rsid w:val="00BE4A3E"/>
    <w:rsid w:val="00BE4AF7"/>
    <w:rsid w:val="00BE4B26"/>
    <w:rsid w:val="00BE4B6C"/>
    <w:rsid w:val="00BE4B71"/>
    <w:rsid w:val="00BE4B9C"/>
    <w:rsid w:val="00BE4BBE"/>
    <w:rsid w:val="00BE4BF2"/>
    <w:rsid w:val="00BE4C03"/>
    <w:rsid w:val="00BE4C25"/>
    <w:rsid w:val="00BE4D4F"/>
    <w:rsid w:val="00BE4D82"/>
    <w:rsid w:val="00BE4DDF"/>
    <w:rsid w:val="00BE4E49"/>
    <w:rsid w:val="00BE4E4B"/>
    <w:rsid w:val="00BE4EC4"/>
    <w:rsid w:val="00BE4EF2"/>
    <w:rsid w:val="00BE4F00"/>
    <w:rsid w:val="00BE4FF8"/>
    <w:rsid w:val="00BE5029"/>
    <w:rsid w:val="00BE5050"/>
    <w:rsid w:val="00BE5225"/>
    <w:rsid w:val="00BE5296"/>
    <w:rsid w:val="00BE53FF"/>
    <w:rsid w:val="00BE5471"/>
    <w:rsid w:val="00BE54A1"/>
    <w:rsid w:val="00BE54D2"/>
    <w:rsid w:val="00BE5510"/>
    <w:rsid w:val="00BE55BD"/>
    <w:rsid w:val="00BE57D1"/>
    <w:rsid w:val="00BE581A"/>
    <w:rsid w:val="00BE582D"/>
    <w:rsid w:val="00BE5842"/>
    <w:rsid w:val="00BE5860"/>
    <w:rsid w:val="00BE58CE"/>
    <w:rsid w:val="00BE590F"/>
    <w:rsid w:val="00BE597B"/>
    <w:rsid w:val="00BE5B7D"/>
    <w:rsid w:val="00BE5C2E"/>
    <w:rsid w:val="00BE5C89"/>
    <w:rsid w:val="00BE5C9D"/>
    <w:rsid w:val="00BE5CFF"/>
    <w:rsid w:val="00BE5D3A"/>
    <w:rsid w:val="00BE5E55"/>
    <w:rsid w:val="00BE600D"/>
    <w:rsid w:val="00BE6035"/>
    <w:rsid w:val="00BE60B0"/>
    <w:rsid w:val="00BE615D"/>
    <w:rsid w:val="00BE629B"/>
    <w:rsid w:val="00BE62E8"/>
    <w:rsid w:val="00BE6453"/>
    <w:rsid w:val="00BE64D1"/>
    <w:rsid w:val="00BE652E"/>
    <w:rsid w:val="00BE6545"/>
    <w:rsid w:val="00BE6562"/>
    <w:rsid w:val="00BE657D"/>
    <w:rsid w:val="00BE6699"/>
    <w:rsid w:val="00BE6857"/>
    <w:rsid w:val="00BE68D3"/>
    <w:rsid w:val="00BE6AF3"/>
    <w:rsid w:val="00BE6B21"/>
    <w:rsid w:val="00BE6B5E"/>
    <w:rsid w:val="00BE6B63"/>
    <w:rsid w:val="00BE6DEB"/>
    <w:rsid w:val="00BE6E2D"/>
    <w:rsid w:val="00BE6F31"/>
    <w:rsid w:val="00BE6F53"/>
    <w:rsid w:val="00BE70E8"/>
    <w:rsid w:val="00BE71FD"/>
    <w:rsid w:val="00BE720E"/>
    <w:rsid w:val="00BE7252"/>
    <w:rsid w:val="00BE7256"/>
    <w:rsid w:val="00BE72C4"/>
    <w:rsid w:val="00BE7383"/>
    <w:rsid w:val="00BE748D"/>
    <w:rsid w:val="00BE7491"/>
    <w:rsid w:val="00BE7589"/>
    <w:rsid w:val="00BE75DA"/>
    <w:rsid w:val="00BE7638"/>
    <w:rsid w:val="00BE7956"/>
    <w:rsid w:val="00BE79FE"/>
    <w:rsid w:val="00BE7D35"/>
    <w:rsid w:val="00BE7D3C"/>
    <w:rsid w:val="00BE7D78"/>
    <w:rsid w:val="00BE7E29"/>
    <w:rsid w:val="00BE7EB7"/>
    <w:rsid w:val="00BE7F88"/>
    <w:rsid w:val="00BE7FB9"/>
    <w:rsid w:val="00BF009C"/>
    <w:rsid w:val="00BF00C7"/>
    <w:rsid w:val="00BF018E"/>
    <w:rsid w:val="00BF01B0"/>
    <w:rsid w:val="00BF02BA"/>
    <w:rsid w:val="00BF02CC"/>
    <w:rsid w:val="00BF02FC"/>
    <w:rsid w:val="00BF03F4"/>
    <w:rsid w:val="00BF064F"/>
    <w:rsid w:val="00BF0727"/>
    <w:rsid w:val="00BF072A"/>
    <w:rsid w:val="00BF0740"/>
    <w:rsid w:val="00BF08B2"/>
    <w:rsid w:val="00BF0ADB"/>
    <w:rsid w:val="00BF0B23"/>
    <w:rsid w:val="00BF0B99"/>
    <w:rsid w:val="00BF0BCE"/>
    <w:rsid w:val="00BF0C45"/>
    <w:rsid w:val="00BF0C4E"/>
    <w:rsid w:val="00BF0CA8"/>
    <w:rsid w:val="00BF0CD4"/>
    <w:rsid w:val="00BF0E64"/>
    <w:rsid w:val="00BF0EAB"/>
    <w:rsid w:val="00BF0F74"/>
    <w:rsid w:val="00BF1063"/>
    <w:rsid w:val="00BF10C8"/>
    <w:rsid w:val="00BF11B5"/>
    <w:rsid w:val="00BF11C8"/>
    <w:rsid w:val="00BF11CC"/>
    <w:rsid w:val="00BF1206"/>
    <w:rsid w:val="00BF123F"/>
    <w:rsid w:val="00BF131B"/>
    <w:rsid w:val="00BF1422"/>
    <w:rsid w:val="00BF144D"/>
    <w:rsid w:val="00BF15DB"/>
    <w:rsid w:val="00BF1688"/>
    <w:rsid w:val="00BF17E7"/>
    <w:rsid w:val="00BF18C4"/>
    <w:rsid w:val="00BF1A2D"/>
    <w:rsid w:val="00BF1B03"/>
    <w:rsid w:val="00BF1B1C"/>
    <w:rsid w:val="00BF1BD2"/>
    <w:rsid w:val="00BF1C98"/>
    <w:rsid w:val="00BF1D08"/>
    <w:rsid w:val="00BF1DBF"/>
    <w:rsid w:val="00BF1DF1"/>
    <w:rsid w:val="00BF1E04"/>
    <w:rsid w:val="00BF1F40"/>
    <w:rsid w:val="00BF1FB1"/>
    <w:rsid w:val="00BF1FF3"/>
    <w:rsid w:val="00BF20A3"/>
    <w:rsid w:val="00BF2135"/>
    <w:rsid w:val="00BF2212"/>
    <w:rsid w:val="00BF22E8"/>
    <w:rsid w:val="00BF2506"/>
    <w:rsid w:val="00BF2570"/>
    <w:rsid w:val="00BF257F"/>
    <w:rsid w:val="00BF25C9"/>
    <w:rsid w:val="00BF2683"/>
    <w:rsid w:val="00BF2794"/>
    <w:rsid w:val="00BF27AB"/>
    <w:rsid w:val="00BF29D8"/>
    <w:rsid w:val="00BF2AC3"/>
    <w:rsid w:val="00BF2B90"/>
    <w:rsid w:val="00BF2D3B"/>
    <w:rsid w:val="00BF2D3C"/>
    <w:rsid w:val="00BF2D63"/>
    <w:rsid w:val="00BF2E19"/>
    <w:rsid w:val="00BF2FDE"/>
    <w:rsid w:val="00BF3010"/>
    <w:rsid w:val="00BF3035"/>
    <w:rsid w:val="00BF3197"/>
    <w:rsid w:val="00BF31D5"/>
    <w:rsid w:val="00BF3212"/>
    <w:rsid w:val="00BF32FF"/>
    <w:rsid w:val="00BF3465"/>
    <w:rsid w:val="00BF3525"/>
    <w:rsid w:val="00BF3567"/>
    <w:rsid w:val="00BF3611"/>
    <w:rsid w:val="00BF3809"/>
    <w:rsid w:val="00BF3958"/>
    <w:rsid w:val="00BF39BE"/>
    <w:rsid w:val="00BF39D7"/>
    <w:rsid w:val="00BF39DE"/>
    <w:rsid w:val="00BF3A72"/>
    <w:rsid w:val="00BF3C3D"/>
    <w:rsid w:val="00BF3C61"/>
    <w:rsid w:val="00BF3D4D"/>
    <w:rsid w:val="00BF3D54"/>
    <w:rsid w:val="00BF40AC"/>
    <w:rsid w:val="00BF4187"/>
    <w:rsid w:val="00BF42EA"/>
    <w:rsid w:val="00BF4388"/>
    <w:rsid w:val="00BF4435"/>
    <w:rsid w:val="00BF44D8"/>
    <w:rsid w:val="00BF46A1"/>
    <w:rsid w:val="00BF4712"/>
    <w:rsid w:val="00BF4743"/>
    <w:rsid w:val="00BF47BB"/>
    <w:rsid w:val="00BF47FF"/>
    <w:rsid w:val="00BF4872"/>
    <w:rsid w:val="00BF49C6"/>
    <w:rsid w:val="00BF4BE2"/>
    <w:rsid w:val="00BF4CC8"/>
    <w:rsid w:val="00BF4DF3"/>
    <w:rsid w:val="00BF4E04"/>
    <w:rsid w:val="00BF4F2D"/>
    <w:rsid w:val="00BF4FE6"/>
    <w:rsid w:val="00BF5003"/>
    <w:rsid w:val="00BF5156"/>
    <w:rsid w:val="00BF52DF"/>
    <w:rsid w:val="00BF52EB"/>
    <w:rsid w:val="00BF52FE"/>
    <w:rsid w:val="00BF5403"/>
    <w:rsid w:val="00BF5415"/>
    <w:rsid w:val="00BF5462"/>
    <w:rsid w:val="00BF549A"/>
    <w:rsid w:val="00BF551F"/>
    <w:rsid w:val="00BF55F1"/>
    <w:rsid w:val="00BF5665"/>
    <w:rsid w:val="00BF56CD"/>
    <w:rsid w:val="00BF584C"/>
    <w:rsid w:val="00BF5891"/>
    <w:rsid w:val="00BF5AC3"/>
    <w:rsid w:val="00BF5B32"/>
    <w:rsid w:val="00BF5BC8"/>
    <w:rsid w:val="00BF5BD6"/>
    <w:rsid w:val="00BF5CB3"/>
    <w:rsid w:val="00BF5D12"/>
    <w:rsid w:val="00BF5E4B"/>
    <w:rsid w:val="00BF5ECA"/>
    <w:rsid w:val="00BF5ED1"/>
    <w:rsid w:val="00BF5F01"/>
    <w:rsid w:val="00BF5FDA"/>
    <w:rsid w:val="00BF600B"/>
    <w:rsid w:val="00BF607A"/>
    <w:rsid w:val="00BF60F3"/>
    <w:rsid w:val="00BF60F7"/>
    <w:rsid w:val="00BF616F"/>
    <w:rsid w:val="00BF6207"/>
    <w:rsid w:val="00BF627B"/>
    <w:rsid w:val="00BF6285"/>
    <w:rsid w:val="00BF62DC"/>
    <w:rsid w:val="00BF6368"/>
    <w:rsid w:val="00BF6462"/>
    <w:rsid w:val="00BF6668"/>
    <w:rsid w:val="00BF6724"/>
    <w:rsid w:val="00BF676D"/>
    <w:rsid w:val="00BF6801"/>
    <w:rsid w:val="00BF696E"/>
    <w:rsid w:val="00BF69C6"/>
    <w:rsid w:val="00BF6A2A"/>
    <w:rsid w:val="00BF6A6A"/>
    <w:rsid w:val="00BF6B8E"/>
    <w:rsid w:val="00BF6BC9"/>
    <w:rsid w:val="00BF6C2A"/>
    <w:rsid w:val="00BF6CE1"/>
    <w:rsid w:val="00BF6D03"/>
    <w:rsid w:val="00BF6DFA"/>
    <w:rsid w:val="00BF6E6A"/>
    <w:rsid w:val="00BF7054"/>
    <w:rsid w:val="00BF707C"/>
    <w:rsid w:val="00BF70AC"/>
    <w:rsid w:val="00BF70E4"/>
    <w:rsid w:val="00BF7188"/>
    <w:rsid w:val="00BF7228"/>
    <w:rsid w:val="00BF722E"/>
    <w:rsid w:val="00BF7239"/>
    <w:rsid w:val="00BF7279"/>
    <w:rsid w:val="00BF7287"/>
    <w:rsid w:val="00BF739A"/>
    <w:rsid w:val="00BF7412"/>
    <w:rsid w:val="00BF74B8"/>
    <w:rsid w:val="00BF752B"/>
    <w:rsid w:val="00BF75DE"/>
    <w:rsid w:val="00BF75F1"/>
    <w:rsid w:val="00BF764C"/>
    <w:rsid w:val="00BF7745"/>
    <w:rsid w:val="00BF79F9"/>
    <w:rsid w:val="00BF79FB"/>
    <w:rsid w:val="00BF7A14"/>
    <w:rsid w:val="00BF7ABD"/>
    <w:rsid w:val="00BF7B60"/>
    <w:rsid w:val="00BF7B71"/>
    <w:rsid w:val="00BF7CB2"/>
    <w:rsid w:val="00BF7EA5"/>
    <w:rsid w:val="00BF7EFE"/>
    <w:rsid w:val="00BF7F3C"/>
    <w:rsid w:val="00BF7FA9"/>
    <w:rsid w:val="00C0003C"/>
    <w:rsid w:val="00C00097"/>
    <w:rsid w:val="00C0015B"/>
    <w:rsid w:val="00C0018B"/>
    <w:rsid w:val="00C001A8"/>
    <w:rsid w:val="00C0034C"/>
    <w:rsid w:val="00C003B2"/>
    <w:rsid w:val="00C003EF"/>
    <w:rsid w:val="00C006D9"/>
    <w:rsid w:val="00C00757"/>
    <w:rsid w:val="00C007A8"/>
    <w:rsid w:val="00C008C5"/>
    <w:rsid w:val="00C008E8"/>
    <w:rsid w:val="00C008ED"/>
    <w:rsid w:val="00C0090C"/>
    <w:rsid w:val="00C009D3"/>
    <w:rsid w:val="00C00A46"/>
    <w:rsid w:val="00C00B70"/>
    <w:rsid w:val="00C00BF4"/>
    <w:rsid w:val="00C00E5B"/>
    <w:rsid w:val="00C00EFE"/>
    <w:rsid w:val="00C00F2A"/>
    <w:rsid w:val="00C00F2E"/>
    <w:rsid w:val="00C00F80"/>
    <w:rsid w:val="00C00FE2"/>
    <w:rsid w:val="00C0113C"/>
    <w:rsid w:val="00C011A4"/>
    <w:rsid w:val="00C011AF"/>
    <w:rsid w:val="00C0123F"/>
    <w:rsid w:val="00C012DC"/>
    <w:rsid w:val="00C0144F"/>
    <w:rsid w:val="00C014B3"/>
    <w:rsid w:val="00C014BD"/>
    <w:rsid w:val="00C01630"/>
    <w:rsid w:val="00C01726"/>
    <w:rsid w:val="00C01740"/>
    <w:rsid w:val="00C0174F"/>
    <w:rsid w:val="00C017BF"/>
    <w:rsid w:val="00C01857"/>
    <w:rsid w:val="00C018B7"/>
    <w:rsid w:val="00C018D5"/>
    <w:rsid w:val="00C01A2A"/>
    <w:rsid w:val="00C01A99"/>
    <w:rsid w:val="00C01A9C"/>
    <w:rsid w:val="00C01BA4"/>
    <w:rsid w:val="00C01BCF"/>
    <w:rsid w:val="00C01C2C"/>
    <w:rsid w:val="00C01C76"/>
    <w:rsid w:val="00C01C8E"/>
    <w:rsid w:val="00C01C8F"/>
    <w:rsid w:val="00C01CD2"/>
    <w:rsid w:val="00C01D3F"/>
    <w:rsid w:val="00C01DE6"/>
    <w:rsid w:val="00C01EDE"/>
    <w:rsid w:val="00C01F5A"/>
    <w:rsid w:val="00C01FD2"/>
    <w:rsid w:val="00C02006"/>
    <w:rsid w:val="00C020C6"/>
    <w:rsid w:val="00C0218C"/>
    <w:rsid w:val="00C021E9"/>
    <w:rsid w:val="00C022CA"/>
    <w:rsid w:val="00C02456"/>
    <w:rsid w:val="00C024CF"/>
    <w:rsid w:val="00C024D9"/>
    <w:rsid w:val="00C024F4"/>
    <w:rsid w:val="00C0250F"/>
    <w:rsid w:val="00C026D0"/>
    <w:rsid w:val="00C027BB"/>
    <w:rsid w:val="00C02839"/>
    <w:rsid w:val="00C028E0"/>
    <w:rsid w:val="00C029C9"/>
    <w:rsid w:val="00C029CE"/>
    <w:rsid w:val="00C02A09"/>
    <w:rsid w:val="00C02A29"/>
    <w:rsid w:val="00C02A64"/>
    <w:rsid w:val="00C02AEC"/>
    <w:rsid w:val="00C02BB7"/>
    <w:rsid w:val="00C02C32"/>
    <w:rsid w:val="00C02C3A"/>
    <w:rsid w:val="00C02CCE"/>
    <w:rsid w:val="00C02D09"/>
    <w:rsid w:val="00C02D26"/>
    <w:rsid w:val="00C02D3C"/>
    <w:rsid w:val="00C02D5E"/>
    <w:rsid w:val="00C02D8A"/>
    <w:rsid w:val="00C02F63"/>
    <w:rsid w:val="00C02F8C"/>
    <w:rsid w:val="00C03183"/>
    <w:rsid w:val="00C031A9"/>
    <w:rsid w:val="00C031F0"/>
    <w:rsid w:val="00C03261"/>
    <w:rsid w:val="00C03270"/>
    <w:rsid w:val="00C032BD"/>
    <w:rsid w:val="00C03315"/>
    <w:rsid w:val="00C03364"/>
    <w:rsid w:val="00C03499"/>
    <w:rsid w:val="00C03529"/>
    <w:rsid w:val="00C03697"/>
    <w:rsid w:val="00C036EA"/>
    <w:rsid w:val="00C0371A"/>
    <w:rsid w:val="00C0371D"/>
    <w:rsid w:val="00C03861"/>
    <w:rsid w:val="00C038DE"/>
    <w:rsid w:val="00C0392B"/>
    <w:rsid w:val="00C0399A"/>
    <w:rsid w:val="00C03A5C"/>
    <w:rsid w:val="00C03B5D"/>
    <w:rsid w:val="00C03B80"/>
    <w:rsid w:val="00C03C82"/>
    <w:rsid w:val="00C03CB4"/>
    <w:rsid w:val="00C03DA9"/>
    <w:rsid w:val="00C03F5A"/>
    <w:rsid w:val="00C04045"/>
    <w:rsid w:val="00C041CC"/>
    <w:rsid w:val="00C041D4"/>
    <w:rsid w:val="00C04246"/>
    <w:rsid w:val="00C042AF"/>
    <w:rsid w:val="00C04346"/>
    <w:rsid w:val="00C04469"/>
    <w:rsid w:val="00C044AD"/>
    <w:rsid w:val="00C0451B"/>
    <w:rsid w:val="00C0476C"/>
    <w:rsid w:val="00C047A1"/>
    <w:rsid w:val="00C047F1"/>
    <w:rsid w:val="00C048EF"/>
    <w:rsid w:val="00C04958"/>
    <w:rsid w:val="00C04964"/>
    <w:rsid w:val="00C04ADC"/>
    <w:rsid w:val="00C04B79"/>
    <w:rsid w:val="00C04BC4"/>
    <w:rsid w:val="00C04C3C"/>
    <w:rsid w:val="00C04C4D"/>
    <w:rsid w:val="00C04D0B"/>
    <w:rsid w:val="00C04D0F"/>
    <w:rsid w:val="00C04F3F"/>
    <w:rsid w:val="00C050EE"/>
    <w:rsid w:val="00C05259"/>
    <w:rsid w:val="00C05304"/>
    <w:rsid w:val="00C05340"/>
    <w:rsid w:val="00C05359"/>
    <w:rsid w:val="00C0535F"/>
    <w:rsid w:val="00C054B6"/>
    <w:rsid w:val="00C0552D"/>
    <w:rsid w:val="00C05568"/>
    <w:rsid w:val="00C05773"/>
    <w:rsid w:val="00C05828"/>
    <w:rsid w:val="00C0590F"/>
    <w:rsid w:val="00C05C64"/>
    <w:rsid w:val="00C05D05"/>
    <w:rsid w:val="00C05D2E"/>
    <w:rsid w:val="00C05D90"/>
    <w:rsid w:val="00C05E19"/>
    <w:rsid w:val="00C05F3F"/>
    <w:rsid w:val="00C06140"/>
    <w:rsid w:val="00C06264"/>
    <w:rsid w:val="00C062A8"/>
    <w:rsid w:val="00C06325"/>
    <w:rsid w:val="00C06342"/>
    <w:rsid w:val="00C0636A"/>
    <w:rsid w:val="00C06399"/>
    <w:rsid w:val="00C0639D"/>
    <w:rsid w:val="00C063E1"/>
    <w:rsid w:val="00C06515"/>
    <w:rsid w:val="00C065DB"/>
    <w:rsid w:val="00C0670B"/>
    <w:rsid w:val="00C068A9"/>
    <w:rsid w:val="00C06901"/>
    <w:rsid w:val="00C0691A"/>
    <w:rsid w:val="00C06924"/>
    <w:rsid w:val="00C06A07"/>
    <w:rsid w:val="00C06A28"/>
    <w:rsid w:val="00C06A97"/>
    <w:rsid w:val="00C06B5B"/>
    <w:rsid w:val="00C06B6E"/>
    <w:rsid w:val="00C06D40"/>
    <w:rsid w:val="00C06D5B"/>
    <w:rsid w:val="00C06D6E"/>
    <w:rsid w:val="00C06E6A"/>
    <w:rsid w:val="00C06EBD"/>
    <w:rsid w:val="00C06FE5"/>
    <w:rsid w:val="00C07004"/>
    <w:rsid w:val="00C070BD"/>
    <w:rsid w:val="00C07235"/>
    <w:rsid w:val="00C0726A"/>
    <w:rsid w:val="00C072EA"/>
    <w:rsid w:val="00C07317"/>
    <w:rsid w:val="00C0738D"/>
    <w:rsid w:val="00C073B6"/>
    <w:rsid w:val="00C07580"/>
    <w:rsid w:val="00C07640"/>
    <w:rsid w:val="00C07669"/>
    <w:rsid w:val="00C0779C"/>
    <w:rsid w:val="00C078AB"/>
    <w:rsid w:val="00C079B8"/>
    <w:rsid w:val="00C07A4B"/>
    <w:rsid w:val="00C07A9A"/>
    <w:rsid w:val="00C07AA1"/>
    <w:rsid w:val="00C07AAF"/>
    <w:rsid w:val="00C07C48"/>
    <w:rsid w:val="00C07D54"/>
    <w:rsid w:val="00C07DF9"/>
    <w:rsid w:val="00C07E0D"/>
    <w:rsid w:val="00C07FB3"/>
    <w:rsid w:val="00C07FED"/>
    <w:rsid w:val="00C1002E"/>
    <w:rsid w:val="00C10090"/>
    <w:rsid w:val="00C10116"/>
    <w:rsid w:val="00C10140"/>
    <w:rsid w:val="00C10183"/>
    <w:rsid w:val="00C102AC"/>
    <w:rsid w:val="00C102BB"/>
    <w:rsid w:val="00C103C1"/>
    <w:rsid w:val="00C10425"/>
    <w:rsid w:val="00C105C7"/>
    <w:rsid w:val="00C105E4"/>
    <w:rsid w:val="00C10706"/>
    <w:rsid w:val="00C1071F"/>
    <w:rsid w:val="00C1077D"/>
    <w:rsid w:val="00C10864"/>
    <w:rsid w:val="00C10898"/>
    <w:rsid w:val="00C109C0"/>
    <w:rsid w:val="00C109DE"/>
    <w:rsid w:val="00C10A2F"/>
    <w:rsid w:val="00C10AB5"/>
    <w:rsid w:val="00C10AF5"/>
    <w:rsid w:val="00C10B1F"/>
    <w:rsid w:val="00C10B58"/>
    <w:rsid w:val="00C10CF4"/>
    <w:rsid w:val="00C10D45"/>
    <w:rsid w:val="00C10D9C"/>
    <w:rsid w:val="00C10E1E"/>
    <w:rsid w:val="00C10E55"/>
    <w:rsid w:val="00C10FAA"/>
    <w:rsid w:val="00C10FB3"/>
    <w:rsid w:val="00C10FD5"/>
    <w:rsid w:val="00C10FDD"/>
    <w:rsid w:val="00C11001"/>
    <w:rsid w:val="00C110E3"/>
    <w:rsid w:val="00C11119"/>
    <w:rsid w:val="00C1113C"/>
    <w:rsid w:val="00C11231"/>
    <w:rsid w:val="00C112B5"/>
    <w:rsid w:val="00C11350"/>
    <w:rsid w:val="00C11374"/>
    <w:rsid w:val="00C11397"/>
    <w:rsid w:val="00C113A6"/>
    <w:rsid w:val="00C1140B"/>
    <w:rsid w:val="00C1141D"/>
    <w:rsid w:val="00C114EF"/>
    <w:rsid w:val="00C115E3"/>
    <w:rsid w:val="00C116FA"/>
    <w:rsid w:val="00C1186E"/>
    <w:rsid w:val="00C119AC"/>
    <w:rsid w:val="00C11AA6"/>
    <w:rsid w:val="00C11B27"/>
    <w:rsid w:val="00C11C01"/>
    <w:rsid w:val="00C11C18"/>
    <w:rsid w:val="00C11C19"/>
    <w:rsid w:val="00C11C3A"/>
    <w:rsid w:val="00C11DDB"/>
    <w:rsid w:val="00C11E5C"/>
    <w:rsid w:val="00C11E97"/>
    <w:rsid w:val="00C11F74"/>
    <w:rsid w:val="00C11F92"/>
    <w:rsid w:val="00C11FE8"/>
    <w:rsid w:val="00C120F7"/>
    <w:rsid w:val="00C12134"/>
    <w:rsid w:val="00C12185"/>
    <w:rsid w:val="00C122EB"/>
    <w:rsid w:val="00C1233F"/>
    <w:rsid w:val="00C1248F"/>
    <w:rsid w:val="00C124DC"/>
    <w:rsid w:val="00C1252C"/>
    <w:rsid w:val="00C12578"/>
    <w:rsid w:val="00C125A1"/>
    <w:rsid w:val="00C126B6"/>
    <w:rsid w:val="00C126BC"/>
    <w:rsid w:val="00C126D5"/>
    <w:rsid w:val="00C126D9"/>
    <w:rsid w:val="00C127EC"/>
    <w:rsid w:val="00C12828"/>
    <w:rsid w:val="00C1285D"/>
    <w:rsid w:val="00C12D0D"/>
    <w:rsid w:val="00C12EDE"/>
    <w:rsid w:val="00C12F98"/>
    <w:rsid w:val="00C12FEA"/>
    <w:rsid w:val="00C133BD"/>
    <w:rsid w:val="00C13552"/>
    <w:rsid w:val="00C135EB"/>
    <w:rsid w:val="00C13603"/>
    <w:rsid w:val="00C13754"/>
    <w:rsid w:val="00C13869"/>
    <w:rsid w:val="00C1388F"/>
    <w:rsid w:val="00C138F2"/>
    <w:rsid w:val="00C13A99"/>
    <w:rsid w:val="00C13ADF"/>
    <w:rsid w:val="00C13BB4"/>
    <w:rsid w:val="00C13BEE"/>
    <w:rsid w:val="00C13C5E"/>
    <w:rsid w:val="00C140C1"/>
    <w:rsid w:val="00C14103"/>
    <w:rsid w:val="00C14121"/>
    <w:rsid w:val="00C14212"/>
    <w:rsid w:val="00C14366"/>
    <w:rsid w:val="00C143D8"/>
    <w:rsid w:val="00C143DB"/>
    <w:rsid w:val="00C14435"/>
    <w:rsid w:val="00C1452A"/>
    <w:rsid w:val="00C14570"/>
    <w:rsid w:val="00C14578"/>
    <w:rsid w:val="00C145A7"/>
    <w:rsid w:val="00C1468F"/>
    <w:rsid w:val="00C1480B"/>
    <w:rsid w:val="00C14940"/>
    <w:rsid w:val="00C14989"/>
    <w:rsid w:val="00C14ABC"/>
    <w:rsid w:val="00C14C11"/>
    <w:rsid w:val="00C14E20"/>
    <w:rsid w:val="00C14F76"/>
    <w:rsid w:val="00C150F6"/>
    <w:rsid w:val="00C15135"/>
    <w:rsid w:val="00C1514C"/>
    <w:rsid w:val="00C15479"/>
    <w:rsid w:val="00C15564"/>
    <w:rsid w:val="00C15580"/>
    <w:rsid w:val="00C155DB"/>
    <w:rsid w:val="00C15639"/>
    <w:rsid w:val="00C156ED"/>
    <w:rsid w:val="00C1576B"/>
    <w:rsid w:val="00C15930"/>
    <w:rsid w:val="00C15976"/>
    <w:rsid w:val="00C15AF3"/>
    <w:rsid w:val="00C15AF8"/>
    <w:rsid w:val="00C15BDD"/>
    <w:rsid w:val="00C15CED"/>
    <w:rsid w:val="00C15DCE"/>
    <w:rsid w:val="00C15E55"/>
    <w:rsid w:val="00C15E5E"/>
    <w:rsid w:val="00C15EF0"/>
    <w:rsid w:val="00C1603A"/>
    <w:rsid w:val="00C1609A"/>
    <w:rsid w:val="00C16118"/>
    <w:rsid w:val="00C16130"/>
    <w:rsid w:val="00C16222"/>
    <w:rsid w:val="00C16253"/>
    <w:rsid w:val="00C16343"/>
    <w:rsid w:val="00C163CC"/>
    <w:rsid w:val="00C16442"/>
    <w:rsid w:val="00C16453"/>
    <w:rsid w:val="00C16517"/>
    <w:rsid w:val="00C16708"/>
    <w:rsid w:val="00C16746"/>
    <w:rsid w:val="00C16A14"/>
    <w:rsid w:val="00C16B79"/>
    <w:rsid w:val="00C16C95"/>
    <w:rsid w:val="00C16CE1"/>
    <w:rsid w:val="00C16D85"/>
    <w:rsid w:val="00C16E7E"/>
    <w:rsid w:val="00C16F16"/>
    <w:rsid w:val="00C16F77"/>
    <w:rsid w:val="00C17098"/>
    <w:rsid w:val="00C17099"/>
    <w:rsid w:val="00C17271"/>
    <w:rsid w:val="00C173FE"/>
    <w:rsid w:val="00C17422"/>
    <w:rsid w:val="00C1743B"/>
    <w:rsid w:val="00C17454"/>
    <w:rsid w:val="00C174C7"/>
    <w:rsid w:val="00C17644"/>
    <w:rsid w:val="00C1765C"/>
    <w:rsid w:val="00C17880"/>
    <w:rsid w:val="00C17918"/>
    <w:rsid w:val="00C17995"/>
    <w:rsid w:val="00C179BD"/>
    <w:rsid w:val="00C17A55"/>
    <w:rsid w:val="00C17A80"/>
    <w:rsid w:val="00C17AEC"/>
    <w:rsid w:val="00C17BDE"/>
    <w:rsid w:val="00C17C19"/>
    <w:rsid w:val="00C17C47"/>
    <w:rsid w:val="00C17CEC"/>
    <w:rsid w:val="00C17EB9"/>
    <w:rsid w:val="00C17F9B"/>
    <w:rsid w:val="00C17FFD"/>
    <w:rsid w:val="00C201C9"/>
    <w:rsid w:val="00C20266"/>
    <w:rsid w:val="00C202B5"/>
    <w:rsid w:val="00C20300"/>
    <w:rsid w:val="00C20308"/>
    <w:rsid w:val="00C2034F"/>
    <w:rsid w:val="00C20379"/>
    <w:rsid w:val="00C203EE"/>
    <w:rsid w:val="00C2045B"/>
    <w:rsid w:val="00C2046B"/>
    <w:rsid w:val="00C204F3"/>
    <w:rsid w:val="00C205F6"/>
    <w:rsid w:val="00C206DE"/>
    <w:rsid w:val="00C206F7"/>
    <w:rsid w:val="00C209C3"/>
    <w:rsid w:val="00C20A82"/>
    <w:rsid w:val="00C20B45"/>
    <w:rsid w:val="00C20B6A"/>
    <w:rsid w:val="00C20C9A"/>
    <w:rsid w:val="00C20CBC"/>
    <w:rsid w:val="00C20E59"/>
    <w:rsid w:val="00C20E6E"/>
    <w:rsid w:val="00C20FC7"/>
    <w:rsid w:val="00C21230"/>
    <w:rsid w:val="00C2125D"/>
    <w:rsid w:val="00C212C8"/>
    <w:rsid w:val="00C2144A"/>
    <w:rsid w:val="00C21699"/>
    <w:rsid w:val="00C216C3"/>
    <w:rsid w:val="00C21AF4"/>
    <w:rsid w:val="00C21B36"/>
    <w:rsid w:val="00C21BC2"/>
    <w:rsid w:val="00C21BE7"/>
    <w:rsid w:val="00C21CD2"/>
    <w:rsid w:val="00C21D7A"/>
    <w:rsid w:val="00C21DCD"/>
    <w:rsid w:val="00C21E8B"/>
    <w:rsid w:val="00C21FA7"/>
    <w:rsid w:val="00C2202F"/>
    <w:rsid w:val="00C22055"/>
    <w:rsid w:val="00C22089"/>
    <w:rsid w:val="00C221BB"/>
    <w:rsid w:val="00C223C3"/>
    <w:rsid w:val="00C223D9"/>
    <w:rsid w:val="00C2249D"/>
    <w:rsid w:val="00C22537"/>
    <w:rsid w:val="00C2254F"/>
    <w:rsid w:val="00C225B9"/>
    <w:rsid w:val="00C226F8"/>
    <w:rsid w:val="00C2278B"/>
    <w:rsid w:val="00C2291B"/>
    <w:rsid w:val="00C22A0E"/>
    <w:rsid w:val="00C22A38"/>
    <w:rsid w:val="00C22AB4"/>
    <w:rsid w:val="00C22C30"/>
    <w:rsid w:val="00C22DC0"/>
    <w:rsid w:val="00C22E83"/>
    <w:rsid w:val="00C22EBA"/>
    <w:rsid w:val="00C2300F"/>
    <w:rsid w:val="00C2302B"/>
    <w:rsid w:val="00C23038"/>
    <w:rsid w:val="00C230A9"/>
    <w:rsid w:val="00C23240"/>
    <w:rsid w:val="00C2324A"/>
    <w:rsid w:val="00C23275"/>
    <w:rsid w:val="00C2336A"/>
    <w:rsid w:val="00C233C2"/>
    <w:rsid w:val="00C234ED"/>
    <w:rsid w:val="00C234F1"/>
    <w:rsid w:val="00C237B4"/>
    <w:rsid w:val="00C237C8"/>
    <w:rsid w:val="00C238E4"/>
    <w:rsid w:val="00C2398A"/>
    <w:rsid w:val="00C23A97"/>
    <w:rsid w:val="00C23AEB"/>
    <w:rsid w:val="00C23BAC"/>
    <w:rsid w:val="00C23D05"/>
    <w:rsid w:val="00C23D53"/>
    <w:rsid w:val="00C23DB5"/>
    <w:rsid w:val="00C23E84"/>
    <w:rsid w:val="00C23E90"/>
    <w:rsid w:val="00C2407D"/>
    <w:rsid w:val="00C2409C"/>
    <w:rsid w:val="00C240E3"/>
    <w:rsid w:val="00C240E4"/>
    <w:rsid w:val="00C241BE"/>
    <w:rsid w:val="00C24274"/>
    <w:rsid w:val="00C24469"/>
    <w:rsid w:val="00C245C0"/>
    <w:rsid w:val="00C2461C"/>
    <w:rsid w:val="00C24853"/>
    <w:rsid w:val="00C24B03"/>
    <w:rsid w:val="00C24B1D"/>
    <w:rsid w:val="00C24B77"/>
    <w:rsid w:val="00C24BBE"/>
    <w:rsid w:val="00C24C78"/>
    <w:rsid w:val="00C24CFE"/>
    <w:rsid w:val="00C24E2D"/>
    <w:rsid w:val="00C24E9C"/>
    <w:rsid w:val="00C24EA4"/>
    <w:rsid w:val="00C24EE2"/>
    <w:rsid w:val="00C24F7E"/>
    <w:rsid w:val="00C24FE1"/>
    <w:rsid w:val="00C25021"/>
    <w:rsid w:val="00C2504B"/>
    <w:rsid w:val="00C2505F"/>
    <w:rsid w:val="00C2506E"/>
    <w:rsid w:val="00C250E4"/>
    <w:rsid w:val="00C250E6"/>
    <w:rsid w:val="00C253EA"/>
    <w:rsid w:val="00C25436"/>
    <w:rsid w:val="00C2562F"/>
    <w:rsid w:val="00C25669"/>
    <w:rsid w:val="00C257CC"/>
    <w:rsid w:val="00C2581B"/>
    <w:rsid w:val="00C2598C"/>
    <w:rsid w:val="00C25A07"/>
    <w:rsid w:val="00C25A3B"/>
    <w:rsid w:val="00C25AC7"/>
    <w:rsid w:val="00C25B12"/>
    <w:rsid w:val="00C25C09"/>
    <w:rsid w:val="00C25C8B"/>
    <w:rsid w:val="00C25CB9"/>
    <w:rsid w:val="00C25D26"/>
    <w:rsid w:val="00C25DF1"/>
    <w:rsid w:val="00C25E76"/>
    <w:rsid w:val="00C25EB6"/>
    <w:rsid w:val="00C25FCD"/>
    <w:rsid w:val="00C2604F"/>
    <w:rsid w:val="00C260E6"/>
    <w:rsid w:val="00C2613D"/>
    <w:rsid w:val="00C2615E"/>
    <w:rsid w:val="00C262F1"/>
    <w:rsid w:val="00C2635A"/>
    <w:rsid w:val="00C2636F"/>
    <w:rsid w:val="00C26387"/>
    <w:rsid w:val="00C263B8"/>
    <w:rsid w:val="00C26517"/>
    <w:rsid w:val="00C26608"/>
    <w:rsid w:val="00C26931"/>
    <w:rsid w:val="00C2699B"/>
    <w:rsid w:val="00C269EC"/>
    <w:rsid w:val="00C26A23"/>
    <w:rsid w:val="00C26A38"/>
    <w:rsid w:val="00C26B7D"/>
    <w:rsid w:val="00C26C43"/>
    <w:rsid w:val="00C26C46"/>
    <w:rsid w:val="00C26CA0"/>
    <w:rsid w:val="00C26DA8"/>
    <w:rsid w:val="00C26DEC"/>
    <w:rsid w:val="00C26EF3"/>
    <w:rsid w:val="00C27001"/>
    <w:rsid w:val="00C2708A"/>
    <w:rsid w:val="00C270AD"/>
    <w:rsid w:val="00C2711E"/>
    <w:rsid w:val="00C27226"/>
    <w:rsid w:val="00C27254"/>
    <w:rsid w:val="00C27284"/>
    <w:rsid w:val="00C272C9"/>
    <w:rsid w:val="00C27311"/>
    <w:rsid w:val="00C27356"/>
    <w:rsid w:val="00C274A3"/>
    <w:rsid w:val="00C274B8"/>
    <w:rsid w:val="00C275A3"/>
    <w:rsid w:val="00C276B1"/>
    <w:rsid w:val="00C276FE"/>
    <w:rsid w:val="00C27715"/>
    <w:rsid w:val="00C2781F"/>
    <w:rsid w:val="00C278FC"/>
    <w:rsid w:val="00C278FF"/>
    <w:rsid w:val="00C279A1"/>
    <w:rsid w:val="00C279B2"/>
    <w:rsid w:val="00C27AD5"/>
    <w:rsid w:val="00C27B3E"/>
    <w:rsid w:val="00C27B94"/>
    <w:rsid w:val="00C27C52"/>
    <w:rsid w:val="00C27D47"/>
    <w:rsid w:val="00C27D91"/>
    <w:rsid w:val="00C27F0D"/>
    <w:rsid w:val="00C27F3B"/>
    <w:rsid w:val="00C2D1A9"/>
    <w:rsid w:val="00C30002"/>
    <w:rsid w:val="00C30021"/>
    <w:rsid w:val="00C30024"/>
    <w:rsid w:val="00C3017C"/>
    <w:rsid w:val="00C301AC"/>
    <w:rsid w:val="00C30271"/>
    <w:rsid w:val="00C30293"/>
    <w:rsid w:val="00C3035C"/>
    <w:rsid w:val="00C30405"/>
    <w:rsid w:val="00C30496"/>
    <w:rsid w:val="00C30639"/>
    <w:rsid w:val="00C30766"/>
    <w:rsid w:val="00C3084F"/>
    <w:rsid w:val="00C30A00"/>
    <w:rsid w:val="00C30A41"/>
    <w:rsid w:val="00C30A8D"/>
    <w:rsid w:val="00C30DD3"/>
    <w:rsid w:val="00C30DEA"/>
    <w:rsid w:val="00C30E70"/>
    <w:rsid w:val="00C30F18"/>
    <w:rsid w:val="00C30F26"/>
    <w:rsid w:val="00C30F84"/>
    <w:rsid w:val="00C30FFA"/>
    <w:rsid w:val="00C311CF"/>
    <w:rsid w:val="00C311E8"/>
    <w:rsid w:val="00C311F8"/>
    <w:rsid w:val="00C3124E"/>
    <w:rsid w:val="00C31269"/>
    <w:rsid w:val="00C314CD"/>
    <w:rsid w:val="00C3151C"/>
    <w:rsid w:val="00C3153F"/>
    <w:rsid w:val="00C31589"/>
    <w:rsid w:val="00C31592"/>
    <w:rsid w:val="00C316B8"/>
    <w:rsid w:val="00C3177C"/>
    <w:rsid w:val="00C31A5F"/>
    <w:rsid w:val="00C31B39"/>
    <w:rsid w:val="00C31BAF"/>
    <w:rsid w:val="00C31CD9"/>
    <w:rsid w:val="00C31D00"/>
    <w:rsid w:val="00C31D09"/>
    <w:rsid w:val="00C31DA7"/>
    <w:rsid w:val="00C31F49"/>
    <w:rsid w:val="00C31FB9"/>
    <w:rsid w:val="00C32218"/>
    <w:rsid w:val="00C3225D"/>
    <w:rsid w:val="00C32361"/>
    <w:rsid w:val="00C323A7"/>
    <w:rsid w:val="00C323CB"/>
    <w:rsid w:val="00C32423"/>
    <w:rsid w:val="00C32435"/>
    <w:rsid w:val="00C324BC"/>
    <w:rsid w:val="00C32583"/>
    <w:rsid w:val="00C325D4"/>
    <w:rsid w:val="00C326EB"/>
    <w:rsid w:val="00C32701"/>
    <w:rsid w:val="00C3274C"/>
    <w:rsid w:val="00C327C0"/>
    <w:rsid w:val="00C3296D"/>
    <w:rsid w:val="00C32A3D"/>
    <w:rsid w:val="00C32A47"/>
    <w:rsid w:val="00C32A93"/>
    <w:rsid w:val="00C32A97"/>
    <w:rsid w:val="00C32B77"/>
    <w:rsid w:val="00C32C06"/>
    <w:rsid w:val="00C32C0F"/>
    <w:rsid w:val="00C32D27"/>
    <w:rsid w:val="00C32D68"/>
    <w:rsid w:val="00C32DAE"/>
    <w:rsid w:val="00C32DCF"/>
    <w:rsid w:val="00C32E45"/>
    <w:rsid w:val="00C32E7B"/>
    <w:rsid w:val="00C32F1E"/>
    <w:rsid w:val="00C32F64"/>
    <w:rsid w:val="00C32F8E"/>
    <w:rsid w:val="00C32F8F"/>
    <w:rsid w:val="00C32FBA"/>
    <w:rsid w:val="00C330AD"/>
    <w:rsid w:val="00C3325D"/>
    <w:rsid w:val="00C332D6"/>
    <w:rsid w:val="00C3330E"/>
    <w:rsid w:val="00C33372"/>
    <w:rsid w:val="00C33377"/>
    <w:rsid w:val="00C333A6"/>
    <w:rsid w:val="00C33437"/>
    <w:rsid w:val="00C33646"/>
    <w:rsid w:val="00C3369B"/>
    <w:rsid w:val="00C3382E"/>
    <w:rsid w:val="00C33993"/>
    <w:rsid w:val="00C339A0"/>
    <w:rsid w:val="00C339E9"/>
    <w:rsid w:val="00C33A24"/>
    <w:rsid w:val="00C33A65"/>
    <w:rsid w:val="00C33A71"/>
    <w:rsid w:val="00C33A72"/>
    <w:rsid w:val="00C33B06"/>
    <w:rsid w:val="00C33BC4"/>
    <w:rsid w:val="00C33BD7"/>
    <w:rsid w:val="00C33C4C"/>
    <w:rsid w:val="00C33CAA"/>
    <w:rsid w:val="00C33CF7"/>
    <w:rsid w:val="00C33DFB"/>
    <w:rsid w:val="00C33E91"/>
    <w:rsid w:val="00C33EC8"/>
    <w:rsid w:val="00C33EE4"/>
    <w:rsid w:val="00C33EEC"/>
    <w:rsid w:val="00C33F73"/>
    <w:rsid w:val="00C33F80"/>
    <w:rsid w:val="00C33FCB"/>
    <w:rsid w:val="00C340F5"/>
    <w:rsid w:val="00C341AB"/>
    <w:rsid w:val="00C342EE"/>
    <w:rsid w:val="00C34311"/>
    <w:rsid w:val="00C34490"/>
    <w:rsid w:val="00C346EE"/>
    <w:rsid w:val="00C3473B"/>
    <w:rsid w:val="00C3477E"/>
    <w:rsid w:val="00C347E2"/>
    <w:rsid w:val="00C348F8"/>
    <w:rsid w:val="00C349D4"/>
    <w:rsid w:val="00C34ACB"/>
    <w:rsid w:val="00C34ACE"/>
    <w:rsid w:val="00C34AD0"/>
    <w:rsid w:val="00C34C5B"/>
    <w:rsid w:val="00C34CA1"/>
    <w:rsid w:val="00C34CE1"/>
    <w:rsid w:val="00C34DCA"/>
    <w:rsid w:val="00C34DEA"/>
    <w:rsid w:val="00C34DEB"/>
    <w:rsid w:val="00C34E1F"/>
    <w:rsid w:val="00C34E6B"/>
    <w:rsid w:val="00C34FEE"/>
    <w:rsid w:val="00C3504A"/>
    <w:rsid w:val="00C3532A"/>
    <w:rsid w:val="00C3533C"/>
    <w:rsid w:val="00C3534B"/>
    <w:rsid w:val="00C35428"/>
    <w:rsid w:val="00C35488"/>
    <w:rsid w:val="00C3549F"/>
    <w:rsid w:val="00C354A2"/>
    <w:rsid w:val="00C35541"/>
    <w:rsid w:val="00C3577A"/>
    <w:rsid w:val="00C357C6"/>
    <w:rsid w:val="00C358E2"/>
    <w:rsid w:val="00C359A7"/>
    <w:rsid w:val="00C359B7"/>
    <w:rsid w:val="00C35A73"/>
    <w:rsid w:val="00C35A80"/>
    <w:rsid w:val="00C35B90"/>
    <w:rsid w:val="00C35B94"/>
    <w:rsid w:val="00C35BA1"/>
    <w:rsid w:val="00C35BA9"/>
    <w:rsid w:val="00C35BD3"/>
    <w:rsid w:val="00C35CFD"/>
    <w:rsid w:val="00C35D58"/>
    <w:rsid w:val="00C35D5B"/>
    <w:rsid w:val="00C35DFC"/>
    <w:rsid w:val="00C35E3C"/>
    <w:rsid w:val="00C35E7C"/>
    <w:rsid w:val="00C35EAA"/>
    <w:rsid w:val="00C35F9E"/>
    <w:rsid w:val="00C35FDA"/>
    <w:rsid w:val="00C35FEA"/>
    <w:rsid w:val="00C36090"/>
    <w:rsid w:val="00C3611A"/>
    <w:rsid w:val="00C361A1"/>
    <w:rsid w:val="00C361B3"/>
    <w:rsid w:val="00C361FA"/>
    <w:rsid w:val="00C36245"/>
    <w:rsid w:val="00C3631D"/>
    <w:rsid w:val="00C36342"/>
    <w:rsid w:val="00C3634B"/>
    <w:rsid w:val="00C36428"/>
    <w:rsid w:val="00C3642F"/>
    <w:rsid w:val="00C364B8"/>
    <w:rsid w:val="00C36930"/>
    <w:rsid w:val="00C3693F"/>
    <w:rsid w:val="00C36962"/>
    <w:rsid w:val="00C369EA"/>
    <w:rsid w:val="00C36A8A"/>
    <w:rsid w:val="00C36A99"/>
    <w:rsid w:val="00C36AB6"/>
    <w:rsid w:val="00C36BB4"/>
    <w:rsid w:val="00C36BB5"/>
    <w:rsid w:val="00C36D6E"/>
    <w:rsid w:val="00C36E18"/>
    <w:rsid w:val="00C36E31"/>
    <w:rsid w:val="00C36EC6"/>
    <w:rsid w:val="00C36ED4"/>
    <w:rsid w:val="00C36EE9"/>
    <w:rsid w:val="00C37117"/>
    <w:rsid w:val="00C3717A"/>
    <w:rsid w:val="00C37203"/>
    <w:rsid w:val="00C37307"/>
    <w:rsid w:val="00C3730B"/>
    <w:rsid w:val="00C37317"/>
    <w:rsid w:val="00C3733F"/>
    <w:rsid w:val="00C37409"/>
    <w:rsid w:val="00C3740E"/>
    <w:rsid w:val="00C37666"/>
    <w:rsid w:val="00C376BC"/>
    <w:rsid w:val="00C37726"/>
    <w:rsid w:val="00C3773C"/>
    <w:rsid w:val="00C3789E"/>
    <w:rsid w:val="00C37984"/>
    <w:rsid w:val="00C3798E"/>
    <w:rsid w:val="00C37B58"/>
    <w:rsid w:val="00C37B5C"/>
    <w:rsid w:val="00C37BBD"/>
    <w:rsid w:val="00C37CB0"/>
    <w:rsid w:val="00C37E6F"/>
    <w:rsid w:val="00C4006F"/>
    <w:rsid w:val="00C400A8"/>
    <w:rsid w:val="00C40122"/>
    <w:rsid w:val="00C4034E"/>
    <w:rsid w:val="00C404A9"/>
    <w:rsid w:val="00C4055A"/>
    <w:rsid w:val="00C4055C"/>
    <w:rsid w:val="00C405FE"/>
    <w:rsid w:val="00C408B9"/>
    <w:rsid w:val="00C408C5"/>
    <w:rsid w:val="00C4090F"/>
    <w:rsid w:val="00C40A4D"/>
    <w:rsid w:val="00C40B94"/>
    <w:rsid w:val="00C40D9A"/>
    <w:rsid w:val="00C40E1C"/>
    <w:rsid w:val="00C40F13"/>
    <w:rsid w:val="00C40F18"/>
    <w:rsid w:val="00C41096"/>
    <w:rsid w:val="00C41149"/>
    <w:rsid w:val="00C411A1"/>
    <w:rsid w:val="00C411D1"/>
    <w:rsid w:val="00C4122B"/>
    <w:rsid w:val="00C41430"/>
    <w:rsid w:val="00C41439"/>
    <w:rsid w:val="00C41464"/>
    <w:rsid w:val="00C41582"/>
    <w:rsid w:val="00C417A5"/>
    <w:rsid w:val="00C417C1"/>
    <w:rsid w:val="00C417C7"/>
    <w:rsid w:val="00C419E9"/>
    <w:rsid w:val="00C41AB7"/>
    <w:rsid w:val="00C41AFE"/>
    <w:rsid w:val="00C41B23"/>
    <w:rsid w:val="00C41BCB"/>
    <w:rsid w:val="00C41C49"/>
    <w:rsid w:val="00C41CBC"/>
    <w:rsid w:val="00C41E4A"/>
    <w:rsid w:val="00C4205A"/>
    <w:rsid w:val="00C42080"/>
    <w:rsid w:val="00C420FF"/>
    <w:rsid w:val="00C42180"/>
    <w:rsid w:val="00C421DD"/>
    <w:rsid w:val="00C421E4"/>
    <w:rsid w:val="00C42293"/>
    <w:rsid w:val="00C422D5"/>
    <w:rsid w:val="00C423B5"/>
    <w:rsid w:val="00C423EB"/>
    <w:rsid w:val="00C42521"/>
    <w:rsid w:val="00C42750"/>
    <w:rsid w:val="00C429C9"/>
    <w:rsid w:val="00C42A23"/>
    <w:rsid w:val="00C42C3A"/>
    <w:rsid w:val="00C42E95"/>
    <w:rsid w:val="00C42EBD"/>
    <w:rsid w:val="00C42EE3"/>
    <w:rsid w:val="00C42FBA"/>
    <w:rsid w:val="00C430B1"/>
    <w:rsid w:val="00C43353"/>
    <w:rsid w:val="00C43395"/>
    <w:rsid w:val="00C43399"/>
    <w:rsid w:val="00C433A9"/>
    <w:rsid w:val="00C43434"/>
    <w:rsid w:val="00C436A2"/>
    <w:rsid w:val="00C43861"/>
    <w:rsid w:val="00C43906"/>
    <w:rsid w:val="00C4396E"/>
    <w:rsid w:val="00C43B12"/>
    <w:rsid w:val="00C43BAD"/>
    <w:rsid w:val="00C43BF7"/>
    <w:rsid w:val="00C43C12"/>
    <w:rsid w:val="00C43CC0"/>
    <w:rsid w:val="00C43D10"/>
    <w:rsid w:val="00C441DF"/>
    <w:rsid w:val="00C4420F"/>
    <w:rsid w:val="00C44214"/>
    <w:rsid w:val="00C44232"/>
    <w:rsid w:val="00C442DB"/>
    <w:rsid w:val="00C4434A"/>
    <w:rsid w:val="00C443AB"/>
    <w:rsid w:val="00C44482"/>
    <w:rsid w:val="00C4448D"/>
    <w:rsid w:val="00C444A5"/>
    <w:rsid w:val="00C444AA"/>
    <w:rsid w:val="00C44606"/>
    <w:rsid w:val="00C44710"/>
    <w:rsid w:val="00C4472F"/>
    <w:rsid w:val="00C44736"/>
    <w:rsid w:val="00C44891"/>
    <w:rsid w:val="00C4491A"/>
    <w:rsid w:val="00C44955"/>
    <w:rsid w:val="00C4495B"/>
    <w:rsid w:val="00C44A7C"/>
    <w:rsid w:val="00C44B4A"/>
    <w:rsid w:val="00C44C67"/>
    <w:rsid w:val="00C44C94"/>
    <w:rsid w:val="00C44CF1"/>
    <w:rsid w:val="00C44F38"/>
    <w:rsid w:val="00C44F3B"/>
    <w:rsid w:val="00C45024"/>
    <w:rsid w:val="00C450CC"/>
    <w:rsid w:val="00C4511C"/>
    <w:rsid w:val="00C4535A"/>
    <w:rsid w:val="00C4535E"/>
    <w:rsid w:val="00C4539D"/>
    <w:rsid w:val="00C45450"/>
    <w:rsid w:val="00C454DF"/>
    <w:rsid w:val="00C45606"/>
    <w:rsid w:val="00C4569C"/>
    <w:rsid w:val="00C4571B"/>
    <w:rsid w:val="00C457FB"/>
    <w:rsid w:val="00C45921"/>
    <w:rsid w:val="00C45A97"/>
    <w:rsid w:val="00C45BEE"/>
    <w:rsid w:val="00C45BF5"/>
    <w:rsid w:val="00C45BF9"/>
    <w:rsid w:val="00C45C46"/>
    <w:rsid w:val="00C45DD8"/>
    <w:rsid w:val="00C45E02"/>
    <w:rsid w:val="00C45F9C"/>
    <w:rsid w:val="00C46295"/>
    <w:rsid w:val="00C462EC"/>
    <w:rsid w:val="00C46344"/>
    <w:rsid w:val="00C463FC"/>
    <w:rsid w:val="00C46489"/>
    <w:rsid w:val="00C4649A"/>
    <w:rsid w:val="00C46614"/>
    <w:rsid w:val="00C4663D"/>
    <w:rsid w:val="00C4667F"/>
    <w:rsid w:val="00C46818"/>
    <w:rsid w:val="00C4695D"/>
    <w:rsid w:val="00C46A9E"/>
    <w:rsid w:val="00C46B17"/>
    <w:rsid w:val="00C46B63"/>
    <w:rsid w:val="00C46B73"/>
    <w:rsid w:val="00C46BBE"/>
    <w:rsid w:val="00C46CFA"/>
    <w:rsid w:val="00C46D2E"/>
    <w:rsid w:val="00C46D34"/>
    <w:rsid w:val="00C46DA7"/>
    <w:rsid w:val="00C46DC0"/>
    <w:rsid w:val="00C46E12"/>
    <w:rsid w:val="00C46E7F"/>
    <w:rsid w:val="00C46EAD"/>
    <w:rsid w:val="00C46FB7"/>
    <w:rsid w:val="00C470DC"/>
    <w:rsid w:val="00C473BA"/>
    <w:rsid w:val="00C473C2"/>
    <w:rsid w:val="00C47461"/>
    <w:rsid w:val="00C47589"/>
    <w:rsid w:val="00C475C1"/>
    <w:rsid w:val="00C4765F"/>
    <w:rsid w:val="00C47787"/>
    <w:rsid w:val="00C47841"/>
    <w:rsid w:val="00C47917"/>
    <w:rsid w:val="00C4791D"/>
    <w:rsid w:val="00C47DF8"/>
    <w:rsid w:val="00C47E41"/>
    <w:rsid w:val="00C47F08"/>
    <w:rsid w:val="00C47F9A"/>
    <w:rsid w:val="00C50029"/>
    <w:rsid w:val="00C5004C"/>
    <w:rsid w:val="00C50078"/>
    <w:rsid w:val="00C5007A"/>
    <w:rsid w:val="00C50097"/>
    <w:rsid w:val="00C5009D"/>
    <w:rsid w:val="00C501D7"/>
    <w:rsid w:val="00C504D6"/>
    <w:rsid w:val="00C504DD"/>
    <w:rsid w:val="00C50555"/>
    <w:rsid w:val="00C5073E"/>
    <w:rsid w:val="00C507EA"/>
    <w:rsid w:val="00C5089B"/>
    <w:rsid w:val="00C5093F"/>
    <w:rsid w:val="00C50A39"/>
    <w:rsid w:val="00C50A76"/>
    <w:rsid w:val="00C50CB0"/>
    <w:rsid w:val="00C50D3C"/>
    <w:rsid w:val="00C50DA4"/>
    <w:rsid w:val="00C50DEB"/>
    <w:rsid w:val="00C50DFD"/>
    <w:rsid w:val="00C50EEF"/>
    <w:rsid w:val="00C50F25"/>
    <w:rsid w:val="00C50F35"/>
    <w:rsid w:val="00C50FCF"/>
    <w:rsid w:val="00C50FED"/>
    <w:rsid w:val="00C51083"/>
    <w:rsid w:val="00C5108D"/>
    <w:rsid w:val="00C5114D"/>
    <w:rsid w:val="00C5118C"/>
    <w:rsid w:val="00C511D8"/>
    <w:rsid w:val="00C511EF"/>
    <w:rsid w:val="00C51219"/>
    <w:rsid w:val="00C512B0"/>
    <w:rsid w:val="00C512EF"/>
    <w:rsid w:val="00C51306"/>
    <w:rsid w:val="00C513FF"/>
    <w:rsid w:val="00C51445"/>
    <w:rsid w:val="00C51466"/>
    <w:rsid w:val="00C51469"/>
    <w:rsid w:val="00C514EA"/>
    <w:rsid w:val="00C5151F"/>
    <w:rsid w:val="00C515BC"/>
    <w:rsid w:val="00C51801"/>
    <w:rsid w:val="00C5184E"/>
    <w:rsid w:val="00C518DA"/>
    <w:rsid w:val="00C518EC"/>
    <w:rsid w:val="00C5198E"/>
    <w:rsid w:val="00C51B57"/>
    <w:rsid w:val="00C51C4C"/>
    <w:rsid w:val="00C51DA4"/>
    <w:rsid w:val="00C51DA7"/>
    <w:rsid w:val="00C51EBE"/>
    <w:rsid w:val="00C51EE2"/>
    <w:rsid w:val="00C51FC5"/>
    <w:rsid w:val="00C52033"/>
    <w:rsid w:val="00C520E7"/>
    <w:rsid w:val="00C52104"/>
    <w:rsid w:val="00C52183"/>
    <w:rsid w:val="00C522D8"/>
    <w:rsid w:val="00C52336"/>
    <w:rsid w:val="00C52377"/>
    <w:rsid w:val="00C524E2"/>
    <w:rsid w:val="00C52588"/>
    <w:rsid w:val="00C525A3"/>
    <w:rsid w:val="00C5263E"/>
    <w:rsid w:val="00C526AA"/>
    <w:rsid w:val="00C52757"/>
    <w:rsid w:val="00C5285B"/>
    <w:rsid w:val="00C528ED"/>
    <w:rsid w:val="00C5298B"/>
    <w:rsid w:val="00C52992"/>
    <w:rsid w:val="00C52996"/>
    <w:rsid w:val="00C52998"/>
    <w:rsid w:val="00C529E5"/>
    <w:rsid w:val="00C52B81"/>
    <w:rsid w:val="00C52DEC"/>
    <w:rsid w:val="00C52E75"/>
    <w:rsid w:val="00C52EA4"/>
    <w:rsid w:val="00C52F9E"/>
    <w:rsid w:val="00C531A0"/>
    <w:rsid w:val="00C531DB"/>
    <w:rsid w:val="00C5329F"/>
    <w:rsid w:val="00C53389"/>
    <w:rsid w:val="00C5339E"/>
    <w:rsid w:val="00C534B9"/>
    <w:rsid w:val="00C53547"/>
    <w:rsid w:val="00C537C2"/>
    <w:rsid w:val="00C539B9"/>
    <w:rsid w:val="00C53A93"/>
    <w:rsid w:val="00C53ADB"/>
    <w:rsid w:val="00C53B52"/>
    <w:rsid w:val="00C53B92"/>
    <w:rsid w:val="00C53BE7"/>
    <w:rsid w:val="00C53EFF"/>
    <w:rsid w:val="00C53F8C"/>
    <w:rsid w:val="00C54034"/>
    <w:rsid w:val="00C54243"/>
    <w:rsid w:val="00C54314"/>
    <w:rsid w:val="00C5443B"/>
    <w:rsid w:val="00C54543"/>
    <w:rsid w:val="00C545E6"/>
    <w:rsid w:val="00C549B6"/>
    <w:rsid w:val="00C54AE1"/>
    <w:rsid w:val="00C54B60"/>
    <w:rsid w:val="00C54BBB"/>
    <w:rsid w:val="00C54BCA"/>
    <w:rsid w:val="00C54EE1"/>
    <w:rsid w:val="00C54EED"/>
    <w:rsid w:val="00C54F3C"/>
    <w:rsid w:val="00C54F46"/>
    <w:rsid w:val="00C54FC1"/>
    <w:rsid w:val="00C55024"/>
    <w:rsid w:val="00C5505E"/>
    <w:rsid w:val="00C550EA"/>
    <w:rsid w:val="00C5510C"/>
    <w:rsid w:val="00C5523D"/>
    <w:rsid w:val="00C553E2"/>
    <w:rsid w:val="00C553E8"/>
    <w:rsid w:val="00C554B2"/>
    <w:rsid w:val="00C5554D"/>
    <w:rsid w:val="00C55578"/>
    <w:rsid w:val="00C555E3"/>
    <w:rsid w:val="00C5572E"/>
    <w:rsid w:val="00C558C7"/>
    <w:rsid w:val="00C558D7"/>
    <w:rsid w:val="00C55937"/>
    <w:rsid w:val="00C55ABF"/>
    <w:rsid w:val="00C55BBF"/>
    <w:rsid w:val="00C55BEE"/>
    <w:rsid w:val="00C55CD2"/>
    <w:rsid w:val="00C55D1F"/>
    <w:rsid w:val="00C55D6B"/>
    <w:rsid w:val="00C55E30"/>
    <w:rsid w:val="00C55F7D"/>
    <w:rsid w:val="00C55FA9"/>
    <w:rsid w:val="00C55FC1"/>
    <w:rsid w:val="00C5605B"/>
    <w:rsid w:val="00C561D7"/>
    <w:rsid w:val="00C56362"/>
    <w:rsid w:val="00C56395"/>
    <w:rsid w:val="00C56501"/>
    <w:rsid w:val="00C565C6"/>
    <w:rsid w:val="00C565E1"/>
    <w:rsid w:val="00C5665E"/>
    <w:rsid w:val="00C56674"/>
    <w:rsid w:val="00C56696"/>
    <w:rsid w:val="00C56859"/>
    <w:rsid w:val="00C5696D"/>
    <w:rsid w:val="00C56A92"/>
    <w:rsid w:val="00C56B0D"/>
    <w:rsid w:val="00C56BBA"/>
    <w:rsid w:val="00C56C55"/>
    <w:rsid w:val="00C56D4D"/>
    <w:rsid w:val="00C56D6D"/>
    <w:rsid w:val="00C56DA7"/>
    <w:rsid w:val="00C56E7D"/>
    <w:rsid w:val="00C56EF0"/>
    <w:rsid w:val="00C56F10"/>
    <w:rsid w:val="00C56FD1"/>
    <w:rsid w:val="00C57193"/>
    <w:rsid w:val="00C57224"/>
    <w:rsid w:val="00C57226"/>
    <w:rsid w:val="00C57292"/>
    <w:rsid w:val="00C5730D"/>
    <w:rsid w:val="00C57356"/>
    <w:rsid w:val="00C573ED"/>
    <w:rsid w:val="00C574C2"/>
    <w:rsid w:val="00C575BF"/>
    <w:rsid w:val="00C575CE"/>
    <w:rsid w:val="00C575D0"/>
    <w:rsid w:val="00C575D3"/>
    <w:rsid w:val="00C57646"/>
    <w:rsid w:val="00C57682"/>
    <w:rsid w:val="00C576C5"/>
    <w:rsid w:val="00C5785F"/>
    <w:rsid w:val="00C578AB"/>
    <w:rsid w:val="00C579B0"/>
    <w:rsid w:val="00C57AF2"/>
    <w:rsid w:val="00C57B95"/>
    <w:rsid w:val="00C57BBB"/>
    <w:rsid w:val="00C57BC3"/>
    <w:rsid w:val="00C57C4C"/>
    <w:rsid w:val="00C57EAD"/>
    <w:rsid w:val="00C57EE0"/>
    <w:rsid w:val="00C57F07"/>
    <w:rsid w:val="00C57F83"/>
    <w:rsid w:val="00C57FF9"/>
    <w:rsid w:val="00C583B8"/>
    <w:rsid w:val="00C6010F"/>
    <w:rsid w:val="00C60123"/>
    <w:rsid w:val="00C60151"/>
    <w:rsid w:val="00C6027F"/>
    <w:rsid w:val="00C60295"/>
    <w:rsid w:val="00C60395"/>
    <w:rsid w:val="00C603BE"/>
    <w:rsid w:val="00C6049C"/>
    <w:rsid w:val="00C604E5"/>
    <w:rsid w:val="00C60562"/>
    <w:rsid w:val="00C60589"/>
    <w:rsid w:val="00C60686"/>
    <w:rsid w:val="00C60722"/>
    <w:rsid w:val="00C60763"/>
    <w:rsid w:val="00C60929"/>
    <w:rsid w:val="00C60D0A"/>
    <w:rsid w:val="00C60D80"/>
    <w:rsid w:val="00C60DC8"/>
    <w:rsid w:val="00C60DDF"/>
    <w:rsid w:val="00C60DFC"/>
    <w:rsid w:val="00C60E38"/>
    <w:rsid w:val="00C60E66"/>
    <w:rsid w:val="00C60E7B"/>
    <w:rsid w:val="00C60EB6"/>
    <w:rsid w:val="00C60F4A"/>
    <w:rsid w:val="00C610A8"/>
    <w:rsid w:val="00C610AE"/>
    <w:rsid w:val="00C610CA"/>
    <w:rsid w:val="00C61103"/>
    <w:rsid w:val="00C61173"/>
    <w:rsid w:val="00C6119A"/>
    <w:rsid w:val="00C611EF"/>
    <w:rsid w:val="00C611F0"/>
    <w:rsid w:val="00C612A9"/>
    <w:rsid w:val="00C612AE"/>
    <w:rsid w:val="00C612DA"/>
    <w:rsid w:val="00C61357"/>
    <w:rsid w:val="00C61464"/>
    <w:rsid w:val="00C61486"/>
    <w:rsid w:val="00C614AF"/>
    <w:rsid w:val="00C61531"/>
    <w:rsid w:val="00C61565"/>
    <w:rsid w:val="00C615AD"/>
    <w:rsid w:val="00C61632"/>
    <w:rsid w:val="00C6164B"/>
    <w:rsid w:val="00C61716"/>
    <w:rsid w:val="00C6173C"/>
    <w:rsid w:val="00C6175B"/>
    <w:rsid w:val="00C6197A"/>
    <w:rsid w:val="00C61998"/>
    <w:rsid w:val="00C619D3"/>
    <w:rsid w:val="00C61A6D"/>
    <w:rsid w:val="00C61AA8"/>
    <w:rsid w:val="00C61BE1"/>
    <w:rsid w:val="00C61C82"/>
    <w:rsid w:val="00C61D78"/>
    <w:rsid w:val="00C620B7"/>
    <w:rsid w:val="00C62135"/>
    <w:rsid w:val="00C62267"/>
    <w:rsid w:val="00C6227E"/>
    <w:rsid w:val="00C624A3"/>
    <w:rsid w:val="00C62616"/>
    <w:rsid w:val="00C62763"/>
    <w:rsid w:val="00C6285E"/>
    <w:rsid w:val="00C6290A"/>
    <w:rsid w:val="00C629C7"/>
    <w:rsid w:val="00C62A8A"/>
    <w:rsid w:val="00C62BD4"/>
    <w:rsid w:val="00C62D45"/>
    <w:rsid w:val="00C62E08"/>
    <w:rsid w:val="00C62E2F"/>
    <w:rsid w:val="00C62FA3"/>
    <w:rsid w:val="00C62FC4"/>
    <w:rsid w:val="00C630B3"/>
    <w:rsid w:val="00C6312A"/>
    <w:rsid w:val="00C6320B"/>
    <w:rsid w:val="00C6329A"/>
    <w:rsid w:val="00C63422"/>
    <w:rsid w:val="00C6342F"/>
    <w:rsid w:val="00C6345A"/>
    <w:rsid w:val="00C6349A"/>
    <w:rsid w:val="00C63532"/>
    <w:rsid w:val="00C63605"/>
    <w:rsid w:val="00C6385F"/>
    <w:rsid w:val="00C6395C"/>
    <w:rsid w:val="00C6398E"/>
    <w:rsid w:val="00C63A12"/>
    <w:rsid w:val="00C63A5D"/>
    <w:rsid w:val="00C63CB6"/>
    <w:rsid w:val="00C63D36"/>
    <w:rsid w:val="00C63D7F"/>
    <w:rsid w:val="00C63DD5"/>
    <w:rsid w:val="00C63E76"/>
    <w:rsid w:val="00C63F33"/>
    <w:rsid w:val="00C63FEB"/>
    <w:rsid w:val="00C64046"/>
    <w:rsid w:val="00C641A1"/>
    <w:rsid w:val="00C64291"/>
    <w:rsid w:val="00C6436A"/>
    <w:rsid w:val="00C6440D"/>
    <w:rsid w:val="00C64427"/>
    <w:rsid w:val="00C645BF"/>
    <w:rsid w:val="00C6476F"/>
    <w:rsid w:val="00C647D7"/>
    <w:rsid w:val="00C648AF"/>
    <w:rsid w:val="00C649D2"/>
    <w:rsid w:val="00C649FF"/>
    <w:rsid w:val="00C64A0A"/>
    <w:rsid w:val="00C64AB4"/>
    <w:rsid w:val="00C64AF2"/>
    <w:rsid w:val="00C64B3A"/>
    <w:rsid w:val="00C64BE0"/>
    <w:rsid w:val="00C64CC2"/>
    <w:rsid w:val="00C64DEC"/>
    <w:rsid w:val="00C650A8"/>
    <w:rsid w:val="00C650CD"/>
    <w:rsid w:val="00C65166"/>
    <w:rsid w:val="00C651AC"/>
    <w:rsid w:val="00C651E3"/>
    <w:rsid w:val="00C65295"/>
    <w:rsid w:val="00C65375"/>
    <w:rsid w:val="00C653A7"/>
    <w:rsid w:val="00C6543F"/>
    <w:rsid w:val="00C65445"/>
    <w:rsid w:val="00C654CD"/>
    <w:rsid w:val="00C654DA"/>
    <w:rsid w:val="00C6574E"/>
    <w:rsid w:val="00C6587F"/>
    <w:rsid w:val="00C658C1"/>
    <w:rsid w:val="00C6592B"/>
    <w:rsid w:val="00C65946"/>
    <w:rsid w:val="00C65951"/>
    <w:rsid w:val="00C659DE"/>
    <w:rsid w:val="00C659E0"/>
    <w:rsid w:val="00C65A5D"/>
    <w:rsid w:val="00C65B1D"/>
    <w:rsid w:val="00C65B60"/>
    <w:rsid w:val="00C65BA7"/>
    <w:rsid w:val="00C65C79"/>
    <w:rsid w:val="00C65CB6"/>
    <w:rsid w:val="00C65CEC"/>
    <w:rsid w:val="00C65D3E"/>
    <w:rsid w:val="00C65D89"/>
    <w:rsid w:val="00C65E68"/>
    <w:rsid w:val="00C65E6A"/>
    <w:rsid w:val="00C65F6D"/>
    <w:rsid w:val="00C65F7E"/>
    <w:rsid w:val="00C66098"/>
    <w:rsid w:val="00C66127"/>
    <w:rsid w:val="00C661A1"/>
    <w:rsid w:val="00C661BB"/>
    <w:rsid w:val="00C661F2"/>
    <w:rsid w:val="00C6622C"/>
    <w:rsid w:val="00C6624C"/>
    <w:rsid w:val="00C66265"/>
    <w:rsid w:val="00C66331"/>
    <w:rsid w:val="00C663C9"/>
    <w:rsid w:val="00C663CE"/>
    <w:rsid w:val="00C66446"/>
    <w:rsid w:val="00C66468"/>
    <w:rsid w:val="00C664B6"/>
    <w:rsid w:val="00C66556"/>
    <w:rsid w:val="00C665A9"/>
    <w:rsid w:val="00C66754"/>
    <w:rsid w:val="00C667A6"/>
    <w:rsid w:val="00C668B3"/>
    <w:rsid w:val="00C668C1"/>
    <w:rsid w:val="00C6695E"/>
    <w:rsid w:val="00C6696B"/>
    <w:rsid w:val="00C66980"/>
    <w:rsid w:val="00C669A2"/>
    <w:rsid w:val="00C66A06"/>
    <w:rsid w:val="00C66A36"/>
    <w:rsid w:val="00C66BC3"/>
    <w:rsid w:val="00C66CC9"/>
    <w:rsid w:val="00C66D8C"/>
    <w:rsid w:val="00C66DAE"/>
    <w:rsid w:val="00C66DE7"/>
    <w:rsid w:val="00C66E5B"/>
    <w:rsid w:val="00C66FCA"/>
    <w:rsid w:val="00C6708B"/>
    <w:rsid w:val="00C67243"/>
    <w:rsid w:val="00C6744F"/>
    <w:rsid w:val="00C67455"/>
    <w:rsid w:val="00C674D2"/>
    <w:rsid w:val="00C67681"/>
    <w:rsid w:val="00C67880"/>
    <w:rsid w:val="00C67892"/>
    <w:rsid w:val="00C678BA"/>
    <w:rsid w:val="00C67B1A"/>
    <w:rsid w:val="00C67B9B"/>
    <w:rsid w:val="00C67DCE"/>
    <w:rsid w:val="00C67DD9"/>
    <w:rsid w:val="00C67E4D"/>
    <w:rsid w:val="00C67F08"/>
    <w:rsid w:val="00C67F0A"/>
    <w:rsid w:val="00C67F26"/>
    <w:rsid w:val="00C67F80"/>
    <w:rsid w:val="00C67FBD"/>
    <w:rsid w:val="00C7002E"/>
    <w:rsid w:val="00C70088"/>
    <w:rsid w:val="00C700F5"/>
    <w:rsid w:val="00C7028F"/>
    <w:rsid w:val="00C702AF"/>
    <w:rsid w:val="00C702C9"/>
    <w:rsid w:val="00C7032B"/>
    <w:rsid w:val="00C703F2"/>
    <w:rsid w:val="00C70543"/>
    <w:rsid w:val="00C70771"/>
    <w:rsid w:val="00C70784"/>
    <w:rsid w:val="00C70A24"/>
    <w:rsid w:val="00C70A43"/>
    <w:rsid w:val="00C70A62"/>
    <w:rsid w:val="00C70B46"/>
    <w:rsid w:val="00C70BDB"/>
    <w:rsid w:val="00C70C1C"/>
    <w:rsid w:val="00C70C5F"/>
    <w:rsid w:val="00C70C81"/>
    <w:rsid w:val="00C70CB7"/>
    <w:rsid w:val="00C70CF7"/>
    <w:rsid w:val="00C70D22"/>
    <w:rsid w:val="00C70D8F"/>
    <w:rsid w:val="00C70E58"/>
    <w:rsid w:val="00C70E80"/>
    <w:rsid w:val="00C7104F"/>
    <w:rsid w:val="00C710B4"/>
    <w:rsid w:val="00C71105"/>
    <w:rsid w:val="00C71202"/>
    <w:rsid w:val="00C71210"/>
    <w:rsid w:val="00C712AA"/>
    <w:rsid w:val="00C712BC"/>
    <w:rsid w:val="00C713A8"/>
    <w:rsid w:val="00C713C8"/>
    <w:rsid w:val="00C71433"/>
    <w:rsid w:val="00C714A5"/>
    <w:rsid w:val="00C71502"/>
    <w:rsid w:val="00C7157F"/>
    <w:rsid w:val="00C715DA"/>
    <w:rsid w:val="00C71757"/>
    <w:rsid w:val="00C71842"/>
    <w:rsid w:val="00C71994"/>
    <w:rsid w:val="00C719A9"/>
    <w:rsid w:val="00C71AAA"/>
    <w:rsid w:val="00C71B74"/>
    <w:rsid w:val="00C71BFE"/>
    <w:rsid w:val="00C71D47"/>
    <w:rsid w:val="00C71E8E"/>
    <w:rsid w:val="00C71F9A"/>
    <w:rsid w:val="00C71FB3"/>
    <w:rsid w:val="00C72085"/>
    <w:rsid w:val="00C720D9"/>
    <w:rsid w:val="00C7212C"/>
    <w:rsid w:val="00C7215F"/>
    <w:rsid w:val="00C722EE"/>
    <w:rsid w:val="00C7230A"/>
    <w:rsid w:val="00C72454"/>
    <w:rsid w:val="00C72473"/>
    <w:rsid w:val="00C7257F"/>
    <w:rsid w:val="00C7262A"/>
    <w:rsid w:val="00C72665"/>
    <w:rsid w:val="00C72685"/>
    <w:rsid w:val="00C72722"/>
    <w:rsid w:val="00C728DE"/>
    <w:rsid w:val="00C72C83"/>
    <w:rsid w:val="00C72CDE"/>
    <w:rsid w:val="00C72DAB"/>
    <w:rsid w:val="00C72E7B"/>
    <w:rsid w:val="00C72F60"/>
    <w:rsid w:val="00C73203"/>
    <w:rsid w:val="00C7325A"/>
    <w:rsid w:val="00C7359E"/>
    <w:rsid w:val="00C735B2"/>
    <w:rsid w:val="00C737A5"/>
    <w:rsid w:val="00C737AB"/>
    <w:rsid w:val="00C73891"/>
    <w:rsid w:val="00C7392F"/>
    <w:rsid w:val="00C73A5B"/>
    <w:rsid w:val="00C73AB6"/>
    <w:rsid w:val="00C73BE6"/>
    <w:rsid w:val="00C73C9E"/>
    <w:rsid w:val="00C73E2A"/>
    <w:rsid w:val="00C74070"/>
    <w:rsid w:val="00C741C4"/>
    <w:rsid w:val="00C74204"/>
    <w:rsid w:val="00C743F7"/>
    <w:rsid w:val="00C7446B"/>
    <w:rsid w:val="00C74476"/>
    <w:rsid w:val="00C7449F"/>
    <w:rsid w:val="00C745AE"/>
    <w:rsid w:val="00C746B6"/>
    <w:rsid w:val="00C74780"/>
    <w:rsid w:val="00C747E8"/>
    <w:rsid w:val="00C74872"/>
    <w:rsid w:val="00C74883"/>
    <w:rsid w:val="00C748B2"/>
    <w:rsid w:val="00C74968"/>
    <w:rsid w:val="00C74AD4"/>
    <w:rsid w:val="00C74AE8"/>
    <w:rsid w:val="00C74BC1"/>
    <w:rsid w:val="00C74BD5"/>
    <w:rsid w:val="00C74CB4"/>
    <w:rsid w:val="00C74CFF"/>
    <w:rsid w:val="00C74DB5"/>
    <w:rsid w:val="00C74E0C"/>
    <w:rsid w:val="00C74E28"/>
    <w:rsid w:val="00C74ECD"/>
    <w:rsid w:val="00C74FE8"/>
    <w:rsid w:val="00C7513D"/>
    <w:rsid w:val="00C751DF"/>
    <w:rsid w:val="00C751F4"/>
    <w:rsid w:val="00C753B2"/>
    <w:rsid w:val="00C75452"/>
    <w:rsid w:val="00C754C5"/>
    <w:rsid w:val="00C75549"/>
    <w:rsid w:val="00C755C6"/>
    <w:rsid w:val="00C7563C"/>
    <w:rsid w:val="00C75849"/>
    <w:rsid w:val="00C75B09"/>
    <w:rsid w:val="00C75B59"/>
    <w:rsid w:val="00C75B7C"/>
    <w:rsid w:val="00C75B9E"/>
    <w:rsid w:val="00C75BC7"/>
    <w:rsid w:val="00C75C15"/>
    <w:rsid w:val="00C75C7D"/>
    <w:rsid w:val="00C75CD6"/>
    <w:rsid w:val="00C75CFF"/>
    <w:rsid w:val="00C75D1F"/>
    <w:rsid w:val="00C75D68"/>
    <w:rsid w:val="00C75D86"/>
    <w:rsid w:val="00C75D8B"/>
    <w:rsid w:val="00C75E10"/>
    <w:rsid w:val="00C75E47"/>
    <w:rsid w:val="00C75EC1"/>
    <w:rsid w:val="00C75F01"/>
    <w:rsid w:val="00C75F31"/>
    <w:rsid w:val="00C76072"/>
    <w:rsid w:val="00C76090"/>
    <w:rsid w:val="00C760BF"/>
    <w:rsid w:val="00C760FA"/>
    <w:rsid w:val="00C76141"/>
    <w:rsid w:val="00C76175"/>
    <w:rsid w:val="00C76201"/>
    <w:rsid w:val="00C762B3"/>
    <w:rsid w:val="00C76313"/>
    <w:rsid w:val="00C7631F"/>
    <w:rsid w:val="00C7639E"/>
    <w:rsid w:val="00C763E6"/>
    <w:rsid w:val="00C763EA"/>
    <w:rsid w:val="00C764FD"/>
    <w:rsid w:val="00C76536"/>
    <w:rsid w:val="00C766A4"/>
    <w:rsid w:val="00C7684C"/>
    <w:rsid w:val="00C7696E"/>
    <w:rsid w:val="00C76974"/>
    <w:rsid w:val="00C7697C"/>
    <w:rsid w:val="00C76A2F"/>
    <w:rsid w:val="00C76A7F"/>
    <w:rsid w:val="00C76AEE"/>
    <w:rsid w:val="00C76B97"/>
    <w:rsid w:val="00C76CAF"/>
    <w:rsid w:val="00C76D44"/>
    <w:rsid w:val="00C76E30"/>
    <w:rsid w:val="00C76FBD"/>
    <w:rsid w:val="00C76FF1"/>
    <w:rsid w:val="00C7714D"/>
    <w:rsid w:val="00C77163"/>
    <w:rsid w:val="00C771E1"/>
    <w:rsid w:val="00C77234"/>
    <w:rsid w:val="00C7724A"/>
    <w:rsid w:val="00C77371"/>
    <w:rsid w:val="00C77459"/>
    <w:rsid w:val="00C774A2"/>
    <w:rsid w:val="00C775C0"/>
    <w:rsid w:val="00C775E2"/>
    <w:rsid w:val="00C77652"/>
    <w:rsid w:val="00C77667"/>
    <w:rsid w:val="00C776CD"/>
    <w:rsid w:val="00C776F3"/>
    <w:rsid w:val="00C7778A"/>
    <w:rsid w:val="00C7780C"/>
    <w:rsid w:val="00C778AA"/>
    <w:rsid w:val="00C7793B"/>
    <w:rsid w:val="00C77B98"/>
    <w:rsid w:val="00C77C6A"/>
    <w:rsid w:val="00C77F32"/>
    <w:rsid w:val="00C77F44"/>
    <w:rsid w:val="00C77F82"/>
    <w:rsid w:val="00C77FEC"/>
    <w:rsid w:val="00C800A4"/>
    <w:rsid w:val="00C80139"/>
    <w:rsid w:val="00C80191"/>
    <w:rsid w:val="00C801E6"/>
    <w:rsid w:val="00C8020E"/>
    <w:rsid w:val="00C802EF"/>
    <w:rsid w:val="00C80373"/>
    <w:rsid w:val="00C80497"/>
    <w:rsid w:val="00C80559"/>
    <w:rsid w:val="00C807BC"/>
    <w:rsid w:val="00C8085D"/>
    <w:rsid w:val="00C808B9"/>
    <w:rsid w:val="00C808F5"/>
    <w:rsid w:val="00C808FC"/>
    <w:rsid w:val="00C8097C"/>
    <w:rsid w:val="00C809A7"/>
    <w:rsid w:val="00C809C4"/>
    <w:rsid w:val="00C80B4F"/>
    <w:rsid w:val="00C80C0F"/>
    <w:rsid w:val="00C80C45"/>
    <w:rsid w:val="00C80F8F"/>
    <w:rsid w:val="00C8106F"/>
    <w:rsid w:val="00C810AE"/>
    <w:rsid w:val="00C811A7"/>
    <w:rsid w:val="00C8120C"/>
    <w:rsid w:val="00C81224"/>
    <w:rsid w:val="00C81290"/>
    <w:rsid w:val="00C812F3"/>
    <w:rsid w:val="00C8138D"/>
    <w:rsid w:val="00C814B1"/>
    <w:rsid w:val="00C814FE"/>
    <w:rsid w:val="00C81576"/>
    <w:rsid w:val="00C815BE"/>
    <w:rsid w:val="00C815E7"/>
    <w:rsid w:val="00C81699"/>
    <w:rsid w:val="00C816B7"/>
    <w:rsid w:val="00C816DF"/>
    <w:rsid w:val="00C816EF"/>
    <w:rsid w:val="00C8173F"/>
    <w:rsid w:val="00C81833"/>
    <w:rsid w:val="00C81887"/>
    <w:rsid w:val="00C81993"/>
    <w:rsid w:val="00C81A68"/>
    <w:rsid w:val="00C81B26"/>
    <w:rsid w:val="00C81BA5"/>
    <w:rsid w:val="00C81BD7"/>
    <w:rsid w:val="00C81CF3"/>
    <w:rsid w:val="00C81D20"/>
    <w:rsid w:val="00C81D99"/>
    <w:rsid w:val="00C81F46"/>
    <w:rsid w:val="00C81FDD"/>
    <w:rsid w:val="00C81FEB"/>
    <w:rsid w:val="00C820D5"/>
    <w:rsid w:val="00C82228"/>
    <w:rsid w:val="00C822F9"/>
    <w:rsid w:val="00C82341"/>
    <w:rsid w:val="00C8235C"/>
    <w:rsid w:val="00C823CE"/>
    <w:rsid w:val="00C823FF"/>
    <w:rsid w:val="00C82499"/>
    <w:rsid w:val="00C82500"/>
    <w:rsid w:val="00C82574"/>
    <w:rsid w:val="00C8261D"/>
    <w:rsid w:val="00C82654"/>
    <w:rsid w:val="00C8266A"/>
    <w:rsid w:val="00C828E1"/>
    <w:rsid w:val="00C82944"/>
    <w:rsid w:val="00C829CF"/>
    <w:rsid w:val="00C82CA1"/>
    <w:rsid w:val="00C82EC6"/>
    <w:rsid w:val="00C82ED3"/>
    <w:rsid w:val="00C82EE4"/>
    <w:rsid w:val="00C82F34"/>
    <w:rsid w:val="00C8301A"/>
    <w:rsid w:val="00C831AE"/>
    <w:rsid w:val="00C831FD"/>
    <w:rsid w:val="00C8323F"/>
    <w:rsid w:val="00C833A3"/>
    <w:rsid w:val="00C83401"/>
    <w:rsid w:val="00C8352A"/>
    <w:rsid w:val="00C83552"/>
    <w:rsid w:val="00C835B1"/>
    <w:rsid w:val="00C8372C"/>
    <w:rsid w:val="00C837E0"/>
    <w:rsid w:val="00C837F5"/>
    <w:rsid w:val="00C83834"/>
    <w:rsid w:val="00C83867"/>
    <w:rsid w:val="00C839F1"/>
    <w:rsid w:val="00C83A10"/>
    <w:rsid w:val="00C83AD7"/>
    <w:rsid w:val="00C83AEC"/>
    <w:rsid w:val="00C83B0F"/>
    <w:rsid w:val="00C83BF8"/>
    <w:rsid w:val="00C83D90"/>
    <w:rsid w:val="00C83EB4"/>
    <w:rsid w:val="00C83ED7"/>
    <w:rsid w:val="00C83EF3"/>
    <w:rsid w:val="00C83F60"/>
    <w:rsid w:val="00C840BC"/>
    <w:rsid w:val="00C84182"/>
    <w:rsid w:val="00C84212"/>
    <w:rsid w:val="00C84311"/>
    <w:rsid w:val="00C84330"/>
    <w:rsid w:val="00C843BD"/>
    <w:rsid w:val="00C84478"/>
    <w:rsid w:val="00C844F9"/>
    <w:rsid w:val="00C846F1"/>
    <w:rsid w:val="00C84736"/>
    <w:rsid w:val="00C84746"/>
    <w:rsid w:val="00C848AD"/>
    <w:rsid w:val="00C849D4"/>
    <w:rsid w:val="00C84C78"/>
    <w:rsid w:val="00C84CCE"/>
    <w:rsid w:val="00C84CFD"/>
    <w:rsid w:val="00C84E27"/>
    <w:rsid w:val="00C84F3D"/>
    <w:rsid w:val="00C84FAF"/>
    <w:rsid w:val="00C84FF1"/>
    <w:rsid w:val="00C850F6"/>
    <w:rsid w:val="00C851B4"/>
    <w:rsid w:val="00C85260"/>
    <w:rsid w:val="00C852DE"/>
    <w:rsid w:val="00C8539B"/>
    <w:rsid w:val="00C854EA"/>
    <w:rsid w:val="00C85564"/>
    <w:rsid w:val="00C85575"/>
    <w:rsid w:val="00C856B8"/>
    <w:rsid w:val="00C856E7"/>
    <w:rsid w:val="00C85728"/>
    <w:rsid w:val="00C85855"/>
    <w:rsid w:val="00C85918"/>
    <w:rsid w:val="00C85A1A"/>
    <w:rsid w:val="00C85AD4"/>
    <w:rsid w:val="00C85C00"/>
    <w:rsid w:val="00C85C2C"/>
    <w:rsid w:val="00C85CB2"/>
    <w:rsid w:val="00C85CC5"/>
    <w:rsid w:val="00C85DA8"/>
    <w:rsid w:val="00C85F7B"/>
    <w:rsid w:val="00C86284"/>
    <w:rsid w:val="00C863A9"/>
    <w:rsid w:val="00C863C2"/>
    <w:rsid w:val="00C864F2"/>
    <w:rsid w:val="00C86512"/>
    <w:rsid w:val="00C86544"/>
    <w:rsid w:val="00C86579"/>
    <w:rsid w:val="00C86659"/>
    <w:rsid w:val="00C86710"/>
    <w:rsid w:val="00C86823"/>
    <w:rsid w:val="00C8682E"/>
    <w:rsid w:val="00C868CB"/>
    <w:rsid w:val="00C869E3"/>
    <w:rsid w:val="00C869EA"/>
    <w:rsid w:val="00C86ABF"/>
    <w:rsid w:val="00C86ADC"/>
    <w:rsid w:val="00C86AEC"/>
    <w:rsid w:val="00C86C76"/>
    <w:rsid w:val="00C86D4F"/>
    <w:rsid w:val="00C86E45"/>
    <w:rsid w:val="00C86E5B"/>
    <w:rsid w:val="00C8715A"/>
    <w:rsid w:val="00C871C6"/>
    <w:rsid w:val="00C87431"/>
    <w:rsid w:val="00C87475"/>
    <w:rsid w:val="00C874D7"/>
    <w:rsid w:val="00C8754F"/>
    <w:rsid w:val="00C8769D"/>
    <w:rsid w:val="00C87721"/>
    <w:rsid w:val="00C87879"/>
    <w:rsid w:val="00C878BB"/>
    <w:rsid w:val="00C878E2"/>
    <w:rsid w:val="00C878FD"/>
    <w:rsid w:val="00C87B2D"/>
    <w:rsid w:val="00C87BF2"/>
    <w:rsid w:val="00C87E6A"/>
    <w:rsid w:val="00C87FD7"/>
    <w:rsid w:val="00C87FFD"/>
    <w:rsid w:val="00C900F5"/>
    <w:rsid w:val="00C90215"/>
    <w:rsid w:val="00C90216"/>
    <w:rsid w:val="00C90254"/>
    <w:rsid w:val="00C90266"/>
    <w:rsid w:val="00C90317"/>
    <w:rsid w:val="00C90375"/>
    <w:rsid w:val="00C9040F"/>
    <w:rsid w:val="00C904F5"/>
    <w:rsid w:val="00C9059A"/>
    <w:rsid w:val="00C9077E"/>
    <w:rsid w:val="00C907AD"/>
    <w:rsid w:val="00C90825"/>
    <w:rsid w:val="00C9086E"/>
    <w:rsid w:val="00C90887"/>
    <w:rsid w:val="00C908E7"/>
    <w:rsid w:val="00C90919"/>
    <w:rsid w:val="00C90925"/>
    <w:rsid w:val="00C9092C"/>
    <w:rsid w:val="00C90A84"/>
    <w:rsid w:val="00C90B8A"/>
    <w:rsid w:val="00C90C2C"/>
    <w:rsid w:val="00C90C46"/>
    <w:rsid w:val="00C90C88"/>
    <w:rsid w:val="00C90CE2"/>
    <w:rsid w:val="00C90E03"/>
    <w:rsid w:val="00C90E0C"/>
    <w:rsid w:val="00C90EFF"/>
    <w:rsid w:val="00C90FD5"/>
    <w:rsid w:val="00C91049"/>
    <w:rsid w:val="00C91145"/>
    <w:rsid w:val="00C9125B"/>
    <w:rsid w:val="00C9125F"/>
    <w:rsid w:val="00C9135E"/>
    <w:rsid w:val="00C913B0"/>
    <w:rsid w:val="00C9145E"/>
    <w:rsid w:val="00C91566"/>
    <w:rsid w:val="00C915F3"/>
    <w:rsid w:val="00C91736"/>
    <w:rsid w:val="00C917B9"/>
    <w:rsid w:val="00C9185D"/>
    <w:rsid w:val="00C91873"/>
    <w:rsid w:val="00C91902"/>
    <w:rsid w:val="00C919F3"/>
    <w:rsid w:val="00C91B4D"/>
    <w:rsid w:val="00C91BDD"/>
    <w:rsid w:val="00C91C71"/>
    <w:rsid w:val="00C91CA0"/>
    <w:rsid w:val="00C91CDC"/>
    <w:rsid w:val="00C91CE8"/>
    <w:rsid w:val="00C91F76"/>
    <w:rsid w:val="00C92009"/>
    <w:rsid w:val="00C921F5"/>
    <w:rsid w:val="00C921FC"/>
    <w:rsid w:val="00C92249"/>
    <w:rsid w:val="00C92282"/>
    <w:rsid w:val="00C9235F"/>
    <w:rsid w:val="00C9275C"/>
    <w:rsid w:val="00C92822"/>
    <w:rsid w:val="00C928AB"/>
    <w:rsid w:val="00C9292B"/>
    <w:rsid w:val="00C92A00"/>
    <w:rsid w:val="00C92ADC"/>
    <w:rsid w:val="00C92B80"/>
    <w:rsid w:val="00C92C5E"/>
    <w:rsid w:val="00C92D6A"/>
    <w:rsid w:val="00C92E00"/>
    <w:rsid w:val="00C92E51"/>
    <w:rsid w:val="00C92F00"/>
    <w:rsid w:val="00C92FB6"/>
    <w:rsid w:val="00C9307C"/>
    <w:rsid w:val="00C931C0"/>
    <w:rsid w:val="00C9320F"/>
    <w:rsid w:val="00C932F9"/>
    <w:rsid w:val="00C933FA"/>
    <w:rsid w:val="00C9349D"/>
    <w:rsid w:val="00C93552"/>
    <w:rsid w:val="00C935B9"/>
    <w:rsid w:val="00C935D0"/>
    <w:rsid w:val="00C936A8"/>
    <w:rsid w:val="00C936B4"/>
    <w:rsid w:val="00C937B1"/>
    <w:rsid w:val="00C937FA"/>
    <w:rsid w:val="00C937FF"/>
    <w:rsid w:val="00C93A93"/>
    <w:rsid w:val="00C93A97"/>
    <w:rsid w:val="00C93B0B"/>
    <w:rsid w:val="00C93B50"/>
    <w:rsid w:val="00C93C2F"/>
    <w:rsid w:val="00C93D21"/>
    <w:rsid w:val="00C93D90"/>
    <w:rsid w:val="00C93DA5"/>
    <w:rsid w:val="00C93DAD"/>
    <w:rsid w:val="00C93E56"/>
    <w:rsid w:val="00C93EA2"/>
    <w:rsid w:val="00C93F80"/>
    <w:rsid w:val="00C93F9C"/>
    <w:rsid w:val="00C93FDA"/>
    <w:rsid w:val="00C93FF8"/>
    <w:rsid w:val="00C94000"/>
    <w:rsid w:val="00C94026"/>
    <w:rsid w:val="00C9433E"/>
    <w:rsid w:val="00C944C4"/>
    <w:rsid w:val="00C9452D"/>
    <w:rsid w:val="00C945B0"/>
    <w:rsid w:val="00C94665"/>
    <w:rsid w:val="00C947C1"/>
    <w:rsid w:val="00C9490C"/>
    <w:rsid w:val="00C949B5"/>
    <w:rsid w:val="00C94ACD"/>
    <w:rsid w:val="00C94ACE"/>
    <w:rsid w:val="00C94B3A"/>
    <w:rsid w:val="00C94D52"/>
    <w:rsid w:val="00C94D74"/>
    <w:rsid w:val="00C94D9C"/>
    <w:rsid w:val="00C94D9D"/>
    <w:rsid w:val="00C950AE"/>
    <w:rsid w:val="00C950E7"/>
    <w:rsid w:val="00C95108"/>
    <w:rsid w:val="00C95191"/>
    <w:rsid w:val="00C95326"/>
    <w:rsid w:val="00C95547"/>
    <w:rsid w:val="00C95629"/>
    <w:rsid w:val="00C95723"/>
    <w:rsid w:val="00C957D9"/>
    <w:rsid w:val="00C9584D"/>
    <w:rsid w:val="00C959B2"/>
    <w:rsid w:val="00C959C4"/>
    <w:rsid w:val="00C95D41"/>
    <w:rsid w:val="00C95D81"/>
    <w:rsid w:val="00C95E0E"/>
    <w:rsid w:val="00C95EF5"/>
    <w:rsid w:val="00C95F93"/>
    <w:rsid w:val="00C95F95"/>
    <w:rsid w:val="00C961BB"/>
    <w:rsid w:val="00C96284"/>
    <w:rsid w:val="00C962D4"/>
    <w:rsid w:val="00C96331"/>
    <w:rsid w:val="00C96359"/>
    <w:rsid w:val="00C9636D"/>
    <w:rsid w:val="00C963BB"/>
    <w:rsid w:val="00C9641A"/>
    <w:rsid w:val="00C96477"/>
    <w:rsid w:val="00C964F0"/>
    <w:rsid w:val="00C964FA"/>
    <w:rsid w:val="00C9656E"/>
    <w:rsid w:val="00C965D1"/>
    <w:rsid w:val="00C9666A"/>
    <w:rsid w:val="00C966DE"/>
    <w:rsid w:val="00C96828"/>
    <w:rsid w:val="00C96843"/>
    <w:rsid w:val="00C96868"/>
    <w:rsid w:val="00C96A4C"/>
    <w:rsid w:val="00C96B42"/>
    <w:rsid w:val="00C96B6E"/>
    <w:rsid w:val="00C96B89"/>
    <w:rsid w:val="00C96BB5"/>
    <w:rsid w:val="00C96CA7"/>
    <w:rsid w:val="00C96CB0"/>
    <w:rsid w:val="00C96CD8"/>
    <w:rsid w:val="00C96D47"/>
    <w:rsid w:val="00C96DE1"/>
    <w:rsid w:val="00C96DE3"/>
    <w:rsid w:val="00C96E0B"/>
    <w:rsid w:val="00C96EB3"/>
    <w:rsid w:val="00C96EFF"/>
    <w:rsid w:val="00C96F4E"/>
    <w:rsid w:val="00C96F8D"/>
    <w:rsid w:val="00C96F91"/>
    <w:rsid w:val="00C96FF0"/>
    <w:rsid w:val="00C971B0"/>
    <w:rsid w:val="00C972D5"/>
    <w:rsid w:val="00C9735B"/>
    <w:rsid w:val="00C973C2"/>
    <w:rsid w:val="00C974CE"/>
    <w:rsid w:val="00C975B2"/>
    <w:rsid w:val="00C976E5"/>
    <w:rsid w:val="00C97888"/>
    <w:rsid w:val="00C978D1"/>
    <w:rsid w:val="00C978E2"/>
    <w:rsid w:val="00C97950"/>
    <w:rsid w:val="00C979C0"/>
    <w:rsid w:val="00C97A56"/>
    <w:rsid w:val="00C97B06"/>
    <w:rsid w:val="00C97B22"/>
    <w:rsid w:val="00C97BB3"/>
    <w:rsid w:val="00C97C83"/>
    <w:rsid w:val="00C97C98"/>
    <w:rsid w:val="00C97CD5"/>
    <w:rsid w:val="00C97D56"/>
    <w:rsid w:val="00C97DCA"/>
    <w:rsid w:val="00CA0033"/>
    <w:rsid w:val="00CA00DD"/>
    <w:rsid w:val="00CA013D"/>
    <w:rsid w:val="00CA015D"/>
    <w:rsid w:val="00CA0268"/>
    <w:rsid w:val="00CA03DD"/>
    <w:rsid w:val="00CA0467"/>
    <w:rsid w:val="00CA04DB"/>
    <w:rsid w:val="00CA05B5"/>
    <w:rsid w:val="00CA0656"/>
    <w:rsid w:val="00CA077E"/>
    <w:rsid w:val="00CA07C8"/>
    <w:rsid w:val="00CA0829"/>
    <w:rsid w:val="00CA0880"/>
    <w:rsid w:val="00CA08B2"/>
    <w:rsid w:val="00CA0ACF"/>
    <w:rsid w:val="00CA0C04"/>
    <w:rsid w:val="00CA0C5D"/>
    <w:rsid w:val="00CA0E28"/>
    <w:rsid w:val="00CA0F15"/>
    <w:rsid w:val="00CA108A"/>
    <w:rsid w:val="00CA1135"/>
    <w:rsid w:val="00CA1185"/>
    <w:rsid w:val="00CA1353"/>
    <w:rsid w:val="00CA1464"/>
    <w:rsid w:val="00CA1465"/>
    <w:rsid w:val="00CA14F9"/>
    <w:rsid w:val="00CA160F"/>
    <w:rsid w:val="00CA16B8"/>
    <w:rsid w:val="00CA16CB"/>
    <w:rsid w:val="00CA1752"/>
    <w:rsid w:val="00CA182C"/>
    <w:rsid w:val="00CA186B"/>
    <w:rsid w:val="00CA18A1"/>
    <w:rsid w:val="00CA18A9"/>
    <w:rsid w:val="00CA18AD"/>
    <w:rsid w:val="00CA195A"/>
    <w:rsid w:val="00CA1A10"/>
    <w:rsid w:val="00CA1ACB"/>
    <w:rsid w:val="00CA1B24"/>
    <w:rsid w:val="00CA1B83"/>
    <w:rsid w:val="00CA1CD6"/>
    <w:rsid w:val="00CA1DC5"/>
    <w:rsid w:val="00CA1F95"/>
    <w:rsid w:val="00CA1FBC"/>
    <w:rsid w:val="00CA20EE"/>
    <w:rsid w:val="00CA2233"/>
    <w:rsid w:val="00CA22B1"/>
    <w:rsid w:val="00CA234D"/>
    <w:rsid w:val="00CA242E"/>
    <w:rsid w:val="00CA24BD"/>
    <w:rsid w:val="00CA253C"/>
    <w:rsid w:val="00CA26EE"/>
    <w:rsid w:val="00CA2857"/>
    <w:rsid w:val="00CA289C"/>
    <w:rsid w:val="00CA28E7"/>
    <w:rsid w:val="00CA2963"/>
    <w:rsid w:val="00CA2980"/>
    <w:rsid w:val="00CA2A14"/>
    <w:rsid w:val="00CA2B3D"/>
    <w:rsid w:val="00CA2BD9"/>
    <w:rsid w:val="00CA2C46"/>
    <w:rsid w:val="00CA2D2B"/>
    <w:rsid w:val="00CA2D35"/>
    <w:rsid w:val="00CA2D37"/>
    <w:rsid w:val="00CA2DBD"/>
    <w:rsid w:val="00CA2F3B"/>
    <w:rsid w:val="00CA2F3E"/>
    <w:rsid w:val="00CA2F83"/>
    <w:rsid w:val="00CA2FA9"/>
    <w:rsid w:val="00CA2FB3"/>
    <w:rsid w:val="00CA3026"/>
    <w:rsid w:val="00CA309B"/>
    <w:rsid w:val="00CA30BE"/>
    <w:rsid w:val="00CA3157"/>
    <w:rsid w:val="00CA3226"/>
    <w:rsid w:val="00CA3229"/>
    <w:rsid w:val="00CA33C2"/>
    <w:rsid w:val="00CA35FD"/>
    <w:rsid w:val="00CA3626"/>
    <w:rsid w:val="00CA3650"/>
    <w:rsid w:val="00CA36C7"/>
    <w:rsid w:val="00CA37FA"/>
    <w:rsid w:val="00CA38A7"/>
    <w:rsid w:val="00CA3936"/>
    <w:rsid w:val="00CA39B1"/>
    <w:rsid w:val="00CA3A08"/>
    <w:rsid w:val="00CA3A9D"/>
    <w:rsid w:val="00CA3B1D"/>
    <w:rsid w:val="00CA3CD1"/>
    <w:rsid w:val="00CA3D9E"/>
    <w:rsid w:val="00CA3E70"/>
    <w:rsid w:val="00CA3EB3"/>
    <w:rsid w:val="00CA3FFF"/>
    <w:rsid w:val="00CA4095"/>
    <w:rsid w:val="00CA4528"/>
    <w:rsid w:val="00CA457A"/>
    <w:rsid w:val="00CA45DC"/>
    <w:rsid w:val="00CA45E6"/>
    <w:rsid w:val="00CA46EB"/>
    <w:rsid w:val="00CA470F"/>
    <w:rsid w:val="00CA477C"/>
    <w:rsid w:val="00CA4799"/>
    <w:rsid w:val="00CA48C6"/>
    <w:rsid w:val="00CA48E6"/>
    <w:rsid w:val="00CA4AF0"/>
    <w:rsid w:val="00CA4BEE"/>
    <w:rsid w:val="00CA4BFC"/>
    <w:rsid w:val="00CA4D4B"/>
    <w:rsid w:val="00CA4DA9"/>
    <w:rsid w:val="00CA4DF3"/>
    <w:rsid w:val="00CA4E47"/>
    <w:rsid w:val="00CA4ED0"/>
    <w:rsid w:val="00CA4F03"/>
    <w:rsid w:val="00CA4F98"/>
    <w:rsid w:val="00CA5084"/>
    <w:rsid w:val="00CA5135"/>
    <w:rsid w:val="00CA5193"/>
    <w:rsid w:val="00CA51F1"/>
    <w:rsid w:val="00CA5238"/>
    <w:rsid w:val="00CA531C"/>
    <w:rsid w:val="00CA536E"/>
    <w:rsid w:val="00CA5444"/>
    <w:rsid w:val="00CA5776"/>
    <w:rsid w:val="00CA57AC"/>
    <w:rsid w:val="00CA5856"/>
    <w:rsid w:val="00CA5944"/>
    <w:rsid w:val="00CA597E"/>
    <w:rsid w:val="00CA599C"/>
    <w:rsid w:val="00CA5AE6"/>
    <w:rsid w:val="00CA5BAA"/>
    <w:rsid w:val="00CA5BC0"/>
    <w:rsid w:val="00CA5C0E"/>
    <w:rsid w:val="00CA5C33"/>
    <w:rsid w:val="00CA5C44"/>
    <w:rsid w:val="00CA5C4D"/>
    <w:rsid w:val="00CA5D1C"/>
    <w:rsid w:val="00CA5D76"/>
    <w:rsid w:val="00CA5D7E"/>
    <w:rsid w:val="00CA5DE5"/>
    <w:rsid w:val="00CA5E58"/>
    <w:rsid w:val="00CA5F51"/>
    <w:rsid w:val="00CA6174"/>
    <w:rsid w:val="00CA61C4"/>
    <w:rsid w:val="00CA6258"/>
    <w:rsid w:val="00CA6367"/>
    <w:rsid w:val="00CA63D2"/>
    <w:rsid w:val="00CA63E3"/>
    <w:rsid w:val="00CA6429"/>
    <w:rsid w:val="00CA658A"/>
    <w:rsid w:val="00CA65BC"/>
    <w:rsid w:val="00CA666F"/>
    <w:rsid w:val="00CA68EC"/>
    <w:rsid w:val="00CA6A4F"/>
    <w:rsid w:val="00CA6C66"/>
    <w:rsid w:val="00CA6D3C"/>
    <w:rsid w:val="00CA6DD4"/>
    <w:rsid w:val="00CA6DE0"/>
    <w:rsid w:val="00CA6E0D"/>
    <w:rsid w:val="00CA6F4E"/>
    <w:rsid w:val="00CA6F7E"/>
    <w:rsid w:val="00CA700B"/>
    <w:rsid w:val="00CA7069"/>
    <w:rsid w:val="00CA71EC"/>
    <w:rsid w:val="00CA71F1"/>
    <w:rsid w:val="00CA7255"/>
    <w:rsid w:val="00CA72FE"/>
    <w:rsid w:val="00CA73FE"/>
    <w:rsid w:val="00CA743C"/>
    <w:rsid w:val="00CA759E"/>
    <w:rsid w:val="00CA75A7"/>
    <w:rsid w:val="00CA775B"/>
    <w:rsid w:val="00CA77DC"/>
    <w:rsid w:val="00CA7810"/>
    <w:rsid w:val="00CA7814"/>
    <w:rsid w:val="00CA7839"/>
    <w:rsid w:val="00CA783C"/>
    <w:rsid w:val="00CA7872"/>
    <w:rsid w:val="00CA78A6"/>
    <w:rsid w:val="00CA7A55"/>
    <w:rsid w:val="00CA7A68"/>
    <w:rsid w:val="00CA7AB8"/>
    <w:rsid w:val="00CA7AFF"/>
    <w:rsid w:val="00CA7B90"/>
    <w:rsid w:val="00CA7C63"/>
    <w:rsid w:val="00CA7CA5"/>
    <w:rsid w:val="00CB012B"/>
    <w:rsid w:val="00CB037B"/>
    <w:rsid w:val="00CB0494"/>
    <w:rsid w:val="00CB05C2"/>
    <w:rsid w:val="00CB06A5"/>
    <w:rsid w:val="00CB0782"/>
    <w:rsid w:val="00CB08A1"/>
    <w:rsid w:val="00CB08D0"/>
    <w:rsid w:val="00CB0920"/>
    <w:rsid w:val="00CB0AF1"/>
    <w:rsid w:val="00CB0B52"/>
    <w:rsid w:val="00CB0BAA"/>
    <w:rsid w:val="00CB0BE1"/>
    <w:rsid w:val="00CB0C7B"/>
    <w:rsid w:val="00CB0CC1"/>
    <w:rsid w:val="00CB0E43"/>
    <w:rsid w:val="00CB1061"/>
    <w:rsid w:val="00CB126E"/>
    <w:rsid w:val="00CB12ED"/>
    <w:rsid w:val="00CB12F7"/>
    <w:rsid w:val="00CB1374"/>
    <w:rsid w:val="00CB1436"/>
    <w:rsid w:val="00CB14ED"/>
    <w:rsid w:val="00CB1575"/>
    <w:rsid w:val="00CB15D4"/>
    <w:rsid w:val="00CB1774"/>
    <w:rsid w:val="00CB1784"/>
    <w:rsid w:val="00CB192C"/>
    <w:rsid w:val="00CB1987"/>
    <w:rsid w:val="00CB1A64"/>
    <w:rsid w:val="00CB1ACB"/>
    <w:rsid w:val="00CB1B33"/>
    <w:rsid w:val="00CB1C9E"/>
    <w:rsid w:val="00CB1CC9"/>
    <w:rsid w:val="00CB1D07"/>
    <w:rsid w:val="00CB1E17"/>
    <w:rsid w:val="00CB1E54"/>
    <w:rsid w:val="00CB1E78"/>
    <w:rsid w:val="00CB1EAF"/>
    <w:rsid w:val="00CB224F"/>
    <w:rsid w:val="00CB234A"/>
    <w:rsid w:val="00CB2385"/>
    <w:rsid w:val="00CB2416"/>
    <w:rsid w:val="00CB246D"/>
    <w:rsid w:val="00CB257F"/>
    <w:rsid w:val="00CB26F7"/>
    <w:rsid w:val="00CB27ED"/>
    <w:rsid w:val="00CB281C"/>
    <w:rsid w:val="00CB2963"/>
    <w:rsid w:val="00CB29ED"/>
    <w:rsid w:val="00CB2A2F"/>
    <w:rsid w:val="00CB2A68"/>
    <w:rsid w:val="00CB2BB9"/>
    <w:rsid w:val="00CB2BCF"/>
    <w:rsid w:val="00CB2C9D"/>
    <w:rsid w:val="00CB2CB8"/>
    <w:rsid w:val="00CB2DF1"/>
    <w:rsid w:val="00CB2E2C"/>
    <w:rsid w:val="00CB2F04"/>
    <w:rsid w:val="00CB2F18"/>
    <w:rsid w:val="00CB3043"/>
    <w:rsid w:val="00CB3091"/>
    <w:rsid w:val="00CB3131"/>
    <w:rsid w:val="00CB3273"/>
    <w:rsid w:val="00CB337C"/>
    <w:rsid w:val="00CB33B0"/>
    <w:rsid w:val="00CB33DE"/>
    <w:rsid w:val="00CB33E9"/>
    <w:rsid w:val="00CB3439"/>
    <w:rsid w:val="00CB353D"/>
    <w:rsid w:val="00CB3563"/>
    <w:rsid w:val="00CB3660"/>
    <w:rsid w:val="00CB36C6"/>
    <w:rsid w:val="00CB3756"/>
    <w:rsid w:val="00CB376B"/>
    <w:rsid w:val="00CB3925"/>
    <w:rsid w:val="00CB3A4A"/>
    <w:rsid w:val="00CB3AC7"/>
    <w:rsid w:val="00CB3B24"/>
    <w:rsid w:val="00CB3C85"/>
    <w:rsid w:val="00CB3E33"/>
    <w:rsid w:val="00CB3E37"/>
    <w:rsid w:val="00CB3E6A"/>
    <w:rsid w:val="00CB3EBB"/>
    <w:rsid w:val="00CB3F09"/>
    <w:rsid w:val="00CB3F36"/>
    <w:rsid w:val="00CB3F75"/>
    <w:rsid w:val="00CB3F7B"/>
    <w:rsid w:val="00CB415A"/>
    <w:rsid w:val="00CB418F"/>
    <w:rsid w:val="00CB423F"/>
    <w:rsid w:val="00CB4243"/>
    <w:rsid w:val="00CB4254"/>
    <w:rsid w:val="00CB425E"/>
    <w:rsid w:val="00CB42B0"/>
    <w:rsid w:val="00CB42D3"/>
    <w:rsid w:val="00CB43CC"/>
    <w:rsid w:val="00CB4444"/>
    <w:rsid w:val="00CB44A5"/>
    <w:rsid w:val="00CB4512"/>
    <w:rsid w:val="00CB45A8"/>
    <w:rsid w:val="00CB4654"/>
    <w:rsid w:val="00CB46DF"/>
    <w:rsid w:val="00CB4875"/>
    <w:rsid w:val="00CB4920"/>
    <w:rsid w:val="00CB49EA"/>
    <w:rsid w:val="00CB4A2C"/>
    <w:rsid w:val="00CB4A9E"/>
    <w:rsid w:val="00CB4AAF"/>
    <w:rsid w:val="00CB4AC8"/>
    <w:rsid w:val="00CB4AD4"/>
    <w:rsid w:val="00CB4B1F"/>
    <w:rsid w:val="00CB4B51"/>
    <w:rsid w:val="00CB4C42"/>
    <w:rsid w:val="00CB4D4C"/>
    <w:rsid w:val="00CB4D8A"/>
    <w:rsid w:val="00CB4DB8"/>
    <w:rsid w:val="00CB4E9E"/>
    <w:rsid w:val="00CB4FF9"/>
    <w:rsid w:val="00CB5048"/>
    <w:rsid w:val="00CB506D"/>
    <w:rsid w:val="00CB509B"/>
    <w:rsid w:val="00CB50B9"/>
    <w:rsid w:val="00CB50D2"/>
    <w:rsid w:val="00CB51E0"/>
    <w:rsid w:val="00CB523A"/>
    <w:rsid w:val="00CB530F"/>
    <w:rsid w:val="00CB5388"/>
    <w:rsid w:val="00CB53E2"/>
    <w:rsid w:val="00CB543D"/>
    <w:rsid w:val="00CB5445"/>
    <w:rsid w:val="00CB545A"/>
    <w:rsid w:val="00CB555D"/>
    <w:rsid w:val="00CB58F4"/>
    <w:rsid w:val="00CB5901"/>
    <w:rsid w:val="00CB5931"/>
    <w:rsid w:val="00CB59FC"/>
    <w:rsid w:val="00CB5A22"/>
    <w:rsid w:val="00CB5B68"/>
    <w:rsid w:val="00CB5B79"/>
    <w:rsid w:val="00CB5B97"/>
    <w:rsid w:val="00CB5BD3"/>
    <w:rsid w:val="00CB5C5F"/>
    <w:rsid w:val="00CB5C74"/>
    <w:rsid w:val="00CB5CA4"/>
    <w:rsid w:val="00CB5D7D"/>
    <w:rsid w:val="00CB5E95"/>
    <w:rsid w:val="00CB5EF5"/>
    <w:rsid w:val="00CB5F1A"/>
    <w:rsid w:val="00CB5FDE"/>
    <w:rsid w:val="00CB5FFA"/>
    <w:rsid w:val="00CB5FFD"/>
    <w:rsid w:val="00CB6009"/>
    <w:rsid w:val="00CB6160"/>
    <w:rsid w:val="00CB6185"/>
    <w:rsid w:val="00CB61AB"/>
    <w:rsid w:val="00CB64CE"/>
    <w:rsid w:val="00CB659C"/>
    <w:rsid w:val="00CB65EE"/>
    <w:rsid w:val="00CB6651"/>
    <w:rsid w:val="00CB6667"/>
    <w:rsid w:val="00CB66EC"/>
    <w:rsid w:val="00CB6713"/>
    <w:rsid w:val="00CB67DA"/>
    <w:rsid w:val="00CB6844"/>
    <w:rsid w:val="00CB68BD"/>
    <w:rsid w:val="00CB68D4"/>
    <w:rsid w:val="00CB68E3"/>
    <w:rsid w:val="00CB6A54"/>
    <w:rsid w:val="00CB6AC0"/>
    <w:rsid w:val="00CB6C4E"/>
    <w:rsid w:val="00CB6CA9"/>
    <w:rsid w:val="00CB6CB7"/>
    <w:rsid w:val="00CB6DCE"/>
    <w:rsid w:val="00CB6DDA"/>
    <w:rsid w:val="00CB6EC0"/>
    <w:rsid w:val="00CB6F70"/>
    <w:rsid w:val="00CB7133"/>
    <w:rsid w:val="00CB7160"/>
    <w:rsid w:val="00CB7162"/>
    <w:rsid w:val="00CB718C"/>
    <w:rsid w:val="00CB722F"/>
    <w:rsid w:val="00CB7265"/>
    <w:rsid w:val="00CB73E4"/>
    <w:rsid w:val="00CB7424"/>
    <w:rsid w:val="00CB74C1"/>
    <w:rsid w:val="00CB74E6"/>
    <w:rsid w:val="00CB76FB"/>
    <w:rsid w:val="00CB7778"/>
    <w:rsid w:val="00CB7865"/>
    <w:rsid w:val="00CB7888"/>
    <w:rsid w:val="00CB7AB6"/>
    <w:rsid w:val="00CB7AD7"/>
    <w:rsid w:val="00CB7B31"/>
    <w:rsid w:val="00CB7BFF"/>
    <w:rsid w:val="00CB7CDB"/>
    <w:rsid w:val="00CB7DBE"/>
    <w:rsid w:val="00CB7E29"/>
    <w:rsid w:val="00CB7EB9"/>
    <w:rsid w:val="00CB7F14"/>
    <w:rsid w:val="00CBF584"/>
    <w:rsid w:val="00CC0292"/>
    <w:rsid w:val="00CC02EC"/>
    <w:rsid w:val="00CC0398"/>
    <w:rsid w:val="00CC03C6"/>
    <w:rsid w:val="00CC0432"/>
    <w:rsid w:val="00CC052B"/>
    <w:rsid w:val="00CC0539"/>
    <w:rsid w:val="00CC0560"/>
    <w:rsid w:val="00CC06DA"/>
    <w:rsid w:val="00CC0853"/>
    <w:rsid w:val="00CC08E3"/>
    <w:rsid w:val="00CC09C2"/>
    <w:rsid w:val="00CC0A57"/>
    <w:rsid w:val="00CC0C2B"/>
    <w:rsid w:val="00CC0D23"/>
    <w:rsid w:val="00CC0D3C"/>
    <w:rsid w:val="00CC0DC5"/>
    <w:rsid w:val="00CC0EC6"/>
    <w:rsid w:val="00CC0F02"/>
    <w:rsid w:val="00CC0F31"/>
    <w:rsid w:val="00CC0F68"/>
    <w:rsid w:val="00CC10BA"/>
    <w:rsid w:val="00CC10CF"/>
    <w:rsid w:val="00CC11A3"/>
    <w:rsid w:val="00CC11D2"/>
    <w:rsid w:val="00CC1225"/>
    <w:rsid w:val="00CC1281"/>
    <w:rsid w:val="00CC1337"/>
    <w:rsid w:val="00CC155A"/>
    <w:rsid w:val="00CC1891"/>
    <w:rsid w:val="00CC18E1"/>
    <w:rsid w:val="00CC18F5"/>
    <w:rsid w:val="00CC1A7D"/>
    <w:rsid w:val="00CC1A96"/>
    <w:rsid w:val="00CC1BE5"/>
    <w:rsid w:val="00CC1C0E"/>
    <w:rsid w:val="00CC1C18"/>
    <w:rsid w:val="00CC1EEE"/>
    <w:rsid w:val="00CC1EFE"/>
    <w:rsid w:val="00CC1F80"/>
    <w:rsid w:val="00CC1FCE"/>
    <w:rsid w:val="00CC2121"/>
    <w:rsid w:val="00CC216B"/>
    <w:rsid w:val="00CC22F2"/>
    <w:rsid w:val="00CC246A"/>
    <w:rsid w:val="00CC271A"/>
    <w:rsid w:val="00CC2814"/>
    <w:rsid w:val="00CC2843"/>
    <w:rsid w:val="00CC2845"/>
    <w:rsid w:val="00CC2A82"/>
    <w:rsid w:val="00CC2AE5"/>
    <w:rsid w:val="00CC2B68"/>
    <w:rsid w:val="00CC2C34"/>
    <w:rsid w:val="00CC2D92"/>
    <w:rsid w:val="00CC2DBA"/>
    <w:rsid w:val="00CC2E95"/>
    <w:rsid w:val="00CC2ED0"/>
    <w:rsid w:val="00CC30B4"/>
    <w:rsid w:val="00CC30E6"/>
    <w:rsid w:val="00CC31A7"/>
    <w:rsid w:val="00CC32F8"/>
    <w:rsid w:val="00CC3311"/>
    <w:rsid w:val="00CC3357"/>
    <w:rsid w:val="00CC33B1"/>
    <w:rsid w:val="00CC33DA"/>
    <w:rsid w:val="00CC33DD"/>
    <w:rsid w:val="00CC353F"/>
    <w:rsid w:val="00CC3580"/>
    <w:rsid w:val="00CC3656"/>
    <w:rsid w:val="00CC367C"/>
    <w:rsid w:val="00CC3709"/>
    <w:rsid w:val="00CC37DB"/>
    <w:rsid w:val="00CC3839"/>
    <w:rsid w:val="00CC3855"/>
    <w:rsid w:val="00CC38A3"/>
    <w:rsid w:val="00CC38A4"/>
    <w:rsid w:val="00CC3A30"/>
    <w:rsid w:val="00CC3B37"/>
    <w:rsid w:val="00CC3D33"/>
    <w:rsid w:val="00CC3D90"/>
    <w:rsid w:val="00CC3DE7"/>
    <w:rsid w:val="00CC3E17"/>
    <w:rsid w:val="00CC3EA8"/>
    <w:rsid w:val="00CC3F20"/>
    <w:rsid w:val="00CC3F92"/>
    <w:rsid w:val="00CC4074"/>
    <w:rsid w:val="00CC4077"/>
    <w:rsid w:val="00CC40B6"/>
    <w:rsid w:val="00CC427B"/>
    <w:rsid w:val="00CC42D1"/>
    <w:rsid w:val="00CC4314"/>
    <w:rsid w:val="00CC439D"/>
    <w:rsid w:val="00CC46E3"/>
    <w:rsid w:val="00CC4705"/>
    <w:rsid w:val="00CC4707"/>
    <w:rsid w:val="00CC473E"/>
    <w:rsid w:val="00CC48B2"/>
    <w:rsid w:val="00CC48CD"/>
    <w:rsid w:val="00CC48D5"/>
    <w:rsid w:val="00CC49E2"/>
    <w:rsid w:val="00CC4B8D"/>
    <w:rsid w:val="00CC4D24"/>
    <w:rsid w:val="00CC4D3D"/>
    <w:rsid w:val="00CC4EFA"/>
    <w:rsid w:val="00CC5092"/>
    <w:rsid w:val="00CC5275"/>
    <w:rsid w:val="00CC52A4"/>
    <w:rsid w:val="00CC52F8"/>
    <w:rsid w:val="00CC53D0"/>
    <w:rsid w:val="00CC544D"/>
    <w:rsid w:val="00CC555F"/>
    <w:rsid w:val="00CC55EC"/>
    <w:rsid w:val="00CC570E"/>
    <w:rsid w:val="00CC57BC"/>
    <w:rsid w:val="00CC5826"/>
    <w:rsid w:val="00CC5832"/>
    <w:rsid w:val="00CC5917"/>
    <w:rsid w:val="00CC5953"/>
    <w:rsid w:val="00CC59AC"/>
    <w:rsid w:val="00CC5A56"/>
    <w:rsid w:val="00CC5B52"/>
    <w:rsid w:val="00CC5C07"/>
    <w:rsid w:val="00CC5C58"/>
    <w:rsid w:val="00CC5C70"/>
    <w:rsid w:val="00CC5CD0"/>
    <w:rsid w:val="00CC5D29"/>
    <w:rsid w:val="00CC5DCA"/>
    <w:rsid w:val="00CC5E10"/>
    <w:rsid w:val="00CC605F"/>
    <w:rsid w:val="00CC6380"/>
    <w:rsid w:val="00CC638C"/>
    <w:rsid w:val="00CC639C"/>
    <w:rsid w:val="00CC640C"/>
    <w:rsid w:val="00CC6442"/>
    <w:rsid w:val="00CC64E2"/>
    <w:rsid w:val="00CC64EB"/>
    <w:rsid w:val="00CC64F4"/>
    <w:rsid w:val="00CC6507"/>
    <w:rsid w:val="00CC6583"/>
    <w:rsid w:val="00CC6584"/>
    <w:rsid w:val="00CC65FD"/>
    <w:rsid w:val="00CC66B9"/>
    <w:rsid w:val="00CC66EF"/>
    <w:rsid w:val="00CC6787"/>
    <w:rsid w:val="00CC6872"/>
    <w:rsid w:val="00CC687D"/>
    <w:rsid w:val="00CC68CC"/>
    <w:rsid w:val="00CC694B"/>
    <w:rsid w:val="00CC697E"/>
    <w:rsid w:val="00CC6A68"/>
    <w:rsid w:val="00CC6BA5"/>
    <w:rsid w:val="00CC6BB1"/>
    <w:rsid w:val="00CC6C9E"/>
    <w:rsid w:val="00CC6CF0"/>
    <w:rsid w:val="00CC6D56"/>
    <w:rsid w:val="00CC6DA3"/>
    <w:rsid w:val="00CC6DEC"/>
    <w:rsid w:val="00CC6EBF"/>
    <w:rsid w:val="00CC6FFC"/>
    <w:rsid w:val="00CC70AD"/>
    <w:rsid w:val="00CC70E1"/>
    <w:rsid w:val="00CC7107"/>
    <w:rsid w:val="00CC71F2"/>
    <w:rsid w:val="00CC72C7"/>
    <w:rsid w:val="00CC747B"/>
    <w:rsid w:val="00CC7489"/>
    <w:rsid w:val="00CC7520"/>
    <w:rsid w:val="00CC7599"/>
    <w:rsid w:val="00CC760D"/>
    <w:rsid w:val="00CC78D1"/>
    <w:rsid w:val="00CC79CE"/>
    <w:rsid w:val="00CC7A59"/>
    <w:rsid w:val="00CC7C46"/>
    <w:rsid w:val="00CC7D49"/>
    <w:rsid w:val="00CC7DF1"/>
    <w:rsid w:val="00CC7E7B"/>
    <w:rsid w:val="00CC7FAD"/>
    <w:rsid w:val="00CC7FC0"/>
    <w:rsid w:val="00CC7FE7"/>
    <w:rsid w:val="00CD0091"/>
    <w:rsid w:val="00CD00CB"/>
    <w:rsid w:val="00CD04BC"/>
    <w:rsid w:val="00CD050B"/>
    <w:rsid w:val="00CD053B"/>
    <w:rsid w:val="00CD05F5"/>
    <w:rsid w:val="00CD06E2"/>
    <w:rsid w:val="00CD07BA"/>
    <w:rsid w:val="00CD080E"/>
    <w:rsid w:val="00CD09EB"/>
    <w:rsid w:val="00CD0A72"/>
    <w:rsid w:val="00CD0AAA"/>
    <w:rsid w:val="00CD0ABA"/>
    <w:rsid w:val="00CD0B6C"/>
    <w:rsid w:val="00CD0C22"/>
    <w:rsid w:val="00CD0D47"/>
    <w:rsid w:val="00CD0D65"/>
    <w:rsid w:val="00CD0D96"/>
    <w:rsid w:val="00CD0E2E"/>
    <w:rsid w:val="00CD0E50"/>
    <w:rsid w:val="00CD0EB7"/>
    <w:rsid w:val="00CD0F42"/>
    <w:rsid w:val="00CD0FE2"/>
    <w:rsid w:val="00CD104D"/>
    <w:rsid w:val="00CD1054"/>
    <w:rsid w:val="00CD1079"/>
    <w:rsid w:val="00CD11F0"/>
    <w:rsid w:val="00CD1273"/>
    <w:rsid w:val="00CD12A1"/>
    <w:rsid w:val="00CD12C1"/>
    <w:rsid w:val="00CD12F4"/>
    <w:rsid w:val="00CD1325"/>
    <w:rsid w:val="00CD1375"/>
    <w:rsid w:val="00CD14F9"/>
    <w:rsid w:val="00CD1501"/>
    <w:rsid w:val="00CD177E"/>
    <w:rsid w:val="00CD18E6"/>
    <w:rsid w:val="00CD19BB"/>
    <w:rsid w:val="00CD19F0"/>
    <w:rsid w:val="00CD1C46"/>
    <w:rsid w:val="00CD1CB2"/>
    <w:rsid w:val="00CD1CF6"/>
    <w:rsid w:val="00CD1E29"/>
    <w:rsid w:val="00CD1EE0"/>
    <w:rsid w:val="00CD1F57"/>
    <w:rsid w:val="00CD1F9F"/>
    <w:rsid w:val="00CD2081"/>
    <w:rsid w:val="00CD20D6"/>
    <w:rsid w:val="00CD2163"/>
    <w:rsid w:val="00CD2176"/>
    <w:rsid w:val="00CD2215"/>
    <w:rsid w:val="00CD222E"/>
    <w:rsid w:val="00CD2350"/>
    <w:rsid w:val="00CD2386"/>
    <w:rsid w:val="00CD23CF"/>
    <w:rsid w:val="00CD268E"/>
    <w:rsid w:val="00CD27AF"/>
    <w:rsid w:val="00CD2986"/>
    <w:rsid w:val="00CD2DD5"/>
    <w:rsid w:val="00CD2EB6"/>
    <w:rsid w:val="00CD2EC2"/>
    <w:rsid w:val="00CD2EFF"/>
    <w:rsid w:val="00CD2F5C"/>
    <w:rsid w:val="00CD2F7F"/>
    <w:rsid w:val="00CD3008"/>
    <w:rsid w:val="00CD3059"/>
    <w:rsid w:val="00CD312F"/>
    <w:rsid w:val="00CD3203"/>
    <w:rsid w:val="00CD326E"/>
    <w:rsid w:val="00CD3270"/>
    <w:rsid w:val="00CD328E"/>
    <w:rsid w:val="00CD338A"/>
    <w:rsid w:val="00CD3466"/>
    <w:rsid w:val="00CD34A5"/>
    <w:rsid w:val="00CD34E1"/>
    <w:rsid w:val="00CD3694"/>
    <w:rsid w:val="00CD3757"/>
    <w:rsid w:val="00CD378C"/>
    <w:rsid w:val="00CD3792"/>
    <w:rsid w:val="00CD38C6"/>
    <w:rsid w:val="00CD396E"/>
    <w:rsid w:val="00CD39F3"/>
    <w:rsid w:val="00CD3ACA"/>
    <w:rsid w:val="00CD3AFA"/>
    <w:rsid w:val="00CD3B93"/>
    <w:rsid w:val="00CD3CB6"/>
    <w:rsid w:val="00CD3D43"/>
    <w:rsid w:val="00CD3DA9"/>
    <w:rsid w:val="00CD3DDD"/>
    <w:rsid w:val="00CD3E37"/>
    <w:rsid w:val="00CD403F"/>
    <w:rsid w:val="00CD429A"/>
    <w:rsid w:val="00CD430D"/>
    <w:rsid w:val="00CD4467"/>
    <w:rsid w:val="00CD44A3"/>
    <w:rsid w:val="00CD44D7"/>
    <w:rsid w:val="00CD458C"/>
    <w:rsid w:val="00CD46E1"/>
    <w:rsid w:val="00CD4702"/>
    <w:rsid w:val="00CD4755"/>
    <w:rsid w:val="00CD4778"/>
    <w:rsid w:val="00CD4798"/>
    <w:rsid w:val="00CD47B8"/>
    <w:rsid w:val="00CD487E"/>
    <w:rsid w:val="00CD48D1"/>
    <w:rsid w:val="00CD48DD"/>
    <w:rsid w:val="00CD48F4"/>
    <w:rsid w:val="00CD4959"/>
    <w:rsid w:val="00CD4A3D"/>
    <w:rsid w:val="00CD4C2A"/>
    <w:rsid w:val="00CD4C45"/>
    <w:rsid w:val="00CD4C95"/>
    <w:rsid w:val="00CD4C9E"/>
    <w:rsid w:val="00CD4CF0"/>
    <w:rsid w:val="00CD4D5C"/>
    <w:rsid w:val="00CD4E84"/>
    <w:rsid w:val="00CD4E9F"/>
    <w:rsid w:val="00CD4F66"/>
    <w:rsid w:val="00CD4F88"/>
    <w:rsid w:val="00CD52CE"/>
    <w:rsid w:val="00CD5406"/>
    <w:rsid w:val="00CD54EA"/>
    <w:rsid w:val="00CD553F"/>
    <w:rsid w:val="00CD5552"/>
    <w:rsid w:val="00CD556D"/>
    <w:rsid w:val="00CD564A"/>
    <w:rsid w:val="00CD5711"/>
    <w:rsid w:val="00CD573A"/>
    <w:rsid w:val="00CD5765"/>
    <w:rsid w:val="00CD57F6"/>
    <w:rsid w:val="00CD5892"/>
    <w:rsid w:val="00CD58AA"/>
    <w:rsid w:val="00CD58B2"/>
    <w:rsid w:val="00CD5A03"/>
    <w:rsid w:val="00CD5A06"/>
    <w:rsid w:val="00CD5A13"/>
    <w:rsid w:val="00CD5A55"/>
    <w:rsid w:val="00CD5B40"/>
    <w:rsid w:val="00CD5C9D"/>
    <w:rsid w:val="00CD5CAC"/>
    <w:rsid w:val="00CD5CCC"/>
    <w:rsid w:val="00CD5D08"/>
    <w:rsid w:val="00CD5EE2"/>
    <w:rsid w:val="00CD6190"/>
    <w:rsid w:val="00CD634D"/>
    <w:rsid w:val="00CD657C"/>
    <w:rsid w:val="00CD6631"/>
    <w:rsid w:val="00CD6661"/>
    <w:rsid w:val="00CD684C"/>
    <w:rsid w:val="00CD6926"/>
    <w:rsid w:val="00CD6A4C"/>
    <w:rsid w:val="00CD6BA1"/>
    <w:rsid w:val="00CD6BC5"/>
    <w:rsid w:val="00CD6C1A"/>
    <w:rsid w:val="00CD6C77"/>
    <w:rsid w:val="00CD6D21"/>
    <w:rsid w:val="00CD6D58"/>
    <w:rsid w:val="00CD70E6"/>
    <w:rsid w:val="00CD7131"/>
    <w:rsid w:val="00CD71CF"/>
    <w:rsid w:val="00CD7234"/>
    <w:rsid w:val="00CD729E"/>
    <w:rsid w:val="00CD72E8"/>
    <w:rsid w:val="00CD7399"/>
    <w:rsid w:val="00CD73CD"/>
    <w:rsid w:val="00CD73E0"/>
    <w:rsid w:val="00CD7536"/>
    <w:rsid w:val="00CD7595"/>
    <w:rsid w:val="00CD75A3"/>
    <w:rsid w:val="00CD76ED"/>
    <w:rsid w:val="00CD7702"/>
    <w:rsid w:val="00CD7735"/>
    <w:rsid w:val="00CD77C0"/>
    <w:rsid w:val="00CD7804"/>
    <w:rsid w:val="00CD7849"/>
    <w:rsid w:val="00CD7862"/>
    <w:rsid w:val="00CD78EF"/>
    <w:rsid w:val="00CD7955"/>
    <w:rsid w:val="00CD7A0F"/>
    <w:rsid w:val="00CD7ACA"/>
    <w:rsid w:val="00CD7D4F"/>
    <w:rsid w:val="00CD7D5E"/>
    <w:rsid w:val="00CD7DEB"/>
    <w:rsid w:val="00CD7F2D"/>
    <w:rsid w:val="00CE00B5"/>
    <w:rsid w:val="00CE00C4"/>
    <w:rsid w:val="00CE00E8"/>
    <w:rsid w:val="00CE0116"/>
    <w:rsid w:val="00CE0202"/>
    <w:rsid w:val="00CE022F"/>
    <w:rsid w:val="00CE0236"/>
    <w:rsid w:val="00CE028D"/>
    <w:rsid w:val="00CE04A0"/>
    <w:rsid w:val="00CE04B6"/>
    <w:rsid w:val="00CE04C6"/>
    <w:rsid w:val="00CE0503"/>
    <w:rsid w:val="00CE053D"/>
    <w:rsid w:val="00CE0560"/>
    <w:rsid w:val="00CE05C7"/>
    <w:rsid w:val="00CE05E3"/>
    <w:rsid w:val="00CE064E"/>
    <w:rsid w:val="00CE0685"/>
    <w:rsid w:val="00CE07ED"/>
    <w:rsid w:val="00CE0A10"/>
    <w:rsid w:val="00CE0A42"/>
    <w:rsid w:val="00CE0A6A"/>
    <w:rsid w:val="00CE0A8B"/>
    <w:rsid w:val="00CE0C69"/>
    <w:rsid w:val="00CE0CB7"/>
    <w:rsid w:val="00CE0D1B"/>
    <w:rsid w:val="00CE0E75"/>
    <w:rsid w:val="00CE0EB2"/>
    <w:rsid w:val="00CE0F11"/>
    <w:rsid w:val="00CE0FD2"/>
    <w:rsid w:val="00CE111E"/>
    <w:rsid w:val="00CE1180"/>
    <w:rsid w:val="00CE15F5"/>
    <w:rsid w:val="00CE1834"/>
    <w:rsid w:val="00CE19A5"/>
    <w:rsid w:val="00CE19FB"/>
    <w:rsid w:val="00CE1A06"/>
    <w:rsid w:val="00CE1A9F"/>
    <w:rsid w:val="00CE1B8D"/>
    <w:rsid w:val="00CE1DCC"/>
    <w:rsid w:val="00CE1DCE"/>
    <w:rsid w:val="00CE1EB1"/>
    <w:rsid w:val="00CE1FA7"/>
    <w:rsid w:val="00CE1FC6"/>
    <w:rsid w:val="00CE2037"/>
    <w:rsid w:val="00CE2067"/>
    <w:rsid w:val="00CE2075"/>
    <w:rsid w:val="00CE210B"/>
    <w:rsid w:val="00CE2297"/>
    <w:rsid w:val="00CE251C"/>
    <w:rsid w:val="00CE25DA"/>
    <w:rsid w:val="00CE25EA"/>
    <w:rsid w:val="00CE27D9"/>
    <w:rsid w:val="00CE28CE"/>
    <w:rsid w:val="00CE2BB8"/>
    <w:rsid w:val="00CE2BC0"/>
    <w:rsid w:val="00CE2C61"/>
    <w:rsid w:val="00CE2CC0"/>
    <w:rsid w:val="00CE2D55"/>
    <w:rsid w:val="00CE2E10"/>
    <w:rsid w:val="00CE2E16"/>
    <w:rsid w:val="00CE2E4E"/>
    <w:rsid w:val="00CE2E52"/>
    <w:rsid w:val="00CE2F17"/>
    <w:rsid w:val="00CE2FAD"/>
    <w:rsid w:val="00CE300A"/>
    <w:rsid w:val="00CE3070"/>
    <w:rsid w:val="00CE30D1"/>
    <w:rsid w:val="00CE30DE"/>
    <w:rsid w:val="00CE30E1"/>
    <w:rsid w:val="00CE32B7"/>
    <w:rsid w:val="00CE3357"/>
    <w:rsid w:val="00CE338B"/>
    <w:rsid w:val="00CE3398"/>
    <w:rsid w:val="00CE34DA"/>
    <w:rsid w:val="00CE34F6"/>
    <w:rsid w:val="00CE34F7"/>
    <w:rsid w:val="00CE358B"/>
    <w:rsid w:val="00CE35B2"/>
    <w:rsid w:val="00CE360D"/>
    <w:rsid w:val="00CE3643"/>
    <w:rsid w:val="00CE36F5"/>
    <w:rsid w:val="00CE3739"/>
    <w:rsid w:val="00CE373A"/>
    <w:rsid w:val="00CE373C"/>
    <w:rsid w:val="00CE37EC"/>
    <w:rsid w:val="00CE38D2"/>
    <w:rsid w:val="00CE39DB"/>
    <w:rsid w:val="00CE3C2C"/>
    <w:rsid w:val="00CE3D03"/>
    <w:rsid w:val="00CE3D33"/>
    <w:rsid w:val="00CE3DB9"/>
    <w:rsid w:val="00CE4082"/>
    <w:rsid w:val="00CE446E"/>
    <w:rsid w:val="00CE457B"/>
    <w:rsid w:val="00CE4603"/>
    <w:rsid w:val="00CE4677"/>
    <w:rsid w:val="00CE4702"/>
    <w:rsid w:val="00CE4722"/>
    <w:rsid w:val="00CE48BB"/>
    <w:rsid w:val="00CE48C5"/>
    <w:rsid w:val="00CE48CF"/>
    <w:rsid w:val="00CE4947"/>
    <w:rsid w:val="00CE4974"/>
    <w:rsid w:val="00CE498A"/>
    <w:rsid w:val="00CE49EE"/>
    <w:rsid w:val="00CE4A13"/>
    <w:rsid w:val="00CE4A70"/>
    <w:rsid w:val="00CE4B27"/>
    <w:rsid w:val="00CE4BBF"/>
    <w:rsid w:val="00CE4C4F"/>
    <w:rsid w:val="00CE4D78"/>
    <w:rsid w:val="00CE4F26"/>
    <w:rsid w:val="00CE4F37"/>
    <w:rsid w:val="00CE4F41"/>
    <w:rsid w:val="00CE4FEB"/>
    <w:rsid w:val="00CE5042"/>
    <w:rsid w:val="00CE5347"/>
    <w:rsid w:val="00CE5592"/>
    <w:rsid w:val="00CE55DC"/>
    <w:rsid w:val="00CE5722"/>
    <w:rsid w:val="00CE57EE"/>
    <w:rsid w:val="00CE5801"/>
    <w:rsid w:val="00CE591E"/>
    <w:rsid w:val="00CE596D"/>
    <w:rsid w:val="00CE59A8"/>
    <w:rsid w:val="00CE59AA"/>
    <w:rsid w:val="00CE5BE1"/>
    <w:rsid w:val="00CE5C3F"/>
    <w:rsid w:val="00CE5D23"/>
    <w:rsid w:val="00CE5D50"/>
    <w:rsid w:val="00CE5F2B"/>
    <w:rsid w:val="00CE5FD9"/>
    <w:rsid w:val="00CE609C"/>
    <w:rsid w:val="00CE6210"/>
    <w:rsid w:val="00CE6350"/>
    <w:rsid w:val="00CE6396"/>
    <w:rsid w:val="00CE639F"/>
    <w:rsid w:val="00CE63B3"/>
    <w:rsid w:val="00CE6428"/>
    <w:rsid w:val="00CE6435"/>
    <w:rsid w:val="00CE6486"/>
    <w:rsid w:val="00CE64B3"/>
    <w:rsid w:val="00CE64DA"/>
    <w:rsid w:val="00CE64F7"/>
    <w:rsid w:val="00CE655D"/>
    <w:rsid w:val="00CE6574"/>
    <w:rsid w:val="00CE65C7"/>
    <w:rsid w:val="00CE6613"/>
    <w:rsid w:val="00CE6834"/>
    <w:rsid w:val="00CE698F"/>
    <w:rsid w:val="00CE69A4"/>
    <w:rsid w:val="00CE6BD3"/>
    <w:rsid w:val="00CE6C6B"/>
    <w:rsid w:val="00CE6D30"/>
    <w:rsid w:val="00CE6EAD"/>
    <w:rsid w:val="00CE6F52"/>
    <w:rsid w:val="00CE702F"/>
    <w:rsid w:val="00CE7161"/>
    <w:rsid w:val="00CE7232"/>
    <w:rsid w:val="00CE7294"/>
    <w:rsid w:val="00CE72DF"/>
    <w:rsid w:val="00CE72EA"/>
    <w:rsid w:val="00CE7303"/>
    <w:rsid w:val="00CE730E"/>
    <w:rsid w:val="00CE74AE"/>
    <w:rsid w:val="00CE7550"/>
    <w:rsid w:val="00CE7554"/>
    <w:rsid w:val="00CE75D9"/>
    <w:rsid w:val="00CE7677"/>
    <w:rsid w:val="00CE7738"/>
    <w:rsid w:val="00CE7751"/>
    <w:rsid w:val="00CE7799"/>
    <w:rsid w:val="00CE77D7"/>
    <w:rsid w:val="00CE7892"/>
    <w:rsid w:val="00CE793D"/>
    <w:rsid w:val="00CE7950"/>
    <w:rsid w:val="00CE7958"/>
    <w:rsid w:val="00CE79F6"/>
    <w:rsid w:val="00CE7A6C"/>
    <w:rsid w:val="00CE7AD3"/>
    <w:rsid w:val="00CE7B06"/>
    <w:rsid w:val="00CE7B5D"/>
    <w:rsid w:val="00CE7BA4"/>
    <w:rsid w:val="00CE7C89"/>
    <w:rsid w:val="00CE7C92"/>
    <w:rsid w:val="00CE7CAC"/>
    <w:rsid w:val="00CE7D56"/>
    <w:rsid w:val="00CE7E3E"/>
    <w:rsid w:val="00CE7EE8"/>
    <w:rsid w:val="00CF008D"/>
    <w:rsid w:val="00CF00D5"/>
    <w:rsid w:val="00CF01DF"/>
    <w:rsid w:val="00CF0297"/>
    <w:rsid w:val="00CF02B6"/>
    <w:rsid w:val="00CF0373"/>
    <w:rsid w:val="00CF0448"/>
    <w:rsid w:val="00CF052B"/>
    <w:rsid w:val="00CF0530"/>
    <w:rsid w:val="00CF0648"/>
    <w:rsid w:val="00CF0726"/>
    <w:rsid w:val="00CF07F3"/>
    <w:rsid w:val="00CF07FC"/>
    <w:rsid w:val="00CF0912"/>
    <w:rsid w:val="00CF095C"/>
    <w:rsid w:val="00CF0A3D"/>
    <w:rsid w:val="00CF0C22"/>
    <w:rsid w:val="00CF0C71"/>
    <w:rsid w:val="00CF0D02"/>
    <w:rsid w:val="00CF0DBF"/>
    <w:rsid w:val="00CF0FEF"/>
    <w:rsid w:val="00CF101E"/>
    <w:rsid w:val="00CF10EA"/>
    <w:rsid w:val="00CF114C"/>
    <w:rsid w:val="00CF127E"/>
    <w:rsid w:val="00CF129F"/>
    <w:rsid w:val="00CF12A9"/>
    <w:rsid w:val="00CF1384"/>
    <w:rsid w:val="00CF13A8"/>
    <w:rsid w:val="00CF1424"/>
    <w:rsid w:val="00CF1502"/>
    <w:rsid w:val="00CF152E"/>
    <w:rsid w:val="00CF1629"/>
    <w:rsid w:val="00CF17DA"/>
    <w:rsid w:val="00CF18C4"/>
    <w:rsid w:val="00CF1953"/>
    <w:rsid w:val="00CF19C5"/>
    <w:rsid w:val="00CF19F4"/>
    <w:rsid w:val="00CF1BA6"/>
    <w:rsid w:val="00CF1BF2"/>
    <w:rsid w:val="00CF1C0F"/>
    <w:rsid w:val="00CF1CB4"/>
    <w:rsid w:val="00CF1CC9"/>
    <w:rsid w:val="00CF1CD9"/>
    <w:rsid w:val="00CF1E50"/>
    <w:rsid w:val="00CF1F05"/>
    <w:rsid w:val="00CF1FA2"/>
    <w:rsid w:val="00CF2105"/>
    <w:rsid w:val="00CF228A"/>
    <w:rsid w:val="00CF22B6"/>
    <w:rsid w:val="00CF2361"/>
    <w:rsid w:val="00CF2430"/>
    <w:rsid w:val="00CF2499"/>
    <w:rsid w:val="00CF2534"/>
    <w:rsid w:val="00CF25AF"/>
    <w:rsid w:val="00CF25F6"/>
    <w:rsid w:val="00CF268F"/>
    <w:rsid w:val="00CF26D0"/>
    <w:rsid w:val="00CF27D4"/>
    <w:rsid w:val="00CF2844"/>
    <w:rsid w:val="00CF2848"/>
    <w:rsid w:val="00CF288D"/>
    <w:rsid w:val="00CF2A8E"/>
    <w:rsid w:val="00CF2BE5"/>
    <w:rsid w:val="00CF2C7D"/>
    <w:rsid w:val="00CF2CAA"/>
    <w:rsid w:val="00CF2CB2"/>
    <w:rsid w:val="00CF2E3B"/>
    <w:rsid w:val="00CF2E56"/>
    <w:rsid w:val="00CF2EC2"/>
    <w:rsid w:val="00CF2F46"/>
    <w:rsid w:val="00CF2F59"/>
    <w:rsid w:val="00CF2FCD"/>
    <w:rsid w:val="00CF30F6"/>
    <w:rsid w:val="00CF3245"/>
    <w:rsid w:val="00CF3391"/>
    <w:rsid w:val="00CF33F4"/>
    <w:rsid w:val="00CF34E8"/>
    <w:rsid w:val="00CF3523"/>
    <w:rsid w:val="00CF35A0"/>
    <w:rsid w:val="00CF35E7"/>
    <w:rsid w:val="00CF3604"/>
    <w:rsid w:val="00CF3620"/>
    <w:rsid w:val="00CF365B"/>
    <w:rsid w:val="00CF366D"/>
    <w:rsid w:val="00CF36E1"/>
    <w:rsid w:val="00CF37A2"/>
    <w:rsid w:val="00CF3826"/>
    <w:rsid w:val="00CF38A8"/>
    <w:rsid w:val="00CF3A32"/>
    <w:rsid w:val="00CF3ABE"/>
    <w:rsid w:val="00CF3C83"/>
    <w:rsid w:val="00CF3E40"/>
    <w:rsid w:val="00CF3F84"/>
    <w:rsid w:val="00CF4002"/>
    <w:rsid w:val="00CF41A4"/>
    <w:rsid w:val="00CF4305"/>
    <w:rsid w:val="00CF439E"/>
    <w:rsid w:val="00CF43F7"/>
    <w:rsid w:val="00CF441D"/>
    <w:rsid w:val="00CF46B5"/>
    <w:rsid w:val="00CF46B9"/>
    <w:rsid w:val="00CF46C9"/>
    <w:rsid w:val="00CF46CF"/>
    <w:rsid w:val="00CF472A"/>
    <w:rsid w:val="00CF4767"/>
    <w:rsid w:val="00CF4850"/>
    <w:rsid w:val="00CF48AC"/>
    <w:rsid w:val="00CF4903"/>
    <w:rsid w:val="00CF4B30"/>
    <w:rsid w:val="00CF4D85"/>
    <w:rsid w:val="00CF4DA1"/>
    <w:rsid w:val="00CF4DA6"/>
    <w:rsid w:val="00CF4EA2"/>
    <w:rsid w:val="00CF4FCF"/>
    <w:rsid w:val="00CF5017"/>
    <w:rsid w:val="00CF5039"/>
    <w:rsid w:val="00CF503C"/>
    <w:rsid w:val="00CF5104"/>
    <w:rsid w:val="00CF5112"/>
    <w:rsid w:val="00CF5241"/>
    <w:rsid w:val="00CF52E7"/>
    <w:rsid w:val="00CF52F6"/>
    <w:rsid w:val="00CF5354"/>
    <w:rsid w:val="00CF53DA"/>
    <w:rsid w:val="00CF545A"/>
    <w:rsid w:val="00CF5517"/>
    <w:rsid w:val="00CF5616"/>
    <w:rsid w:val="00CF566B"/>
    <w:rsid w:val="00CF5720"/>
    <w:rsid w:val="00CF57F1"/>
    <w:rsid w:val="00CF588A"/>
    <w:rsid w:val="00CF5949"/>
    <w:rsid w:val="00CF59F6"/>
    <w:rsid w:val="00CF5A45"/>
    <w:rsid w:val="00CF5D1F"/>
    <w:rsid w:val="00CF5DC7"/>
    <w:rsid w:val="00CF5DCC"/>
    <w:rsid w:val="00CF5DD7"/>
    <w:rsid w:val="00CF5EFF"/>
    <w:rsid w:val="00CF5FAA"/>
    <w:rsid w:val="00CF5FAD"/>
    <w:rsid w:val="00CF6053"/>
    <w:rsid w:val="00CF6134"/>
    <w:rsid w:val="00CF615B"/>
    <w:rsid w:val="00CF6360"/>
    <w:rsid w:val="00CF63E7"/>
    <w:rsid w:val="00CF641C"/>
    <w:rsid w:val="00CF65F2"/>
    <w:rsid w:val="00CF6614"/>
    <w:rsid w:val="00CF6653"/>
    <w:rsid w:val="00CF6929"/>
    <w:rsid w:val="00CF6966"/>
    <w:rsid w:val="00CF6987"/>
    <w:rsid w:val="00CF6989"/>
    <w:rsid w:val="00CF69BB"/>
    <w:rsid w:val="00CF69F0"/>
    <w:rsid w:val="00CF6AFE"/>
    <w:rsid w:val="00CF6B3E"/>
    <w:rsid w:val="00CF6C22"/>
    <w:rsid w:val="00CF6C85"/>
    <w:rsid w:val="00CF6E72"/>
    <w:rsid w:val="00CF6FBD"/>
    <w:rsid w:val="00CF6FDC"/>
    <w:rsid w:val="00CF6FF2"/>
    <w:rsid w:val="00CF70D1"/>
    <w:rsid w:val="00CF711D"/>
    <w:rsid w:val="00CF71F9"/>
    <w:rsid w:val="00CF7279"/>
    <w:rsid w:val="00CF7295"/>
    <w:rsid w:val="00CF72B8"/>
    <w:rsid w:val="00CF7322"/>
    <w:rsid w:val="00CF734B"/>
    <w:rsid w:val="00CF738E"/>
    <w:rsid w:val="00CF7415"/>
    <w:rsid w:val="00CF7477"/>
    <w:rsid w:val="00CF7505"/>
    <w:rsid w:val="00CF7529"/>
    <w:rsid w:val="00CF7575"/>
    <w:rsid w:val="00CF75CD"/>
    <w:rsid w:val="00CF75E8"/>
    <w:rsid w:val="00CF7622"/>
    <w:rsid w:val="00CF7669"/>
    <w:rsid w:val="00CF7675"/>
    <w:rsid w:val="00CF7686"/>
    <w:rsid w:val="00CF76BB"/>
    <w:rsid w:val="00CF76E4"/>
    <w:rsid w:val="00CF7737"/>
    <w:rsid w:val="00CF779A"/>
    <w:rsid w:val="00CF7821"/>
    <w:rsid w:val="00CF788A"/>
    <w:rsid w:val="00CF7A08"/>
    <w:rsid w:val="00CF7C75"/>
    <w:rsid w:val="00CF7CFB"/>
    <w:rsid w:val="00CF7D93"/>
    <w:rsid w:val="00CF7E5B"/>
    <w:rsid w:val="00CF7EB8"/>
    <w:rsid w:val="00CF7EE3"/>
    <w:rsid w:val="00CF7EFE"/>
    <w:rsid w:val="00CF7F35"/>
    <w:rsid w:val="00CF7F9A"/>
    <w:rsid w:val="00CFD2FF"/>
    <w:rsid w:val="00CFDACB"/>
    <w:rsid w:val="00D0000D"/>
    <w:rsid w:val="00D000B4"/>
    <w:rsid w:val="00D001F1"/>
    <w:rsid w:val="00D0020A"/>
    <w:rsid w:val="00D00221"/>
    <w:rsid w:val="00D00290"/>
    <w:rsid w:val="00D003A3"/>
    <w:rsid w:val="00D00485"/>
    <w:rsid w:val="00D00548"/>
    <w:rsid w:val="00D0066B"/>
    <w:rsid w:val="00D00858"/>
    <w:rsid w:val="00D008F2"/>
    <w:rsid w:val="00D0094E"/>
    <w:rsid w:val="00D00C0B"/>
    <w:rsid w:val="00D00D7F"/>
    <w:rsid w:val="00D00DA6"/>
    <w:rsid w:val="00D00E20"/>
    <w:rsid w:val="00D00E2A"/>
    <w:rsid w:val="00D00EA7"/>
    <w:rsid w:val="00D00EB3"/>
    <w:rsid w:val="00D00F69"/>
    <w:rsid w:val="00D00FA2"/>
    <w:rsid w:val="00D010A6"/>
    <w:rsid w:val="00D011B6"/>
    <w:rsid w:val="00D011B7"/>
    <w:rsid w:val="00D0122C"/>
    <w:rsid w:val="00D0124D"/>
    <w:rsid w:val="00D0137F"/>
    <w:rsid w:val="00D013CB"/>
    <w:rsid w:val="00D01469"/>
    <w:rsid w:val="00D0150A"/>
    <w:rsid w:val="00D01563"/>
    <w:rsid w:val="00D015AA"/>
    <w:rsid w:val="00D015DE"/>
    <w:rsid w:val="00D015E6"/>
    <w:rsid w:val="00D01658"/>
    <w:rsid w:val="00D0179C"/>
    <w:rsid w:val="00D017AC"/>
    <w:rsid w:val="00D017B5"/>
    <w:rsid w:val="00D017F9"/>
    <w:rsid w:val="00D0182F"/>
    <w:rsid w:val="00D01862"/>
    <w:rsid w:val="00D0187C"/>
    <w:rsid w:val="00D0189D"/>
    <w:rsid w:val="00D018F7"/>
    <w:rsid w:val="00D0190A"/>
    <w:rsid w:val="00D019FF"/>
    <w:rsid w:val="00D01AB7"/>
    <w:rsid w:val="00D01B36"/>
    <w:rsid w:val="00D01B3C"/>
    <w:rsid w:val="00D01B5A"/>
    <w:rsid w:val="00D01BC7"/>
    <w:rsid w:val="00D01D0B"/>
    <w:rsid w:val="00D01DA0"/>
    <w:rsid w:val="00D01DA5"/>
    <w:rsid w:val="00D01FDE"/>
    <w:rsid w:val="00D01FE4"/>
    <w:rsid w:val="00D02235"/>
    <w:rsid w:val="00D0244F"/>
    <w:rsid w:val="00D02592"/>
    <w:rsid w:val="00D0259C"/>
    <w:rsid w:val="00D02692"/>
    <w:rsid w:val="00D026E4"/>
    <w:rsid w:val="00D02729"/>
    <w:rsid w:val="00D02757"/>
    <w:rsid w:val="00D027D6"/>
    <w:rsid w:val="00D027FC"/>
    <w:rsid w:val="00D02828"/>
    <w:rsid w:val="00D02885"/>
    <w:rsid w:val="00D02904"/>
    <w:rsid w:val="00D029DB"/>
    <w:rsid w:val="00D029FA"/>
    <w:rsid w:val="00D02A8E"/>
    <w:rsid w:val="00D02AA5"/>
    <w:rsid w:val="00D02D1D"/>
    <w:rsid w:val="00D02E32"/>
    <w:rsid w:val="00D03059"/>
    <w:rsid w:val="00D030DD"/>
    <w:rsid w:val="00D03183"/>
    <w:rsid w:val="00D031D9"/>
    <w:rsid w:val="00D03312"/>
    <w:rsid w:val="00D03386"/>
    <w:rsid w:val="00D033F9"/>
    <w:rsid w:val="00D0342A"/>
    <w:rsid w:val="00D035F4"/>
    <w:rsid w:val="00D03701"/>
    <w:rsid w:val="00D03752"/>
    <w:rsid w:val="00D037A5"/>
    <w:rsid w:val="00D03816"/>
    <w:rsid w:val="00D0389E"/>
    <w:rsid w:val="00D0390B"/>
    <w:rsid w:val="00D03A45"/>
    <w:rsid w:val="00D03CAD"/>
    <w:rsid w:val="00D03E8E"/>
    <w:rsid w:val="00D03F1F"/>
    <w:rsid w:val="00D04054"/>
    <w:rsid w:val="00D0411F"/>
    <w:rsid w:val="00D041AD"/>
    <w:rsid w:val="00D0422D"/>
    <w:rsid w:val="00D04362"/>
    <w:rsid w:val="00D0443C"/>
    <w:rsid w:val="00D04500"/>
    <w:rsid w:val="00D04516"/>
    <w:rsid w:val="00D0482F"/>
    <w:rsid w:val="00D048E1"/>
    <w:rsid w:val="00D04910"/>
    <w:rsid w:val="00D04984"/>
    <w:rsid w:val="00D04A17"/>
    <w:rsid w:val="00D04A38"/>
    <w:rsid w:val="00D04A68"/>
    <w:rsid w:val="00D04AC6"/>
    <w:rsid w:val="00D04B7A"/>
    <w:rsid w:val="00D04D04"/>
    <w:rsid w:val="00D04D44"/>
    <w:rsid w:val="00D04DB3"/>
    <w:rsid w:val="00D04DD5"/>
    <w:rsid w:val="00D04EBC"/>
    <w:rsid w:val="00D0502C"/>
    <w:rsid w:val="00D05135"/>
    <w:rsid w:val="00D051EA"/>
    <w:rsid w:val="00D05212"/>
    <w:rsid w:val="00D05214"/>
    <w:rsid w:val="00D05230"/>
    <w:rsid w:val="00D0525F"/>
    <w:rsid w:val="00D05286"/>
    <w:rsid w:val="00D052F8"/>
    <w:rsid w:val="00D0530D"/>
    <w:rsid w:val="00D0548B"/>
    <w:rsid w:val="00D054C7"/>
    <w:rsid w:val="00D0557F"/>
    <w:rsid w:val="00D0571A"/>
    <w:rsid w:val="00D05784"/>
    <w:rsid w:val="00D05947"/>
    <w:rsid w:val="00D0594F"/>
    <w:rsid w:val="00D05953"/>
    <w:rsid w:val="00D05A08"/>
    <w:rsid w:val="00D05A23"/>
    <w:rsid w:val="00D05AEF"/>
    <w:rsid w:val="00D05B14"/>
    <w:rsid w:val="00D05B38"/>
    <w:rsid w:val="00D05B6A"/>
    <w:rsid w:val="00D05C92"/>
    <w:rsid w:val="00D05CFC"/>
    <w:rsid w:val="00D05D47"/>
    <w:rsid w:val="00D05D65"/>
    <w:rsid w:val="00D05FD7"/>
    <w:rsid w:val="00D0605F"/>
    <w:rsid w:val="00D061CF"/>
    <w:rsid w:val="00D062ED"/>
    <w:rsid w:val="00D06343"/>
    <w:rsid w:val="00D06352"/>
    <w:rsid w:val="00D063C4"/>
    <w:rsid w:val="00D063FC"/>
    <w:rsid w:val="00D0644F"/>
    <w:rsid w:val="00D06555"/>
    <w:rsid w:val="00D065C2"/>
    <w:rsid w:val="00D065FB"/>
    <w:rsid w:val="00D066F2"/>
    <w:rsid w:val="00D067F1"/>
    <w:rsid w:val="00D0686F"/>
    <w:rsid w:val="00D06922"/>
    <w:rsid w:val="00D06ACC"/>
    <w:rsid w:val="00D06B0A"/>
    <w:rsid w:val="00D06B0B"/>
    <w:rsid w:val="00D06B29"/>
    <w:rsid w:val="00D06B57"/>
    <w:rsid w:val="00D06D46"/>
    <w:rsid w:val="00D06D4C"/>
    <w:rsid w:val="00D06D5A"/>
    <w:rsid w:val="00D06F3C"/>
    <w:rsid w:val="00D07127"/>
    <w:rsid w:val="00D07175"/>
    <w:rsid w:val="00D072B0"/>
    <w:rsid w:val="00D073AF"/>
    <w:rsid w:val="00D0742D"/>
    <w:rsid w:val="00D0745C"/>
    <w:rsid w:val="00D0769D"/>
    <w:rsid w:val="00D076A2"/>
    <w:rsid w:val="00D076D1"/>
    <w:rsid w:val="00D07778"/>
    <w:rsid w:val="00D0778E"/>
    <w:rsid w:val="00D0786D"/>
    <w:rsid w:val="00D07930"/>
    <w:rsid w:val="00D07980"/>
    <w:rsid w:val="00D07A4E"/>
    <w:rsid w:val="00D07CC1"/>
    <w:rsid w:val="00D07DD0"/>
    <w:rsid w:val="00D07EE3"/>
    <w:rsid w:val="00D0F544"/>
    <w:rsid w:val="00D10033"/>
    <w:rsid w:val="00D10098"/>
    <w:rsid w:val="00D1021A"/>
    <w:rsid w:val="00D1025E"/>
    <w:rsid w:val="00D10267"/>
    <w:rsid w:val="00D102D6"/>
    <w:rsid w:val="00D102EA"/>
    <w:rsid w:val="00D103A9"/>
    <w:rsid w:val="00D10417"/>
    <w:rsid w:val="00D10430"/>
    <w:rsid w:val="00D104D9"/>
    <w:rsid w:val="00D1059C"/>
    <w:rsid w:val="00D106D2"/>
    <w:rsid w:val="00D107BA"/>
    <w:rsid w:val="00D10952"/>
    <w:rsid w:val="00D10A22"/>
    <w:rsid w:val="00D10A32"/>
    <w:rsid w:val="00D10A65"/>
    <w:rsid w:val="00D10A70"/>
    <w:rsid w:val="00D10AC8"/>
    <w:rsid w:val="00D10B1A"/>
    <w:rsid w:val="00D10C2F"/>
    <w:rsid w:val="00D10CA4"/>
    <w:rsid w:val="00D10D07"/>
    <w:rsid w:val="00D10D63"/>
    <w:rsid w:val="00D10D7C"/>
    <w:rsid w:val="00D10DE1"/>
    <w:rsid w:val="00D10E19"/>
    <w:rsid w:val="00D10F34"/>
    <w:rsid w:val="00D1100F"/>
    <w:rsid w:val="00D110A2"/>
    <w:rsid w:val="00D11131"/>
    <w:rsid w:val="00D11353"/>
    <w:rsid w:val="00D113BB"/>
    <w:rsid w:val="00D113D9"/>
    <w:rsid w:val="00D11569"/>
    <w:rsid w:val="00D1162A"/>
    <w:rsid w:val="00D11672"/>
    <w:rsid w:val="00D11792"/>
    <w:rsid w:val="00D11976"/>
    <w:rsid w:val="00D11A46"/>
    <w:rsid w:val="00D11A67"/>
    <w:rsid w:val="00D11B35"/>
    <w:rsid w:val="00D11BB5"/>
    <w:rsid w:val="00D11CBB"/>
    <w:rsid w:val="00D11D25"/>
    <w:rsid w:val="00D11E6C"/>
    <w:rsid w:val="00D11EE0"/>
    <w:rsid w:val="00D12055"/>
    <w:rsid w:val="00D120CA"/>
    <w:rsid w:val="00D120E7"/>
    <w:rsid w:val="00D12406"/>
    <w:rsid w:val="00D12435"/>
    <w:rsid w:val="00D12523"/>
    <w:rsid w:val="00D12543"/>
    <w:rsid w:val="00D125A3"/>
    <w:rsid w:val="00D125CC"/>
    <w:rsid w:val="00D1270A"/>
    <w:rsid w:val="00D12777"/>
    <w:rsid w:val="00D1284A"/>
    <w:rsid w:val="00D12939"/>
    <w:rsid w:val="00D12967"/>
    <w:rsid w:val="00D12976"/>
    <w:rsid w:val="00D12A74"/>
    <w:rsid w:val="00D12AA0"/>
    <w:rsid w:val="00D12C4A"/>
    <w:rsid w:val="00D12CA5"/>
    <w:rsid w:val="00D12CBD"/>
    <w:rsid w:val="00D12CFE"/>
    <w:rsid w:val="00D12D1A"/>
    <w:rsid w:val="00D12D61"/>
    <w:rsid w:val="00D12F8F"/>
    <w:rsid w:val="00D13001"/>
    <w:rsid w:val="00D13252"/>
    <w:rsid w:val="00D1326E"/>
    <w:rsid w:val="00D13278"/>
    <w:rsid w:val="00D133B8"/>
    <w:rsid w:val="00D13427"/>
    <w:rsid w:val="00D13524"/>
    <w:rsid w:val="00D1353B"/>
    <w:rsid w:val="00D13650"/>
    <w:rsid w:val="00D1368A"/>
    <w:rsid w:val="00D1373F"/>
    <w:rsid w:val="00D138D5"/>
    <w:rsid w:val="00D139F0"/>
    <w:rsid w:val="00D13ABD"/>
    <w:rsid w:val="00D13B0A"/>
    <w:rsid w:val="00D13CA1"/>
    <w:rsid w:val="00D13CC1"/>
    <w:rsid w:val="00D13DBD"/>
    <w:rsid w:val="00D13DBF"/>
    <w:rsid w:val="00D13E12"/>
    <w:rsid w:val="00D13E14"/>
    <w:rsid w:val="00D13E93"/>
    <w:rsid w:val="00D13F1C"/>
    <w:rsid w:val="00D13F4E"/>
    <w:rsid w:val="00D141D5"/>
    <w:rsid w:val="00D141FE"/>
    <w:rsid w:val="00D14356"/>
    <w:rsid w:val="00D143BB"/>
    <w:rsid w:val="00D14551"/>
    <w:rsid w:val="00D14553"/>
    <w:rsid w:val="00D14589"/>
    <w:rsid w:val="00D145B4"/>
    <w:rsid w:val="00D14603"/>
    <w:rsid w:val="00D14690"/>
    <w:rsid w:val="00D146B2"/>
    <w:rsid w:val="00D148BC"/>
    <w:rsid w:val="00D14951"/>
    <w:rsid w:val="00D14A39"/>
    <w:rsid w:val="00D14A71"/>
    <w:rsid w:val="00D14B59"/>
    <w:rsid w:val="00D14B62"/>
    <w:rsid w:val="00D14B96"/>
    <w:rsid w:val="00D14B9D"/>
    <w:rsid w:val="00D14C17"/>
    <w:rsid w:val="00D14D66"/>
    <w:rsid w:val="00D14DA2"/>
    <w:rsid w:val="00D14E6D"/>
    <w:rsid w:val="00D14EC3"/>
    <w:rsid w:val="00D14F68"/>
    <w:rsid w:val="00D15045"/>
    <w:rsid w:val="00D1513D"/>
    <w:rsid w:val="00D1513E"/>
    <w:rsid w:val="00D1514A"/>
    <w:rsid w:val="00D15159"/>
    <w:rsid w:val="00D151B9"/>
    <w:rsid w:val="00D151FC"/>
    <w:rsid w:val="00D15239"/>
    <w:rsid w:val="00D15275"/>
    <w:rsid w:val="00D1535F"/>
    <w:rsid w:val="00D153CD"/>
    <w:rsid w:val="00D15409"/>
    <w:rsid w:val="00D15522"/>
    <w:rsid w:val="00D1556D"/>
    <w:rsid w:val="00D155A3"/>
    <w:rsid w:val="00D155B4"/>
    <w:rsid w:val="00D1561B"/>
    <w:rsid w:val="00D1563D"/>
    <w:rsid w:val="00D15667"/>
    <w:rsid w:val="00D157CC"/>
    <w:rsid w:val="00D15991"/>
    <w:rsid w:val="00D15A25"/>
    <w:rsid w:val="00D15A58"/>
    <w:rsid w:val="00D15AC1"/>
    <w:rsid w:val="00D15AC9"/>
    <w:rsid w:val="00D15BA5"/>
    <w:rsid w:val="00D15BD0"/>
    <w:rsid w:val="00D15CDD"/>
    <w:rsid w:val="00D15CEA"/>
    <w:rsid w:val="00D15D20"/>
    <w:rsid w:val="00D15E15"/>
    <w:rsid w:val="00D15EDA"/>
    <w:rsid w:val="00D15EF1"/>
    <w:rsid w:val="00D15F4F"/>
    <w:rsid w:val="00D15F92"/>
    <w:rsid w:val="00D15FCC"/>
    <w:rsid w:val="00D16034"/>
    <w:rsid w:val="00D16054"/>
    <w:rsid w:val="00D1609A"/>
    <w:rsid w:val="00D1611D"/>
    <w:rsid w:val="00D16131"/>
    <w:rsid w:val="00D1614D"/>
    <w:rsid w:val="00D161E3"/>
    <w:rsid w:val="00D16219"/>
    <w:rsid w:val="00D1622B"/>
    <w:rsid w:val="00D162D9"/>
    <w:rsid w:val="00D1634F"/>
    <w:rsid w:val="00D16449"/>
    <w:rsid w:val="00D16455"/>
    <w:rsid w:val="00D16874"/>
    <w:rsid w:val="00D1688B"/>
    <w:rsid w:val="00D16891"/>
    <w:rsid w:val="00D1689B"/>
    <w:rsid w:val="00D16ACC"/>
    <w:rsid w:val="00D16AE1"/>
    <w:rsid w:val="00D16BD9"/>
    <w:rsid w:val="00D16D04"/>
    <w:rsid w:val="00D16D40"/>
    <w:rsid w:val="00D16DB9"/>
    <w:rsid w:val="00D16E61"/>
    <w:rsid w:val="00D16ED5"/>
    <w:rsid w:val="00D16F02"/>
    <w:rsid w:val="00D16F29"/>
    <w:rsid w:val="00D16F5B"/>
    <w:rsid w:val="00D16FDE"/>
    <w:rsid w:val="00D170EA"/>
    <w:rsid w:val="00D1718E"/>
    <w:rsid w:val="00D171F9"/>
    <w:rsid w:val="00D17237"/>
    <w:rsid w:val="00D17276"/>
    <w:rsid w:val="00D1737A"/>
    <w:rsid w:val="00D173B2"/>
    <w:rsid w:val="00D173F2"/>
    <w:rsid w:val="00D174D3"/>
    <w:rsid w:val="00D177BE"/>
    <w:rsid w:val="00D17973"/>
    <w:rsid w:val="00D17A35"/>
    <w:rsid w:val="00D17BF4"/>
    <w:rsid w:val="00D17C18"/>
    <w:rsid w:val="00D17C5B"/>
    <w:rsid w:val="00D17CCA"/>
    <w:rsid w:val="00D17DDA"/>
    <w:rsid w:val="00D17E3E"/>
    <w:rsid w:val="00D17EE2"/>
    <w:rsid w:val="00D17F7F"/>
    <w:rsid w:val="00D17FB0"/>
    <w:rsid w:val="00D20006"/>
    <w:rsid w:val="00D20029"/>
    <w:rsid w:val="00D20351"/>
    <w:rsid w:val="00D2043D"/>
    <w:rsid w:val="00D20483"/>
    <w:rsid w:val="00D20564"/>
    <w:rsid w:val="00D207CE"/>
    <w:rsid w:val="00D20836"/>
    <w:rsid w:val="00D20905"/>
    <w:rsid w:val="00D209EC"/>
    <w:rsid w:val="00D20A00"/>
    <w:rsid w:val="00D20B09"/>
    <w:rsid w:val="00D20C44"/>
    <w:rsid w:val="00D20DA7"/>
    <w:rsid w:val="00D20DDF"/>
    <w:rsid w:val="00D20F2C"/>
    <w:rsid w:val="00D20F8F"/>
    <w:rsid w:val="00D2112B"/>
    <w:rsid w:val="00D21163"/>
    <w:rsid w:val="00D212CC"/>
    <w:rsid w:val="00D21307"/>
    <w:rsid w:val="00D21349"/>
    <w:rsid w:val="00D21491"/>
    <w:rsid w:val="00D214CE"/>
    <w:rsid w:val="00D21593"/>
    <w:rsid w:val="00D2159A"/>
    <w:rsid w:val="00D21753"/>
    <w:rsid w:val="00D217EB"/>
    <w:rsid w:val="00D217FA"/>
    <w:rsid w:val="00D21867"/>
    <w:rsid w:val="00D218D9"/>
    <w:rsid w:val="00D21B73"/>
    <w:rsid w:val="00D21B7A"/>
    <w:rsid w:val="00D21B90"/>
    <w:rsid w:val="00D21BC1"/>
    <w:rsid w:val="00D21CC4"/>
    <w:rsid w:val="00D21DAF"/>
    <w:rsid w:val="00D21E0C"/>
    <w:rsid w:val="00D21E9F"/>
    <w:rsid w:val="00D21EA6"/>
    <w:rsid w:val="00D21FA4"/>
    <w:rsid w:val="00D22090"/>
    <w:rsid w:val="00D22097"/>
    <w:rsid w:val="00D220BC"/>
    <w:rsid w:val="00D221A4"/>
    <w:rsid w:val="00D222BB"/>
    <w:rsid w:val="00D222EF"/>
    <w:rsid w:val="00D224C5"/>
    <w:rsid w:val="00D224D3"/>
    <w:rsid w:val="00D22659"/>
    <w:rsid w:val="00D22682"/>
    <w:rsid w:val="00D22696"/>
    <w:rsid w:val="00D22778"/>
    <w:rsid w:val="00D2286F"/>
    <w:rsid w:val="00D228A4"/>
    <w:rsid w:val="00D229F1"/>
    <w:rsid w:val="00D22A2B"/>
    <w:rsid w:val="00D22A9B"/>
    <w:rsid w:val="00D22ABD"/>
    <w:rsid w:val="00D22B31"/>
    <w:rsid w:val="00D22B55"/>
    <w:rsid w:val="00D22B61"/>
    <w:rsid w:val="00D22B6A"/>
    <w:rsid w:val="00D22BF2"/>
    <w:rsid w:val="00D22C48"/>
    <w:rsid w:val="00D22CFD"/>
    <w:rsid w:val="00D22D47"/>
    <w:rsid w:val="00D22D5A"/>
    <w:rsid w:val="00D22EE0"/>
    <w:rsid w:val="00D22F89"/>
    <w:rsid w:val="00D23212"/>
    <w:rsid w:val="00D232B8"/>
    <w:rsid w:val="00D2338D"/>
    <w:rsid w:val="00D2345F"/>
    <w:rsid w:val="00D2346E"/>
    <w:rsid w:val="00D23563"/>
    <w:rsid w:val="00D2357F"/>
    <w:rsid w:val="00D23589"/>
    <w:rsid w:val="00D23662"/>
    <w:rsid w:val="00D236DA"/>
    <w:rsid w:val="00D23764"/>
    <w:rsid w:val="00D23796"/>
    <w:rsid w:val="00D23798"/>
    <w:rsid w:val="00D237BD"/>
    <w:rsid w:val="00D2387E"/>
    <w:rsid w:val="00D238C3"/>
    <w:rsid w:val="00D239C1"/>
    <w:rsid w:val="00D23B73"/>
    <w:rsid w:val="00D23BA9"/>
    <w:rsid w:val="00D23BF5"/>
    <w:rsid w:val="00D23C31"/>
    <w:rsid w:val="00D23C44"/>
    <w:rsid w:val="00D23E3B"/>
    <w:rsid w:val="00D24061"/>
    <w:rsid w:val="00D240CD"/>
    <w:rsid w:val="00D2410E"/>
    <w:rsid w:val="00D24298"/>
    <w:rsid w:val="00D243A9"/>
    <w:rsid w:val="00D244A7"/>
    <w:rsid w:val="00D2450B"/>
    <w:rsid w:val="00D24582"/>
    <w:rsid w:val="00D24598"/>
    <w:rsid w:val="00D24704"/>
    <w:rsid w:val="00D2470E"/>
    <w:rsid w:val="00D248AA"/>
    <w:rsid w:val="00D2490C"/>
    <w:rsid w:val="00D249C8"/>
    <w:rsid w:val="00D24AC2"/>
    <w:rsid w:val="00D24B74"/>
    <w:rsid w:val="00D24BBB"/>
    <w:rsid w:val="00D24C35"/>
    <w:rsid w:val="00D24CEB"/>
    <w:rsid w:val="00D24CF9"/>
    <w:rsid w:val="00D24DD9"/>
    <w:rsid w:val="00D24E52"/>
    <w:rsid w:val="00D24E64"/>
    <w:rsid w:val="00D24F1C"/>
    <w:rsid w:val="00D24F51"/>
    <w:rsid w:val="00D24F7F"/>
    <w:rsid w:val="00D24F96"/>
    <w:rsid w:val="00D24FED"/>
    <w:rsid w:val="00D2502D"/>
    <w:rsid w:val="00D25110"/>
    <w:rsid w:val="00D25139"/>
    <w:rsid w:val="00D251D3"/>
    <w:rsid w:val="00D2529E"/>
    <w:rsid w:val="00D254B9"/>
    <w:rsid w:val="00D254EE"/>
    <w:rsid w:val="00D2550E"/>
    <w:rsid w:val="00D25603"/>
    <w:rsid w:val="00D256DA"/>
    <w:rsid w:val="00D256FD"/>
    <w:rsid w:val="00D25801"/>
    <w:rsid w:val="00D25865"/>
    <w:rsid w:val="00D25A18"/>
    <w:rsid w:val="00D25AD1"/>
    <w:rsid w:val="00D25AFC"/>
    <w:rsid w:val="00D25B4D"/>
    <w:rsid w:val="00D25BE7"/>
    <w:rsid w:val="00D25C0D"/>
    <w:rsid w:val="00D25C49"/>
    <w:rsid w:val="00D25CE9"/>
    <w:rsid w:val="00D25D11"/>
    <w:rsid w:val="00D25DEA"/>
    <w:rsid w:val="00D260C6"/>
    <w:rsid w:val="00D261D8"/>
    <w:rsid w:val="00D26270"/>
    <w:rsid w:val="00D26289"/>
    <w:rsid w:val="00D262F4"/>
    <w:rsid w:val="00D263B7"/>
    <w:rsid w:val="00D2649F"/>
    <w:rsid w:val="00D264C7"/>
    <w:rsid w:val="00D2654A"/>
    <w:rsid w:val="00D2657B"/>
    <w:rsid w:val="00D266DE"/>
    <w:rsid w:val="00D266E5"/>
    <w:rsid w:val="00D266F1"/>
    <w:rsid w:val="00D26858"/>
    <w:rsid w:val="00D26AC1"/>
    <w:rsid w:val="00D26B57"/>
    <w:rsid w:val="00D26C43"/>
    <w:rsid w:val="00D26CBD"/>
    <w:rsid w:val="00D26D77"/>
    <w:rsid w:val="00D26E01"/>
    <w:rsid w:val="00D26E4C"/>
    <w:rsid w:val="00D26ED1"/>
    <w:rsid w:val="00D26EF1"/>
    <w:rsid w:val="00D27049"/>
    <w:rsid w:val="00D270BA"/>
    <w:rsid w:val="00D270C6"/>
    <w:rsid w:val="00D270F0"/>
    <w:rsid w:val="00D27139"/>
    <w:rsid w:val="00D27295"/>
    <w:rsid w:val="00D27507"/>
    <w:rsid w:val="00D275D1"/>
    <w:rsid w:val="00D275FA"/>
    <w:rsid w:val="00D2770F"/>
    <w:rsid w:val="00D2786A"/>
    <w:rsid w:val="00D278B3"/>
    <w:rsid w:val="00D27958"/>
    <w:rsid w:val="00D27A46"/>
    <w:rsid w:val="00D27C40"/>
    <w:rsid w:val="00D27C50"/>
    <w:rsid w:val="00D27CC4"/>
    <w:rsid w:val="00D27CCF"/>
    <w:rsid w:val="00D27DE3"/>
    <w:rsid w:val="00D27E85"/>
    <w:rsid w:val="00D27EB7"/>
    <w:rsid w:val="00D27F25"/>
    <w:rsid w:val="00D27FBA"/>
    <w:rsid w:val="00D3004C"/>
    <w:rsid w:val="00D301C2"/>
    <w:rsid w:val="00D301C5"/>
    <w:rsid w:val="00D3033C"/>
    <w:rsid w:val="00D303DC"/>
    <w:rsid w:val="00D30503"/>
    <w:rsid w:val="00D30574"/>
    <w:rsid w:val="00D30579"/>
    <w:rsid w:val="00D30788"/>
    <w:rsid w:val="00D30911"/>
    <w:rsid w:val="00D3094C"/>
    <w:rsid w:val="00D3097E"/>
    <w:rsid w:val="00D30B3E"/>
    <w:rsid w:val="00D30BA5"/>
    <w:rsid w:val="00D30BA7"/>
    <w:rsid w:val="00D30C1F"/>
    <w:rsid w:val="00D30CC0"/>
    <w:rsid w:val="00D30CD4"/>
    <w:rsid w:val="00D30DB7"/>
    <w:rsid w:val="00D30E18"/>
    <w:rsid w:val="00D30ECB"/>
    <w:rsid w:val="00D30EFC"/>
    <w:rsid w:val="00D30F2E"/>
    <w:rsid w:val="00D31010"/>
    <w:rsid w:val="00D31060"/>
    <w:rsid w:val="00D31281"/>
    <w:rsid w:val="00D31296"/>
    <w:rsid w:val="00D312A6"/>
    <w:rsid w:val="00D312F9"/>
    <w:rsid w:val="00D31506"/>
    <w:rsid w:val="00D3171F"/>
    <w:rsid w:val="00D3183E"/>
    <w:rsid w:val="00D31993"/>
    <w:rsid w:val="00D319B4"/>
    <w:rsid w:val="00D31A70"/>
    <w:rsid w:val="00D31B38"/>
    <w:rsid w:val="00D31B40"/>
    <w:rsid w:val="00D31C32"/>
    <w:rsid w:val="00D31C5D"/>
    <w:rsid w:val="00D31C7B"/>
    <w:rsid w:val="00D31CA7"/>
    <w:rsid w:val="00D31CB3"/>
    <w:rsid w:val="00D31EE1"/>
    <w:rsid w:val="00D31F7B"/>
    <w:rsid w:val="00D32019"/>
    <w:rsid w:val="00D32192"/>
    <w:rsid w:val="00D32224"/>
    <w:rsid w:val="00D323AD"/>
    <w:rsid w:val="00D32492"/>
    <w:rsid w:val="00D324DC"/>
    <w:rsid w:val="00D325DA"/>
    <w:rsid w:val="00D3276C"/>
    <w:rsid w:val="00D328DF"/>
    <w:rsid w:val="00D328E3"/>
    <w:rsid w:val="00D32935"/>
    <w:rsid w:val="00D3299B"/>
    <w:rsid w:val="00D329AB"/>
    <w:rsid w:val="00D329C7"/>
    <w:rsid w:val="00D32AAC"/>
    <w:rsid w:val="00D32B26"/>
    <w:rsid w:val="00D32B29"/>
    <w:rsid w:val="00D32D4C"/>
    <w:rsid w:val="00D32D60"/>
    <w:rsid w:val="00D32E09"/>
    <w:rsid w:val="00D32E38"/>
    <w:rsid w:val="00D33061"/>
    <w:rsid w:val="00D330A9"/>
    <w:rsid w:val="00D33118"/>
    <w:rsid w:val="00D331AC"/>
    <w:rsid w:val="00D331E8"/>
    <w:rsid w:val="00D33202"/>
    <w:rsid w:val="00D333FD"/>
    <w:rsid w:val="00D334CC"/>
    <w:rsid w:val="00D33502"/>
    <w:rsid w:val="00D3356E"/>
    <w:rsid w:val="00D3363E"/>
    <w:rsid w:val="00D336AB"/>
    <w:rsid w:val="00D338CB"/>
    <w:rsid w:val="00D338D5"/>
    <w:rsid w:val="00D33927"/>
    <w:rsid w:val="00D339C7"/>
    <w:rsid w:val="00D33AA7"/>
    <w:rsid w:val="00D33AB8"/>
    <w:rsid w:val="00D33B5E"/>
    <w:rsid w:val="00D33BA7"/>
    <w:rsid w:val="00D33BBD"/>
    <w:rsid w:val="00D33CDB"/>
    <w:rsid w:val="00D33D52"/>
    <w:rsid w:val="00D33D86"/>
    <w:rsid w:val="00D33DB6"/>
    <w:rsid w:val="00D33DEE"/>
    <w:rsid w:val="00D33ECF"/>
    <w:rsid w:val="00D33F09"/>
    <w:rsid w:val="00D33F59"/>
    <w:rsid w:val="00D33FC7"/>
    <w:rsid w:val="00D34020"/>
    <w:rsid w:val="00D34117"/>
    <w:rsid w:val="00D341A5"/>
    <w:rsid w:val="00D34271"/>
    <w:rsid w:val="00D34275"/>
    <w:rsid w:val="00D342CE"/>
    <w:rsid w:val="00D34406"/>
    <w:rsid w:val="00D34501"/>
    <w:rsid w:val="00D34641"/>
    <w:rsid w:val="00D3474B"/>
    <w:rsid w:val="00D34753"/>
    <w:rsid w:val="00D34848"/>
    <w:rsid w:val="00D3495A"/>
    <w:rsid w:val="00D34964"/>
    <w:rsid w:val="00D34B05"/>
    <w:rsid w:val="00D34B19"/>
    <w:rsid w:val="00D34DFC"/>
    <w:rsid w:val="00D34E2A"/>
    <w:rsid w:val="00D34E3C"/>
    <w:rsid w:val="00D34F88"/>
    <w:rsid w:val="00D34FD4"/>
    <w:rsid w:val="00D3503D"/>
    <w:rsid w:val="00D35049"/>
    <w:rsid w:val="00D35228"/>
    <w:rsid w:val="00D35283"/>
    <w:rsid w:val="00D3529D"/>
    <w:rsid w:val="00D352AE"/>
    <w:rsid w:val="00D35425"/>
    <w:rsid w:val="00D35531"/>
    <w:rsid w:val="00D355A4"/>
    <w:rsid w:val="00D35611"/>
    <w:rsid w:val="00D3569D"/>
    <w:rsid w:val="00D35741"/>
    <w:rsid w:val="00D35795"/>
    <w:rsid w:val="00D35860"/>
    <w:rsid w:val="00D35959"/>
    <w:rsid w:val="00D359DE"/>
    <w:rsid w:val="00D35A59"/>
    <w:rsid w:val="00D35BB4"/>
    <w:rsid w:val="00D35BD1"/>
    <w:rsid w:val="00D35C4D"/>
    <w:rsid w:val="00D35D32"/>
    <w:rsid w:val="00D35D4D"/>
    <w:rsid w:val="00D35D6D"/>
    <w:rsid w:val="00D35E41"/>
    <w:rsid w:val="00D35F22"/>
    <w:rsid w:val="00D35FBD"/>
    <w:rsid w:val="00D360F9"/>
    <w:rsid w:val="00D360FD"/>
    <w:rsid w:val="00D36136"/>
    <w:rsid w:val="00D3616C"/>
    <w:rsid w:val="00D361CE"/>
    <w:rsid w:val="00D36289"/>
    <w:rsid w:val="00D362C4"/>
    <w:rsid w:val="00D3644A"/>
    <w:rsid w:val="00D3649A"/>
    <w:rsid w:val="00D364A1"/>
    <w:rsid w:val="00D364A7"/>
    <w:rsid w:val="00D3652B"/>
    <w:rsid w:val="00D36613"/>
    <w:rsid w:val="00D3666B"/>
    <w:rsid w:val="00D366AD"/>
    <w:rsid w:val="00D367D9"/>
    <w:rsid w:val="00D36846"/>
    <w:rsid w:val="00D36955"/>
    <w:rsid w:val="00D36983"/>
    <w:rsid w:val="00D369F9"/>
    <w:rsid w:val="00D36A8B"/>
    <w:rsid w:val="00D36A98"/>
    <w:rsid w:val="00D36AA1"/>
    <w:rsid w:val="00D36CC8"/>
    <w:rsid w:val="00D36D0B"/>
    <w:rsid w:val="00D36DC0"/>
    <w:rsid w:val="00D36E47"/>
    <w:rsid w:val="00D36EBC"/>
    <w:rsid w:val="00D36FB5"/>
    <w:rsid w:val="00D3704C"/>
    <w:rsid w:val="00D370CC"/>
    <w:rsid w:val="00D371E4"/>
    <w:rsid w:val="00D37204"/>
    <w:rsid w:val="00D37209"/>
    <w:rsid w:val="00D3721A"/>
    <w:rsid w:val="00D372C6"/>
    <w:rsid w:val="00D3733B"/>
    <w:rsid w:val="00D376AB"/>
    <w:rsid w:val="00D376B2"/>
    <w:rsid w:val="00D3771C"/>
    <w:rsid w:val="00D377D3"/>
    <w:rsid w:val="00D37816"/>
    <w:rsid w:val="00D3787C"/>
    <w:rsid w:val="00D378B8"/>
    <w:rsid w:val="00D37958"/>
    <w:rsid w:val="00D37A5D"/>
    <w:rsid w:val="00D37A60"/>
    <w:rsid w:val="00D37B98"/>
    <w:rsid w:val="00D37BF4"/>
    <w:rsid w:val="00D37D87"/>
    <w:rsid w:val="00D37E74"/>
    <w:rsid w:val="00D37FFB"/>
    <w:rsid w:val="00D4011B"/>
    <w:rsid w:val="00D401AC"/>
    <w:rsid w:val="00D401F9"/>
    <w:rsid w:val="00D40231"/>
    <w:rsid w:val="00D40236"/>
    <w:rsid w:val="00D402A5"/>
    <w:rsid w:val="00D4034D"/>
    <w:rsid w:val="00D40392"/>
    <w:rsid w:val="00D403AD"/>
    <w:rsid w:val="00D403F6"/>
    <w:rsid w:val="00D405D2"/>
    <w:rsid w:val="00D40601"/>
    <w:rsid w:val="00D40809"/>
    <w:rsid w:val="00D40A6C"/>
    <w:rsid w:val="00D40A75"/>
    <w:rsid w:val="00D40B02"/>
    <w:rsid w:val="00D40B15"/>
    <w:rsid w:val="00D40B82"/>
    <w:rsid w:val="00D40C9C"/>
    <w:rsid w:val="00D40D84"/>
    <w:rsid w:val="00D40EAA"/>
    <w:rsid w:val="00D40F45"/>
    <w:rsid w:val="00D40F69"/>
    <w:rsid w:val="00D40FE4"/>
    <w:rsid w:val="00D41019"/>
    <w:rsid w:val="00D41040"/>
    <w:rsid w:val="00D41110"/>
    <w:rsid w:val="00D4112B"/>
    <w:rsid w:val="00D4115D"/>
    <w:rsid w:val="00D412C4"/>
    <w:rsid w:val="00D41336"/>
    <w:rsid w:val="00D41490"/>
    <w:rsid w:val="00D415F4"/>
    <w:rsid w:val="00D4167D"/>
    <w:rsid w:val="00D41832"/>
    <w:rsid w:val="00D4193D"/>
    <w:rsid w:val="00D419CF"/>
    <w:rsid w:val="00D419E8"/>
    <w:rsid w:val="00D41A60"/>
    <w:rsid w:val="00D41C70"/>
    <w:rsid w:val="00D41CA9"/>
    <w:rsid w:val="00D42019"/>
    <w:rsid w:val="00D42071"/>
    <w:rsid w:val="00D4209D"/>
    <w:rsid w:val="00D420EF"/>
    <w:rsid w:val="00D421DA"/>
    <w:rsid w:val="00D4221F"/>
    <w:rsid w:val="00D4223E"/>
    <w:rsid w:val="00D424EA"/>
    <w:rsid w:val="00D42549"/>
    <w:rsid w:val="00D42558"/>
    <w:rsid w:val="00D42586"/>
    <w:rsid w:val="00D42610"/>
    <w:rsid w:val="00D42667"/>
    <w:rsid w:val="00D426F5"/>
    <w:rsid w:val="00D4271C"/>
    <w:rsid w:val="00D42A67"/>
    <w:rsid w:val="00D42A78"/>
    <w:rsid w:val="00D42BD1"/>
    <w:rsid w:val="00D42E1D"/>
    <w:rsid w:val="00D42E41"/>
    <w:rsid w:val="00D42E7C"/>
    <w:rsid w:val="00D42EB6"/>
    <w:rsid w:val="00D430A7"/>
    <w:rsid w:val="00D43144"/>
    <w:rsid w:val="00D43175"/>
    <w:rsid w:val="00D433A3"/>
    <w:rsid w:val="00D433FD"/>
    <w:rsid w:val="00D434DD"/>
    <w:rsid w:val="00D434FA"/>
    <w:rsid w:val="00D43532"/>
    <w:rsid w:val="00D4358D"/>
    <w:rsid w:val="00D4360F"/>
    <w:rsid w:val="00D436E5"/>
    <w:rsid w:val="00D437CC"/>
    <w:rsid w:val="00D437DC"/>
    <w:rsid w:val="00D438A2"/>
    <w:rsid w:val="00D43904"/>
    <w:rsid w:val="00D43905"/>
    <w:rsid w:val="00D43997"/>
    <w:rsid w:val="00D43A8D"/>
    <w:rsid w:val="00D43A95"/>
    <w:rsid w:val="00D43B95"/>
    <w:rsid w:val="00D43C86"/>
    <w:rsid w:val="00D43D30"/>
    <w:rsid w:val="00D43D3F"/>
    <w:rsid w:val="00D43DD1"/>
    <w:rsid w:val="00D43E91"/>
    <w:rsid w:val="00D44073"/>
    <w:rsid w:val="00D440F1"/>
    <w:rsid w:val="00D44129"/>
    <w:rsid w:val="00D4413E"/>
    <w:rsid w:val="00D442C3"/>
    <w:rsid w:val="00D442E1"/>
    <w:rsid w:val="00D44311"/>
    <w:rsid w:val="00D44325"/>
    <w:rsid w:val="00D44387"/>
    <w:rsid w:val="00D443B0"/>
    <w:rsid w:val="00D443CF"/>
    <w:rsid w:val="00D44417"/>
    <w:rsid w:val="00D44419"/>
    <w:rsid w:val="00D444BD"/>
    <w:rsid w:val="00D44534"/>
    <w:rsid w:val="00D44566"/>
    <w:rsid w:val="00D4472C"/>
    <w:rsid w:val="00D44829"/>
    <w:rsid w:val="00D4485E"/>
    <w:rsid w:val="00D448C7"/>
    <w:rsid w:val="00D44995"/>
    <w:rsid w:val="00D44A08"/>
    <w:rsid w:val="00D44A3E"/>
    <w:rsid w:val="00D44B85"/>
    <w:rsid w:val="00D44C1A"/>
    <w:rsid w:val="00D44C5B"/>
    <w:rsid w:val="00D44CA4"/>
    <w:rsid w:val="00D44F7E"/>
    <w:rsid w:val="00D44FDF"/>
    <w:rsid w:val="00D4509F"/>
    <w:rsid w:val="00D450A8"/>
    <w:rsid w:val="00D450BF"/>
    <w:rsid w:val="00D45191"/>
    <w:rsid w:val="00D45324"/>
    <w:rsid w:val="00D45337"/>
    <w:rsid w:val="00D45355"/>
    <w:rsid w:val="00D4537F"/>
    <w:rsid w:val="00D45397"/>
    <w:rsid w:val="00D453E2"/>
    <w:rsid w:val="00D45429"/>
    <w:rsid w:val="00D45532"/>
    <w:rsid w:val="00D45689"/>
    <w:rsid w:val="00D4569D"/>
    <w:rsid w:val="00D45742"/>
    <w:rsid w:val="00D457A0"/>
    <w:rsid w:val="00D457E8"/>
    <w:rsid w:val="00D458F5"/>
    <w:rsid w:val="00D459E1"/>
    <w:rsid w:val="00D459F3"/>
    <w:rsid w:val="00D45AA8"/>
    <w:rsid w:val="00D45BF0"/>
    <w:rsid w:val="00D45EE4"/>
    <w:rsid w:val="00D45F01"/>
    <w:rsid w:val="00D45F6F"/>
    <w:rsid w:val="00D45FAA"/>
    <w:rsid w:val="00D45FCE"/>
    <w:rsid w:val="00D45FFD"/>
    <w:rsid w:val="00D460A5"/>
    <w:rsid w:val="00D460E0"/>
    <w:rsid w:val="00D46177"/>
    <w:rsid w:val="00D461DC"/>
    <w:rsid w:val="00D463B4"/>
    <w:rsid w:val="00D464A6"/>
    <w:rsid w:val="00D464DC"/>
    <w:rsid w:val="00D46513"/>
    <w:rsid w:val="00D46570"/>
    <w:rsid w:val="00D46825"/>
    <w:rsid w:val="00D46915"/>
    <w:rsid w:val="00D469F5"/>
    <w:rsid w:val="00D46AD9"/>
    <w:rsid w:val="00D46B16"/>
    <w:rsid w:val="00D46B79"/>
    <w:rsid w:val="00D46E78"/>
    <w:rsid w:val="00D46EE8"/>
    <w:rsid w:val="00D470E7"/>
    <w:rsid w:val="00D4719F"/>
    <w:rsid w:val="00D47222"/>
    <w:rsid w:val="00D473BC"/>
    <w:rsid w:val="00D475B0"/>
    <w:rsid w:val="00D475B8"/>
    <w:rsid w:val="00D47613"/>
    <w:rsid w:val="00D476BD"/>
    <w:rsid w:val="00D476DE"/>
    <w:rsid w:val="00D47720"/>
    <w:rsid w:val="00D4772F"/>
    <w:rsid w:val="00D47801"/>
    <w:rsid w:val="00D47860"/>
    <w:rsid w:val="00D478EA"/>
    <w:rsid w:val="00D47941"/>
    <w:rsid w:val="00D47977"/>
    <w:rsid w:val="00D47A99"/>
    <w:rsid w:val="00D47B2D"/>
    <w:rsid w:val="00D47B95"/>
    <w:rsid w:val="00D47C47"/>
    <w:rsid w:val="00D47C4A"/>
    <w:rsid w:val="00D47C74"/>
    <w:rsid w:val="00D47C7A"/>
    <w:rsid w:val="00D47CF3"/>
    <w:rsid w:val="00D47D1B"/>
    <w:rsid w:val="00D47D9C"/>
    <w:rsid w:val="00D47E03"/>
    <w:rsid w:val="00D50192"/>
    <w:rsid w:val="00D50195"/>
    <w:rsid w:val="00D5020D"/>
    <w:rsid w:val="00D50276"/>
    <w:rsid w:val="00D502FF"/>
    <w:rsid w:val="00D5035A"/>
    <w:rsid w:val="00D503AF"/>
    <w:rsid w:val="00D5066F"/>
    <w:rsid w:val="00D506D8"/>
    <w:rsid w:val="00D5072E"/>
    <w:rsid w:val="00D50815"/>
    <w:rsid w:val="00D50832"/>
    <w:rsid w:val="00D508AD"/>
    <w:rsid w:val="00D508BF"/>
    <w:rsid w:val="00D5094E"/>
    <w:rsid w:val="00D509CE"/>
    <w:rsid w:val="00D50AD9"/>
    <w:rsid w:val="00D50B24"/>
    <w:rsid w:val="00D50C16"/>
    <w:rsid w:val="00D50C59"/>
    <w:rsid w:val="00D50D22"/>
    <w:rsid w:val="00D50E03"/>
    <w:rsid w:val="00D50E2B"/>
    <w:rsid w:val="00D50EF9"/>
    <w:rsid w:val="00D50F47"/>
    <w:rsid w:val="00D50F59"/>
    <w:rsid w:val="00D51001"/>
    <w:rsid w:val="00D51006"/>
    <w:rsid w:val="00D51230"/>
    <w:rsid w:val="00D51339"/>
    <w:rsid w:val="00D5133B"/>
    <w:rsid w:val="00D5143B"/>
    <w:rsid w:val="00D514A1"/>
    <w:rsid w:val="00D5157A"/>
    <w:rsid w:val="00D5162A"/>
    <w:rsid w:val="00D5168D"/>
    <w:rsid w:val="00D51757"/>
    <w:rsid w:val="00D517DA"/>
    <w:rsid w:val="00D517F3"/>
    <w:rsid w:val="00D517FB"/>
    <w:rsid w:val="00D518DD"/>
    <w:rsid w:val="00D5194D"/>
    <w:rsid w:val="00D51A3B"/>
    <w:rsid w:val="00D51A48"/>
    <w:rsid w:val="00D51B69"/>
    <w:rsid w:val="00D51C39"/>
    <w:rsid w:val="00D51CB0"/>
    <w:rsid w:val="00D51CC8"/>
    <w:rsid w:val="00D51CE6"/>
    <w:rsid w:val="00D51EB6"/>
    <w:rsid w:val="00D51F3A"/>
    <w:rsid w:val="00D51F79"/>
    <w:rsid w:val="00D5205E"/>
    <w:rsid w:val="00D52061"/>
    <w:rsid w:val="00D520C6"/>
    <w:rsid w:val="00D5210F"/>
    <w:rsid w:val="00D52268"/>
    <w:rsid w:val="00D522F1"/>
    <w:rsid w:val="00D52333"/>
    <w:rsid w:val="00D52539"/>
    <w:rsid w:val="00D5256D"/>
    <w:rsid w:val="00D525AC"/>
    <w:rsid w:val="00D525B1"/>
    <w:rsid w:val="00D525E4"/>
    <w:rsid w:val="00D52604"/>
    <w:rsid w:val="00D52643"/>
    <w:rsid w:val="00D52670"/>
    <w:rsid w:val="00D526D5"/>
    <w:rsid w:val="00D526F5"/>
    <w:rsid w:val="00D52769"/>
    <w:rsid w:val="00D52790"/>
    <w:rsid w:val="00D528CF"/>
    <w:rsid w:val="00D528FE"/>
    <w:rsid w:val="00D52911"/>
    <w:rsid w:val="00D52A43"/>
    <w:rsid w:val="00D52A6E"/>
    <w:rsid w:val="00D52B2A"/>
    <w:rsid w:val="00D52C87"/>
    <w:rsid w:val="00D52CA0"/>
    <w:rsid w:val="00D52F96"/>
    <w:rsid w:val="00D52FAF"/>
    <w:rsid w:val="00D52FD1"/>
    <w:rsid w:val="00D53121"/>
    <w:rsid w:val="00D5314E"/>
    <w:rsid w:val="00D53173"/>
    <w:rsid w:val="00D531A2"/>
    <w:rsid w:val="00D532BB"/>
    <w:rsid w:val="00D5331F"/>
    <w:rsid w:val="00D53366"/>
    <w:rsid w:val="00D53541"/>
    <w:rsid w:val="00D53604"/>
    <w:rsid w:val="00D53654"/>
    <w:rsid w:val="00D536B2"/>
    <w:rsid w:val="00D53A09"/>
    <w:rsid w:val="00D53AF4"/>
    <w:rsid w:val="00D53B32"/>
    <w:rsid w:val="00D53C71"/>
    <w:rsid w:val="00D53E06"/>
    <w:rsid w:val="00D53EA3"/>
    <w:rsid w:val="00D53F73"/>
    <w:rsid w:val="00D53F98"/>
    <w:rsid w:val="00D53FFC"/>
    <w:rsid w:val="00D54042"/>
    <w:rsid w:val="00D541A4"/>
    <w:rsid w:val="00D54207"/>
    <w:rsid w:val="00D54265"/>
    <w:rsid w:val="00D54269"/>
    <w:rsid w:val="00D543D8"/>
    <w:rsid w:val="00D54460"/>
    <w:rsid w:val="00D54468"/>
    <w:rsid w:val="00D544A9"/>
    <w:rsid w:val="00D545C5"/>
    <w:rsid w:val="00D54602"/>
    <w:rsid w:val="00D546DD"/>
    <w:rsid w:val="00D54714"/>
    <w:rsid w:val="00D54716"/>
    <w:rsid w:val="00D54751"/>
    <w:rsid w:val="00D547A5"/>
    <w:rsid w:val="00D547FA"/>
    <w:rsid w:val="00D54A4A"/>
    <w:rsid w:val="00D54E04"/>
    <w:rsid w:val="00D54F25"/>
    <w:rsid w:val="00D54F2A"/>
    <w:rsid w:val="00D55004"/>
    <w:rsid w:val="00D55046"/>
    <w:rsid w:val="00D55078"/>
    <w:rsid w:val="00D5518D"/>
    <w:rsid w:val="00D55226"/>
    <w:rsid w:val="00D5535B"/>
    <w:rsid w:val="00D55384"/>
    <w:rsid w:val="00D553F3"/>
    <w:rsid w:val="00D55458"/>
    <w:rsid w:val="00D554BB"/>
    <w:rsid w:val="00D555AE"/>
    <w:rsid w:val="00D55638"/>
    <w:rsid w:val="00D55680"/>
    <w:rsid w:val="00D556F1"/>
    <w:rsid w:val="00D55A9C"/>
    <w:rsid w:val="00D55AFD"/>
    <w:rsid w:val="00D55B89"/>
    <w:rsid w:val="00D55CAA"/>
    <w:rsid w:val="00D55E3B"/>
    <w:rsid w:val="00D55F33"/>
    <w:rsid w:val="00D56064"/>
    <w:rsid w:val="00D560FC"/>
    <w:rsid w:val="00D56351"/>
    <w:rsid w:val="00D563A1"/>
    <w:rsid w:val="00D563E6"/>
    <w:rsid w:val="00D56460"/>
    <w:rsid w:val="00D56525"/>
    <w:rsid w:val="00D5658D"/>
    <w:rsid w:val="00D56678"/>
    <w:rsid w:val="00D566A2"/>
    <w:rsid w:val="00D5684D"/>
    <w:rsid w:val="00D56875"/>
    <w:rsid w:val="00D568BC"/>
    <w:rsid w:val="00D5694C"/>
    <w:rsid w:val="00D56957"/>
    <w:rsid w:val="00D56AAA"/>
    <w:rsid w:val="00D56B6C"/>
    <w:rsid w:val="00D56BDD"/>
    <w:rsid w:val="00D56CDC"/>
    <w:rsid w:val="00D56D1E"/>
    <w:rsid w:val="00D56EBC"/>
    <w:rsid w:val="00D56EC5"/>
    <w:rsid w:val="00D56F87"/>
    <w:rsid w:val="00D57005"/>
    <w:rsid w:val="00D57090"/>
    <w:rsid w:val="00D5720D"/>
    <w:rsid w:val="00D57264"/>
    <w:rsid w:val="00D57454"/>
    <w:rsid w:val="00D57500"/>
    <w:rsid w:val="00D57539"/>
    <w:rsid w:val="00D5787F"/>
    <w:rsid w:val="00D5795B"/>
    <w:rsid w:val="00D57A01"/>
    <w:rsid w:val="00D57C50"/>
    <w:rsid w:val="00D57D2D"/>
    <w:rsid w:val="00D57DB7"/>
    <w:rsid w:val="00D57DE0"/>
    <w:rsid w:val="00D57E61"/>
    <w:rsid w:val="00D57EED"/>
    <w:rsid w:val="00D57F61"/>
    <w:rsid w:val="00D57FBB"/>
    <w:rsid w:val="00D6006E"/>
    <w:rsid w:val="00D6009C"/>
    <w:rsid w:val="00D60220"/>
    <w:rsid w:val="00D60243"/>
    <w:rsid w:val="00D60388"/>
    <w:rsid w:val="00D603C9"/>
    <w:rsid w:val="00D604C4"/>
    <w:rsid w:val="00D605AF"/>
    <w:rsid w:val="00D607D7"/>
    <w:rsid w:val="00D60976"/>
    <w:rsid w:val="00D609CA"/>
    <w:rsid w:val="00D60ADA"/>
    <w:rsid w:val="00D60F24"/>
    <w:rsid w:val="00D60F8A"/>
    <w:rsid w:val="00D60FE9"/>
    <w:rsid w:val="00D6104A"/>
    <w:rsid w:val="00D610CD"/>
    <w:rsid w:val="00D6121D"/>
    <w:rsid w:val="00D61268"/>
    <w:rsid w:val="00D613C1"/>
    <w:rsid w:val="00D613C2"/>
    <w:rsid w:val="00D614F7"/>
    <w:rsid w:val="00D61533"/>
    <w:rsid w:val="00D6156C"/>
    <w:rsid w:val="00D6170E"/>
    <w:rsid w:val="00D61748"/>
    <w:rsid w:val="00D618F5"/>
    <w:rsid w:val="00D61947"/>
    <w:rsid w:val="00D6197F"/>
    <w:rsid w:val="00D61A61"/>
    <w:rsid w:val="00D61B55"/>
    <w:rsid w:val="00D61BD4"/>
    <w:rsid w:val="00D61C38"/>
    <w:rsid w:val="00D61C78"/>
    <w:rsid w:val="00D61EE4"/>
    <w:rsid w:val="00D61F97"/>
    <w:rsid w:val="00D62006"/>
    <w:rsid w:val="00D62177"/>
    <w:rsid w:val="00D621C7"/>
    <w:rsid w:val="00D62322"/>
    <w:rsid w:val="00D62377"/>
    <w:rsid w:val="00D623C6"/>
    <w:rsid w:val="00D624B8"/>
    <w:rsid w:val="00D62561"/>
    <w:rsid w:val="00D625A7"/>
    <w:rsid w:val="00D625B9"/>
    <w:rsid w:val="00D625D3"/>
    <w:rsid w:val="00D625F3"/>
    <w:rsid w:val="00D625FE"/>
    <w:rsid w:val="00D6260B"/>
    <w:rsid w:val="00D6262C"/>
    <w:rsid w:val="00D626CB"/>
    <w:rsid w:val="00D626E7"/>
    <w:rsid w:val="00D626EB"/>
    <w:rsid w:val="00D62706"/>
    <w:rsid w:val="00D6287E"/>
    <w:rsid w:val="00D62A63"/>
    <w:rsid w:val="00D62A6B"/>
    <w:rsid w:val="00D62ABE"/>
    <w:rsid w:val="00D62B31"/>
    <w:rsid w:val="00D62B4E"/>
    <w:rsid w:val="00D62B8D"/>
    <w:rsid w:val="00D62BC7"/>
    <w:rsid w:val="00D62C1F"/>
    <w:rsid w:val="00D62C22"/>
    <w:rsid w:val="00D62D0B"/>
    <w:rsid w:val="00D62DAE"/>
    <w:rsid w:val="00D62DB1"/>
    <w:rsid w:val="00D62E24"/>
    <w:rsid w:val="00D62EB1"/>
    <w:rsid w:val="00D62F61"/>
    <w:rsid w:val="00D62FE8"/>
    <w:rsid w:val="00D63209"/>
    <w:rsid w:val="00D63263"/>
    <w:rsid w:val="00D6348D"/>
    <w:rsid w:val="00D634A3"/>
    <w:rsid w:val="00D63558"/>
    <w:rsid w:val="00D63684"/>
    <w:rsid w:val="00D636C9"/>
    <w:rsid w:val="00D63753"/>
    <w:rsid w:val="00D63949"/>
    <w:rsid w:val="00D6394E"/>
    <w:rsid w:val="00D63968"/>
    <w:rsid w:val="00D639F7"/>
    <w:rsid w:val="00D63A79"/>
    <w:rsid w:val="00D63B6C"/>
    <w:rsid w:val="00D63B77"/>
    <w:rsid w:val="00D63C07"/>
    <w:rsid w:val="00D63D5A"/>
    <w:rsid w:val="00D63DAE"/>
    <w:rsid w:val="00D63E03"/>
    <w:rsid w:val="00D63E06"/>
    <w:rsid w:val="00D63F02"/>
    <w:rsid w:val="00D63F94"/>
    <w:rsid w:val="00D63FB8"/>
    <w:rsid w:val="00D63FEF"/>
    <w:rsid w:val="00D64207"/>
    <w:rsid w:val="00D64291"/>
    <w:rsid w:val="00D6451C"/>
    <w:rsid w:val="00D64554"/>
    <w:rsid w:val="00D645A7"/>
    <w:rsid w:val="00D64629"/>
    <w:rsid w:val="00D646B5"/>
    <w:rsid w:val="00D646BE"/>
    <w:rsid w:val="00D64740"/>
    <w:rsid w:val="00D64748"/>
    <w:rsid w:val="00D6475D"/>
    <w:rsid w:val="00D647A4"/>
    <w:rsid w:val="00D647A6"/>
    <w:rsid w:val="00D6485A"/>
    <w:rsid w:val="00D6487D"/>
    <w:rsid w:val="00D64B15"/>
    <w:rsid w:val="00D64B4B"/>
    <w:rsid w:val="00D64BC1"/>
    <w:rsid w:val="00D64BCD"/>
    <w:rsid w:val="00D64BE2"/>
    <w:rsid w:val="00D64BF4"/>
    <w:rsid w:val="00D64C36"/>
    <w:rsid w:val="00D64D4B"/>
    <w:rsid w:val="00D64DF8"/>
    <w:rsid w:val="00D64F16"/>
    <w:rsid w:val="00D64F32"/>
    <w:rsid w:val="00D65009"/>
    <w:rsid w:val="00D6502A"/>
    <w:rsid w:val="00D651A9"/>
    <w:rsid w:val="00D651CE"/>
    <w:rsid w:val="00D651E1"/>
    <w:rsid w:val="00D651E5"/>
    <w:rsid w:val="00D6523D"/>
    <w:rsid w:val="00D6527C"/>
    <w:rsid w:val="00D652F2"/>
    <w:rsid w:val="00D6556C"/>
    <w:rsid w:val="00D655A6"/>
    <w:rsid w:val="00D655F1"/>
    <w:rsid w:val="00D65606"/>
    <w:rsid w:val="00D6563B"/>
    <w:rsid w:val="00D656BE"/>
    <w:rsid w:val="00D656D8"/>
    <w:rsid w:val="00D65737"/>
    <w:rsid w:val="00D657AF"/>
    <w:rsid w:val="00D657E7"/>
    <w:rsid w:val="00D657F8"/>
    <w:rsid w:val="00D65848"/>
    <w:rsid w:val="00D658B0"/>
    <w:rsid w:val="00D658E3"/>
    <w:rsid w:val="00D659C3"/>
    <w:rsid w:val="00D659D1"/>
    <w:rsid w:val="00D65A0D"/>
    <w:rsid w:val="00D65A5C"/>
    <w:rsid w:val="00D65A82"/>
    <w:rsid w:val="00D65B07"/>
    <w:rsid w:val="00D65B13"/>
    <w:rsid w:val="00D65BBE"/>
    <w:rsid w:val="00D65BC0"/>
    <w:rsid w:val="00D65C75"/>
    <w:rsid w:val="00D65CA6"/>
    <w:rsid w:val="00D65D07"/>
    <w:rsid w:val="00D65E10"/>
    <w:rsid w:val="00D65E17"/>
    <w:rsid w:val="00D65E5F"/>
    <w:rsid w:val="00D65EFC"/>
    <w:rsid w:val="00D65F21"/>
    <w:rsid w:val="00D65F55"/>
    <w:rsid w:val="00D65F5F"/>
    <w:rsid w:val="00D66041"/>
    <w:rsid w:val="00D66067"/>
    <w:rsid w:val="00D6608D"/>
    <w:rsid w:val="00D660C9"/>
    <w:rsid w:val="00D66154"/>
    <w:rsid w:val="00D6620F"/>
    <w:rsid w:val="00D66327"/>
    <w:rsid w:val="00D6647F"/>
    <w:rsid w:val="00D664E6"/>
    <w:rsid w:val="00D6655E"/>
    <w:rsid w:val="00D665BB"/>
    <w:rsid w:val="00D6664E"/>
    <w:rsid w:val="00D66654"/>
    <w:rsid w:val="00D666E3"/>
    <w:rsid w:val="00D667C2"/>
    <w:rsid w:val="00D6685E"/>
    <w:rsid w:val="00D6690D"/>
    <w:rsid w:val="00D6691F"/>
    <w:rsid w:val="00D66ACA"/>
    <w:rsid w:val="00D66B20"/>
    <w:rsid w:val="00D66B6F"/>
    <w:rsid w:val="00D66CBE"/>
    <w:rsid w:val="00D66DEA"/>
    <w:rsid w:val="00D66E51"/>
    <w:rsid w:val="00D66EE2"/>
    <w:rsid w:val="00D66FCC"/>
    <w:rsid w:val="00D66FDB"/>
    <w:rsid w:val="00D67039"/>
    <w:rsid w:val="00D670AA"/>
    <w:rsid w:val="00D670EB"/>
    <w:rsid w:val="00D672B3"/>
    <w:rsid w:val="00D672EC"/>
    <w:rsid w:val="00D67303"/>
    <w:rsid w:val="00D6740D"/>
    <w:rsid w:val="00D675E9"/>
    <w:rsid w:val="00D67774"/>
    <w:rsid w:val="00D6793F"/>
    <w:rsid w:val="00D67B4A"/>
    <w:rsid w:val="00D67BC2"/>
    <w:rsid w:val="00D67C0E"/>
    <w:rsid w:val="00D67D76"/>
    <w:rsid w:val="00D67DC9"/>
    <w:rsid w:val="00D67DFF"/>
    <w:rsid w:val="00D67E82"/>
    <w:rsid w:val="00D67F11"/>
    <w:rsid w:val="00D6E05B"/>
    <w:rsid w:val="00D7010B"/>
    <w:rsid w:val="00D70110"/>
    <w:rsid w:val="00D7059E"/>
    <w:rsid w:val="00D70603"/>
    <w:rsid w:val="00D70638"/>
    <w:rsid w:val="00D70642"/>
    <w:rsid w:val="00D706AB"/>
    <w:rsid w:val="00D7086E"/>
    <w:rsid w:val="00D708B9"/>
    <w:rsid w:val="00D708F7"/>
    <w:rsid w:val="00D7090D"/>
    <w:rsid w:val="00D7095D"/>
    <w:rsid w:val="00D70B1A"/>
    <w:rsid w:val="00D70CCC"/>
    <w:rsid w:val="00D70CFE"/>
    <w:rsid w:val="00D70EA6"/>
    <w:rsid w:val="00D70FBA"/>
    <w:rsid w:val="00D71058"/>
    <w:rsid w:val="00D7108F"/>
    <w:rsid w:val="00D71240"/>
    <w:rsid w:val="00D7130B"/>
    <w:rsid w:val="00D71457"/>
    <w:rsid w:val="00D7165F"/>
    <w:rsid w:val="00D716A0"/>
    <w:rsid w:val="00D71735"/>
    <w:rsid w:val="00D71742"/>
    <w:rsid w:val="00D717C5"/>
    <w:rsid w:val="00D7181E"/>
    <w:rsid w:val="00D718CC"/>
    <w:rsid w:val="00D718F9"/>
    <w:rsid w:val="00D71982"/>
    <w:rsid w:val="00D71989"/>
    <w:rsid w:val="00D71AE4"/>
    <w:rsid w:val="00D71B0D"/>
    <w:rsid w:val="00D71B3A"/>
    <w:rsid w:val="00D71C0A"/>
    <w:rsid w:val="00D71CF8"/>
    <w:rsid w:val="00D71CFA"/>
    <w:rsid w:val="00D71D05"/>
    <w:rsid w:val="00D71D7A"/>
    <w:rsid w:val="00D71DAF"/>
    <w:rsid w:val="00D71E44"/>
    <w:rsid w:val="00D71EC0"/>
    <w:rsid w:val="00D71FD9"/>
    <w:rsid w:val="00D71FEF"/>
    <w:rsid w:val="00D7209A"/>
    <w:rsid w:val="00D72123"/>
    <w:rsid w:val="00D7213E"/>
    <w:rsid w:val="00D7232F"/>
    <w:rsid w:val="00D723D0"/>
    <w:rsid w:val="00D7252F"/>
    <w:rsid w:val="00D726F5"/>
    <w:rsid w:val="00D727CF"/>
    <w:rsid w:val="00D727D7"/>
    <w:rsid w:val="00D728D6"/>
    <w:rsid w:val="00D72921"/>
    <w:rsid w:val="00D72953"/>
    <w:rsid w:val="00D72984"/>
    <w:rsid w:val="00D729B6"/>
    <w:rsid w:val="00D729D7"/>
    <w:rsid w:val="00D72AC7"/>
    <w:rsid w:val="00D72B10"/>
    <w:rsid w:val="00D72CD8"/>
    <w:rsid w:val="00D72DC2"/>
    <w:rsid w:val="00D72DF2"/>
    <w:rsid w:val="00D72E70"/>
    <w:rsid w:val="00D72EC5"/>
    <w:rsid w:val="00D72EF2"/>
    <w:rsid w:val="00D73229"/>
    <w:rsid w:val="00D73259"/>
    <w:rsid w:val="00D732E5"/>
    <w:rsid w:val="00D73490"/>
    <w:rsid w:val="00D73630"/>
    <w:rsid w:val="00D73641"/>
    <w:rsid w:val="00D73676"/>
    <w:rsid w:val="00D738AC"/>
    <w:rsid w:val="00D738FA"/>
    <w:rsid w:val="00D739C7"/>
    <w:rsid w:val="00D739DF"/>
    <w:rsid w:val="00D73A7F"/>
    <w:rsid w:val="00D73ABF"/>
    <w:rsid w:val="00D73B6D"/>
    <w:rsid w:val="00D73BF7"/>
    <w:rsid w:val="00D73C1D"/>
    <w:rsid w:val="00D73C63"/>
    <w:rsid w:val="00D73CC1"/>
    <w:rsid w:val="00D73CFD"/>
    <w:rsid w:val="00D73D02"/>
    <w:rsid w:val="00D73D76"/>
    <w:rsid w:val="00D73E05"/>
    <w:rsid w:val="00D73E4C"/>
    <w:rsid w:val="00D73F03"/>
    <w:rsid w:val="00D73F19"/>
    <w:rsid w:val="00D73F1D"/>
    <w:rsid w:val="00D73F29"/>
    <w:rsid w:val="00D7400A"/>
    <w:rsid w:val="00D74019"/>
    <w:rsid w:val="00D7407C"/>
    <w:rsid w:val="00D74188"/>
    <w:rsid w:val="00D74235"/>
    <w:rsid w:val="00D74297"/>
    <w:rsid w:val="00D742CD"/>
    <w:rsid w:val="00D742D3"/>
    <w:rsid w:val="00D742EA"/>
    <w:rsid w:val="00D744AE"/>
    <w:rsid w:val="00D744F4"/>
    <w:rsid w:val="00D745C8"/>
    <w:rsid w:val="00D745DB"/>
    <w:rsid w:val="00D74610"/>
    <w:rsid w:val="00D74739"/>
    <w:rsid w:val="00D7481E"/>
    <w:rsid w:val="00D74922"/>
    <w:rsid w:val="00D74986"/>
    <w:rsid w:val="00D749C1"/>
    <w:rsid w:val="00D74AA0"/>
    <w:rsid w:val="00D74B6C"/>
    <w:rsid w:val="00D74C82"/>
    <w:rsid w:val="00D74D3F"/>
    <w:rsid w:val="00D74D95"/>
    <w:rsid w:val="00D750A8"/>
    <w:rsid w:val="00D7513F"/>
    <w:rsid w:val="00D75245"/>
    <w:rsid w:val="00D754A3"/>
    <w:rsid w:val="00D754D2"/>
    <w:rsid w:val="00D756ED"/>
    <w:rsid w:val="00D757D2"/>
    <w:rsid w:val="00D7589D"/>
    <w:rsid w:val="00D75A87"/>
    <w:rsid w:val="00D75AB5"/>
    <w:rsid w:val="00D75B29"/>
    <w:rsid w:val="00D75B55"/>
    <w:rsid w:val="00D75C65"/>
    <w:rsid w:val="00D75DA1"/>
    <w:rsid w:val="00D75DC8"/>
    <w:rsid w:val="00D75E08"/>
    <w:rsid w:val="00D76086"/>
    <w:rsid w:val="00D761A0"/>
    <w:rsid w:val="00D761D7"/>
    <w:rsid w:val="00D762A8"/>
    <w:rsid w:val="00D762DF"/>
    <w:rsid w:val="00D76340"/>
    <w:rsid w:val="00D7638A"/>
    <w:rsid w:val="00D763A3"/>
    <w:rsid w:val="00D76525"/>
    <w:rsid w:val="00D7656F"/>
    <w:rsid w:val="00D7672F"/>
    <w:rsid w:val="00D767BA"/>
    <w:rsid w:val="00D767EC"/>
    <w:rsid w:val="00D76AD3"/>
    <w:rsid w:val="00D76AD9"/>
    <w:rsid w:val="00D76B8F"/>
    <w:rsid w:val="00D76CB6"/>
    <w:rsid w:val="00D76E66"/>
    <w:rsid w:val="00D76ECB"/>
    <w:rsid w:val="00D77028"/>
    <w:rsid w:val="00D77040"/>
    <w:rsid w:val="00D77118"/>
    <w:rsid w:val="00D771A6"/>
    <w:rsid w:val="00D77210"/>
    <w:rsid w:val="00D772D4"/>
    <w:rsid w:val="00D775A0"/>
    <w:rsid w:val="00D77690"/>
    <w:rsid w:val="00D776DD"/>
    <w:rsid w:val="00D77711"/>
    <w:rsid w:val="00D77780"/>
    <w:rsid w:val="00D778A4"/>
    <w:rsid w:val="00D778E8"/>
    <w:rsid w:val="00D77A33"/>
    <w:rsid w:val="00D77A56"/>
    <w:rsid w:val="00D77AD4"/>
    <w:rsid w:val="00D77AD5"/>
    <w:rsid w:val="00D77B59"/>
    <w:rsid w:val="00D77E57"/>
    <w:rsid w:val="00D80286"/>
    <w:rsid w:val="00D80301"/>
    <w:rsid w:val="00D80377"/>
    <w:rsid w:val="00D80402"/>
    <w:rsid w:val="00D80429"/>
    <w:rsid w:val="00D8045F"/>
    <w:rsid w:val="00D804DD"/>
    <w:rsid w:val="00D80622"/>
    <w:rsid w:val="00D80731"/>
    <w:rsid w:val="00D80766"/>
    <w:rsid w:val="00D807AE"/>
    <w:rsid w:val="00D807C4"/>
    <w:rsid w:val="00D80805"/>
    <w:rsid w:val="00D8087F"/>
    <w:rsid w:val="00D80902"/>
    <w:rsid w:val="00D809B7"/>
    <w:rsid w:val="00D809F4"/>
    <w:rsid w:val="00D809FD"/>
    <w:rsid w:val="00D80AA9"/>
    <w:rsid w:val="00D80B09"/>
    <w:rsid w:val="00D80CE2"/>
    <w:rsid w:val="00D80DD9"/>
    <w:rsid w:val="00D80F55"/>
    <w:rsid w:val="00D8104D"/>
    <w:rsid w:val="00D8107B"/>
    <w:rsid w:val="00D810E7"/>
    <w:rsid w:val="00D811AF"/>
    <w:rsid w:val="00D811B7"/>
    <w:rsid w:val="00D811C7"/>
    <w:rsid w:val="00D8122E"/>
    <w:rsid w:val="00D812B5"/>
    <w:rsid w:val="00D814DF"/>
    <w:rsid w:val="00D814FC"/>
    <w:rsid w:val="00D81696"/>
    <w:rsid w:val="00D817A4"/>
    <w:rsid w:val="00D81830"/>
    <w:rsid w:val="00D8185A"/>
    <w:rsid w:val="00D818DE"/>
    <w:rsid w:val="00D81A68"/>
    <w:rsid w:val="00D81AB3"/>
    <w:rsid w:val="00D81AE9"/>
    <w:rsid w:val="00D81B17"/>
    <w:rsid w:val="00D81B9A"/>
    <w:rsid w:val="00D81C12"/>
    <w:rsid w:val="00D81CF7"/>
    <w:rsid w:val="00D81D06"/>
    <w:rsid w:val="00D81D79"/>
    <w:rsid w:val="00D82224"/>
    <w:rsid w:val="00D822CE"/>
    <w:rsid w:val="00D82397"/>
    <w:rsid w:val="00D8254B"/>
    <w:rsid w:val="00D82641"/>
    <w:rsid w:val="00D82651"/>
    <w:rsid w:val="00D82719"/>
    <w:rsid w:val="00D8273D"/>
    <w:rsid w:val="00D82743"/>
    <w:rsid w:val="00D8296C"/>
    <w:rsid w:val="00D82986"/>
    <w:rsid w:val="00D829B5"/>
    <w:rsid w:val="00D82A1E"/>
    <w:rsid w:val="00D82AB7"/>
    <w:rsid w:val="00D82B6C"/>
    <w:rsid w:val="00D82B87"/>
    <w:rsid w:val="00D82B9C"/>
    <w:rsid w:val="00D82BC5"/>
    <w:rsid w:val="00D82CAC"/>
    <w:rsid w:val="00D82CBD"/>
    <w:rsid w:val="00D82CE6"/>
    <w:rsid w:val="00D82D04"/>
    <w:rsid w:val="00D82D07"/>
    <w:rsid w:val="00D82E3B"/>
    <w:rsid w:val="00D82E49"/>
    <w:rsid w:val="00D82EA3"/>
    <w:rsid w:val="00D83229"/>
    <w:rsid w:val="00D83391"/>
    <w:rsid w:val="00D8348B"/>
    <w:rsid w:val="00D835D4"/>
    <w:rsid w:val="00D837D3"/>
    <w:rsid w:val="00D83873"/>
    <w:rsid w:val="00D8388E"/>
    <w:rsid w:val="00D83C8C"/>
    <w:rsid w:val="00D83C93"/>
    <w:rsid w:val="00D83CD9"/>
    <w:rsid w:val="00D83D5D"/>
    <w:rsid w:val="00D83EB8"/>
    <w:rsid w:val="00D83F10"/>
    <w:rsid w:val="00D83F17"/>
    <w:rsid w:val="00D84083"/>
    <w:rsid w:val="00D840E6"/>
    <w:rsid w:val="00D842BD"/>
    <w:rsid w:val="00D84357"/>
    <w:rsid w:val="00D84403"/>
    <w:rsid w:val="00D8447D"/>
    <w:rsid w:val="00D844B4"/>
    <w:rsid w:val="00D8450B"/>
    <w:rsid w:val="00D845D4"/>
    <w:rsid w:val="00D84657"/>
    <w:rsid w:val="00D847F7"/>
    <w:rsid w:val="00D84842"/>
    <w:rsid w:val="00D848BA"/>
    <w:rsid w:val="00D84960"/>
    <w:rsid w:val="00D84A29"/>
    <w:rsid w:val="00D84ACB"/>
    <w:rsid w:val="00D84B2F"/>
    <w:rsid w:val="00D84C32"/>
    <w:rsid w:val="00D84E57"/>
    <w:rsid w:val="00D84F35"/>
    <w:rsid w:val="00D84FF7"/>
    <w:rsid w:val="00D8502A"/>
    <w:rsid w:val="00D850F2"/>
    <w:rsid w:val="00D8510A"/>
    <w:rsid w:val="00D85145"/>
    <w:rsid w:val="00D85283"/>
    <w:rsid w:val="00D852DC"/>
    <w:rsid w:val="00D8539A"/>
    <w:rsid w:val="00D8540F"/>
    <w:rsid w:val="00D85412"/>
    <w:rsid w:val="00D85616"/>
    <w:rsid w:val="00D85657"/>
    <w:rsid w:val="00D85687"/>
    <w:rsid w:val="00D856D3"/>
    <w:rsid w:val="00D857A9"/>
    <w:rsid w:val="00D857BC"/>
    <w:rsid w:val="00D857EA"/>
    <w:rsid w:val="00D8580B"/>
    <w:rsid w:val="00D8581E"/>
    <w:rsid w:val="00D85868"/>
    <w:rsid w:val="00D858FF"/>
    <w:rsid w:val="00D8599A"/>
    <w:rsid w:val="00D859A2"/>
    <w:rsid w:val="00D85AA6"/>
    <w:rsid w:val="00D85C94"/>
    <w:rsid w:val="00D85CAA"/>
    <w:rsid w:val="00D85D1B"/>
    <w:rsid w:val="00D85F28"/>
    <w:rsid w:val="00D86084"/>
    <w:rsid w:val="00D860E6"/>
    <w:rsid w:val="00D861D4"/>
    <w:rsid w:val="00D86217"/>
    <w:rsid w:val="00D8636E"/>
    <w:rsid w:val="00D86632"/>
    <w:rsid w:val="00D866E3"/>
    <w:rsid w:val="00D8672F"/>
    <w:rsid w:val="00D868DF"/>
    <w:rsid w:val="00D86908"/>
    <w:rsid w:val="00D86A46"/>
    <w:rsid w:val="00D86AA5"/>
    <w:rsid w:val="00D86BC3"/>
    <w:rsid w:val="00D86D01"/>
    <w:rsid w:val="00D86D5B"/>
    <w:rsid w:val="00D86D8F"/>
    <w:rsid w:val="00D86E24"/>
    <w:rsid w:val="00D86E99"/>
    <w:rsid w:val="00D86F46"/>
    <w:rsid w:val="00D86F80"/>
    <w:rsid w:val="00D870BF"/>
    <w:rsid w:val="00D870F3"/>
    <w:rsid w:val="00D87102"/>
    <w:rsid w:val="00D8716A"/>
    <w:rsid w:val="00D87171"/>
    <w:rsid w:val="00D871D3"/>
    <w:rsid w:val="00D87213"/>
    <w:rsid w:val="00D872E3"/>
    <w:rsid w:val="00D8734F"/>
    <w:rsid w:val="00D873DF"/>
    <w:rsid w:val="00D8750D"/>
    <w:rsid w:val="00D8753C"/>
    <w:rsid w:val="00D8757E"/>
    <w:rsid w:val="00D87622"/>
    <w:rsid w:val="00D87671"/>
    <w:rsid w:val="00D8767D"/>
    <w:rsid w:val="00D87A1D"/>
    <w:rsid w:val="00D87A2E"/>
    <w:rsid w:val="00D87AC8"/>
    <w:rsid w:val="00D87B09"/>
    <w:rsid w:val="00D87BA8"/>
    <w:rsid w:val="00D87C92"/>
    <w:rsid w:val="00D87DD8"/>
    <w:rsid w:val="00D87F15"/>
    <w:rsid w:val="00D87F9B"/>
    <w:rsid w:val="00D90039"/>
    <w:rsid w:val="00D9011C"/>
    <w:rsid w:val="00D90251"/>
    <w:rsid w:val="00D90467"/>
    <w:rsid w:val="00D905DD"/>
    <w:rsid w:val="00D9077B"/>
    <w:rsid w:val="00D907DC"/>
    <w:rsid w:val="00D90800"/>
    <w:rsid w:val="00D90970"/>
    <w:rsid w:val="00D90982"/>
    <w:rsid w:val="00D909F9"/>
    <w:rsid w:val="00D90AFB"/>
    <w:rsid w:val="00D90BA6"/>
    <w:rsid w:val="00D90C65"/>
    <w:rsid w:val="00D90D7C"/>
    <w:rsid w:val="00D90EDD"/>
    <w:rsid w:val="00D90EE7"/>
    <w:rsid w:val="00D90F73"/>
    <w:rsid w:val="00D91024"/>
    <w:rsid w:val="00D9119C"/>
    <w:rsid w:val="00D91263"/>
    <w:rsid w:val="00D912B8"/>
    <w:rsid w:val="00D912F9"/>
    <w:rsid w:val="00D91349"/>
    <w:rsid w:val="00D9136C"/>
    <w:rsid w:val="00D91436"/>
    <w:rsid w:val="00D915AC"/>
    <w:rsid w:val="00D915DE"/>
    <w:rsid w:val="00D916E9"/>
    <w:rsid w:val="00D91812"/>
    <w:rsid w:val="00D9195F"/>
    <w:rsid w:val="00D919AC"/>
    <w:rsid w:val="00D91A5C"/>
    <w:rsid w:val="00D91AF3"/>
    <w:rsid w:val="00D91B2A"/>
    <w:rsid w:val="00D91CDC"/>
    <w:rsid w:val="00D91E08"/>
    <w:rsid w:val="00D91E52"/>
    <w:rsid w:val="00D91F06"/>
    <w:rsid w:val="00D91FDA"/>
    <w:rsid w:val="00D92014"/>
    <w:rsid w:val="00D92051"/>
    <w:rsid w:val="00D9208D"/>
    <w:rsid w:val="00D920A2"/>
    <w:rsid w:val="00D92182"/>
    <w:rsid w:val="00D92185"/>
    <w:rsid w:val="00D921F2"/>
    <w:rsid w:val="00D9225E"/>
    <w:rsid w:val="00D922E1"/>
    <w:rsid w:val="00D92327"/>
    <w:rsid w:val="00D92392"/>
    <w:rsid w:val="00D923A5"/>
    <w:rsid w:val="00D9259F"/>
    <w:rsid w:val="00D9260F"/>
    <w:rsid w:val="00D926F8"/>
    <w:rsid w:val="00D927C9"/>
    <w:rsid w:val="00D9283A"/>
    <w:rsid w:val="00D929BC"/>
    <w:rsid w:val="00D92A50"/>
    <w:rsid w:val="00D92ACE"/>
    <w:rsid w:val="00D92B5F"/>
    <w:rsid w:val="00D92C78"/>
    <w:rsid w:val="00D92D0F"/>
    <w:rsid w:val="00D92D54"/>
    <w:rsid w:val="00D92F4E"/>
    <w:rsid w:val="00D9308E"/>
    <w:rsid w:val="00D93213"/>
    <w:rsid w:val="00D932A7"/>
    <w:rsid w:val="00D9342F"/>
    <w:rsid w:val="00D934C1"/>
    <w:rsid w:val="00D9351B"/>
    <w:rsid w:val="00D9354E"/>
    <w:rsid w:val="00D93750"/>
    <w:rsid w:val="00D9387A"/>
    <w:rsid w:val="00D93A31"/>
    <w:rsid w:val="00D93B77"/>
    <w:rsid w:val="00D93FC2"/>
    <w:rsid w:val="00D93FE4"/>
    <w:rsid w:val="00D93FE5"/>
    <w:rsid w:val="00D94084"/>
    <w:rsid w:val="00D9408D"/>
    <w:rsid w:val="00D940C7"/>
    <w:rsid w:val="00D94101"/>
    <w:rsid w:val="00D94407"/>
    <w:rsid w:val="00D944C1"/>
    <w:rsid w:val="00D94529"/>
    <w:rsid w:val="00D9453C"/>
    <w:rsid w:val="00D9463D"/>
    <w:rsid w:val="00D94689"/>
    <w:rsid w:val="00D94725"/>
    <w:rsid w:val="00D94729"/>
    <w:rsid w:val="00D94777"/>
    <w:rsid w:val="00D94795"/>
    <w:rsid w:val="00D948C8"/>
    <w:rsid w:val="00D9494E"/>
    <w:rsid w:val="00D94A2A"/>
    <w:rsid w:val="00D94A80"/>
    <w:rsid w:val="00D94AC1"/>
    <w:rsid w:val="00D94BAC"/>
    <w:rsid w:val="00D94CA8"/>
    <w:rsid w:val="00D94CB2"/>
    <w:rsid w:val="00D94D05"/>
    <w:rsid w:val="00D94F02"/>
    <w:rsid w:val="00D94F1E"/>
    <w:rsid w:val="00D94FA3"/>
    <w:rsid w:val="00D9504B"/>
    <w:rsid w:val="00D950A2"/>
    <w:rsid w:val="00D9525B"/>
    <w:rsid w:val="00D95297"/>
    <w:rsid w:val="00D9530F"/>
    <w:rsid w:val="00D95420"/>
    <w:rsid w:val="00D95543"/>
    <w:rsid w:val="00D955FA"/>
    <w:rsid w:val="00D95631"/>
    <w:rsid w:val="00D956D2"/>
    <w:rsid w:val="00D957B4"/>
    <w:rsid w:val="00D957CA"/>
    <w:rsid w:val="00D957D0"/>
    <w:rsid w:val="00D95857"/>
    <w:rsid w:val="00D958A8"/>
    <w:rsid w:val="00D958B1"/>
    <w:rsid w:val="00D958EA"/>
    <w:rsid w:val="00D95956"/>
    <w:rsid w:val="00D95977"/>
    <w:rsid w:val="00D959D8"/>
    <w:rsid w:val="00D95B29"/>
    <w:rsid w:val="00D95B86"/>
    <w:rsid w:val="00D95DCD"/>
    <w:rsid w:val="00D95FA6"/>
    <w:rsid w:val="00D9618A"/>
    <w:rsid w:val="00D96242"/>
    <w:rsid w:val="00D962A6"/>
    <w:rsid w:val="00D96355"/>
    <w:rsid w:val="00D9638B"/>
    <w:rsid w:val="00D963AB"/>
    <w:rsid w:val="00D9646A"/>
    <w:rsid w:val="00D9659A"/>
    <w:rsid w:val="00D965D4"/>
    <w:rsid w:val="00D96649"/>
    <w:rsid w:val="00D96669"/>
    <w:rsid w:val="00D966FC"/>
    <w:rsid w:val="00D967AE"/>
    <w:rsid w:val="00D967F7"/>
    <w:rsid w:val="00D968C4"/>
    <w:rsid w:val="00D96A26"/>
    <w:rsid w:val="00D96A41"/>
    <w:rsid w:val="00D96AC1"/>
    <w:rsid w:val="00D96AC7"/>
    <w:rsid w:val="00D96AD7"/>
    <w:rsid w:val="00D96C96"/>
    <w:rsid w:val="00D96D36"/>
    <w:rsid w:val="00D96D4F"/>
    <w:rsid w:val="00D96F75"/>
    <w:rsid w:val="00D971B3"/>
    <w:rsid w:val="00D97205"/>
    <w:rsid w:val="00D972C7"/>
    <w:rsid w:val="00D97501"/>
    <w:rsid w:val="00D975C2"/>
    <w:rsid w:val="00D97679"/>
    <w:rsid w:val="00D976EC"/>
    <w:rsid w:val="00D97753"/>
    <w:rsid w:val="00D9787F"/>
    <w:rsid w:val="00D97933"/>
    <w:rsid w:val="00D97A92"/>
    <w:rsid w:val="00D97AB8"/>
    <w:rsid w:val="00D97B1D"/>
    <w:rsid w:val="00D97BA3"/>
    <w:rsid w:val="00D97D63"/>
    <w:rsid w:val="00D97D81"/>
    <w:rsid w:val="00D97F14"/>
    <w:rsid w:val="00D97F58"/>
    <w:rsid w:val="00D97F5F"/>
    <w:rsid w:val="00D97F9A"/>
    <w:rsid w:val="00DA00A9"/>
    <w:rsid w:val="00DA00B1"/>
    <w:rsid w:val="00DA0178"/>
    <w:rsid w:val="00DA0235"/>
    <w:rsid w:val="00DA0288"/>
    <w:rsid w:val="00DA0361"/>
    <w:rsid w:val="00DA039D"/>
    <w:rsid w:val="00DA042A"/>
    <w:rsid w:val="00DA0441"/>
    <w:rsid w:val="00DA04AA"/>
    <w:rsid w:val="00DA04B1"/>
    <w:rsid w:val="00DA04B6"/>
    <w:rsid w:val="00DA04C4"/>
    <w:rsid w:val="00DA05E0"/>
    <w:rsid w:val="00DA06E5"/>
    <w:rsid w:val="00DA07B8"/>
    <w:rsid w:val="00DA091F"/>
    <w:rsid w:val="00DA0A6B"/>
    <w:rsid w:val="00DA0A7A"/>
    <w:rsid w:val="00DA0D99"/>
    <w:rsid w:val="00DA0DA8"/>
    <w:rsid w:val="00DA0F76"/>
    <w:rsid w:val="00DA0F9E"/>
    <w:rsid w:val="00DA0FC3"/>
    <w:rsid w:val="00DA0FC6"/>
    <w:rsid w:val="00DA1066"/>
    <w:rsid w:val="00DA1107"/>
    <w:rsid w:val="00DA1220"/>
    <w:rsid w:val="00DA1263"/>
    <w:rsid w:val="00DA12F4"/>
    <w:rsid w:val="00DA1372"/>
    <w:rsid w:val="00DA13B2"/>
    <w:rsid w:val="00DA13CF"/>
    <w:rsid w:val="00DA14FB"/>
    <w:rsid w:val="00DA15B3"/>
    <w:rsid w:val="00DA166C"/>
    <w:rsid w:val="00DA168F"/>
    <w:rsid w:val="00DA1855"/>
    <w:rsid w:val="00DA18B1"/>
    <w:rsid w:val="00DA18FE"/>
    <w:rsid w:val="00DA191B"/>
    <w:rsid w:val="00DA1968"/>
    <w:rsid w:val="00DA1A07"/>
    <w:rsid w:val="00DA1B37"/>
    <w:rsid w:val="00DA1BE2"/>
    <w:rsid w:val="00DA1CF3"/>
    <w:rsid w:val="00DA1DAF"/>
    <w:rsid w:val="00DA1DC6"/>
    <w:rsid w:val="00DA1E09"/>
    <w:rsid w:val="00DA1FA1"/>
    <w:rsid w:val="00DA20A2"/>
    <w:rsid w:val="00DA20FA"/>
    <w:rsid w:val="00DA21E0"/>
    <w:rsid w:val="00DA220C"/>
    <w:rsid w:val="00DA222E"/>
    <w:rsid w:val="00DA2290"/>
    <w:rsid w:val="00DA22B8"/>
    <w:rsid w:val="00DA23C6"/>
    <w:rsid w:val="00DA248F"/>
    <w:rsid w:val="00DA24DE"/>
    <w:rsid w:val="00DA2576"/>
    <w:rsid w:val="00DA25E2"/>
    <w:rsid w:val="00DA2644"/>
    <w:rsid w:val="00DA26ED"/>
    <w:rsid w:val="00DA27BD"/>
    <w:rsid w:val="00DA2818"/>
    <w:rsid w:val="00DA2980"/>
    <w:rsid w:val="00DA2A10"/>
    <w:rsid w:val="00DA2A37"/>
    <w:rsid w:val="00DA2AFE"/>
    <w:rsid w:val="00DA2C0F"/>
    <w:rsid w:val="00DA2C3F"/>
    <w:rsid w:val="00DA2D35"/>
    <w:rsid w:val="00DA2D51"/>
    <w:rsid w:val="00DA2EF2"/>
    <w:rsid w:val="00DA2F2B"/>
    <w:rsid w:val="00DA2F68"/>
    <w:rsid w:val="00DA2F85"/>
    <w:rsid w:val="00DA302E"/>
    <w:rsid w:val="00DA3078"/>
    <w:rsid w:val="00DA3082"/>
    <w:rsid w:val="00DA3159"/>
    <w:rsid w:val="00DA3298"/>
    <w:rsid w:val="00DA32BE"/>
    <w:rsid w:val="00DA32D3"/>
    <w:rsid w:val="00DA3387"/>
    <w:rsid w:val="00DA33E9"/>
    <w:rsid w:val="00DA3486"/>
    <w:rsid w:val="00DA36C5"/>
    <w:rsid w:val="00DA3851"/>
    <w:rsid w:val="00DA38ED"/>
    <w:rsid w:val="00DA391D"/>
    <w:rsid w:val="00DA3A34"/>
    <w:rsid w:val="00DA3A37"/>
    <w:rsid w:val="00DA3A55"/>
    <w:rsid w:val="00DA3AAA"/>
    <w:rsid w:val="00DA3BBA"/>
    <w:rsid w:val="00DA3C02"/>
    <w:rsid w:val="00DA3C43"/>
    <w:rsid w:val="00DA3CA6"/>
    <w:rsid w:val="00DA3CFE"/>
    <w:rsid w:val="00DA3D43"/>
    <w:rsid w:val="00DA3D80"/>
    <w:rsid w:val="00DA3E44"/>
    <w:rsid w:val="00DA3E5B"/>
    <w:rsid w:val="00DA3E7C"/>
    <w:rsid w:val="00DA3EBB"/>
    <w:rsid w:val="00DA3EC2"/>
    <w:rsid w:val="00DA3EE1"/>
    <w:rsid w:val="00DA3F73"/>
    <w:rsid w:val="00DA402E"/>
    <w:rsid w:val="00DA404D"/>
    <w:rsid w:val="00DA40ED"/>
    <w:rsid w:val="00DA41DD"/>
    <w:rsid w:val="00DA424E"/>
    <w:rsid w:val="00DA4296"/>
    <w:rsid w:val="00DA42C6"/>
    <w:rsid w:val="00DA4445"/>
    <w:rsid w:val="00DA4691"/>
    <w:rsid w:val="00DA46B2"/>
    <w:rsid w:val="00DA46D4"/>
    <w:rsid w:val="00DA46DD"/>
    <w:rsid w:val="00DA46EA"/>
    <w:rsid w:val="00DA4751"/>
    <w:rsid w:val="00DA4837"/>
    <w:rsid w:val="00DA49E5"/>
    <w:rsid w:val="00DA4A1E"/>
    <w:rsid w:val="00DA4A2E"/>
    <w:rsid w:val="00DA4A77"/>
    <w:rsid w:val="00DA4A7E"/>
    <w:rsid w:val="00DA4A80"/>
    <w:rsid w:val="00DA4ACD"/>
    <w:rsid w:val="00DA4AE8"/>
    <w:rsid w:val="00DA4AFC"/>
    <w:rsid w:val="00DA4B8D"/>
    <w:rsid w:val="00DA4BCC"/>
    <w:rsid w:val="00DA4C7D"/>
    <w:rsid w:val="00DA4D48"/>
    <w:rsid w:val="00DA4DA7"/>
    <w:rsid w:val="00DA4E1E"/>
    <w:rsid w:val="00DA4E70"/>
    <w:rsid w:val="00DA4F78"/>
    <w:rsid w:val="00DA5012"/>
    <w:rsid w:val="00DA5020"/>
    <w:rsid w:val="00DA5045"/>
    <w:rsid w:val="00DA5193"/>
    <w:rsid w:val="00DA5249"/>
    <w:rsid w:val="00DA529A"/>
    <w:rsid w:val="00DA52CA"/>
    <w:rsid w:val="00DA5330"/>
    <w:rsid w:val="00DA5386"/>
    <w:rsid w:val="00DA5395"/>
    <w:rsid w:val="00DA5397"/>
    <w:rsid w:val="00DA5401"/>
    <w:rsid w:val="00DA5441"/>
    <w:rsid w:val="00DA546D"/>
    <w:rsid w:val="00DA546E"/>
    <w:rsid w:val="00DA54D0"/>
    <w:rsid w:val="00DA552E"/>
    <w:rsid w:val="00DA553F"/>
    <w:rsid w:val="00DA556C"/>
    <w:rsid w:val="00DA5646"/>
    <w:rsid w:val="00DA567C"/>
    <w:rsid w:val="00DA56DA"/>
    <w:rsid w:val="00DA5760"/>
    <w:rsid w:val="00DA576A"/>
    <w:rsid w:val="00DA57D0"/>
    <w:rsid w:val="00DA595C"/>
    <w:rsid w:val="00DA5990"/>
    <w:rsid w:val="00DA59B4"/>
    <w:rsid w:val="00DA5A1F"/>
    <w:rsid w:val="00DA5CB9"/>
    <w:rsid w:val="00DA5CE9"/>
    <w:rsid w:val="00DA5D16"/>
    <w:rsid w:val="00DA5D64"/>
    <w:rsid w:val="00DA5D8F"/>
    <w:rsid w:val="00DA5D94"/>
    <w:rsid w:val="00DA5FB6"/>
    <w:rsid w:val="00DA60DA"/>
    <w:rsid w:val="00DA60F4"/>
    <w:rsid w:val="00DA6162"/>
    <w:rsid w:val="00DA61A6"/>
    <w:rsid w:val="00DA6225"/>
    <w:rsid w:val="00DA63FE"/>
    <w:rsid w:val="00DA6476"/>
    <w:rsid w:val="00DA650E"/>
    <w:rsid w:val="00DA67A5"/>
    <w:rsid w:val="00DA68F6"/>
    <w:rsid w:val="00DA6AF6"/>
    <w:rsid w:val="00DA6B17"/>
    <w:rsid w:val="00DA6B72"/>
    <w:rsid w:val="00DA6B97"/>
    <w:rsid w:val="00DA6BD6"/>
    <w:rsid w:val="00DA6CAE"/>
    <w:rsid w:val="00DA6D12"/>
    <w:rsid w:val="00DA6DB2"/>
    <w:rsid w:val="00DA6DE9"/>
    <w:rsid w:val="00DA6E17"/>
    <w:rsid w:val="00DA6E1C"/>
    <w:rsid w:val="00DA6E9F"/>
    <w:rsid w:val="00DA7029"/>
    <w:rsid w:val="00DA7161"/>
    <w:rsid w:val="00DA717A"/>
    <w:rsid w:val="00DA7205"/>
    <w:rsid w:val="00DA721D"/>
    <w:rsid w:val="00DA72A6"/>
    <w:rsid w:val="00DA72FD"/>
    <w:rsid w:val="00DA736C"/>
    <w:rsid w:val="00DA74E6"/>
    <w:rsid w:val="00DA75E9"/>
    <w:rsid w:val="00DA7642"/>
    <w:rsid w:val="00DA7688"/>
    <w:rsid w:val="00DA7709"/>
    <w:rsid w:val="00DA784F"/>
    <w:rsid w:val="00DA7992"/>
    <w:rsid w:val="00DA79C9"/>
    <w:rsid w:val="00DA79F8"/>
    <w:rsid w:val="00DA7A29"/>
    <w:rsid w:val="00DA7AAC"/>
    <w:rsid w:val="00DA7AD7"/>
    <w:rsid w:val="00DA7AF5"/>
    <w:rsid w:val="00DA7B21"/>
    <w:rsid w:val="00DA7B42"/>
    <w:rsid w:val="00DA7B72"/>
    <w:rsid w:val="00DA7C6E"/>
    <w:rsid w:val="00DA7CD0"/>
    <w:rsid w:val="00DA7D0E"/>
    <w:rsid w:val="00DA7E19"/>
    <w:rsid w:val="00DB0029"/>
    <w:rsid w:val="00DB0239"/>
    <w:rsid w:val="00DB025D"/>
    <w:rsid w:val="00DB02FB"/>
    <w:rsid w:val="00DB0675"/>
    <w:rsid w:val="00DB069F"/>
    <w:rsid w:val="00DB088D"/>
    <w:rsid w:val="00DB08D4"/>
    <w:rsid w:val="00DB08E2"/>
    <w:rsid w:val="00DB0903"/>
    <w:rsid w:val="00DB0969"/>
    <w:rsid w:val="00DB09A1"/>
    <w:rsid w:val="00DB09D0"/>
    <w:rsid w:val="00DB0DAA"/>
    <w:rsid w:val="00DB0E30"/>
    <w:rsid w:val="00DB12E4"/>
    <w:rsid w:val="00DB12E8"/>
    <w:rsid w:val="00DB13B0"/>
    <w:rsid w:val="00DB1421"/>
    <w:rsid w:val="00DB156B"/>
    <w:rsid w:val="00DB1578"/>
    <w:rsid w:val="00DB1633"/>
    <w:rsid w:val="00DB16BD"/>
    <w:rsid w:val="00DB17EC"/>
    <w:rsid w:val="00DB17FE"/>
    <w:rsid w:val="00DB18C2"/>
    <w:rsid w:val="00DB18D9"/>
    <w:rsid w:val="00DB1A2A"/>
    <w:rsid w:val="00DB1A71"/>
    <w:rsid w:val="00DB1BDF"/>
    <w:rsid w:val="00DB1C2E"/>
    <w:rsid w:val="00DB1D3A"/>
    <w:rsid w:val="00DB1D99"/>
    <w:rsid w:val="00DB1E0E"/>
    <w:rsid w:val="00DB1E72"/>
    <w:rsid w:val="00DB1FD7"/>
    <w:rsid w:val="00DB20DF"/>
    <w:rsid w:val="00DB20EE"/>
    <w:rsid w:val="00DB249B"/>
    <w:rsid w:val="00DB24EE"/>
    <w:rsid w:val="00DB2767"/>
    <w:rsid w:val="00DB2A1F"/>
    <w:rsid w:val="00DB2BEE"/>
    <w:rsid w:val="00DB2BFA"/>
    <w:rsid w:val="00DB2C62"/>
    <w:rsid w:val="00DB2CB7"/>
    <w:rsid w:val="00DB2D41"/>
    <w:rsid w:val="00DB2D70"/>
    <w:rsid w:val="00DB2DB4"/>
    <w:rsid w:val="00DB2EC5"/>
    <w:rsid w:val="00DB2F2D"/>
    <w:rsid w:val="00DB2FDD"/>
    <w:rsid w:val="00DB30E9"/>
    <w:rsid w:val="00DB3191"/>
    <w:rsid w:val="00DB31C6"/>
    <w:rsid w:val="00DB321F"/>
    <w:rsid w:val="00DB3468"/>
    <w:rsid w:val="00DB350A"/>
    <w:rsid w:val="00DB35D1"/>
    <w:rsid w:val="00DB3864"/>
    <w:rsid w:val="00DB3A88"/>
    <w:rsid w:val="00DB3ABE"/>
    <w:rsid w:val="00DB3C90"/>
    <w:rsid w:val="00DB3CF4"/>
    <w:rsid w:val="00DB3DEA"/>
    <w:rsid w:val="00DB3E88"/>
    <w:rsid w:val="00DB3E96"/>
    <w:rsid w:val="00DB3F61"/>
    <w:rsid w:val="00DB3F99"/>
    <w:rsid w:val="00DB3FBD"/>
    <w:rsid w:val="00DB404B"/>
    <w:rsid w:val="00DB40F9"/>
    <w:rsid w:val="00DB4103"/>
    <w:rsid w:val="00DB417A"/>
    <w:rsid w:val="00DB4228"/>
    <w:rsid w:val="00DB423C"/>
    <w:rsid w:val="00DB42D0"/>
    <w:rsid w:val="00DB42EB"/>
    <w:rsid w:val="00DB4340"/>
    <w:rsid w:val="00DB4432"/>
    <w:rsid w:val="00DB448A"/>
    <w:rsid w:val="00DB452E"/>
    <w:rsid w:val="00DB45FE"/>
    <w:rsid w:val="00DB467B"/>
    <w:rsid w:val="00DB4714"/>
    <w:rsid w:val="00DB4734"/>
    <w:rsid w:val="00DB47F2"/>
    <w:rsid w:val="00DB49F8"/>
    <w:rsid w:val="00DB4A59"/>
    <w:rsid w:val="00DB4ACB"/>
    <w:rsid w:val="00DB4ADF"/>
    <w:rsid w:val="00DB4C03"/>
    <w:rsid w:val="00DB4CC3"/>
    <w:rsid w:val="00DB4CCA"/>
    <w:rsid w:val="00DB4CEE"/>
    <w:rsid w:val="00DB4D09"/>
    <w:rsid w:val="00DB4D79"/>
    <w:rsid w:val="00DB4DB5"/>
    <w:rsid w:val="00DB4DF5"/>
    <w:rsid w:val="00DB4FFB"/>
    <w:rsid w:val="00DB50F5"/>
    <w:rsid w:val="00DB511E"/>
    <w:rsid w:val="00DB512E"/>
    <w:rsid w:val="00DB51EE"/>
    <w:rsid w:val="00DB526C"/>
    <w:rsid w:val="00DB52B5"/>
    <w:rsid w:val="00DB533D"/>
    <w:rsid w:val="00DB537C"/>
    <w:rsid w:val="00DB540E"/>
    <w:rsid w:val="00DB540F"/>
    <w:rsid w:val="00DB5439"/>
    <w:rsid w:val="00DB54BC"/>
    <w:rsid w:val="00DB561F"/>
    <w:rsid w:val="00DB578D"/>
    <w:rsid w:val="00DB5790"/>
    <w:rsid w:val="00DB5A1D"/>
    <w:rsid w:val="00DB5AC3"/>
    <w:rsid w:val="00DB5BDE"/>
    <w:rsid w:val="00DB5C2C"/>
    <w:rsid w:val="00DB5E96"/>
    <w:rsid w:val="00DB5E9B"/>
    <w:rsid w:val="00DB6087"/>
    <w:rsid w:val="00DB60D9"/>
    <w:rsid w:val="00DB6103"/>
    <w:rsid w:val="00DB6200"/>
    <w:rsid w:val="00DB62B5"/>
    <w:rsid w:val="00DB62D4"/>
    <w:rsid w:val="00DB6397"/>
    <w:rsid w:val="00DB63B4"/>
    <w:rsid w:val="00DB6451"/>
    <w:rsid w:val="00DB64DE"/>
    <w:rsid w:val="00DB660F"/>
    <w:rsid w:val="00DB667A"/>
    <w:rsid w:val="00DB66CC"/>
    <w:rsid w:val="00DB6773"/>
    <w:rsid w:val="00DB686E"/>
    <w:rsid w:val="00DB6871"/>
    <w:rsid w:val="00DB68A1"/>
    <w:rsid w:val="00DB68E3"/>
    <w:rsid w:val="00DB6A12"/>
    <w:rsid w:val="00DB6B62"/>
    <w:rsid w:val="00DB6BA9"/>
    <w:rsid w:val="00DB6D7D"/>
    <w:rsid w:val="00DB6DD1"/>
    <w:rsid w:val="00DB6E5E"/>
    <w:rsid w:val="00DB6F1E"/>
    <w:rsid w:val="00DB7111"/>
    <w:rsid w:val="00DB717B"/>
    <w:rsid w:val="00DB71E9"/>
    <w:rsid w:val="00DB71F7"/>
    <w:rsid w:val="00DB72BB"/>
    <w:rsid w:val="00DB7304"/>
    <w:rsid w:val="00DB74BA"/>
    <w:rsid w:val="00DB756B"/>
    <w:rsid w:val="00DB759A"/>
    <w:rsid w:val="00DB765D"/>
    <w:rsid w:val="00DB76A1"/>
    <w:rsid w:val="00DB77DA"/>
    <w:rsid w:val="00DB780D"/>
    <w:rsid w:val="00DB7824"/>
    <w:rsid w:val="00DB7839"/>
    <w:rsid w:val="00DB7875"/>
    <w:rsid w:val="00DB7885"/>
    <w:rsid w:val="00DB78A7"/>
    <w:rsid w:val="00DB78F2"/>
    <w:rsid w:val="00DB79B1"/>
    <w:rsid w:val="00DB7AB0"/>
    <w:rsid w:val="00DB7B98"/>
    <w:rsid w:val="00DB7D52"/>
    <w:rsid w:val="00DB7E0F"/>
    <w:rsid w:val="00DB7F1A"/>
    <w:rsid w:val="00DBF318"/>
    <w:rsid w:val="00DC0010"/>
    <w:rsid w:val="00DC03B6"/>
    <w:rsid w:val="00DC03CE"/>
    <w:rsid w:val="00DC040F"/>
    <w:rsid w:val="00DC0480"/>
    <w:rsid w:val="00DC049D"/>
    <w:rsid w:val="00DC04DC"/>
    <w:rsid w:val="00DC05A2"/>
    <w:rsid w:val="00DC0667"/>
    <w:rsid w:val="00DC0796"/>
    <w:rsid w:val="00DC089A"/>
    <w:rsid w:val="00DC0965"/>
    <w:rsid w:val="00DC0A0E"/>
    <w:rsid w:val="00DC0A80"/>
    <w:rsid w:val="00DC0ACC"/>
    <w:rsid w:val="00DC0B51"/>
    <w:rsid w:val="00DC0BCF"/>
    <w:rsid w:val="00DC0C41"/>
    <w:rsid w:val="00DC0DBD"/>
    <w:rsid w:val="00DC0DE7"/>
    <w:rsid w:val="00DC0F34"/>
    <w:rsid w:val="00DC0FFD"/>
    <w:rsid w:val="00DC1058"/>
    <w:rsid w:val="00DC10A2"/>
    <w:rsid w:val="00DC1136"/>
    <w:rsid w:val="00DC11C7"/>
    <w:rsid w:val="00DC1353"/>
    <w:rsid w:val="00DC1419"/>
    <w:rsid w:val="00DC1472"/>
    <w:rsid w:val="00DC148A"/>
    <w:rsid w:val="00DC14E6"/>
    <w:rsid w:val="00DC1514"/>
    <w:rsid w:val="00DC1567"/>
    <w:rsid w:val="00DC15B9"/>
    <w:rsid w:val="00DC1606"/>
    <w:rsid w:val="00DC167C"/>
    <w:rsid w:val="00DC181C"/>
    <w:rsid w:val="00DC1918"/>
    <w:rsid w:val="00DC1930"/>
    <w:rsid w:val="00DC1996"/>
    <w:rsid w:val="00DC1B72"/>
    <w:rsid w:val="00DC1E09"/>
    <w:rsid w:val="00DC1E81"/>
    <w:rsid w:val="00DC1F09"/>
    <w:rsid w:val="00DC1FBC"/>
    <w:rsid w:val="00DC1FFC"/>
    <w:rsid w:val="00DC2067"/>
    <w:rsid w:val="00DC20E4"/>
    <w:rsid w:val="00DC21C7"/>
    <w:rsid w:val="00DC21D2"/>
    <w:rsid w:val="00DC2218"/>
    <w:rsid w:val="00DC24FE"/>
    <w:rsid w:val="00DC2522"/>
    <w:rsid w:val="00DC2615"/>
    <w:rsid w:val="00DC2634"/>
    <w:rsid w:val="00DC2699"/>
    <w:rsid w:val="00DC277B"/>
    <w:rsid w:val="00DC2788"/>
    <w:rsid w:val="00DC27BD"/>
    <w:rsid w:val="00DC27D1"/>
    <w:rsid w:val="00DC292B"/>
    <w:rsid w:val="00DC2AD3"/>
    <w:rsid w:val="00DC2B14"/>
    <w:rsid w:val="00DC2CDB"/>
    <w:rsid w:val="00DC2D9B"/>
    <w:rsid w:val="00DC2E8D"/>
    <w:rsid w:val="00DC2EC9"/>
    <w:rsid w:val="00DC2FA8"/>
    <w:rsid w:val="00DC3179"/>
    <w:rsid w:val="00DC3273"/>
    <w:rsid w:val="00DC328A"/>
    <w:rsid w:val="00DC3313"/>
    <w:rsid w:val="00DC339F"/>
    <w:rsid w:val="00DC34A5"/>
    <w:rsid w:val="00DC34E9"/>
    <w:rsid w:val="00DC3648"/>
    <w:rsid w:val="00DC36FF"/>
    <w:rsid w:val="00DC37AD"/>
    <w:rsid w:val="00DC3882"/>
    <w:rsid w:val="00DC38EC"/>
    <w:rsid w:val="00DC38F5"/>
    <w:rsid w:val="00DC3918"/>
    <w:rsid w:val="00DC39DE"/>
    <w:rsid w:val="00DC39F2"/>
    <w:rsid w:val="00DC3AE7"/>
    <w:rsid w:val="00DC3B92"/>
    <w:rsid w:val="00DC3B94"/>
    <w:rsid w:val="00DC3C4C"/>
    <w:rsid w:val="00DC3DB8"/>
    <w:rsid w:val="00DC3E33"/>
    <w:rsid w:val="00DC3F4D"/>
    <w:rsid w:val="00DC3F96"/>
    <w:rsid w:val="00DC4043"/>
    <w:rsid w:val="00DC40A3"/>
    <w:rsid w:val="00DC40C8"/>
    <w:rsid w:val="00DC40E4"/>
    <w:rsid w:val="00DC410E"/>
    <w:rsid w:val="00DC419B"/>
    <w:rsid w:val="00DC41E6"/>
    <w:rsid w:val="00DC4240"/>
    <w:rsid w:val="00DC4382"/>
    <w:rsid w:val="00DC4420"/>
    <w:rsid w:val="00DC4451"/>
    <w:rsid w:val="00DC44D0"/>
    <w:rsid w:val="00DC460E"/>
    <w:rsid w:val="00DC4669"/>
    <w:rsid w:val="00DC4781"/>
    <w:rsid w:val="00DC49E7"/>
    <w:rsid w:val="00DC4A55"/>
    <w:rsid w:val="00DC4A69"/>
    <w:rsid w:val="00DC4DAB"/>
    <w:rsid w:val="00DC4DF9"/>
    <w:rsid w:val="00DC4F44"/>
    <w:rsid w:val="00DC5075"/>
    <w:rsid w:val="00DC511D"/>
    <w:rsid w:val="00DC513D"/>
    <w:rsid w:val="00DC5169"/>
    <w:rsid w:val="00DC51FB"/>
    <w:rsid w:val="00DC5240"/>
    <w:rsid w:val="00DC539C"/>
    <w:rsid w:val="00DC5405"/>
    <w:rsid w:val="00DC54C0"/>
    <w:rsid w:val="00DC55BA"/>
    <w:rsid w:val="00DC57FA"/>
    <w:rsid w:val="00DC58BC"/>
    <w:rsid w:val="00DC58C9"/>
    <w:rsid w:val="00DC5C88"/>
    <w:rsid w:val="00DC5C8F"/>
    <w:rsid w:val="00DC5F04"/>
    <w:rsid w:val="00DC5F23"/>
    <w:rsid w:val="00DC6030"/>
    <w:rsid w:val="00DC6269"/>
    <w:rsid w:val="00DC630E"/>
    <w:rsid w:val="00DC6312"/>
    <w:rsid w:val="00DC6370"/>
    <w:rsid w:val="00DC6464"/>
    <w:rsid w:val="00DC649E"/>
    <w:rsid w:val="00DC64A3"/>
    <w:rsid w:val="00DC64B2"/>
    <w:rsid w:val="00DC652D"/>
    <w:rsid w:val="00DC6559"/>
    <w:rsid w:val="00DC6591"/>
    <w:rsid w:val="00DC666D"/>
    <w:rsid w:val="00DC66B3"/>
    <w:rsid w:val="00DC67CB"/>
    <w:rsid w:val="00DC6910"/>
    <w:rsid w:val="00DC692F"/>
    <w:rsid w:val="00DC6959"/>
    <w:rsid w:val="00DC6985"/>
    <w:rsid w:val="00DC6A07"/>
    <w:rsid w:val="00DC6CD7"/>
    <w:rsid w:val="00DC6D15"/>
    <w:rsid w:val="00DC6DBC"/>
    <w:rsid w:val="00DC6E02"/>
    <w:rsid w:val="00DC6F7B"/>
    <w:rsid w:val="00DC70EE"/>
    <w:rsid w:val="00DC70F6"/>
    <w:rsid w:val="00DC71AA"/>
    <w:rsid w:val="00DC728C"/>
    <w:rsid w:val="00DC732F"/>
    <w:rsid w:val="00DC743F"/>
    <w:rsid w:val="00DC7517"/>
    <w:rsid w:val="00DC7760"/>
    <w:rsid w:val="00DC7898"/>
    <w:rsid w:val="00DC7A97"/>
    <w:rsid w:val="00DC7A9E"/>
    <w:rsid w:val="00DC7BA3"/>
    <w:rsid w:val="00DC7C31"/>
    <w:rsid w:val="00DC7D0A"/>
    <w:rsid w:val="00DC7DDC"/>
    <w:rsid w:val="00DC7F40"/>
    <w:rsid w:val="00DC7FFA"/>
    <w:rsid w:val="00DD0004"/>
    <w:rsid w:val="00DD0090"/>
    <w:rsid w:val="00DD00AF"/>
    <w:rsid w:val="00DD0106"/>
    <w:rsid w:val="00DD02BC"/>
    <w:rsid w:val="00DD031F"/>
    <w:rsid w:val="00DD03BC"/>
    <w:rsid w:val="00DD03D4"/>
    <w:rsid w:val="00DD04F1"/>
    <w:rsid w:val="00DD04F4"/>
    <w:rsid w:val="00DD057D"/>
    <w:rsid w:val="00DD064A"/>
    <w:rsid w:val="00DD067C"/>
    <w:rsid w:val="00DD0725"/>
    <w:rsid w:val="00DD07B1"/>
    <w:rsid w:val="00DD07D7"/>
    <w:rsid w:val="00DD0802"/>
    <w:rsid w:val="00DD0861"/>
    <w:rsid w:val="00DD08D2"/>
    <w:rsid w:val="00DD0946"/>
    <w:rsid w:val="00DD0A13"/>
    <w:rsid w:val="00DD0B04"/>
    <w:rsid w:val="00DD0F3F"/>
    <w:rsid w:val="00DD0FA1"/>
    <w:rsid w:val="00DD1065"/>
    <w:rsid w:val="00DD1163"/>
    <w:rsid w:val="00DD11D7"/>
    <w:rsid w:val="00DD1387"/>
    <w:rsid w:val="00DD1466"/>
    <w:rsid w:val="00DD1475"/>
    <w:rsid w:val="00DD15F2"/>
    <w:rsid w:val="00DD1620"/>
    <w:rsid w:val="00DD16B3"/>
    <w:rsid w:val="00DD178D"/>
    <w:rsid w:val="00DD17C3"/>
    <w:rsid w:val="00DD19F5"/>
    <w:rsid w:val="00DD1A81"/>
    <w:rsid w:val="00DD1AA0"/>
    <w:rsid w:val="00DD1B59"/>
    <w:rsid w:val="00DD1BF8"/>
    <w:rsid w:val="00DD1C4E"/>
    <w:rsid w:val="00DD1C54"/>
    <w:rsid w:val="00DD1C76"/>
    <w:rsid w:val="00DD1CFA"/>
    <w:rsid w:val="00DD1D78"/>
    <w:rsid w:val="00DD1E19"/>
    <w:rsid w:val="00DD1E84"/>
    <w:rsid w:val="00DD1E8F"/>
    <w:rsid w:val="00DD1ED6"/>
    <w:rsid w:val="00DD1F17"/>
    <w:rsid w:val="00DD1FBA"/>
    <w:rsid w:val="00DD20B7"/>
    <w:rsid w:val="00DD2135"/>
    <w:rsid w:val="00DD21AF"/>
    <w:rsid w:val="00DD21B1"/>
    <w:rsid w:val="00DD23E3"/>
    <w:rsid w:val="00DD241C"/>
    <w:rsid w:val="00DD248C"/>
    <w:rsid w:val="00DD2534"/>
    <w:rsid w:val="00DD2571"/>
    <w:rsid w:val="00DD2637"/>
    <w:rsid w:val="00DD264E"/>
    <w:rsid w:val="00DD2675"/>
    <w:rsid w:val="00DD2692"/>
    <w:rsid w:val="00DD270A"/>
    <w:rsid w:val="00DD27E4"/>
    <w:rsid w:val="00DD2843"/>
    <w:rsid w:val="00DD2847"/>
    <w:rsid w:val="00DD28D6"/>
    <w:rsid w:val="00DD2E4D"/>
    <w:rsid w:val="00DD2E80"/>
    <w:rsid w:val="00DD2F0B"/>
    <w:rsid w:val="00DD2F8B"/>
    <w:rsid w:val="00DD318B"/>
    <w:rsid w:val="00DD32E2"/>
    <w:rsid w:val="00DD33ED"/>
    <w:rsid w:val="00DD3472"/>
    <w:rsid w:val="00DD3494"/>
    <w:rsid w:val="00DD3541"/>
    <w:rsid w:val="00DD35BD"/>
    <w:rsid w:val="00DD376D"/>
    <w:rsid w:val="00DD378C"/>
    <w:rsid w:val="00DD37AA"/>
    <w:rsid w:val="00DD37F8"/>
    <w:rsid w:val="00DD383A"/>
    <w:rsid w:val="00DD3843"/>
    <w:rsid w:val="00DD3849"/>
    <w:rsid w:val="00DD38FE"/>
    <w:rsid w:val="00DD3B01"/>
    <w:rsid w:val="00DD3B8F"/>
    <w:rsid w:val="00DD3B9C"/>
    <w:rsid w:val="00DD3C49"/>
    <w:rsid w:val="00DD3C9A"/>
    <w:rsid w:val="00DD3CA3"/>
    <w:rsid w:val="00DD3DAA"/>
    <w:rsid w:val="00DD3DC4"/>
    <w:rsid w:val="00DD3E74"/>
    <w:rsid w:val="00DD3EB3"/>
    <w:rsid w:val="00DD40E8"/>
    <w:rsid w:val="00DD4115"/>
    <w:rsid w:val="00DD4211"/>
    <w:rsid w:val="00DD421E"/>
    <w:rsid w:val="00DD429F"/>
    <w:rsid w:val="00DD438C"/>
    <w:rsid w:val="00DD441B"/>
    <w:rsid w:val="00DD445A"/>
    <w:rsid w:val="00DD4570"/>
    <w:rsid w:val="00DD457D"/>
    <w:rsid w:val="00DD466A"/>
    <w:rsid w:val="00DD474E"/>
    <w:rsid w:val="00DD47C9"/>
    <w:rsid w:val="00DD4933"/>
    <w:rsid w:val="00DD4959"/>
    <w:rsid w:val="00DD49AA"/>
    <w:rsid w:val="00DD49CE"/>
    <w:rsid w:val="00DD4A61"/>
    <w:rsid w:val="00DD4BAF"/>
    <w:rsid w:val="00DD4BF0"/>
    <w:rsid w:val="00DD4C45"/>
    <w:rsid w:val="00DD4CDF"/>
    <w:rsid w:val="00DD4F5B"/>
    <w:rsid w:val="00DD4F97"/>
    <w:rsid w:val="00DD4FAE"/>
    <w:rsid w:val="00DD50D6"/>
    <w:rsid w:val="00DD51D6"/>
    <w:rsid w:val="00DD520E"/>
    <w:rsid w:val="00DD52FF"/>
    <w:rsid w:val="00DD5353"/>
    <w:rsid w:val="00DD538D"/>
    <w:rsid w:val="00DD5630"/>
    <w:rsid w:val="00DD56E8"/>
    <w:rsid w:val="00DD5784"/>
    <w:rsid w:val="00DD57FC"/>
    <w:rsid w:val="00DD5874"/>
    <w:rsid w:val="00DD58B4"/>
    <w:rsid w:val="00DD5975"/>
    <w:rsid w:val="00DD5988"/>
    <w:rsid w:val="00DD5AC4"/>
    <w:rsid w:val="00DD5B23"/>
    <w:rsid w:val="00DD5B81"/>
    <w:rsid w:val="00DD5C80"/>
    <w:rsid w:val="00DD5D4A"/>
    <w:rsid w:val="00DD5E23"/>
    <w:rsid w:val="00DD5FD9"/>
    <w:rsid w:val="00DD6045"/>
    <w:rsid w:val="00DD6052"/>
    <w:rsid w:val="00DD6076"/>
    <w:rsid w:val="00DD6086"/>
    <w:rsid w:val="00DD6259"/>
    <w:rsid w:val="00DD6330"/>
    <w:rsid w:val="00DD6370"/>
    <w:rsid w:val="00DD6484"/>
    <w:rsid w:val="00DD656D"/>
    <w:rsid w:val="00DD6944"/>
    <w:rsid w:val="00DD6B3F"/>
    <w:rsid w:val="00DD6C0A"/>
    <w:rsid w:val="00DD6C61"/>
    <w:rsid w:val="00DD6CC9"/>
    <w:rsid w:val="00DD6EA4"/>
    <w:rsid w:val="00DD6FED"/>
    <w:rsid w:val="00DD700B"/>
    <w:rsid w:val="00DD703D"/>
    <w:rsid w:val="00DD7051"/>
    <w:rsid w:val="00DD7065"/>
    <w:rsid w:val="00DD7090"/>
    <w:rsid w:val="00DD710F"/>
    <w:rsid w:val="00DD7163"/>
    <w:rsid w:val="00DD71B5"/>
    <w:rsid w:val="00DD728A"/>
    <w:rsid w:val="00DD73FB"/>
    <w:rsid w:val="00DD74A8"/>
    <w:rsid w:val="00DD75CB"/>
    <w:rsid w:val="00DD761C"/>
    <w:rsid w:val="00DD7734"/>
    <w:rsid w:val="00DD7841"/>
    <w:rsid w:val="00DD7941"/>
    <w:rsid w:val="00DD7C08"/>
    <w:rsid w:val="00DD7CB6"/>
    <w:rsid w:val="00DD7CBD"/>
    <w:rsid w:val="00DD7E4A"/>
    <w:rsid w:val="00DD7E74"/>
    <w:rsid w:val="00DD7F9B"/>
    <w:rsid w:val="00DD7FE4"/>
    <w:rsid w:val="00DE001A"/>
    <w:rsid w:val="00DE0062"/>
    <w:rsid w:val="00DE0076"/>
    <w:rsid w:val="00DE0138"/>
    <w:rsid w:val="00DE02EA"/>
    <w:rsid w:val="00DE02EB"/>
    <w:rsid w:val="00DE0382"/>
    <w:rsid w:val="00DE0394"/>
    <w:rsid w:val="00DE03AC"/>
    <w:rsid w:val="00DE03EA"/>
    <w:rsid w:val="00DE0457"/>
    <w:rsid w:val="00DE048C"/>
    <w:rsid w:val="00DE04AD"/>
    <w:rsid w:val="00DE04EB"/>
    <w:rsid w:val="00DE0626"/>
    <w:rsid w:val="00DE0695"/>
    <w:rsid w:val="00DE0707"/>
    <w:rsid w:val="00DE071B"/>
    <w:rsid w:val="00DE073E"/>
    <w:rsid w:val="00DE0832"/>
    <w:rsid w:val="00DE08F5"/>
    <w:rsid w:val="00DE0D63"/>
    <w:rsid w:val="00DE0D6A"/>
    <w:rsid w:val="00DE0F3E"/>
    <w:rsid w:val="00DE0F79"/>
    <w:rsid w:val="00DE1040"/>
    <w:rsid w:val="00DE107B"/>
    <w:rsid w:val="00DE121F"/>
    <w:rsid w:val="00DE125E"/>
    <w:rsid w:val="00DE1363"/>
    <w:rsid w:val="00DE1375"/>
    <w:rsid w:val="00DE13AC"/>
    <w:rsid w:val="00DE141D"/>
    <w:rsid w:val="00DE147C"/>
    <w:rsid w:val="00DE15AA"/>
    <w:rsid w:val="00DE170F"/>
    <w:rsid w:val="00DE177B"/>
    <w:rsid w:val="00DE1792"/>
    <w:rsid w:val="00DE1794"/>
    <w:rsid w:val="00DE17C6"/>
    <w:rsid w:val="00DE1812"/>
    <w:rsid w:val="00DE1855"/>
    <w:rsid w:val="00DE1909"/>
    <w:rsid w:val="00DE19BD"/>
    <w:rsid w:val="00DE19D2"/>
    <w:rsid w:val="00DE1A44"/>
    <w:rsid w:val="00DE1AB5"/>
    <w:rsid w:val="00DE1B24"/>
    <w:rsid w:val="00DE1B4B"/>
    <w:rsid w:val="00DE1DCA"/>
    <w:rsid w:val="00DE1E61"/>
    <w:rsid w:val="00DE1F40"/>
    <w:rsid w:val="00DE20D8"/>
    <w:rsid w:val="00DE20EE"/>
    <w:rsid w:val="00DE2105"/>
    <w:rsid w:val="00DE2293"/>
    <w:rsid w:val="00DE22F2"/>
    <w:rsid w:val="00DE230A"/>
    <w:rsid w:val="00DE2329"/>
    <w:rsid w:val="00DE23DB"/>
    <w:rsid w:val="00DE2461"/>
    <w:rsid w:val="00DE2537"/>
    <w:rsid w:val="00DE255B"/>
    <w:rsid w:val="00DE25C5"/>
    <w:rsid w:val="00DE2742"/>
    <w:rsid w:val="00DE2781"/>
    <w:rsid w:val="00DE2823"/>
    <w:rsid w:val="00DE295C"/>
    <w:rsid w:val="00DE2C4E"/>
    <w:rsid w:val="00DE2D1A"/>
    <w:rsid w:val="00DE2DD3"/>
    <w:rsid w:val="00DE3025"/>
    <w:rsid w:val="00DE3234"/>
    <w:rsid w:val="00DE326D"/>
    <w:rsid w:val="00DE328A"/>
    <w:rsid w:val="00DE32E2"/>
    <w:rsid w:val="00DE3375"/>
    <w:rsid w:val="00DE347D"/>
    <w:rsid w:val="00DE3572"/>
    <w:rsid w:val="00DE3735"/>
    <w:rsid w:val="00DE3785"/>
    <w:rsid w:val="00DE3831"/>
    <w:rsid w:val="00DE39FC"/>
    <w:rsid w:val="00DE3A8C"/>
    <w:rsid w:val="00DE3B18"/>
    <w:rsid w:val="00DE3C52"/>
    <w:rsid w:val="00DE3C9C"/>
    <w:rsid w:val="00DE3CDD"/>
    <w:rsid w:val="00DE3D15"/>
    <w:rsid w:val="00DE3D80"/>
    <w:rsid w:val="00DE3E12"/>
    <w:rsid w:val="00DE3E19"/>
    <w:rsid w:val="00DE3E3C"/>
    <w:rsid w:val="00DE3F12"/>
    <w:rsid w:val="00DE3F74"/>
    <w:rsid w:val="00DE4206"/>
    <w:rsid w:val="00DE42D2"/>
    <w:rsid w:val="00DE4441"/>
    <w:rsid w:val="00DE4560"/>
    <w:rsid w:val="00DE45D4"/>
    <w:rsid w:val="00DE45F8"/>
    <w:rsid w:val="00DE476E"/>
    <w:rsid w:val="00DE4788"/>
    <w:rsid w:val="00DE4896"/>
    <w:rsid w:val="00DE49E6"/>
    <w:rsid w:val="00DE49F4"/>
    <w:rsid w:val="00DE4BA3"/>
    <w:rsid w:val="00DE4BB2"/>
    <w:rsid w:val="00DE4BCD"/>
    <w:rsid w:val="00DE4C9E"/>
    <w:rsid w:val="00DE4DA0"/>
    <w:rsid w:val="00DE4DA7"/>
    <w:rsid w:val="00DE4FE7"/>
    <w:rsid w:val="00DE50F7"/>
    <w:rsid w:val="00DE5219"/>
    <w:rsid w:val="00DE52A3"/>
    <w:rsid w:val="00DE52A9"/>
    <w:rsid w:val="00DE53D1"/>
    <w:rsid w:val="00DE5417"/>
    <w:rsid w:val="00DE546C"/>
    <w:rsid w:val="00DE5522"/>
    <w:rsid w:val="00DE5547"/>
    <w:rsid w:val="00DE55B7"/>
    <w:rsid w:val="00DE56D1"/>
    <w:rsid w:val="00DE575F"/>
    <w:rsid w:val="00DE57E4"/>
    <w:rsid w:val="00DE584C"/>
    <w:rsid w:val="00DE58E6"/>
    <w:rsid w:val="00DE590C"/>
    <w:rsid w:val="00DE5A48"/>
    <w:rsid w:val="00DE5A6B"/>
    <w:rsid w:val="00DE5B52"/>
    <w:rsid w:val="00DE5BD0"/>
    <w:rsid w:val="00DE5C8A"/>
    <w:rsid w:val="00DE5CB6"/>
    <w:rsid w:val="00DE5D32"/>
    <w:rsid w:val="00DE5F28"/>
    <w:rsid w:val="00DE5F65"/>
    <w:rsid w:val="00DE5F6F"/>
    <w:rsid w:val="00DE5FD6"/>
    <w:rsid w:val="00DE5FDB"/>
    <w:rsid w:val="00DE615E"/>
    <w:rsid w:val="00DE6249"/>
    <w:rsid w:val="00DE6275"/>
    <w:rsid w:val="00DE630C"/>
    <w:rsid w:val="00DE63B4"/>
    <w:rsid w:val="00DE652C"/>
    <w:rsid w:val="00DE65BC"/>
    <w:rsid w:val="00DE6677"/>
    <w:rsid w:val="00DE669E"/>
    <w:rsid w:val="00DE6712"/>
    <w:rsid w:val="00DE6773"/>
    <w:rsid w:val="00DE68EE"/>
    <w:rsid w:val="00DE6919"/>
    <w:rsid w:val="00DE691D"/>
    <w:rsid w:val="00DE6945"/>
    <w:rsid w:val="00DE6A2F"/>
    <w:rsid w:val="00DE6A83"/>
    <w:rsid w:val="00DE6AD7"/>
    <w:rsid w:val="00DE6BE2"/>
    <w:rsid w:val="00DE6E30"/>
    <w:rsid w:val="00DE6EEA"/>
    <w:rsid w:val="00DE6F1A"/>
    <w:rsid w:val="00DE6F3B"/>
    <w:rsid w:val="00DE6F49"/>
    <w:rsid w:val="00DE6FDC"/>
    <w:rsid w:val="00DE7165"/>
    <w:rsid w:val="00DE7296"/>
    <w:rsid w:val="00DE72C5"/>
    <w:rsid w:val="00DE72F2"/>
    <w:rsid w:val="00DE7364"/>
    <w:rsid w:val="00DE73A2"/>
    <w:rsid w:val="00DE7467"/>
    <w:rsid w:val="00DE7472"/>
    <w:rsid w:val="00DE75F3"/>
    <w:rsid w:val="00DE7609"/>
    <w:rsid w:val="00DE76C1"/>
    <w:rsid w:val="00DE7912"/>
    <w:rsid w:val="00DE7C18"/>
    <w:rsid w:val="00DE7D0F"/>
    <w:rsid w:val="00DE7DAD"/>
    <w:rsid w:val="00DE7DF0"/>
    <w:rsid w:val="00DE7F00"/>
    <w:rsid w:val="00DF01AB"/>
    <w:rsid w:val="00DF0251"/>
    <w:rsid w:val="00DF029B"/>
    <w:rsid w:val="00DF034E"/>
    <w:rsid w:val="00DF04D4"/>
    <w:rsid w:val="00DF0517"/>
    <w:rsid w:val="00DF056A"/>
    <w:rsid w:val="00DF0570"/>
    <w:rsid w:val="00DF06AF"/>
    <w:rsid w:val="00DF07C0"/>
    <w:rsid w:val="00DF0801"/>
    <w:rsid w:val="00DF0848"/>
    <w:rsid w:val="00DF0A0C"/>
    <w:rsid w:val="00DF0A1E"/>
    <w:rsid w:val="00DF0B0A"/>
    <w:rsid w:val="00DF0BA6"/>
    <w:rsid w:val="00DF0D6D"/>
    <w:rsid w:val="00DF0DDB"/>
    <w:rsid w:val="00DF0E39"/>
    <w:rsid w:val="00DF0F3E"/>
    <w:rsid w:val="00DF0FFA"/>
    <w:rsid w:val="00DF1087"/>
    <w:rsid w:val="00DF109A"/>
    <w:rsid w:val="00DF1170"/>
    <w:rsid w:val="00DF1236"/>
    <w:rsid w:val="00DF1549"/>
    <w:rsid w:val="00DF15F4"/>
    <w:rsid w:val="00DF1614"/>
    <w:rsid w:val="00DF1736"/>
    <w:rsid w:val="00DF1820"/>
    <w:rsid w:val="00DF188E"/>
    <w:rsid w:val="00DF1920"/>
    <w:rsid w:val="00DF1A66"/>
    <w:rsid w:val="00DF1B5C"/>
    <w:rsid w:val="00DF1CA2"/>
    <w:rsid w:val="00DF1CC8"/>
    <w:rsid w:val="00DF1CF2"/>
    <w:rsid w:val="00DF1D25"/>
    <w:rsid w:val="00DF1D99"/>
    <w:rsid w:val="00DF1EDB"/>
    <w:rsid w:val="00DF1F34"/>
    <w:rsid w:val="00DF1FF4"/>
    <w:rsid w:val="00DF208C"/>
    <w:rsid w:val="00DF2169"/>
    <w:rsid w:val="00DF2258"/>
    <w:rsid w:val="00DF225E"/>
    <w:rsid w:val="00DF22FF"/>
    <w:rsid w:val="00DF2428"/>
    <w:rsid w:val="00DF24EC"/>
    <w:rsid w:val="00DF250A"/>
    <w:rsid w:val="00DF2532"/>
    <w:rsid w:val="00DF255D"/>
    <w:rsid w:val="00DF2591"/>
    <w:rsid w:val="00DF25E3"/>
    <w:rsid w:val="00DF2672"/>
    <w:rsid w:val="00DF2718"/>
    <w:rsid w:val="00DF272B"/>
    <w:rsid w:val="00DF27E4"/>
    <w:rsid w:val="00DF29D6"/>
    <w:rsid w:val="00DF29D8"/>
    <w:rsid w:val="00DF2A54"/>
    <w:rsid w:val="00DF2ABD"/>
    <w:rsid w:val="00DF2AD5"/>
    <w:rsid w:val="00DF2B75"/>
    <w:rsid w:val="00DF2B90"/>
    <w:rsid w:val="00DF2B91"/>
    <w:rsid w:val="00DF2CAE"/>
    <w:rsid w:val="00DF2EAE"/>
    <w:rsid w:val="00DF2F1E"/>
    <w:rsid w:val="00DF2FEC"/>
    <w:rsid w:val="00DF30BE"/>
    <w:rsid w:val="00DF30C9"/>
    <w:rsid w:val="00DF30D1"/>
    <w:rsid w:val="00DF30DC"/>
    <w:rsid w:val="00DF321C"/>
    <w:rsid w:val="00DF3492"/>
    <w:rsid w:val="00DF3578"/>
    <w:rsid w:val="00DF35C9"/>
    <w:rsid w:val="00DF35F9"/>
    <w:rsid w:val="00DF3605"/>
    <w:rsid w:val="00DF36DE"/>
    <w:rsid w:val="00DF36E3"/>
    <w:rsid w:val="00DF36F7"/>
    <w:rsid w:val="00DF3750"/>
    <w:rsid w:val="00DF389F"/>
    <w:rsid w:val="00DF38C7"/>
    <w:rsid w:val="00DF38DD"/>
    <w:rsid w:val="00DF38ED"/>
    <w:rsid w:val="00DF39A4"/>
    <w:rsid w:val="00DF3A10"/>
    <w:rsid w:val="00DF3AF1"/>
    <w:rsid w:val="00DF3B4C"/>
    <w:rsid w:val="00DF3BB3"/>
    <w:rsid w:val="00DF3BD7"/>
    <w:rsid w:val="00DF3C07"/>
    <w:rsid w:val="00DF4100"/>
    <w:rsid w:val="00DF414B"/>
    <w:rsid w:val="00DF4173"/>
    <w:rsid w:val="00DF41D9"/>
    <w:rsid w:val="00DF4220"/>
    <w:rsid w:val="00DF4271"/>
    <w:rsid w:val="00DF429E"/>
    <w:rsid w:val="00DF43B4"/>
    <w:rsid w:val="00DF447E"/>
    <w:rsid w:val="00DF4481"/>
    <w:rsid w:val="00DF45E5"/>
    <w:rsid w:val="00DF46D4"/>
    <w:rsid w:val="00DF47A3"/>
    <w:rsid w:val="00DF489E"/>
    <w:rsid w:val="00DF4AD3"/>
    <w:rsid w:val="00DF4C9E"/>
    <w:rsid w:val="00DF4D78"/>
    <w:rsid w:val="00DF4E86"/>
    <w:rsid w:val="00DF4EAD"/>
    <w:rsid w:val="00DF4F72"/>
    <w:rsid w:val="00DF509B"/>
    <w:rsid w:val="00DF51B9"/>
    <w:rsid w:val="00DF5204"/>
    <w:rsid w:val="00DF527C"/>
    <w:rsid w:val="00DF52AF"/>
    <w:rsid w:val="00DF530F"/>
    <w:rsid w:val="00DF545E"/>
    <w:rsid w:val="00DF550F"/>
    <w:rsid w:val="00DF5527"/>
    <w:rsid w:val="00DF5557"/>
    <w:rsid w:val="00DF55C9"/>
    <w:rsid w:val="00DF562F"/>
    <w:rsid w:val="00DF567C"/>
    <w:rsid w:val="00DF577B"/>
    <w:rsid w:val="00DF57A8"/>
    <w:rsid w:val="00DF5814"/>
    <w:rsid w:val="00DF58F0"/>
    <w:rsid w:val="00DF5936"/>
    <w:rsid w:val="00DF5995"/>
    <w:rsid w:val="00DF59B0"/>
    <w:rsid w:val="00DF5A02"/>
    <w:rsid w:val="00DF5A16"/>
    <w:rsid w:val="00DF5A39"/>
    <w:rsid w:val="00DF5BBB"/>
    <w:rsid w:val="00DF5CBF"/>
    <w:rsid w:val="00DF5D17"/>
    <w:rsid w:val="00DF5DE4"/>
    <w:rsid w:val="00DF5E26"/>
    <w:rsid w:val="00DF5E52"/>
    <w:rsid w:val="00DF5F1F"/>
    <w:rsid w:val="00DF5F51"/>
    <w:rsid w:val="00DF5F94"/>
    <w:rsid w:val="00DF615D"/>
    <w:rsid w:val="00DF6182"/>
    <w:rsid w:val="00DF61D3"/>
    <w:rsid w:val="00DF61EF"/>
    <w:rsid w:val="00DF622A"/>
    <w:rsid w:val="00DF628D"/>
    <w:rsid w:val="00DF62DB"/>
    <w:rsid w:val="00DF636F"/>
    <w:rsid w:val="00DF65AC"/>
    <w:rsid w:val="00DF66A5"/>
    <w:rsid w:val="00DF66AB"/>
    <w:rsid w:val="00DF679F"/>
    <w:rsid w:val="00DF6836"/>
    <w:rsid w:val="00DF6A9E"/>
    <w:rsid w:val="00DF6AA3"/>
    <w:rsid w:val="00DF6B20"/>
    <w:rsid w:val="00DF6BB9"/>
    <w:rsid w:val="00DF6C50"/>
    <w:rsid w:val="00DF6C73"/>
    <w:rsid w:val="00DF6E22"/>
    <w:rsid w:val="00DF6EE5"/>
    <w:rsid w:val="00DF7057"/>
    <w:rsid w:val="00DF70B3"/>
    <w:rsid w:val="00DF70B7"/>
    <w:rsid w:val="00DF726B"/>
    <w:rsid w:val="00DF727D"/>
    <w:rsid w:val="00DF7331"/>
    <w:rsid w:val="00DF7445"/>
    <w:rsid w:val="00DF7460"/>
    <w:rsid w:val="00DF7477"/>
    <w:rsid w:val="00DF7662"/>
    <w:rsid w:val="00DF7689"/>
    <w:rsid w:val="00DF76B8"/>
    <w:rsid w:val="00DF7741"/>
    <w:rsid w:val="00DF7786"/>
    <w:rsid w:val="00DF77EA"/>
    <w:rsid w:val="00DF793B"/>
    <w:rsid w:val="00DF7A77"/>
    <w:rsid w:val="00DF7AC7"/>
    <w:rsid w:val="00DF7AD9"/>
    <w:rsid w:val="00DF7B5B"/>
    <w:rsid w:val="00DF7D7A"/>
    <w:rsid w:val="00DF7EF0"/>
    <w:rsid w:val="00E00089"/>
    <w:rsid w:val="00E00090"/>
    <w:rsid w:val="00E000D3"/>
    <w:rsid w:val="00E0020E"/>
    <w:rsid w:val="00E002F3"/>
    <w:rsid w:val="00E0033D"/>
    <w:rsid w:val="00E0042E"/>
    <w:rsid w:val="00E004DC"/>
    <w:rsid w:val="00E0058F"/>
    <w:rsid w:val="00E006D6"/>
    <w:rsid w:val="00E00769"/>
    <w:rsid w:val="00E008C1"/>
    <w:rsid w:val="00E0095E"/>
    <w:rsid w:val="00E009D0"/>
    <w:rsid w:val="00E00A3D"/>
    <w:rsid w:val="00E00A91"/>
    <w:rsid w:val="00E00B31"/>
    <w:rsid w:val="00E00BAA"/>
    <w:rsid w:val="00E00C75"/>
    <w:rsid w:val="00E00D2E"/>
    <w:rsid w:val="00E00E93"/>
    <w:rsid w:val="00E00ED0"/>
    <w:rsid w:val="00E00F05"/>
    <w:rsid w:val="00E00FE3"/>
    <w:rsid w:val="00E0104B"/>
    <w:rsid w:val="00E011E4"/>
    <w:rsid w:val="00E01432"/>
    <w:rsid w:val="00E014D5"/>
    <w:rsid w:val="00E015AC"/>
    <w:rsid w:val="00E0166A"/>
    <w:rsid w:val="00E01697"/>
    <w:rsid w:val="00E01726"/>
    <w:rsid w:val="00E01892"/>
    <w:rsid w:val="00E018BB"/>
    <w:rsid w:val="00E0197B"/>
    <w:rsid w:val="00E019D0"/>
    <w:rsid w:val="00E01AD1"/>
    <w:rsid w:val="00E01AEB"/>
    <w:rsid w:val="00E01B27"/>
    <w:rsid w:val="00E01B87"/>
    <w:rsid w:val="00E01B9B"/>
    <w:rsid w:val="00E01C29"/>
    <w:rsid w:val="00E01D06"/>
    <w:rsid w:val="00E01D08"/>
    <w:rsid w:val="00E01F28"/>
    <w:rsid w:val="00E01F3A"/>
    <w:rsid w:val="00E020AC"/>
    <w:rsid w:val="00E02135"/>
    <w:rsid w:val="00E021F4"/>
    <w:rsid w:val="00E02270"/>
    <w:rsid w:val="00E02275"/>
    <w:rsid w:val="00E022B2"/>
    <w:rsid w:val="00E02333"/>
    <w:rsid w:val="00E0236C"/>
    <w:rsid w:val="00E02599"/>
    <w:rsid w:val="00E02616"/>
    <w:rsid w:val="00E02632"/>
    <w:rsid w:val="00E026BE"/>
    <w:rsid w:val="00E02717"/>
    <w:rsid w:val="00E0286A"/>
    <w:rsid w:val="00E02897"/>
    <w:rsid w:val="00E028EC"/>
    <w:rsid w:val="00E029C1"/>
    <w:rsid w:val="00E02A56"/>
    <w:rsid w:val="00E02B36"/>
    <w:rsid w:val="00E02C2A"/>
    <w:rsid w:val="00E02D5B"/>
    <w:rsid w:val="00E02D88"/>
    <w:rsid w:val="00E02E7A"/>
    <w:rsid w:val="00E02EC2"/>
    <w:rsid w:val="00E0304B"/>
    <w:rsid w:val="00E03156"/>
    <w:rsid w:val="00E0329B"/>
    <w:rsid w:val="00E03385"/>
    <w:rsid w:val="00E03469"/>
    <w:rsid w:val="00E0369B"/>
    <w:rsid w:val="00E037AB"/>
    <w:rsid w:val="00E038A0"/>
    <w:rsid w:val="00E039BF"/>
    <w:rsid w:val="00E03B1E"/>
    <w:rsid w:val="00E03BDF"/>
    <w:rsid w:val="00E03C55"/>
    <w:rsid w:val="00E03CB8"/>
    <w:rsid w:val="00E03D8F"/>
    <w:rsid w:val="00E03DAB"/>
    <w:rsid w:val="00E03E8B"/>
    <w:rsid w:val="00E03EF6"/>
    <w:rsid w:val="00E040F7"/>
    <w:rsid w:val="00E04191"/>
    <w:rsid w:val="00E04234"/>
    <w:rsid w:val="00E042E4"/>
    <w:rsid w:val="00E043FC"/>
    <w:rsid w:val="00E044FD"/>
    <w:rsid w:val="00E045D8"/>
    <w:rsid w:val="00E0483E"/>
    <w:rsid w:val="00E048F2"/>
    <w:rsid w:val="00E04964"/>
    <w:rsid w:val="00E0496A"/>
    <w:rsid w:val="00E04CBF"/>
    <w:rsid w:val="00E04E21"/>
    <w:rsid w:val="00E04E3B"/>
    <w:rsid w:val="00E04FD8"/>
    <w:rsid w:val="00E04FE1"/>
    <w:rsid w:val="00E05075"/>
    <w:rsid w:val="00E050B0"/>
    <w:rsid w:val="00E05121"/>
    <w:rsid w:val="00E0519D"/>
    <w:rsid w:val="00E05228"/>
    <w:rsid w:val="00E052EB"/>
    <w:rsid w:val="00E0535A"/>
    <w:rsid w:val="00E0543C"/>
    <w:rsid w:val="00E05518"/>
    <w:rsid w:val="00E05525"/>
    <w:rsid w:val="00E05609"/>
    <w:rsid w:val="00E057A7"/>
    <w:rsid w:val="00E058D0"/>
    <w:rsid w:val="00E059F2"/>
    <w:rsid w:val="00E05A35"/>
    <w:rsid w:val="00E05B12"/>
    <w:rsid w:val="00E05BFE"/>
    <w:rsid w:val="00E05C34"/>
    <w:rsid w:val="00E05F58"/>
    <w:rsid w:val="00E0600E"/>
    <w:rsid w:val="00E06019"/>
    <w:rsid w:val="00E06096"/>
    <w:rsid w:val="00E06386"/>
    <w:rsid w:val="00E063B8"/>
    <w:rsid w:val="00E063CD"/>
    <w:rsid w:val="00E063DF"/>
    <w:rsid w:val="00E064C5"/>
    <w:rsid w:val="00E064C7"/>
    <w:rsid w:val="00E066BC"/>
    <w:rsid w:val="00E0680F"/>
    <w:rsid w:val="00E0693B"/>
    <w:rsid w:val="00E069BA"/>
    <w:rsid w:val="00E06B10"/>
    <w:rsid w:val="00E06BD6"/>
    <w:rsid w:val="00E06C00"/>
    <w:rsid w:val="00E06C14"/>
    <w:rsid w:val="00E06C67"/>
    <w:rsid w:val="00E06C9B"/>
    <w:rsid w:val="00E06D2B"/>
    <w:rsid w:val="00E06D70"/>
    <w:rsid w:val="00E06E3E"/>
    <w:rsid w:val="00E07004"/>
    <w:rsid w:val="00E07015"/>
    <w:rsid w:val="00E0703E"/>
    <w:rsid w:val="00E070D0"/>
    <w:rsid w:val="00E0711B"/>
    <w:rsid w:val="00E072EA"/>
    <w:rsid w:val="00E07327"/>
    <w:rsid w:val="00E0756F"/>
    <w:rsid w:val="00E076CB"/>
    <w:rsid w:val="00E07912"/>
    <w:rsid w:val="00E07A69"/>
    <w:rsid w:val="00E07A6C"/>
    <w:rsid w:val="00E07AA2"/>
    <w:rsid w:val="00E07AC8"/>
    <w:rsid w:val="00E07B42"/>
    <w:rsid w:val="00E07BAD"/>
    <w:rsid w:val="00E07CB2"/>
    <w:rsid w:val="00E07D60"/>
    <w:rsid w:val="00E07D6F"/>
    <w:rsid w:val="00E07FA9"/>
    <w:rsid w:val="00E10006"/>
    <w:rsid w:val="00E10042"/>
    <w:rsid w:val="00E10097"/>
    <w:rsid w:val="00E100A3"/>
    <w:rsid w:val="00E100CA"/>
    <w:rsid w:val="00E101B6"/>
    <w:rsid w:val="00E101DC"/>
    <w:rsid w:val="00E10204"/>
    <w:rsid w:val="00E10306"/>
    <w:rsid w:val="00E103C3"/>
    <w:rsid w:val="00E105CE"/>
    <w:rsid w:val="00E10638"/>
    <w:rsid w:val="00E10689"/>
    <w:rsid w:val="00E10704"/>
    <w:rsid w:val="00E1071D"/>
    <w:rsid w:val="00E107D6"/>
    <w:rsid w:val="00E108A4"/>
    <w:rsid w:val="00E1095B"/>
    <w:rsid w:val="00E10A27"/>
    <w:rsid w:val="00E10A85"/>
    <w:rsid w:val="00E10C2B"/>
    <w:rsid w:val="00E10C57"/>
    <w:rsid w:val="00E10F73"/>
    <w:rsid w:val="00E10FC6"/>
    <w:rsid w:val="00E10FFE"/>
    <w:rsid w:val="00E112FD"/>
    <w:rsid w:val="00E113B4"/>
    <w:rsid w:val="00E113C5"/>
    <w:rsid w:val="00E113F0"/>
    <w:rsid w:val="00E115D1"/>
    <w:rsid w:val="00E1161E"/>
    <w:rsid w:val="00E1163F"/>
    <w:rsid w:val="00E1168D"/>
    <w:rsid w:val="00E116C2"/>
    <w:rsid w:val="00E1181C"/>
    <w:rsid w:val="00E11862"/>
    <w:rsid w:val="00E11916"/>
    <w:rsid w:val="00E1194E"/>
    <w:rsid w:val="00E11A5F"/>
    <w:rsid w:val="00E11ADF"/>
    <w:rsid w:val="00E11B32"/>
    <w:rsid w:val="00E11B97"/>
    <w:rsid w:val="00E11C1F"/>
    <w:rsid w:val="00E11DCE"/>
    <w:rsid w:val="00E11DEC"/>
    <w:rsid w:val="00E11E1B"/>
    <w:rsid w:val="00E11E4A"/>
    <w:rsid w:val="00E11E69"/>
    <w:rsid w:val="00E12108"/>
    <w:rsid w:val="00E1216D"/>
    <w:rsid w:val="00E122BD"/>
    <w:rsid w:val="00E12318"/>
    <w:rsid w:val="00E12321"/>
    <w:rsid w:val="00E123B1"/>
    <w:rsid w:val="00E1240C"/>
    <w:rsid w:val="00E12572"/>
    <w:rsid w:val="00E126C9"/>
    <w:rsid w:val="00E12764"/>
    <w:rsid w:val="00E127C3"/>
    <w:rsid w:val="00E12877"/>
    <w:rsid w:val="00E1297B"/>
    <w:rsid w:val="00E12990"/>
    <w:rsid w:val="00E12BD7"/>
    <w:rsid w:val="00E12C05"/>
    <w:rsid w:val="00E12DB5"/>
    <w:rsid w:val="00E12E11"/>
    <w:rsid w:val="00E12EFA"/>
    <w:rsid w:val="00E12F01"/>
    <w:rsid w:val="00E12F9E"/>
    <w:rsid w:val="00E132F9"/>
    <w:rsid w:val="00E13408"/>
    <w:rsid w:val="00E134D7"/>
    <w:rsid w:val="00E1356C"/>
    <w:rsid w:val="00E135B3"/>
    <w:rsid w:val="00E136E3"/>
    <w:rsid w:val="00E139A7"/>
    <w:rsid w:val="00E139AD"/>
    <w:rsid w:val="00E139AF"/>
    <w:rsid w:val="00E139FF"/>
    <w:rsid w:val="00E13B7A"/>
    <w:rsid w:val="00E13BE8"/>
    <w:rsid w:val="00E13C79"/>
    <w:rsid w:val="00E13CAB"/>
    <w:rsid w:val="00E13CD5"/>
    <w:rsid w:val="00E13D2C"/>
    <w:rsid w:val="00E13D56"/>
    <w:rsid w:val="00E13D8A"/>
    <w:rsid w:val="00E13D8B"/>
    <w:rsid w:val="00E13DB5"/>
    <w:rsid w:val="00E13DBB"/>
    <w:rsid w:val="00E13E43"/>
    <w:rsid w:val="00E13E78"/>
    <w:rsid w:val="00E13F86"/>
    <w:rsid w:val="00E140B4"/>
    <w:rsid w:val="00E1411B"/>
    <w:rsid w:val="00E1413C"/>
    <w:rsid w:val="00E14287"/>
    <w:rsid w:val="00E143B6"/>
    <w:rsid w:val="00E14434"/>
    <w:rsid w:val="00E14601"/>
    <w:rsid w:val="00E146A3"/>
    <w:rsid w:val="00E146E3"/>
    <w:rsid w:val="00E1473E"/>
    <w:rsid w:val="00E14797"/>
    <w:rsid w:val="00E14A34"/>
    <w:rsid w:val="00E14A38"/>
    <w:rsid w:val="00E14B30"/>
    <w:rsid w:val="00E14C26"/>
    <w:rsid w:val="00E14D03"/>
    <w:rsid w:val="00E14EE7"/>
    <w:rsid w:val="00E14F6C"/>
    <w:rsid w:val="00E14F92"/>
    <w:rsid w:val="00E150BC"/>
    <w:rsid w:val="00E1528E"/>
    <w:rsid w:val="00E15471"/>
    <w:rsid w:val="00E154D6"/>
    <w:rsid w:val="00E154FA"/>
    <w:rsid w:val="00E15545"/>
    <w:rsid w:val="00E15574"/>
    <w:rsid w:val="00E155A1"/>
    <w:rsid w:val="00E155BB"/>
    <w:rsid w:val="00E155FA"/>
    <w:rsid w:val="00E15757"/>
    <w:rsid w:val="00E157A7"/>
    <w:rsid w:val="00E15861"/>
    <w:rsid w:val="00E158FA"/>
    <w:rsid w:val="00E1593B"/>
    <w:rsid w:val="00E1599C"/>
    <w:rsid w:val="00E159F8"/>
    <w:rsid w:val="00E15A6E"/>
    <w:rsid w:val="00E15A78"/>
    <w:rsid w:val="00E15D33"/>
    <w:rsid w:val="00E15D5B"/>
    <w:rsid w:val="00E15D97"/>
    <w:rsid w:val="00E15E6B"/>
    <w:rsid w:val="00E15F3F"/>
    <w:rsid w:val="00E15F9A"/>
    <w:rsid w:val="00E1611C"/>
    <w:rsid w:val="00E163DD"/>
    <w:rsid w:val="00E1641B"/>
    <w:rsid w:val="00E16462"/>
    <w:rsid w:val="00E16515"/>
    <w:rsid w:val="00E1655E"/>
    <w:rsid w:val="00E165E1"/>
    <w:rsid w:val="00E165F1"/>
    <w:rsid w:val="00E1661F"/>
    <w:rsid w:val="00E16817"/>
    <w:rsid w:val="00E16827"/>
    <w:rsid w:val="00E1682C"/>
    <w:rsid w:val="00E1697A"/>
    <w:rsid w:val="00E169FD"/>
    <w:rsid w:val="00E16A3F"/>
    <w:rsid w:val="00E16AD1"/>
    <w:rsid w:val="00E16B41"/>
    <w:rsid w:val="00E16BAA"/>
    <w:rsid w:val="00E16C26"/>
    <w:rsid w:val="00E16C78"/>
    <w:rsid w:val="00E16D13"/>
    <w:rsid w:val="00E16F38"/>
    <w:rsid w:val="00E17001"/>
    <w:rsid w:val="00E17014"/>
    <w:rsid w:val="00E17046"/>
    <w:rsid w:val="00E17054"/>
    <w:rsid w:val="00E1708B"/>
    <w:rsid w:val="00E17192"/>
    <w:rsid w:val="00E171BC"/>
    <w:rsid w:val="00E17424"/>
    <w:rsid w:val="00E174CB"/>
    <w:rsid w:val="00E175AF"/>
    <w:rsid w:val="00E17751"/>
    <w:rsid w:val="00E17874"/>
    <w:rsid w:val="00E1787E"/>
    <w:rsid w:val="00E179A5"/>
    <w:rsid w:val="00E17A55"/>
    <w:rsid w:val="00E17AE2"/>
    <w:rsid w:val="00E17B0B"/>
    <w:rsid w:val="00E17B6B"/>
    <w:rsid w:val="00E17CAB"/>
    <w:rsid w:val="00E17CB7"/>
    <w:rsid w:val="00E17D35"/>
    <w:rsid w:val="00E17D76"/>
    <w:rsid w:val="00E17F4D"/>
    <w:rsid w:val="00E17F7B"/>
    <w:rsid w:val="00E1FFB6"/>
    <w:rsid w:val="00E200CD"/>
    <w:rsid w:val="00E201F8"/>
    <w:rsid w:val="00E20373"/>
    <w:rsid w:val="00E203F4"/>
    <w:rsid w:val="00E204B4"/>
    <w:rsid w:val="00E205C4"/>
    <w:rsid w:val="00E2065B"/>
    <w:rsid w:val="00E206D2"/>
    <w:rsid w:val="00E20758"/>
    <w:rsid w:val="00E20792"/>
    <w:rsid w:val="00E207AC"/>
    <w:rsid w:val="00E207FE"/>
    <w:rsid w:val="00E20810"/>
    <w:rsid w:val="00E20949"/>
    <w:rsid w:val="00E2099C"/>
    <w:rsid w:val="00E209A3"/>
    <w:rsid w:val="00E209B0"/>
    <w:rsid w:val="00E20A61"/>
    <w:rsid w:val="00E20BD5"/>
    <w:rsid w:val="00E20CBC"/>
    <w:rsid w:val="00E20CBF"/>
    <w:rsid w:val="00E20E1F"/>
    <w:rsid w:val="00E20E7F"/>
    <w:rsid w:val="00E20F3D"/>
    <w:rsid w:val="00E2109B"/>
    <w:rsid w:val="00E210BB"/>
    <w:rsid w:val="00E21121"/>
    <w:rsid w:val="00E211D5"/>
    <w:rsid w:val="00E21230"/>
    <w:rsid w:val="00E212ED"/>
    <w:rsid w:val="00E213A5"/>
    <w:rsid w:val="00E213DA"/>
    <w:rsid w:val="00E213E0"/>
    <w:rsid w:val="00E21519"/>
    <w:rsid w:val="00E21530"/>
    <w:rsid w:val="00E21541"/>
    <w:rsid w:val="00E21568"/>
    <w:rsid w:val="00E215DC"/>
    <w:rsid w:val="00E21666"/>
    <w:rsid w:val="00E216F6"/>
    <w:rsid w:val="00E21865"/>
    <w:rsid w:val="00E21933"/>
    <w:rsid w:val="00E21937"/>
    <w:rsid w:val="00E219AE"/>
    <w:rsid w:val="00E21B31"/>
    <w:rsid w:val="00E21C25"/>
    <w:rsid w:val="00E21C4E"/>
    <w:rsid w:val="00E21C6E"/>
    <w:rsid w:val="00E21D08"/>
    <w:rsid w:val="00E21DFA"/>
    <w:rsid w:val="00E21E11"/>
    <w:rsid w:val="00E21E92"/>
    <w:rsid w:val="00E220A8"/>
    <w:rsid w:val="00E220AB"/>
    <w:rsid w:val="00E221E5"/>
    <w:rsid w:val="00E2227C"/>
    <w:rsid w:val="00E222CB"/>
    <w:rsid w:val="00E2234E"/>
    <w:rsid w:val="00E2241C"/>
    <w:rsid w:val="00E22430"/>
    <w:rsid w:val="00E2252A"/>
    <w:rsid w:val="00E22594"/>
    <w:rsid w:val="00E225B5"/>
    <w:rsid w:val="00E22641"/>
    <w:rsid w:val="00E2265C"/>
    <w:rsid w:val="00E2267C"/>
    <w:rsid w:val="00E226D9"/>
    <w:rsid w:val="00E227BC"/>
    <w:rsid w:val="00E228A5"/>
    <w:rsid w:val="00E228B8"/>
    <w:rsid w:val="00E22A89"/>
    <w:rsid w:val="00E22A9B"/>
    <w:rsid w:val="00E22AAD"/>
    <w:rsid w:val="00E22AEE"/>
    <w:rsid w:val="00E22AF2"/>
    <w:rsid w:val="00E22B1A"/>
    <w:rsid w:val="00E22B6A"/>
    <w:rsid w:val="00E22BA3"/>
    <w:rsid w:val="00E22C36"/>
    <w:rsid w:val="00E22CCA"/>
    <w:rsid w:val="00E22D30"/>
    <w:rsid w:val="00E22D93"/>
    <w:rsid w:val="00E22E23"/>
    <w:rsid w:val="00E22F35"/>
    <w:rsid w:val="00E23005"/>
    <w:rsid w:val="00E23016"/>
    <w:rsid w:val="00E230BF"/>
    <w:rsid w:val="00E231A5"/>
    <w:rsid w:val="00E231DB"/>
    <w:rsid w:val="00E232D0"/>
    <w:rsid w:val="00E2332C"/>
    <w:rsid w:val="00E2345F"/>
    <w:rsid w:val="00E234C0"/>
    <w:rsid w:val="00E235DC"/>
    <w:rsid w:val="00E2367E"/>
    <w:rsid w:val="00E23695"/>
    <w:rsid w:val="00E236FC"/>
    <w:rsid w:val="00E23758"/>
    <w:rsid w:val="00E2397C"/>
    <w:rsid w:val="00E239B9"/>
    <w:rsid w:val="00E239EA"/>
    <w:rsid w:val="00E23BF9"/>
    <w:rsid w:val="00E23C01"/>
    <w:rsid w:val="00E23C96"/>
    <w:rsid w:val="00E23CCB"/>
    <w:rsid w:val="00E23D31"/>
    <w:rsid w:val="00E23D6B"/>
    <w:rsid w:val="00E23E98"/>
    <w:rsid w:val="00E24036"/>
    <w:rsid w:val="00E240FB"/>
    <w:rsid w:val="00E24200"/>
    <w:rsid w:val="00E242F1"/>
    <w:rsid w:val="00E2441B"/>
    <w:rsid w:val="00E24432"/>
    <w:rsid w:val="00E244A2"/>
    <w:rsid w:val="00E24552"/>
    <w:rsid w:val="00E245A2"/>
    <w:rsid w:val="00E245CC"/>
    <w:rsid w:val="00E2473D"/>
    <w:rsid w:val="00E24915"/>
    <w:rsid w:val="00E24A07"/>
    <w:rsid w:val="00E24C7E"/>
    <w:rsid w:val="00E24D34"/>
    <w:rsid w:val="00E24DB4"/>
    <w:rsid w:val="00E24DD7"/>
    <w:rsid w:val="00E24F12"/>
    <w:rsid w:val="00E24F83"/>
    <w:rsid w:val="00E24F97"/>
    <w:rsid w:val="00E24FA6"/>
    <w:rsid w:val="00E24FDC"/>
    <w:rsid w:val="00E2502B"/>
    <w:rsid w:val="00E250D3"/>
    <w:rsid w:val="00E2511D"/>
    <w:rsid w:val="00E2516B"/>
    <w:rsid w:val="00E25275"/>
    <w:rsid w:val="00E2535B"/>
    <w:rsid w:val="00E25494"/>
    <w:rsid w:val="00E2549A"/>
    <w:rsid w:val="00E2550F"/>
    <w:rsid w:val="00E255B2"/>
    <w:rsid w:val="00E255F5"/>
    <w:rsid w:val="00E25620"/>
    <w:rsid w:val="00E256D1"/>
    <w:rsid w:val="00E256E1"/>
    <w:rsid w:val="00E2571A"/>
    <w:rsid w:val="00E257A0"/>
    <w:rsid w:val="00E257FC"/>
    <w:rsid w:val="00E2584F"/>
    <w:rsid w:val="00E2592A"/>
    <w:rsid w:val="00E25943"/>
    <w:rsid w:val="00E25A5A"/>
    <w:rsid w:val="00E25A9F"/>
    <w:rsid w:val="00E25AA2"/>
    <w:rsid w:val="00E25B36"/>
    <w:rsid w:val="00E25C64"/>
    <w:rsid w:val="00E25D8E"/>
    <w:rsid w:val="00E25E31"/>
    <w:rsid w:val="00E25E73"/>
    <w:rsid w:val="00E25E8C"/>
    <w:rsid w:val="00E25F60"/>
    <w:rsid w:val="00E25FC3"/>
    <w:rsid w:val="00E25FF0"/>
    <w:rsid w:val="00E260A5"/>
    <w:rsid w:val="00E26154"/>
    <w:rsid w:val="00E26221"/>
    <w:rsid w:val="00E2628D"/>
    <w:rsid w:val="00E262B2"/>
    <w:rsid w:val="00E26422"/>
    <w:rsid w:val="00E26578"/>
    <w:rsid w:val="00E265BD"/>
    <w:rsid w:val="00E26995"/>
    <w:rsid w:val="00E269D5"/>
    <w:rsid w:val="00E269E3"/>
    <w:rsid w:val="00E26B16"/>
    <w:rsid w:val="00E26B41"/>
    <w:rsid w:val="00E26C80"/>
    <w:rsid w:val="00E26CB3"/>
    <w:rsid w:val="00E26E2E"/>
    <w:rsid w:val="00E26E5C"/>
    <w:rsid w:val="00E26E8B"/>
    <w:rsid w:val="00E26FA6"/>
    <w:rsid w:val="00E26FE3"/>
    <w:rsid w:val="00E270F1"/>
    <w:rsid w:val="00E27291"/>
    <w:rsid w:val="00E272B6"/>
    <w:rsid w:val="00E27440"/>
    <w:rsid w:val="00E27464"/>
    <w:rsid w:val="00E274F5"/>
    <w:rsid w:val="00E27550"/>
    <w:rsid w:val="00E2757C"/>
    <w:rsid w:val="00E2763D"/>
    <w:rsid w:val="00E27764"/>
    <w:rsid w:val="00E277C2"/>
    <w:rsid w:val="00E2787F"/>
    <w:rsid w:val="00E279C0"/>
    <w:rsid w:val="00E279DF"/>
    <w:rsid w:val="00E27A8E"/>
    <w:rsid w:val="00E27B17"/>
    <w:rsid w:val="00E27B8D"/>
    <w:rsid w:val="00E27BEF"/>
    <w:rsid w:val="00E27C2A"/>
    <w:rsid w:val="00E27C93"/>
    <w:rsid w:val="00E27C97"/>
    <w:rsid w:val="00E27E24"/>
    <w:rsid w:val="00E27E5F"/>
    <w:rsid w:val="00E27F83"/>
    <w:rsid w:val="00E27F90"/>
    <w:rsid w:val="00E300FC"/>
    <w:rsid w:val="00E30189"/>
    <w:rsid w:val="00E301BF"/>
    <w:rsid w:val="00E302C9"/>
    <w:rsid w:val="00E303A0"/>
    <w:rsid w:val="00E30413"/>
    <w:rsid w:val="00E30475"/>
    <w:rsid w:val="00E30525"/>
    <w:rsid w:val="00E305A4"/>
    <w:rsid w:val="00E306D2"/>
    <w:rsid w:val="00E30713"/>
    <w:rsid w:val="00E30799"/>
    <w:rsid w:val="00E30840"/>
    <w:rsid w:val="00E309AD"/>
    <w:rsid w:val="00E30BE6"/>
    <w:rsid w:val="00E30C2E"/>
    <w:rsid w:val="00E30CE2"/>
    <w:rsid w:val="00E30D5B"/>
    <w:rsid w:val="00E30DE7"/>
    <w:rsid w:val="00E30E85"/>
    <w:rsid w:val="00E31017"/>
    <w:rsid w:val="00E310C7"/>
    <w:rsid w:val="00E3114D"/>
    <w:rsid w:val="00E31160"/>
    <w:rsid w:val="00E3119A"/>
    <w:rsid w:val="00E3128B"/>
    <w:rsid w:val="00E312AC"/>
    <w:rsid w:val="00E312DC"/>
    <w:rsid w:val="00E31339"/>
    <w:rsid w:val="00E31452"/>
    <w:rsid w:val="00E314FB"/>
    <w:rsid w:val="00E31636"/>
    <w:rsid w:val="00E31739"/>
    <w:rsid w:val="00E31773"/>
    <w:rsid w:val="00E31779"/>
    <w:rsid w:val="00E3178B"/>
    <w:rsid w:val="00E317EB"/>
    <w:rsid w:val="00E3182E"/>
    <w:rsid w:val="00E3189E"/>
    <w:rsid w:val="00E31934"/>
    <w:rsid w:val="00E319C1"/>
    <w:rsid w:val="00E319D8"/>
    <w:rsid w:val="00E31AAF"/>
    <w:rsid w:val="00E31B4D"/>
    <w:rsid w:val="00E31BAD"/>
    <w:rsid w:val="00E31D08"/>
    <w:rsid w:val="00E31D18"/>
    <w:rsid w:val="00E31D25"/>
    <w:rsid w:val="00E31D8D"/>
    <w:rsid w:val="00E31E6A"/>
    <w:rsid w:val="00E32069"/>
    <w:rsid w:val="00E320A4"/>
    <w:rsid w:val="00E32140"/>
    <w:rsid w:val="00E32170"/>
    <w:rsid w:val="00E32194"/>
    <w:rsid w:val="00E32223"/>
    <w:rsid w:val="00E322A5"/>
    <w:rsid w:val="00E322C0"/>
    <w:rsid w:val="00E3238A"/>
    <w:rsid w:val="00E324A9"/>
    <w:rsid w:val="00E324BA"/>
    <w:rsid w:val="00E32666"/>
    <w:rsid w:val="00E326A4"/>
    <w:rsid w:val="00E326C3"/>
    <w:rsid w:val="00E327BA"/>
    <w:rsid w:val="00E327C2"/>
    <w:rsid w:val="00E327C4"/>
    <w:rsid w:val="00E32856"/>
    <w:rsid w:val="00E32866"/>
    <w:rsid w:val="00E329B2"/>
    <w:rsid w:val="00E32B62"/>
    <w:rsid w:val="00E32BCA"/>
    <w:rsid w:val="00E32C63"/>
    <w:rsid w:val="00E32EC5"/>
    <w:rsid w:val="00E32EED"/>
    <w:rsid w:val="00E32F7F"/>
    <w:rsid w:val="00E330F7"/>
    <w:rsid w:val="00E33261"/>
    <w:rsid w:val="00E3326E"/>
    <w:rsid w:val="00E332B9"/>
    <w:rsid w:val="00E3338A"/>
    <w:rsid w:val="00E33408"/>
    <w:rsid w:val="00E33450"/>
    <w:rsid w:val="00E33594"/>
    <w:rsid w:val="00E335E5"/>
    <w:rsid w:val="00E3365B"/>
    <w:rsid w:val="00E33690"/>
    <w:rsid w:val="00E33691"/>
    <w:rsid w:val="00E336B4"/>
    <w:rsid w:val="00E33789"/>
    <w:rsid w:val="00E33966"/>
    <w:rsid w:val="00E339AB"/>
    <w:rsid w:val="00E33B67"/>
    <w:rsid w:val="00E33B8B"/>
    <w:rsid w:val="00E33BDB"/>
    <w:rsid w:val="00E33BFA"/>
    <w:rsid w:val="00E33C5D"/>
    <w:rsid w:val="00E33C89"/>
    <w:rsid w:val="00E33CF3"/>
    <w:rsid w:val="00E33DBD"/>
    <w:rsid w:val="00E33DDA"/>
    <w:rsid w:val="00E33DE2"/>
    <w:rsid w:val="00E33E06"/>
    <w:rsid w:val="00E33E25"/>
    <w:rsid w:val="00E33F23"/>
    <w:rsid w:val="00E33F37"/>
    <w:rsid w:val="00E33F54"/>
    <w:rsid w:val="00E33F5C"/>
    <w:rsid w:val="00E340FA"/>
    <w:rsid w:val="00E341F4"/>
    <w:rsid w:val="00E34283"/>
    <w:rsid w:val="00E34321"/>
    <w:rsid w:val="00E343A4"/>
    <w:rsid w:val="00E343EB"/>
    <w:rsid w:val="00E344B6"/>
    <w:rsid w:val="00E344C9"/>
    <w:rsid w:val="00E3455E"/>
    <w:rsid w:val="00E345C4"/>
    <w:rsid w:val="00E3479C"/>
    <w:rsid w:val="00E347BD"/>
    <w:rsid w:val="00E347CE"/>
    <w:rsid w:val="00E34849"/>
    <w:rsid w:val="00E34895"/>
    <w:rsid w:val="00E349F4"/>
    <w:rsid w:val="00E34A74"/>
    <w:rsid w:val="00E34AB0"/>
    <w:rsid w:val="00E34B13"/>
    <w:rsid w:val="00E34B4C"/>
    <w:rsid w:val="00E34BF0"/>
    <w:rsid w:val="00E34C1D"/>
    <w:rsid w:val="00E34CC8"/>
    <w:rsid w:val="00E34CED"/>
    <w:rsid w:val="00E34D3E"/>
    <w:rsid w:val="00E34DBF"/>
    <w:rsid w:val="00E34F2D"/>
    <w:rsid w:val="00E350A8"/>
    <w:rsid w:val="00E350D5"/>
    <w:rsid w:val="00E35163"/>
    <w:rsid w:val="00E351AD"/>
    <w:rsid w:val="00E351C6"/>
    <w:rsid w:val="00E35204"/>
    <w:rsid w:val="00E352CF"/>
    <w:rsid w:val="00E35345"/>
    <w:rsid w:val="00E35510"/>
    <w:rsid w:val="00E355C6"/>
    <w:rsid w:val="00E35604"/>
    <w:rsid w:val="00E35612"/>
    <w:rsid w:val="00E3561C"/>
    <w:rsid w:val="00E356C6"/>
    <w:rsid w:val="00E3579C"/>
    <w:rsid w:val="00E3591A"/>
    <w:rsid w:val="00E3596B"/>
    <w:rsid w:val="00E35BC7"/>
    <w:rsid w:val="00E35C42"/>
    <w:rsid w:val="00E35C8B"/>
    <w:rsid w:val="00E35D9A"/>
    <w:rsid w:val="00E35E38"/>
    <w:rsid w:val="00E35F21"/>
    <w:rsid w:val="00E36028"/>
    <w:rsid w:val="00E3613C"/>
    <w:rsid w:val="00E36152"/>
    <w:rsid w:val="00E3616D"/>
    <w:rsid w:val="00E362BB"/>
    <w:rsid w:val="00E36367"/>
    <w:rsid w:val="00E36403"/>
    <w:rsid w:val="00E36437"/>
    <w:rsid w:val="00E36462"/>
    <w:rsid w:val="00E3651A"/>
    <w:rsid w:val="00E3651B"/>
    <w:rsid w:val="00E3693C"/>
    <w:rsid w:val="00E369FB"/>
    <w:rsid w:val="00E36B73"/>
    <w:rsid w:val="00E36C1D"/>
    <w:rsid w:val="00E36C34"/>
    <w:rsid w:val="00E36D5B"/>
    <w:rsid w:val="00E36D93"/>
    <w:rsid w:val="00E36E30"/>
    <w:rsid w:val="00E36E7A"/>
    <w:rsid w:val="00E36FD2"/>
    <w:rsid w:val="00E37177"/>
    <w:rsid w:val="00E37305"/>
    <w:rsid w:val="00E3749B"/>
    <w:rsid w:val="00E374E1"/>
    <w:rsid w:val="00E37519"/>
    <w:rsid w:val="00E37541"/>
    <w:rsid w:val="00E37659"/>
    <w:rsid w:val="00E3771E"/>
    <w:rsid w:val="00E377E8"/>
    <w:rsid w:val="00E379AC"/>
    <w:rsid w:val="00E379CC"/>
    <w:rsid w:val="00E37A70"/>
    <w:rsid w:val="00E37B93"/>
    <w:rsid w:val="00E37BC6"/>
    <w:rsid w:val="00E37CB0"/>
    <w:rsid w:val="00E37CEF"/>
    <w:rsid w:val="00E37DA2"/>
    <w:rsid w:val="00E37E0A"/>
    <w:rsid w:val="00E37E0B"/>
    <w:rsid w:val="00E37E35"/>
    <w:rsid w:val="00E37E85"/>
    <w:rsid w:val="00E37F76"/>
    <w:rsid w:val="00E3E73E"/>
    <w:rsid w:val="00E3FA1D"/>
    <w:rsid w:val="00E4014B"/>
    <w:rsid w:val="00E40214"/>
    <w:rsid w:val="00E4024C"/>
    <w:rsid w:val="00E402F2"/>
    <w:rsid w:val="00E4051B"/>
    <w:rsid w:val="00E4051E"/>
    <w:rsid w:val="00E40526"/>
    <w:rsid w:val="00E40530"/>
    <w:rsid w:val="00E4053D"/>
    <w:rsid w:val="00E4057B"/>
    <w:rsid w:val="00E40586"/>
    <w:rsid w:val="00E405BD"/>
    <w:rsid w:val="00E40679"/>
    <w:rsid w:val="00E4084F"/>
    <w:rsid w:val="00E408CA"/>
    <w:rsid w:val="00E40919"/>
    <w:rsid w:val="00E4095E"/>
    <w:rsid w:val="00E409B2"/>
    <w:rsid w:val="00E409B9"/>
    <w:rsid w:val="00E40A52"/>
    <w:rsid w:val="00E40B7D"/>
    <w:rsid w:val="00E40C76"/>
    <w:rsid w:val="00E40D21"/>
    <w:rsid w:val="00E40D7C"/>
    <w:rsid w:val="00E40F22"/>
    <w:rsid w:val="00E40FE8"/>
    <w:rsid w:val="00E40FF7"/>
    <w:rsid w:val="00E41024"/>
    <w:rsid w:val="00E41053"/>
    <w:rsid w:val="00E411CC"/>
    <w:rsid w:val="00E412C8"/>
    <w:rsid w:val="00E412FC"/>
    <w:rsid w:val="00E4135D"/>
    <w:rsid w:val="00E4136F"/>
    <w:rsid w:val="00E41397"/>
    <w:rsid w:val="00E413A5"/>
    <w:rsid w:val="00E41456"/>
    <w:rsid w:val="00E41469"/>
    <w:rsid w:val="00E415AD"/>
    <w:rsid w:val="00E415C1"/>
    <w:rsid w:val="00E415E5"/>
    <w:rsid w:val="00E4170B"/>
    <w:rsid w:val="00E41742"/>
    <w:rsid w:val="00E41786"/>
    <w:rsid w:val="00E417A6"/>
    <w:rsid w:val="00E4182C"/>
    <w:rsid w:val="00E4187F"/>
    <w:rsid w:val="00E418C8"/>
    <w:rsid w:val="00E41A6E"/>
    <w:rsid w:val="00E41AA2"/>
    <w:rsid w:val="00E41AAB"/>
    <w:rsid w:val="00E41B01"/>
    <w:rsid w:val="00E41B62"/>
    <w:rsid w:val="00E41BDB"/>
    <w:rsid w:val="00E41C76"/>
    <w:rsid w:val="00E41CB9"/>
    <w:rsid w:val="00E41D3E"/>
    <w:rsid w:val="00E41D5E"/>
    <w:rsid w:val="00E41D75"/>
    <w:rsid w:val="00E41E5D"/>
    <w:rsid w:val="00E41E98"/>
    <w:rsid w:val="00E4210C"/>
    <w:rsid w:val="00E42226"/>
    <w:rsid w:val="00E42277"/>
    <w:rsid w:val="00E422B6"/>
    <w:rsid w:val="00E423A9"/>
    <w:rsid w:val="00E423AF"/>
    <w:rsid w:val="00E423D0"/>
    <w:rsid w:val="00E4242E"/>
    <w:rsid w:val="00E42433"/>
    <w:rsid w:val="00E424C1"/>
    <w:rsid w:val="00E4255A"/>
    <w:rsid w:val="00E42606"/>
    <w:rsid w:val="00E4273A"/>
    <w:rsid w:val="00E4273D"/>
    <w:rsid w:val="00E42762"/>
    <w:rsid w:val="00E4276B"/>
    <w:rsid w:val="00E428B4"/>
    <w:rsid w:val="00E4292E"/>
    <w:rsid w:val="00E42A0D"/>
    <w:rsid w:val="00E42A23"/>
    <w:rsid w:val="00E42A41"/>
    <w:rsid w:val="00E42A66"/>
    <w:rsid w:val="00E42A8E"/>
    <w:rsid w:val="00E42D47"/>
    <w:rsid w:val="00E42DFF"/>
    <w:rsid w:val="00E42E20"/>
    <w:rsid w:val="00E42EA1"/>
    <w:rsid w:val="00E42EB5"/>
    <w:rsid w:val="00E42F1D"/>
    <w:rsid w:val="00E42FCA"/>
    <w:rsid w:val="00E4302C"/>
    <w:rsid w:val="00E430C1"/>
    <w:rsid w:val="00E430FD"/>
    <w:rsid w:val="00E4312E"/>
    <w:rsid w:val="00E43148"/>
    <w:rsid w:val="00E431B4"/>
    <w:rsid w:val="00E43245"/>
    <w:rsid w:val="00E432A3"/>
    <w:rsid w:val="00E4330A"/>
    <w:rsid w:val="00E4334F"/>
    <w:rsid w:val="00E433CA"/>
    <w:rsid w:val="00E4346A"/>
    <w:rsid w:val="00E43620"/>
    <w:rsid w:val="00E436B6"/>
    <w:rsid w:val="00E43739"/>
    <w:rsid w:val="00E4395C"/>
    <w:rsid w:val="00E43B69"/>
    <w:rsid w:val="00E43B6E"/>
    <w:rsid w:val="00E43B86"/>
    <w:rsid w:val="00E43C74"/>
    <w:rsid w:val="00E43CCE"/>
    <w:rsid w:val="00E43CDE"/>
    <w:rsid w:val="00E43D73"/>
    <w:rsid w:val="00E43DBB"/>
    <w:rsid w:val="00E43F3F"/>
    <w:rsid w:val="00E43F75"/>
    <w:rsid w:val="00E43FAA"/>
    <w:rsid w:val="00E44019"/>
    <w:rsid w:val="00E440C6"/>
    <w:rsid w:val="00E44107"/>
    <w:rsid w:val="00E442D0"/>
    <w:rsid w:val="00E444E2"/>
    <w:rsid w:val="00E444EC"/>
    <w:rsid w:val="00E4459E"/>
    <w:rsid w:val="00E445BF"/>
    <w:rsid w:val="00E445F1"/>
    <w:rsid w:val="00E44617"/>
    <w:rsid w:val="00E4463B"/>
    <w:rsid w:val="00E4475C"/>
    <w:rsid w:val="00E44801"/>
    <w:rsid w:val="00E4482B"/>
    <w:rsid w:val="00E44850"/>
    <w:rsid w:val="00E448E0"/>
    <w:rsid w:val="00E44983"/>
    <w:rsid w:val="00E44AAD"/>
    <w:rsid w:val="00E44AD9"/>
    <w:rsid w:val="00E44D10"/>
    <w:rsid w:val="00E44DD7"/>
    <w:rsid w:val="00E44F08"/>
    <w:rsid w:val="00E44FA0"/>
    <w:rsid w:val="00E45000"/>
    <w:rsid w:val="00E45046"/>
    <w:rsid w:val="00E450F1"/>
    <w:rsid w:val="00E45124"/>
    <w:rsid w:val="00E4512D"/>
    <w:rsid w:val="00E45182"/>
    <w:rsid w:val="00E45188"/>
    <w:rsid w:val="00E451A6"/>
    <w:rsid w:val="00E452DE"/>
    <w:rsid w:val="00E455B9"/>
    <w:rsid w:val="00E455BD"/>
    <w:rsid w:val="00E45621"/>
    <w:rsid w:val="00E45698"/>
    <w:rsid w:val="00E45937"/>
    <w:rsid w:val="00E459A6"/>
    <w:rsid w:val="00E45BF0"/>
    <w:rsid w:val="00E45C4C"/>
    <w:rsid w:val="00E45D84"/>
    <w:rsid w:val="00E45D88"/>
    <w:rsid w:val="00E45DF3"/>
    <w:rsid w:val="00E45E34"/>
    <w:rsid w:val="00E45F99"/>
    <w:rsid w:val="00E463C5"/>
    <w:rsid w:val="00E463FE"/>
    <w:rsid w:val="00E4642E"/>
    <w:rsid w:val="00E468AC"/>
    <w:rsid w:val="00E4693C"/>
    <w:rsid w:val="00E46997"/>
    <w:rsid w:val="00E46AA6"/>
    <w:rsid w:val="00E46B0F"/>
    <w:rsid w:val="00E46B20"/>
    <w:rsid w:val="00E46BA1"/>
    <w:rsid w:val="00E46BFB"/>
    <w:rsid w:val="00E46F72"/>
    <w:rsid w:val="00E47004"/>
    <w:rsid w:val="00E47096"/>
    <w:rsid w:val="00E470D4"/>
    <w:rsid w:val="00E470E6"/>
    <w:rsid w:val="00E47293"/>
    <w:rsid w:val="00E472E2"/>
    <w:rsid w:val="00E4732C"/>
    <w:rsid w:val="00E47549"/>
    <w:rsid w:val="00E4763C"/>
    <w:rsid w:val="00E4776E"/>
    <w:rsid w:val="00E477E5"/>
    <w:rsid w:val="00E47887"/>
    <w:rsid w:val="00E47C69"/>
    <w:rsid w:val="00E47C6C"/>
    <w:rsid w:val="00E47D6E"/>
    <w:rsid w:val="00E4BE98"/>
    <w:rsid w:val="00E50194"/>
    <w:rsid w:val="00E50314"/>
    <w:rsid w:val="00E50321"/>
    <w:rsid w:val="00E50537"/>
    <w:rsid w:val="00E50587"/>
    <w:rsid w:val="00E506BB"/>
    <w:rsid w:val="00E506D1"/>
    <w:rsid w:val="00E50777"/>
    <w:rsid w:val="00E507A1"/>
    <w:rsid w:val="00E507A7"/>
    <w:rsid w:val="00E507E0"/>
    <w:rsid w:val="00E50944"/>
    <w:rsid w:val="00E50988"/>
    <w:rsid w:val="00E50A0E"/>
    <w:rsid w:val="00E50AD6"/>
    <w:rsid w:val="00E50B5C"/>
    <w:rsid w:val="00E50DA0"/>
    <w:rsid w:val="00E50EC1"/>
    <w:rsid w:val="00E50F69"/>
    <w:rsid w:val="00E50FD1"/>
    <w:rsid w:val="00E5110E"/>
    <w:rsid w:val="00E51146"/>
    <w:rsid w:val="00E5118E"/>
    <w:rsid w:val="00E51218"/>
    <w:rsid w:val="00E51222"/>
    <w:rsid w:val="00E512DD"/>
    <w:rsid w:val="00E512F1"/>
    <w:rsid w:val="00E51340"/>
    <w:rsid w:val="00E51366"/>
    <w:rsid w:val="00E51397"/>
    <w:rsid w:val="00E51530"/>
    <w:rsid w:val="00E51555"/>
    <w:rsid w:val="00E51746"/>
    <w:rsid w:val="00E51769"/>
    <w:rsid w:val="00E517AF"/>
    <w:rsid w:val="00E51940"/>
    <w:rsid w:val="00E5194A"/>
    <w:rsid w:val="00E51A39"/>
    <w:rsid w:val="00E51A6D"/>
    <w:rsid w:val="00E51B4D"/>
    <w:rsid w:val="00E51BDF"/>
    <w:rsid w:val="00E51D51"/>
    <w:rsid w:val="00E51DA7"/>
    <w:rsid w:val="00E51E24"/>
    <w:rsid w:val="00E51EE0"/>
    <w:rsid w:val="00E51F83"/>
    <w:rsid w:val="00E51FDC"/>
    <w:rsid w:val="00E52154"/>
    <w:rsid w:val="00E522BB"/>
    <w:rsid w:val="00E522EB"/>
    <w:rsid w:val="00E522F8"/>
    <w:rsid w:val="00E52365"/>
    <w:rsid w:val="00E52674"/>
    <w:rsid w:val="00E526A3"/>
    <w:rsid w:val="00E526E9"/>
    <w:rsid w:val="00E526EF"/>
    <w:rsid w:val="00E526FE"/>
    <w:rsid w:val="00E52721"/>
    <w:rsid w:val="00E527B0"/>
    <w:rsid w:val="00E52847"/>
    <w:rsid w:val="00E528C5"/>
    <w:rsid w:val="00E5295C"/>
    <w:rsid w:val="00E52987"/>
    <w:rsid w:val="00E529E2"/>
    <w:rsid w:val="00E52A4A"/>
    <w:rsid w:val="00E52A70"/>
    <w:rsid w:val="00E52B38"/>
    <w:rsid w:val="00E52BB8"/>
    <w:rsid w:val="00E52BF6"/>
    <w:rsid w:val="00E52C2B"/>
    <w:rsid w:val="00E52D9A"/>
    <w:rsid w:val="00E52E6F"/>
    <w:rsid w:val="00E52EA0"/>
    <w:rsid w:val="00E52F49"/>
    <w:rsid w:val="00E52F7E"/>
    <w:rsid w:val="00E52F9A"/>
    <w:rsid w:val="00E52FA9"/>
    <w:rsid w:val="00E530F9"/>
    <w:rsid w:val="00E53172"/>
    <w:rsid w:val="00E531AF"/>
    <w:rsid w:val="00E531C0"/>
    <w:rsid w:val="00E53204"/>
    <w:rsid w:val="00E53215"/>
    <w:rsid w:val="00E5330B"/>
    <w:rsid w:val="00E533E1"/>
    <w:rsid w:val="00E534E3"/>
    <w:rsid w:val="00E5354D"/>
    <w:rsid w:val="00E53684"/>
    <w:rsid w:val="00E53792"/>
    <w:rsid w:val="00E53807"/>
    <w:rsid w:val="00E53856"/>
    <w:rsid w:val="00E538C6"/>
    <w:rsid w:val="00E539BB"/>
    <w:rsid w:val="00E53A48"/>
    <w:rsid w:val="00E53B31"/>
    <w:rsid w:val="00E53BB3"/>
    <w:rsid w:val="00E53C07"/>
    <w:rsid w:val="00E53C74"/>
    <w:rsid w:val="00E53DA2"/>
    <w:rsid w:val="00E53E2B"/>
    <w:rsid w:val="00E53E73"/>
    <w:rsid w:val="00E53EC9"/>
    <w:rsid w:val="00E53F06"/>
    <w:rsid w:val="00E53F18"/>
    <w:rsid w:val="00E53F4B"/>
    <w:rsid w:val="00E54045"/>
    <w:rsid w:val="00E540ED"/>
    <w:rsid w:val="00E54155"/>
    <w:rsid w:val="00E54178"/>
    <w:rsid w:val="00E54288"/>
    <w:rsid w:val="00E542C4"/>
    <w:rsid w:val="00E54381"/>
    <w:rsid w:val="00E5446C"/>
    <w:rsid w:val="00E5466C"/>
    <w:rsid w:val="00E546D3"/>
    <w:rsid w:val="00E5486B"/>
    <w:rsid w:val="00E5491E"/>
    <w:rsid w:val="00E5493D"/>
    <w:rsid w:val="00E549C3"/>
    <w:rsid w:val="00E54A32"/>
    <w:rsid w:val="00E54A68"/>
    <w:rsid w:val="00E54BE4"/>
    <w:rsid w:val="00E54CB2"/>
    <w:rsid w:val="00E54DCF"/>
    <w:rsid w:val="00E54E78"/>
    <w:rsid w:val="00E54F59"/>
    <w:rsid w:val="00E54FA1"/>
    <w:rsid w:val="00E54FF3"/>
    <w:rsid w:val="00E550DD"/>
    <w:rsid w:val="00E55100"/>
    <w:rsid w:val="00E55108"/>
    <w:rsid w:val="00E551BA"/>
    <w:rsid w:val="00E55238"/>
    <w:rsid w:val="00E55346"/>
    <w:rsid w:val="00E5535E"/>
    <w:rsid w:val="00E5539F"/>
    <w:rsid w:val="00E553CA"/>
    <w:rsid w:val="00E55439"/>
    <w:rsid w:val="00E554A3"/>
    <w:rsid w:val="00E554CD"/>
    <w:rsid w:val="00E55594"/>
    <w:rsid w:val="00E55607"/>
    <w:rsid w:val="00E55614"/>
    <w:rsid w:val="00E55740"/>
    <w:rsid w:val="00E55742"/>
    <w:rsid w:val="00E55781"/>
    <w:rsid w:val="00E55808"/>
    <w:rsid w:val="00E55920"/>
    <w:rsid w:val="00E5593B"/>
    <w:rsid w:val="00E55991"/>
    <w:rsid w:val="00E559AD"/>
    <w:rsid w:val="00E55A8C"/>
    <w:rsid w:val="00E55AD5"/>
    <w:rsid w:val="00E55CFF"/>
    <w:rsid w:val="00E55E2D"/>
    <w:rsid w:val="00E55E88"/>
    <w:rsid w:val="00E5600B"/>
    <w:rsid w:val="00E5608F"/>
    <w:rsid w:val="00E560E4"/>
    <w:rsid w:val="00E56290"/>
    <w:rsid w:val="00E562D6"/>
    <w:rsid w:val="00E562D7"/>
    <w:rsid w:val="00E562DF"/>
    <w:rsid w:val="00E562E9"/>
    <w:rsid w:val="00E563A3"/>
    <w:rsid w:val="00E565A4"/>
    <w:rsid w:val="00E56857"/>
    <w:rsid w:val="00E56882"/>
    <w:rsid w:val="00E568C0"/>
    <w:rsid w:val="00E569AC"/>
    <w:rsid w:val="00E569F9"/>
    <w:rsid w:val="00E56A0D"/>
    <w:rsid w:val="00E56AAF"/>
    <w:rsid w:val="00E56AB1"/>
    <w:rsid w:val="00E56D9E"/>
    <w:rsid w:val="00E56E48"/>
    <w:rsid w:val="00E56EB2"/>
    <w:rsid w:val="00E56FA3"/>
    <w:rsid w:val="00E5721C"/>
    <w:rsid w:val="00E57273"/>
    <w:rsid w:val="00E5729B"/>
    <w:rsid w:val="00E57429"/>
    <w:rsid w:val="00E57477"/>
    <w:rsid w:val="00E57633"/>
    <w:rsid w:val="00E57646"/>
    <w:rsid w:val="00E57656"/>
    <w:rsid w:val="00E576A0"/>
    <w:rsid w:val="00E576FA"/>
    <w:rsid w:val="00E57786"/>
    <w:rsid w:val="00E577C5"/>
    <w:rsid w:val="00E577F8"/>
    <w:rsid w:val="00E5786D"/>
    <w:rsid w:val="00E57973"/>
    <w:rsid w:val="00E57A4C"/>
    <w:rsid w:val="00E57A9F"/>
    <w:rsid w:val="00E57B19"/>
    <w:rsid w:val="00E57B91"/>
    <w:rsid w:val="00E57CCB"/>
    <w:rsid w:val="00E57D5B"/>
    <w:rsid w:val="00E57FE4"/>
    <w:rsid w:val="00E59DC8"/>
    <w:rsid w:val="00E5A379"/>
    <w:rsid w:val="00E6015D"/>
    <w:rsid w:val="00E601E5"/>
    <w:rsid w:val="00E6025B"/>
    <w:rsid w:val="00E602E1"/>
    <w:rsid w:val="00E60336"/>
    <w:rsid w:val="00E60507"/>
    <w:rsid w:val="00E6061C"/>
    <w:rsid w:val="00E606BD"/>
    <w:rsid w:val="00E60770"/>
    <w:rsid w:val="00E6079C"/>
    <w:rsid w:val="00E607A1"/>
    <w:rsid w:val="00E607DB"/>
    <w:rsid w:val="00E607F5"/>
    <w:rsid w:val="00E60802"/>
    <w:rsid w:val="00E6080A"/>
    <w:rsid w:val="00E608DE"/>
    <w:rsid w:val="00E60B0E"/>
    <w:rsid w:val="00E60BC3"/>
    <w:rsid w:val="00E60C24"/>
    <w:rsid w:val="00E60D02"/>
    <w:rsid w:val="00E60DE1"/>
    <w:rsid w:val="00E60DEE"/>
    <w:rsid w:val="00E60E24"/>
    <w:rsid w:val="00E60FC9"/>
    <w:rsid w:val="00E60FEB"/>
    <w:rsid w:val="00E6101B"/>
    <w:rsid w:val="00E61272"/>
    <w:rsid w:val="00E614BB"/>
    <w:rsid w:val="00E615C7"/>
    <w:rsid w:val="00E61641"/>
    <w:rsid w:val="00E61815"/>
    <w:rsid w:val="00E618A4"/>
    <w:rsid w:val="00E619AA"/>
    <w:rsid w:val="00E619AB"/>
    <w:rsid w:val="00E619FB"/>
    <w:rsid w:val="00E61B52"/>
    <w:rsid w:val="00E61D49"/>
    <w:rsid w:val="00E61DD4"/>
    <w:rsid w:val="00E61E73"/>
    <w:rsid w:val="00E61E87"/>
    <w:rsid w:val="00E61E97"/>
    <w:rsid w:val="00E61F83"/>
    <w:rsid w:val="00E620F2"/>
    <w:rsid w:val="00E621A1"/>
    <w:rsid w:val="00E62299"/>
    <w:rsid w:val="00E62444"/>
    <w:rsid w:val="00E624DC"/>
    <w:rsid w:val="00E6250E"/>
    <w:rsid w:val="00E6259B"/>
    <w:rsid w:val="00E626B8"/>
    <w:rsid w:val="00E626EB"/>
    <w:rsid w:val="00E626EF"/>
    <w:rsid w:val="00E6280B"/>
    <w:rsid w:val="00E62924"/>
    <w:rsid w:val="00E62977"/>
    <w:rsid w:val="00E62A6B"/>
    <w:rsid w:val="00E62B1C"/>
    <w:rsid w:val="00E62BCD"/>
    <w:rsid w:val="00E62C7F"/>
    <w:rsid w:val="00E62DA0"/>
    <w:rsid w:val="00E62DD1"/>
    <w:rsid w:val="00E62E5A"/>
    <w:rsid w:val="00E62F04"/>
    <w:rsid w:val="00E62F9D"/>
    <w:rsid w:val="00E62FDC"/>
    <w:rsid w:val="00E6303F"/>
    <w:rsid w:val="00E6306F"/>
    <w:rsid w:val="00E630C3"/>
    <w:rsid w:val="00E63198"/>
    <w:rsid w:val="00E63234"/>
    <w:rsid w:val="00E633A4"/>
    <w:rsid w:val="00E633B0"/>
    <w:rsid w:val="00E63569"/>
    <w:rsid w:val="00E6358E"/>
    <w:rsid w:val="00E6370C"/>
    <w:rsid w:val="00E63912"/>
    <w:rsid w:val="00E63972"/>
    <w:rsid w:val="00E63A5A"/>
    <w:rsid w:val="00E63C6D"/>
    <w:rsid w:val="00E63CA2"/>
    <w:rsid w:val="00E63D3A"/>
    <w:rsid w:val="00E63E2E"/>
    <w:rsid w:val="00E63E5C"/>
    <w:rsid w:val="00E63E5F"/>
    <w:rsid w:val="00E63E93"/>
    <w:rsid w:val="00E63EEC"/>
    <w:rsid w:val="00E64027"/>
    <w:rsid w:val="00E6404F"/>
    <w:rsid w:val="00E640AB"/>
    <w:rsid w:val="00E640DE"/>
    <w:rsid w:val="00E64194"/>
    <w:rsid w:val="00E641C6"/>
    <w:rsid w:val="00E6423E"/>
    <w:rsid w:val="00E64557"/>
    <w:rsid w:val="00E64558"/>
    <w:rsid w:val="00E64575"/>
    <w:rsid w:val="00E64589"/>
    <w:rsid w:val="00E6458A"/>
    <w:rsid w:val="00E645E3"/>
    <w:rsid w:val="00E646C8"/>
    <w:rsid w:val="00E647DC"/>
    <w:rsid w:val="00E648DC"/>
    <w:rsid w:val="00E649A8"/>
    <w:rsid w:val="00E649D8"/>
    <w:rsid w:val="00E64AA7"/>
    <w:rsid w:val="00E64ADF"/>
    <w:rsid w:val="00E64C17"/>
    <w:rsid w:val="00E64E24"/>
    <w:rsid w:val="00E64E77"/>
    <w:rsid w:val="00E64FCD"/>
    <w:rsid w:val="00E64FD5"/>
    <w:rsid w:val="00E64FF1"/>
    <w:rsid w:val="00E65030"/>
    <w:rsid w:val="00E650AA"/>
    <w:rsid w:val="00E65148"/>
    <w:rsid w:val="00E65166"/>
    <w:rsid w:val="00E651B3"/>
    <w:rsid w:val="00E651DC"/>
    <w:rsid w:val="00E6522D"/>
    <w:rsid w:val="00E65314"/>
    <w:rsid w:val="00E65356"/>
    <w:rsid w:val="00E65412"/>
    <w:rsid w:val="00E6547F"/>
    <w:rsid w:val="00E654B9"/>
    <w:rsid w:val="00E65646"/>
    <w:rsid w:val="00E656FB"/>
    <w:rsid w:val="00E6584B"/>
    <w:rsid w:val="00E6593A"/>
    <w:rsid w:val="00E659E5"/>
    <w:rsid w:val="00E65B8D"/>
    <w:rsid w:val="00E65BB1"/>
    <w:rsid w:val="00E65DB6"/>
    <w:rsid w:val="00E65DDA"/>
    <w:rsid w:val="00E65DF9"/>
    <w:rsid w:val="00E65DFC"/>
    <w:rsid w:val="00E6606C"/>
    <w:rsid w:val="00E660D5"/>
    <w:rsid w:val="00E661CA"/>
    <w:rsid w:val="00E663A8"/>
    <w:rsid w:val="00E663AE"/>
    <w:rsid w:val="00E66554"/>
    <w:rsid w:val="00E665FA"/>
    <w:rsid w:val="00E66662"/>
    <w:rsid w:val="00E6668B"/>
    <w:rsid w:val="00E666F9"/>
    <w:rsid w:val="00E6672A"/>
    <w:rsid w:val="00E66747"/>
    <w:rsid w:val="00E66766"/>
    <w:rsid w:val="00E6692F"/>
    <w:rsid w:val="00E6699C"/>
    <w:rsid w:val="00E669AB"/>
    <w:rsid w:val="00E669AC"/>
    <w:rsid w:val="00E66A4B"/>
    <w:rsid w:val="00E66ABF"/>
    <w:rsid w:val="00E66B39"/>
    <w:rsid w:val="00E66C19"/>
    <w:rsid w:val="00E66D39"/>
    <w:rsid w:val="00E66E9E"/>
    <w:rsid w:val="00E66EF4"/>
    <w:rsid w:val="00E66EF9"/>
    <w:rsid w:val="00E66F57"/>
    <w:rsid w:val="00E6708D"/>
    <w:rsid w:val="00E6724F"/>
    <w:rsid w:val="00E672BF"/>
    <w:rsid w:val="00E67385"/>
    <w:rsid w:val="00E673A3"/>
    <w:rsid w:val="00E673C1"/>
    <w:rsid w:val="00E67508"/>
    <w:rsid w:val="00E6756D"/>
    <w:rsid w:val="00E6757C"/>
    <w:rsid w:val="00E675DB"/>
    <w:rsid w:val="00E676E0"/>
    <w:rsid w:val="00E67702"/>
    <w:rsid w:val="00E6774F"/>
    <w:rsid w:val="00E6781B"/>
    <w:rsid w:val="00E67823"/>
    <w:rsid w:val="00E67855"/>
    <w:rsid w:val="00E679E5"/>
    <w:rsid w:val="00E67A7F"/>
    <w:rsid w:val="00E67AA9"/>
    <w:rsid w:val="00E67B47"/>
    <w:rsid w:val="00E67CBB"/>
    <w:rsid w:val="00E67D21"/>
    <w:rsid w:val="00E67EC1"/>
    <w:rsid w:val="00E67F02"/>
    <w:rsid w:val="00E67F49"/>
    <w:rsid w:val="00E67FA3"/>
    <w:rsid w:val="00E6A950"/>
    <w:rsid w:val="00E70038"/>
    <w:rsid w:val="00E700D6"/>
    <w:rsid w:val="00E70217"/>
    <w:rsid w:val="00E70280"/>
    <w:rsid w:val="00E70283"/>
    <w:rsid w:val="00E702C0"/>
    <w:rsid w:val="00E70314"/>
    <w:rsid w:val="00E70325"/>
    <w:rsid w:val="00E7035A"/>
    <w:rsid w:val="00E70455"/>
    <w:rsid w:val="00E704E2"/>
    <w:rsid w:val="00E70526"/>
    <w:rsid w:val="00E70533"/>
    <w:rsid w:val="00E705BC"/>
    <w:rsid w:val="00E705C5"/>
    <w:rsid w:val="00E708B7"/>
    <w:rsid w:val="00E708EF"/>
    <w:rsid w:val="00E7090A"/>
    <w:rsid w:val="00E70982"/>
    <w:rsid w:val="00E70A1B"/>
    <w:rsid w:val="00E70A33"/>
    <w:rsid w:val="00E70AC0"/>
    <w:rsid w:val="00E70B52"/>
    <w:rsid w:val="00E70D27"/>
    <w:rsid w:val="00E70D3C"/>
    <w:rsid w:val="00E70DB2"/>
    <w:rsid w:val="00E70ED0"/>
    <w:rsid w:val="00E70F80"/>
    <w:rsid w:val="00E71009"/>
    <w:rsid w:val="00E71011"/>
    <w:rsid w:val="00E71081"/>
    <w:rsid w:val="00E7130D"/>
    <w:rsid w:val="00E7139E"/>
    <w:rsid w:val="00E7149D"/>
    <w:rsid w:val="00E714AA"/>
    <w:rsid w:val="00E71518"/>
    <w:rsid w:val="00E71549"/>
    <w:rsid w:val="00E7176E"/>
    <w:rsid w:val="00E717C7"/>
    <w:rsid w:val="00E7183B"/>
    <w:rsid w:val="00E718BC"/>
    <w:rsid w:val="00E719C4"/>
    <w:rsid w:val="00E719FA"/>
    <w:rsid w:val="00E71B37"/>
    <w:rsid w:val="00E71B55"/>
    <w:rsid w:val="00E71C81"/>
    <w:rsid w:val="00E71C95"/>
    <w:rsid w:val="00E71D67"/>
    <w:rsid w:val="00E71DB3"/>
    <w:rsid w:val="00E71E26"/>
    <w:rsid w:val="00E71F22"/>
    <w:rsid w:val="00E71F2D"/>
    <w:rsid w:val="00E71F4B"/>
    <w:rsid w:val="00E72043"/>
    <w:rsid w:val="00E720BF"/>
    <w:rsid w:val="00E72172"/>
    <w:rsid w:val="00E721C4"/>
    <w:rsid w:val="00E721E0"/>
    <w:rsid w:val="00E721E4"/>
    <w:rsid w:val="00E7222F"/>
    <w:rsid w:val="00E72236"/>
    <w:rsid w:val="00E722D7"/>
    <w:rsid w:val="00E72370"/>
    <w:rsid w:val="00E7255C"/>
    <w:rsid w:val="00E72671"/>
    <w:rsid w:val="00E7273C"/>
    <w:rsid w:val="00E72743"/>
    <w:rsid w:val="00E7287B"/>
    <w:rsid w:val="00E72934"/>
    <w:rsid w:val="00E72A83"/>
    <w:rsid w:val="00E72AA5"/>
    <w:rsid w:val="00E72BE7"/>
    <w:rsid w:val="00E72C5F"/>
    <w:rsid w:val="00E72C7D"/>
    <w:rsid w:val="00E72CC3"/>
    <w:rsid w:val="00E72E0A"/>
    <w:rsid w:val="00E72F34"/>
    <w:rsid w:val="00E72F55"/>
    <w:rsid w:val="00E73014"/>
    <w:rsid w:val="00E7301E"/>
    <w:rsid w:val="00E73193"/>
    <w:rsid w:val="00E731CF"/>
    <w:rsid w:val="00E73223"/>
    <w:rsid w:val="00E7325F"/>
    <w:rsid w:val="00E732C3"/>
    <w:rsid w:val="00E73334"/>
    <w:rsid w:val="00E7335E"/>
    <w:rsid w:val="00E735D1"/>
    <w:rsid w:val="00E735ED"/>
    <w:rsid w:val="00E73609"/>
    <w:rsid w:val="00E73629"/>
    <w:rsid w:val="00E736BD"/>
    <w:rsid w:val="00E73762"/>
    <w:rsid w:val="00E737E4"/>
    <w:rsid w:val="00E737EF"/>
    <w:rsid w:val="00E73871"/>
    <w:rsid w:val="00E738BA"/>
    <w:rsid w:val="00E73A9E"/>
    <w:rsid w:val="00E73AB4"/>
    <w:rsid w:val="00E73B6E"/>
    <w:rsid w:val="00E73C6C"/>
    <w:rsid w:val="00E73D6F"/>
    <w:rsid w:val="00E73E85"/>
    <w:rsid w:val="00E73EF9"/>
    <w:rsid w:val="00E73F0B"/>
    <w:rsid w:val="00E7400D"/>
    <w:rsid w:val="00E74043"/>
    <w:rsid w:val="00E743D4"/>
    <w:rsid w:val="00E74403"/>
    <w:rsid w:val="00E74447"/>
    <w:rsid w:val="00E7444E"/>
    <w:rsid w:val="00E7448A"/>
    <w:rsid w:val="00E744F2"/>
    <w:rsid w:val="00E74523"/>
    <w:rsid w:val="00E7453C"/>
    <w:rsid w:val="00E7454E"/>
    <w:rsid w:val="00E7455B"/>
    <w:rsid w:val="00E745F3"/>
    <w:rsid w:val="00E7474C"/>
    <w:rsid w:val="00E74795"/>
    <w:rsid w:val="00E747F9"/>
    <w:rsid w:val="00E74822"/>
    <w:rsid w:val="00E748AE"/>
    <w:rsid w:val="00E74945"/>
    <w:rsid w:val="00E749CA"/>
    <w:rsid w:val="00E749F8"/>
    <w:rsid w:val="00E74A33"/>
    <w:rsid w:val="00E74AAC"/>
    <w:rsid w:val="00E74B40"/>
    <w:rsid w:val="00E74B7D"/>
    <w:rsid w:val="00E74C5D"/>
    <w:rsid w:val="00E74D4A"/>
    <w:rsid w:val="00E74D51"/>
    <w:rsid w:val="00E74E02"/>
    <w:rsid w:val="00E74ECF"/>
    <w:rsid w:val="00E75017"/>
    <w:rsid w:val="00E750A1"/>
    <w:rsid w:val="00E75131"/>
    <w:rsid w:val="00E75140"/>
    <w:rsid w:val="00E751C1"/>
    <w:rsid w:val="00E752DC"/>
    <w:rsid w:val="00E752DF"/>
    <w:rsid w:val="00E75357"/>
    <w:rsid w:val="00E75418"/>
    <w:rsid w:val="00E7541B"/>
    <w:rsid w:val="00E75468"/>
    <w:rsid w:val="00E7548F"/>
    <w:rsid w:val="00E754E2"/>
    <w:rsid w:val="00E754F2"/>
    <w:rsid w:val="00E7554E"/>
    <w:rsid w:val="00E755AF"/>
    <w:rsid w:val="00E757B6"/>
    <w:rsid w:val="00E757DF"/>
    <w:rsid w:val="00E75816"/>
    <w:rsid w:val="00E758C6"/>
    <w:rsid w:val="00E758E2"/>
    <w:rsid w:val="00E7598E"/>
    <w:rsid w:val="00E75A90"/>
    <w:rsid w:val="00E75AAD"/>
    <w:rsid w:val="00E75AD2"/>
    <w:rsid w:val="00E75B2C"/>
    <w:rsid w:val="00E75B44"/>
    <w:rsid w:val="00E75D44"/>
    <w:rsid w:val="00E75E14"/>
    <w:rsid w:val="00E75F2D"/>
    <w:rsid w:val="00E75F90"/>
    <w:rsid w:val="00E75F99"/>
    <w:rsid w:val="00E76002"/>
    <w:rsid w:val="00E762A0"/>
    <w:rsid w:val="00E7630C"/>
    <w:rsid w:val="00E764C4"/>
    <w:rsid w:val="00E765B7"/>
    <w:rsid w:val="00E765B8"/>
    <w:rsid w:val="00E766F7"/>
    <w:rsid w:val="00E7680D"/>
    <w:rsid w:val="00E76885"/>
    <w:rsid w:val="00E768CC"/>
    <w:rsid w:val="00E769FF"/>
    <w:rsid w:val="00E76A1A"/>
    <w:rsid w:val="00E76BD7"/>
    <w:rsid w:val="00E76C6C"/>
    <w:rsid w:val="00E76D1A"/>
    <w:rsid w:val="00E76D4A"/>
    <w:rsid w:val="00E76D56"/>
    <w:rsid w:val="00E76E47"/>
    <w:rsid w:val="00E76E4C"/>
    <w:rsid w:val="00E76EDA"/>
    <w:rsid w:val="00E76EF1"/>
    <w:rsid w:val="00E76F5F"/>
    <w:rsid w:val="00E76F7B"/>
    <w:rsid w:val="00E76FF2"/>
    <w:rsid w:val="00E77040"/>
    <w:rsid w:val="00E7705E"/>
    <w:rsid w:val="00E77136"/>
    <w:rsid w:val="00E771DF"/>
    <w:rsid w:val="00E771F4"/>
    <w:rsid w:val="00E77218"/>
    <w:rsid w:val="00E7736B"/>
    <w:rsid w:val="00E773A5"/>
    <w:rsid w:val="00E77499"/>
    <w:rsid w:val="00E774B1"/>
    <w:rsid w:val="00E7757E"/>
    <w:rsid w:val="00E7768C"/>
    <w:rsid w:val="00E77727"/>
    <w:rsid w:val="00E77741"/>
    <w:rsid w:val="00E77769"/>
    <w:rsid w:val="00E777B7"/>
    <w:rsid w:val="00E778C9"/>
    <w:rsid w:val="00E77900"/>
    <w:rsid w:val="00E77905"/>
    <w:rsid w:val="00E779BF"/>
    <w:rsid w:val="00E779C0"/>
    <w:rsid w:val="00E77A92"/>
    <w:rsid w:val="00E77BBA"/>
    <w:rsid w:val="00E77C71"/>
    <w:rsid w:val="00E77CAA"/>
    <w:rsid w:val="00E77D67"/>
    <w:rsid w:val="00E77E0B"/>
    <w:rsid w:val="00E77F98"/>
    <w:rsid w:val="00E77FA9"/>
    <w:rsid w:val="00E77FFE"/>
    <w:rsid w:val="00E8006D"/>
    <w:rsid w:val="00E8008F"/>
    <w:rsid w:val="00E80172"/>
    <w:rsid w:val="00E8021B"/>
    <w:rsid w:val="00E80229"/>
    <w:rsid w:val="00E80293"/>
    <w:rsid w:val="00E803AC"/>
    <w:rsid w:val="00E80418"/>
    <w:rsid w:val="00E805CA"/>
    <w:rsid w:val="00E8073B"/>
    <w:rsid w:val="00E807AF"/>
    <w:rsid w:val="00E809B8"/>
    <w:rsid w:val="00E809CF"/>
    <w:rsid w:val="00E80A45"/>
    <w:rsid w:val="00E80BA3"/>
    <w:rsid w:val="00E80BB6"/>
    <w:rsid w:val="00E80C09"/>
    <w:rsid w:val="00E80D4B"/>
    <w:rsid w:val="00E80E0D"/>
    <w:rsid w:val="00E80E2F"/>
    <w:rsid w:val="00E80E59"/>
    <w:rsid w:val="00E80E9E"/>
    <w:rsid w:val="00E80EB9"/>
    <w:rsid w:val="00E80FC1"/>
    <w:rsid w:val="00E810F2"/>
    <w:rsid w:val="00E81134"/>
    <w:rsid w:val="00E8113A"/>
    <w:rsid w:val="00E81278"/>
    <w:rsid w:val="00E812FE"/>
    <w:rsid w:val="00E8148E"/>
    <w:rsid w:val="00E81597"/>
    <w:rsid w:val="00E816DA"/>
    <w:rsid w:val="00E81783"/>
    <w:rsid w:val="00E817AA"/>
    <w:rsid w:val="00E819AF"/>
    <w:rsid w:val="00E81AAA"/>
    <w:rsid w:val="00E81B84"/>
    <w:rsid w:val="00E81BA7"/>
    <w:rsid w:val="00E81BED"/>
    <w:rsid w:val="00E81C01"/>
    <w:rsid w:val="00E81C06"/>
    <w:rsid w:val="00E81CA0"/>
    <w:rsid w:val="00E81D3B"/>
    <w:rsid w:val="00E81D7A"/>
    <w:rsid w:val="00E81DAB"/>
    <w:rsid w:val="00E81F48"/>
    <w:rsid w:val="00E81FC8"/>
    <w:rsid w:val="00E81FFA"/>
    <w:rsid w:val="00E82055"/>
    <w:rsid w:val="00E824BA"/>
    <w:rsid w:val="00E82729"/>
    <w:rsid w:val="00E8277A"/>
    <w:rsid w:val="00E828F4"/>
    <w:rsid w:val="00E8292A"/>
    <w:rsid w:val="00E82963"/>
    <w:rsid w:val="00E82964"/>
    <w:rsid w:val="00E829F8"/>
    <w:rsid w:val="00E82A8E"/>
    <w:rsid w:val="00E82C5B"/>
    <w:rsid w:val="00E82D1A"/>
    <w:rsid w:val="00E82D43"/>
    <w:rsid w:val="00E82D4F"/>
    <w:rsid w:val="00E82DED"/>
    <w:rsid w:val="00E82EBD"/>
    <w:rsid w:val="00E82F82"/>
    <w:rsid w:val="00E82FB3"/>
    <w:rsid w:val="00E8306C"/>
    <w:rsid w:val="00E8306F"/>
    <w:rsid w:val="00E830FA"/>
    <w:rsid w:val="00E83153"/>
    <w:rsid w:val="00E83329"/>
    <w:rsid w:val="00E833F9"/>
    <w:rsid w:val="00E834A7"/>
    <w:rsid w:val="00E8352F"/>
    <w:rsid w:val="00E83557"/>
    <w:rsid w:val="00E8371F"/>
    <w:rsid w:val="00E838C3"/>
    <w:rsid w:val="00E83ACF"/>
    <w:rsid w:val="00E83AF3"/>
    <w:rsid w:val="00E83C11"/>
    <w:rsid w:val="00E83CF6"/>
    <w:rsid w:val="00E83EC3"/>
    <w:rsid w:val="00E83EE6"/>
    <w:rsid w:val="00E83FD0"/>
    <w:rsid w:val="00E84053"/>
    <w:rsid w:val="00E840BC"/>
    <w:rsid w:val="00E840BD"/>
    <w:rsid w:val="00E840E5"/>
    <w:rsid w:val="00E84113"/>
    <w:rsid w:val="00E8417A"/>
    <w:rsid w:val="00E841AF"/>
    <w:rsid w:val="00E842BD"/>
    <w:rsid w:val="00E842D3"/>
    <w:rsid w:val="00E8443B"/>
    <w:rsid w:val="00E84493"/>
    <w:rsid w:val="00E84526"/>
    <w:rsid w:val="00E845C9"/>
    <w:rsid w:val="00E84634"/>
    <w:rsid w:val="00E8481A"/>
    <w:rsid w:val="00E848CA"/>
    <w:rsid w:val="00E84949"/>
    <w:rsid w:val="00E84973"/>
    <w:rsid w:val="00E84AA4"/>
    <w:rsid w:val="00E84AE4"/>
    <w:rsid w:val="00E84BC1"/>
    <w:rsid w:val="00E84C8A"/>
    <w:rsid w:val="00E84CBB"/>
    <w:rsid w:val="00E84D44"/>
    <w:rsid w:val="00E84D9F"/>
    <w:rsid w:val="00E84DDF"/>
    <w:rsid w:val="00E84E7F"/>
    <w:rsid w:val="00E85079"/>
    <w:rsid w:val="00E852AB"/>
    <w:rsid w:val="00E85312"/>
    <w:rsid w:val="00E853FF"/>
    <w:rsid w:val="00E85459"/>
    <w:rsid w:val="00E85469"/>
    <w:rsid w:val="00E8555F"/>
    <w:rsid w:val="00E85567"/>
    <w:rsid w:val="00E85585"/>
    <w:rsid w:val="00E85676"/>
    <w:rsid w:val="00E856C4"/>
    <w:rsid w:val="00E856D8"/>
    <w:rsid w:val="00E857BD"/>
    <w:rsid w:val="00E85925"/>
    <w:rsid w:val="00E85A6B"/>
    <w:rsid w:val="00E85A86"/>
    <w:rsid w:val="00E85B67"/>
    <w:rsid w:val="00E85CB0"/>
    <w:rsid w:val="00E85D48"/>
    <w:rsid w:val="00E86127"/>
    <w:rsid w:val="00E862C0"/>
    <w:rsid w:val="00E862D2"/>
    <w:rsid w:val="00E864B8"/>
    <w:rsid w:val="00E864E5"/>
    <w:rsid w:val="00E86571"/>
    <w:rsid w:val="00E8667F"/>
    <w:rsid w:val="00E866BB"/>
    <w:rsid w:val="00E86750"/>
    <w:rsid w:val="00E86891"/>
    <w:rsid w:val="00E86894"/>
    <w:rsid w:val="00E868E5"/>
    <w:rsid w:val="00E869F6"/>
    <w:rsid w:val="00E86A1C"/>
    <w:rsid w:val="00E86A5C"/>
    <w:rsid w:val="00E86B09"/>
    <w:rsid w:val="00E86B75"/>
    <w:rsid w:val="00E86CFE"/>
    <w:rsid w:val="00E86D0E"/>
    <w:rsid w:val="00E86D67"/>
    <w:rsid w:val="00E86F6B"/>
    <w:rsid w:val="00E870EC"/>
    <w:rsid w:val="00E8712A"/>
    <w:rsid w:val="00E8713E"/>
    <w:rsid w:val="00E8715D"/>
    <w:rsid w:val="00E87193"/>
    <w:rsid w:val="00E87252"/>
    <w:rsid w:val="00E87343"/>
    <w:rsid w:val="00E87358"/>
    <w:rsid w:val="00E8735F"/>
    <w:rsid w:val="00E87421"/>
    <w:rsid w:val="00E874C0"/>
    <w:rsid w:val="00E876CE"/>
    <w:rsid w:val="00E87794"/>
    <w:rsid w:val="00E87832"/>
    <w:rsid w:val="00E878D2"/>
    <w:rsid w:val="00E87B09"/>
    <w:rsid w:val="00E87B90"/>
    <w:rsid w:val="00E87BFD"/>
    <w:rsid w:val="00E87C4F"/>
    <w:rsid w:val="00E87D1F"/>
    <w:rsid w:val="00E87D7A"/>
    <w:rsid w:val="00E87DC5"/>
    <w:rsid w:val="00E87E99"/>
    <w:rsid w:val="00E87F14"/>
    <w:rsid w:val="00E87FAD"/>
    <w:rsid w:val="00E9005F"/>
    <w:rsid w:val="00E90066"/>
    <w:rsid w:val="00E9025C"/>
    <w:rsid w:val="00E902BC"/>
    <w:rsid w:val="00E903E6"/>
    <w:rsid w:val="00E90459"/>
    <w:rsid w:val="00E90561"/>
    <w:rsid w:val="00E905E2"/>
    <w:rsid w:val="00E9065B"/>
    <w:rsid w:val="00E9068D"/>
    <w:rsid w:val="00E9076D"/>
    <w:rsid w:val="00E90787"/>
    <w:rsid w:val="00E90809"/>
    <w:rsid w:val="00E90836"/>
    <w:rsid w:val="00E908B3"/>
    <w:rsid w:val="00E908D2"/>
    <w:rsid w:val="00E90946"/>
    <w:rsid w:val="00E90A5E"/>
    <w:rsid w:val="00E90AA5"/>
    <w:rsid w:val="00E90ADC"/>
    <w:rsid w:val="00E90B2E"/>
    <w:rsid w:val="00E90B8E"/>
    <w:rsid w:val="00E90BA9"/>
    <w:rsid w:val="00E90C6D"/>
    <w:rsid w:val="00E90DB3"/>
    <w:rsid w:val="00E90DEC"/>
    <w:rsid w:val="00E90EF5"/>
    <w:rsid w:val="00E9105E"/>
    <w:rsid w:val="00E91151"/>
    <w:rsid w:val="00E911B5"/>
    <w:rsid w:val="00E91233"/>
    <w:rsid w:val="00E91254"/>
    <w:rsid w:val="00E913B2"/>
    <w:rsid w:val="00E9141F"/>
    <w:rsid w:val="00E9142A"/>
    <w:rsid w:val="00E91471"/>
    <w:rsid w:val="00E914D8"/>
    <w:rsid w:val="00E914F2"/>
    <w:rsid w:val="00E91588"/>
    <w:rsid w:val="00E9171C"/>
    <w:rsid w:val="00E9195D"/>
    <w:rsid w:val="00E919DC"/>
    <w:rsid w:val="00E91A84"/>
    <w:rsid w:val="00E91AA1"/>
    <w:rsid w:val="00E91AD1"/>
    <w:rsid w:val="00E91BC2"/>
    <w:rsid w:val="00E91D0C"/>
    <w:rsid w:val="00E91EF2"/>
    <w:rsid w:val="00E91F08"/>
    <w:rsid w:val="00E91F41"/>
    <w:rsid w:val="00E91F97"/>
    <w:rsid w:val="00E91FD7"/>
    <w:rsid w:val="00E92038"/>
    <w:rsid w:val="00E92078"/>
    <w:rsid w:val="00E920BE"/>
    <w:rsid w:val="00E9215A"/>
    <w:rsid w:val="00E921D6"/>
    <w:rsid w:val="00E92210"/>
    <w:rsid w:val="00E92236"/>
    <w:rsid w:val="00E92377"/>
    <w:rsid w:val="00E92391"/>
    <w:rsid w:val="00E92541"/>
    <w:rsid w:val="00E92737"/>
    <w:rsid w:val="00E927D0"/>
    <w:rsid w:val="00E92864"/>
    <w:rsid w:val="00E928C5"/>
    <w:rsid w:val="00E929C2"/>
    <w:rsid w:val="00E92A24"/>
    <w:rsid w:val="00E92AD6"/>
    <w:rsid w:val="00E92AE8"/>
    <w:rsid w:val="00E92B49"/>
    <w:rsid w:val="00E92B4B"/>
    <w:rsid w:val="00E92BBA"/>
    <w:rsid w:val="00E92BC5"/>
    <w:rsid w:val="00E92C3C"/>
    <w:rsid w:val="00E92C90"/>
    <w:rsid w:val="00E92D2D"/>
    <w:rsid w:val="00E92E2C"/>
    <w:rsid w:val="00E92F01"/>
    <w:rsid w:val="00E93046"/>
    <w:rsid w:val="00E9308D"/>
    <w:rsid w:val="00E93094"/>
    <w:rsid w:val="00E930EA"/>
    <w:rsid w:val="00E9324C"/>
    <w:rsid w:val="00E93278"/>
    <w:rsid w:val="00E932B5"/>
    <w:rsid w:val="00E932CB"/>
    <w:rsid w:val="00E932D4"/>
    <w:rsid w:val="00E93330"/>
    <w:rsid w:val="00E9335B"/>
    <w:rsid w:val="00E9337F"/>
    <w:rsid w:val="00E933C7"/>
    <w:rsid w:val="00E933F2"/>
    <w:rsid w:val="00E93405"/>
    <w:rsid w:val="00E93523"/>
    <w:rsid w:val="00E93544"/>
    <w:rsid w:val="00E9354A"/>
    <w:rsid w:val="00E9361F"/>
    <w:rsid w:val="00E937DC"/>
    <w:rsid w:val="00E93848"/>
    <w:rsid w:val="00E9390C"/>
    <w:rsid w:val="00E93AC3"/>
    <w:rsid w:val="00E93AF0"/>
    <w:rsid w:val="00E93B6B"/>
    <w:rsid w:val="00E93C31"/>
    <w:rsid w:val="00E93CA8"/>
    <w:rsid w:val="00E93D5A"/>
    <w:rsid w:val="00E93D7F"/>
    <w:rsid w:val="00E93EB2"/>
    <w:rsid w:val="00E93EDB"/>
    <w:rsid w:val="00E940B4"/>
    <w:rsid w:val="00E9419B"/>
    <w:rsid w:val="00E941EA"/>
    <w:rsid w:val="00E9424E"/>
    <w:rsid w:val="00E9426A"/>
    <w:rsid w:val="00E94391"/>
    <w:rsid w:val="00E943EB"/>
    <w:rsid w:val="00E94577"/>
    <w:rsid w:val="00E94713"/>
    <w:rsid w:val="00E947FD"/>
    <w:rsid w:val="00E94829"/>
    <w:rsid w:val="00E9483E"/>
    <w:rsid w:val="00E94885"/>
    <w:rsid w:val="00E94954"/>
    <w:rsid w:val="00E94981"/>
    <w:rsid w:val="00E949DF"/>
    <w:rsid w:val="00E94A19"/>
    <w:rsid w:val="00E94A8A"/>
    <w:rsid w:val="00E94B94"/>
    <w:rsid w:val="00E94C75"/>
    <w:rsid w:val="00E94C9F"/>
    <w:rsid w:val="00E94D8D"/>
    <w:rsid w:val="00E94EE7"/>
    <w:rsid w:val="00E94EEB"/>
    <w:rsid w:val="00E9521D"/>
    <w:rsid w:val="00E95339"/>
    <w:rsid w:val="00E95448"/>
    <w:rsid w:val="00E95632"/>
    <w:rsid w:val="00E95682"/>
    <w:rsid w:val="00E956BD"/>
    <w:rsid w:val="00E9570B"/>
    <w:rsid w:val="00E95732"/>
    <w:rsid w:val="00E95A67"/>
    <w:rsid w:val="00E95B51"/>
    <w:rsid w:val="00E95C08"/>
    <w:rsid w:val="00E95C3C"/>
    <w:rsid w:val="00E95C66"/>
    <w:rsid w:val="00E95C96"/>
    <w:rsid w:val="00E95CC4"/>
    <w:rsid w:val="00E95CC6"/>
    <w:rsid w:val="00E95CFB"/>
    <w:rsid w:val="00E95DA2"/>
    <w:rsid w:val="00E95ED2"/>
    <w:rsid w:val="00E95F28"/>
    <w:rsid w:val="00E95F3E"/>
    <w:rsid w:val="00E95F40"/>
    <w:rsid w:val="00E95F4D"/>
    <w:rsid w:val="00E95FE4"/>
    <w:rsid w:val="00E96022"/>
    <w:rsid w:val="00E9605A"/>
    <w:rsid w:val="00E961AB"/>
    <w:rsid w:val="00E964B3"/>
    <w:rsid w:val="00E96547"/>
    <w:rsid w:val="00E966FE"/>
    <w:rsid w:val="00E9679F"/>
    <w:rsid w:val="00E967FB"/>
    <w:rsid w:val="00E96882"/>
    <w:rsid w:val="00E96895"/>
    <w:rsid w:val="00E968B6"/>
    <w:rsid w:val="00E968EE"/>
    <w:rsid w:val="00E96911"/>
    <w:rsid w:val="00E9694C"/>
    <w:rsid w:val="00E969CD"/>
    <w:rsid w:val="00E969D4"/>
    <w:rsid w:val="00E96AC9"/>
    <w:rsid w:val="00E96BD1"/>
    <w:rsid w:val="00E96BDD"/>
    <w:rsid w:val="00E96CC2"/>
    <w:rsid w:val="00E96D70"/>
    <w:rsid w:val="00E96E04"/>
    <w:rsid w:val="00E96EB3"/>
    <w:rsid w:val="00E9716D"/>
    <w:rsid w:val="00E97254"/>
    <w:rsid w:val="00E972A6"/>
    <w:rsid w:val="00E97415"/>
    <w:rsid w:val="00E975A3"/>
    <w:rsid w:val="00E976CD"/>
    <w:rsid w:val="00E976E7"/>
    <w:rsid w:val="00E9782B"/>
    <w:rsid w:val="00E978D5"/>
    <w:rsid w:val="00E97902"/>
    <w:rsid w:val="00E97980"/>
    <w:rsid w:val="00E979C5"/>
    <w:rsid w:val="00E97AB0"/>
    <w:rsid w:val="00E97E42"/>
    <w:rsid w:val="00E97E98"/>
    <w:rsid w:val="00E97F06"/>
    <w:rsid w:val="00E97F5D"/>
    <w:rsid w:val="00EA018D"/>
    <w:rsid w:val="00EA01EB"/>
    <w:rsid w:val="00EA0293"/>
    <w:rsid w:val="00EA02C0"/>
    <w:rsid w:val="00EA0304"/>
    <w:rsid w:val="00EA034D"/>
    <w:rsid w:val="00EA03B2"/>
    <w:rsid w:val="00EA03B8"/>
    <w:rsid w:val="00EA04C5"/>
    <w:rsid w:val="00EA05B8"/>
    <w:rsid w:val="00EA05D0"/>
    <w:rsid w:val="00EA07BE"/>
    <w:rsid w:val="00EA0869"/>
    <w:rsid w:val="00EA08C9"/>
    <w:rsid w:val="00EA0A4F"/>
    <w:rsid w:val="00EA0A90"/>
    <w:rsid w:val="00EA0B9A"/>
    <w:rsid w:val="00EA0C7C"/>
    <w:rsid w:val="00EA0CCC"/>
    <w:rsid w:val="00EA0CFA"/>
    <w:rsid w:val="00EA0E08"/>
    <w:rsid w:val="00EA0F39"/>
    <w:rsid w:val="00EA0F58"/>
    <w:rsid w:val="00EA0FDD"/>
    <w:rsid w:val="00EA10E6"/>
    <w:rsid w:val="00EA1139"/>
    <w:rsid w:val="00EA11E4"/>
    <w:rsid w:val="00EA1221"/>
    <w:rsid w:val="00EA1358"/>
    <w:rsid w:val="00EA1517"/>
    <w:rsid w:val="00EA15EE"/>
    <w:rsid w:val="00EA167E"/>
    <w:rsid w:val="00EA1AD5"/>
    <w:rsid w:val="00EA1C59"/>
    <w:rsid w:val="00EA1C86"/>
    <w:rsid w:val="00EA1C88"/>
    <w:rsid w:val="00EA1CE6"/>
    <w:rsid w:val="00EA1D71"/>
    <w:rsid w:val="00EA1DD6"/>
    <w:rsid w:val="00EA1E4E"/>
    <w:rsid w:val="00EA1E5A"/>
    <w:rsid w:val="00EA1EEC"/>
    <w:rsid w:val="00EA1F21"/>
    <w:rsid w:val="00EA1F35"/>
    <w:rsid w:val="00EA1F96"/>
    <w:rsid w:val="00EA20C4"/>
    <w:rsid w:val="00EA2136"/>
    <w:rsid w:val="00EA2191"/>
    <w:rsid w:val="00EA21E0"/>
    <w:rsid w:val="00EA22DA"/>
    <w:rsid w:val="00EA2446"/>
    <w:rsid w:val="00EA24E9"/>
    <w:rsid w:val="00EA268A"/>
    <w:rsid w:val="00EA26A9"/>
    <w:rsid w:val="00EA2754"/>
    <w:rsid w:val="00EA282A"/>
    <w:rsid w:val="00EA2878"/>
    <w:rsid w:val="00EA28E8"/>
    <w:rsid w:val="00EA29B8"/>
    <w:rsid w:val="00EA2A76"/>
    <w:rsid w:val="00EA2B4F"/>
    <w:rsid w:val="00EA2BB6"/>
    <w:rsid w:val="00EA2D05"/>
    <w:rsid w:val="00EA2D06"/>
    <w:rsid w:val="00EA2DC8"/>
    <w:rsid w:val="00EA2F1F"/>
    <w:rsid w:val="00EA2F46"/>
    <w:rsid w:val="00EA2F4B"/>
    <w:rsid w:val="00EA2F8D"/>
    <w:rsid w:val="00EA3025"/>
    <w:rsid w:val="00EA3076"/>
    <w:rsid w:val="00EA3135"/>
    <w:rsid w:val="00EA31BE"/>
    <w:rsid w:val="00EA32A3"/>
    <w:rsid w:val="00EA32C0"/>
    <w:rsid w:val="00EA32C4"/>
    <w:rsid w:val="00EA32CB"/>
    <w:rsid w:val="00EA3449"/>
    <w:rsid w:val="00EA3475"/>
    <w:rsid w:val="00EA34D0"/>
    <w:rsid w:val="00EA35F1"/>
    <w:rsid w:val="00EA384E"/>
    <w:rsid w:val="00EA38AD"/>
    <w:rsid w:val="00EA38E3"/>
    <w:rsid w:val="00EA39F7"/>
    <w:rsid w:val="00EA3B4E"/>
    <w:rsid w:val="00EA3BD5"/>
    <w:rsid w:val="00EA3C64"/>
    <w:rsid w:val="00EA3CB2"/>
    <w:rsid w:val="00EA3DAB"/>
    <w:rsid w:val="00EA409D"/>
    <w:rsid w:val="00EA40C2"/>
    <w:rsid w:val="00EA40F0"/>
    <w:rsid w:val="00EA4161"/>
    <w:rsid w:val="00EA4188"/>
    <w:rsid w:val="00EA418C"/>
    <w:rsid w:val="00EA436E"/>
    <w:rsid w:val="00EA449C"/>
    <w:rsid w:val="00EA44E4"/>
    <w:rsid w:val="00EA45D2"/>
    <w:rsid w:val="00EA495E"/>
    <w:rsid w:val="00EA49A4"/>
    <w:rsid w:val="00EA4A69"/>
    <w:rsid w:val="00EA4B1F"/>
    <w:rsid w:val="00EA4BA7"/>
    <w:rsid w:val="00EA4BFD"/>
    <w:rsid w:val="00EA4FBC"/>
    <w:rsid w:val="00EA4FEB"/>
    <w:rsid w:val="00EA50E1"/>
    <w:rsid w:val="00EA514D"/>
    <w:rsid w:val="00EA53CB"/>
    <w:rsid w:val="00EA544E"/>
    <w:rsid w:val="00EA54D6"/>
    <w:rsid w:val="00EA55C7"/>
    <w:rsid w:val="00EA5617"/>
    <w:rsid w:val="00EA5640"/>
    <w:rsid w:val="00EA5682"/>
    <w:rsid w:val="00EA56EB"/>
    <w:rsid w:val="00EA5755"/>
    <w:rsid w:val="00EA5850"/>
    <w:rsid w:val="00EA5960"/>
    <w:rsid w:val="00EA5B47"/>
    <w:rsid w:val="00EA5B62"/>
    <w:rsid w:val="00EA5C23"/>
    <w:rsid w:val="00EA5C8D"/>
    <w:rsid w:val="00EA5D0B"/>
    <w:rsid w:val="00EA5E7B"/>
    <w:rsid w:val="00EA5EF7"/>
    <w:rsid w:val="00EA6055"/>
    <w:rsid w:val="00EA6064"/>
    <w:rsid w:val="00EA6186"/>
    <w:rsid w:val="00EA61E7"/>
    <w:rsid w:val="00EA62F1"/>
    <w:rsid w:val="00EA6450"/>
    <w:rsid w:val="00EA64F3"/>
    <w:rsid w:val="00EA6552"/>
    <w:rsid w:val="00EA68EB"/>
    <w:rsid w:val="00EA6981"/>
    <w:rsid w:val="00EA69D0"/>
    <w:rsid w:val="00EA6C0E"/>
    <w:rsid w:val="00EA6CBD"/>
    <w:rsid w:val="00EA6CE4"/>
    <w:rsid w:val="00EA6DA6"/>
    <w:rsid w:val="00EA6EBC"/>
    <w:rsid w:val="00EA6EC1"/>
    <w:rsid w:val="00EA6F48"/>
    <w:rsid w:val="00EA6F63"/>
    <w:rsid w:val="00EA700D"/>
    <w:rsid w:val="00EA702E"/>
    <w:rsid w:val="00EA7072"/>
    <w:rsid w:val="00EA70B5"/>
    <w:rsid w:val="00EA7134"/>
    <w:rsid w:val="00EA71BC"/>
    <w:rsid w:val="00EA7344"/>
    <w:rsid w:val="00EA7426"/>
    <w:rsid w:val="00EA7454"/>
    <w:rsid w:val="00EA7484"/>
    <w:rsid w:val="00EA7638"/>
    <w:rsid w:val="00EA769B"/>
    <w:rsid w:val="00EA778E"/>
    <w:rsid w:val="00EA780A"/>
    <w:rsid w:val="00EA788F"/>
    <w:rsid w:val="00EA789A"/>
    <w:rsid w:val="00EA78B4"/>
    <w:rsid w:val="00EA7947"/>
    <w:rsid w:val="00EA795F"/>
    <w:rsid w:val="00EA7977"/>
    <w:rsid w:val="00EA79A6"/>
    <w:rsid w:val="00EA79C7"/>
    <w:rsid w:val="00EA7A2F"/>
    <w:rsid w:val="00EA7A3C"/>
    <w:rsid w:val="00EA7BF0"/>
    <w:rsid w:val="00EA7C0B"/>
    <w:rsid w:val="00EA7C7F"/>
    <w:rsid w:val="00EA7DF4"/>
    <w:rsid w:val="00EA7E66"/>
    <w:rsid w:val="00EA7E8F"/>
    <w:rsid w:val="00EA7EA6"/>
    <w:rsid w:val="00EA7EBD"/>
    <w:rsid w:val="00EA7EC9"/>
    <w:rsid w:val="00EB0062"/>
    <w:rsid w:val="00EB00CD"/>
    <w:rsid w:val="00EB00F5"/>
    <w:rsid w:val="00EB00F7"/>
    <w:rsid w:val="00EB0133"/>
    <w:rsid w:val="00EB020B"/>
    <w:rsid w:val="00EB036A"/>
    <w:rsid w:val="00EB03AA"/>
    <w:rsid w:val="00EB0475"/>
    <w:rsid w:val="00EB056D"/>
    <w:rsid w:val="00EB0652"/>
    <w:rsid w:val="00EB0691"/>
    <w:rsid w:val="00EB078B"/>
    <w:rsid w:val="00EB08F7"/>
    <w:rsid w:val="00EB0902"/>
    <w:rsid w:val="00EB0A9E"/>
    <w:rsid w:val="00EB0AA4"/>
    <w:rsid w:val="00EB0AE6"/>
    <w:rsid w:val="00EB0CC1"/>
    <w:rsid w:val="00EB0D85"/>
    <w:rsid w:val="00EB0DB5"/>
    <w:rsid w:val="00EB0DC2"/>
    <w:rsid w:val="00EB0F25"/>
    <w:rsid w:val="00EB0F3E"/>
    <w:rsid w:val="00EB0F6B"/>
    <w:rsid w:val="00EB1092"/>
    <w:rsid w:val="00EB10EF"/>
    <w:rsid w:val="00EB10FD"/>
    <w:rsid w:val="00EB1106"/>
    <w:rsid w:val="00EB1178"/>
    <w:rsid w:val="00EB120F"/>
    <w:rsid w:val="00EB123F"/>
    <w:rsid w:val="00EB12BF"/>
    <w:rsid w:val="00EB134A"/>
    <w:rsid w:val="00EB136F"/>
    <w:rsid w:val="00EB13B3"/>
    <w:rsid w:val="00EB13B5"/>
    <w:rsid w:val="00EB1448"/>
    <w:rsid w:val="00EB14C5"/>
    <w:rsid w:val="00EB152B"/>
    <w:rsid w:val="00EB164A"/>
    <w:rsid w:val="00EB16BE"/>
    <w:rsid w:val="00EB1753"/>
    <w:rsid w:val="00EB17CA"/>
    <w:rsid w:val="00EB17E7"/>
    <w:rsid w:val="00EB17EA"/>
    <w:rsid w:val="00EB17FD"/>
    <w:rsid w:val="00EB185A"/>
    <w:rsid w:val="00EB1882"/>
    <w:rsid w:val="00EB18E3"/>
    <w:rsid w:val="00EB1936"/>
    <w:rsid w:val="00EB19A7"/>
    <w:rsid w:val="00EB1B42"/>
    <w:rsid w:val="00EB1D1C"/>
    <w:rsid w:val="00EB1DC6"/>
    <w:rsid w:val="00EB1F0F"/>
    <w:rsid w:val="00EB210E"/>
    <w:rsid w:val="00EB2132"/>
    <w:rsid w:val="00EB21F5"/>
    <w:rsid w:val="00EB223F"/>
    <w:rsid w:val="00EB2333"/>
    <w:rsid w:val="00EB24E6"/>
    <w:rsid w:val="00EB2518"/>
    <w:rsid w:val="00EB2534"/>
    <w:rsid w:val="00EB258A"/>
    <w:rsid w:val="00EB2616"/>
    <w:rsid w:val="00EB265A"/>
    <w:rsid w:val="00EB26A0"/>
    <w:rsid w:val="00EB278C"/>
    <w:rsid w:val="00EB282F"/>
    <w:rsid w:val="00EB2889"/>
    <w:rsid w:val="00EB2907"/>
    <w:rsid w:val="00EB29B2"/>
    <w:rsid w:val="00EB29BF"/>
    <w:rsid w:val="00EB2D6A"/>
    <w:rsid w:val="00EB2E65"/>
    <w:rsid w:val="00EB2E8A"/>
    <w:rsid w:val="00EB3090"/>
    <w:rsid w:val="00EB3166"/>
    <w:rsid w:val="00EB31C0"/>
    <w:rsid w:val="00EB3357"/>
    <w:rsid w:val="00EB3388"/>
    <w:rsid w:val="00EB34E5"/>
    <w:rsid w:val="00EB363B"/>
    <w:rsid w:val="00EB3815"/>
    <w:rsid w:val="00EB3851"/>
    <w:rsid w:val="00EB3983"/>
    <w:rsid w:val="00EB39C1"/>
    <w:rsid w:val="00EB3B5A"/>
    <w:rsid w:val="00EB3B60"/>
    <w:rsid w:val="00EB3B82"/>
    <w:rsid w:val="00EB3BA5"/>
    <w:rsid w:val="00EB3BFD"/>
    <w:rsid w:val="00EB3C78"/>
    <w:rsid w:val="00EB3ED0"/>
    <w:rsid w:val="00EB3F87"/>
    <w:rsid w:val="00EB3FC8"/>
    <w:rsid w:val="00EB400C"/>
    <w:rsid w:val="00EB40AF"/>
    <w:rsid w:val="00EB40CB"/>
    <w:rsid w:val="00EB4134"/>
    <w:rsid w:val="00EB41AF"/>
    <w:rsid w:val="00EB422B"/>
    <w:rsid w:val="00EB42C4"/>
    <w:rsid w:val="00EB4332"/>
    <w:rsid w:val="00EB4379"/>
    <w:rsid w:val="00EB43DA"/>
    <w:rsid w:val="00EB4582"/>
    <w:rsid w:val="00EB46B3"/>
    <w:rsid w:val="00EB47B4"/>
    <w:rsid w:val="00EB484C"/>
    <w:rsid w:val="00EB485E"/>
    <w:rsid w:val="00EB48DC"/>
    <w:rsid w:val="00EB4906"/>
    <w:rsid w:val="00EB492A"/>
    <w:rsid w:val="00EB4A51"/>
    <w:rsid w:val="00EB4B98"/>
    <w:rsid w:val="00EB4BF8"/>
    <w:rsid w:val="00EB4D4F"/>
    <w:rsid w:val="00EB4F4E"/>
    <w:rsid w:val="00EB4F62"/>
    <w:rsid w:val="00EB4FD3"/>
    <w:rsid w:val="00EB4FD6"/>
    <w:rsid w:val="00EB5082"/>
    <w:rsid w:val="00EB5178"/>
    <w:rsid w:val="00EB5270"/>
    <w:rsid w:val="00EB52B0"/>
    <w:rsid w:val="00EB53E7"/>
    <w:rsid w:val="00EB5452"/>
    <w:rsid w:val="00EB54FA"/>
    <w:rsid w:val="00EB5535"/>
    <w:rsid w:val="00EB5551"/>
    <w:rsid w:val="00EB5682"/>
    <w:rsid w:val="00EB56BD"/>
    <w:rsid w:val="00EB576F"/>
    <w:rsid w:val="00EB57EB"/>
    <w:rsid w:val="00EB58A7"/>
    <w:rsid w:val="00EB58FD"/>
    <w:rsid w:val="00EB59CC"/>
    <w:rsid w:val="00EB5C02"/>
    <w:rsid w:val="00EB5C6D"/>
    <w:rsid w:val="00EB5CF5"/>
    <w:rsid w:val="00EB5D73"/>
    <w:rsid w:val="00EB5EC8"/>
    <w:rsid w:val="00EB5EDB"/>
    <w:rsid w:val="00EB5EFB"/>
    <w:rsid w:val="00EB5FF0"/>
    <w:rsid w:val="00EB6097"/>
    <w:rsid w:val="00EB612E"/>
    <w:rsid w:val="00EB6267"/>
    <w:rsid w:val="00EB6279"/>
    <w:rsid w:val="00EB62C4"/>
    <w:rsid w:val="00EB643F"/>
    <w:rsid w:val="00EB6449"/>
    <w:rsid w:val="00EB6484"/>
    <w:rsid w:val="00EB6573"/>
    <w:rsid w:val="00EB66FA"/>
    <w:rsid w:val="00EB67EE"/>
    <w:rsid w:val="00EB68AF"/>
    <w:rsid w:val="00EB68C4"/>
    <w:rsid w:val="00EB68EE"/>
    <w:rsid w:val="00EB6922"/>
    <w:rsid w:val="00EB6A06"/>
    <w:rsid w:val="00EB6B72"/>
    <w:rsid w:val="00EB6B9D"/>
    <w:rsid w:val="00EB6CCF"/>
    <w:rsid w:val="00EB6D2A"/>
    <w:rsid w:val="00EB6D2E"/>
    <w:rsid w:val="00EB6DA5"/>
    <w:rsid w:val="00EB6DFE"/>
    <w:rsid w:val="00EB7036"/>
    <w:rsid w:val="00EB7175"/>
    <w:rsid w:val="00EB71A3"/>
    <w:rsid w:val="00EB71BA"/>
    <w:rsid w:val="00EB72AF"/>
    <w:rsid w:val="00EB7458"/>
    <w:rsid w:val="00EB74B3"/>
    <w:rsid w:val="00EB7561"/>
    <w:rsid w:val="00EB75A8"/>
    <w:rsid w:val="00EB772C"/>
    <w:rsid w:val="00EB77A1"/>
    <w:rsid w:val="00EB783C"/>
    <w:rsid w:val="00EB7928"/>
    <w:rsid w:val="00EB7DAF"/>
    <w:rsid w:val="00EB7F93"/>
    <w:rsid w:val="00EB7FAC"/>
    <w:rsid w:val="00EC006E"/>
    <w:rsid w:val="00EC0078"/>
    <w:rsid w:val="00EC0161"/>
    <w:rsid w:val="00EC018E"/>
    <w:rsid w:val="00EC01EE"/>
    <w:rsid w:val="00EC029B"/>
    <w:rsid w:val="00EC02CD"/>
    <w:rsid w:val="00EC03AC"/>
    <w:rsid w:val="00EC0429"/>
    <w:rsid w:val="00EC056D"/>
    <w:rsid w:val="00EC05C4"/>
    <w:rsid w:val="00EC06B0"/>
    <w:rsid w:val="00EC06B6"/>
    <w:rsid w:val="00EC07D5"/>
    <w:rsid w:val="00EC08ED"/>
    <w:rsid w:val="00EC094F"/>
    <w:rsid w:val="00EC0A63"/>
    <w:rsid w:val="00EC0B54"/>
    <w:rsid w:val="00EC0B74"/>
    <w:rsid w:val="00EC0CBD"/>
    <w:rsid w:val="00EC0DA5"/>
    <w:rsid w:val="00EC0F54"/>
    <w:rsid w:val="00EC0FA8"/>
    <w:rsid w:val="00EC0FC0"/>
    <w:rsid w:val="00EC103C"/>
    <w:rsid w:val="00EC1198"/>
    <w:rsid w:val="00EC129F"/>
    <w:rsid w:val="00EC1313"/>
    <w:rsid w:val="00EC13F1"/>
    <w:rsid w:val="00EC1436"/>
    <w:rsid w:val="00EC1502"/>
    <w:rsid w:val="00EC157E"/>
    <w:rsid w:val="00EC15BB"/>
    <w:rsid w:val="00EC1663"/>
    <w:rsid w:val="00EC16BF"/>
    <w:rsid w:val="00EC16F0"/>
    <w:rsid w:val="00EC18CD"/>
    <w:rsid w:val="00EC1BEA"/>
    <w:rsid w:val="00EC1C2B"/>
    <w:rsid w:val="00EC1CC9"/>
    <w:rsid w:val="00EC1D11"/>
    <w:rsid w:val="00EC200D"/>
    <w:rsid w:val="00EC20E6"/>
    <w:rsid w:val="00EC2151"/>
    <w:rsid w:val="00EC2197"/>
    <w:rsid w:val="00EC23DD"/>
    <w:rsid w:val="00EC2481"/>
    <w:rsid w:val="00EC248A"/>
    <w:rsid w:val="00EC2555"/>
    <w:rsid w:val="00EC2684"/>
    <w:rsid w:val="00EC2983"/>
    <w:rsid w:val="00EC29B5"/>
    <w:rsid w:val="00EC29DC"/>
    <w:rsid w:val="00EC2AA8"/>
    <w:rsid w:val="00EC2AB6"/>
    <w:rsid w:val="00EC2AFD"/>
    <w:rsid w:val="00EC2B06"/>
    <w:rsid w:val="00EC2B08"/>
    <w:rsid w:val="00EC2BBB"/>
    <w:rsid w:val="00EC2C69"/>
    <w:rsid w:val="00EC2E2B"/>
    <w:rsid w:val="00EC2E8E"/>
    <w:rsid w:val="00EC3118"/>
    <w:rsid w:val="00EC316C"/>
    <w:rsid w:val="00EC31D8"/>
    <w:rsid w:val="00EC32CB"/>
    <w:rsid w:val="00EC3310"/>
    <w:rsid w:val="00EC33C7"/>
    <w:rsid w:val="00EC3484"/>
    <w:rsid w:val="00EC3732"/>
    <w:rsid w:val="00EC3741"/>
    <w:rsid w:val="00EC38A0"/>
    <w:rsid w:val="00EC39C4"/>
    <w:rsid w:val="00EC3AB8"/>
    <w:rsid w:val="00EC3BE1"/>
    <w:rsid w:val="00EC3C32"/>
    <w:rsid w:val="00EC3C7F"/>
    <w:rsid w:val="00EC3CB0"/>
    <w:rsid w:val="00EC3DE3"/>
    <w:rsid w:val="00EC3F39"/>
    <w:rsid w:val="00EC3FFF"/>
    <w:rsid w:val="00EC40B6"/>
    <w:rsid w:val="00EC4109"/>
    <w:rsid w:val="00EC4174"/>
    <w:rsid w:val="00EC41A3"/>
    <w:rsid w:val="00EC4262"/>
    <w:rsid w:val="00EC42AD"/>
    <w:rsid w:val="00EC42D2"/>
    <w:rsid w:val="00EC4339"/>
    <w:rsid w:val="00EC435C"/>
    <w:rsid w:val="00EC436C"/>
    <w:rsid w:val="00EC4394"/>
    <w:rsid w:val="00EC4397"/>
    <w:rsid w:val="00EC43E4"/>
    <w:rsid w:val="00EC4511"/>
    <w:rsid w:val="00EC45A3"/>
    <w:rsid w:val="00EC4631"/>
    <w:rsid w:val="00EC467A"/>
    <w:rsid w:val="00EC4687"/>
    <w:rsid w:val="00EC46C7"/>
    <w:rsid w:val="00EC46F1"/>
    <w:rsid w:val="00EC4752"/>
    <w:rsid w:val="00EC47A5"/>
    <w:rsid w:val="00EC4861"/>
    <w:rsid w:val="00EC489C"/>
    <w:rsid w:val="00EC48B4"/>
    <w:rsid w:val="00EC4AC5"/>
    <w:rsid w:val="00EC4AC6"/>
    <w:rsid w:val="00EC4C31"/>
    <w:rsid w:val="00EC4D1B"/>
    <w:rsid w:val="00EC4ED7"/>
    <w:rsid w:val="00EC4F26"/>
    <w:rsid w:val="00EC50B6"/>
    <w:rsid w:val="00EC5506"/>
    <w:rsid w:val="00EC5699"/>
    <w:rsid w:val="00EC569A"/>
    <w:rsid w:val="00EC5794"/>
    <w:rsid w:val="00EC57EE"/>
    <w:rsid w:val="00EC5906"/>
    <w:rsid w:val="00EC59AE"/>
    <w:rsid w:val="00EC5A30"/>
    <w:rsid w:val="00EC5AC4"/>
    <w:rsid w:val="00EC5AD2"/>
    <w:rsid w:val="00EC5BDA"/>
    <w:rsid w:val="00EC5C06"/>
    <w:rsid w:val="00EC5D59"/>
    <w:rsid w:val="00EC5EBE"/>
    <w:rsid w:val="00EC5EBF"/>
    <w:rsid w:val="00EC5F2C"/>
    <w:rsid w:val="00EC5FB6"/>
    <w:rsid w:val="00EC5FEC"/>
    <w:rsid w:val="00EC603D"/>
    <w:rsid w:val="00EC6055"/>
    <w:rsid w:val="00EC60F4"/>
    <w:rsid w:val="00EC6109"/>
    <w:rsid w:val="00EC61A1"/>
    <w:rsid w:val="00EC61E7"/>
    <w:rsid w:val="00EC6224"/>
    <w:rsid w:val="00EC6236"/>
    <w:rsid w:val="00EC632E"/>
    <w:rsid w:val="00EC643C"/>
    <w:rsid w:val="00EC64C0"/>
    <w:rsid w:val="00EC66AB"/>
    <w:rsid w:val="00EC66C3"/>
    <w:rsid w:val="00EC6702"/>
    <w:rsid w:val="00EC6A09"/>
    <w:rsid w:val="00EC6B40"/>
    <w:rsid w:val="00EC6BEF"/>
    <w:rsid w:val="00EC6C37"/>
    <w:rsid w:val="00EC6CAE"/>
    <w:rsid w:val="00EC6CC4"/>
    <w:rsid w:val="00EC6D04"/>
    <w:rsid w:val="00EC6D64"/>
    <w:rsid w:val="00EC6D9C"/>
    <w:rsid w:val="00EC6E8E"/>
    <w:rsid w:val="00EC6ED7"/>
    <w:rsid w:val="00EC6FB2"/>
    <w:rsid w:val="00EC7023"/>
    <w:rsid w:val="00EC71B7"/>
    <w:rsid w:val="00EC71CA"/>
    <w:rsid w:val="00EC71E5"/>
    <w:rsid w:val="00EC723A"/>
    <w:rsid w:val="00EC73AA"/>
    <w:rsid w:val="00EC7467"/>
    <w:rsid w:val="00EC749E"/>
    <w:rsid w:val="00EC7659"/>
    <w:rsid w:val="00EC76B3"/>
    <w:rsid w:val="00EC7701"/>
    <w:rsid w:val="00EC779F"/>
    <w:rsid w:val="00EC77E0"/>
    <w:rsid w:val="00EC7833"/>
    <w:rsid w:val="00EC789C"/>
    <w:rsid w:val="00EC78E6"/>
    <w:rsid w:val="00EC7A01"/>
    <w:rsid w:val="00EC7A16"/>
    <w:rsid w:val="00EC7A1B"/>
    <w:rsid w:val="00EC7A7C"/>
    <w:rsid w:val="00EC7AA0"/>
    <w:rsid w:val="00EC7CCB"/>
    <w:rsid w:val="00EC7D9C"/>
    <w:rsid w:val="00EC7E1D"/>
    <w:rsid w:val="00EC7E9E"/>
    <w:rsid w:val="00EC7F25"/>
    <w:rsid w:val="00EC7F34"/>
    <w:rsid w:val="00EC7F99"/>
    <w:rsid w:val="00ECF92D"/>
    <w:rsid w:val="00ED0024"/>
    <w:rsid w:val="00ED00DB"/>
    <w:rsid w:val="00ED01C0"/>
    <w:rsid w:val="00ED0209"/>
    <w:rsid w:val="00ED028A"/>
    <w:rsid w:val="00ED0406"/>
    <w:rsid w:val="00ED05CB"/>
    <w:rsid w:val="00ED061C"/>
    <w:rsid w:val="00ED0754"/>
    <w:rsid w:val="00ED07F5"/>
    <w:rsid w:val="00ED0828"/>
    <w:rsid w:val="00ED08A9"/>
    <w:rsid w:val="00ED08FB"/>
    <w:rsid w:val="00ED08FF"/>
    <w:rsid w:val="00ED09C9"/>
    <w:rsid w:val="00ED0A4F"/>
    <w:rsid w:val="00ED0AA8"/>
    <w:rsid w:val="00ED0B6A"/>
    <w:rsid w:val="00ED0C1D"/>
    <w:rsid w:val="00ED0C56"/>
    <w:rsid w:val="00ED0D34"/>
    <w:rsid w:val="00ED0D3F"/>
    <w:rsid w:val="00ED0DAE"/>
    <w:rsid w:val="00ED0DD5"/>
    <w:rsid w:val="00ED0E40"/>
    <w:rsid w:val="00ED0EB6"/>
    <w:rsid w:val="00ED0ECF"/>
    <w:rsid w:val="00ED0F84"/>
    <w:rsid w:val="00ED0FB9"/>
    <w:rsid w:val="00ED10DA"/>
    <w:rsid w:val="00ED1153"/>
    <w:rsid w:val="00ED1256"/>
    <w:rsid w:val="00ED127D"/>
    <w:rsid w:val="00ED1290"/>
    <w:rsid w:val="00ED1498"/>
    <w:rsid w:val="00ED151C"/>
    <w:rsid w:val="00ED1541"/>
    <w:rsid w:val="00ED15DF"/>
    <w:rsid w:val="00ED166C"/>
    <w:rsid w:val="00ED1671"/>
    <w:rsid w:val="00ED177F"/>
    <w:rsid w:val="00ED1799"/>
    <w:rsid w:val="00ED17A9"/>
    <w:rsid w:val="00ED1839"/>
    <w:rsid w:val="00ED19AF"/>
    <w:rsid w:val="00ED1A7A"/>
    <w:rsid w:val="00ED1AC7"/>
    <w:rsid w:val="00ED1B0F"/>
    <w:rsid w:val="00ED1B1D"/>
    <w:rsid w:val="00ED1C35"/>
    <w:rsid w:val="00ED1DC7"/>
    <w:rsid w:val="00ED1E04"/>
    <w:rsid w:val="00ED1EEB"/>
    <w:rsid w:val="00ED1F8E"/>
    <w:rsid w:val="00ED2203"/>
    <w:rsid w:val="00ED22D3"/>
    <w:rsid w:val="00ED22F3"/>
    <w:rsid w:val="00ED23A2"/>
    <w:rsid w:val="00ED23C2"/>
    <w:rsid w:val="00ED23F1"/>
    <w:rsid w:val="00ED2445"/>
    <w:rsid w:val="00ED26CE"/>
    <w:rsid w:val="00ED2731"/>
    <w:rsid w:val="00ED2734"/>
    <w:rsid w:val="00ED27FF"/>
    <w:rsid w:val="00ED2A14"/>
    <w:rsid w:val="00ED2A73"/>
    <w:rsid w:val="00ED2B6C"/>
    <w:rsid w:val="00ED2BC3"/>
    <w:rsid w:val="00ED2C18"/>
    <w:rsid w:val="00ED2C41"/>
    <w:rsid w:val="00ED2C48"/>
    <w:rsid w:val="00ED2D50"/>
    <w:rsid w:val="00ED2F50"/>
    <w:rsid w:val="00ED2FAE"/>
    <w:rsid w:val="00ED3127"/>
    <w:rsid w:val="00ED3196"/>
    <w:rsid w:val="00ED3213"/>
    <w:rsid w:val="00ED3244"/>
    <w:rsid w:val="00ED3289"/>
    <w:rsid w:val="00ED33E8"/>
    <w:rsid w:val="00ED346E"/>
    <w:rsid w:val="00ED34A3"/>
    <w:rsid w:val="00ED350E"/>
    <w:rsid w:val="00ED358B"/>
    <w:rsid w:val="00ED36A4"/>
    <w:rsid w:val="00ED371E"/>
    <w:rsid w:val="00ED379D"/>
    <w:rsid w:val="00ED3836"/>
    <w:rsid w:val="00ED38DD"/>
    <w:rsid w:val="00ED395B"/>
    <w:rsid w:val="00ED39AF"/>
    <w:rsid w:val="00ED3A1E"/>
    <w:rsid w:val="00ED3B03"/>
    <w:rsid w:val="00ED3C76"/>
    <w:rsid w:val="00ED3D25"/>
    <w:rsid w:val="00ED3D71"/>
    <w:rsid w:val="00ED3ED7"/>
    <w:rsid w:val="00ED3F83"/>
    <w:rsid w:val="00ED3FD0"/>
    <w:rsid w:val="00ED4068"/>
    <w:rsid w:val="00ED43B9"/>
    <w:rsid w:val="00ED43EC"/>
    <w:rsid w:val="00ED4422"/>
    <w:rsid w:val="00ED44CB"/>
    <w:rsid w:val="00ED44FB"/>
    <w:rsid w:val="00ED469D"/>
    <w:rsid w:val="00ED46BE"/>
    <w:rsid w:val="00ED46E5"/>
    <w:rsid w:val="00ED4783"/>
    <w:rsid w:val="00ED47AA"/>
    <w:rsid w:val="00ED47E9"/>
    <w:rsid w:val="00ED49A1"/>
    <w:rsid w:val="00ED49A6"/>
    <w:rsid w:val="00ED4D0B"/>
    <w:rsid w:val="00ED4D5D"/>
    <w:rsid w:val="00ED4EF1"/>
    <w:rsid w:val="00ED4F33"/>
    <w:rsid w:val="00ED5066"/>
    <w:rsid w:val="00ED507F"/>
    <w:rsid w:val="00ED50C1"/>
    <w:rsid w:val="00ED51E0"/>
    <w:rsid w:val="00ED52A8"/>
    <w:rsid w:val="00ED531D"/>
    <w:rsid w:val="00ED533A"/>
    <w:rsid w:val="00ED5386"/>
    <w:rsid w:val="00ED53D4"/>
    <w:rsid w:val="00ED53F1"/>
    <w:rsid w:val="00ED5450"/>
    <w:rsid w:val="00ED54C0"/>
    <w:rsid w:val="00ED54F1"/>
    <w:rsid w:val="00ED55F9"/>
    <w:rsid w:val="00ED569B"/>
    <w:rsid w:val="00ED56A7"/>
    <w:rsid w:val="00ED56FF"/>
    <w:rsid w:val="00ED57A0"/>
    <w:rsid w:val="00ED57EC"/>
    <w:rsid w:val="00ED58F7"/>
    <w:rsid w:val="00ED5C3C"/>
    <w:rsid w:val="00ED5D12"/>
    <w:rsid w:val="00ED5F0B"/>
    <w:rsid w:val="00ED5FD7"/>
    <w:rsid w:val="00ED60AD"/>
    <w:rsid w:val="00ED6118"/>
    <w:rsid w:val="00ED6184"/>
    <w:rsid w:val="00ED619F"/>
    <w:rsid w:val="00ED63D7"/>
    <w:rsid w:val="00ED65A4"/>
    <w:rsid w:val="00ED66D9"/>
    <w:rsid w:val="00ED6712"/>
    <w:rsid w:val="00ED67B1"/>
    <w:rsid w:val="00ED68A7"/>
    <w:rsid w:val="00ED68E9"/>
    <w:rsid w:val="00ED69CD"/>
    <w:rsid w:val="00ED69F7"/>
    <w:rsid w:val="00ED6AD9"/>
    <w:rsid w:val="00ED6BCA"/>
    <w:rsid w:val="00ED6C65"/>
    <w:rsid w:val="00ED6C82"/>
    <w:rsid w:val="00ED6CDA"/>
    <w:rsid w:val="00ED6D5B"/>
    <w:rsid w:val="00ED6DB4"/>
    <w:rsid w:val="00ED6E31"/>
    <w:rsid w:val="00ED7385"/>
    <w:rsid w:val="00ED73C7"/>
    <w:rsid w:val="00ED73EE"/>
    <w:rsid w:val="00ED741A"/>
    <w:rsid w:val="00ED7425"/>
    <w:rsid w:val="00ED745D"/>
    <w:rsid w:val="00ED752F"/>
    <w:rsid w:val="00ED764D"/>
    <w:rsid w:val="00ED76F1"/>
    <w:rsid w:val="00ED7820"/>
    <w:rsid w:val="00ED7826"/>
    <w:rsid w:val="00ED7870"/>
    <w:rsid w:val="00ED7B49"/>
    <w:rsid w:val="00ED7C07"/>
    <w:rsid w:val="00ED7C3A"/>
    <w:rsid w:val="00ED7CF1"/>
    <w:rsid w:val="00ED7DCD"/>
    <w:rsid w:val="00ED7DD4"/>
    <w:rsid w:val="00ED7EAF"/>
    <w:rsid w:val="00ED7F6D"/>
    <w:rsid w:val="00ED7FF6"/>
    <w:rsid w:val="00EE00BA"/>
    <w:rsid w:val="00EE0135"/>
    <w:rsid w:val="00EE022F"/>
    <w:rsid w:val="00EE028E"/>
    <w:rsid w:val="00EE0303"/>
    <w:rsid w:val="00EE0305"/>
    <w:rsid w:val="00EE03B5"/>
    <w:rsid w:val="00EE03BA"/>
    <w:rsid w:val="00EE040D"/>
    <w:rsid w:val="00EE04B6"/>
    <w:rsid w:val="00EE05A1"/>
    <w:rsid w:val="00EE0641"/>
    <w:rsid w:val="00EE07F2"/>
    <w:rsid w:val="00EE085C"/>
    <w:rsid w:val="00EE0B32"/>
    <w:rsid w:val="00EE0DB2"/>
    <w:rsid w:val="00EE0DD6"/>
    <w:rsid w:val="00EE0E7B"/>
    <w:rsid w:val="00EE0EFC"/>
    <w:rsid w:val="00EE0F7C"/>
    <w:rsid w:val="00EE1141"/>
    <w:rsid w:val="00EE1173"/>
    <w:rsid w:val="00EE1193"/>
    <w:rsid w:val="00EE11AF"/>
    <w:rsid w:val="00EE126A"/>
    <w:rsid w:val="00EE12DB"/>
    <w:rsid w:val="00EE1398"/>
    <w:rsid w:val="00EE14D6"/>
    <w:rsid w:val="00EE1557"/>
    <w:rsid w:val="00EE16C9"/>
    <w:rsid w:val="00EE16EF"/>
    <w:rsid w:val="00EE18E1"/>
    <w:rsid w:val="00EE18EA"/>
    <w:rsid w:val="00EE1927"/>
    <w:rsid w:val="00EE1A2D"/>
    <w:rsid w:val="00EE1B8A"/>
    <w:rsid w:val="00EE1BBA"/>
    <w:rsid w:val="00EE1BC2"/>
    <w:rsid w:val="00EE1BF1"/>
    <w:rsid w:val="00EE1BF7"/>
    <w:rsid w:val="00EE1CDD"/>
    <w:rsid w:val="00EE201B"/>
    <w:rsid w:val="00EE205A"/>
    <w:rsid w:val="00EE22DA"/>
    <w:rsid w:val="00EE22EF"/>
    <w:rsid w:val="00EE2351"/>
    <w:rsid w:val="00EE25D3"/>
    <w:rsid w:val="00EE27F3"/>
    <w:rsid w:val="00EE28AC"/>
    <w:rsid w:val="00EE28DF"/>
    <w:rsid w:val="00EE28F4"/>
    <w:rsid w:val="00EE2922"/>
    <w:rsid w:val="00EE29EF"/>
    <w:rsid w:val="00EE2A30"/>
    <w:rsid w:val="00EE2AFB"/>
    <w:rsid w:val="00EE2B23"/>
    <w:rsid w:val="00EE2B5D"/>
    <w:rsid w:val="00EE2BF0"/>
    <w:rsid w:val="00EE2CAD"/>
    <w:rsid w:val="00EE2E5C"/>
    <w:rsid w:val="00EE316A"/>
    <w:rsid w:val="00EE31BE"/>
    <w:rsid w:val="00EE32A6"/>
    <w:rsid w:val="00EE32F5"/>
    <w:rsid w:val="00EE342C"/>
    <w:rsid w:val="00EE3444"/>
    <w:rsid w:val="00EE34F8"/>
    <w:rsid w:val="00EE3576"/>
    <w:rsid w:val="00EE35B1"/>
    <w:rsid w:val="00EE361F"/>
    <w:rsid w:val="00EE36F5"/>
    <w:rsid w:val="00EE375B"/>
    <w:rsid w:val="00EE37C5"/>
    <w:rsid w:val="00EE3917"/>
    <w:rsid w:val="00EE3948"/>
    <w:rsid w:val="00EE3964"/>
    <w:rsid w:val="00EE3AF5"/>
    <w:rsid w:val="00EE3B44"/>
    <w:rsid w:val="00EE3B53"/>
    <w:rsid w:val="00EE3BAB"/>
    <w:rsid w:val="00EE3C08"/>
    <w:rsid w:val="00EE3CCD"/>
    <w:rsid w:val="00EE3EF8"/>
    <w:rsid w:val="00EE3FAA"/>
    <w:rsid w:val="00EE4064"/>
    <w:rsid w:val="00EE41BF"/>
    <w:rsid w:val="00EE41F3"/>
    <w:rsid w:val="00EE431D"/>
    <w:rsid w:val="00EE438A"/>
    <w:rsid w:val="00EE43DD"/>
    <w:rsid w:val="00EE44EA"/>
    <w:rsid w:val="00EE452F"/>
    <w:rsid w:val="00EE460C"/>
    <w:rsid w:val="00EE46C1"/>
    <w:rsid w:val="00EE46FA"/>
    <w:rsid w:val="00EE479B"/>
    <w:rsid w:val="00EE4865"/>
    <w:rsid w:val="00EE48DA"/>
    <w:rsid w:val="00EE4917"/>
    <w:rsid w:val="00EE49F2"/>
    <w:rsid w:val="00EE4A43"/>
    <w:rsid w:val="00EE4A8B"/>
    <w:rsid w:val="00EE4ACE"/>
    <w:rsid w:val="00EE4AE9"/>
    <w:rsid w:val="00EE4AF5"/>
    <w:rsid w:val="00EE4AF7"/>
    <w:rsid w:val="00EE4C09"/>
    <w:rsid w:val="00EE4C19"/>
    <w:rsid w:val="00EE4C7B"/>
    <w:rsid w:val="00EE4CFC"/>
    <w:rsid w:val="00EE4DA6"/>
    <w:rsid w:val="00EE4DCE"/>
    <w:rsid w:val="00EE4E9A"/>
    <w:rsid w:val="00EE4FC8"/>
    <w:rsid w:val="00EE504B"/>
    <w:rsid w:val="00EE5097"/>
    <w:rsid w:val="00EE51FA"/>
    <w:rsid w:val="00EE5279"/>
    <w:rsid w:val="00EE52E7"/>
    <w:rsid w:val="00EE5326"/>
    <w:rsid w:val="00EE5347"/>
    <w:rsid w:val="00EE53E7"/>
    <w:rsid w:val="00EE53FF"/>
    <w:rsid w:val="00EE545D"/>
    <w:rsid w:val="00EE547C"/>
    <w:rsid w:val="00EE556C"/>
    <w:rsid w:val="00EE5617"/>
    <w:rsid w:val="00EE5665"/>
    <w:rsid w:val="00EE56A6"/>
    <w:rsid w:val="00EE587D"/>
    <w:rsid w:val="00EE5927"/>
    <w:rsid w:val="00EE59BE"/>
    <w:rsid w:val="00EE59E0"/>
    <w:rsid w:val="00EE59EB"/>
    <w:rsid w:val="00EE5A76"/>
    <w:rsid w:val="00EE5B37"/>
    <w:rsid w:val="00EE5B5F"/>
    <w:rsid w:val="00EE5BD2"/>
    <w:rsid w:val="00EE5DF3"/>
    <w:rsid w:val="00EE620A"/>
    <w:rsid w:val="00EE6385"/>
    <w:rsid w:val="00EE6409"/>
    <w:rsid w:val="00EE643A"/>
    <w:rsid w:val="00EE6588"/>
    <w:rsid w:val="00EE65B6"/>
    <w:rsid w:val="00EE65F5"/>
    <w:rsid w:val="00EE6676"/>
    <w:rsid w:val="00EE678B"/>
    <w:rsid w:val="00EE67D2"/>
    <w:rsid w:val="00EE67E6"/>
    <w:rsid w:val="00EE6850"/>
    <w:rsid w:val="00EE68A1"/>
    <w:rsid w:val="00EE68B7"/>
    <w:rsid w:val="00EE6910"/>
    <w:rsid w:val="00EE6A2F"/>
    <w:rsid w:val="00EE6AA8"/>
    <w:rsid w:val="00EE6B2A"/>
    <w:rsid w:val="00EE6D28"/>
    <w:rsid w:val="00EE6D6B"/>
    <w:rsid w:val="00EE6E1F"/>
    <w:rsid w:val="00EE6F14"/>
    <w:rsid w:val="00EE705E"/>
    <w:rsid w:val="00EE706D"/>
    <w:rsid w:val="00EE70AD"/>
    <w:rsid w:val="00EE712F"/>
    <w:rsid w:val="00EE719D"/>
    <w:rsid w:val="00EE71A5"/>
    <w:rsid w:val="00EE7313"/>
    <w:rsid w:val="00EE74A3"/>
    <w:rsid w:val="00EE74BB"/>
    <w:rsid w:val="00EE7512"/>
    <w:rsid w:val="00EE7567"/>
    <w:rsid w:val="00EE758D"/>
    <w:rsid w:val="00EE758E"/>
    <w:rsid w:val="00EE7629"/>
    <w:rsid w:val="00EE7707"/>
    <w:rsid w:val="00EE775C"/>
    <w:rsid w:val="00EE77A1"/>
    <w:rsid w:val="00EE78E4"/>
    <w:rsid w:val="00EE790B"/>
    <w:rsid w:val="00EE7917"/>
    <w:rsid w:val="00EE7ACB"/>
    <w:rsid w:val="00EE7E57"/>
    <w:rsid w:val="00EE7EA0"/>
    <w:rsid w:val="00EE7F2A"/>
    <w:rsid w:val="00EF0070"/>
    <w:rsid w:val="00EF0090"/>
    <w:rsid w:val="00EF014E"/>
    <w:rsid w:val="00EF01AD"/>
    <w:rsid w:val="00EF020F"/>
    <w:rsid w:val="00EF0364"/>
    <w:rsid w:val="00EF0387"/>
    <w:rsid w:val="00EF03D5"/>
    <w:rsid w:val="00EF056C"/>
    <w:rsid w:val="00EF05CB"/>
    <w:rsid w:val="00EF0610"/>
    <w:rsid w:val="00EF0616"/>
    <w:rsid w:val="00EF0963"/>
    <w:rsid w:val="00EF09BA"/>
    <w:rsid w:val="00EF0A66"/>
    <w:rsid w:val="00EF0A7D"/>
    <w:rsid w:val="00EF0A95"/>
    <w:rsid w:val="00EF0AF2"/>
    <w:rsid w:val="00EF0B4D"/>
    <w:rsid w:val="00EF0C1C"/>
    <w:rsid w:val="00EF0C7F"/>
    <w:rsid w:val="00EF0C88"/>
    <w:rsid w:val="00EF0CA9"/>
    <w:rsid w:val="00EF0D2E"/>
    <w:rsid w:val="00EF0DC3"/>
    <w:rsid w:val="00EF0E81"/>
    <w:rsid w:val="00EF0E9F"/>
    <w:rsid w:val="00EF0EFC"/>
    <w:rsid w:val="00EF0FC1"/>
    <w:rsid w:val="00EF1062"/>
    <w:rsid w:val="00EF1206"/>
    <w:rsid w:val="00EF12FD"/>
    <w:rsid w:val="00EF13B1"/>
    <w:rsid w:val="00EF13F8"/>
    <w:rsid w:val="00EF1424"/>
    <w:rsid w:val="00EF152C"/>
    <w:rsid w:val="00EF1721"/>
    <w:rsid w:val="00EF17A5"/>
    <w:rsid w:val="00EF19D9"/>
    <w:rsid w:val="00EF1B46"/>
    <w:rsid w:val="00EF1B6D"/>
    <w:rsid w:val="00EF1BBD"/>
    <w:rsid w:val="00EF1C49"/>
    <w:rsid w:val="00EF21EE"/>
    <w:rsid w:val="00EF232E"/>
    <w:rsid w:val="00EF238F"/>
    <w:rsid w:val="00EF23B4"/>
    <w:rsid w:val="00EF24EE"/>
    <w:rsid w:val="00EF2546"/>
    <w:rsid w:val="00EF2547"/>
    <w:rsid w:val="00EF2576"/>
    <w:rsid w:val="00EF25C8"/>
    <w:rsid w:val="00EF25D1"/>
    <w:rsid w:val="00EF2838"/>
    <w:rsid w:val="00EF289B"/>
    <w:rsid w:val="00EF2942"/>
    <w:rsid w:val="00EF2C0F"/>
    <w:rsid w:val="00EF2DA5"/>
    <w:rsid w:val="00EF2DC9"/>
    <w:rsid w:val="00EF2EB9"/>
    <w:rsid w:val="00EF2EC1"/>
    <w:rsid w:val="00EF3108"/>
    <w:rsid w:val="00EF3141"/>
    <w:rsid w:val="00EF315B"/>
    <w:rsid w:val="00EF31EE"/>
    <w:rsid w:val="00EF3282"/>
    <w:rsid w:val="00EF32E8"/>
    <w:rsid w:val="00EF332F"/>
    <w:rsid w:val="00EF33DB"/>
    <w:rsid w:val="00EF347E"/>
    <w:rsid w:val="00EF34B6"/>
    <w:rsid w:val="00EF3504"/>
    <w:rsid w:val="00EF36EB"/>
    <w:rsid w:val="00EF393E"/>
    <w:rsid w:val="00EF3950"/>
    <w:rsid w:val="00EF39D6"/>
    <w:rsid w:val="00EF3AAA"/>
    <w:rsid w:val="00EF3B2C"/>
    <w:rsid w:val="00EF3BF5"/>
    <w:rsid w:val="00EF3C54"/>
    <w:rsid w:val="00EF3D71"/>
    <w:rsid w:val="00EF3DBD"/>
    <w:rsid w:val="00EF3DDB"/>
    <w:rsid w:val="00EF3E56"/>
    <w:rsid w:val="00EF3EF2"/>
    <w:rsid w:val="00EF3EFD"/>
    <w:rsid w:val="00EF3F42"/>
    <w:rsid w:val="00EF400B"/>
    <w:rsid w:val="00EF407B"/>
    <w:rsid w:val="00EF40C9"/>
    <w:rsid w:val="00EF4145"/>
    <w:rsid w:val="00EF41F6"/>
    <w:rsid w:val="00EF42AC"/>
    <w:rsid w:val="00EF4509"/>
    <w:rsid w:val="00EF4595"/>
    <w:rsid w:val="00EF4607"/>
    <w:rsid w:val="00EF4649"/>
    <w:rsid w:val="00EF465B"/>
    <w:rsid w:val="00EF47E0"/>
    <w:rsid w:val="00EF4AB3"/>
    <w:rsid w:val="00EF4B12"/>
    <w:rsid w:val="00EF4B5D"/>
    <w:rsid w:val="00EF4B7D"/>
    <w:rsid w:val="00EF4B88"/>
    <w:rsid w:val="00EF4E05"/>
    <w:rsid w:val="00EF4E1C"/>
    <w:rsid w:val="00EF4FE7"/>
    <w:rsid w:val="00EF51B8"/>
    <w:rsid w:val="00EF5266"/>
    <w:rsid w:val="00EF52C2"/>
    <w:rsid w:val="00EF5358"/>
    <w:rsid w:val="00EF5466"/>
    <w:rsid w:val="00EF5524"/>
    <w:rsid w:val="00EF56E8"/>
    <w:rsid w:val="00EF5746"/>
    <w:rsid w:val="00EF57D9"/>
    <w:rsid w:val="00EF5834"/>
    <w:rsid w:val="00EF59F9"/>
    <w:rsid w:val="00EF5A67"/>
    <w:rsid w:val="00EF5AA5"/>
    <w:rsid w:val="00EF5B79"/>
    <w:rsid w:val="00EF5C59"/>
    <w:rsid w:val="00EF5E15"/>
    <w:rsid w:val="00EF5E68"/>
    <w:rsid w:val="00EF5E72"/>
    <w:rsid w:val="00EF5EF3"/>
    <w:rsid w:val="00EF5F2F"/>
    <w:rsid w:val="00EF604A"/>
    <w:rsid w:val="00EF60D1"/>
    <w:rsid w:val="00EF611F"/>
    <w:rsid w:val="00EF6249"/>
    <w:rsid w:val="00EF6338"/>
    <w:rsid w:val="00EF6492"/>
    <w:rsid w:val="00EF654F"/>
    <w:rsid w:val="00EF6572"/>
    <w:rsid w:val="00EF657C"/>
    <w:rsid w:val="00EF6617"/>
    <w:rsid w:val="00EF677A"/>
    <w:rsid w:val="00EF6789"/>
    <w:rsid w:val="00EF67DA"/>
    <w:rsid w:val="00EF6A7B"/>
    <w:rsid w:val="00EF6B23"/>
    <w:rsid w:val="00EF6B94"/>
    <w:rsid w:val="00EF6BF9"/>
    <w:rsid w:val="00EF6D16"/>
    <w:rsid w:val="00EF6D43"/>
    <w:rsid w:val="00EF6DB6"/>
    <w:rsid w:val="00EF6E22"/>
    <w:rsid w:val="00EF6E39"/>
    <w:rsid w:val="00EF6E64"/>
    <w:rsid w:val="00EF6F13"/>
    <w:rsid w:val="00EF6FB5"/>
    <w:rsid w:val="00EF71EB"/>
    <w:rsid w:val="00EF729D"/>
    <w:rsid w:val="00EF72FF"/>
    <w:rsid w:val="00EF74B3"/>
    <w:rsid w:val="00EF752E"/>
    <w:rsid w:val="00EF76C9"/>
    <w:rsid w:val="00EF7784"/>
    <w:rsid w:val="00EF7796"/>
    <w:rsid w:val="00EF77A1"/>
    <w:rsid w:val="00EF7820"/>
    <w:rsid w:val="00EF788A"/>
    <w:rsid w:val="00EF78B6"/>
    <w:rsid w:val="00EF7937"/>
    <w:rsid w:val="00EF7973"/>
    <w:rsid w:val="00EF7975"/>
    <w:rsid w:val="00EF79FB"/>
    <w:rsid w:val="00EF7A6D"/>
    <w:rsid w:val="00EF7C30"/>
    <w:rsid w:val="00EF7D15"/>
    <w:rsid w:val="00EF7D73"/>
    <w:rsid w:val="00EF7E8C"/>
    <w:rsid w:val="00F00112"/>
    <w:rsid w:val="00F00141"/>
    <w:rsid w:val="00F0015B"/>
    <w:rsid w:val="00F00346"/>
    <w:rsid w:val="00F003E5"/>
    <w:rsid w:val="00F0042C"/>
    <w:rsid w:val="00F00462"/>
    <w:rsid w:val="00F004AA"/>
    <w:rsid w:val="00F0075F"/>
    <w:rsid w:val="00F00763"/>
    <w:rsid w:val="00F00833"/>
    <w:rsid w:val="00F008BB"/>
    <w:rsid w:val="00F00A83"/>
    <w:rsid w:val="00F00A9B"/>
    <w:rsid w:val="00F00B6D"/>
    <w:rsid w:val="00F00C24"/>
    <w:rsid w:val="00F00C6E"/>
    <w:rsid w:val="00F00CA7"/>
    <w:rsid w:val="00F00CBB"/>
    <w:rsid w:val="00F00DEA"/>
    <w:rsid w:val="00F00E5F"/>
    <w:rsid w:val="00F00EAC"/>
    <w:rsid w:val="00F01034"/>
    <w:rsid w:val="00F010B9"/>
    <w:rsid w:val="00F010DC"/>
    <w:rsid w:val="00F0115B"/>
    <w:rsid w:val="00F01166"/>
    <w:rsid w:val="00F01191"/>
    <w:rsid w:val="00F011AE"/>
    <w:rsid w:val="00F0121C"/>
    <w:rsid w:val="00F01246"/>
    <w:rsid w:val="00F0124C"/>
    <w:rsid w:val="00F013F9"/>
    <w:rsid w:val="00F01412"/>
    <w:rsid w:val="00F01489"/>
    <w:rsid w:val="00F014AA"/>
    <w:rsid w:val="00F015B7"/>
    <w:rsid w:val="00F01A95"/>
    <w:rsid w:val="00F01B76"/>
    <w:rsid w:val="00F01B7F"/>
    <w:rsid w:val="00F01C89"/>
    <w:rsid w:val="00F01D39"/>
    <w:rsid w:val="00F01D56"/>
    <w:rsid w:val="00F01EBF"/>
    <w:rsid w:val="00F01F1E"/>
    <w:rsid w:val="00F01F8B"/>
    <w:rsid w:val="00F02018"/>
    <w:rsid w:val="00F02039"/>
    <w:rsid w:val="00F0209B"/>
    <w:rsid w:val="00F020BC"/>
    <w:rsid w:val="00F02134"/>
    <w:rsid w:val="00F021CF"/>
    <w:rsid w:val="00F023BA"/>
    <w:rsid w:val="00F025B7"/>
    <w:rsid w:val="00F026FC"/>
    <w:rsid w:val="00F02716"/>
    <w:rsid w:val="00F0282D"/>
    <w:rsid w:val="00F02868"/>
    <w:rsid w:val="00F028AC"/>
    <w:rsid w:val="00F028F9"/>
    <w:rsid w:val="00F02908"/>
    <w:rsid w:val="00F02A6E"/>
    <w:rsid w:val="00F02B33"/>
    <w:rsid w:val="00F02CAF"/>
    <w:rsid w:val="00F02D4E"/>
    <w:rsid w:val="00F02DD3"/>
    <w:rsid w:val="00F02E35"/>
    <w:rsid w:val="00F02E47"/>
    <w:rsid w:val="00F02E58"/>
    <w:rsid w:val="00F02F89"/>
    <w:rsid w:val="00F02FA9"/>
    <w:rsid w:val="00F030B7"/>
    <w:rsid w:val="00F0313D"/>
    <w:rsid w:val="00F0329A"/>
    <w:rsid w:val="00F03408"/>
    <w:rsid w:val="00F0340E"/>
    <w:rsid w:val="00F0351A"/>
    <w:rsid w:val="00F03583"/>
    <w:rsid w:val="00F0367C"/>
    <w:rsid w:val="00F0374C"/>
    <w:rsid w:val="00F03798"/>
    <w:rsid w:val="00F039FD"/>
    <w:rsid w:val="00F03A92"/>
    <w:rsid w:val="00F03AAE"/>
    <w:rsid w:val="00F03B90"/>
    <w:rsid w:val="00F03CD1"/>
    <w:rsid w:val="00F03CFD"/>
    <w:rsid w:val="00F03D4F"/>
    <w:rsid w:val="00F03D69"/>
    <w:rsid w:val="00F03D9D"/>
    <w:rsid w:val="00F03DBA"/>
    <w:rsid w:val="00F03E4A"/>
    <w:rsid w:val="00F03E84"/>
    <w:rsid w:val="00F03ECE"/>
    <w:rsid w:val="00F03FA9"/>
    <w:rsid w:val="00F03FD2"/>
    <w:rsid w:val="00F03FD4"/>
    <w:rsid w:val="00F040A7"/>
    <w:rsid w:val="00F0414B"/>
    <w:rsid w:val="00F0417F"/>
    <w:rsid w:val="00F041AD"/>
    <w:rsid w:val="00F0424C"/>
    <w:rsid w:val="00F0425F"/>
    <w:rsid w:val="00F0426C"/>
    <w:rsid w:val="00F04335"/>
    <w:rsid w:val="00F043CE"/>
    <w:rsid w:val="00F044BD"/>
    <w:rsid w:val="00F044ED"/>
    <w:rsid w:val="00F04547"/>
    <w:rsid w:val="00F045F0"/>
    <w:rsid w:val="00F04761"/>
    <w:rsid w:val="00F04783"/>
    <w:rsid w:val="00F0489A"/>
    <w:rsid w:val="00F048F0"/>
    <w:rsid w:val="00F04947"/>
    <w:rsid w:val="00F04AE5"/>
    <w:rsid w:val="00F04AEA"/>
    <w:rsid w:val="00F04B10"/>
    <w:rsid w:val="00F04BFF"/>
    <w:rsid w:val="00F04CE9"/>
    <w:rsid w:val="00F04DB4"/>
    <w:rsid w:val="00F04E10"/>
    <w:rsid w:val="00F04F05"/>
    <w:rsid w:val="00F05163"/>
    <w:rsid w:val="00F05189"/>
    <w:rsid w:val="00F05336"/>
    <w:rsid w:val="00F05540"/>
    <w:rsid w:val="00F055B5"/>
    <w:rsid w:val="00F058A8"/>
    <w:rsid w:val="00F05B8E"/>
    <w:rsid w:val="00F05BC0"/>
    <w:rsid w:val="00F05C13"/>
    <w:rsid w:val="00F05DA6"/>
    <w:rsid w:val="00F05DC4"/>
    <w:rsid w:val="00F05DC9"/>
    <w:rsid w:val="00F05DCC"/>
    <w:rsid w:val="00F05E4C"/>
    <w:rsid w:val="00F05ECF"/>
    <w:rsid w:val="00F05F23"/>
    <w:rsid w:val="00F060D9"/>
    <w:rsid w:val="00F06119"/>
    <w:rsid w:val="00F06151"/>
    <w:rsid w:val="00F06201"/>
    <w:rsid w:val="00F0620E"/>
    <w:rsid w:val="00F062CD"/>
    <w:rsid w:val="00F06311"/>
    <w:rsid w:val="00F063A0"/>
    <w:rsid w:val="00F063B3"/>
    <w:rsid w:val="00F0640A"/>
    <w:rsid w:val="00F06497"/>
    <w:rsid w:val="00F064B8"/>
    <w:rsid w:val="00F064FE"/>
    <w:rsid w:val="00F06573"/>
    <w:rsid w:val="00F06586"/>
    <w:rsid w:val="00F06618"/>
    <w:rsid w:val="00F067D6"/>
    <w:rsid w:val="00F06A15"/>
    <w:rsid w:val="00F06AD2"/>
    <w:rsid w:val="00F06B3C"/>
    <w:rsid w:val="00F06BA8"/>
    <w:rsid w:val="00F06BDE"/>
    <w:rsid w:val="00F06CF6"/>
    <w:rsid w:val="00F06DC7"/>
    <w:rsid w:val="00F06E5D"/>
    <w:rsid w:val="00F06ED0"/>
    <w:rsid w:val="00F06F6E"/>
    <w:rsid w:val="00F07104"/>
    <w:rsid w:val="00F0711C"/>
    <w:rsid w:val="00F071E5"/>
    <w:rsid w:val="00F07209"/>
    <w:rsid w:val="00F07285"/>
    <w:rsid w:val="00F072EB"/>
    <w:rsid w:val="00F0734E"/>
    <w:rsid w:val="00F0740E"/>
    <w:rsid w:val="00F0760F"/>
    <w:rsid w:val="00F076B0"/>
    <w:rsid w:val="00F077BB"/>
    <w:rsid w:val="00F07901"/>
    <w:rsid w:val="00F07947"/>
    <w:rsid w:val="00F07AAB"/>
    <w:rsid w:val="00F07B37"/>
    <w:rsid w:val="00F07B4B"/>
    <w:rsid w:val="00F07BE8"/>
    <w:rsid w:val="00F07C2F"/>
    <w:rsid w:val="00F07E19"/>
    <w:rsid w:val="00F07ED8"/>
    <w:rsid w:val="00F07F0C"/>
    <w:rsid w:val="00F07F1B"/>
    <w:rsid w:val="00F07FD0"/>
    <w:rsid w:val="00F10180"/>
    <w:rsid w:val="00F10285"/>
    <w:rsid w:val="00F1029C"/>
    <w:rsid w:val="00F106AD"/>
    <w:rsid w:val="00F107D1"/>
    <w:rsid w:val="00F10843"/>
    <w:rsid w:val="00F108B5"/>
    <w:rsid w:val="00F108F8"/>
    <w:rsid w:val="00F10919"/>
    <w:rsid w:val="00F10979"/>
    <w:rsid w:val="00F10988"/>
    <w:rsid w:val="00F1099C"/>
    <w:rsid w:val="00F109AC"/>
    <w:rsid w:val="00F10B3B"/>
    <w:rsid w:val="00F10B52"/>
    <w:rsid w:val="00F10C60"/>
    <w:rsid w:val="00F10CB8"/>
    <w:rsid w:val="00F10CFC"/>
    <w:rsid w:val="00F10E11"/>
    <w:rsid w:val="00F10E5A"/>
    <w:rsid w:val="00F10FC1"/>
    <w:rsid w:val="00F11136"/>
    <w:rsid w:val="00F11202"/>
    <w:rsid w:val="00F112C5"/>
    <w:rsid w:val="00F11368"/>
    <w:rsid w:val="00F11403"/>
    <w:rsid w:val="00F1142A"/>
    <w:rsid w:val="00F1147F"/>
    <w:rsid w:val="00F11537"/>
    <w:rsid w:val="00F1153B"/>
    <w:rsid w:val="00F11590"/>
    <w:rsid w:val="00F115E1"/>
    <w:rsid w:val="00F11678"/>
    <w:rsid w:val="00F116AF"/>
    <w:rsid w:val="00F11806"/>
    <w:rsid w:val="00F11819"/>
    <w:rsid w:val="00F11866"/>
    <w:rsid w:val="00F1190E"/>
    <w:rsid w:val="00F1191F"/>
    <w:rsid w:val="00F11B0A"/>
    <w:rsid w:val="00F11BFA"/>
    <w:rsid w:val="00F11DAF"/>
    <w:rsid w:val="00F11E85"/>
    <w:rsid w:val="00F11E87"/>
    <w:rsid w:val="00F11F02"/>
    <w:rsid w:val="00F11F7A"/>
    <w:rsid w:val="00F11F8B"/>
    <w:rsid w:val="00F11FB0"/>
    <w:rsid w:val="00F12057"/>
    <w:rsid w:val="00F120AB"/>
    <w:rsid w:val="00F120FE"/>
    <w:rsid w:val="00F12168"/>
    <w:rsid w:val="00F12252"/>
    <w:rsid w:val="00F1250E"/>
    <w:rsid w:val="00F12550"/>
    <w:rsid w:val="00F12624"/>
    <w:rsid w:val="00F126A1"/>
    <w:rsid w:val="00F12736"/>
    <w:rsid w:val="00F1277E"/>
    <w:rsid w:val="00F128BA"/>
    <w:rsid w:val="00F12904"/>
    <w:rsid w:val="00F129E6"/>
    <w:rsid w:val="00F129F4"/>
    <w:rsid w:val="00F12A0D"/>
    <w:rsid w:val="00F12A61"/>
    <w:rsid w:val="00F12A63"/>
    <w:rsid w:val="00F12B75"/>
    <w:rsid w:val="00F12C37"/>
    <w:rsid w:val="00F12CC1"/>
    <w:rsid w:val="00F12CEC"/>
    <w:rsid w:val="00F12D54"/>
    <w:rsid w:val="00F12D66"/>
    <w:rsid w:val="00F12DCB"/>
    <w:rsid w:val="00F12E97"/>
    <w:rsid w:val="00F12F5E"/>
    <w:rsid w:val="00F13007"/>
    <w:rsid w:val="00F13102"/>
    <w:rsid w:val="00F1320C"/>
    <w:rsid w:val="00F13306"/>
    <w:rsid w:val="00F13421"/>
    <w:rsid w:val="00F134A5"/>
    <w:rsid w:val="00F134F1"/>
    <w:rsid w:val="00F13521"/>
    <w:rsid w:val="00F136D4"/>
    <w:rsid w:val="00F13945"/>
    <w:rsid w:val="00F13976"/>
    <w:rsid w:val="00F13A02"/>
    <w:rsid w:val="00F13A4B"/>
    <w:rsid w:val="00F13BBE"/>
    <w:rsid w:val="00F13BDA"/>
    <w:rsid w:val="00F13C58"/>
    <w:rsid w:val="00F13D17"/>
    <w:rsid w:val="00F13DCA"/>
    <w:rsid w:val="00F13E0D"/>
    <w:rsid w:val="00F13F07"/>
    <w:rsid w:val="00F13FA6"/>
    <w:rsid w:val="00F1402F"/>
    <w:rsid w:val="00F1404F"/>
    <w:rsid w:val="00F140D9"/>
    <w:rsid w:val="00F14174"/>
    <w:rsid w:val="00F1434B"/>
    <w:rsid w:val="00F144A6"/>
    <w:rsid w:val="00F144E8"/>
    <w:rsid w:val="00F1460E"/>
    <w:rsid w:val="00F14635"/>
    <w:rsid w:val="00F146A3"/>
    <w:rsid w:val="00F1473A"/>
    <w:rsid w:val="00F147DE"/>
    <w:rsid w:val="00F147E9"/>
    <w:rsid w:val="00F147ED"/>
    <w:rsid w:val="00F14839"/>
    <w:rsid w:val="00F148FA"/>
    <w:rsid w:val="00F14D4D"/>
    <w:rsid w:val="00F14DB2"/>
    <w:rsid w:val="00F14E2B"/>
    <w:rsid w:val="00F14E33"/>
    <w:rsid w:val="00F14F75"/>
    <w:rsid w:val="00F150D2"/>
    <w:rsid w:val="00F1513A"/>
    <w:rsid w:val="00F151EB"/>
    <w:rsid w:val="00F153A6"/>
    <w:rsid w:val="00F153F4"/>
    <w:rsid w:val="00F15440"/>
    <w:rsid w:val="00F15673"/>
    <w:rsid w:val="00F15712"/>
    <w:rsid w:val="00F157C9"/>
    <w:rsid w:val="00F157E1"/>
    <w:rsid w:val="00F158C1"/>
    <w:rsid w:val="00F15936"/>
    <w:rsid w:val="00F15950"/>
    <w:rsid w:val="00F1599A"/>
    <w:rsid w:val="00F15AC1"/>
    <w:rsid w:val="00F15ACE"/>
    <w:rsid w:val="00F15B10"/>
    <w:rsid w:val="00F15B2D"/>
    <w:rsid w:val="00F15D4C"/>
    <w:rsid w:val="00F15D67"/>
    <w:rsid w:val="00F15E4C"/>
    <w:rsid w:val="00F15EDF"/>
    <w:rsid w:val="00F15F56"/>
    <w:rsid w:val="00F15FAE"/>
    <w:rsid w:val="00F160AD"/>
    <w:rsid w:val="00F16191"/>
    <w:rsid w:val="00F1619A"/>
    <w:rsid w:val="00F161C2"/>
    <w:rsid w:val="00F16264"/>
    <w:rsid w:val="00F16400"/>
    <w:rsid w:val="00F1648B"/>
    <w:rsid w:val="00F16493"/>
    <w:rsid w:val="00F164DC"/>
    <w:rsid w:val="00F16581"/>
    <w:rsid w:val="00F1671D"/>
    <w:rsid w:val="00F167A9"/>
    <w:rsid w:val="00F167EA"/>
    <w:rsid w:val="00F16A11"/>
    <w:rsid w:val="00F16A8D"/>
    <w:rsid w:val="00F16B3D"/>
    <w:rsid w:val="00F16E05"/>
    <w:rsid w:val="00F16E42"/>
    <w:rsid w:val="00F16E6A"/>
    <w:rsid w:val="00F16F95"/>
    <w:rsid w:val="00F171FF"/>
    <w:rsid w:val="00F17213"/>
    <w:rsid w:val="00F1725F"/>
    <w:rsid w:val="00F1737D"/>
    <w:rsid w:val="00F17384"/>
    <w:rsid w:val="00F173DF"/>
    <w:rsid w:val="00F1747F"/>
    <w:rsid w:val="00F1759E"/>
    <w:rsid w:val="00F1769E"/>
    <w:rsid w:val="00F17726"/>
    <w:rsid w:val="00F1775E"/>
    <w:rsid w:val="00F177DC"/>
    <w:rsid w:val="00F177F4"/>
    <w:rsid w:val="00F1787C"/>
    <w:rsid w:val="00F178D0"/>
    <w:rsid w:val="00F17945"/>
    <w:rsid w:val="00F17983"/>
    <w:rsid w:val="00F17A38"/>
    <w:rsid w:val="00F17B4C"/>
    <w:rsid w:val="00F17B81"/>
    <w:rsid w:val="00F17C79"/>
    <w:rsid w:val="00F17D2D"/>
    <w:rsid w:val="00F17D9B"/>
    <w:rsid w:val="00F17F20"/>
    <w:rsid w:val="00F17FF2"/>
    <w:rsid w:val="00F20006"/>
    <w:rsid w:val="00F200F1"/>
    <w:rsid w:val="00F20198"/>
    <w:rsid w:val="00F202EF"/>
    <w:rsid w:val="00F2036E"/>
    <w:rsid w:val="00F203FA"/>
    <w:rsid w:val="00F20567"/>
    <w:rsid w:val="00F20783"/>
    <w:rsid w:val="00F207DE"/>
    <w:rsid w:val="00F20860"/>
    <w:rsid w:val="00F208DE"/>
    <w:rsid w:val="00F209AE"/>
    <w:rsid w:val="00F209B9"/>
    <w:rsid w:val="00F20BB1"/>
    <w:rsid w:val="00F20CDB"/>
    <w:rsid w:val="00F20D9A"/>
    <w:rsid w:val="00F20DB7"/>
    <w:rsid w:val="00F20EBE"/>
    <w:rsid w:val="00F20F9C"/>
    <w:rsid w:val="00F210D0"/>
    <w:rsid w:val="00F21135"/>
    <w:rsid w:val="00F211E0"/>
    <w:rsid w:val="00F212FB"/>
    <w:rsid w:val="00F21434"/>
    <w:rsid w:val="00F214C9"/>
    <w:rsid w:val="00F21547"/>
    <w:rsid w:val="00F21648"/>
    <w:rsid w:val="00F21860"/>
    <w:rsid w:val="00F219EF"/>
    <w:rsid w:val="00F21A57"/>
    <w:rsid w:val="00F21AA2"/>
    <w:rsid w:val="00F21B4A"/>
    <w:rsid w:val="00F21BB2"/>
    <w:rsid w:val="00F21C35"/>
    <w:rsid w:val="00F21CA7"/>
    <w:rsid w:val="00F21CD9"/>
    <w:rsid w:val="00F21CE9"/>
    <w:rsid w:val="00F21DAC"/>
    <w:rsid w:val="00F21E05"/>
    <w:rsid w:val="00F21E92"/>
    <w:rsid w:val="00F2211A"/>
    <w:rsid w:val="00F22131"/>
    <w:rsid w:val="00F22354"/>
    <w:rsid w:val="00F2243D"/>
    <w:rsid w:val="00F224D9"/>
    <w:rsid w:val="00F224F6"/>
    <w:rsid w:val="00F22510"/>
    <w:rsid w:val="00F22541"/>
    <w:rsid w:val="00F225FF"/>
    <w:rsid w:val="00F22703"/>
    <w:rsid w:val="00F2272E"/>
    <w:rsid w:val="00F2279B"/>
    <w:rsid w:val="00F22A87"/>
    <w:rsid w:val="00F22B1A"/>
    <w:rsid w:val="00F22B1D"/>
    <w:rsid w:val="00F22C97"/>
    <w:rsid w:val="00F22D44"/>
    <w:rsid w:val="00F22DA5"/>
    <w:rsid w:val="00F22E48"/>
    <w:rsid w:val="00F23058"/>
    <w:rsid w:val="00F230CC"/>
    <w:rsid w:val="00F231CF"/>
    <w:rsid w:val="00F23211"/>
    <w:rsid w:val="00F2323F"/>
    <w:rsid w:val="00F23555"/>
    <w:rsid w:val="00F235CF"/>
    <w:rsid w:val="00F23668"/>
    <w:rsid w:val="00F236F2"/>
    <w:rsid w:val="00F2372C"/>
    <w:rsid w:val="00F2376A"/>
    <w:rsid w:val="00F23794"/>
    <w:rsid w:val="00F2380F"/>
    <w:rsid w:val="00F238AE"/>
    <w:rsid w:val="00F239D5"/>
    <w:rsid w:val="00F239F4"/>
    <w:rsid w:val="00F23A99"/>
    <w:rsid w:val="00F23AF9"/>
    <w:rsid w:val="00F23B46"/>
    <w:rsid w:val="00F23C0E"/>
    <w:rsid w:val="00F23C8F"/>
    <w:rsid w:val="00F23D23"/>
    <w:rsid w:val="00F23D27"/>
    <w:rsid w:val="00F23D71"/>
    <w:rsid w:val="00F23E0A"/>
    <w:rsid w:val="00F23E7A"/>
    <w:rsid w:val="00F23EE5"/>
    <w:rsid w:val="00F240A9"/>
    <w:rsid w:val="00F240E4"/>
    <w:rsid w:val="00F24164"/>
    <w:rsid w:val="00F24179"/>
    <w:rsid w:val="00F24316"/>
    <w:rsid w:val="00F24333"/>
    <w:rsid w:val="00F2445C"/>
    <w:rsid w:val="00F244B2"/>
    <w:rsid w:val="00F244B9"/>
    <w:rsid w:val="00F244D1"/>
    <w:rsid w:val="00F244F5"/>
    <w:rsid w:val="00F244F7"/>
    <w:rsid w:val="00F24588"/>
    <w:rsid w:val="00F245CF"/>
    <w:rsid w:val="00F24745"/>
    <w:rsid w:val="00F24778"/>
    <w:rsid w:val="00F247D5"/>
    <w:rsid w:val="00F247E2"/>
    <w:rsid w:val="00F2490A"/>
    <w:rsid w:val="00F24955"/>
    <w:rsid w:val="00F2495C"/>
    <w:rsid w:val="00F249E7"/>
    <w:rsid w:val="00F24A50"/>
    <w:rsid w:val="00F24ACF"/>
    <w:rsid w:val="00F24B7E"/>
    <w:rsid w:val="00F24C65"/>
    <w:rsid w:val="00F24D1B"/>
    <w:rsid w:val="00F24D41"/>
    <w:rsid w:val="00F24D61"/>
    <w:rsid w:val="00F24F16"/>
    <w:rsid w:val="00F2508D"/>
    <w:rsid w:val="00F250DD"/>
    <w:rsid w:val="00F25174"/>
    <w:rsid w:val="00F2524E"/>
    <w:rsid w:val="00F252CF"/>
    <w:rsid w:val="00F2571E"/>
    <w:rsid w:val="00F257F1"/>
    <w:rsid w:val="00F25849"/>
    <w:rsid w:val="00F25862"/>
    <w:rsid w:val="00F25946"/>
    <w:rsid w:val="00F259BD"/>
    <w:rsid w:val="00F259F2"/>
    <w:rsid w:val="00F25A6F"/>
    <w:rsid w:val="00F25AAE"/>
    <w:rsid w:val="00F25AB6"/>
    <w:rsid w:val="00F25B50"/>
    <w:rsid w:val="00F25B75"/>
    <w:rsid w:val="00F25B7C"/>
    <w:rsid w:val="00F25CC1"/>
    <w:rsid w:val="00F25D10"/>
    <w:rsid w:val="00F25D80"/>
    <w:rsid w:val="00F25E56"/>
    <w:rsid w:val="00F25EE4"/>
    <w:rsid w:val="00F25F3B"/>
    <w:rsid w:val="00F25F79"/>
    <w:rsid w:val="00F26051"/>
    <w:rsid w:val="00F260D9"/>
    <w:rsid w:val="00F260FB"/>
    <w:rsid w:val="00F26169"/>
    <w:rsid w:val="00F2623B"/>
    <w:rsid w:val="00F26295"/>
    <w:rsid w:val="00F2640E"/>
    <w:rsid w:val="00F26449"/>
    <w:rsid w:val="00F264D0"/>
    <w:rsid w:val="00F26511"/>
    <w:rsid w:val="00F26522"/>
    <w:rsid w:val="00F265DC"/>
    <w:rsid w:val="00F267FA"/>
    <w:rsid w:val="00F267FD"/>
    <w:rsid w:val="00F26903"/>
    <w:rsid w:val="00F26913"/>
    <w:rsid w:val="00F269A7"/>
    <w:rsid w:val="00F269B2"/>
    <w:rsid w:val="00F26A1E"/>
    <w:rsid w:val="00F26A84"/>
    <w:rsid w:val="00F26A95"/>
    <w:rsid w:val="00F26ABD"/>
    <w:rsid w:val="00F26C2B"/>
    <w:rsid w:val="00F26D17"/>
    <w:rsid w:val="00F26E4D"/>
    <w:rsid w:val="00F26F14"/>
    <w:rsid w:val="00F26F6C"/>
    <w:rsid w:val="00F26F7D"/>
    <w:rsid w:val="00F26F81"/>
    <w:rsid w:val="00F27067"/>
    <w:rsid w:val="00F2710D"/>
    <w:rsid w:val="00F2713E"/>
    <w:rsid w:val="00F27163"/>
    <w:rsid w:val="00F271BE"/>
    <w:rsid w:val="00F271C5"/>
    <w:rsid w:val="00F271EB"/>
    <w:rsid w:val="00F271F2"/>
    <w:rsid w:val="00F27222"/>
    <w:rsid w:val="00F2722E"/>
    <w:rsid w:val="00F273D2"/>
    <w:rsid w:val="00F27406"/>
    <w:rsid w:val="00F27418"/>
    <w:rsid w:val="00F2743F"/>
    <w:rsid w:val="00F27478"/>
    <w:rsid w:val="00F27575"/>
    <w:rsid w:val="00F27782"/>
    <w:rsid w:val="00F2779B"/>
    <w:rsid w:val="00F27943"/>
    <w:rsid w:val="00F2794F"/>
    <w:rsid w:val="00F279A7"/>
    <w:rsid w:val="00F27BAC"/>
    <w:rsid w:val="00F27CA4"/>
    <w:rsid w:val="00F27CF3"/>
    <w:rsid w:val="00F27E44"/>
    <w:rsid w:val="00F27E7E"/>
    <w:rsid w:val="00F27F09"/>
    <w:rsid w:val="00F27F3C"/>
    <w:rsid w:val="00F27F8E"/>
    <w:rsid w:val="00F30026"/>
    <w:rsid w:val="00F30089"/>
    <w:rsid w:val="00F300BE"/>
    <w:rsid w:val="00F300DA"/>
    <w:rsid w:val="00F300F2"/>
    <w:rsid w:val="00F3010F"/>
    <w:rsid w:val="00F30321"/>
    <w:rsid w:val="00F303C0"/>
    <w:rsid w:val="00F30518"/>
    <w:rsid w:val="00F3052F"/>
    <w:rsid w:val="00F30571"/>
    <w:rsid w:val="00F305C2"/>
    <w:rsid w:val="00F3062C"/>
    <w:rsid w:val="00F306B7"/>
    <w:rsid w:val="00F306F1"/>
    <w:rsid w:val="00F3081C"/>
    <w:rsid w:val="00F308AE"/>
    <w:rsid w:val="00F30946"/>
    <w:rsid w:val="00F3097E"/>
    <w:rsid w:val="00F309B8"/>
    <w:rsid w:val="00F30B3E"/>
    <w:rsid w:val="00F30B44"/>
    <w:rsid w:val="00F30C12"/>
    <w:rsid w:val="00F30D6C"/>
    <w:rsid w:val="00F30DBA"/>
    <w:rsid w:val="00F30DFD"/>
    <w:rsid w:val="00F30FF0"/>
    <w:rsid w:val="00F31073"/>
    <w:rsid w:val="00F3112D"/>
    <w:rsid w:val="00F3126B"/>
    <w:rsid w:val="00F312E2"/>
    <w:rsid w:val="00F31308"/>
    <w:rsid w:val="00F313F6"/>
    <w:rsid w:val="00F31412"/>
    <w:rsid w:val="00F3144D"/>
    <w:rsid w:val="00F31477"/>
    <w:rsid w:val="00F314D5"/>
    <w:rsid w:val="00F31518"/>
    <w:rsid w:val="00F315A0"/>
    <w:rsid w:val="00F315C2"/>
    <w:rsid w:val="00F316AF"/>
    <w:rsid w:val="00F317AC"/>
    <w:rsid w:val="00F31845"/>
    <w:rsid w:val="00F318EC"/>
    <w:rsid w:val="00F31973"/>
    <w:rsid w:val="00F31AAB"/>
    <w:rsid w:val="00F31AE4"/>
    <w:rsid w:val="00F31B43"/>
    <w:rsid w:val="00F31B9D"/>
    <w:rsid w:val="00F31C94"/>
    <w:rsid w:val="00F31CE0"/>
    <w:rsid w:val="00F31E12"/>
    <w:rsid w:val="00F31F7C"/>
    <w:rsid w:val="00F31FEB"/>
    <w:rsid w:val="00F32098"/>
    <w:rsid w:val="00F320D0"/>
    <w:rsid w:val="00F3212F"/>
    <w:rsid w:val="00F32338"/>
    <w:rsid w:val="00F32483"/>
    <w:rsid w:val="00F325A3"/>
    <w:rsid w:val="00F32633"/>
    <w:rsid w:val="00F32651"/>
    <w:rsid w:val="00F32684"/>
    <w:rsid w:val="00F32783"/>
    <w:rsid w:val="00F327A5"/>
    <w:rsid w:val="00F32882"/>
    <w:rsid w:val="00F32A89"/>
    <w:rsid w:val="00F32AA5"/>
    <w:rsid w:val="00F32B26"/>
    <w:rsid w:val="00F32BD9"/>
    <w:rsid w:val="00F32BE7"/>
    <w:rsid w:val="00F32CA9"/>
    <w:rsid w:val="00F32CDD"/>
    <w:rsid w:val="00F32CEF"/>
    <w:rsid w:val="00F32E07"/>
    <w:rsid w:val="00F32E12"/>
    <w:rsid w:val="00F32F48"/>
    <w:rsid w:val="00F32F99"/>
    <w:rsid w:val="00F32FC0"/>
    <w:rsid w:val="00F32FE6"/>
    <w:rsid w:val="00F33030"/>
    <w:rsid w:val="00F3303C"/>
    <w:rsid w:val="00F3307B"/>
    <w:rsid w:val="00F33174"/>
    <w:rsid w:val="00F33192"/>
    <w:rsid w:val="00F33212"/>
    <w:rsid w:val="00F33260"/>
    <w:rsid w:val="00F3336E"/>
    <w:rsid w:val="00F33457"/>
    <w:rsid w:val="00F334E6"/>
    <w:rsid w:val="00F33546"/>
    <w:rsid w:val="00F3365A"/>
    <w:rsid w:val="00F336AE"/>
    <w:rsid w:val="00F337CB"/>
    <w:rsid w:val="00F337F5"/>
    <w:rsid w:val="00F3382F"/>
    <w:rsid w:val="00F3383D"/>
    <w:rsid w:val="00F33846"/>
    <w:rsid w:val="00F3387E"/>
    <w:rsid w:val="00F339B1"/>
    <w:rsid w:val="00F339B9"/>
    <w:rsid w:val="00F33A68"/>
    <w:rsid w:val="00F33ABC"/>
    <w:rsid w:val="00F33AD6"/>
    <w:rsid w:val="00F33B23"/>
    <w:rsid w:val="00F33B86"/>
    <w:rsid w:val="00F33B9A"/>
    <w:rsid w:val="00F33BBA"/>
    <w:rsid w:val="00F33BF0"/>
    <w:rsid w:val="00F33DC1"/>
    <w:rsid w:val="00F33F70"/>
    <w:rsid w:val="00F33FDB"/>
    <w:rsid w:val="00F34177"/>
    <w:rsid w:val="00F34185"/>
    <w:rsid w:val="00F3420C"/>
    <w:rsid w:val="00F3424C"/>
    <w:rsid w:val="00F342B5"/>
    <w:rsid w:val="00F342F3"/>
    <w:rsid w:val="00F34493"/>
    <w:rsid w:val="00F34530"/>
    <w:rsid w:val="00F3455C"/>
    <w:rsid w:val="00F3461C"/>
    <w:rsid w:val="00F34648"/>
    <w:rsid w:val="00F346B3"/>
    <w:rsid w:val="00F347C0"/>
    <w:rsid w:val="00F34822"/>
    <w:rsid w:val="00F34AC5"/>
    <w:rsid w:val="00F34B20"/>
    <w:rsid w:val="00F34B74"/>
    <w:rsid w:val="00F34BA6"/>
    <w:rsid w:val="00F34BC6"/>
    <w:rsid w:val="00F34D7C"/>
    <w:rsid w:val="00F34E1E"/>
    <w:rsid w:val="00F34EA6"/>
    <w:rsid w:val="00F350BC"/>
    <w:rsid w:val="00F351A2"/>
    <w:rsid w:val="00F351A5"/>
    <w:rsid w:val="00F3523C"/>
    <w:rsid w:val="00F3531E"/>
    <w:rsid w:val="00F35376"/>
    <w:rsid w:val="00F35383"/>
    <w:rsid w:val="00F3540B"/>
    <w:rsid w:val="00F3543E"/>
    <w:rsid w:val="00F35615"/>
    <w:rsid w:val="00F356C0"/>
    <w:rsid w:val="00F357A9"/>
    <w:rsid w:val="00F35AB0"/>
    <w:rsid w:val="00F35AC2"/>
    <w:rsid w:val="00F35AD0"/>
    <w:rsid w:val="00F35B23"/>
    <w:rsid w:val="00F35BFA"/>
    <w:rsid w:val="00F35D19"/>
    <w:rsid w:val="00F35D7F"/>
    <w:rsid w:val="00F35DAA"/>
    <w:rsid w:val="00F35DC5"/>
    <w:rsid w:val="00F35ED0"/>
    <w:rsid w:val="00F36137"/>
    <w:rsid w:val="00F36346"/>
    <w:rsid w:val="00F3635D"/>
    <w:rsid w:val="00F3641E"/>
    <w:rsid w:val="00F3643D"/>
    <w:rsid w:val="00F3647D"/>
    <w:rsid w:val="00F3652F"/>
    <w:rsid w:val="00F36593"/>
    <w:rsid w:val="00F366A3"/>
    <w:rsid w:val="00F36723"/>
    <w:rsid w:val="00F367AE"/>
    <w:rsid w:val="00F367D9"/>
    <w:rsid w:val="00F3680E"/>
    <w:rsid w:val="00F36860"/>
    <w:rsid w:val="00F369A9"/>
    <w:rsid w:val="00F36A2A"/>
    <w:rsid w:val="00F36A57"/>
    <w:rsid w:val="00F36B3A"/>
    <w:rsid w:val="00F36BE1"/>
    <w:rsid w:val="00F36C2C"/>
    <w:rsid w:val="00F36C38"/>
    <w:rsid w:val="00F36CBC"/>
    <w:rsid w:val="00F36CBD"/>
    <w:rsid w:val="00F36D18"/>
    <w:rsid w:val="00F36D25"/>
    <w:rsid w:val="00F36DA6"/>
    <w:rsid w:val="00F36E93"/>
    <w:rsid w:val="00F36F46"/>
    <w:rsid w:val="00F370CB"/>
    <w:rsid w:val="00F37149"/>
    <w:rsid w:val="00F37165"/>
    <w:rsid w:val="00F37274"/>
    <w:rsid w:val="00F37356"/>
    <w:rsid w:val="00F373A2"/>
    <w:rsid w:val="00F373EF"/>
    <w:rsid w:val="00F373F9"/>
    <w:rsid w:val="00F373FB"/>
    <w:rsid w:val="00F37472"/>
    <w:rsid w:val="00F376A1"/>
    <w:rsid w:val="00F3773F"/>
    <w:rsid w:val="00F37796"/>
    <w:rsid w:val="00F37884"/>
    <w:rsid w:val="00F37947"/>
    <w:rsid w:val="00F37953"/>
    <w:rsid w:val="00F3799D"/>
    <w:rsid w:val="00F379F8"/>
    <w:rsid w:val="00F37A63"/>
    <w:rsid w:val="00F37A8D"/>
    <w:rsid w:val="00F37BEA"/>
    <w:rsid w:val="00F37CA2"/>
    <w:rsid w:val="00F37D4B"/>
    <w:rsid w:val="00F37D6E"/>
    <w:rsid w:val="00F37D85"/>
    <w:rsid w:val="00F37E82"/>
    <w:rsid w:val="00F37E92"/>
    <w:rsid w:val="00F40074"/>
    <w:rsid w:val="00F400A9"/>
    <w:rsid w:val="00F400E1"/>
    <w:rsid w:val="00F401B7"/>
    <w:rsid w:val="00F402A9"/>
    <w:rsid w:val="00F402E8"/>
    <w:rsid w:val="00F402EE"/>
    <w:rsid w:val="00F403DD"/>
    <w:rsid w:val="00F40444"/>
    <w:rsid w:val="00F40556"/>
    <w:rsid w:val="00F40667"/>
    <w:rsid w:val="00F4066A"/>
    <w:rsid w:val="00F4067D"/>
    <w:rsid w:val="00F406E5"/>
    <w:rsid w:val="00F40755"/>
    <w:rsid w:val="00F40805"/>
    <w:rsid w:val="00F40892"/>
    <w:rsid w:val="00F4089D"/>
    <w:rsid w:val="00F40AB4"/>
    <w:rsid w:val="00F40C12"/>
    <w:rsid w:val="00F40D83"/>
    <w:rsid w:val="00F40E93"/>
    <w:rsid w:val="00F40EF4"/>
    <w:rsid w:val="00F40F59"/>
    <w:rsid w:val="00F410D8"/>
    <w:rsid w:val="00F4127D"/>
    <w:rsid w:val="00F413A5"/>
    <w:rsid w:val="00F413E1"/>
    <w:rsid w:val="00F41444"/>
    <w:rsid w:val="00F41450"/>
    <w:rsid w:val="00F414CB"/>
    <w:rsid w:val="00F41605"/>
    <w:rsid w:val="00F41642"/>
    <w:rsid w:val="00F41661"/>
    <w:rsid w:val="00F41674"/>
    <w:rsid w:val="00F416B9"/>
    <w:rsid w:val="00F416DC"/>
    <w:rsid w:val="00F41742"/>
    <w:rsid w:val="00F417EA"/>
    <w:rsid w:val="00F41866"/>
    <w:rsid w:val="00F4188D"/>
    <w:rsid w:val="00F41912"/>
    <w:rsid w:val="00F419F0"/>
    <w:rsid w:val="00F41A80"/>
    <w:rsid w:val="00F41BF2"/>
    <w:rsid w:val="00F41C4D"/>
    <w:rsid w:val="00F41C9F"/>
    <w:rsid w:val="00F41DDE"/>
    <w:rsid w:val="00F41E02"/>
    <w:rsid w:val="00F41EBA"/>
    <w:rsid w:val="00F41ED7"/>
    <w:rsid w:val="00F41F0E"/>
    <w:rsid w:val="00F41F85"/>
    <w:rsid w:val="00F420AF"/>
    <w:rsid w:val="00F420D0"/>
    <w:rsid w:val="00F42117"/>
    <w:rsid w:val="00F4211D"/>
    <w:rsid w:val="00F421D2"/>
    <w:rsid w:val="00F42218"/>
    <w:rsid w:val="00F423FF"/>
    <w:rsid w:val="00F42498"/>
    <w:rsid w:val="00F42586"/>
    <w:rsid w:val="00F428AC"/>
    <w:rsid w:val="00F429CA"/>
    <w:rsid w:val="00F42A12"/>
    <w:rsid w:val="00F42AAE"/>
    <w:rsid w:val="00F42B15"/>
    <w:rsid w:val="00F42B20"/>
    <w:rsid w:val="00F42B84"/>
    <w:rsid w:val="00F42C1C"/>
    <w:rsid w:val="00F42C46"/>
    <w:rsid w:val="00F42C53"/>
    <w:rsid w:val="00F42CF0"/>
    <w:rsid w:val="00F42D46"/>
    <w:rsid w:val="00F42E20"/>
    <w:rsid w:val="00F42EEA"/>
    <w:rsid w:val="00F42F24"/>
    <w:rsid w:val="00F42FD1"/>
    <w:rsid w:val="00F43026"/>
    <w:rsid w:val="00F43080"/>
    <w:rsid w:val="00F4308F"/>
    <w:rsid w:val="00F4320C"/>
    <w:rsid w:val="00F432EC"/>
    <w:rsid w:val="00F43312"/>
    <w:rsid w:val="00F43390"/>
    <w:rsid w:val="00F433D5"/>
    <w:rsid w:val="00F43402"/>
    <w:rsid w:val="00F435B4"/>
    <w:rsid w:val="00F435D4"/>
    <w:rsid w:val="00F435D5"/>
    <w:rsid w:val="00F4363F"/>
    <w:rsid w:val="00F4370B"/>
    <w:rsid w:val="00F43724"/>
    <w:rsid w:val="00F43793"/>
    <w:rsid w:val="00F4381A"/>
    <w:rsid w:val="00F4384F"/>
    <w:rsid w:val="00F4387D"/>
    <w:rsid w:val="00F438CE"/>
    <w:rsid w:val="00F43954"/>
    <w:rsid w:val="00F43AAF"/>
    <w:rsid w:val="00F43AC0"/>
    <w:rsid w:val="00F43B42"/>
    <w:rsid w:val="00F43C36"/>
    <w:rsid w:val="00F43CB7"/>
    <w:rsid w:val="00F43E39"/>
    <w:rsid w:val="00F43E4F"/>
    <w:rsid w:val="00F44186"/>
    <w:rsid w:val="00F442BF"/>
    <w:rsid w:val="00F442E5"/>
    <w:rsid w:val="00F44313"/>
    <w:rsid w:val="00F4436B"/>
    <w:rsid w:val="00F4444D"/>
    <w:rsid w:val="00F44486"/>
    <w:rsid w:val="00F444D6"/>
    <w:rsid w:val="00F444FA"/>
    <w:rsid w:val="00F44550"/>
    <w:rsid w:val="00F44557"/>
    <w:rsid w:val="00F445DB"/>
    <w:rsid w:val="00F446C1"/>
    <w:rsid w:val="00F44719"/>
    <w:rsid w:val="00F4471D"/>
    <w:rsid w:val="00F448F1"/>
    <w:rsid w:val="00F4499E"/>
    <w:rsid w:val="00F449C3"/>
    <w:rsid w:val="00F44C78"/>
    <w:rsid w:val="00F44C89"/>
    <w:rsid w:val="00F44CD0"/>
    <w:rsid w:val="00F44CDF"/>
    <w:rsid w:val="00F44D37"/>
    <w:rsid w:val="00F44D3D"/>
    <w:rsid w:val="00F44E8A"/>
    <w:rsid w:val="00F44FE0"/>
    <w:rsid w:val="00F45058"/>
    <w:rsid w:val="00F450DF"/>
    <w:rsid w:val="00F45149"/>
    <w:rsid w:val="00F451B9"/>
    <w:rsid w:val="00F451BE"/>
    <w:rsid w:val="00F4548A"/>
    <w:rsid w:val="00F45490"/>
    <w:rsid w:val="00F454DE"/>
    <w:rsid w:val="00F4554A"/>
    <w:rsid w:val="00F455A2"/>
    <w:rsid w:val="00F4560A"/>
    <w:rsid w:val="00F4568A"/>
    <w:rsid w:val="00F456D4"/>
    <w:rsid w:val="00F457C7"/>
    <w:rsid w:val="00F45890"/>
    <w:rsid w:val="00F458F7"/>
    <w:rsid w:val="00F459BC"/>
    <w:rsid w:val="00F45A79"/>
    <w:rsid w:val="00F45A7C"/>
    <w:rsid w:val="00F45C1F"/>
    <w:rsid w:val="00F45CC0"/>
    <w:rsid w:val="00F45DE9"/>
    <w:rsid w:val="00F45F4F"/>
    <w:rsid w:val="00F45F64"/>
    <w:rsid w:val="00F46099"/>
    <w:rsid w:val="00F460D7"/>
    <w:rsid w:val="00F46103"/>
    <w:rsid w:val="00F4613A"/>
    <w:rsid w:val="00F461BA"/>
    <w:rsid w:val="00F46221"/>
    <w:rsid w:val="00F46286"/>
    <w:rsid w:val="00F462D8"/>
    <w:rsid w:val="00F4639D"/>
    <w:rsid w:val="00F463FA"/>
    <w:rsid w:val="00F46471"/>
    <w:rsid w:val="00F4649A"/>
    <w:rsid w:val="00F464E8"/>
    <w:rsid w:val="00F46504"/>
    <w:rsid w:val="00F4652E"/>
    <w:rsid w:val="00F46634"/>
    <w:rsid w:val="00F46678"/>
    <w:rsid w:val="00F466DA"/>
    <w:rsid w:val="00F46705"/>
    <w:rsid w:val="00F46839"/>
    <w:rsid w:val="00F4687D"/>
    <w:rsid w:val="00F4688C"/>
    <w:rsid w:val="00F46996"/>
    <w:rsid w:val="00F469C5"/>
    <w:rsid w:val="00F46A4A"/>
    <w:rsid w:val="00F46AC3"/>
    <w:rsid w:val="00F46B4F"/>
    <w:rsid w:val="00F46C15"/>
    <w:rsid w:val="00F46DFD"/>
    <w:rsid w:val="00F46E0D"/>
    <w:rsid w:val="00F46F14"/>
    <w:rsid w:val="00F46FD4"/>
    <w:rsid w:val="00F46FD8"/>
    <w:rsid w:val="00F47101"/>
    <w:rsid w:val="00F47136"/>
    <w:rsid w:val="00F47149"/>
    <w:rsid w:val="00F4716D"/>
    <w:rsid w:val="00F471E7"/>
    <w:rsid w:val="00F4721A"/>
    <w:rsid w:val="00F473FD"/>
    <w:rsid w:val="00F47417"/>
    <w:rsid w:val="00F47506"/>
    <w:rsid w:val="00F475C8"/>
    <w:rsid w:val="00F475E3"/>
    <w:rsid w:val="00F47611"/>
    <w:rsid w:val="00F4767D"/>
    <w:rsid w:val="00F47729"/>
    <w:rsid w:val="00F479AF"/>
    <w:rsid w:val="00F47A16"/>
    <w:rsid w:val="00F47B2C"/>
    <w:rsid w:val="00F47B58"/>
    <w:rsid w:val="00F47B6E"/>
    <w:rsid w:val="00F47CA0"/>
    <w:rsid w:val="00F47CAC"/>
    <w:rsid w:val="00F47CD6"/>
    <w:rsid w:val="00F47CFA"/>
    <w:rsid w:val="00F47D69"/>
    <w:rsid w:val="00F47E85"/>
    <w:rsid w:val="00F47EBC"/>
    <w:rsid w:val="00F47EC3"/>
    <w:rsid w:val="00F47F79"/>
    <w:rsid w:val="00F47FA3"/>
    <w:rsid w:val="00F50017"/>
    <w:rsid w:val="00F500F0"/>
    <w:rsid w:val="00F50162"/>
    <w:rsid w:val="00F502C4"/>
    <w:rsid w:val="00F502E9"/>
    <w:rsid w:val="00F50321"/>
    <w:rsid w:val="00F504B5"/>
    <w:rsid w:val="00F5052D"/>
    <w:rsid w:val="00F50784"/>
    <w:rsid w:val="00F507C0"/>
    <w:rsid w:val="00F50902"/>
    <w:rsid w:val="00F50923"/>
    <w:rsid w:val="00F50934"/>
    <w:rsid w:val="00F50963"/>
    <w:rsid w:val="00F5098E"/>
    <w:rsid w:val="00F509E5"/>
    <w:rsid w:val="00F50A97"/>
    <w:rsid w:val="00F50B43"/>
    <w:rsid w:val="00F50C31"/>
    <w:rsid w:val="00F50D8C"/>
    <w:rsid w:val="00F50EA1"/>
    <w:rsid w:val="00F50F93"/>
    <w:rsid w:val="00F50F94"/>
    <w:rsid w:val="00F50FC0"/>
    <w:rsid w:val="00F50FF2"/>
    <w:rsid w:val="00F51023"/>
    <w:rsid w:val="00F5122A"/>
    <w:rsid w:val="00F51250"/>
    <w:rsid w:val="00F5142F"/>
    <w:rsid w:val="00F5147C"/>
    <w:rsid w:val="00F5155F"/>
    <w:rsid w:val="00F51655"/>
    <w:rsid w:val="00F5166D"/>
    <w:rsid w:val="00F516E8"/>
    <w:rsid w:val="00F5182F"/>
    <w:rsid w:val="00F518B7"/>
    <w:rsid w:val="00F51A4F"/>
    <w:rsid w:val="00F51A81"/>
    <w:rsid w:val="00F51AA9"/>
    <w:rsid w:val="00F51CA3"/>
    <w:rsid w:val="00F51D76"/>
    <w:rsid w:val="00F51DB1"/>
    <w:rsid w:val="00F51E5E"/>
    <w:rsid w:val="00F51E8E"/>
    <w:rsid w:val="00F51F7D"/>
    <w:rsid w:val="00F52018"/>
    <w:rsid w:val="00F5207B"/>
    <w:rsid w:val="00F52170"/>
    <w:rsid w:val="00F5218F"/>
    <w:rsid w:val="00F5230F"/>
    <w:rsid w:val="00F523CA"/>
    <w:rsid w:val="00F52448"/>
    <w:rsid w:val="00F52499"/>
    <w:rsid w:val="00F524AF"/>
    <w:rsid w:val="00F52639"/>
    <w:rsid w:val="00F52672"/>
    <w:rsid w:val="00F52789"/>
    <w:rsid w:val="00F527DB"/>
    <w:rsid w:val="00F528DA"/>
    <w:rsid w:val="00F52ACC"/>
    <w:rsid w:val="00F52C65"/>
    <w:rsid w:val="00F52DE0"/>
    <w:rsid w:val="00F52E0B"/>
    <w:rsid w:val="00F52E77"/>
    <w:rsid w:val="00F52E7B"/>
    <w:rsid w:val="00F52F9F"/>
    <w:rsid w:val="00F5300D"/>
    <w:rsid w:val="00F53100"/>
    <w:rsid w:val="00F5313F"/>
    <w:rsid w:val="00F5318A"/>
    <w:rsid w:val="00F53220"/>
    <w:rsid w:val="00F53325"/>
    <w:rsid w:val="00F53377"/>
    <w:rsid w:val="00F533CE"/>
    <w:rsid w:val="00F53404"/>
    <w:rsid w:val="00F53517"/>
    <w:rsid w:val="00F53832"/>
    <w:rsid w:val="00F538E0"/>
    <w:rsid w:val="00F539D3"/>
    <w:rsid w:val="00F53C00"/>
    <w:rsid w:val="00F53C64"/>
    <w:rsid w:val="00F53DFC"/>
    <w:rsid w:val="00F53E15"/>
    <w:rsid w:val="00F53E3A"/>
    <w:rsid w:val="00F53E60"/>
    <w:rsid w:val="00F53E74"/>
    <w:rsid w:val="00F53E7F"/>
    <w:rsid w:val="00F53EDD"/>
    <w:rsid w:val="00F53F8E"/>
    <w:rsid w:val="00F54092"/>
    <w:rsid w:val="00F540F0"/>
    <w:rsid w:val="00F5429E"/>
    <w:rsid w:val="00F542A6"/>
    <w:rsid w:val="00F542F7"/>
    <w:rsid w:val="00F54455"/>
    <w:rsid w:val="00F548B5"/>
    <w:rsid w:val="00F549B4"/>
    <w:rsid w:val="00F54A3A"/>
    <w:rsid w:val="00F54A67"/>
    <w:rsid w:val="00F54AE7"/>
    <w:rsid w:val="00F54B91"/>
    <w:rsid w:val="00F54BFF"/>
    <w:rsid w:val="00F54C6C"/>
    <w:rsid w:val="00F54DA1"/>
    <w:rsid w:val="00F54E58"/>
    <w:rsid w:val="00F54E6B"/>
    <w:rsid w:val="00F54E93"/>
    <w:rsid w:val="00F54EFC"/>
    <w:rsid w:val="00F54F6E"/>
    <w:rsid w:val="00F55051"/>
    <w:rsid w:val="00F550C8"/>
    <w:rsid w:val="00F551F8"/>
    <w:rsid w:val="00F55231"/>
    <w:rsid w:val="00F554FC"/>
    <w:rsid w:val="00F55518"/>
    <w:rsid w:val="00F5552E"/>
    <w:rsid w:val="00F55585"/>
    <w:rsid w:val="00F555E6"/>
    <w:rsid w:val="00F55602"/>
    <w:rsid w:val="00F55606"/>
    <w:rsid w:val="00F5571C"/>
    <w:rsid w:val="00F5571E"/>
    <w:rsid w:val="00F5578D"/>
    <w:rsid w:val="00F558B1"/>
    <w:rsid w:val="00F558B9"/>
    <w:rsid w:val="00F55B4F"/>
    <w:rsid w:val="00F55C1C"/>
    <w:rsid w:val="00F55CA3"/>
    <w:rsid w:val="00F55D39"/>
    <w:rsid w:val="00F55EC4"/>
    <w:rsid w:val="00F55F84"/>
    <w:rsid w:val="00F56010"/>
    <w:rsid w:val="00F5603E"/>
    <w:rsid w:val="00F56185"/>
    <w:rsid w:val="00F56267"/>
    <w:rsid w:val="00F56279"/>
    <w:rsid w:val="00F56284"/>
    <w:rsid w:val="00F562D0"/>
    <w:rsid w:val="00F56315"/>
    <w:rsid w:val="00F56373"/>
    <w:rsid w:val="00F5638E"/>
    <w:rsid w:val="00F5654D"/>
    <w:rsid w:val="00F56580"/>
    <w:rsid w:val="00F565E5"/>
    <w:rsid w:val="00F566D8"/>
    <w:rsid w:val="00F566EC"/>
    <w:rsid w:val="00F56759"/>
    <w:rsid w:val="00F568EC"/>
    <w:rsid w:val="00F56914"/>
    <w:rsid w:val="00F56966"/>
    <w:rsid w:val="00F5698E"/>
    <w:rsid w:val="00F56ADB"/>
    <w:rsid w:val="00F56BFC"/>
    <w:rsid w:val="00F56C18"/>
    <w:rsid w:val="00F56C82"/>
    <w:rsid w:val="00F56D12"/>
    <w:rsid w:val="00F56D16"/>
    <w:rsid w:val="00F56D86"/>
    <w:rsid w:val="00F56DA6"/>
    <w:rsid w:val="00F56DC5"/>
    <w:rsid w:val="00F56E4E"/>
    <w:rsid w:val="00F56EE9"/>
    <w:rsid w:val="00F56FF5"/>
    <w:rsid w:val="00F5718D"/>
    <w:rsid w:val="00F5724A"/>
    <w:rsid w:val="00F572AB"/>
    <w:rsid w:val="00F573D4"/>
    <w:rsid w:val="00F5742F"/>
    <w:rsid w:val="00F57584"/>
    <w:rsid w:val="00F575C3"/>
    <w:rsid w:val="00F5764F"/>
    <w:rsid w:val="00F5765B"/>
    <w:rsid w:val="00F576DC"/>
    <w:rsid w:val="00F57793"/>
    <w:rsid w:val="00F5789C"/>
    <w:rsid w:val="00F5797A"/>
    <w:rsid w:val="00F5799C"/>
    <w:rsid w:val="00F57A3A"/>
    <w:rsid w:val="00F57ADA"/>
    <w:rsid w:val="00F57AEF"/>
    <w:rsid w:val="00F57B70"/>
    <w:rsid w:val="00F57C19"/>
    <w:rsid w:val="00F57CA1"/>
    <w:rsid w:val="00F57D23"/>
    <w:rsid w:val="00F57EE5"/>
    <w:rsid w:val="00F57F6A"/>
    <w:rsid w:val="00F57F84"/>
    <w:rsid w:val="00F60032"/>
    <w:rsid w:val="00F6028D"/>
    <w:rsid w:val="00F603CD"/>
    <w:rsid w:val="00F604FF"/>
    <w:rsid w:val="00F60646"/>
    <w:rsid w:val="00F6085C"/>
    <w:rsid w:val="00F608A6"/>
    <w:rsid w:val="00F608EA"/>
    <w:rsid w:val="00F609A1"/>
    <w:rsid w:val="00F609E0"/>
    <w:rsid w:val="00F60A9D"/>
    <w:rsid w:val="00F60AFB"/>
    <w:rsid w:val="00F60BA0"/>
    <w:rsid w:val="00F60D35"/>
    <w:rsid w:val="00F60D74"/>
    <w:rsid w:val="00F60E5C"/>
    <w:rsid w:val="00F60E6C"/>
    <w:rsid w:val="00F60E6F"/>
    <w:rsid w:val="00F60ECC"/>
    <w:rsid w:val="00F61124"/>
    <w:rsid w:val="00F6126C"/>
    <w:rsid w:val="00F6128C"/>
    <w:rsid w:val="00F6131A"/>
    <w:rsid w:val="00F61333"/>
    <w:rsid w:val="00F6133B"/>
    <w:rsid w:val="00F6133E"/>
    <w:rsid w:val="00F613DE"/>
    <w:rsid w:val="00F613FE"/>
    <w:rsid w:val="00F614A1"/>
    <w:rsid w:val="00F616FF"/>
    <w:rsid w:val="00F617A6"/>
    <w:rsid w:val="00F61849"/>
    <w:rsid w:val="00F61871"/>
    <w:rsid w:val="00F61926"/>
    <w:rsid w:val="00F61972"/>
    <w:rsid w:val="00F6197A"/>
    <w:rsid w:val="00F619CA"/>
    <w:rsid w:val="00F619E1"/>
    <w:rsid w:val="00F61ABA"/>
    <w:rsid w:val="00F61BD4"/>
    <w:rsid w:val="00F61BEB"/>
    <w:rsid w:val="00F61C4D"/>
    <w:rsid w:val="00F61CB2"/>
    <w:rsid w:val="00F61CCB"/>
    <w:rsid w:val="00F61E11"/>
    <w:rsid w:val="00F61E6D"/>
    <w:rsid w:val="00F61F05"/>
    <w:rsid w:val="00F61F26"/>
    <w:rsid w:val="00F61FE1"/>
    <w:rsid w:val="00F62032"/>
    <w:rsid w:val="00F6205E"/>
    <w:rsid w:val="00F6206F"/>
    <w:rsid w:val="00F620DA"/>
    <w:rsid w:val="00F620FD"/>
    <w:rsid w:val="00F621BA"/>
    <w:rsid w:val="00F622D6"/>
    <w:rsid w:val="00F62458"/>
    <w:rsid w:val="00F6248F"/>
    <w:rsid w:val="00F625D5"/>
    <w:rsid w:val="00F62601"/>
    <w:rsid w:val="00F62616"/>
    <w:rsid w:val="00F62709"/>
    <w:rsid w:val="00F6273B"/>
    <w:rsid w:val="00F62792"/>
    <w:rsid w:val="00F6281A"/>
    <w:rsid w:val="00F6293B"/>
    <w:rsid w:val="00F62943"/>
    <w:rsid w:val="00F62950"/>
    <w:rsid w:val="00F62994"/>
    <w:rsid w:val="00F629B1"/>
    <w:rsid w:val="00F62A41"/>
    <w:rsid w:val="00F62A9A"/>
    <w:rsid w:val="00F62BF6"/>
    <w:rsid w:val="00F62BFC"/>
    <w:rsid w:val="00F62C05"/>
    <w:rsid w:val="00F62CD0"/>
    <w:rsid w:val="00F62E57"/>
    <w:rsid w:val="00F62EBE"/>
    <w:rsid w:val="00F62F41"/>
    <w:rsid w:val="00F62F46"/>
    <w:rsid w:val="00F6320A"/>
    <w:rsid w:val="00F63261"/>
    <w:rsid w:val="00F632D4"/>
    <w:rsid w:val="00F63442"/>
    <w:rsid w:val="00F63462"/>
    <w:rsid w:val="00F6346F"/>
    <w:rsid w:val="00F634E0"/>
    <w:rsid w:val="00F6361E"/>
    <w:rsid w:val="00F6362A"/>
    <w:rsid w:val="00F63681"/>
    <w:rsid w:val="00F63772"/>
    <w:rsid w:val="00F637CB"/>
    <w:rsid w:val="00F637E1"/>
    <w:rsid w:val="00F637FF"/>
    <w:rsid w:val="00F638D7"/>
    <w:rsid w:val="00F6394D"/>
    <w:rsid w:val="00F63A8C"/>
    <w:rsid w:val="00F63BA1"/>
    <w:rsid w:val="00F63C1F"/>
    <w:rsid w:val="00F63C89"/>
    <w:rsid w:val="00F63DF3"/>
    <w:rsid w:val="00F63E23"/>
    <w:rsid w:val="00F63EEA"/>
    <w:rsid w:val="00F640CE"/>
    <w:rsid w:val="00F6431E"/>
    <w:rsid w:val="00F64546"/>
    <w:rsid w:val="00F64573"/>
    <w:rsid w:val="00F64593"/>
    <w:rsid w:val="00F6462C"/>
    <w:rsid w:val="00F6477C"/>
    <w:rsid w:val="00F6484B"/>
    <w:rsid w:val="00F64895"/>
    <w:rsid w:val="00F648F9"/>
    <w:rsid w:val="00F64A91"/>
    <w:rsid w:val="00F64AD7"/>
    <w:rsid w:val="00F64BFC"/>
    <w:rsid w:val="00F64C33"/>
    <w:rsid w:val="00F64EE4"/>
    <w:rsid w:val="00F64F9A"/>
    <w:rsid w:val="00F64FA0"/>
    <w:rsid w:val="00F653CE"/>
    <w:rsid w:val="00F6540B"/>
    <w:rsid w:val="00F6542B"/>
    <w:rsid w:val="00F65451"/>
    <w:rsid w:val="00F6549E"/>
    <w:rsid w:val="00F654CA"/>
    <w:rsid w:val="00F65532"/>
    <w:rsid w:val="00F65600"/>
    <w:rsid w:val="00F65695"/>
    <w:rsid w:val="00F656AF"/>
    <w:rsid w:val="00F657E0"/>
    <w:rsid w:val="00F65990"/>
    <w:rsid w:val="00F65991"/>
    <w:rsid w:val="00F65B62"/>
    <w:rsid w:val="00F65B7A"/>
    <w:rsid w:val="00F65BD3"/>
    <w:rsid w:val="00F65E82"/>
    <w:rsid w:val="00F65E96"/>
    <w:rsid w:val="00F65FFE"/>
    <w:rsid w:val="00F6621F"/>
    <w:rsid w:val="00F66250"/>
    <w:rsid w:val="00F66291"/>
    <w:rsid w:val="00F6634B"/>
    <w:rsid w:val="00F66424"/>
    <w:rsid w:val="00F6644F"/>
    <w:rsid w:val="00F664B1"/>
    <w:rsid w:val="00F665AD"/>
    <w:rsid w:val="00F666AC"/>
    <w:rsid w:val="00F666CF"/>
    <w:rsid w:val="00F66826"/>
    <w:rsid w:val="00F668DC"/>
    <w:rsid w:val="00F669E9"/>
    <w:rsid w:val="00F66C26"/>
    <w:rsid w:val="00F66C8D"/>
    <w:rsid w:val="00F66D5C"/>
    <w:rsid w:val="00F66D83"/>
    <w:rsid w:val="00F66EDF"/>
    <w:rsid w:val="00F66FC7"/>
    <w:rsid w:val="00F6717A"/>
    <w:rsid w:val="00F671E2"/>
    <w:rsid w:val="00F672B1"/>
    <w:rsid w:val="00F672D5"/>
    <w:rsid w:val="00F67309"/>
    <w:rsid w:val="00F67519"/>
    <w:rsid w:val="00F675E6"/>
    <w:rsid w:val="00F677F7"/>
    <w:rsid w:val="00F6784B"/>
    <w:rsid w:val="00F6796E"/>
    <w:rsid w:val="00F67999"/>
    <w:rsid w:val="00F67A9D"/>
    <w:rsid w:val="00F67B16"/>
    <w:rsid w:val="00F67B4F"/>
    <w:rsid w:val="00F67BC0"/>
    <w:rsid w:val="00F67BEF"/>
    <w:rsid w:val="00F67C41"/>
    <w:rsid w:val="00F67C5F"/>
    <w:rsid w:val="00F67D09"/>
    <w:rsid w:val="00F67D5D"/>
    <w:rsid w:val="00F67F20"/>
    <w:rsid w:val="00F67F4A"/>
    <w:rsid w:val="00F67F66"/>
    <w:rsid w:val="00F7015F"/>
    <w:rsid w:val="00F701C0"/>
    <w:rsid w:val="00F701C8"/>
    <w:rsid w:val="00F7021C"/>
    <w:rsid w:val="00F7034B"/>
    <w:rsid w:val="00F704DB"/>
    <w:rsid w:val="00F705ED"/>
    <w:rsid w:val="00F70664"/>
    <w:rsid w:val="00F7077D"/>
    <w:rsid w:val="00F70781"/>
    <w:rsid w:val="00F70789"/>
    <w:rsid w:val="00F70826"/>
    <w:rsid w:val="00F70959"/>
    <w:rsid w:val="00F709E4"/>
    <w:rsid w:val="00F709EB"/>
    <w:rsid w:val="00F70B13"/>
    <w:rsid w:val="00F70B1B"/>
    <w:rsid w:val="00F70C54"/>
    <w:rsid w:val="00F70DCA"/>
    <w:rsid w:val="00F70F19"/>
    <w:rsid w:val="00F70FEE"/>
    <w:rsid w:val="00F7106A"/>
    <w:rsid w:val="00F71248"/>
    <w:rsid w:val="00F7132A"/>
    <w:rsid w:val="00F7145D"/>
    <w:rsid w:val="00F7148D"/>
    <w:rsid w:val="00F714A5"/>
    <w:rsid w:val="00F714A7"/>
    <w:rsid w:val="00F714AF"/>
    <w:rsid w:val="00F714B8"/>
    <w:rsid w:val="00F715F5"/>
    <w:rsid w:val="00F71697"/>
    <w:rsid w:val="00F7173B"/>
    <w:rsid w:val="00F7173F"/>
    <w:rsid w:val="00F71927"/>
    <w:rsid w:val="00F71A14"/>
    <w:rsid w:val="00F71B2A"/>
    <w:rsid w:val="00F71B43"/>
    <w:rsid w:val="00F71B54"/>
    <w:rsid w:val="00F71E55"/>
    <w:rsid w:val="00F71E67"/>
    <w:rsid w:val="00F71E9F"/>
    <w:rsid w:val="00F71F10"/>
    <w:rsid w:val="00F71F44"/>
    <w:rsid w:val="00F71FED"/>
    <w:rsid w:val="00F72082"/>
    <w:rsid w:val="00F72199"/>
    <w:rsid w:val="00F72224"/>
    <w:rsid w:val="00F722A4"/>
    <w:rsid w:val="00F72320"/>
    <w:rsid w:val="00F72332"/>
    <w:rsid w:val="00F72386"/>
    <w:rsid w:val="00F72396"/>
    <w:rsid w:val="00F72451"/>
    <w:rsid w:val="00F724C2"/>
    <w:rsid w:val="00F724D0"/>
    <w:rsid w:val="00F7251F"/>
    <w:rsid w:val="00F7252C"/>
    <w:rsid w:val="00F7257E"/>
    <w:rsid w:val="00F7261C"/>
    <w:rsid w:val="00F726DD"/>
    <w:rsid w:val="00F726F7"/>
    <w:rsid w:val="00F72899"/>
    <w:rsid w:val="00F72A28"/>
    <w:rsid w:val="00F72CA0"/>
    <w:rsid w:val="00F72CEC"/>
    <w:rsid w:val="00F72E35"/>
    <w:rsid w:val="00F72E3A"/>
    <w:rsid w:val="00F72FDE"/>
    <w:rsid w:val="00F73008"/>
    <w:rsid w:val="00F73020"/>
    <w:rsid w:val="00F7319D"/>
    <w:rsid w:val="00F7332A"/>
    <w:rsid w:val="00F7336B"/>
    <w:rsid w:val="00F73375"/>
    <w:rsid w:val="00F7355F"/>
    <w:rsid w:val="00F735F8"/>
    <w:rsid w:val="00F7360E"/>
    <w:rsid w:val="00F73661"/>
    <w:rsid w:val="00F7383E"/>
    <w:rsid w:val="00F73896"/>
    <w:rsid w:val="00F7392D"/>
    <w:rsid w:val="00F73934"/>
    <w:rsid w:val="00F73957"/>
    <w:rsid w:val="00F73A1D"/>
    <w:rsid w:val="00F73A2F"/>
    <w:rsid w:val="00F73A7F"/>
    <w:rsid w:val="00F73C55"/>
    <w:rsid w:val="00F73CB6"/>
    <w:rsid w:val="00F73D2D"/>
    <w:rsid w:val="00F73E8C"/>
    <w:rsid w:val="00F73F3F"/>
    <w:rsid w:val="00F73FB6"/>
    <w:rsid w:val="00F74066"/>
    <w:rsid w:val="00F7418D"/>
    <w:rsid w:val="00F74213"/>
    <w:rsid w:val="00F74356"/>
    <w:rsid w:val="00F74519"/>
    <w:rsid w:val="00F7451E"/>
    <w:rsid w:val="00F74550"/>
    <w:rsid w:val="00F74552"/>
    <w:rsid w:val="00F74657"/>
    <w:rsid w:val="00F7465F"/>
    <w:rsid w:val="00F746FD"/>
    <w:rsid w:val="00F7471F"/>
    <w:rsid w:val="00F7472D"/>
    <w:rsid w:val="00F748ED"/>
    <w:rsid w:val="00F74912"/>
    <w:rsid w:val="00F74972"/>
    <w:rsid w:val="00F74B4C"/>
    <w:rsid w:val="00F74C0C"/>
    <w:rsid w:val="00F74CBE"/>
    <w:rsid w:val="00F74D05"/>
    <w:rsid w:val="00F74DF8"/>
    <w:rsid w:val="00F74EEF"/>
    <w:rsid w:val="00F74F72"/>
    <w:rsid w:val="00F75005"/>
    <w:rsid w:val="00F75014"/>
    <w:rsid w:val="00F75033"/>
    <w:rsid w:val="00F751E7"/>
    <w:rsid w:val="00F7520C"/>
    <w:rsid w:val="00F753F4"/>
    <w:rsid w:val="00F753F5"/>
    <w:rsid w:val="00F754FB"/>
    <w:rsid w:val="00F7553C"/>
    <w:rsid w:val="00F75559"/>
    <w:rsid w:val="00F755EB"/>
    <w:rsid w:val="00F7566A"/>
    <w:rsid w:val="00F75866"/>
    <w:rsid w:val="00F75972"/>
    <w:rsid w:val="00F75A3F"/>
    <w:rsid w:val="00F75A70"/>
    <w:rsid w:val="00F75BCD"/>
    <w:rsid w:val="00F75C46"/>
    <w:rsid w:val="00F75CDC"/>
    <w:rsid w:val="00F75CE3"/>
    <w:rsid w:val="00F75D53"/>
    <w:rsid w:val="00F75DF6"/>
    <w:rsid w:val="00F75E1F"/>
    <w:rsid w:val="00F75F4C"/>
    <w:rsid w:val="00F7606D"/>
    <w:rsid w:val="00F76119"/>
    <w:rsid w:val="00F761F5"/>
    <w:rsid w:val="00F764D1"/>
    <w:rsid w:val="00F7658D"/>
    <w:rsid w:val="00F765A3"/>
    <w:rsid w:val="00F76670"/>
    <w:rsid w:val="00F766B3"/>
    <w:rsid w:val="00F76785"/>
    <w:rsid w:val="00F767C9"/>
    <w:rsid w:val="00F767E6"/>
    <w:rsid w:val="00F76896"/>
    <w:rsid w:val="00F7692F"/>
    <w:rsid w:val="00F76AFC"/>
    <w:rsid w:val="00F76BF8"/>
    <w:rsid w:val="00F76C4E"/>
    <w:rsid w:val="00F76C54"/>
    <w:rsid w:val="00F76CC8"/>
    <w:rsid w:val="00F76DED"/>
    <w:rsid w:val="00F76E03"/>
    <w:rsid w:val="00F76F89"/>
    <w:rsid w:val="00F76FD0"/>
    <w:rsid w:val="00F77002"/>
    <w:rsid w:val="00F7701C"/>
    <w:rsid w:val="00F7702F"/>
    <w:rsid w:val="00F77096"/>
    <w:rsid w:val="00F77142"/>
    <w:rsid w:val="00F771E0"/>
    <w:rsid w:val="00F77246"/>
    <w:rsid w:val="00F772C3"/>
    <w:rsid w:val="00F772D5"/>
    <w:rsid w:val="00F773F1"/>
    <w:rsid w:val="00F77478"/>
    <w:rsid w:val="00F774D5"/>
    <w:rsid w:val="00F77510"/>
    <w:rsid w:val="00F77525"/>
    <w:rsid w:val="00F77696"/>
    <w:rsid w:val="00F776E1"/>
    <w:rsid w:val="00F77730"/>
    <w:rsid w:val="00F77739"/>
    <w:rsid w:val="00F77768"/>
    <w:rsid w:val="00F777A2"/>
    <w:rsid w:val="00F7782B"/>
    <w:rsid w:val="00F77A0D"/>
    <w:rsid w:val="00F77A26"/>
    <w:rsid w:val="00F77A42"/>
    <w:rsid w:val="00F77A9F"/>
    <w:rsid w:val="00F77B0D"/>
    <w:rsid w:val="00F77C63"/>
    <w:rsid w:val="00F77D34"/>
    <w:rsid w:val="00F77DA8"/>
    <w:rsid w:val="00F77DB1"/>
    <w:rsid w:val="00F77EA7"/>
    <w:rsid w:val="00F77FEE"/>
    <w:rsid w:val="00F800B9"/>
    <w:rsid w:val="00F800C8"/>
    <w:rsid w:val="00F80111"/>
    <w:rsid w:val="00F80141"/>
    <w:rsid w:val="00F801AF"/>
    <w:rsid w:val="00F801DA"/>
    <w:rsid w:val="00F802FF"/>
    <w:rsid w:val="00F80392"/>
    <w:rsid w:val="00F8039F"/>
    <w:rsid w:val="00F8041C"/>
    <w:rsid w:val="00F80469"/>
    <w:rsid w:val="00F80552"/>
    <w:rsid w:val="00F805FC"/>
    <w:rsid w:val="00F80626"/>
    <w:rsid w:val="00F80795"/>
    <w:rsid w:val="00F80A80"/>
    <w:rsid w:val="00F80AC9"/>
    <w:rsid w:val="00F80BF5"/>
    <w:rsid w:val="00F80C1A"/>
    <w:rsid w:val="00F80C3B"/>
    <w:rsid w:val="00F80D8B"/>
    <w:rsid w:val="00F80DC5"/>
    <w:rsid w:val="00F80DD3"/>
    <w:rsid w:val="00F80EE6"/>
    <w:rsid w:val="00F80EED"/>
    <w:rsid w:val="00F80F72"/>
    <w:rsid w:val="00F80FB4"/>
    <w:rsid w:val="00F80FEA"/>
    <w:rsid w:val="00F8106B"/>
    <w:rsid w:val="00F810BB"/>
    <w:rsid w:val="00F8111E"/>
    <w:rsid w:val="00F81144"/>
    <w:rsid w:val="00F811CD"/>
    <w:rsid w:val="00F81263"/>
    <w:rsid w:val="00F81265"/>
    <w:rsid w:val="00F8156F"/>
    <w:rsid w:val="00F815C1"/>
    <w:rsid w:val="00F815EA"/>
    <w:rsid w:val="00F8168F"/>
    <w:rsid w:val="00F816FE"/>
    <w:rsid w:val="00F817DB"/>
    <w:rsid w:val="00F818E0"/>
    <w:rsid w:val="00F8195A"/>
    <w:rsid w:val="00F8199C"/>
    <w:rsid w:val="00F81BBA"/>
    <w:rsid w:val="00F81CA2"/>
    <w:rsid w:val="00F81CE3"/>
    <w:rsid w:val="00F81D53"/>
    <w:rsid w:val="00F81D69"/>
    <w:rsid w:val="00F81D74"/>
    <w:rsid w:val="00F81E25"/>
    <w:rsid w:val="00F81E62"/>
    <w:rsid w:val="00F81E8F"/>
    <w:rsid w:val="00F81F99"/>
    <w:rsid w:val="00F821AA"/>
    <w:rsid w:val="00F82223"/>
    <w:rsid w:val="00F823C7"/>
    <w:rsid w:val="00F82407"/>
    <w:rsid w:val="00F82515"/>
    <w:rsid w:val="00F825E3"/>
    <w:rsid w:val="00F825F4"/>
    <w:rsid w:val="00F82644"/>
    <w:rsid w:val="00F82690"/>
    <w:rsid w:val="00F82735"/>
    <w:rsid w:val="00F82743"/>
    <w:rsid w:val="00F8279E"/>
    <w:rsid w:val="00F82A6C"/>
    <w:rsid w:val="00F82B78"/>
    <w:rsid w:val="00F82C4B"/>
    <w:rsid w:val="00F82C74"/>
    <w:rsid w:val="00F82CEF"/>
    <w:rsid w:val="00F82E04"/>
    <w:rsid w:val="00F82E74"/>
    <w:rsid w:val="00F82E7E"/>
    <w:rsid w:val="00F82F4C"/>
    <w:rsid w:val="00F82FE9"/>
    <w:rsid w:val="00F83123"/>
    <w:rsid w:val="00F831FD"/>
    <w:rsid w:val="00F832D5"/>
    <w:rsid w:val="00F833B0"/>
    <w:rsid w:val="00F8347A"/>
    <w:rsid w:val="00F835A0"/>
    <w:rsid w:val="00F83783"/>
    <w:rsid w:val="00F837B1"/>
    <w:rsid w:val="00F83818"/>
    <w:rsid w:val="00F8382E"/>
    <w:rsid w:val="00F8392C"/>
    <w:rsid w:val="00F83945"/>
    <w:rsid w:val="00F83995"/>
    <w:rsid w:val="00F839ED"/>
    <w:rsid w:val="00F83A74"/>
    <w:rsid w:val="00F83A93"/>
    <w:rsid w:val="00F83AEE"/>
    <w:rsid w:val="00F83C91"/>
    <w:rsid w:val="00F83D55"/>
    <w:rsid w:val="00F83DF9"/>
    <w:rsid w:val="00F83E22"/>
    <w:rsid w:val="00F83E5E"/>
    <w:rsid w:val="00F83F01"/>
    <w:rsid w:val="00F83FEF"/>
    <w:rsid w:val="00F84037"/>
    <w:rsid w:val="00F840AB"/>
    <w:rsid w:val="00F8421B"/>
    <w:rsid w:val="00F842BA"/>
    <w:rsid w:val="00F84478"/>
    <w:rsid w:val="00F844A8"/>
    <w:rsid w:val="00F8452B"/>
    <w:rsid w:val="00F84602"/>
    <w:rsid w:val="00F84745"/>
    <w:rsid w:val="00F847D0"/>
    <w:rsid w:val="00F847F2"/>
    <w:rsid w:val="00F8485A"/>
    <w:rsid w:val="00F84877"/>
    <w:rsid w:val="00F848A4"/>
    <w:rsid w:val="00F84944"/>
    <w:rsid w:val="00F849E4"/>
    <w:rsid w:val="00F84A07"/>
    <w:rsid w:val="00F84A28"/>
    <w:rsid w:val="00F84B16"/>
    <w:rsid w:val="00F84B60"/>
    <w:rsid w:val="00F84B8D"/>
    <w:rsid w:val="00F84BB9"/>
    <w:rsid w:val="00F84BF2"/>
    <w:rsid w:val="00F84D3D"/>
    <w:rsid w:val="00F84D53"/>
    <w:rsid w:val="00F84DF5"/>
    <w:rsid w:val="00F84E62"/>
    <w:rsid w:val="00F84EAD"/>
    <w:rsid w:val="00F84EAF"/>
    <w:rsid w:val="00F84EB8"/>
    <w:rsid w:val="00F84FC1"/>
    <w:rsid w:val="00F85010"/>
    <w:rsid w:val="00F8508A"/>
    <w:rsid w:val="00F8508B"/>
    <w:rsid w:val="00F850D1"/>
    <w:rsid w:val="00F85128"/>
    <w:rsid w:val="00F85142"/>
    <w:rsid w:val="00F85194"/>
    <w:rsid w:val="00F851C5"/>
    <w:rsid w:val="00F85210"/>
    <w:rsid w:val="00F85415"/>
    <w:rsid w:val="00F854D6"/>
    <w:rsid w:val="00F854DF"/>
    <w:rsid w:val="00F85555"/>
    <w:rsid w:val="00F85556"/>
    <w:rsid w:val="00F85602"/>
    <w:rsid w:val="00F8578D"/>
    <w:rsid w:val="00F8579C"/>
    <w:rsid w:val="00F857A1"/>
    <w:rsid w:val="00F857C8"/>
    <w:rsid w:val="00F85872"/>
    <w:rsid w:val="00F858E4"/>
    <w:rsid w:val="00F85A27"/>
    <w:rsid w:val="00F85BBB"/>
    <w:rsid w:val="00F85C46"/>
    <w:rsid w:val="00F85C47"/>
    <w:rsid w:val="00F85C93"/>
    <w:rsid w:val="00F85CF8"/>
    <w:rsid w:val="00F85DA4"/>
    <w:rsid w:val="00F85E0D"/>
    <w:rsid w:val="00F86202"/>
    <w:rsid w:val="00F862B1"/>
    <w:rsid w:val="00F8634A"/>
    <w:rsid w:val="00F863E6"/>
    <w:rsid w:val="00F8658F"/>
    <w:rsid w:val="00F866A9"/>
    <w:rsid w:val="00F866D2"/>
    <w:rsid w:val="00F867F0"/>
    <w:rsid w:val="00F869DA"/>
    <w:rsid w:val="00F86A3B"/>
    <w:rsid w:val="00F86AF9"/>
    <w:rsid w:val="00F86B2F"/>
    <w:rsid w:val="00F86BB3"/>
    <w:rsid w:val="00F86C85"/>
    <w:rsid w:val="00F86CBE"/>
    <w:rsid w:val="00F86DC5"/>
    <w:rsid w:val="00F86E03"/>
    <w:rsid w:val="00F86F18"/>
    <w:rsid w:val="00F8708F"/>
    <w:rsid w:val="00F87269"/>
    <w:rsid w:val="00F872B2"/>
    <w:rsid w:val="00F87484"/>
    <w:rsid w:val="00F87492"/>
    <w:rsid w:val="00F874FC"/>
    <w:rsid w:val="00F8764D"/>
    <w:rsid w:val="00F876F3"/>
    <w:rsid w:val="00F87750"/>
    <w:rsid w:val="00F87768"/>
    <w:rsid w:val="00F87980"/>
    <w:rsid w:val="00F87B3D"/>
    <w:rsid w:val="00F87BA2"/>
    <w:rsid w:val="00F87BEC"/>
    <w:rsid w:val="00F87C49"/>
    <w:rsid w:val="00F87CEB"/>
    <w:rsid w:val="00F87DC8"/>
    <w:rsid w:val="00F87F9D"/>
    <w:rsid w:val="00F90039"/>
    <w:rsid w:val="00F90169"/>
    <w:rsid w:val="00F90298"/>
    <w:rsid w:val="00F902DD"/>
    <w:rsid w:val="00F9035D"/>
    <w:rsid w:val="00F903F5"/>
    <w:rsid w:val="00F90474"/>
    <w:rsid w:val="00F9048C"/>
    <w:rsid w:val="00F904C9"/>
    <w:rsid w:val="00F9060F"/>
    <w:rsid w:val="00F90689"/>
    <w:rsid w:val="00F9077A"/>
    <w:rsid w:val="00F90A31"/>
    <w:rsid w:val="00F90A48"/>
    <w:rsid w:val="00F90AD4"/>
    <w:rsid w:val="00F90C6A"/>
    <w:rsid w:val="00F90E08"/>
    <w:rsid w:val="00F90EF0"/>
    <w:rsid w:val="00F90EF1"/>
    <w:rsid w:val="00F90F15"/>
    <w:rsid w:val="00F910FA"/>
    <w:rsid w:val="00F9118A"/>
    <w:rsid w:val="00F911FB"/>
    <w:rsid w:val="00F91351"/>
    <w:rsid w:val="00F91356"/>
    <w:rsid w:val="00F91436"/>
    <w:rsid w:val="00F9146B"/>
    <w:rsid w:val="00F9146C"/>
    <w:rsid w:val="00F91524"/>
    <w:rsid w:val="00F9153A"/>
    <w:rsid w:val="00F915BA"/>
    <w:rsid w:val="00F9164B"/>
    <w:rsid w:val="00F91661"/>
    <w:rsid w:val="00F916DA"/>
    <w:rsid w:val="00F91757"/>
    <w:rsid w:val="00F91837"/>
    <w:rsid w:val="00F9189A"/>
    <w:rsid w:val="00F91908"/>
    <w:rsid w:val="00F91987"/>
    <w:rsid w:val="00F9198E"/>
    <w:rsid w:val="00F919A4"/>
    <w:rsid w:val="00F91A11"/>
    <w:rsid w:val="00F91A4D"/>
    <w:rsid w:val="00F91A77"/>
    <w:rsid w:val="00F91B46"/>
    <w:rsid w:val="00F91B4D"/>
    <w:rsid w:val="00F91B9A"/>
    <w:rsid w:val="00F91C9D"/>
    <w:rsid w:val="00F91D35"/>
    <w:rsid w:val="00F91E85"/>
    <w:rsid w:val="00F91EC2"/>
    <w:rsid w:val="00F91FD9"/>
    <w:rsid w:val="00F921C3"/>
    <w:rsid w:val="00F921E4"/>
    <w:rsid w:val="00F9229F"/>
    <w:rsid w:val="00F922DB"/>
    <w:rsid w:val="00F923AF"/>
    <w:rsid w:val="00F923DB"/>
    <w:rsid w:val="00F92447"/>
    <w:rsid w:val="00F9250C"/>
    <w:rsid w:val="00F92632"/>
    <w:rsid w:val="00F926EF"/>
    <w:rsid w:val="00F9275C"/>
    <w:rsid w:val="00F927C6"/>
    <w:rsid w:val="00F92892"/>
    <w:rsid w:val="00F92973"/>
    <w:rsid w:val="00F929F1"/>
    <w:rsid w:val="00F929FC"/>
    <w:rsid w:val="00F92A45"/>
    <w:rsid w:val="00F92A51"/>
    <w:rsid w:val="00F92A73"/>
    <w:rsid w:val="00F92B3C"/>
    <w:rsid w:val="00F92B62"/>
    <w:rsid w:val="00F92D24"/>
    <w:rsid w:val="00F92E8D"/>
    <w:rsid w:val="00F92ECF"/>
    <w:rsid w:val="00F92FBF"/>
    <w:rsid w:val="00F9300C"/>
    <w:rsid w:val="00F930E1"/>
    <w:rsid w:val="00F930F2"/>
    <w:rsid w:val="00F93238"/>
    <w:rsid w:val="00F93256"/>
    <w:rsid w:val="00F932B6"/>
    <w:rsid w:val="00F9333F"/>
    <w:rsid w:val="00F93376"/>
    <w:rsid w:val="00F93384"/>
    <w:rsid w:val="00F933A8"/>
    <w:rsid w:val="00F933CB"/>
    <w:rsid w:val="00F9344F"/>
    <w:rsid w:val="00F93452"/>
    <w:rsid w:val="00F934A7"/>
    <w:rsid w:val="00F935DE"/>
    <w:rsid w:val="00F93605"/>
    <w:rsid w:val="00F9362E"/>
    <w:rsid w:val="00F936A1"/>
    <w:rsid w:val="00F93860"/>
    <w:rsid w:val="00F9389A"/>
    <w:rsid w:val="00F93906"/>
    <w:rsid w:val="00F939F7"/>
    <w:rsid w:val="00F93AE9"/>
    <w:rsid w:val="00F93BED"/>
    <w:rsid w:val="00F93C98"/>
    <w:rsid w:val="00F93D72"/>
    <w:rsid w:val="00F93EA6"/>
    <w:rsid w:val="00F93F77"/>
    <w:rsid w:val="00F9416E"/>
    <w:rsid w:val="00F941E1"/>
    <w:rsid w:val="00F94213"/>
    <w:rsid w:val="00F94361"/>
    <w:rsid w:val="00F943A2"/>
    <w:rsid w:val="00F9470F"/>
    <w:rsid w:val="00F94786"/>
    <w:rsid w:val="00F9487D"/>
    <w:rsid w:val="00F94945"/>
    <w:rsid w:val="00F94A26"/>
    <w:rsid w:val="00F94A50"/>
    <w:rsid w:val="00F94C08"/>
    <w:rsid w:val="00F94E1E"/>
    <w:rsid w:val="00F94EAC"/>
    <w:rsid w:val="00F94EFF"/>
    <w:rsid w:val="00F94FCE"/>
    <w:rsid w:val="00F950F7"/>
    <w:rsid w:val="00F952B2"/>
    <w:rsid w:val="00F9544C"/>
    <w:rsid w:val="00F95468"/>
    <w:rsid w:val="00F9547F"/>
    <w:rsid w:val="00F955A6"/>
    <w:rsid w:val="00F956D1"/>
    <w:rsid w:val="00F95948"/>
    <w:rsid w:val="00F95A6F"/>
    <w:rsid w:val="00F95A91"/>
    <w:rsid w:val="00F95A98"/>
    <w:rsid w:val="00F95B3E"/>
    <w:rsid w:val="00F95B93"/>
    <w:rsid w:val="00F95B9A"/>
    <w:rsid w:val="00F95BBE"/>
    <w:rsid w:val="00F95CAE"/>
    <w:rsid w:val="00F95CE8"/>
    <w:rsid w:val="00F95DB4"/>
    <w:rsid w:val="00F95E9E"/>
    <w:rsid w:val="00F95F48"/>
    <w:rsid w:val="00F96030"/>
    <w:rsid w:val="00F9617E"/>
    <w:rsid w:val="00F961FE"/>
    <w:rsid w:val="00F96257"/>
    <w:rsid w:val="00F96449"/>
    <w:rsid w:val="00F9648D"/>
    <w:rsid w:val="00F96497"/>
    <w:rsid w:val="00F964C1"/>
    <w:rsid w:val="00F964DC"/>
    <w:rsid w:val="00F964F3"/>
    <w:rsid w:val="00F965BD"/>
    <w:rsid w:val="00F96611"/>
    <w:rsid w:val="00F96675"/>
    <w:rsid w:val="00F96676"/>
    <w:rsid w:val="00F966CD"/>
    <w:rsid w:val="00F96763"/>
    <w:rsid w:val="00F96848"/>
    <w:rsid w:val="00F9689E"/>
    <w:rsid w:val="00F96939"/>
    <w:rsid w:val="00F96946"/>
    <w:rsid w:val="00F96A8B"/>
    <w:rsid w:val="00F96AD5"/>
    <w:rsid w:val="00F96AF0"/>
    <w:rsid w:val="00F96C78"/>
    <w:rsid w:val="00F96C9A"/>
    <w:rsid w:val="00F96DCF"/>
    <w:rsid w:val="00F96EA6"/>
    <w:rsid w:val="00F96EC2"/>
    <w:rsid w:val="00F96EDE"/>
    <w:rsid w:val="00F96F7E"/>
    <w:rsid w:val="00F96F8E"/>
    <w:rsid w:val="00F970BB"/>
    <w:rsid w:val="00F97271"/>
    <w:rsid w:val="00F97289"/>
    <w:rsid w:val="00F972A0"/>
    <w:rsid w:val="00F972C0"/>
    <w:rsid w:val="00F97343"/>
    <w:rsid w:val="00F9736B"/>
    <w:rsid w:val="00F97397"/>
    <w:rsid w:val="00F97405"/>
    <w:rsid w:val="00F9746B"/>
    <w:rsid w:val="00F97491"/>
    <w:rsid w:val="00F9754D"/>
    <w:rsid w:val="00F9765E"/>
    <w:rsid w:val="00F976B0"/>
    <w:rsid w:val="00F97705"/>
    <w:rsid w:val="00F97898"/>
    <w:rsid w:val="00F9798B"/>
    <w:rsid w:val="00F9799C"/>
    <w:rsid w:val="00F979D7"/>
    <w:rsid w:val="00F97A59"/>
    <w:rsid w:val="00F97B84"/>
    <w:rsid w:val="00F97BA5"/>
    <w:rsid w:val="00F97BED"/>
    <w:rsid w:val="00F97C0C"/>
    <w:rsid w:val="00F97CA8"/>
    <w:rsid w:val="00F97CF9"/>
    <w:rsid w:val="00F97D06"/>
    <w:rsid w:val="00F97D48"/>
    <w:rsid w:val="00F97E5E"/>
    <w:rsid w:val="00F97EC3"/>
    <w:rsid w:val="00F97F05"/>
    <w:rsid w:val="00F97F1C"/>
    <w:rsid w:val="00F97F5C"/>
    <w:rsid w:val="00FA0026"/>
    <w:rsid w:val="00FA0031"/>
    <w:rsid w:val="00FA0062"/>
    <w:rsid w:val="00FA009C"/>
    <w:rsid w:val="00FA00DC"/>
    <w:rsid w:val="00FA029A"/>
    <w:rsid w:val="00FA02A4"/>
    <w:rsid w:val="00FA037E"/>
    <w:rsid w:val="00FA03EA"/>
    <w:rsid w:val="00FA0543"/>
    <w:rsid w:val="00FA06A1"/>
    <w:rsid w:val="00FA06E8"/>
    <w:rsid w:val="00FA075E"/>
    <w:rsid w:val="00FA08E2"/>
    <w:rsid w:val="00FA0979"/>
    <w:rsid w:val="00FA0A16"/>
    <w:rsid w:val="00FA0A3A"/>
    <w:rsid w:val="00FA0AC8"/>
    <w:rsid w:val="00FA0B79"/>
    <w:rsid w:val="00FA0BE9"/>
    <w:rsid w:val="00FA0D2D"/>
    <w:rsid w:val="00FA0E5C"/>
    <w:rsid w:val="00FA0EAD"/>
    <w:rsid w:val="00FA111E"/>
    <w:rsid w:val="00FA1160"/>
    <w:rsid w:val="00FA116C"/>
    <w:rsid w:val="00FA1219"/>
    <w:rsid w:val="00FA1231"/>
    <w:rsid w:val="00FA1333"/>
    <w:rsid w:val="00FA13C7"/>
    <w:rsid w:val="00FA140E"/>
    <w:rsid w:val="00FA141A"/>
    <w:rsid w:val="00FA14D7"/>
    <w:rsid w:val="00FA14FD"/>
    <w:rsid w:val="00FA15A6"/>
    <w:rsid w:val="00FA15DF"/>
    <w:rsid w:val="00FA1798"/>
    <w:rsid w:val="00FA17E6"/>
    <w:rsid w:val="00FA1805"/>
    <w:rsid w:val="00FA1A41"/>
    <w:rsid w:val="00FA1AE6"/>
    <w:rsid w:val="00FA1B13"/>
    <w:rsid w:val="00FA1B3B"/>
    <w:rsid w:val="00FA1BE5"/>
    <w:rsid w:val="00FA1C32"/>
    <w:rsid w:val="00FA1C44"/>
    <w:rsid w:val="00FA1C79"/>
    <w:rsid w:val="00FA1E64"/>
    <w:rsid w:val="00FA1F4F"/>
    <w:rsid w:val="00FA1F82"/>
    <w:rsid w:val="00FA2017"/>
    <w:rsid w:val="00FA2085"/>
    <w:rsid w:val="00FA21B7"/>
    <w:rsid w:val="00FA232E"/>
    <w:rsid w:val="00FA2385"/>
    <w:rsid w:val="00FA23B4"/>
    <w:rsid w:val="00FA241D"/>
    <w:rsid w:val="00FA2435"/>
    <w:rsid w:val="00FA2472"/>
    <w:rsid w:val="00FA25E2"/>
    <w:rsid w:val="00FA2623"/>
    <w:rsid w:val="00FA2721"/>
    <w:rsid w:val="00FA2780"/>
    <w:rsid w:val="00FA28BA"/>
    <w:rsid w:val="00FA2979"/>
    <w:rsid w:val="00FA29A1"/>
    <w:rsid w:val="00FA2A9F"/>
    <w:rsid w:val="00FA2AF1"/>
    <w:rsid w:val="00FA2B70"/>
    <w:rsid w:val="00FA2B96"/>
    <w:rsid w:val="00FA2C27"/>
    <w:rsid w:val="00FA2DC9"/>
    <w:rsid w:val="00FA2E99"/>
    <w:rsid w:val="00FA2F1C"/>
    <w:rsid w:val="00FA2F3D"/>
    <w:rsid w:val="00FA2F55"/>
    <w:rsid w:val="00FA2F82"/>
    <w:rsid w:val="00FA2FB1"/>
    <w:rsid w:val="00FA2FC2"/>
    <w:rsid w:val="00FA3023"/>
    <w:rsid w:val="00FA30A9"/>
    <w:rsid w:val="00FA316C"/>
    <w:rsid w:val="00FA3180"/>
    <w:rsid w:val="00FA31A9"/>
    <w:rsid w:val="00FA32EA"/>
    <w:rsid w:val="00FA359E"/>
    <w:rsid w:val="00FA3615"/>
    <w:rsid w:val="00FA36C6"/>
    <w:rsid w:val="00FA36FD"/>
    <w:rsid w:val="00FA3746"/>
    <w:rsid w:val="00FA3809"/>
    <w:rsid w:val="00FA3814"/>
    <w:rsid w:val="00FA3962"/>
    <w:rsid w:val="00FA3A60"/>
    <w:rsid w:val="00FA3BBE"/>
    <w:rsid w:val="00FA3BCA"/>
    <w:rsid w:val="00FA3C5E"/>
    <w:rsid w:val="00FA3CA7"/>
    <w:rsid w:val="00FA3D1A"/>
    <w:rsid w:val="00FA3D38"/>
    <w:rsid w:val="00FA3D4B"/>
    <w:rsid w:val="00FA3D76"/>
    <w:rsid w:val="00FA3DC0"/>
    <w:rsid w:val="00FA3DD6"/>
    <w:rsid w:val="00FA3EB0"/>
    <w:rsid w:val="00FA3F52"/>
    <w:rsid w:val="00FA3F61"/>
    <w:rsid w:val="00FA3F76"/>
    <w:rsid w:val="00FA3FD4"/>
    <w:rsid w:val="00FA413D"/>
    <w:rsid w:val="00FA4368"/>
    <w:rsid w:val="00FA438D"/>
    <w:rsid w:val="00FA43C1"/>
    <w:rsid w:val="00FA43DA"/>
    <w:rsid w:val="00FA4411"/>
    <w:rsid w:val="00FA44DC"/>
    <w:rsid w:val="00FA4603"/>
    <w:rsid w:val="00FA473B"/>
    <w:rsid w:val="00FA49A4"/>
    <w:rsid w:val="00FA4A08"/>
    <w:rsid w:val="00FA4ACD"/>
    <w:rsid w:val="00FA4B70"/>
    <w:rsid w:val="00FA4E93"/>
    <w:rsid w:val="00FA4F3A"/>
    <w:rsid w:val="00FA4F93"/>
    <w:rsid w:val="00FA4F96"/>
    <w:rsid w:val="00FA4F9F"/>
    <w:rsid w:val="00FA4FEF"/>
    <w:rsid w:val="00FA4FFF"/>
    <w:rsid w:val="00FA50EB"/>
    <w:rsid w:val="00FA52CE"/>
    <w:rsid w:val="00FA5396"/>
    <w:rsid w:val="00FA5403"/>
    <w:rsid w:val="00FA552F"/>
    <w:rsid w:val="00FA5786"/>
    <w:rsid w:val="00FA578F"/>
    <w:rsid w:val="00FA5AB2"/>
    <w:rsid w:val="00FA5AE1"/>
    <w:rsid w:val="00FA5B35"/>
    <w:rsid w:val="00FA5C04"/>
    <w:rsid w:val="00FA5C41"/>
    <w:rsid w:val="00FA5D55"/>
    <w:rsid w:val="00FA5D83"/>
    <w:rsid w:val="00FA5D88"/>
    <w:rsid w:val="00FA5F0C"/>
    <w:rsid w:val="00FA5FF2"/>
    <w:rsid w:val="00FA5FFE"/>
    <w:rsid w:val="00FA608B"/>
    <w:rsid w:val="00FA634C"/>
    <w:rsid w:val="00FA648C"/>
    <w:rsid w:val="00FA66CF"/>
    <w:rsid w:val="00FA66D5"/>
    <w:rsid w:val="00FA66E2"/>
    <w:rsid w:val="00FA676C"/>
    <w:rsid w:val="00FA67B4"/>
    <w:rsid w:val="00FA6838"/>
    <w:rsid w:val="00FA684C"/>
    <w:rsid w:val="00FA68C5"/>
    <w:rsid w:val="00FA69E2"/>
    <w:rsid w:val="00FA6A83"/>
    <w:rsid w:val="00FA6AE4"/>
    <w:rsid w:val="00FA6AFA"/>
    <w:rsid w:val="00FA6C8C"/>
    <w:rsid w:val="00FA6C96"/>
    <w:rsid w:val="00FA6CCC"/>
    <w:rsid w:val="00FA6EC1"/>
    <w:rsid w:val="00FA6EF1"/>
    <w:rsid w:val="00FA6F84"/>
    <w:rsid w:val="00FA6FA6"/>
    <w:rsid w:val="00FA6FDB"/>
    <w:rsid w:val="00FA7094"/>
    <w:rsid w:val="00FA70A1"/>
    <w:rsid w:val="00FA70E6"/>
    <w:rsid w:val="00FA712C"/>
    <w:rsid w:val="00FA76EC"/>
    <w:rsid w:val="00FA7748"/>
    <w:rsid w:val="00FA77A2"/>
    <w:rsid w:val="00FA792C"/>
    <w:rsid w:val="00FA7967"/>
    <w:rsid w:val="00FA7A4B"/>
    <w:rsid w:val="00FA7A55"/>
    <w:rsid w:val="00FA7A78"/>
    <w:rsid w:val="00FA7ADA"/>
    <w:rsid w:val="00FA7AF2"/>
    <w:rsid w:val="00FA7B78"/>
    <w:rsid w:val="00FA7BBC"/>
    <w:rsid w:val="00FA7CB5"/>
    <w:rsid w:val="00FA7D48"/>
    <w:rsid w:val="00FA7D70"/>
    <w:rsid w:val="00FA7D7C"/>
    <w:rsid w:val="00FA7E13"/>
    <w:rsid w:val="00FA7EB7"/>
    <w:rsid w:val="00FA7F97"/>
    <w:rsid w:val="00FB0072"/>
    <w:rsid w:val="00FB00C5"/>
    <w:rsid w:val="00FB018A"/>
    <w:rsid w:val="00FB0307"/>
    <w:rsid w:val="00FB0370"/>
    <w:rsid w:val="00FB0397"/>
    <w:rsid w:val="00FB05A5"/>
    <w:rsid w:val="00FB05D6"/>
    <w:rsid w:val="00FB085D"/>
    <w:rsid w:val="00FB08A1"/>
    <w:rsid w:val="00FB090B"/>
    <w:rsid w:val="00FB094A"/>
    <w:rsid w:val="00FB0B5E"/>
    <w:rsid w:val="00FB0BC9"/>
    <w:rsid w:val="00FB0C78"/>
    <w:rsid w:val="00FB0CB9"/>
    <w:rsid w:val="00FB0D80"/>
    <w:rsid w:val="00FB0E2A"/>
    <w:rsid w:val="00FB0F95"/>
    <w:rsid w:val="00FB13FE"/>
    <w:rsid w:val="00FB14AB"/>
    <w:rsid w:val="00FB14C6"/>
    <w:rsid w:val="00FB14C8"/>
    <w:rsid w:val="00FB1577"/>
    <w:rsid w:val="00FB15F7"/>
    <w:rsid w:val="00FB170A"/>
    <w:rsid w:val="00FB18E6"/>
    <w:rsid w:val="00FB1A10"/>
    <w:rsid w:val="00FB1A3B"/>
    <w:rsid w:val="00FB1A46"/>
    <w:rsid w:val="00FB1D08"/>
    <w:rsid w:val="00FB1D8C"/>
    <w:rsid w:val="00FB1F79"/>
    <w:rsid w:val="00FB20A5"/>
    <w:rsid w:val="00FB2114"/>
    <w:rsid w:val="00FB2280"/>
    <w:rsid w:val="00FB2313"/>
    <w:rsid w:val="00FB24F2"/>
    <w:rsid w:val="00FB2527"/>
    <w:rsid w:val="00FB27BC"/>
    <w:rsid w:val="00FB286A"/>
    <w:rsid w:val="00FB297E"/>
    <w:rsid w:val="00FB2981"/>
    <w:rsid w:val="00FB2A46"/>
    <w:rsid w:val="00FB2AE1"/>
    <w:rsid w:val="00FB2B7C"/>
    <w:rsid w:val="00FB2B7D"/>
    <w:rsid w:val="00FB2C69"/>
    <w:rsid w:val="00FB2CB6"/>
    <w:rsid w:val="00FB2CE2"/>
    <w:rsid w:val="00FB2D4C"/>
    <w:rsid w:val="00FB2DA3"/>
    <w:rsid w:val="00FB2DE5"/>
    <w:rsid w:val="00FB2E43"/>
    <w:rsid w:val="00FB2E67"/>
    <w:rsid w:val="00FB2EF6"/>
    <w:rsid w:val="00FB2F81"/>
    <w:rsid w:val="00FB30E8"/>
    <w:rsid w:val="00FB30F3"/>
    <w:rsid w:val="00FB317A"/>
    <w:rsid w:val="00FB32D4"/>
    <w:rsid w:val="00FB3400"/>
    <w:rsid w:val="00FB342D"/>
    <w:rsid w:val="00FB3489"/>
    <w:rsid w:val="00FB34AD"/>
    <w:rsid w:val="00FB34ED"/>
    <w:rsid w:val="00FB3528"/>
    <w:rsid w:val="00FB3554"/>
    <w:rsid w:val="00FB3556"/>
    <w:rsid w:val="00FB3609"/>
    <w:rsid w:val="00FB360D"/>
    <w:rsid w:val="00FB3683"/>
    <w:rsid w:val="00FB37AE"/>
    <w:rsid w:val="00FB3814"/>
    <w:rsid w:val="00FB388A"/>
    <w:rsid w:val="00FB3898"/>
    <w:rsid w:val="00FB394E"/>
    <w:rsid w:val="00FB39DA"/>
    <w:rsid w:val="00FB3ADC"/>
    <w:rsid w:val="00FB3B8E"/>
    <w:rsid w:val="00FB3C09"/>
    <w:rsid w:val="00FB3D4E"/>
    <w:rsid w:val="00FB3FEB"/>
    <w:rsid w:val="00FB3FF0"/>
    <w:rsid w:val="00FB3FFA"/>
    <w:rsid w:val="00FB4095"/>
    <w:rsid w:val="00FB4099"/>
    <w:rsid w:val="00FB415E"/>
    <w:rsid w:val="00FB416F"/>
    <w:rsid w:val="00FB417C"/>
    <w:rsid w:val="00FB4208"/>
    <w:rsid w:val="00FB427D"/>
    <w:rsid w:val="00FB42A8"/>
    <w:rsid w:val="00FB4376"/>
    <w:rsid w:val="00FB4554"/>
    <w:rsid w:val="00FB4595"/>
    <w:rsid w:val="00FB45F8"/>
    <w:rsid w:val="00FB4614"/>
    <w:rsid w:val="00FB462B"/>
    <w:rsid w:val="00FB4630"/>
    <w:rsid w:val="00FB4631"/>
    <w:rsid w:val="00FB478A"/>
    <w:rsid w:val="00FB47BD"/>
    <w:rsid w:val="00FB4847"/>
    <w:rsid w:val="00FB4AA0"/>
    <w:rsid w:val="00FB4AC7"/>
    <w:rsid w:val="00FB4B79"/>
    <w:rsid w:val="00FB4B89"/>
    <w:rsid w:val="00FB4BAA"/>
    <w:rsid w:val="00FB4CBD"/>
    <w:rsid w:val="00FB4CDB"/>
    <w:rsid w:val="00FB4D26"/>
    <w:rsid w:val="00FB4D50"/>
    <w:rsid w:val="00FB4DD2"/>
    <w:rsid w:val="00FB4E5D"/>
    <w:rsid w:val="00FB5004"/>
    <w:rsid w:val="00FB5046"/>
    <w:rsid w:val="00FB543A"/>
    <w:rsid w:val="00FB5539"/>
    <w:rsid w:val="00FB55CF"/>
    <w:rsid w:val="00FB56B2"/>
    <w:rsid w:val="00FB5731"/>
    <w:rsid w:val="00FB5812"/>
    <w:rsid w:val="00FB5984"/>
    <w:rsid w:val="00FB59FF"/>
    <w:rsid w:val="00FB5A31"/>
    <w:rsid w:val="00FB5A6B"/>
    <w:rsid w:val="00FB5B1C"/>
    <w:rsid w:val="00FB5C80"/>
    <w:rsid w:val="00FB5E8E"/>
    <w:rsid w:val="00FB61B2"/>
    <w:rsid w:val="00FB61B6"/>
    <w:rsid w:val="00FB61DE"/>
    <w:rsid w:val="00FB622B"/>
    <w:rsid w:val="00FB62DB"/>
    <w:rsid w:val="00FB675C"/>
    <w:rsid w:val="00FB6794"/>
    <w:rsid w:val="00FB69B4"/>
    <w:rsid w:val="00FB69FB"/>
    <w:rsid w:val="00FB6AA0"/>
    <w:rsid w:val="00FB6B21"/>
    <w:rsid w:val="00FB6B3A"/>
    <w:rsid w:val="00FB6B8D"/>
    <w:rsid w:val="00FB6DE2"/>
    <w:rsid w:val="00FB6E68"/>
    <w:rsid w:val="00FB6FA2"/>
    <w:rsid w:val="00FB6FA7"/>
    <w:rsid w:val="00FB7198"/>
    <w:rsid w:val="00FB7249"/>
    <w:rsid w:val="00FB7253"/>
    <w:rsid w:val="00FB72FC"/>
    <w:rsid w:val="00FB743E"/>
    <w:rsid w:val="00FB7477"/>
    <w:rsid w:val="00FB7478"/>
    <w:rsid w:val="00FB7545"/>
    <w:rsid w:val="00FB7584"/>
    <w:rsid w:val="00FB75BD"/>
    <w:rsid w:val="00FB762E"/>
    <w:rsid w:val="00FB782C"/>
    <w:rsid w:val="00FB7A1F"/>
    <w:rsid w:val="00FB7A62"/>
    <w:rsid w:val="00FB7C73"/>
    <w:rsid w:val="00FB7D99"/>
    <w:rsid w:val="00FB7E2E"/>
    <w:rsid w:val="00FB7F73"/>
    <w:rsid w:val="00FC0010"/>
    <w:rsid w:val="00FC00E9"/>
    <w:rsid w:val="00FC01CC"/>
    <w:rsid w:val="00FC0243"/>
    <w:rsid w:val="00FC0309"/>
    <w:rsid w:val="00FC034D"/>
    <w:rsid w:val="00FC036F"/>
    <w:rsid w:val="00FC0389"/>
    <w:rsid w:val="00FC0451"/>
    <w:rsid w:val="00FC049B"/>
    <w:rsid w:val="00FC0506"/>
    <w:rsid w:val="00FC0509"/>
    <w:rsid w:val="00FC0666"/>
    <w:rsid w:val="00FC06A0"/>
    <w:rsid w:val="00FC06CD"/>
    <w:rsid w:val="00FC0836"/>
    <w:rsid w:val="00FC0947"/>
    <w:rsid w:val="00FC0957"/>
    <w:rsid w:val="00FC0DBD"/>
    <w:rsid w:val="00FC0E6E"/>
    <w:rsid w:val="00FC0EE8"/>
    <w:rsid w:val="00FC0F5B"/>
    <w:rsid w:val="00FC10C9"/>
    <w:rsid w:val="00FC1150"/>
    <w:rsid w:val="00FC1208"/>
    <w:rsid w:val="00FC12F8"/>
    <w:rsid w:val="00FC1466"/>
    <w:rsid w:val="00FC1538"/>
    <w:rsid w:val="00FC1734"/>
    <w:rsid w:val="00FC1D42"/>
    <w:rsid w:val="00FC1DC7"/>
    <w:rsid w:val="00FC1F18"/>
    <w:rsid w:val="00FC20E1"/>
    <w:rsid w:val="00FC2193"/>
    <w:rsid w:val="00FC219F"/>
    <w:rsid w:val="00FC223E"/>
    <w:rsid w:val="00FC227C"/>
    <w:rsid w:val="00FC2308"/>
    <w:rsid w:val="00FC23D5"/>
    <w:rsid w:val="00FC2425"/>
    <w:rsid w:val="00FC2505"/>
    <w:rsid w:val="00FC25F7"/>
    <w:rsid w:val="00FC25FF"/>
    <w:rsid w:val="00FC2773"/>
    <w:rsid w:val="00FC288F"/>
    <w:rsid w:val="00FC29B4"/>
    <w:rsid w:val="00FC2AFE"/>
    <w:rsid w:val="00FC2B82"/>
    <w:rsid w:val="00FC2BA1"/>
    <w:rsid w:val="00FC2E76"/>
    <w:rsid w:val="00FC300E"/>
    <w:rsid w:val="00FC3199"/>
    <w:rsid w:val="00FC3226"/>
    <w:rsid w:val="00FC32DC"/>
    <w:rsid w:val="00FC3307"/>
    <w:rsid w:val="00FC3460"/>
    <w:rsid w:val="00FC349E"/>
    <w:rsid w:val="00FC37A0"/>
    <w:rsid w:val="00FC37C0"/>
    <w:rsid w:val="00FC3807"/>
    <w:rsid w:val="00FC3878"/>
    <w:rsid w:val="00FC3986"/>
    <w:rsid w:val="00FC39CF"/>
    <w:rsid w:val="00FC39FD"/>
    <w:rsid w:val="00FC3C07"/>
    <w:rsid w:val="00FC3C76"/>
    <w:rsid w:val="00FC3CA4"/>
    <w:rsid w:val="00FC3D51"/>
    <w:rsid w:val="00FC3D64"/>
    <w:rsid w:val="00FC3D95"/>
    <w:rsid w:val="00FC3DAE"/>
    <w:rsid w:val="00FC3EB7"/>
    <w:rsid w:val="00FC3EE4"/>
    <w:rsid w:val="00FC3FC8"/>
    <w:rsid w:val="00FC40C3"/>
    <w:rsid w:val="00FC412B"/>
    <w:rsid w:val="00FC41BE"/>
    <w:rsid w:val="00FC41D1"/>
    <w:rsid w:val="00FC4280"/>
    <w:rsid w:val="00FC42D5"/>
    <w:rsid w:val="00FC43D0"/>
    <w:rsid w:val="00FC43FD"/>
    <w:rsid w:val="00FC442A"/>
    <w:rsid w:val="00FC45FA"/>
    <w:rsid w:val="00FC4774"/>
    <w:rsid w:val="00FC4A8A"/>
    <w:rsid w:val="00FC4A9D"/>
    <w:rsid w:val="00FC4AF2"/>
    <w:rsid w:val="00FC4B47"/>
    <w:rsid w:val="00FC4CB3"/>
    <w:rsid w:val="00FC4CD0"/>
    <w:rsid w:val="00FC4CDC"/>
    <w:rsid w:val="00FC4CE3"/>
    <w:rsid w:val="00FC4E13"/>
    <w:rsid w:val="00FC4F1B"/>
    <w:rsid w:val="00FC4F3E"/>
    <w:rsid w:val="00FC51B9"/>
    <w:rsid w:val="00FC53D1"/>
    <w:rsid w:val="00FC53D6"/>
    <w:rsid w:val="00FC547B"/>
    <w:rsid w:val="00FC56C5"/>
    <w:rsid w:val="00FC56CE"/>
    <w:rsid w:val="00FC5705"/>
    <w:rsid w:val="00FC5786"/>
    <w:rsid w:val="00FC57EE"/>
    <w:rsid w:val="00FC5836"/>
    <w:rsid w:val="00FC58FE"/>
    <w:rsid w:val="00FC5962"/>
    <w:rsid w:val="00FC5AAC"/>
    <w:rsid w:val="00FC5BD3"/>
    <w:rsid w:val="00FC5C02"/>
    <w:rsid w:val="00FC5C6B"/>
    <w:rsid w:val="00FC5DBE"/>
    <w:rsid w:val="00FC5E22"/>
    <w:rsid w:val="00FC5F28"/>
    <w:rsid w:val="00FC5FAC"/>
    <w:rsid w:val="00FC6094"/>
    <w:rsid w:val="00FC6161"/>
    <w:rsid w:val="00FC62EB"/>
    <w:rsid w:val="00FC6327"/>
    <w:rsid w:val="00FC63B5"/>
    <w:rsid w:val="00FC6484"/>
    <w:rsid w:val="00FC64A6"/>
    <w:rsid w:val="00FC64EC"/>
    <w:rsid w:val="00FC6516"/>
    <w:rsid w:val="00FC6520"/>
    <w:rsid w:val="00FC66AF"/>
    <w:rsid w:val="00FC66B8"/>
    <w:rsid w:val="00FC66E9"/>
    <w:rsid w:val="00FC6746"/>
    <w:rsid w:val="00FC6763"/>
    <w:rsid w:val="00FC682C"/>
    <w:rsid w:val="00FC68DA"/>
    <w:rsid w:val="00FC691D"/>
    <w:rsid w:val="00FC6940"/>
    <w:rsid w:val="00FC6953"/>
    <w:rsid w:val="00FC6A2C"/>
    <w:rsid w:val="00FC6B42"/>
    <w:rsid w:val="00FC6BC4"/>
    <w:rsid w:val="00FC6C2B"/>
    <w:rsid w:val="00FC6C4B"/>
    <w:rsid w:val="00FC6C8F"/>
    <w:rsid w:val="00FC6D08"/>
    <w:rsid w:val="00FC6D13"/>
    <w:rsid w:val="00FC6D23"/>
    <w:rsid w:val="00FC6D35"/>
    <w:rsid w:val="00FC6D3D"/>
    <w:rsid w:val="00FC6D6E"/>
    <w:rsid w:val="00FC6F00"/>
    <w:rsid w:val="00FC6F11"/>
    <w:rsid w:val="00FC6F45"/>
    <w:rsid w:val="00FC70D9"/>
    <w:rsid w:val="00FC7109"/>
    <w:rsid w:val="00FC712B"/>
    <w:rsid w:val="00FC7173"/>
    <w:rsid w:val="00FC718F"/>
    <w:rsid w:val="00FC7323"/>
    <w:rsid w:val="00FC7331"/>
    <w:rsid w:val="00FC7569"/>
    <w:rsid w:val="00FC75F7"/>
    <w:rsid w:val="00FC76BF"/>
    <w:rsid w:val="00FC76E9"/>
    <w:rsid w:val="00FC77FB"/>
    <w:rsid w:val="00FC78B3"/>
    <w:rsid w:val="00FC7949"/>
    <w:rsid w:val="00FC796E"/>
    <w:rsid w:val="00FC79F8"/>
    <w:rsid w:val="00FC7A9C"/>
    <w:rsid w:val="00FC7C59"/>
    <w:rsid w:val="00FC7DF8"/>
    <w:rsid w:val="00FC7F3B"/>
    <w:rsid w:val="00FC7FE7"/>
    <w:rsid w:val="00FD0002"/>
    <w:rsid w:val="00FD00B0"/>
    <w:rsid w:val="00FD015E"/>
    <w:rsid w:val="00FD016E"/>
    <w:rsid w:val="00FD019B"/>
    <w:rsid w:val="00FD01F7"/>
    <w:rsid w:val="00FD0254"/>
    <w:rsid w:val="00FD0494"/>
    <w:rsid w:val="00FD04CD"/>
    <w:rsid w:val="00FD050C"/>
    <w:rsid w:val="00FD054B"/>
    <w:rsid w:val="00FD0570"/>
    <w:rsid w:val="00FD057D"/>
    <w:rsid w:val="00FD064C"/>
    <w:rsid w:val="00FD0695"/>
    <w:rsid w:val="00FD06A1"/>
    <w:rsid w:val="00FD06BF"/>
    <w:rsid w:val="00FD0781"/>
    <w:rsid w:val="00FD082E"/>
    <w:rsid w:val="00FD093F"/>
    <w:rsid w:val="00FD0A8D"/>
    <w:rsid w:val="00FD0AD3"/>
    <w:rsid w:val="00FD0BC5"/>
    <w:rsid w:val="00FD0C3E"/>
    <w:rsid w:val="00FD0CF1"/>
    <w:rsid w:val="00FD0EFB"/>
    <w:rsid w:val="00FD0FD0"/>
    <w:rsid w:val="00FD0FE9"/>
    <w:rsid w:val="00FD108C"/>
    <w:rsid w:val="00FD109D"/>
    <w:rsid w:val="00FD1190"/>
    <w:rsid w:val="00FD120F"/>
    <w:rsid w:val="00FD124E"/>
    <w:rsid w:val="00FD1284"/>
    <w:rsid w:val="00FD12E4"/>
    <w:rsid w:val="00FD1305"/>
    <w:rsid w:val="00FD1322"/>
    <w:rsid w:val="00FD1386"/>
    <w:rsid w:val="00FD13DF"/>
    <w:rsid w:val="00FD1565"/>
    <w:rsid w:val="00FD1970"/>
    <w:rsid w:val="00FD19B4"/>
    <w:rsid w:val="00FD19CE"/>
    <w:rsid w:val="00FD1A30"/>
    <w:rsid w:val="00FD1A37"/>
    <w:rsid w:val="00FD1B45"/>
    <w:rsid w:val="00FD1B7C"/>
    <w:rsid w:val="00FD1C19"/>
    <w:rsid w:val="00FD1C48"/>
    <w:rsid w:val="00FD1C5B"/>
    <w:rsid w:val="00FD1DC7"/>
    <w:rsid w:val="00FD1E22"/>
    <w:rsid w:val="00FD1EB1"/>
    <w:rsid w:val="00FD1FA6"/>
    <w:rsid w:val="00FD200B"/>
    <w:rsid w:val="00FD2035"/>
    <w:rsid w:val="00FD2307"/>
    <w:rsid w:val="00FD2408"/>
    <w:rsid w:val="00FD2467"/>
    <w:rsid w:val="00FD2479"/>
    <w:rsid w:val="00FD2532"/>
    <w:rsid w:val="00FD25A0"/>
    <w:rsid w:val="00FD2629"/>
    <w:rsid w:val="00FD26B5"/>
    <w:rsid w:val="00FD26CF"/>
    <w:rsid w:val="00FD2944"/>
    <w:rsid w:val="00FD2955"/>
    <w:rsid w:val="00FD29AF"/>
    <w:rsid w:val="00FD2BB9"/>
    <w:rsid w:val="00FD2C0D"/>
    <w:rsid w:val="00FD2C52"/>
    <w:rsid w:val="00FD2CF2"/>
    <w:rsid w:val="00FD2E6A"/>
    <w:rsid w:val="00FD2ED3"/>
    <w:rsid w:val="00FD2FC7"/>
    <w:rsid w:val="00FD30DD"/>
    <w:rsid w:val="00FD3261"/>
    <w:rsid w:val="00FD326A"/>
    <w:rsid w:val="00FD33BD"/>
    <w:rsid w:val="00FD3451"/>
    <w:rsid w:val="00FD3542"/>
    <w:rsid w:val="00FD35FC"/>
    <w:rsid w:val="00FD3617"/>
    <w:rsid w:val="00FD361F"/>
    <w:rsid w:val="00FD3690"/>
    <w:rsid w:val="00FD369E"/>
    <w:rsid w:val="00FD36BC"/>
    <w:rsid w:val="00FD3705"/>
    <w:rsid w:val="00FD3742"/>
    <w:rsid w:val="00FD3856"/>
    <w:rsid w:val="00FD399D"/>
    <w:rsid w:val="00FD3A85"/>
    <w:rsid w:val="00FD3AFA"/>
    <w:rsid w:val="00FD3BAD"/>
    <w:rsid w:val="00FD3BC9"/>
    <w:rsid w:val="00FD3C58"/>
    <w:rsid w:val="00FD3C8C"/>
    <w:rsid w:val="00FD3DF4"/>
    <w:rsid w:val="00FD3E7C"/>
    <w:rsid w:val="00FD3EC4"/>
    <w:rsid w:val="00FD3F97"/>
    <w:rsid w:val="00FD3FF3"/>
    <w:rsid w:val="00FD426D"/>
    <w:rsid w:val="00FD4277"/>
    <w:rsid w:val="00FD4320"/>
    <w:rsid w:val="00FD444A"/>
    <w:rsid w:val="00FD4507"/>
    <w:rsid w:val="00FD4556"/>
    <w:rsid w:val="00FD4597"/>
    <w:rsid w:val="00FD459D"/>
    <w:rsid w:val="00FD4706"/>
    <w:rsid w:val="00FD4795"/>
    <w:rsid w:val="00FD47C0"/>
    <w:rsid w:val="00FD4854"/>
    <w:rsid w:val="00FD4858"/>
    <w:rsid w:val="00FD4876"/>
    <w:rsid w:val="00FD4899"/>
    <w:rsid w:val="00FD48EA"/>
    <w:rsid w:val="00FD48F5"/>
    <w:rsid w:val="00FD492F"/>
    <w:rsid w:val="00FD4A6D"/>
    <w:rsid w:val="00FD4A87"/>
    <w:rsid w:val="00FD4A9E"/>
    <w:rsid w:val="00FD4AFE"/>
    <w:rsid w:val="00FD4B28"/>
    <w:rsid w:val="00FD4C61"/>
    <w:rsid w:val="00FD4D65"/>
    <w:rsid w:val="00FD4EF2"/>
    <w:rsid w:val="00FD4F43"/>
    <w:rsid w:val="00FD5244"/>
    <w:rsid w:val="00FD527B"/>
    <w:rsid w:val="00FD5284"/>
    <w:rsid w:val="00FD5343"/>
    <w:rsid w:val="00FD536B"/>
    <w:rsid w:val="00FD547F"/>
    <w:rsid w:val="00FD5560"/>
    <w:rsid w:val="00FD5575"/>
    <w:rsid w:val="00FD5695"/>
    <w:rsid w:val="00FD56F8"/>
    <w:rsid w:val="00FD573A"/>
    <w:rsid w:val="00FD580C"/>
    <w:rsid w:val="00FD58A8"/>
    <w:rsid w:val="00FD58BD"/>
    <w:rsid w:val="00FD594C"/>
    <w:rsid w:val="00FD59A1"/>
    <w:rsid w:val="00FD59A4"/>
    <w:rsid w:val="00FD5A9D"/>
    <w:rsid w:val="00FD5CA4"/>
    <w:rsid w:val="00FD5DED"/>
    <w:rsid w:val="00FD5EB9"/>
    <w:rsid w:val="00FD5FBF"/>
    <w:rsid w:val="00FD601A"/>
    <w:rsid w:val="00FD6132"/>
    <w:rsid w:val="00FD63F9"/>
    <w:rsid w:val="00FD6453"/>
    <w:rsid w:val="00FD64BF"/>
    <w:rsid w:val="00FD66D7"/>
    <w:rsid w:val="00FD66EB"/>
    <w:rsid w:val="00FD6737"/>
    <w:rsid w:val="00FD6798"/>
    <w:rsid w:val="00FD6AC6"/>
    <w:rsid w:val="00FD6B28"/>
    <w:rsid w:val="00FD6B80"/>
    <w:rsid w:val="00FD6B85"/>
    <w:rsid w:val="00FD6BED"/>
    <w:rsid w:val="00FD6C9A"/>
    <w:rsid w:val="00FD6CF2"/>
    <w:rsid w:val="00FD6CFF"/>
    <w:rsid w:val="00FD6D72"/>
    <w:rsid w:val="00FD6D7A"/>
    <w:rsid w:val="00FD6EB5"/>
    <w:rsid w:val="00FD6FD9"/>
    <w:rsid w:val="00FD7021"/>
    <w:rsid w:val="00FD7075"/>
    <w:rsid w:val="00FD70A1"/>
    <w:rsid w:val="00FD7105"/>
    <w:rsid w:val="00FD71B0"/>
    <w:rsid w:val="00FD71EE"/>
    <w:rsid w:val="00FD722C"/>
    <w:rsid w:val="00FD726D"/>
    <w:rsid w:val="00FD7345"/>
    <w:rsid w:val="00FD73B1"/>
    <w:rsid w:val="00FD73BB"/>
    <w:rsid w:val="00FD74EE"/>
    <w:rsid w:val="00FD7710"/>
    <w:rsid w:val="00FD7726"/>
    <w:rsid w:val="00FD7789"/>
    <w:rsid w:val="00FD786F"/>
    <w:rsid w:val="00FD78C0"/>
    <w:rsid w:val="00FD797D"/>
    <w:rsid w:val="00FD7C72"/>
    <w:rsid w:val="00FD7C7F"/>
    <w:rsid w:val="00FD7D70"/>
    <w:rsid w:val="00FD7FA1"/>
    <w:rsid w:val="00FE0015"/>
    <w:rsid w:val="00FE0029"/>
    <w:rsid w:val="00FE01CB"/>
    <w:rsid w:val="00FE023B"/>
    <w:rsid w:val="00FE026F"/>
    <w:rsid w:val="00FE02C1"/>
    <w:rsid w:val="00FE02E6"/>
    <w:rsid w:val="00FE0376"/>
    <w:rsid w:val="00FE042C"/>
    <w:rsid w:val="00FE0565"/>
    <w:rsid w:val="00FE059C"/>
    <w:rsid w:val="00FE05EC"/>
    <w:rsid w:val="00FE0798"/>
    <w:rsid w:val="00FE081E"/>
    <w:rsid w:val="00FE0859"/>
    <w:rsid w:val="00FE0942"/>
    <w:rsid w:val="00FE09B2"/>
    <w:rsid w:val="00FE0B05"/>
    <w:rsid w:val="00FE0B8E"/>
    <w:rsid w:val="00FE0C31"/>
    <w:rsid w:val="00FE0C7E"/>
    <w:rsid w:val="00FE0CAA"/>
    <w:rsid w:val="00FE0D8D"/>
    <w:rsid w:val="00FE0D95"/>
    <w:rsid w:val="00FE0F2C"/>
    <w:rsid w:val="00FE100D"/>
    <w:rsid w:val="00FE1095"/>
    <w:rsid w:val="00FE110E"/>
    <w:rsid w:val="00FE1148"/>
    <w:rsid w:val="00FE130B"/>
    <w:rsid w:val="00FE1366"/>
    <w:rsid w:val="00FE1390"/>
    <w:rsid w:val="00FE1405"/>
    <w:rsid w:val="00FE148C"/>
    <w:rsid w:val="00FE1582"/>
    <w:rsid w:val="00FE16B7"/>
    <w:rsid w:val="00FE16FF"/>
    <w:rsid w:val="00FE1787"/>
    <w:rsid w:val="00FE185B"/>
    <w:rsid w:val="00FE1B46"/>
    <w:rsid w:val="00FE1BA4"/>
    <w:rsid w:val="00FE1CDB"/>
    <w:rsid w:val="00FE1D04"/>
    <w:rsid w:val="00FE1D72"/>
    <w:rsid w:val="00FE1E94"/>
    <w:rsid w:val="00FE1EDB"/>
    <w:rsid w:val="00FE1FD3"/>
    <w:rsid w:val="00FE2107"/>
    <w:rsid w:val="00FE217D"/>
    <w:rsid w:val="00FE2180"/>
    <w:rsid w:val="00FE21DE"/>
    <w:rsid w:val="00FE230A"/>
    <w:rsid w:val="00FE2328"/>
    <w:rsid w:val="00FE234C"/>
    <w:rsid w:val="00FE23FD"/>
    <w:rsid w:val="00FE2534"/>
    <w:rsid w:val="00FE2536"/>
    <w:rsid w:val="00FE2591"/>
    <w:rsid w:val="00FE2753"/>
    <w:rsid w:val="00FE2789"/>
    <w:rsid w:val="00FE29D4"/>
    <w:rsid w:val="00FE2AF4"/>
    <w:rsid w:val="00FE2B99"/>
    <w:rsid w:val="00FE2BEF"/>
    <w:rsid w:val="00FE2C27"/>
    <w:rsid w:val="00FE2C43"/>
    <w:rsid w:val="00FE2C5C"/>
    <w:rsid w:val="00FE2DBB"/>
    <w:rsid w:val="00FE3005"/>
    <w:rsid w:val="00FE313F"/>
    <w:rsid w:val="00FE3438"/>
    <w:rsid w:val="00FE3505"/>
    <w:rsid w:val="00FE3534"/>
    <w:rsid w:val="00FE3569"/>
    <w:rsid w:val="00FE3757"/>
    <w:rsid w:val="00FE377D"/>
    <w:rsid w:val="00FE37BB"/>
    <w:rsid w:val="00FE3A5A"/>
    <w:rsid w:val="00FE3B15"/>
    <w:rsid w:val="00FE3B41"/>
    <w:rsid w:val="00FE3CA1"/>
    <w:rsid w:val="00FE3E0E"/>
    <w:rsid w:val="00FE3E23"/>
    <w:rsid w:val="00FE3E7C"/>
    <w:rsid w:val="00FE3E80"/>
    <w:rsid w:val="00FE405B"/>
    <w:rsid w:val="00FE406A"/>
    <w:rsid w:val="00FE40E8"/>
    <w:rsid w:val="00FE411E"/>
    <w:rsid w:val="00FE4440"/>
    <w:rsid w:val="00FE4483"/>
    <w:rsid w:val="00FE4512"/>
    <w:rsid w:val="00FE457A"/>
    <w:rsid w:val="00FE45A8"/>
    <w:rsid w:val="00FE48DE"/>
    <w:rsid w:val="00FE4939"/>
    <w:rsid w:val="00FE4991"/>
    <w:rsid w:val="00FE4A66"/>
    <w:rsid w:val="00FE4A6C"/>
    <w:rsid w:val="00FE4AD1"/>
    <w:rsid w:val="00FE4B20"/>
    <w:rsid w:val="00FE4B59"/>
    <w:rsid w:val="00FE4C76"/>
    <w:rsid w:val="00FE4CAB"/>
    <w:rsid w:val="00FE4CD4"/>
    <w:rsid w:val="00FE4D75"/>
    <w:rsid w:val="00FE4D78"/>
    <w:rsid w:val="00FE4DD3"/>
    <w:rsid w:val="00FE4DD4"/>
    <w:rsid w:val="00FE4E7D"/>
    <w:rsid w:val="00FE4F7D"/>
    <w:rsid w:val="00FE5083"/>
    <w:rsid w:val="00FE53D4"/>
    <w:rsid w:val="00FE565E"/>
    <w:rsid w:val="00FE5799"/>
    <w:rsid w:val="00FE57CD"/>
    <w:rsid w:val="00FE587E"/>
    <w:rsid w:val="00FE59A0"/>
    <w:rsid w:val="00FE59F9"/>
    <w:rsid w:val="00FE5A30"/>
    <w:rsid w:val="00FE5A3F"/>
    <w:rsid w:val="00FE5C96"/>
    <w:rsid w:val="00FE5F49"/>
    <w:rsid w:val="00FE5F6C"/>
    <w:rsid w:val="00FE6027"/>
    <w:rsid w:val="00FE61A4"/>
    <w:rsid w:val="00FE62FD"/>
    <w:rsid w:val="00FE6319"/>
    <w:rsid w:val="00FE63AF"/>
    <w:rsid w:val="00FE640C"/>
    <w:rsid w:val="00FE6470"/>
    <w:rsid w:val="00FE64CA"/>
    <w:rsid w:val="00FE64D8"/>
    <w:rsid w:val="00FE64EA"/>
    <w:rsid w:val="00FE662E"/>
    <w:rsid w:val="00FE66BA"/>
    <w:rsid w:val="00FE6780"/>
    <w:rsid w:val="00FE6822"/>
    <w:rsid w:val="00FE6871"/>
    <w:rsid w:val="00FE699A"/>
    <w:rsid w:val="00FE69E6"/>
    <w:rsid w:val="00FE6A2E"/>
    <w:rsid w:val="00FE6AF1"/>
    <w:rsid w:val="00FE6B7A"/>
    <w:rsid w:val="00FE6B9E"/>
    <w:rsid w:val="00FE6BE9"/>
    <w:rsid w:val="00FE6C5F"/>
    <w:rsid w:val="00FE6D74"/>
    <w:rsid w:val="00FE6E20"/>
    <w:rsid w:val="00FE6E9B"/>
    <w:rsid w:val="00FE722B"/>
    <w:rsid w:val="00FE7235"/>
    <w:rsid w:val="00FE72B4"/>
    <w:rsid w:val="00FE731F"/>
    <w:rsid w:val="00FE733B"/>
    <w:rsid w:val="00FE7469"/>
    <w:rsid w:val="00FE74A0"/>
    <w:rsid w:val="00FE75AE"/>
    <w:rsid w:val="00FE75F2"/>
    <w:rsid w:val="00FE760C"/>
    <w:rsid w:val="00FE765F"/>
    <w:rsid w:val="00FE7719"/>
    <w:rsid w:val="00FE7764"/>
    <w:rsid w:val="00FE7795"/>
    <w:rsid w:val="00FE77BF"/>
    <w:rsid w:val="00FE7851"/>
    <w:rsid w:val="00FE78B0"/>
    <w:rsid w:val="00FE7BC4"/>
    <w:rsid w:val="00FE7C25"/>
    <w:rsid w:val="00FE7C48"/>
    <w:rsid w:val="00FE7C77"/>
    <w:rsid w:val="00FE7CB6"/>
    <w:rsid w:val="00FE7D13"/>
    <w:rsid w:val="00FE7D4F"/>
    <w:rsid w:val="00FE7F24"/>
    <w:rsid w:val="00FE7F67"/>
    <w:rsid w:val="00FE7F7A"/>
    <w:rsid w:val="00FE7FD5"/>
    <w:rsid w:val="00FEFAF2"/>
    <w:rsid w:val="00FF00AD"/>
    <w:rsid w:val="00FF027A"/>
    <w:rsid w:val="00FF032A"/>
    <w:rsid w:val="00FF0351"/>
    <w:rsid w:val="00FF0436"/>
    <w:rsid w:val="00FF049A"/>
    <w:rsid w:val="00FF0553"/>
    <w:rsid w:val="00FF05CD"/>
    <w:rsid w:val="00FF05F3"/>
    <w:rsid w:val="00FF0631"/>
    <w:rsid w:val="00FF064C"/>
    <w:rsid w:val="00FF06C4"/>
    <w:rsid w:val="00FF06CE"/>
    <w:rsid w:val="00FF0891"/>
    <w:rsid w:val="00FF098A"/>
    <w:rsid w:val="00FF09BD"/>
    <w:rsid w:val="00FF09DC"/>
    <w:rsid w:val="00FF0A3D"/>
    <w:rsid w:val="00FF0AF0"/>
    <w:rsid w:val="00FF0BD8"/>
    <w:rsid w:val="00FF0C07"/>
    <w:rsid w:val="00FF0D05"/>
    <w:rsid w:val="00FF0D09"/>
    <w:rsid w:val="00FF0E6C"/>
    <w:rsid w:val="00FF0F2F"/>
    <w:rsid w:val="00FF0FD0"/>
    <w:rsid w:val="00FF1019"/>
    <w:rsid w:val="00FF108E"/>
    <w:rsid w:val="00FF118F"/>
    <w:rsid w:val="00FF122E"/>
    <w:rsid w:val="00FF12D0"/>
    <w:rsid w:val="00FF1335"/>
    <w:rsid w:val="00FF1340"/>
    <w:rsid w:val="00FF13B7"/>
    <w:rsid w:val="00FF13E4"/>
    <w:rsid w:val="00FF142B"/>
    <w:rsid w:val="00FF143C"/>
    <w:rsid w:val="00FF1459"/>
    <w:rsid w:val="00FF149D"/>
    <w:rsid w:val="00FF1532"/>
    <w:rsid w:val="00FF153C"/>
    <w:rsid w:val="00FF15B0"/>
    <w:rsid w:val="00FF15BB"/>
    <w:rsid w:val="00FF16F5"/>
    <w:rsid w:val="00FF17AB"/>
    <w:rsid w:val="00FF17BD"/>
    <w:rsid w:val="00FF199B"/>
    <w:rsid w:val="00FF19C4"/>
    <w:rsid w:val="00FF19D9"/>
    <w:rsid w:val="00FF1A52"/>
    <w:rsid w:val="00FF1A83"/>
    <w:rsid w:val="00FF1C14"/>
    <w:rsid w:val="00FF1D45"/>
    <w:rsid w:val="00FF1E97"/>
    <w:rsid w:val="00FF1F24"/>
    <w:rsid w:val="00FF20B2"/>
    <w:rsid w:val="00FF2278"/>
    <w:rsid w:val="00FF238D"/>
    <w:rsid w:val="00FF23B1"/>
    <w:rsid w:val="00FF23D7"/>
    <w:rsid w:val="00FF24AC"/>
    <w:rsid w:val="00FF250F"/>
    <w:rsid w:val="00FF25C1"/>
    <w:rsid w:val="00FF281E"/>
    <w:rsid w:val="00FF286C"/>
    <w:rsid w:val="00FF2876"/>
    <w:rsid w:val="00FF28FF"/>
    <w:rsid w:val="00FF294D"/>
    <w:rsid w:val="00FF2A5B"/>
    <w:rsid w:val="00FF2AA8"/>
    <w:rsid w:val="00FF2B1B"/>
    <w:rsid w:val="00FF2B4E"/>
    <w:rsid w:val="00FF2BAD"/>
    <w:rsid w:val="00FF2BBD"/>
    <w:rsid w:val="00FF2BF6"/>
    <w:rsid w:val="00FF2D35"/>
    <w:rsid w:val="00FF2E3D"/>
    <w:rsid w:val="00FF2E65"/>
    <w:rsid w:val="00FF2EEB"/>
    <w:rsid w:val="00FF2EF9"/>
    <w:rsid w:val="00FF2F28"/>
    <w:rsid w:val="00FF2FD9"/>
    <w:rsid w:val="00FF3024"/>
    <w:rsid w:val="00FF30AA"/>
    <w:rsid w:val="00FF3117"/>
    <w:rsid w:val="00FF3169"/>
    <w:rsid w:val="00FF31D3"/>
    <w:rsid w:val="00FF3370"/>
    <w:rsid w:val="00FF353F"/>
    <w:rsid w:val="00FF358C"/>
    <w:rsid w:val="00FF36D2"/>
    <w:rsid w:val="00FF382B"/>
    <w:rsid w:val="00FF3865"/>
    <w:rsid w:val="00FF3A31"/>
    <w:rsid w:val="00FF3BF7"/>
    <w:rsid w:val="00FF3C0E"/>
    <w:rsid w:val="00FF3C46"/>
    <w:rsid w:val="00FF3CC5"/>
    <w:rsid w:val="00FF3CFF"/>
    <w:rsid w:val="00FF3DCB"/>
    <w:rsid w:val="00FF3EE1"/>
    <w:rsid w:val="00FF3F69"/>
    <w:rsid w:val="00FF40B6"/>
    <w:rsid w:val="00FF4112"/>
    <w:rsid w:val="00FF4125"/>
    <w:rsid w:val="00FF416A"/>
    <w:rsid w:val="00FF419D"/>
    <w:rsid w:val="00FF43B7"/>
    <w:rsid w:val="00FF4460"/>
    <w:rsid w:val="00FF4643"/>
    <w:rsid w:val="00FF4647"/>
    <w:rsid w:val="00FF4686"/>
    <w:rsid w:val="00FF46AE"/>
    <w:rsid w:val="00FF46B3"/>
    <w:rsid w:val="00FF479B"/>
    <w:rsid w:val="00FF47C8"/>
    <w:rsid w:val="00FF47C9"/>
    <w:rsid w:val="00FF48BD"/>
    <w:rsid w:val="00FF48E8"/>
    <w:rsid w:val="00FF491B"/>
    <w:rsid w:val="00FF4953"/>
    <w:rsid w:val="00FF496C"/>
    <w:rsid w:val="00FF499D"/>
    <w:rsid w:val="00FF49C3"/>
    <w:rsid w:val="00FF49F9"/>
    <w:rsid w:val="00FF4AB6"/>
    <w:rsid w:val="00FF4AB7"/>
    <w:rsid w:val="00FF4B59"/>
    <w:rsid w:val="00FF4C0C"/>
    <w:rsid w:val="00FF4F45"/>
    <w:rsid w:val="00FF4F60"/>
    <w:rsid w:val="00FF5054"/>
    <w:rsid w:val="00FF5058"/>
    <w:rsid w:val="00FF50D0"/>
    <w:rsid w:val="00FF50FE"/>
    <w:rsid w:val="00FF512A"/>
    <w:rsid w:val="00FF5287"/>
    <w:rsid w:val="00FF52A3"/>
    <w:rsid w:val="00FF52DF"/>
    <w:rsid w:val="00FF5475"/>
    <w:rsid w:val="00FF553E"/>
    <w:rsid w:val="00FF55F4"/>
    <w:rsid w:val="00FF55FA"/>
    <w:rsid w:val="00FF5698"/>
    <w:rsid w:val="00FF5952"/>
    <w:rsid w:val="00FF59B2"/>
    <w:rsid w:val="00FF59FE"/>
    <w:rsid w:val="00FF5C82"/>
    <w:rsid w:val="00FF5D97"/>
    <w:rsid w:val="00FF5FED"/>
    <w:rsid w:val="00FF6039"/>
    <w:rsid w:val="00FF6073"/>
    <w:rsid w:val="00FF621E"/>
    <w:rsid w:val="00FF62BE"/>
    <w:rsid w:val="00FF633E"/>
    <w:rsid w:val="00FF6352"/>
    <w:rsid w:val="00FF6470"/>
    <w:rsid w:val="00FF64C2"/>
    <w:rsid w:val="00FF6541"/>
    <w:rsid w:val="00FF656E"/>
    <w:rsid w:val="00FF66DC"/>
    <w:rsid w:val="00FF674E"/>
    <w:rsid w:val="00FF677C"/>
    <w:rsid w:val="00FF67CD"/>
    <w:rsid w:val="00FF682F"/>
    <w:rsid w:val="00FF68BE"/>
    <w:rsid w:val="00FF68BF"/>
    <w:rsid w:val="00FF6AC7"/>
    <w:rsid w:val="00FF6AD6"/>
    <w:rsid w:val="00FF6AF0"/>
    <w:rsid w:val="00FF6B55"/>
    <w:rsid w:val="00FF6B61"/>
    <w:rsid w:val="00FF6BC6"/>
    <w:rsid w:val="00FF6FA6"/>
    <w:rsid w:val="00FF6FB1"/>
    <w:rsid w:val="00FF6FD2"/>
    <w:rsid w:val="00FF6FDB"/>
    <w:rsid w:val="00FF6FF3"/>
    <w:rsid w:val="00FF70DA"/>
    <w:rsid w:val="00FF70F3"/>
    <w:rsid w:val="00FF7143"/>
    <w:rsid w:val="00FF71C4"/>
    <w:rsid w:val="00FF71F6"/>
    <w:rsid w:val="00FF72A2"/>
    <w:rsid w:val="00FF743F"/>
    <w:rsid w:val="00FF747C"/>
    <w:rsid w:val="00FF7486"/>
    <w:rsid w:val="00FF74B6"/>
    <w:rsid w:val="00FF7515"/>
    <w:rsid w:val="00FF75D7"/>
    <w:rsid w:val="00FF79E0"/>
    <w:rsid w:val="00FF7A2B"/>
    <w:rsid w:val="00FF7A49"/>
    <w:rsid w:val="00FF7B19"/>
    <w:rsid w:val="00FF7BA3"/>
    <w:rsid w:val="00FF7C13"/>
    <w:rsid w:val="00FF7C3C"/>
    <w:rsid w:val="00FF7C50"/>
    <w:rsid w:val="00FF7CAE"/>
    <w:rsid w:val="00FF7D07"/>
    <w:rsid w:val="00FF7DE0"/>
    <w:rsid w:val="00FF7ED2"/>
    <w:rsid w:val="00FF7F22"/>
    <w:rsid w:val="00FF7F35"/>
    <w:rsid w:val="00FF7F74"/>
    <w:rsid w:val="00FF81E4"/>
    <w:rsid w:val="00FF89DB"/>
    <w:rsid w:val="01050495"/>
    <w:rsid w:val="0109F022"/>
    <w:rsid w:val="010AFC80"/>
    <w:rsid w:val="010BC9E2"/>
    <w:rsid w:val="011289DB"/>
    <w:rsid w:val="0116E061"/>
    <w:rsid w:val="01174DED"/>
    <w:rsid w:val="011B9E0A"/>
    <w:rsid w:val="011D650E"/>
    <w:rsid w:val="01205226"/>
    <w:rsid w:val="012218E1"/>
    <w:rsid w:val="01241789"/>
    <w:rsid w:val="0126EC20"/>
    <w:rsid w:val="012743F3"/>
    <w:rsid w:val="01274AE6"/>
    <w:rsid w:val="01292BCF"/>
    <w:rsid w:val="0129EE59"/>
    <w:rsid w:val="012B4BB6"/>
    <w:rsid w:val="013140C9"/>
    <w:rsid w:val="013429E2"/>
    <w:rsid w:val="0138A9AA"/>
    <w:rsid w:val="013BA83B"/>
    <w:rsid w:val="0141EA34"/>
    <w:rsid w:val="0146602A"/>
    <w:rsid w:val="01472001"/>
    <w:rsid w:val="0155025C"/>
    <w:rsid w:val="015BA354"/>
    <w:rsid w:val="015F2D27"/>
    <w:rsid w:val="016129D4"/>
    <w:rsid w:val="016217AD"/>
    <w:rsid w:val="01622378"/>
    <w:rsid w:val="0163B391"/>
    <w:rsid w:val="01655E75"/>
    <w:rsid w:val="0168596E"/>
    <w:rsid w:val="0170D3B1"/>
    <w:rsid w:val="0174E6BB"/>
    <w:rsid w:val="0176CEC1"/>
    <w:rsid w:val="01780C71"/>
    <w:rsid w:val="017C4CB5"/>
    <w:rsid w:val="017DF8C0"/>
    <w:rsid w:val="017EE2A7"/>
    <w:rsid w:val="017F3EF4"/>
    <w:rsid w:val="018005CE"/>
    <w:rsid w:val="01808FAC"/>
    <w:rsid w:val="0180DDC5"/>
    <w:rsid w:val="01814F01"/>
    <w:rsid w:val="018588D9"/>
    <w:rsid w:val="018697E2"/>
    <w:rsid w:val="0191EE32"/>
    <w:rsid w:val="0192CB4F"/>
    <w:rsid w:val="01930B79"/>
    <w:rsid w:val="01993909"/>
    <w:rsid w:val="0199EC1B"/>
    <w:rsid w:val="019C1735"/>
    <w:rsid w:val="019D4092"/>
    <w:rsid w:val="019D9D97"/>
    <w:rsid w:val="01A1041F"/>
    <w:rsid w:val="01A1BADE"/>
    <w:rsid w:val="01A8A952"/>
    <w:rsid w:val="01AB4990"/>
    <w:rsid w:val="01AF7E0C"/>
    <w:rsid w:val="01B0A7F4"/>
    <w:rsid w:val="01B3505D"/>
    <w:rsid w:val="01B65CC5"/>
    <w:rsid w:val="01B81D50"/>
    <w:rsid w:val="01BB98D1"/>
    <w:rsid w:val="01BBD92C"/>
    <w:rsid w:val="01BEB154"/>
    <w:rsid w:val="01C76059"/>
    <w:rsid w:val="01CF283C"/>
    <w:rsid w:val="01D07206"/>
    <w:rsid w:val="01D07E4D"/>
    <w:rsid w:val="01E040C9"/>
    <w:rsid w:val="01E1AFF7"/>
    <w:rsid w:val="01E21D52"/>
    <w:rsid w:val="01E3020A"/>
    <w:rsid w:val="01E462F9"/>
    <w:rsid w:val="01E47F1D"/>
    <w:rsid w:val="01E5057D"/>
    <w:rsid w:val="01E6B836"/>
    <w:rsid w:val="01E73A77"/>
    <w:rsid w:val="01E9BBDA"/>
    <w:rsid w:val="01ECAE2F"/>
    <w:rsid w:val="01EF9704"/>
    <w:rsid w:val="01F1936C"/>
    <w:rsid w:val="01F553DD"/>
    <w:rsid w:val="01FD2AF1"/>
    <w:rsid w:val="01FE080F"/>
    <w:rsid w:val="01FE4D26"/>
    <w:rsid w:val="01FEEA2D"/>
    <w:rsid w:val="01FEF149"/>
    <w:rsid w:val="02007A7B"/>
    <w:rsid w:val="02092D7A"/>
    <w:rsid w:val="020B36AF"/>
    <w:rsid w:val="02105F23"/>
    <w:rsid w:val="021756FF"/>
    <w:rsid w:val="02186E56"/>
    <w:rsid w:val="021BA358"/>
    <w:rsid w:val="021BBF6E"/>
    <w:rsid w:val="021C89FA"/>
    <w:rsid w:val="021DDB35"/>
    <w:rsid w:val="022066C9"/>
    <w:rsid w:val="02217E51"/>
    <w:rsid w:val="0221AC72"/>
    <w:rsid w:val="02225BE3"/>
    <w:rsid w:val="0223418B"/>
    <w:rsid w:val="022633C0"/>
    <w:rsid w:val="0227FAFE"/>
    <w:rsid w:val="022B1CEC"/>
    <w:rsid w:val="022D7D6E"/>
    <w:rsid w:val="022EB14B"/>
    <w:rsid w:val="022FAAFD"/>
    <w:rsid w:val="0231F1BC"/>
    <w:rsid w:val="024069DD"/>
    <w:rsid w:val="02418CFC"/>
    <w:rsid w:val="02423C3D"/>
    <w:rsid w:val="0244FF2E"/>
    <w:rsid w:val="02470627"/>
    <w:rsid w:val="0247C608"/>
    <w:rsid w:val="0248906A"/>
    <w:rsid w:val="0248F2AE"/>
    <w:rsid w:val="024BBF25"/>
    <w:rsid w:val="02545625"/>
    <w:rsid w:val="025B2632"/>
    <w:rsid w:val="025B3C93"/>
    <w:rsid w:val="025E159D"/>
    <w:rsid w:val="025EA2F2"/>
    <w:rsid w:val="02601C90"/>
    <w:rsid w:val="0265A7CA"/>
    <w:rsid w:val="0265A824"/>
    <w:rsid w:val="026AF580"/>
    <w:rsid w:val="026BCD12"/>
    <w:rsid w:val="026D686F"/>
    <w:rsid w:val="027061D8"/>
    <w:rsid w:val="0270A1C9"/>
    <w:rsid w:val="02771B58"/>
    <w:rsid w:val="02783554"/>
    <w:rsid w:val="027C1326"/>
    <w:rsid w:val="0280C838"/>
    <w:rsid w:val="0281334D"/>
    <w:rsid w:val="02817D18"/>
    <w:rsid w:val="02843330"/>
    <w:rsid w:val="028475F4"/>
    <w:rsid w:val="028928BD"/>
    <w:rsid w:val="028C9E40"/>
    <w:rsid w:val="0293CBD0"/>
    <w:rsid w:val="0299FFB6"/>
    <w:rsid w:val="029DC9FC"/>
    <w:rsid w:val="029E566C"/>
    <w:rsid w:val="029F65BC"/>
    <w:rsid w:val="02A31BFE"/>
    <w:rsid w:val="02A4FED6"/>
    <w:rsid w:val="02A57930"/>
    <w:rsid w:val="02A89D21"/>
    <w:rsid w:val="02BEFA3F"/>
    <w:rsid w:val="02C0CC09"/>
    <w:rsid w:val="02C4FED6"/>
    <w:rsid w:val="02C58CCA"/>
    <w:rsid w:val="02D06FC7"/>
    <w:rsid w:val="02D2E1B5"/>
    <w:rsid w:val="02D4B9DC"/>
    <w:rsid w:val="02D56B06"/>
    <w:rsid w:val="02D5CBF6"/>
    <w:rsid w:val="02D826AF"/>
    <w:rsid w:val="02DB5478"/>
    <w:rsid w:val="02DD3DFC"/>
    <w:rsid w:val="02DF3887"/>
    <w:rsid w:val="02E63C6B"/>
    <w:rsid w:val="02E77F24"/>
    <w:rsid w:val="02E86E07"/>
    <w:rsid w:val="02EA45C8"/>
    <w:rsid w:val="02EB9652"/>
    <w:rsid w:val="02EF36AF"/>
    <w:rsid w:val="02F7E513"/>
    <w:rsid w:val="02FA6E43"/>
    <w:rsid w:val="03014288"/>
    <w:rsid w:val="03111F30"/>
    <w:rsid w:val="03150927"/>
    <w:rsid w:val="031AC61C"/>
    <w:rsid w:val="031D1FB8"/>
    <w:rsid w:val="0321E336"/>
    <w:rsid w:val="032A7DF4"/>
    <w:rsid w:val="032B9FEF"/>
    <w:rsid w:val="032D9A68"/>
    <w:rsid w:val="032F7863"/>
    <w:rsid w:val="03313140"/>
    <w:rsid w:val="03371C8A"/>
    <w:rsid w:val="034040EC"/>
    <w:rsid w:val="0349B578"/>
    <w:rsid w:val="0349E2B7"/>
    <w:rsid w:val="034EFD7F"/>
    <w:rsid w:val="0350D531"/>
    <w:rsid w:val="0351A222"/>
    <w:rsid w:val="035A2D39"/>
    <w:rsid w:val="035A6CCC"/>
    <w:rsid w:val="035EDBE1"/>
    <w:rsid w:val="035FCFEF"/>
    <w:rsid w:val="036109A4"/>
    <w:rsid w:val="03612C17"/>
    <w:rsid w:val="0364D8FD"/>
    <w:rsid w:val="036617D8"/>
    <w:rsid w:val="036878CE"/>
    <w:rsid w:val="0368D211"/>
    <w:rsid w:val="0368E84E"/>
    <w:rsid w:val="036AF8D4"/>
    <w:rsid w:val="036E0D3C"/>
    <w:rsid w:val="036FA0F7"/>
    <w:rsid w:val="03774C52"/>
    <w:rsid w:val="0377AE54"/>
    <w:rsid w:val="037CF7C6"/>
    <w:rsid w:val="03825BF6"/>
    <w:rsid w:val="0382A1F1"/>
    <w:rsid w:val="03834B96"/>
    <w:rsid w:val="0386A07F"/>
    <w:rsid w:val="03885843"/>
    <w:rsid w:val="038AAF2B"/>
    <w:rsid w:val="038E5723"/>
    <w:rsid w:val="03933707"/>
    <w:rsid w:val="039D4FE7"/>
    <w:rsid w:val="039FC112"/>
    <w:rsid w:val="03A2FE05"/>
    <w:rsid w:val="03B6D1BB"/>
    <w:rsid w:val="03BA76EB"/>
    <w:rsid w:val="03BA85F2"/>
    <w:rsid w:val="03BB59C1"/>
    <w:rsid w:val="03BB8A22"/>
    <w:rsid w:val="03BE04B0"/>
    <w:rsid w:val="03C1595F"/>
    <w:rsid w:val="03C1C766"/>
    <w:rsid w:val="03C33CA4"/>
    <w:rsid w:val="03C4555B"/>
    <w:rsid w:val="03C58769"/>
    <w:rsid w:val="03C702E5"/>
    <w:rsid w:val="03C96799"/>
    <w:rsid w:val="03C9A799"/>
    <w:rsid w:val="03C9E197"/>
    <w:rsid w:val="03CDDCA0"/>
    <w:rsid w:val="03D4678A"/>
    <w:rsid w:val="03D9362B"/>
    <w:rsid w:val="03DCD4B3"/>
    <w:rsid w:val="03DE45F5"/>
    <w:rsid w:val="03E05247"/>
    <w:rsid w:val="03E0FFCA"/>
    <w:rsid w:val="03E35FD6"/>
    <w:rsid w:val="03EDF704"/>
    <w:rsid w:val="03F8F741"/>
    <w:rsid w:val="03F9C9FC"/>
    <w:rsid w:val="03FA437E"/>
    <w:rsid w:val="03FA5892"/>
    <w:rsid w:val="03FD3943"/>
    <w:rsid w:val="04010A17"/>
    <w:rsid w:val="04016A24"/>
    <w:rsid w:val="04019F2E"/>
    <w:rsid w:val="04066921"/>
    <w:rsid w:val="040A7AEF"/>
    <w:rsid w:val="040CCBDD"/>
    <w:rsid w:val="040F363F"/>
    <w:rsid w:val="040FEEDF"/>
    <w:rsid w:val="0410236F"/>
    <w:rsid w:val="0411E521"/>
    <w:rsid w:val="0412C37D"/>
    <w:rsid w:val="0416AF7D"/>
    <w:rsid w:val="0417E5A8"/>
    <w:rsid w:val="0418EB75"/>
    <w:rsid w:val="0419FBBD"/>
    <w:rsid w:val="041D343F"/>
    <w:rsid w:val="04203EF6"/>
    <w:rsid w:val="0425BB41"/>
    <w:rsid w:val="0427C675"/>
    <w:rsid w:val="042B5736"/>
    <w:rsid w:val="0432B474"/>
    <w:rsid w:val="043324DB"/>
    <w:rsid w:val="0433823D"/>
    <w:rsid w:val="0434DAB9"/>
    <w:rsid w:val="0436D42E"/>
    <w:rsid w:val="043D8E96"/>
    <w:rsid w:val="044085B4"/>
    <w:rsid w:val="04482F75"/>
    <w:rsid w:val="044AB497"/>
    <w:rsid w:val="044B5073"/>
    <w:rsid w:val="044FC7A1"/>
    <w:rsid w:val="0451895B"/>
    <w:rsid w:val="04522972"/>
    <w:rsid w:val="045312A7"/>
    <w:rsid w:val="0457FACC"/>
    <w:rsid w:val="045967CA"/>
    <w:rsid w:val="045E2172"/>
    <w:rsid w:val="045F33FC"/>
    <w:rsid w:val="04677F55"/>
    <w:rsid w:val="04679859"/>
    <w:rsid w:val="0469BA15"/>
    <w:rsid w:val="046A1DF8"/>
    <w:rsid w:val="046B66CF"/>
    <w:rsid w:val="046CC84A"/>
    <w:rsid w:val="046E9658"/>
    <w:rsid w:val="046ECC29"/>
    <w:rsid w:val="0476C52D"/>
    <w:rsid w:val="047A0CB8"/>
    <w:rsid w:val="047D94BE"/>
    <w:rsid w:val="047E5F30"/>
    <w:rsid w:val="04809E5A"/>
    <w:rsid w:val="0480EDD7"/>
    <w:rsid w:val="0483121C"/>
    <w:rsid w:val="0483A2BA"/>
    <w:rsid w:val="04860932"/>
    <w:rsid w:val="048BEC65"/>
    <w:rsid w:val="04A25B5D"/>
    <w:rsid w:val="04A2E055"/>
    <w:rsid w:val="04A921D2"/>
    <w:rsid w:val="04AF9E0E"/>
    <w:rsid w:val="04B1B4FA"/>
    <w:rsid w:val="04BBA972"/>
    <w:rsid w:val="04C03CBF"/>
    <w:rsid w:val="04C43322"/>
    <w:rsid w:val="04C51C07"/>
    <w:rsid w:val="04C65B40"/>
    <w:rsid w:val="04C9883B"/>
    <w:rsid w:val="04D07AFA"/>
    <w:rsid w:val="04D0C71D"/>
    <w:rsid w:val="04D17140"/>
    <w:rsid w:val="04D26F73"/>
    <w:rsid w:val="04D46E51"/>
    <w:rsid w:val="04D5C784"/>
    <w:rsid w:val="04D66CDC"/>
    <w:rsid w:val="04EA738C"/>
    <w:rsid w:val="04EB5AFD"/>
    <w:rsid w:val="04EB6FFE"/>
    <w:rsid w:val="04EB7649"/>
    <w:rsid w:val="04EC39D1"/>
    <w:rsid w:val="04EC55DF"/>
    <w:rsid w:val="04EC6E99"/>
    <w:rsid w:val="04EDED45"/>
    <w:rsid w:val="04F4D0F2"/>
    <w:rsid w:val="04FAB234"/>
    <w:rsid w:val="04FB5029"/>
    <w:rsid w:val="04FE5C32"/>
    <w:rsid w:val="05056CC6"/>
    <w:rsid w:val="0509E27C"/>
    <w:rsid w:val="050C727B"/>
    <w:rsid w:val="050C9044"/>
    <w:rsid w:val="05106687"/>
    <w:rsid w:val="0511F986"/>
    <w:rsid w:val="05127F40"/>
    <w:rsid w:val="0512D80D"/>
    <w:rsid w:val="05199E1E"/>
    <w:rsid w:val="051F8FCC"/>
    <w:rsid w:val="0520DECB"/>
    <w:rsid w:val="0521C292"/>
    <w:rsid w:val="052C5124"/>
    <w:rsid w:val="052C7BC3"/>
    <w:rsid w:val="052CD35B"/>
    <w:rsid w:val="05339FEF"/>
    <w:rsid w:val="0534FC0F"/>
    <w:rsid w:val="053550BA"/>
    <w:rsid w:val="053810A4"/>
    <w:rsid w:val="05389633"/>
    <w:rsid w:val="0541CECF"/>
    <w:rsid w:val="054D14F4"/>
    <w:rsid w:val="054E848D"/>
    <w:rsid w:val="055D113A"/>
    <w:rsid w:val="05604E1F"/>
    <w:rsid w:val="05613348"/>
    <w:rsid w:val="0562E503"/>
    <w:rsid w:val="05699BE4"/>
    <w:rsid w:val="05723F9D"/>
    <w:rsid w:val="057266E8"/>
    <w:rsid w:val="05753F4E"/>
    <w:rsid w:val="0575CA71"/>
    <w:rsid w:val="0578D98F"/>
    <w:rsid w:val="057A6CEF"/>
    <w:rsid w:val="057F52DB"/>
    <w:rsid w:val="057FF6EC"/>
    <w:rsid w:val="0580EE4D"/>
    <w:rsid w:val="05814A10"/>
    <w:rsid w:val="05847E21"/>
    <w:rsid w:val="058BF241"/>
    <w:rsid w:val="058C6159"/>
    <w:rsid w:val="058F573C"/>
    <w:rsid w:val="0590CC34"/>
    <w:rsid w:val="05964D1A"/>
    <w:rsid w:val="0596EECB"/>
    <w:rsid w:val="05994250"/>
    <w:rsid w:val="05994A04"/>
    <w:rsid w:val="059B52C7"/>
    <w:rsid w:val="059CE142"/>
    <w:rsid w:val="059E6679"/>
    <w:rsid w:val="059F49A1"/>
    <w:rsid w:val="059FE7D8"/>
    <w:rsid w:val="05A50A35"/>
    <w:rsid w:val="05A5602B"/>
    <w:rsid w:val="05AD57C4"/>
    <w:rsid w:val="05AEE227"/>
    <w:rsid w:val="05B31283"/>
    <w:rsid w:val="05B6FD1B"/>
    <w:rsid w:val="05BAA285"/>
    <w:rsid w:val="05BB4977"/>
    <w:rsid w:val="05BB5113"/>
    <w:rsid w:val="05BB69D4"/>
    <w:rsid w:val="05BD5D18"/>
    <w:rsid w:val="05C1B108"/>
    <w:rsid w:val="05C25095"/>
    <w:rsid w:val="05C55CEB"/>
    <w:rsid w:val="05CF0E08"/>
    <w:rsid w:val="05D05DF9"/>
    <w:rsid w:val="05D07F4A"/>
    <w:rsid w:val="05D120D4"/>
    <w:rsid w:val="05D231A2"/>
    <w:rsid w:val="05D64059"/>
    <w:rsid w:val="05DC9742"/>
    <w:rsid w:val="05E12A56"/>
    <w:rsid w:val="05E9D3D6"/>
    <w:rsid w:val="05EB4B1C"/>
    <w:rsid w:val="05EDF4B6"/>
    <w:rsid w:val="05F08311"/>
    <w:rsid w:val="05F529D7"/>
    <w:rsid w:val="05F8D222"/>
    <w:rsid w:val="06010B1E"/>
    <w:rsid w:val="06055339"/>
    <w:rsid w:val="060596A0"/>
    <w:rsid w:val="0607EBD8"/>
    <w:rsid w:val="0608972F"/>
    <w:rsid w:val="060D9B7D"/>
    <w:rsid w:val="060F54DC"/>
    <w:rsid w:val="06122E0C"/>
    <w:rsid w:val="061E92DC"/>
    <w:rsid w:val="0620C165"/>
    <w:rsid w:val="0621903C"/>
    <w:rsid w:val="0626CB69"/>
    <w:rsid w:val="062AD916"/>
    <w:rsid w:val="062C2DD5"/>
    <w:rsid w:val="062FB745"/>
    <w:rsid w:val="0630A314"/>
    <w:rsid w:val="06328DC5"/>
    <w:rsid w:val="0634CD96"/>
    <w:rsid w:val="06356030"/>
    <w:rsid w:val="06365B17"/>
    <w:rsid w:val="063899CF"/>
    <w:rsid w:val="0639165E"/>
    <w:rsid w:val="063B552E"/>
    <w:rsid w:val="063C0C5F"/>
    <w:rsid w:val="063C9749"/>
    <w:rsid w:val="063E3134"/>
    <w:rsid w:val="063E6655"/>
    <w:rsid w:val="06472B45"/>
    <w:rsid w:val="0647B28B"/>
    <w:rsid w:val="065175AE"/>
    <w:rsid w:val="0654105E"/>
    <w:rsid w:val="065538E3"/>
    <w:rsid w:val="0655879F"/>
    <w:rsid w:val="065608D0"/>
    <w:rsid w:val="065B3170"/>
    <w:rsid w:val="065BF531"/>
    <w:rsid w:val="065D125B"/>
    <w:rsid w:val="066621D7"/>
    <w:rsid w:val="0666ABD5"/>
    <w:rsid w:val="0667530B"/>
    <w:rsid w:val="066F0FA4"/>
    <w:rsid w:val="0672095C"/>
    <w:rsid w:val="0678C768"/>
    <w:rsid w:val="067C532B"/>
    <w:rsid w:val="067C73E4"/>
    <w:rsid w:val="067DCC8F"/>
    <w:rsid w:val="067E8723"/>
    <w:rsid w:val="068266DF"/>
    <w:rsid w:val="068340AC"/>
    <w:rsid w:val="0686F70F"/>
    <w:rsid w:val="068F02D5"/>
    <w:rsid w:val="068F441F"/>
    <w:rsid w:val="06947068"/>
    <w:rsid w:val="0696171D"/>
    <w:rsid w:val="06987E1F"/>
    <w:rsid w:val="069EFA58"/>
    <w:rsid w:val="06A19493"/>
    <w:rsid w:val="06AAE748"/>
    <w:rsid w:val="06AB5366"/>
    <w:rsid w:val="06AC98F5"/>
    <w:rsid w:val="06ACF138"/>
    <w:rsid w:val="06AD2AB2"/>
    <w:rsid w:val="06AFE677"/>
    <w:rsid w:val="06BA2FBF"/>
    <w:rsid w:val="06BCEE0B"/>
    <w:rsid w:val="06BFC1FC"/>
    <w:rsid w:val="06C11F8D"/>
    <w:rsid w:val="06C9E513"/>
    <w:rsid w:val="06CBC85C"/>
    <w:rsid w:val="06CD89A2"/>
    <w:rsid w:val="06D7DF3C"/>
    <w:rsid w:val="06DC6DD3"/>
    <w:rsid w:val="06DD0DED"/>
    <w:rsid w:val="06DEB67C"/>
    <w:rsid w:val="06DEC7DD"/>
    <w:rsid w:val="06E0A07A"/>
    <w:rsid w:val="06E2225C"/>
    <w:rsid w:val="06E23AC6"/>
    <w:rsid w:val="06E4022A"/>
    <w:rsid w:val="06E87A8D"/>
    <w:rsid w:val="06F1EC38"/>
    <w:rsid w:val="06F20B84"/>
    <w:rsid w:val="06F32B79"/>
    <w:rsid w:val="06F6272A"/>
    <w:rsid w:val="06F70A11"/>
    <w:rsid w:val="06F755E6"/>
    <w:rsid w:val="06F81CFD"/>
    <w:rsid w:val="06F88E4D"/>
    <w:rsid w:val="06FAE4DE"/>
    <w:rsid w:val="06FD44D2"/>
    <w:rsid w:val="06FD65C8"/>
    <w:rsid w:val="06FFB767"/>
    <w:rsid w:val="0702F119"/>
    <w:rsid w:val="0703EDB7"/>
    <w:rsid w:val="0709945E"/>
    <w:rsid w:val="0709F8CF"/>
    <w:rsid w:val="070A0B2F"/>
    <w:rsid w:val="070CF00D"/>
    <w:rsid w:val="0712D05E"/>
    <w:rsid w:val="07151012"/>
    <w:rsid w:val="0721DB98"/>
    <w:rsid w:val="07251F1E"/>
    <w:rsid w:val="072714A8"/>
    <w:rsid w:val="0728DDEB"/>
    <w:rsid w:val="072A33DB"/>
    <w:rsid w:val="072B77EC"/>
    <w:rsid w:val="07302C89"/>
    <w:rsid w:val="0736C7A8"/>
    <w:rsid w:val="0739A8BB"/>
    <w:rsid w:val="07421077"/>
    <w:rsid w:val="07435505"/>
    <w:rsid w:val="0744FC14"/>
    <w:rsid w:val="0748E7CB"/>
    <w:rsid w:val="074914FE"/>
    <w:rsid w:val="074F119F"/>
    <w:rsid w:val="07509136"/>
    <w:rsid w:val="075201F9"/>
    <w:rsid w:val="075C2849"/>
    <w:rsid w:val="075CD5A7"/>
    <w:rsid w:val="075E0E49"/>
    <w:rsid w:val="075ED4C6"/>
    <w:rsid w:val="075EDAC5"/>
    <w:rsid w:val="07603189"/>
    <w:rsid w:val="076980AD"/>
    <w:rsid w:val="076F4F15"/>
    <w:rsid w:val="0770F608"/>
    <w:rsid w:val="0772103D"/>
    <w:rsid w:val="07746D28"/>
    <w:rsid w:val="0774F145"/>
    <w:rsid w:val="07751D79"/>
    <w:rsid w:val="0778462D"/>
    <w:rsid w:val="077E317F"/>
    <w:rsid w:val="077E8FC5"/>
    <w:rsid w:val="077F8401"/>
    <w:rsid w:val="078D53A8"/>
    <w:rsid w:val="0790BCC1"/>
    <w:rsid w:val="0791C799"/>
    <w:rsid w:val="079F9436"/>
    <w:rsid w:val="079FF436"/>
    <w:rsid w:val="07A16F6C"/>
    <w:rsid w:val="07AC920D"/>
    <w:rsid w:val="07B030F7"/>
    <w:rsid w:val="07B114B1"/>
    <w:rsid w:val="07B2D648"/>
    <w:rsid w:val="07B5F641"/>
    <w:rsid w:val="07B78A6F"/>
    <w:rsid w:val="07BC3E0F"/>
    <w:rsid w:val="07C19152"/>
    <w:rsid w:val="07C5D2DA"/>
    <w:rsid w:val="07C9D7D3"/>
    <w:rsid w:val="07CBC3D7"/>
    <w:rsid w:val="07CD6F6F"/>
    <w:rsid w:val="07CE05D5"/>
    <w:rsid w:val="07CF23C8"/>
    <w:rsid w:val="07CF96D7"/>
    <w:rsid w:val="07D08EFB"/>
    <w:rsid w:val="07D48628"/>
    <w:rsid w:val="07D829BA"/>
    <w:rsid w:val="07D96937"/>
    <w:rsid w:val="07DA1090"/>
    <w:rsid w:val="07DC5629"/>
    <w:rsid w:val="07E11FC6"/>
    <w:rsid w:val="07E7E360"/>
    <w:rsid w:val="07EE7B3F"/>
    <w:rsid w:val="07F1CC73"/>
    <w:rsid w:val="07F46C05"/>
    <w:rsid w:val="07F7C7B4"/>
    <w:rsid w:val="07F8E7E6"/>
    <w:rsid w:val="07F9C0BF"/>
    <w:rsid w:val="07FC9F39"/>
    <w:rsid w:val="07FCFC24"/>
    <w:rsid w:val="07FFA20F"/>
    <w:rsid w:val="080AE114"/>
    <w:rsid w:val="080CC6F3"/>
    <w:rsid w:val="081410E2"/>
    <w:rsid w:val="0815E889"/>
    <w:rsid w:val="08164861"/>
    <w:rsid w:val="0816B149"/>
    <w:rsid w:val="0817A7B0"/>
    <w:rsid w:val="08181937"/>
    <w:rsid w:val="08185FAA"/>
    <w:rsid w:val="081A2305"/>
    <w:rsid w:val="081BFE6A"/>
    <w:rsid w:val="081CBC97"/>
    <w:rsid w:val="081F53CF"/>
    <w:rsid w:val="08208335"/>
    <w:rsid w:val="0827F46F"/>
    <w:rsid w:val="08284BC8"/>
    <w:rsid w:val="082C579E"/>
    <w:rsid w:val="0831228D"/>
    <w:rsid w:val="08331E86"/>
    <w:rsid w:val="083638CB"/>
    <w:rsid w:val="083A3504"/>
    <w:rsid w:val="083A4508"/>
    <w:rsid w:val="083F0A5E"/>
    <w:rsid w:val="08403150"/>
    <w:rsid w:val="0840F0E5"/>
    <w:rsid w:val="08417C0A"/>
    <w:rsid w:val="084184F1"/>
    <w:rsid w:val="084D0165"/>
    <w:rsid w:val="084F94C1"/>
    <w:rsid w:val="085136ED"/>
    <w:rsid w:val="0854141C"/>
    <w:rsid w:val="0858278C"/>
    <w:rsid w:val="085B686A"/>
    <w:rsid w:val="085D3889"/>
    <w:rsid w:val="085FD079"/>
    <w:rsid w:val="08649ECB"/>
    <w:rsid w:val="0867766E"/>
    <w:rsid w:val="08678858"/>
    <w:rsid w:val="086B8797"/>
    <w:rsid w:val="086C0531"/>
    <w:rsid w:val="086D3129"/>
    <w:rsid w:val="086D5BEF"/>
    <w:rsid w:val="086E80A8"/>
    <w:rsid w:val="08741BCF"/>
    <w:rsid w:val="087987A8"/>
    <w:rsid w:val="08799E19"/>
    <w:rsid w:val="0879CF75"/>
    <w:rsid w:val="087C0E58"/>
    <w:rsid w:val="0880C1AD"/>
    <w:rsid w:val="088883CB"/>
    <w:rsid w:val="0889EC7A"/>
    <w:rsid w:val="088CD41E"/>
    <w:rsid w:val="088CF96F"/>
    <w:rsid w:val="08900EF3"/>
    <w:rsid w:val="08922835"/>
    <w:rsid w:val="08954D68"/>
    <w:rsid w:val="0898E3CA"/>
    <w:rsid w:val="089A8716"/>
    <w:rsid w:val="089C3503"/>
    <w:rsid w:val="089C4819"/>
    <w:rsid w:val="089C540B"/>
    <w:rsid w:val="089C767D"/>
    <w:rsid w:val="089F57BB"/>
    <w:rsid w:val="08A2E3E0"/>
    <w:rsid w:val="08A87AD3"/>
    <w:rsid w:val="08ABE103"/>
    <w:rsid w:val="08AC03CF"/>
    <w:rsid w:val="08AE0F53"/>
    <w:rsid w:val="08B26F1C"/>
    <w:rsid w:val="08B53700"/>
    <w:rsid w:val="08B62886"/>
    <w:rsid w:val="08B8E55F"/>
    <w:rsid w:val="08BAC970"/>
    <w:rsid w:val="08C305EB"/>
    <w:rsid w:val="08C72D4E"/>
    <w:rsid w:val="08C91117"/>
    <w:rsid w:val="08C9E5E6"/>
    <w:rsid w:val="08CB9E8A"/>
    <w:rsid w:val="08CD3040"/>
    <w:rsid w:val="08CE5CD3"/>
    <w:rsid w:val="08D3DFE4"/>
    <w:rsid w:val="08D4D84B"/>
    <w:rsid w:val="08D68DDE"/>
    <w:rsid w:val="08D71629"/>
    <w:rsid w:val="08D7871E"/>
    <w:rsid w:val="08D8D32F"/>
    <w:rsid w:val="08EF7338"/>
    <w:rsid w:val="08F0E7E2"/>
    <w:rsid w:val="08F16032"/>
    <w:rsid w:val="08FA9C74"/>
    <w:rsid w:val="0907FD94"/>
    <w:rsid w:val="0909C8C2"/>
    <w:rsid w:val="090A7F40"/>
    <w:rsid w:val="090E3B77"/>
    <w:rsid w:val="090F9534"/>
    <w:rsid w:val="0915198D"/>
    <w:rsid w:val="0915812D"/>
    <w:rsid w:val="091BCA1C"/>
    <w:rsid w:val="091CC710"/>
    <w:rsid w:val="091E64A0"/>
    <w:rsid w:val="09230398"/>
    <w:rsid w:val="0925AC07"/>
    <w:rsid w:val="093B6C06"/>
    <w:rsid w:val="093CB4F2"/>
    <w:rsid w:val="093F4559"/>
    <w:rsid w:val="0942E70A"/>
    <w:rsid w:val="09446CA7"/>
    <w:rsid w:val="0945EB3E"/>
    <w:rsid w:val="09480FBE"/>
    <w:rsid w:val="094A27B1"/>
    <w:rsid w:val="094A4146"/>
    <w:rsid w:val="094A43E5"/>
    <w:rsid w:val="094AFCD5"/>
    <w:rsid w:val="094BD655"/>
    <w:rsid w:val="09501217"/>
    <w:rsid w:val="09507F3E"/>
    <w:rsid w:val="095140BE"/>
    <w:rsid w:val="09585144"/>
    <w:rsid w:val="0961BC1B"/>
    <w:rsid w:val="09633BE5"/>
    <w:rsid w:val="0963E20F"/>
    <w:rsid w:val="0966E359"/>
    <w:rsid w:val="096AE30B"/>
    <w:rsid w:val="096F5750"/>
    <w:rsid w:val="097052A2"/>
    <w:rsid w:val="097737D6"/>
    <w:rsid w:val="09777DC6"/>
    <w:rsid w:val="097DD8D2"/>
    <w:rsid w:val="09817B17"/>
    <w:rsid w:val="09824E99"/>
    <w:rsid w:val="09831289"/>
    <w:rsid w:val="098551DE"/>
    <w:rsid w:val="098CBC63"/>
    <w:rsid w:val="098CCCBF"/>
    <w:rsid w:val="09913840"/>
    <w:rsid w:val="0993742D"/>
    <w:rsid w:val="0997E068"/>
    <w:rsid w:val="0999A7A4"/>
    <w:rsid w:val="0999ACEC"/>
    <w:rsid w:val="09A20059"/>
    <w:rsid w:val="09A312CF"/>
    <w:rsid w:val="09AE1B49"/>
    <w:rsid w:val="09AF31B7"/>
    <w:rsid w:val="09B07507"/>
    <w:rsid w:val="09B07D48"/>
    <w:rsid w:val="09B4C330"/>
    <w:rsid w:val="09B6C2C2"/>
    <w:rsid w:val="09B8D163"/>
    <w:rsid w:val="09BC08D1"/>
    <w:rsid w:val="09BE0E4B"/>
    <w:rsid w:val="09C76799"/>
    <w:rsid w:val="09C82147"/>
    <w:rsid w:val="09CC0987"/>
    <w:rsid w:val="09CC4765"/>
    <w:rsid w:val="09CCC20C"/>
    <w:rsid w:val="09CE81FB"/>
    <w:rsid w:val="09CED103"/>
    <w:rsid w:val="09D8EE49"/>
    <w:rsid w:val="09DAD8C8"/>
    <w:rsid w:val="09DAEE2B"/>
    <w:rsid w:val="09DB9EFF"/>
    <w:rsid w:val="09DED0C8"/>
    <w:rsid w:val="09E054FE"/>
    <w:rsid w:val="09E68C4A"/>
    <w:rsid w:val="09E6BD21"/>
    <w:rsid w:val="09EE85B9"/>
    <w:rsid w:val="09F012A7"/>
    <w:rsid w:val="09F4938D"/>
    <w:rsid w:val="09F929F8"/>
    <w:rsid w:val="09F94482"/>
    <w:rsid w:val="09FA6C2A"/>
    <w:rsid w:val="09FBC78D"/>
    <w:rsid w:val="09FED05B"/>
    <w:rsid w:val="0A013159"/>
    <w:rsid w:val="0A01D5A0"/>
    <w:rsid w:val="0A031E43"/>
    <w:rsid w:val="0A035C1A"/>
    <w:rsid w:val="0A07AB30"/>
    <w:rsid w:val="0A11CB9E"/>
    <w:rsid w:val="0A11D07F"/>
    <w:rsid w:val="0A1312B2"/>
    <w:rsid w:val="0A15A08F"/>
    <w:rsid w:val="0A15F26D"/>
    <w:rsid w:val="0A1B2416"/>
    <w:rsid w:val="0A1C908C"/>
    <w:rsid w:val="0A1DBD18"/>
    <w:rsid w:val="0A210FDF"/>
    <w:rsid w:val="0A22A9C6"/>
    <w:rsid w:val="0A22B30C"/>
    <w:rsid w:val="0A22C475"/>
    <w:rsid w:val="0A232C21"/>
    <w:rsid w:val="0A24236D"/>
    <w:rsid w:val="0A2BB0CA"/>
    <w:rsid w:val="0A2C882C"/>
    <w:rsid w:val="0A2F2507"/>
    <w:rsid w:val="0A31FA1F"/>
    <w:rsid w:val="0A3D23B1"/>
    <w:rsid w:val="0A3D9D77"/>
    <w:rsid w:val="0A4358C0"/>
    <w:rsid w:val="0A44435E"/>
    <w:rsid w:val="0A483718"/>
    <w:rsid w:val="0A4A72C3"/>
    <w:rsid w:val="0A51FC0F"/>
    <w:rsid w:val="0A54F44D"/>
    <w:rsid w:val="0A5DB53F"/>
    <w:rsid w:val="0A607884"/>
    <w:rsid w:val="0A63009A"/>
    <w:rsid w:val="0A66AAD0"/>
    <w:rsid w:val="0A68F7CB"/>
    <w:rsid w:val="0A6D4C25"/>
    <w:rsid w:val="0A6E4807"/>
    <w:rsid w:val="0A74749F"/>
    <w:rsid w:val="0A757ED8"/>
    <w:rsid w:val="0A779CDD"/>
    <w:rsid w:val="0A78D9E7"/>
    <w:rsid w:val="0A791D02"/>
    <w:rsid w:val="0A7B57BE"/>
    <w:rsid w:val="0A7CA2D9"/>
    <w:rsid w:val="0A7D39FC"/>
    <w:rsid w:val="0A7D645C"/>
    <w:rsid w:val="0A81E241"/>
    <w:rsid w:val="0A852C9D"/>
    <w:rsid w:val="0A8714CA"/>
    <w:rsid w:val="0A875784"/>
    <w:rsid w:val="0A89BD8D"/>
    <w:rsid w:val="0A8A68E5"/>
    <w:rsid w:val="0A8E2216"/>
    <w:rsid w:val="0A8FEB6A"/>
    <w:rsid w:val="0A914886"/>
    <w:rsid w:val="0A93E521"/>
    <w:rsid w:val="0A9B9522"/>
    <w:rsid w:val="0A9E78E0"/>
    <w:rsid w:val="0AA176DE"/>
    <w:rsid w:val="0AA22212"/>
    <w:rsid w:val="0AA32092"/>
    <w:rsid w:val="0AA407B8"/>
    <w:rsid w:val="0AAAD897"/>
    <w:rsid w:val="0AACF85D"/>
    <w:rsid w:val="0AAE8828"/>
    <w:rsid w:val="0AB22BF2"/>
    <w:rsid w:val="0AB65ADA"/>
    <w:rsid w:val="0ABB0D59"/>
    <w:rsid w:val="0ABB5262"/>
    <w:rsid w:val="0ABF6166"/>
    <w:rsid w:val="0AC07BF9"/>
    <w:rsid w:val="0AC1B06E"/>
    <w:rsid w:val="0AC66B65"/>
    <w:rsid w:val="0AC841FB"/>
    <w:rsid w:val="0AC9203A"/>
    <w:rsid w:val="0AC9A607"/>
    <w:rsid w:val="0ACAE770"/>
    <w:rsid w:val="0ACE8236"/>
    <w:rsid w:val="0AD3D638"/>
    <w:rsid w:val="0AD4C3BA"/>
    <w:rsid w:val="0AD56C6A"/>
    <w:rsid w:val="0AD86660"/>
    <w:rsid w:val="0AD9EA49"/>
    <w:rsid w:val="0ADA0099"/>
    <w:rsid w:val="0ADA5B26"/>
    <w:rsid w:val="0ADB92BB"/>
    <w:rsid w:val="0ADBEFA6"/>
    <w:rsid w:val="0AE28A32"/>
    <w:rsid w:val="0AE51B37"/>
    <w:rsid w:val="0AE5EBF8"/>
    <w:rsid w:val="0AE7460B"/>
    <w:rsid w:val="0AE8756B"/>
    <w:rsid w:val="0AEF0455"/>
    <w:rsid w:val="0AF62E86"/>
    <w:rsid w:val="0AF68CD8"/>
    <w:rsid w:val="0AF6C315"/>
    <w:rsid w:val="0B04A4DA"/>
    <w:rsid w:val="0B04F26D"/>
    <w:rsid w:val="0B098AA2"/>
    <w:rsid w:val="0B0ABCBA"/>
    <w:rsid w:val="0B0EB388"/>
    <w:rsid w:val="0B160EE0"/>
    <w:rsid w:val="0B174A9C"/>
    <w:rsid w:val="0B1E473C"/>
    <w:rsid w:val="0B23248F"/>
    <w:rsid w:val="0B2386D0"/>
    <w:rsid w:val="0B23AFD6"/>
    <w:rsid w:val="0B27EBA8"/>
    <w:rsid w:val="0B315BC2"/>
    <w:rsid w:val="0B34705C"/>
    <w:rsid w:val="0B37BB00"/>
    <w:rsid w:val="0B385692"/>
    <w:rsid w:val="0B38E987"/>
    <w:rsid w:val="0B3972BB"/>
    <w:rsid w:val="0B397CE2"/>
    <w:rsid w:val="0B46166F"/>
    <w:rsid w:val="0B4A5436"/>
    <w:rsid w:val="0B4D23FB"/>
    <w:rsid w:val="0B52E7C0"/>
    <w:rsid w:val="0B5528F6"/>
    <w:rsid w:val="0B5AAF7D"/>
    <w:rsid w:val="0B5DCCC5"/>
    <w:rsid w:val="0B5E4D5A"/>
    <w:rsid w:val="0B600205"/>
    <w:rsid w:val="0B67FD69"/>
    <w:rsid w:val="0B69F7B4"/>
    <w:rsid w:val="0B6DDBE3"/>
    <w:rsid w:val="0B72CD6B"/>
    <w:rsid w:val="0B757470"/>
    <w:rsid w:val="0B7B67C0"/>
    <w:rsid w:val="0B7BD905"/>
    <w:rsid w:val="0B7F5E3D"/>
    <w:rsid w:val="0B7F8536"/>
    <w:rsid w:val="0B81D392"/>
    <w:rsid w:val="0B843E01"/>
    <w:rsid w:val="0B86F898"/>
    <w:rsid w:val="0B874491"/>
    <w:rsid w:val="0B882AE1"/>
    <w:rsid w:val="0B88F68D"/>
    <w:rsid w:val="0B916541"/>
    <w:rsid w:val="0B9478B3"/>
    <w:rsid w:val="0B985F2B"/>
    <w:rsid w:val="0B9877C5"/>
    <w:rsid w:val="0B9A9C7A"/>
    <w:rsid w:val="0B9E6E47"/>
    <w:rsid w:val="0B9EC805"/>
    <w:rsid w:val="0B9FAEAC"/>
    <w:rsid w:val="0BA6A852"/>
    <w:rsid w:val="0BABBB6D"/>
    <w:rsid w:val="0BB40515"/>
    <w:rsid w:val="0BB4EC46"/>
    <w:rsid w:val="0BB5F29B"/>
    <w:rsid w:val="0BB98D79"/>
    <w:rsid w:val="0BBF170D"/>
    <w:rsid w:val="0BC192EC"/>
    <w:rsid w:val="0BC4BC83"/>
    <w:rsid w:val="0BCBFA58"/>
    <w:rsid w:val="0BCC3066"/>
    <w:rsid w:val="0BCCE38C"/>
    <w:rsid w:val="0BCD175D"/>
    <w:rsid w:val="0BCFC936"/>
    <w:rsid w:val="0BD51D35"/>
    <w:rsid w:val="0BD7D8A1"/>
    <w:rsid w:val="0BDB61A3"/>
    <w:rsid w:val="0BDD331B"/>
    <w:rsid w:val="0BDDB541"/>
    <w:rsid w:val="0BE0E958"/>
    <w:rsid w:val="0BE45345"/>
    <w:rsid w:val="0BE62DAD"/>
    <w:rsid w:val="0BE632FF"/>
    <w:rsid w:val="0BEA286B"/>
    <w:rsid w:val="0BEB0859"/>
    <w:rsid w:val="0BEDD7B9"/>
    <w:rsid w:val="0BEF63FA"/>
    <w:rsid w:val="0BF1539E"/>
    <w:rsid w:val="0BFADA61"/>
    <w:rsid w:val="0C0196B2"/>
    <w:rsid w:val="0C02B4BE"/>
    <w:rsid w:val="0C0B4ADE"/>
    <w:rsid w:val="0C0C30B9"/>
    <w:rsid w:val="0C0ED8A7"/>
    <w:rsid w:val="0C10D3E7"/>
    <w:rsid w:val="0C116D19"/>
    <w:rsid w:val="0C14A41D"/>
    <w:rsid w:val="0C153539"/>
    <w:rsid w:val="0C1AF7FB"/>
    <w:rsid w:val="0C1B94EC"/>
    <w:rsid w:val="0C1C214A"/>
    <w:rsid w:val="0C1CBA7F"/>
    <w:rsid w:val="0C23DB3F"/>
    <w:rsid w:val="0C25924D"/>
    <w:rsid w:val="0C272ED9"/>
    <w:rsid w:val="0C2981F5"/>
    <w:rsid w:val="0C2C4D53"/>
    <w:rsid w:val="0C2EAA5C"/>
    <w:rsid w:val="0C303A98"/>
    <w:rsid w:val="0C32F5BB"/>
    <w:rsid w:val="0C3BD125"/>
    <w:rsid w:val="0C3C19FF"/>
    <w:rsid w:val="0C416C4D"/>
    <w:rsid w:val="0C452992"/>
    <w:rsid w:val="0C45D812"/>
    <w:rsid w:val="0C46C432"/>
    <w:rsid w:val="0C4BE9FF"/>
    <w:rsid w:val="0C4D165D"/>
    <w:rsid w:val="0C4D2399"/>
    <w:rsid w:val="0C4DB090"/>
    <w:rsid w:val="0C4E7ABC"/>
    <w:rsid w:val="0C510671"/>
    <w:rsid w:val="0C514DD7"/>
    <w:rsid w:val="0C530D59"/>
    <w:rsid w:val="0C5453A2"/>
    <w:rsid w:val="0C560F24"/>
    <w:rsid w:val="0C562693"/>
    <w:rsid w:val="0C5B1D07"/>
    <w:rsid w:val="0C5C9361"/>
    <w:rsid w:val="0C5F022E"/>
    <w:rsid w:val="0C600936"/>
    <w:rsid w:val="0C60916E"/>
    <w:rsid w:val="0C60A165"/>
    <w:rsid w:val="0C61036F"/>
    <w:rsid w:val="0C62C0D4"/>
    <w:rsid w:val="0C631075"/>
    <w:rsid w:val="0C780DCE"/>
    <w:rsid w:val="0C816089"/>
    <w:rsid w:val="0C8230C7"/>
    <w:rsid w:val="0C841F12"/>
    <w:rsid w:val="0C858223"/>
    <w:rsid w:val="0C8606EE"/>
    <w:rsid w:val="0C86A12D"/>
    <w:rsid w:val="0C885CBF"/>
    <w:rsid w:val="0C8A29F8"/>
    <w:rsid w:val="0C8F95D6"/>
    <w:rsid w:val="0C91D372"/>
    <w:rsid w:val="0C9829F8"/>
    <w:rsid w:val="0C99D2E2"/>
    <w:rsid w:val="0C9A5EDF"/>
    <w:rsid w:val="0C9DCAF4"/>
    <w:rsid w:val="0CA1A42E"/>
    <w:rsid w:val="0CA56C0E"/>
    <w:rsid w:val="0CA64EC9"/>
    <w:rsid w:val="0CAD1E37"/>
    <w:rsid w:val="0CADD854"/>
    <w:rsid w:val="0CB01E99"/>
    <w:rsid w:val="0CB5EC16"/>
    <w:rsid w:val="0CB5FA60"/>
    <w:rsid w:val="0CBE94B2"/>
    <w:rsid w:val="0CBEB1C6"/>
    <w:rsid w:val="0CC26156"/>
    <w:rsid w:val="0CC2DCF0"/>
    <w:rsid w:val="0CC36B01"/>
    <w:rsid w:val="0CC371D0"/>
    <w:rsid w:val="0CC373B0"/>
    <w:rsid w:val="0CC8B7B4"/>
    <w:rsid w:val="0CC92A6D"/>
    <w:rsid w:val="0CCC964F"/>
    <w:rsid w:val="0CCD3A55"/>
    <w:rsid w:val="0CCF2C9D"/>
    <w:rsid w:val="0CD43D79"/>
    <w:rsid w:val="0CD744B8"/>
    <w:rsid w:val="0CDAF2CD"/>
    <w:rsid w:val="0CE0841D"/>
    <w:rsid w:val="0CE8230E"/>
    <w:rsid w:val="0CEF35D6"/>
    <w:rsid w:val="0CF33A78"/>
    <w:rsid w:val="0CFF2B5E"/>
    <w:rsid w:val="0D01217E"/>
    <w:rsid w:val="0D0B23DB"/>
    <w:rsid w:val="0D0BF463"/>
    <w:rsid w:val="0D0C3DBA"/>
    <w:rsid w:val="0D0EDDAE"/>
    <w:rsid w:val="0D0FDB5D"/>
    <w:rsid w:val="0D11DFCD"/>
    <w:rsid w:val="0D1805F0"/>
    <w:rsid w:val="0D1B2BDD"/>
    <w:rsid w:val="0D1D6D2B"/>
    <w:rsid w:val="0D1DFD44"/>
    <w:rsid w:val="0D215E1C"/>
    <w:rsid w:val="0D2349BD"/>
    <w:rsid w:val="0D288BC4"/>
    <w:rsid w:val="0D298223"/>
    <w:rsid w:val="0D2BCA0E"/>
    <w:rsid w:val="0D33F4D3"/>
    <w:rsid w:val="0D349A28"/>
    <w:rsid w:val="0D36664F"/>
    <w:rsid w:val="0D389066"/>
    <w:rsid w:val="0D39262A"/>
    <w:rsid w:val="0D3E12D2"/>
    <w:rsid w:val="0D4250F1"/>
    <w:rsid w:val="0D46992A"/>
    <w:rsid w:val="0D4D90EC"/>
    <w:rsid w:val="0D4DF5F0"/>
    <w:rsid w:val="0D5088AC"/>
    <w:rsid w:val="0D52943F"/>
    <w:rsid w:val="0D53407E"/>
    <w:rsid w:val="0D555DDA"/>
    <w:rsid w:val="0D5A5351"/>
    <w:rsid w:val="0D5BA27A"/>
    <w:rsid w:val="0D5F537E"/>
    <w:rsid w:val="0D6A228E"/>
    <w:rsid w:val="0D6A43E6"/>
    <w:rsid w:val="0D71C009"/>
    <w:rsid w:val="0D747A36"/>
    <w:rsid w:val="0D750467"/>
    <w:rsid w:val="0D753134"/>
    <w:rsid w:val="0D79115B"/>
    <w:rsid w:val="0D7D12AD"/>
    <w:rsid w:val="0D7E8706"/>
    <w:rsid w:val="0D7F238D"/>
    <w:rsid w:val="0D7FDB15"/>
    <w:rsid w:val="0D894D5D"/>
    <w:rsid w:val="0D8BBB51"/>
    <w:rsid w:val="0D90F966"/>
    <w:rsid w:val="0D91075F"/>
    <w:rsid w:val="0D92A80A"/>
    <w:rsid w:val="0D945607"/>
    <w:rsid w:val="0D9811D7"/>
    <w:rsid w:val="0D991AD0"/>
    <w:rsid w:val="0D99D11E"/>
    <w:rsid w:val="0D9BA433"/>
    <w:rsid w:val="0DA1A592"/>
    <w:rsid w:val="0DA298EB"/>
    <w:rsid w:val="0DA2E153"/>
    <w:rsid w:val="0DA5AC5B"/>
    <w:rsid w:val="0DA6C924"/>
    <w:rsid w:val="0DA977EA"/>
    <w:rsid w:val="0DAE0399"/>
    <w:rsid w:val="0DB0417D"/>
    <w:rsid w:val="0DB1F9D4"/>
    <w:rsid w:val="0DB6ED0F"/>
    <w:rsid w:val="0DB8D90E"/>
    <w:rsid w:val="0DBE40F8"/>
    <w:rsid w:val="0DBEF311"/>
    <w:rsid w:val="0DBF921F"/>
    <w:rsid w:val="0DC26F7C"/>
    <w:rsid w:val="0DC8F9AF"/>
    <w:rsid w:val="0DC9D240"/>
    <w:rsid w:val="0DCF1DF4"/>
    <w:rsid w:val="0DD1EC21"/>
    <w:rsid w:val="0DD4E129"/>
    <w:rsid w:val="0DDA5869"/>
    <w:rsid w:val="0DEC14D1"/>
    <w:rsid w:val="0DF0443D"/>
    <w:rsid w:val="0DF57468"/>
    <w:rsid w:val="0E0248C3"/>
    <w:rsid w:val="0E066726"/>
    <w:rsid w:val="0E0A7FEE"/>
    <w:rsid w:val="0E0E18A5"/>
    <w:rsid w:val="0E0F630C"/>
    <w:rsid w:val="0E0F9C33"/>
    <w:rsid w:val="0E1097E7"/>
    <w:rsid w:val="0E11CC67"/>
    <w:rsid w:val="0E134D86"/>
    <w:rsid w:val="0E1676BA"/>
    <w:rsid w:val="0E196CF1"/>
    <w:rsid w:val="0E19A91D"/>
    <w:rsid w:val="0E1C5EC2"/>
    <w:rsid w:val="0E1F8388"/>
    <w:rsid w:val="0E25DC4F"/>
    <w:rsid w:val="0E25FF2B"/>
    <w:rsid w:val="0E2AF22B"/>
    <w:rsid w:val="0E2C82FE"/>
    <w:rsid w:val="0E33AE3D"/>
    <w:rsid w:val="0E34AAA1"/>
    <w:rsid w:val="0E34EB5F"/>
    <w:rsid w:val="0E3538EA"/>
    <w:rsid w:val="0E35E2A6"/>
    <w:rsid w:val="0E36E9AF"/>
    <w:rsid w:val="0E3A058B"/>
    <w:rsid w:val="0E417B82"/>
    <w:rsid w:val="0E42C873"/>
    <w:rsid w:val="0E459C9F"/>
    <w:rsid w:val="0E4C4CD5"/>
    <w:rsid w:val="0E4D8BA2"/>
    <w:rsid w:val="0E4E2188"/>
    <w:rsid w:val="0E4EF54B"/>
    <w:rsid w:val="0E4F540C"/>
    <w:rsid w:val="0E5436CA"/>
    <w:rsid w:val="0E558B25"/>
    <w:rsid w:val="0E55E9E5"/>
    <w:rsid w:val="0E5E7A2D"/>
    <w:rsid w:val="0E61A003"/>
    <w:rsid w:val="0E62CA57"/>
    <w:rsid w:val="0E655898"/>
    <w:rsid w:val="0E69B40C"/>
    <w:rsid w:val="0E6AD2A7"/>
    <w:rsid w:val="0E6BEAB5"/>
    <w:rsid w:val="0E6BFDDD"/>
    <w:rsid w:val="0E6D6252"/>
    <w:rsid w:val="0E744D07"/>
    <w:rsid w:val="0E74BA94"/>
    <w:rsid w:val="0E74FA2A"/>
    <w:rsid w:val="0E764A14"/>
    <w:rsid w:val="0E7E06A5"/>
    <w:rsid w:val="0E82E10C"/>
    <w:rsid w:val="0E844CE4"/>
    <w:rsid w:val="0E870A4F"/>
    <w:rsid w:val="0E8973EE"/>
    <w:rsid w:val="0E8B17B5"/>
    <w:rsid w:val="0E8C343D"/>
    <w:rsid w:val="0E8D67EB"/>
    <w:rsid w:val="0E8DF9AB"/>
    <w:rsid w:val="0E922DC1"/>
    <w:rsid w:val="0E935B3F"/>
    <w:rsid w:val="0E95BDE2"/>
    <w:rsid w:val="0E970E51"/>
    <w:rsid w:val="0E9737FF"/>
    <w:rsid w:val="0E9A71D0"/>
    <w:rsid w:val="0E9BE568"/>
    <w:rsid w:val="0E9D6CEC"/>
    <w:rsid w:val="0E9F334D"/>
    <w:rsid w:val="0EA418D3"/>
    <w:rsid w:val="0EA4535D"/>
    <w:rsid w:val="0EA47394"/>
    <w:rsid w:val="0EA57F43"/>
    <w:rsid w:val="0EA70B3C"/>
    <w:rsid w:val="0EA75EC1"/>
    <w:rsid w:val="0EAB06EA"/>
    <w:rsid w:val="0EB2340A"/>
    <w:rsid w:val="0EB62A45"/>
    <w:rsid w:val="0EB6D4CF"/>
    <w:rsid w:val="0EB8A063"/>
    <w:rsid w:val="0EBB6EDC"/>
    <w:rsid w:val="0EBD1870"/>
    <w:rsid w:val="0EBFC1FD"/>
    <w:rsid w:val="0EC0974F"/>
    <w:rsid w:val="0EC2A701"/>
    <w:rsid w:val="0EC430E4"/>
    <w:rsid w:val="0ECFBFC0"/>
    <w:rsid w:val="0ED94C18"/>
    <w:rsid w:val="0ED9CC06"/>
    <w:rsid w:val="0EE45523"/>
    <w:rsid w:val="0EE8A0D6"/>
    <w:rsid w:val="0EEB469C"/>
    <w:rsid w:val="0EF70E4E"/>
    <w:rsid w:val="0EF8F5EC"/>
    <w:rsid w:val="0EFAB3B5"/>
    <w:rsid w:val="0EFADC15"/>
    <w:rsid w:val="0EFD0E92"/>
    <w:rsid w:val="0F01F295"/>
    <w:rsid w:val="0F031BA5"/>
    <w:rsid w:val="0F09407A"/>
    <w:rsid w:val="0F0EB419"/>
    <w:rsid w:val="0F100F19"/>
    <w:rsid w:val="0F1444C9"/>
    <w:rsid w:val="0F17123B"/>
    <w:rsid w:val="0F1C646C"/>
    <w:rsid w:val="0F1F05AD"/>
    <w:rsid w:val="0F23ABA8"/>
    <w:rsid w:val="0F2E6BE8"/>
    <w:rsid w:val="0F31CC72"/>
    <w:rsid w:val="0F3395CC"/>
    <w:rsid w:val="0F35D5C8"/>
    <w:rsid w:val="0F35E0BA"/>
    <w:rsid w:val="0F364712"/>
    <w:rsid w:val="0F3B8F0A"/>
    <w:rsid w:val="0F414712"/>
    <w:rsid w:val="0F41D4A5"/>
    <w:rsid w:val="0F425C95"/>
    <w:rsid w:val="0F439B62"/>
    <w:rsid w:val="0F4BE3C5"/>
    <w:rsid w:val="0F4E1ABE"/>
    <w:rsid w:val="0F51F0DE"/>
    <w:rsid w:val="0F525393"/>
    <w:rsid w:val="0F548E88"/>
    <w:rsid w:val="0F56AC69"/>
    <w:rsid w:val="0F5ADBB2"/>
    <w:rsid w:val="0F5CB54C"/>
    <w:rsid w:val="0F609FBE"/>
    <w:rsid w:val="0F622CD6"/>
    <w:rsid w:val="0F6248A2"/>
    <w:rsid w:val="0F62BBFF"/>
    <w:rsid w:val="0F6439BB"/>
    <w:rsid w:val="0F664A62"/>
    <w:rsid w:val="0F66A460"/>
    <w:rsid w:val="0F66F4FD"/>
    <w:rsid w:val="0F6A22FE"/>
    <w:rsid w:val="0F6AA85A"/>
    <w:rsid w:val="0F6C83A7"/>
    <w:rsid w:val="0F6D26CB"/>
    <w:rsid w:val="0F6DC135"/>
    <w:rsid w:val="0F6EBE61"/>
    <w:rsid w:val="0F6FD646"/>
    <w:rsid w:val="0F71134D"/>
    <w:rsid w:val="0F723D63"/>
    <w:rsid w:val="0F742A75"/>
    <w:rsid w:val="0F7717AF"/>
    <w:rsid w:val="0F79EC4A"/>
    <w:rsid w:val="0F7E58E8"/>
    <w:rsid w:val="0F889B63"/>
    <w:rsid w:val="0F92D52A"/>
    <w:rsid w:val="0F93122B"/>
    <w:rsid w:val="0F9A6196"/>
    <w:rsid w:val="0FA1A857"/>
    <w:rsid w:val="0FA43C3D"/>
    <w:rsid w:val="0FA47417"/>
    <w:rsid w:val="0FAACB66"/>
    <w:rsid w:val="0FAC0714"/>
    <w:rsid w:val="0FB0DED4"/>
    <w:rsid w:val="0FBD3F3C"/>
    <w:rsid w:val="0FC3A34B"/>
    <w:rsid w:val="0FC7B0D4"/>
    <w:rsid w:val="0FC7B5CB"/>
    <w:rsid w:val="0FCA3D11"/>
    <w:rsid w:val="0FCD5FE0"/>
    <w:rsid w:val="0FCF5D53"/>
    <w:rsid w:val="0FD69AF1"/>
    <w:rsid w:val="0FD7D6E8"/>
    <w:rsid w:val="0FDA9F27"/>
    <w:rsid w:val="0FDD3982"/>
    <w:rsid w:val="0FDF0300"/>
    <w:rsid w:val="0FE0576C"/>
    <w:rsid w:val="0FE1E366"/>
    <w:rsid w:val="0FE92B31"/>
    <w:rsid w:val="0FE9B478"/>
    <w:rsid w:val="0FEA6132"/>
    <w:rsid w:val="0FED6EFC"/>
    <w:rsid w:val="0FF8CF7A"/>
    <w:rsid w:val="1000C2F1"/>
    <w:rsid w:val="1004F6F9"/>
    <w:rsid w:val="1008226B"/>
    <w:rsid w:val="10088C68"/>
    <w:rsid w:val="1008B9FC"/>
    <w:rsid w:val="100B63B7"/>
    <w:rsid w:val="100C2AD4"/>
    <w:rsid w:val="1012DA13"/>
    <w:rsid w:val="10157B4D"/>
    <w:rsid w:val="101F7C69"/>
    <w:rsid w:val="1025A0E6"/>
    <w:rsid w:val="10261DDE"/>
    <w:rsid w:val="10278A8E"/>
    <w:rsid w:val="102C9B37"/>
    <w:rsid w:val="102ED3D4"/>
    <w:rsid w:val="103063A9"/>
    <w:rsid w:val="103063C7"/>
    <w:rsid w:val="10353765"/>
    <w:rsid w:val="1035AC9F"/>
    <w:rsid w:val="1040DC05"/>
    <w:rsid w:val="1042DC9D"/>
    <w:rsid w:val="10460230"/>
    <w:rsid w:val="104B4CBA"/>
    <w:rsid w:val="104C71BD"/>
    <w:rsid w:val="104D08C9"/>
    <w:rsid w:val="1051EE91"/>
    <w:rsid w:val="1054ED48"/>
    <w:rsid w:val="1057EBD2"/>
    <w:rsid w:val="105B44EF"/>
    <w:rsid w:val="105D48A1"/>
    <w:rsid w:val="106218E1"/>
    <w:rsid w:val="1068E8A4"/>
    <w:rsid w:val="106A103D"/>
    <w:rsid w:val="106AA02E"/>
    <w:rsid w:val="106B57CA"/>
    <w:rsid w:val="106C02A7"/>
    <w:rsid w:val="106C39EC"/>
    <w:rsid w:val="10739061"/>
    <w:rsid w:val="1076B1EA"/>
    <w:rsid w:val="10784B86"/>
    <w:rsid w:val="107E3490"/>
    <w:rsid w:val="10829BC1"/>
    <w:rsid w:val="1084ED0C"/>
    <w:rsid w:val="1085EF50"/>
    <w:rsid w:val="1088440D"/>
    <w:rsid w:val="108A2D39"/>
    <w:rsid w:val="108B5950"/>
    <w:rsid w:val="108F8A85"/>
    <w:rsid w:val="1090E142"/>
    <w:rsid w:val="10940487"/>
    <w:rsid w:val="109428FC"/>
    <w:rsid w:val="1094D4B3"/>
    <w:rsid w:val="1094F5A3"/>
    <w:rsid w:val="1096128C"/>
    <w:rsid w:val="1097331B"/>
    <w:rsid w:val="10976480"/>
    <w:rsid w:val="10992DD4"/>
    <w:rsid w:val="1099C5D2"/>
    <w:rsid w:val="109E1F86"/>
    <w:rsid w:val="109F3E27"/>
    <w:rsid w:val="109FADFF"/>
    <w:rsid w:val="10A3F5A3"/>
    <w:rsid w:val="10A5AC42"/>
    <w:rsid w:val="10A8A827"/>
    <w:rsid w:val="10AC9E52"/>
    <w:rsid w:val="10AE5C24"/>
    <w:rsid w:val="10AF06B7"/>
    <w:rsid w:val="10B2E2E3"/>
    <w:rsid w:val="10B62B5F"/>
    <w:rsid w:val="10B941AE"/>
    <w:rsid w:val="10B99ACB"/>
    <w:rsid w:val="10BDADB4"/>
    <w:rsid w:val="10BE91D1"/>
    <w:rsid w:val="10BF8EC0"/>
    <w:rsid w:val="10BFD03B"/>
    <w:rsid w:val="10C31D6C"/>
    <w:rsid w:val="10C83E67"/>
    <w:rsid w:val="10D03A9C"/>
    <w:rsid w:val="10D1D36A"/>
    <w:rsid w:val="10D5DF06"/>
    <w:rsid w:val="10D8946E"/>
    <w:rsid w:val="10DA105B"/>
    <w:rsid w:val="10DA1396"/>
    <w:rsid w:val="10DAEC57"/>
    <w:rsid w:val="10DB0925"/>
    <w:rsid w:val="10DC217A"/>
    <w:rsid w:val="10DCF5D3"/>
    <w:rsid w:val="10EA5F4B"/>
    <w:rsid w:val="10EFE9D0"/>
    <w:rsid w:val="10F1AD01"/>
    <w:rsid w:val="10F4CD58"/>
    <w:rsid w:val="10F69B9D"/>
    <w:rsid w:val="10F6DCAC"/>
    <w:rsid w:val="10F7F7F0"/>
    <w:rsid w:val="10FB72FD"/>
    <w:rsid w:val="10FC11DB"/>
    <w:rsid w:val="1102A407"/>
    <w:rsid w:val="110524B5"/>
    <w:rsid w:val="11073D24"/>
    <w:rsid w:val="110926DD"/>
    <w:rsid w:val="110A615B"/>
    <w:rsid w:val="110A8FC1"/>
    <w:rsid w:val="110B5DE8"/>
    <w:rsid w:val="110E0FA7"/>
    <w:rsid w:val="110F290D"/>
    <w:rsid w:val="110F65BF"/>
    <w:rsid w:val="111025BB"/>
    <w:rsid w:val="11108DAA"/>
    <w:rsid w:val="1117AB29"/>
    <w:rsid w:val="111BA683"/>
    <w:rsid w:val="111C7C0F"/>
    <w:rsid w:val="111D8E27"/>
    <w:rsid w:val="111DB07F"/>
    <w:rsid w:val="11213FB9"/>
    <w:rsid w:val="1126C7A2"/>
    <w:rsid w:val="1126EA79"/>
    <w:rsid w:val="11276DE0"/>
    <w:rsid w:val="11290B00"/>
    <w:rsid w:val="112B9695"/>
    <w:rsid w:val="112BD8C8"/>
    <w:rsid w:val="112DF17E"/>
    <w:rsid w:val="1130B902"/>
    <w:rsid w:val="1132DA09"/>
    <w:rsid w:val="1136CC46"/>
    <w:rsid w:val="113B8405"/>
    <w:rsid w:val="113E2B59"/>
    <w:rsid w:val="1141914C"/>
    <w:rsid w:val="11438F30"/>
    <w:rsid w:val="1143E954"/>
    <w:rsid w:val="1148BC70"/>
    <w:rsid w:val="114B714F"/>
    <w:rsid w:val="114B89BF"/>
    <w:rsid w:val="114D46C6"/>
    <w:rsid w:val="11515E1C"/>
    <w:rsid w:val="11542969"/>
    <w:rsid w:val="1157EC2C"/>
    <w:rsid w:val="11599547"/>
    <w:rsid w:val="1159C236"/>
    <w:rsid w:val="115D360C"/>
    <w:rsid w:val="1166B52B"/>
    <w:rsid w:val="11670DBE"/>
    <w:rsid w:val="116C69FA"/>
    <w:rsid w:val="1170552B"/>
    <w:rsid w:val="1170A4BB"/>
    <w:rsid w:val="11723BAE"/>
    <w:rsid w:val="1176797D"/>
    <w:rsid w:val="1177451C"/>
    <w:rsid w:val="117C4CF0"/>
    <w:rsid w:val="117CB88A"/>
    <w:rsid w:val="117F0218"/>
    <w:rsid w:val="11848E69"/>
    <w:rsid w:val="118B8F22"/>
    <w:rsid w:val="118BDCFB"/>
    <w:rsid w:val="118D7E29"/>
    <w:rsid w:val="11932284"/>
    <w:rsid w:val="1196197B"/>
    <w:rsid w:val="119EB3D6"/>
    <w:rsid w:val="11A01075"/>
    <w:rsid w:val="11A52440"/>
    <w:rsid w:val="11A70DA3"/>
    <w:rsid w:val="11A727A5"/>
    <w:rsid w:val="11AA7FD2"/>
    <w:rsid w:val="11B185F8"/>
    <w:rsid w:val="11B1C3CE"/>
    <w:rsid w:val="11B6C432"/>
    <w:rsid w:val="11B71A1E"/>
    <w:rsid w:val="11B76F2D"/>
    <w:rsid w:val="11B7EA75"/>
    <w:rsid w:val="11B936B9"/>
    <w:rsid w:val="11B969B1"/>
    <w:rsid w:val="11B99C38"/>
    <w:rsid w:val="11BA6B44"/>
    <w:rsid w:val="11BB06A5"/>
    <w:rsid w:val="11C18626"/>
    <w:rsid w:val="11C24369"/>
    <w:rsid w:val="11C4283B"/>
    <w:rsid w:val="11C4605E"/>
    <w:rsid w:val="11C94DF3"/>
    <w:rsid w:val="11C9618C"/>
    <w:rsid w:val="11C97DCC"/>
    <w:rsid w:val="11CA7EDA"/>
    <w:rsid w:val="11CC6658"/>
    <w:rsid w:val="11D0EF72"/>
    <w:rsid w:val="11D4F5D2"/>
    <w:rsid w:val="11D61CD6"/>
    <w:rsid w:val="11DA741A"/>
    <w:rsid w:val="11DAF9B1"/>
    <w:rsid w:val="11DD5148"/>
    <w:rsid w:val="11DDE41D"/>
    <w:rsid w:val="11DE1060"/>
    <w:rsid w:val="11DFBC34"/>
    <w:rsid w:val="11DFCF2D"/>
    <w:rsid w:val="11E01CE7"/>
    <w:rsid w:val="11E41348"/>
    <w:rsid w:val="11E59C4C"/>
    <w:rsid w:val="11E7B99A"/>
    <w:rsid w:val="11E7BD82"/>
    <w:rsid w:val="11E8A85F"/>
    <w:rsid w:val="11EA32E0"/>
    <w:rsid w:val="11ECCB31"/>
    <w:rsid w:val="11F10D77"/>
    <w:rsid w:val="11F5F9D1"/>
    <w:rsid w:val="11FA0185"/>
    <w:rsid w:val="11FC236A"/>
    <w:rsid w:val="11FCD5EF"/>
    <w:rsid w:val="11FD9485"/>
    <w:rsid w:val="11FDF3AE"/>
    <w:rsid w:val="11FF81E8"/>
    <w:rsid w:val="1201177D"/>
    <w:rsid w:val="120194E3"/>
    <w:rsid w:val="120513C4"/>
    <w:rsid w:val="120631EC"/>
    <w:rsid w:val="1206C971"/>
    <w:rsid w:val="120884D1"/>
    <w:rsid w:val="1209EBAA"/>
    <w:rsid w:val="120C5256"/>
    <w:rsid w:val="120E2031"/>
    <w:rsid w:val="12177704"/>
    <w:rsid w:val="1218F6F7"/>
    <w:rsid w:val="121A08AB"/>
    <w:rsid w:val="1222A3E1"/>
    <w:rsid w:val="1224DEFD"/>
    <w:rsid w:val="12278BE6"/>
    <w:rsid w:val="122CBF64"/>
    <w:rsid w:val="122F35A5"/>
    <w:rsid w:val="1232250E"/>
    <w:rsid w:val="1235830D"/>
    <w:rsid w:val="1237571C"/>
    <w:rsid w:val="12385910"/>
    <w:rsid w:val="123A5274"/>
    <w:rsid w:val="123C289D"/>
    <w:rsid w:val="124C6120"/>
    <w:rsid w:val="124CDCA4"/>
    <w:rsid w:val="124F0EAD"/>
    <w:rsid w:val="1254C6FE"/>
    <w:rsid w:val="12569B62"/>
    <w:rsid w:val="125BBACA"/>
    <w:rsid w:val="125FF141"/>
    <w:rsid w:val="1263B986"/>
    <w:rsid w:val="1263F556"/>
    <w:rsid w:val="1267AA5D"/>
    <w:rsid w:val="126A6439"/>
    <w:rsid w:val="126E6C94"/>
    <w:rsid w:val="12738772"/>
    <w:rsid w:val="12811CBF"/>
    <w:rsid w:val="1287BF16"/>
    <w:rsid w:val="128DBB67"/>
    <w:rsid w:val="12945DF0"/>
    <w:rsid w:val="129692F3"/>
    <w:rsid w:val="1299CA2D"/>
    <w:rsid w:val="129D0619"/>
    <w:rsid w:val="12A0ECC7"/>
    <w:rsid w:val="12A3BCCF"/>
    <w:rsid w:val="12A4BF01"/>
    <w:rsid w:val="12AFFF2A"/>
    <w:rsid w:val="12B52904"/>
    <w:rsid w:val="12B72F6A"/>
    <w:rsid w:val="12BF1024"/>
    <w:rsid w:val="12BF90FA"/>
    <w:rsid w:val="12C4E005"/>
    <w:rsid w:val="12C59ACB"/>
    <w:rsid w:val="12CCBE5C"/>
    <w:rsid w:val="12D271E4"/>
    <w:rsid w:val="12D58637"/>
    <w:rsid w:val="12D97715"/>
    <w:rsid w:val="12D9F873"/>
    <w:rsid w:val="12E6B445"/>
    <w:rsid w:val="12E83A9C"/>
    <w:rsid w:val="12E9A6A7"/>
    <w:rsid w:val="12EA9943"/>
    <w:rsid w:val="12EDFF01"/>
    <w:rsid w:val="12EE3471"/>
    <w:rsid w:val="12F0FC5C"/>
    <w:rsid w:val="12F14F0F"/>
    <w:rsid w:val="12F7F21B"/>
    <w:rsid w:val="12F9E745"/>
    <w:rsid w:val="12FCCB1B"/>
    <w:rsid w:val="1301DE8F"/>
    <w:rsid w:val="13021646"/>
    <w:rsid w:val="1305B841"/>
    <w:rsid w:val="13067D6C"/>
    <w:rsid w:val="130770D9"/>
    <w:rsid w:val="130C27C7"/>
    <w:rsid w:val="130CD3F0"/>
    <w:rsid w:val="130D0BB6"/>
    <w:rsid w:val="13190675"/>
    <w:rsid w:val="131D2496"/>
    <w:rsid w:val="131D278A"/>
    <w:rsid w:val="131FF15B"/>
    <w:rsid w:val="1322E684"/>
    <w:rsid w:val="13244D8E"/>
    <w:rsid w:val="132520A7"/>
    <w:rsid w:val="1327726B"/>
    <w:rsid w:val="132A0719"/>
    <w:rsid w:val="132ADADD"/>
    <w:rsid w:val="132B72D4"/>
    <w:rsid w:val="132D126E"/>
    <w:rsid w:val="132DF0D1"/>
    <w:rsid w:val="133704BA"/>
    <w:rsid w:val="13399412"/>
    <w:rsid w:val="1339E1D9"/>
    <w:rsid w:val="133A6BFD"/>
    <w:rsid w:val="133C337E"/>
    <w:rsid w:val="133C3DE9"/>
    <w:rsid w:val="133FF20B"/>
    <w:rsid w:val="13419E96"/>
    <w:rsid w:val="134494B4"/>
    <w:rsid w:val="1347E846"/>
    <w:rsid w:val="134F8FB7"/>
    <w:rsid w:val="134FD769"/>
    <w:rsid w:val="1353F82C"/>
    <w:rsid w:val="1354BD81"/>
    <w:rsid w:val="1357174D"/>
    <w:rsid w:val="1357C1F7"/>
    <w:rsid w:val="135802D0"/>
    <w:rsid w:val="13595334"/>
    <w:rsid w:val="13642C33"/>
    <w:rsid w:val="136522AA"/>
    <w:rsid w:val="13708EF5"/>
    <w:rsid w:val="1370AACE"/>
    <w:rsid w:val="1375EC47"/>
    <w:rsid w:val="13789C9A"/>
    <w:rsid w:val="137D3DBB"/>
    <w:rsid w:val="1380A9A7"/>
    <w:rsid w:val="1381447D"/>
    <w:rsid w:val="13859C12"/>
    <w:rsid w:val="138C480D"/>
    <w:rsid w:val="138CEA16"/>
    <w:rsid w:val="13912EC0"/>
    <w:rsid w:val="13933167"/>
    <w:rsid w:val="1393A197"/>
    <w:rsid w:val="13955D7E"/>
    <w:rsid w:val="13991081"/>
    <w:rsid w:val="139BE36D"/>
    <w:rsid w:val="139D1822"/>
    <w:rsid w:val="13A3CA05"/>
    <w:rsid w:val="13A6142A"/>
    <w:rsid w:val="13A6F02E"/>
    <w:rsid w:val="13A734C7"/>
    <w:rsid w:val="13A7F089"/>
    <w:rsid w:val="13ABEDC3"/>
    <w:rsid w:val="13AC3699"/>
    <w:rsid w:val="13AEFECF"/>
    <w:rsid w:val="13AF088A"/>
    <w:rsid w:val="13AF51E2"/>
    <w:rsid w:val="13B6BE57"/>
    <w:rsid w:val="13B7651D"/>
    <w:rsid w:val="13B91598"/>
    <w:rsid w:val="13BDB087"/>
    <w:rsid w:val="13BE2B0F"/>
    <w:rsid w:val="13BEF29C"/>
    <w:rsid w:val="13C11AF7"/>
    <w:rsid w:val="13C6DB5C"/>
    <w:rsid w:val="13C73A08"/>
    <w:rsid w:val="13CE5F40"/>
    <w:rsid w:val="13D12DD3"/>
    <w:rsid w:val="13D3F7C5"/>
    <w:rsid w:val="13D71882"/>
    <w:rsid w:val="13D86393"/>
    <w:rsid w:val="13E07D2A"/>
    <w:rsid w:val="13E40CF0"/>
    <w:rsid w:val="13E56774"/>
    <w:rsid w:val="13E8AEF1"/>
    <w:rsid w:val="13E8F329"/>
    <w:rsid w:val="13E91DE3"/>
    <w:rsid w:val="13EB8582"/>
    <w:rsid w:val="13F3CA0A"/>
    <w:rsid w:val="13F4CA9A"/>
    <w:rsid w:val="13F8B64B"/>
    <w:rsid w:val="13F9A5FA"/>
    <w:rsid w:val="13FA2BEE"/>
    <w:rsid w:val="13FAE0AD"/>
    <w:rsid w:val="13FCE09F"/>
    <w:rsid w:val="140288DF"/>
    <w:rsid w:val="14036E44"/>
    <w:rsid w:val="140BDCE3"/>
    <w:rsid w:val="1411DA98"/>
    <w:rsid w:val="141222FF"/>
    <w:rsid w:val="141A92F2"/>
    <w:rsid w:val="141BE4C0"/>
    <w:rsid w:val="14204D0A"/>
    <w:rsid w:val="1420A96A"/>
    <w:rsid w:val="14211090"/>
    <w:rsid w:val="1421C352"/>
    <w:rsid w:val="14237BE8"/>
    <w:rsid w:val="14255452"/>
    <w:rsid w:val="143588E2"/>
    <w:rsid w:val="14365128"/>
    <w:rsid w:val="143A4385"/>
    <w:rsid w:val="143D1592"/>
    <w:rsid w:val="1440B04C"/>
    <w:rsid w:val="1446955D"/>
    <w:rsid w:val="144800C7"/>
    <w:rsid w:val="144A7859"/>
    <w:rsid w:val="144C31F3"/>
    <w:rsid w:val="145130BF"/>
    <w:rsid w:val="14555141"/>
    <w:rsid w:val="1459D8D0"/>
    <w:rsid w:val="145F266D"/>
    <w:rsid w:val="146197CF"/>
    <w:rsid w:val="1463EBD8"/>
    <w:rsid w:val="146C1554"/>
    <w:rsid w:val="146C291E"/>
    <w:rsid w:val="1471BB47"/>
    <w:rsid w:val="14733B47"/>
    <w:rsid w:val="14737D0F"/>
    <w:rsid w:val="1474A969"/>
    <w:rsid w:val="147CFD89"/>
    <w:rsid w:val="1482F7B7"/>
    <w:rsid w:val="148329C3"/>
    <w:rsid w:val="148D40D3"/>
    <w:rsid w:val="148E5865"/>
    <w:rsid w:val="14901909"/>
    <w:rsid w:val="14919B36"/>
    <w:rsid w:val="149ACAD5"/>
    <w:rsid w:val="149B8C7F"/>
    <w:rsid w:val="149D093B"/>
    <w:rsid w:val="149E3DDD"/>
    <w:rsid w:val="14A20D8C"/>
    <w:rsid w:val="14AFB34E"/>
    <w:rsid w:val="14B10251"/>
    <w:rsid w:val="14B15CC5"/>
    <w:rsid w:val="14B2C75C"/>
    <w:rsid w:val="14B2ECF0"/>
    <w:rsid w:val="14B41A24"/>
    <w:rsid w:val="14B7D17A"/>
    <w:rsid w:val="14BD2D2C"/>
    <w:rsid w:val="14BDBA2F"/>
    <w:rsid w:val="14BF910F"/>
    <w:rsid w:val="14C7707A"/>
    <w:rsid w:val="14D1B1EF"/>
    <w:rsid w:val="14D8D6E8"/>
    <w:rsid w:val="14D96AB4"/>
    <w:rsid w:val="14DAA72C"/>
    <w:rsid w:val="14DAAF46"/>
    <w:rsid w:val="14DC7DC4"/>
    <w:rsid w:val="14E4200A"/>
    <w:rsid w:val="14E48E9D"/>
    <w:rsid w:val="14E5A9D0"/>
    <w:rsid w:val="14E63256"/>
    <w:rsid w:val="14E90325"/>
    <w:rsid w:val="14EB787A"/>
    <w:rsid w:val="14F10F7D"/>
    <w:rsid w:val="14F402D5"/>
    <w:rsid w:val="14F86D6F"/>
    <w:rsid w:val="14FAF6B5"/>
    <w:rsid w:val="14FDE46F"/>
    <w:rsid w:val="14FE96E5"/>
    <w:rsid w:val="150170F1"/>
    <w:rsid w:val="150287D7"/>
    <w:rsid w:val="1503A470"/>
    <w:rsid w:val="1503ECDC"/>
    <w:rsid w:val="15053A04"/>
    <w:rsid w:val="15067537"/>
    <w:rsid w:val="150736C5"/>
    <w:rsid w:val="1507B7C1"/>
    <w:rsid w:val="15083A4B"/>
    <w:rsid w:val="150880C6"/>
    <w:rsid w:val="1510ECD1"/>
    <w:rsid w:val="151936CA"/>
    <w:rsid w:val="151A1D1D"/>
    <w:rsid w:val="151B53AA"/>
    <w:rsid w:val="151E49E7"/>
    <w:rsid w:val="151F1F06"/>
    <w:rsid w:val="1520DD43"/>
    <w:rsid w:val="1521C631"/>
    <w:rsid w:val="15223EF0"/>
    <w:rsid w:val="1522906D"/>
    <w:rsid w:val="1523DA82"/>
    <w:rsid w:val="1525D69E"/>
    <w:rsid w:val="1526D327"/>
    <w:rsid w:val="15288749"/>
    <w:rsid w:val="152CECF0"/>
    <w:rsid w:val="152D6AE8"/>
    <w:rsid w:val="15308155"/>
    <w:rsid w:val="1530BBFC"/>
    <w:rsid w:val="1531BA29"/>
    <w:rsid w:val="1532DAD9"/>
    <w:rsid w:val="1537D5D8"/>
    <w:rsid w:val="153D4035"/>
    <w:rsid w:val="153FE046"/>
    <w:rsid w:val="15447452"/>
    <w:rsid w:val="15470003"/>
    <w:rsid w:val="15489030"/>
    <w:rsid w:val="154AD82B"/>
    <w:rsid w:val="154E1859"/>
    <w:rsid w:val="154E1F09"/>
    <w:rsid w:val="15547116"/>
    <w:rsid w:val="15559D78"/>
    <w:rsid w:val="15562869"/>
    <w:rsid w:val="1557C12D"/>
    <w:rsid w:val="1557F8F4"/>
    <w:rsid w:val="155EFF46"/>
    <w:rsid w:val="155F5382"/>
    <w:rsid w:val="1564E430"/>
    <w:rsid w:val="156F5311"/>
    <w:rsid w:val="157122F5"/>
    <w:rsid w:val="1572D239"/>
    <w:rsid w:val="1574D7E9"/>
    <w:rsid w:val="157843C2"/>
    <w:rsid w:val="157AC2AE"/>
    <w:rsid w:val="157AF4AC"/>
    <w:rsid w:val="1581FEBA"/>
    <w:rsid w:val="1586E83B"/>
    <w:rsid w:val="15896A71"/>
    <w:rsid w:val="158B3DAD"/>
    <w:rsid w:val="158F16A7"/>
    <w:rsid w:val="1596B05E"/>
    <w:rsid w:val="159AAF46"/>
    <w:rsid w:val="159B0C93"/>
    <w:rsid w:val="159E9016"/>
    <w:rsid w:val="15A22A5A"/>
    <w:rsid w:val="15A56C68"/>
    <w:rsid w:val="15AE20C2"/>
    <w:rsid w:val="15B3AE83"/>
    <w:rsid w:val="15B54D52"/>
    <w:rsid w:val="15BC660C"/>
    <w:rsid w:val="15BE5EAF"/>
    <w:rsid w:val="15C4204D"/>
    <w:rsid w:val="15C581B9"/>
    <w:rsid w:val="15C59C1A"/>
    <w:rsid w:val="15C86CFD"/>
    <w:rsid w:val="15CAD8D4"/>
    <w:rsid w:val="15D3C974"/>
    <w:rsid w:val="15E101BC"/>
    <w:rsid w:val="15E384AC"/>
    <w:rsid w:val="15E41126"/>
    <w:rsid w:val="15E706F2"/>
    <w:rsid w:val="15E78327"/>
    <w:rsid w:val="15EAD249"/>
    <w:rsid w:val="15EBEB25"/>
    <w:rsid w:val="15F68D42"/>
    <w:rsid w:val="15FA48B0"/>
    <w:rsid w:val="15FB6EFA"/>
    <w:rsid w:val="15FFDE1C"/>
    <w:rsid w:val="16010B44"/>
    <w:rsid w:val="16044C4E"/>
    <w:rsid w:val="1608D679"/>
    <w:rsid w:val="160E2093"/>
    <w:rsid w:val="160EA95A"/>
    <w:rsid w:val="161803CD"/>
    <w:rsid w:val="16190673"/>
    <w:rsid w:val="1619608A"/>
    <w:rsid w:val="161B00ED"/>
    <w:rsid w:val="161E9811"/>
    <w:rsid w:val="16206EF8"/>
    <w:rsid w:val="1621359E"/>
    <w:rsid w:val="1624CBC5"/>
    <w:rsid w:val="16268B5D"/>
    <w:rsid w:val="16278C0D"/>
    <w:rsid w:val="162791BD"/>
    <w:rsid w:val="1628F90F"/>
    <w:rsid w:val="162F7110"/>
    <w:rsid w:val="162FA23C"/>
    <w:rsid w:val="163C0D83"/>
    <w:rsid w:val="16412326"/>
    <w:rsid w:val="164295FF"/>
    <w:rsid w:val="16444462"/>
    <w:rsid w:val="16478AD3"/>
    <w:rsid w:val="16479AE1"/>
    <w:rsid w:val="1649F164"/>
    <w:rsid w:val="164B242F"/>
    <w:rsid w:val="164C6296"/>
    <w:rsid w:val="164D62F0"/>
    <w:rsid w:val="1651E19A"/>
    <w:rsid w:val="1652930B"/>
    <w:rsid w:val="1654C140"/>
    <w:rsid w:val="1656B2AB"/>
    <w:rsid w:val="1659CCEC"/>
    <w:rsid w:val="165B687C"/>
    <w:rsid w:val="166026F2"/>
    <w:rsid w:val="1664A2B3"/>
    <w:rsid w:val="1664B541"/>
    <w:rsid w:val="166B5513"/>
    <w:rsid w:val="166E61BA"/>
    <w:rsid w:val="1670C8DF"/>
    <w:rsid w:val="16715A08"/>
    <w:rsid w:val="16718C7B"/>
    <w:rsid w:val="1677EC9B"/>
    <w:rsid w:val="16794020"/>
    <w:rsid w:val="1679CFBE"/>
    <w:rsid w:val="167DF060"/>
    <w:rsid w:val="167F2803"/>
    <w:rsid w:val="1680163E"/>
    <w:rsid w:val="1682D992"/>
    <w:rsid w:val="168C218D"/>
    <w:rsid w:val="168C7853"/>
    <w:rsid w:val="168CA278"/>
    <w:rsid w:val="1694744B"/>
    <w:rsid w:val="169579C9"/>
    <w:rsid w:val="16960760"/>
    <w:rsid w:val="1697F52C"/>
    <w:rsid w:val="169857CC"/>
    <w:rsid w:val="16A00B63"/>
    <w:rsid w:val="16A15062"/>
    <w:rsid w:val="16A546FE"/>
    <w:rsid w:val="16AAD5AD"/>
    <w:rsid w:val="16B3ADDB"/>
    <w:rsid w:val="16B52714"/>
    <w:rsid w:val="16B530B1"/>
    <w:rsid w:val="16B5BE20"/>
    <w:rsid w:val="16BC3BBF"/>
    <w:rsid w:val="16C2541D"/>
    <w:rsid w:val="16C3A75C"/>
    <w:rsid w:val="16C4D92F"/>
    <w:rsid w:val="16C76B9F"/>
    <w:rsid w:val="16CE1F76"/>
    <w:rsid w:val="16CE69E4"/>
    <w:rsid w:val="16CF86DD"/>
    <w:rsid w:val="16DD65C4"/>
    <w:rsid w:val="16E17569"/>
    <w:rsid w:val="16E184BC"/>
    <w:rsid w:val="16ECC7EB"/>
    <w:rsid w:val="16EDF12A"/>
    <w:rsid w:val="16F15959"/>
    <w:rsid w:val="16F270A9"/>
    <w:rsid w:val="16F2A648"/>
    <w:rsid w:val="16F92B79"/>
    <w:rsid w:val="16FAA7B8"/>
    <w:rsid w:val="170929F5"/>
    <w:rsid w:val="170A2ADA"/>
    <w:rsid w:val="170B0609"/>
    <w:rsid w:val="170BAFD0"/>
    <w:rsid w:val="170C9B8F"/>
    <w:rsid w:val="17100E03"/>
    <w:rsid w:val="17110D36"/>
    <w:rsid w:val="171953B7"/>
    <w:rsid w:val="171A9021"/>
    <w:rsid w:val="171F2D29"/>
    <w:rsid w:val="17201B52"/>
    <w:rsid w:val="172059F6"/>
    <w:rsid w:val="17270B7B"/>
    <w:rsid w:val="172AE826"/>
    <w:rsid w:val="172D19E8"/>
    <w:rsid w:val="172E5AF3"/>
    <w:rsid w:val="17328B9C"/>
    <w:rsid w:val="1735B965"/>
    <w:rsid w:val="173804C2"/>
    <w:rsid w:val="173A6948"/>
    <w:rsid w:val="173CA38C"/>
    <w:rsid w:val="173CB761"/>
    <w:rsid w:val="173E0E8E"/>
    <w:rsid w:val="173E98B9"/>
    <w:rsid w:val="173EE72F"/>
    <w:rsid w:val="173FA876"/>
    <w:rsid w:val="1747114F"/>
    <w:rsid w:val="174965D5"/>
    <w:rsid w:val="174B5C9B"/>
    <w:rsid w:val="174BF885"/>
    <w:rsid w:val="174C23F8"/>
    <w:rsid w:val="174D5713"/>
    <w:rsid w:val="174E1241"/>
    <w:rsid w:val="174EBE9C"/>
    <w:rsid w:val="17521127"/>
    <w:rsid w:val="17572DA1"/>
    <w:rsid w:val="1758A4AE"/>
    <w:rsid w:val="1760995C"/>
    <w:rsid w:val="17625CDA"/>
    <w:rsid w:val="1762FCD5"/>
    <w:rsid w:val="17647944"/>
    <w:rsid w:val="1766C047"/>
    <w:rsid w:val="1767E219"/>
    <w:rsid w:val="176CC9E0"/>
    <w:rsid w:val="176E413D"/>
    <w:rsid w:val="176F3E06"/>
    <w:rsid w:val="177002B7"/>
    <w:rsid w:val="17720448"/>
    <w:rsid w:val="17735E97"/>
    <w:rsid w:val="177A5EC5"/>
    <w:rsid w:val="177FF680"/>
    <w:rsid w:val="17833959"/>
    <w:rsid w:val="17898496"/>
    <w:rsid w:val="1792387A"/>
    <w:rsid w:val="17932224"/>
    <w:rsid w:val="17976C77"/>
    <w:rsid w:val="1799155C"/>
    <w:rsid w:val="179A07A5"/>
    <w:rsid w:val="17A08D66"/>
    <w:rsid w:val="17A0B339"/>
    <w:rsid w:val="17A102EE"/>
    <w:rsid w:val="17A65C95"/>
    <w:rsid w:val="17A7A4C2"/>
    <w:rsid w:val="17AAC992"/>
    <w:rsid w:val="17B44D21"/>
    <w:rsid w:val="17B46871"/>
    <w:rsid w:val="17BB0309"/>
    <w:rsid w:val="17BC84D1"/>
    <w:rsid w:val="17C33596"/>
    <w:rsid w:val="17C44D35"/>
    <w:rsid w:val="17C44FF0"/>
    <w:rsid w:val="17C6BF45"/>
    <w:rsid w:val="17C8EC6C"/>
    <w:rsid w:val="17CAB34E"/>
    <w:rsid w:val="17CB23AF"/>
    <w:rsid w:val="17CCE12C"/>
    <w:rsid w:val="17CDBCF5"/>
    <w:rsid w:val="17CF8E73"/>
    <w:rsid w:val="17D06065"/>
    <w:rsid w:val="17D0A693"/>
    <w:rsid w:val="17D5EB15"/>
    <w:rsid w:val="17D6E0B0"/>
    <w:rsid w:val="17D78348"/>
    <w:rsid w:val="17D7B0B9"/>
    <w:rsid w:val="17DE2008"/>
    <w:rsid w:val="17E017F2"/>
    <w:rsid w:val="17E055AF"/>
    <w:rsid w:val="17E111FE"/>
    <w:rsid w:val="17E23ADE"/>
    <w:rsid w:val="17E278AD"/>
    <w:rsid w:val="17E4C9DE"/>
    <w:rsid w:val="17E621A7"/>
    <w:rsid w:val="17E84177"/>
    <w:rsid w:val="17E9B38C"/>
    <w:rsid w:val="17EC32A2"/>
    <w:rsid w:val="17EC5FCD"/>
    <w:rsid w:val="17EE2D23"/>
    <w:rsid w:val="17F51A2E"/>
    <w:rsid w:val="17F78BF0"/>
    <w:rsid w:val="17F8EE21"/>
    <w:rsid w:val="17F90E1B"/>
    <w:rsid w:val="17FD0C55"/>
    <w:rsid w:val="180B6C7F"/>
    <w:rsid w:val="180C123A"/>
    <w:rsid w:val="180CE712"/>
    <w:rsid w:val="180F2402"/>
    <w:rsid w:val="18104705"/>
    <w:rsid w:val="18128A43"/>
    <w:rsid w:val="18129897"/>
    <w:rsid w:val="181712CC"/>
    <w:rsid w:val="181777C6"/>
    <w:rsid w:val="1819C393"/>
    <w:rsid w:val="181C725A"/>
    <w:rsid w:val="181E6EF4"/>
    <w:rsid w:val="1822C82D"/>
    <w:rsid w:val="18241269"/>
    <w:rsid w:val="18245AF8"/>
    <w:rsid w:val="18248DD0"/>
    <w:rsid w:val="182C45FE"/>
    <w:rsid w:val="18345A22"/>
    <w:rsid w:val="18350FD1"/>
    <w:rsid w:val="18354344"/>
    <w:rsid w:val="183E2CE0"/>
    <w:rsid w:val="18450694"/>
    <w:rsid w:val="1849567F"/>
    <w:rsid w:val="184A611C"/>
    <w:rsid w:val="184B52A5"/>
    <w:rsid w:val="184B548E"/>
    <w:rsid w:val="184C437C"/>
    <w:rsid w:val="184DA717"/>
    <w:rsid w:val="18501897"/>
    <w:rsid w:val="1850814C"/>
    <w:rsid w:val="1851C51C"/>
    <w:rsid w:val="1852F4CB"/>
    <w:rsid w:val="18552E1A"/>
    <w:rsid w:val="18567202"/>
    <w:rsid w:val="18588D3D"/>
    <w:rsid w:val="185C94BD"/>
    <w:rsid w:val="18617CBB"/>
    <w:rsid w:val="18681244"/>
    <w:rsid w:val="18723358"/>
    <w:rsid w:val="1872541B"/>
    <w:rsid w:val="187432B9"/>
    <w:rsid w:val="187464B0"/>
    <w:rsid w:val="187C5A18"/>
    <w:rsid w:val="18832EB6"/>
    <w:rsid w:val="1885A3D0"/>
    <w:rsid w:val="1887C4E1"/>
    <w:rsid w:val="188A1A63"/>
    <w:rsid w:val="188DBFA6"/>
    <w:rsid w:val="1893779E"/>
    <w:rsid w:val="189B5489"/>
    <w:rsid w:val="189BE1F6"/>
    <w:rsid w:val="189C2B20"/>
    <w:rsid w:val="18A277E2"/>
    <w:rsid w:val="18A52C77"/>
    <w:rsid w:val="18AC6957"/>
    <w:rsid w:val="18ACAF90"/>
    <w:rsid w:val="18AFB787"/>
    <w:rsid w:val="18B66999"/>
    <w:rsid w:val="18B75D6C"/>
    <w:rsid w:val="18BD3A55"/>
    <w:rsid w:val="18C0B60F"/>
    <w:rsid w:val="18C8B467"/>
    <w:rsid w:val="18CD152E"/>
    <w:rsid w:val="18CF6BA4"/>
    <w:rsid w:val="18D59DF1"/>
    <w:rsid w:val="18D82A33"/>
    <w:rsid w:val="18D848EA"/>
    <w:rsid w:val="18D9F65E"/>
    <w:rsid w:val="18DBFF79"/>
    <w:rsid w:val="18DD6DAC"/>
    <w:rsid w:val="18E2C5C8"/>
    <w:rsid w:val="18E4473B"/>
    <w:rsid w:val="18E5323F"/>
    <w:rsid w:val="18E88E6A"/>
    <w:rsid w:val="18F0CFF6"/>
    <w:rsid w:val="18F159A2"/>
    <w:rsid w:val="18F2E2E7"/>
    <w:rsid w:val="18F44013"/>
    <w:rsid w:val="18F6DE22"/>
    <w:rsid w:val="18FE79C0"/>
    <w:rsid w:val="1901D5E5"/>
    <w:rsid w:val="1902D943"/>
    <w:rsid w:val="19044E03"/>
    <w:rsid w:val="19054DDD"/>
    <w:rsid w:val="1906BAD7"/>
    <w:rsid w:val="190A2274"/>
    <w:rsid w:val="190C322B"/>
    <w:rsid w:val="190CD1B2"/>
    <w:rsid w:val="190E5598"/>
    <w:rsid w:val="190F3DFA"/>
    <w:rsid w:val="19116A7E"/>
    <w:rsid w:val="1912C274"/>
    <w:rsid w:val="1915D977"/>
    <w:rsid w:val="1916B0A4"/>
    <w:rsid w:val="1918A55C"/>
    <w:rsid w:val="19192723"/>
    <w:rsid w:val="191B26FE"/>
    <w:rsid w:val="191E8C0D"/>
    <w:rsid w:val="191ED0FB"/>
    <w:rsid w:val="1923981E"/>
    <w:rsid w:val="19244234"/>
    <w:rsid w:val="1924812A"/>
    <w:rsid w:val="1927CAE7"/>
    <w:rsid w:val="1929C471"/>
    <w:rsid w:val="192ADD36"/>
    <w:rsid w:val="1935F8F3"/>
    <w:rsid w:val="1936A3FD"/>
    <w:rsid w:val="193770C3"/>
    <w:rsid w:val="193A44B8"/>
    <w:rsid w:val="1946B0CA"/>
    <w:rsid w:val="19498E40"/>
    <w:rsid w:val="194A7844"/>
    <w:rsid w:val="194C9FC3"/>
    <w:rsid w:val="194D0957"/>
    <w:rsid w:val="19525114"/>
    <w:rsid w:val="1957579A"/>
    <w:rsid w:val="1964E307"/>
    <w:rsid w:val="1969B9A5"/>
    <w:rsid w:val="1969DE40"/>
    <w:rsid w:val="196D3A71"/>
    <w:rsid w:val="19716AB5"/>
    <w:rsid w:val="19720B4C"/>
    <w:rsid w:val="19773AF3"/>
    <w:rsid w:val="1977BE04"/>
    <w:rsid w:val="197829F0"/>
    <w:rsid w:val="197832CD"/>
    <w:rsid w:val="197A090B"/>
    <w:rsid w:val="197B3367"/>
    <w:rsid w:val="197D00B9"/>
    <w:rsid w:val="197F5D47"/>
    <w:rsid w:val="1981B6B5"/>
    <w:rsid w:val="19891E3C"/>
    <w:rsid w:val="198DD312"/>
    <w:rsid w:val="198E7564"/>
    <w:rsid w:val="19935125"/>
    <w:rsid w:val="19957B4B"/>
    <w:rsid w:val="1996E02C"/>
    <w:rsid w:val="19990D3E"/>
    <w:rsid w:val="199BDD6D"/>
    <w:rsid w:val="19A0590E"/>
    <w:rsid w:val="19A0BEC5"/>
    <w:rsid w:val="19A0DBE9"/>
    <w:rsid w:val="19AC4C71"/>
    <w:rsid w:val="19AD9102"/>
    <w:rsid w:val="19AD9AF3"/>
    <w:rsid w:val="19AE05FF"/>
    <w:rsid w:val="19AEC53F"/>
    <w:rsid w:val="19AFAC4E"/>
    <w:rsid w:val="19B2DBB3"/>
    <w:rsid w:val="19B4CB06"/>
    <w:rsid w:val="19B59685"/>
    <w:rsid w:val="19BB0F69"/>
    <w:rsid w:val="19C03518"/>
    <w:rsid w:val="19C0D26C"/>
    <w:rsid w:val="19C3244F"/>
    <w:rsid w:val="19C8A482"/>
    <w:rsid w:val="19CDE0D8"/>
    <w:rsid w:val="19D0E67C"/>
    <w:rsid w:val="19D287A4"/>
    <w:rsid w:val="19D33FA9"/>
    <w:rsid w:val="19D5901C"/>
    <w:rsid w:val="19D603A0"/>
    <w:rsid w:val="19D81B32"/>
    <w:rsid w:val="19D95418"/>
    <w:rsid w:val="19DA51BD"/>
    <w:rsid w:val="19DBF735"/>
    <w:rsid w:val="19E0CFAC"/>
    <w:rsid w:val="19E3B331"/>
    <w:rsid w:val="19E4CC64"/>
    <w:rsid w:val="19E5DEF1"/>
    <w:rsid w:val="19E8DAA5"/>
    <w:rsid w:val="19ED8DA8"/>
    <w:rsid w:val="19EE1D98"/>
    <w:rsid w:val="19F4AC6A"/>
    <w:rsid w:val="19F60BED"/>
    <w:rsid w:val="1A00D6AA"/>
    <w:rsid w:val="1A05C0C7"/>
    <w:rsid w:val="1A0C5EAA"/>
    <w:rsid w:val="1A0D865F"/>
    <w:rsid w:val="1A0F8862"/>
    <w:rsid w:val="1A11DFC0"/>
    <w:rsid w:val="1A122F39"/>
    <w:rsid w:val="1A136F57"/>
    <w:rsid w:val="1A18DC8C"/>
    <w:rsid w:val="1A1CFCAF"/>
    <w:rsid w:val="1A1D83D0"/>
    <w:rsid w:val="1A22C9C7"/>
    <w:rsid w:val="1A255A1E"/>
    <w:rsid w:val="1A28A489"/>
    <w:rsid w:val="1A291503"/>
    <w:rsid w:val="1A2E168D"/>
    <w:rsid w:val="1A2F4165"/>
    <w:rsid w:val="1A2FF142"/>
    <w:rsid w:val="1A33B36A"/>
    <w:rsid w:val="1A34D767"/>
    <w:rsid w:val="1A38F5C0"/>
    <w:rsid w:val="1A3AA660"/>
    <w:rsid w:val="1A42EA2A"/>
    <w:rsid w:val="1A432377"/>
    <w:rsid w:val="1A43B6A7"/>
    <w:rsid w:val="1A445B97"/>
    <w:rsid w:val="1A446DEA"/>
    <w:rsid w:val="1A450BE4"/>
    <w:rsid w:val="1A486CBF"/>
    <w:rsid w:val="1A4AFD21"/>
    <w:rsid w:val="1A4C02F8"/>
    <w:rsid w:val="1A4CF3C5"/>
    <w:rsid w:val="1A4D5D74"/>
    <w:rsid w:val="1A4EFD47"/>
    <w:rsid w:val="1A50F492"/>
    <w:rsid w:val="1A5288F2"/>
    <w:rsid w:val="1A54811D"/>
    <w:rsid w:val="1A5549F8"/>
    <w:rsid w:val="1A55760A"/>
    <w:rsid w:val="1A563E20"/>
    <w:rsid w:val="1A571C73"/>
    <w:rsid w:val="1A5A686E"/>
    <w:rsid w:val="1A5C0842"/>
    <w:rsid w:val="1A61D549"/>
    <w:rsid w:val="1A6374BC"/>
    <w:rsid w:val="1A64D9F6"/>
    <w:rsid w:val="1A66E78E"/>
    <w:rsid w:val="1A69240F"/>
    <w:rsid w:val="1A695C1E"/>
    <w:rsid w:val="1A6D945D"/>
    <w:rsid w:val="1A6F74A0"/>
    <w:rsid w:val="1A703EFC"/>
    <w:rsid w:val="1A711C36"/>
    <w:rsid w:val="1A718668"/>
    <w:rsid w:val="1A750AC6"/>
    <w:rsid w:val="1A7CA72D"/>
    <w:rsid w:val="1A7DA1B9"/>
    <w:rsid w:val="1A7E962B"/>
    <w:rsid w:val="1A87CFFF"/>
    <w:rsid w:val="1A894F2C"/>
    <w:rsid w:val="1A8B7CE6"/>
    <w:rsid w:val="1A8CB1B3"/>
    <w:rsid w:val="1A916793"/>
    <w:rsid w:val="1A91AE66"/>
    <w:rsid w:val="1A9491BE"/>
    <w:rsid w:val="1A977B68"/>
    <w:rsid w:val="1A99D73F"/>
    <w:rsid w:val="1A9ABF9A"/>
    <w:rsid w:val="1A9D1B44"/>
    <w:rsid w:val="1A9DAB46"/>
    <w:rsid w:val="1AA284C4"/>
    <w:rsid w:val="1AA3CE47"/>
    <w:rsid w:val="1AA5C497"/>
    <w:rsid w:val="1AA65329"/>
    <w:rsid w:val="1AA73DE4"/>
    <w:rsid w:val="1AAC1BD7"/>
    <w:rsid w:val="1AAC55D5"/>
    <w:rsid w:val="1AB0631E"/>
    <w:rsid w:val="1AB330F8"/>
    <w:rsid w:val="1AB41406"/>
    <w:rsid w:val="1AB9D2E8"/>
    <w:rsid w:val="1ABE0815"/>
    <w:rsid w:val="1AC037FE"/>
    <w:rsid w:val="1AC3EC7F"/>
    <w:rsid w:val="1AC465F6"/>
    <w:rsid w:val="1AC5424E"/>
    <w:rsid w:val="1ACD7F29"/>
    <w:rsid w:val="1AD39E53"/>
    <w:rsid w:val="1AD3E7D7"/>
    <w:rsid w:val="1AD4968E"/>
    <w:rsid w:val="1AD6E60F"/>
    <w:rsid w:val="1ADABEB5"/>
    <w:rsid w:val="1ADC6637"/>
    <w:rsid w:val="1ADD74EF"/>
    <w:rsid w:val="1ADDC10B"/>
    <w:rsid w:val="1AE0F218"/>
    <w:rsid w:val="1AE1E63F"/>
    <w:rsid w:val="1AE33A46"/>
    <w:rsid w:val="1AE4DAA8"/>
    <w:rsid w:val="1AE644BD"/>
    <w:rsid w:val="1AE93874"/>
    <w:rsid w:val="1AEAA09B"/>
    <w:rsid w:val="1AEBD769"/>
    <w:rsid w:val="1AEC677A"/>
    <w:rsid w:val="1AEF686C"/>
    <w:rsid w:val="1AF6AD5D"/>
    <w:rsid w:val="1AF71AAC"/>
    <w:rsid w:val="1AF73C34"/>
    <w:rsid w:val="1AF91EEB"/>
    <w:rsid w:val="1B0048FA"/>
    <w:rsid w:val="1B01C0B7"/>
    <w:rsid w:val="1B03FCDE"/>
    <w:rsid w:val="1B040529"/>
    <w:rsid w:val="1B085BF7"/>
    <w:rsid w:val="1B09A886"/>
    <w:rsid w:val="1B0BCFCC"/>
    <w:rsid w:val="1B0DA6C8"/>
    <w:rsid w:val="1B10B4AB"/>
    <w:rsid w:val="1B142D5B"/>
    <w:rsid w:val="1B16F54A"/>
    <w:rsid w:val="1B1A32E8"/>
    <w:rsid w:val="1B1BA390"/>
    <w:rsid w:val="1B1D5070"/>
    <w:rsid w:val="1B1F46F7"/>
    <w:rsid w:val="1B21271B"/>
    <w:rsid w:val="1B23F556"/>
    <w:rsid w:val="1B24F71D"/>
    <w:rsid w:val="1B261CB3"/>
    <w:rsid w:val="1B2B0A53"/>
    <w:rsid w:val="1B347FB6"/>
    <w:rsid w:val="1B376B28"/>
    <w:rsid w:val="1B39AEDB"/>
    <w:rsid w:val="1B3A0045"/>
    <w:rsid w:val="1B3E7763"/>
    <w:rsid w:val="1B3FB01D"/>
    <w:rsid w:val="1B472349"/>
    <w:rsid w:val="1B4C3CAE"/>
    <w:rsid w:val="1B5103B7"/>
    <w:rsid w:val="1B532FB8"/>
    <w:rsid w:val="1B56FAC3"/>
    <w:rsid w:val="1B6120D4"/>
    <w:rsid w:val="1B622284"/>
    <w:rsid w:val="1B638CCA"/>
    <w:rsid w:val="1B645666"/>
    <w:rsid w:val="1B6AAA3A"/>
    <w:rsid w:val="1B6AAB1E"/>
    <w:rsid w:val="1B6B2E04"/>
    <w:rsid w:val="1B705FA2"/>
    <w:rsid w:val="1B70F64C"/>
    <w:rsid w:val="1B726F35"/>
    <w:rsid w:val="1B729A05"/>
    <w:rsid w:val="1B7311D3"/>
    <w:rsid w:val="1B734455"/>
    <w:rsid w:val="1B75E562"/>
    <w:rsid w:val="1B782FF8"/>
    <w:rsid w:val="1B7B4FFB"/>
    <w:rsid w:val="1B7C94DC"/>
    <w:rsid w:val="1B84A23C"/>
    <w:rsid w:val="1B895B23"/>
    <w:rsid w:val="1B8CF681"/>
    <w:rsid w:val="1B8DC293"/>
    <w:rsid w:val="1B902138"/>
    <w:rsid w:val="1B929C8A"/>
    <w:rsid w:val="1B96C130"/>
    <w:rsid w:val="1B9C5E13"/>
    <w:rsid w:val="1B9D4701"/>
    <w:rsid w:val="1BA755A5"/>
    <w:rsid w:val="1BA817AC"/>
    <w:rsid w:val="1BA94E9E"/>
    <w:rsid w:val="1BABAD6D"/>
    <w:rsid w:val="1BACB530"/>
    <w:rsid w:val="1BB00618"/>
    <w:rsid w:val="1BB26ECE"/>
    <w:rsid w:val="1BB3D43B"/>
    <w:rsid w:val="1BB4024B"/>
    <w:rsid w:val="1BB6388D"/>
    <w:rsid w:val="1BB82961"/>
    <w:rsid w:val="1BBB1C6D"/>
    <w:rsid w:val="1BBB74FC"/>
    <w:rsid w:val="1BC3341C"/>
    <w:rsid w:val="1BC6A447"/>
    <w:rsid w:val="1BC91C1C"/>
    <w:rsid w:val="1BCBC34C"/>
    <w:rsid w:val="1BCC61D9"/>
    <w:rsid w:val="1BCD4803"/>
    <w:rsid w:val="1BCE09E6"/>
    <w:rsid w:val="1BD27B31"/>
    <w:rsid w:val="1BD74536"/>
    <w:rsid w:val="1BD7659A"/>
    <w:rsid w:val="1BD9873B"/>
    <w:rsid w:val="1BDA6208"/>
    <w:rsid w:val="1BDA7845"/>
    <w:rsid w:val="1BDAE4DF"/>
    <w:rsid w:val="1BDF7D7E"/>
    <w:rsid w:val="1BE32C96"/>
    <w:rsid w:val="1BE857F7"/>
    <w:rsid w:val="1BEC91D0"/>
    <w:rsid w:val="1BEC95BA"/>
    <w:rsid w:val="1BF2681B"/>
    <w:rsid w:val="1BF3D39E"/>
    <w:rsid w:val="1BF58954"/>
    <w:rsid w:val="1BF5EFC0"/>
    <w:rsid w:val="1BF7361A"/>
    <w:rsid w:val="1BFDB873"/>
    <w:rsid w:val="1C0166B9"/>
    <w:rsid w:val="1C01A5E5"/>
    <w:rsid w:val="1C01BFBD"/>
    <w:rsid w:val="1C078B87"/>
    <w:rsid w:val="1C0A702C"/>
    <w:rsid w:val="1C0E2BCB"/>
    <w:rsid w:val="1C0FC53D"/>
    <w:rsid w:val="1C1065AA"/>
    <w:rsid w:val="1C10CA04"/>
    <w:rsid w:val="1C14854E"/>
    <w:rsid w:val="1C14F08F"/>
    <w:rsid w:val="1C1AE958"/>
    <w:rsid w:val="1C259768"/>
    <w:rsid w:val="1C2938D2"/>
    <w:rsid w:val="1C3729F0"/>
    <w:rsid w:val="1C399ABD"/>
    <w:rsid w:val="1C3D85D1"/>
    <w:rsid w:val="1C3E7218"/>
    <w:rsid w:val="1C421CF4"/>
    <w:rsid w:val="1C43CB90"/>
    <w:rsid w:val="1C43EF3E"/>
    <w:rsid w:val="1C4A01E1"/>
    <w:rsid w:val="1C4BA053"/>
    <w:rsid w:val="1C4CC953"/>
    <w:rsid w:val="1C4F0FA3"/>
    <w:rsid w:val="1C4FDE99"/>
    <w:rsid w:val="1C50E4AF"/>
    <w:rsid w:val="1C52E8F4"/>
    <w:rsid w:val="1C55D1C4"/>
    <w:rsid w:val="1C56B695"/>
    <w:rsid w:val="1C592AE2"/>
    <w:rsid w:val="1C5AE022"/>
    <w:rsid w:val="1C5C638D"/>
    <w:rsid w:val="1C5E66DC"/>
    <w:rsid w:val="1C6A3DD9"/>
    <w:rsid w:val="1C6B09D9"/>
    <w:rsid w:val="1C6C637D"/>
    <w:rsid w:val="1C6F6310"/>
    <w:rsid w:val="1C73F321"/>
    <w:rsid w:val="1C7448AB"/>
    <w:rsid w:val="1C7687CA"/>
    <w:rsid w:val="1C7DDCCC"/>
    <w:rsid w:val="1C822B31"/>
    <w:rsid w:val="1C84D9FC"/>
    <w:rsid w:val="1C8A5DE3"/>
    <w:rsid w:val="1C8B505F"/>
    <w:rsid w:val="1C90042C"/>
    <w:rsid w:val="1C907604"/>
    <w:rsid w:val="1C917F5C"/>
    <w:rsid w:val="1C9248CF"/>
    <w:rsid w:val="1C938BB0"/>
    <w:rsid w:val="1C948F25"/>
    <w:rsid w:val="1C94A49B"/>
    <w:rsid w:val="1C9A1FBA"/>
    <w:rsid w:val="1CA06EA9"/>
    <w:rsid w:val="1CA38F0B"/>
    <w:rsid w:val="1CA55EA2"/>
    <w:rsid w:val="1CA79D81"/>
    <w:rsid w:val="1CACF609"/>
    <w:rsid w:val="1CB42760"/>
    <w:rsid w:val="1CB543D4"/>
    <w:rsid w:val="1CBD227E"/>
    <w:rsid w:val="1CBE6A4F"/>
    <w:rsid w:val="1CC1B837"/>
    <w:rsid w:val="1CCFBD6F"/>
    <w:rsid w:val="1CD1CDB4"/>
    <w:rsid w:val="1CD1E54D"/>
    <w:rsid w:val="1CD36EDA"/>
    <w:rsid w:val="1CD38F26"/>
    <w:rsid w:val="1CD39B76"/>
    <w:rsid w:val="1CD3A17F"/>
    <w:rsid w:val="1CD54F79"/>
    <w:rsid w:val="1CD7F48D"/>
    <w:rsid w:val="1CDA2EBC"/>
    <w:rsid w:val="1CDAC3D5"/>
    <w:rsid w:val="1CDAC97F"/>
    <w:rsid w:val="1CE132BE"/>
    <w:rsid w:val="1CE231DE"/>
    <w:rsid w:val="1CE79D24"/>
    <w:rsid w:val="1CED9642"/>
    <w:rsid w:val="1CEE7BA7"/>
    <w:rsid w:val="1CEF7BA9"/>
    <w:rsid w:val="1CF44D08"/>
    <w:rsid w:val="1CF7DFFE"/>
    <w:rsid w:val="1CFAB10B"/>
    <w:rsid w:val="1CFBB74E"/>
    <w:rsid w:val="1D0109E4"/>
    <w:rsid w:val="1D03AE6F"/>
    <w:rsid w:val="1D060105"/>
    <w:rsid w:val="1D065805"/>
    <w:rsid w:val="1D0815E2"/>
    <w:rsid w:val="1D0AE97F"/>
    <w:rsid w:val="1D0D372D"/>
    <w:rsid w:val="1D0E3968"/>
    <w:rsid w:val="1D0F1132"/>
    <w:rsid w:val="1D1101D5"/>
    <w:rsid w:val="1D11DD11"/>
    <w:rsid w:val="1D13EEA7"/>
    <w:rsid w:val="1D1A3F32"/>
    <w:rsid w:val="1D1FCD4D"/>
    <w:rsid w:val="1D221174"/>
    <w:rsid w:val="1D245FE6"/>
    <w:rsid w:val="1D24F73A"/>
    <w:rsid w:val="1D259F54"/>
    <w:rsid w:val="1D27B18E"/>
    <w:rsid w:val="1D29C769"/>
    <w:rsid w:val="1D2F8D1C"/>
    <w:rsid w:val="1D2FB912"/>
    <w:rsid w:val="1D390F6B"/>
    <w:rsid w:val="1D39506B"/>
    <w:rsid w:val="1D3C2369"/>
    <w:rsid w:val="1D41E9A6"/>
    <w:rsid w:val="1D435F0E"/>
    <w:rsid w:val="1D488667"/>
    <w:rsid w:val="1D494ED4"/>
    <w:rsid w:val="1D4EBBD0"/>
    <w:rsid w:val="1D4F62CF"/>
    <w:rsid w:val="1D523BB2"/>
    <w:rsid w:val="1D54D2E2"/>
    <w:rsid w:val="1D55389D"/>
    <w:rsid w:val="1D5EFFCA"/>
    <w:rsid w:val="1D600191"/>
    <w:rsid w:val="1D643E8A"/>
    <w:rsid w:val="1D65F40D"/>
    <w:rsid w:val="1D6A093C"/>
    <w:rsid w:val="1D75CC0D"/>
    <w:rsid w:val="1D75CD61"/>
    <w:rsid w:val="1D77B796"/>
    <w:rsid w:val="1D7BF6DF"/>
    <w:rsid w:val="1D8080C4"/>
    <w:rsid w:val="1D816429"/>
    <w:rsid w:val="1D81B478"/>
    <w:rsid w:val="1D834368"/>
    <w:rsid w:val="1D84D386"/>
    <w:rsid w:val="1D89F1E2"/>
    <w:rsid w:val="1D8C6F04"/>
    <w:rsid w:val="1D9317A0"/>
    <w:rsid w:val="1D935282"/>
    <w:rsid w:val="1D971D94"/>
    <w:rsid w:val="1D976873"/>
    <w:rsid w:val="1D9993D8"/>
    <w:rsid w:val="1DA0FF1D"/>
    <w:rsid w:val="1DA1558F"/>
    <w:rsid w:val="1DA26B61"/>
    <w:rsid w:val="1DA44C66"/>
    <w:rsid w:val="1DA730D8"/>
    <w:rsid w:val="1DA7E619"/>
    <w:rsid w:val="1DA88C04"/>
    <w:rsid w:val="1DA88DF8"/>
    <w:rsid w:val="1DACD66E"/>
    <w:rsid w:val="1DAD8E1E"/>
    <w:rsid w:val="1DB4F367"/>
    <w:rsid w:val="1DB88014"/>
    <w:rsid w:val="1DB903DA"/>
    <w:rsid w:val="1DBAA2FC"/>
    <w:rsid w:val="1DBC8C19"/>
    <w:rsid w:val="1DBD64BF"/>
    <w:rsid w:val="1DBFA268"/>
    <w:rsid w:val="1DC3A030"/>
    <w:rsid w:val="1DC7A7CF"/>
    <w:rsid w:val="1DC8D716"/>
    <w:rsid w:val="1DCA21F9"/>
    <w:rsid w:val="1DCBBFF4"/>
    <w:rsid w:val="1DCD470D"/>
    <w:rsid w:val="1DCD9E70"/>
    <w:rsid w:val="1DCF246D"/>
    <w:rsid w:val="1DDAC7FE"/>
    <w:rsid w:val="1DDCF8FA"/>
    <w:rsid w:val="1DDFBD87"/>
    <w:rsid w:val="1DE852DC"/>
    <w:rsid w:val="1DEDA477"/>
    <w:rsid w:val="1DEF02A6"/>
    <w:rsid w:val="1DEF849D"/>
    <w:rsid w:val="1DEFCE71"/>
    <w:rsid w:val="1DF24B25"/>
    <w:rsid w:val="1DF26B1B"/>
    <w:rsid w:val="1DF3E31A"/>
    <w:rsid w:val="1DF9262A"/>
    <w:rsid w:val="1DFA4409"/>
    <w:rsid w:val="1DFBF664"/>
    <w:rsid w:val="1E0199A6"/>
    <w:rsid w:val="1E03FB2F"/>
    <w:rsid w:val="1E04F328"/>
    <w:rsid w:val="1E072882"/>
    <w:rsid w:val="1E0A4DAB"/>
    <w:rsid w:val="1E0DFA77"/>
    <w:rsid w:val="1E0DFD54"/>
    <w:rsid w:val="1E0E9F93"/>
    <w:rsid w:val="1E15361C"/>
    <w:rsid w:val="1E18E39E"/>
    <w:rsid w:val="1E1F5341"/>
    <w:rsid w:val="1E1FEB50"/>
    <w:rsid w:val="1E2729B0"/>
    <w:rsid w:val="1E2783F2"/>
    <w:rsid w:val="1E2B45F3"/>
    <w:rsid w:val="1E31AC26"/>
    <w:rsid w:val="1E39CEED"/>
    <w:rsid w:val="1E39EADF"/>
    <w:rsid w:val="1E3A149C"/>
    <w:rsid w:val="1E3DC3AB"/>
    <w:rsid w:val="1E3F5EA8"/>
    <w:rsid w:val="1E466EDF"/>
    <w:rsid w:val="1E479497"/>
    <w:rsid w:val="1E47A7D4"/>
    <w:rsid w:val="1E4820C6"/>
    <w:rsid w:val="1E4A2B78"/>
    <w:rsid w:val="1E4F603B"/>
    <w:rsid w:val="1E50C623"/>
    <w:rsid w:val="1E52F6C6"/>
    <w:rsid w:val="1E54148F"/>
    <w:rsid w:val="1E5449C4"/>
    <w:rsid w:val="1E570EF5"/>
    <w:rsid w:val="1E58DF5D"/>
    <w:rsid w:val="1E5ABB67"/>
    <w:rsid w:val="1E5F5530"/>
    <w:rsid w:val="1E6198A4"/>
    <w:rsid w:val="1E632D09"/>
    <w:rsid w:val="1E6490C5"/>
    <w:rsid w:val="1E64E54B"/>
    <w:rsid w:val="1E673531"/>
    <w:rsid w:val="1E677C10"/>
    <w:rsid w:val="1E67AC93"/>
    <w:rsid w:val="1E692B81"/>
    <w:rsid w:val="1E6DF3BC"/>
    <w:rsid w:val="1E6E033D"/>
    <w:rsid w:val="1E703D57"/>
    <w:rsid w:val="1E7098ED"/>
    <w:rsid w:val="1E7261E1"/>
    <w:rsid w:val="1E75DDC5"/>
    <w:rsid w:val="1E778708"/>
    <w:rsid w:val="1E8190C3"/>
    <w:rsid w:val="1E83C422"/>
    <w:rsid w:val="1E83D534"/>
    <w:rsid w:val="1E8C1CFC"/>
    <w:rsid w:val="1E8C714B"/>
    <w:rsid w:val="1E92FEB1"/>
    <w:rsid w:val="1E9BB68B"/>
    <w:rsid w:val="1E9EC86F"/>
    <w:rsid w:val="1EA0988F"/>
    <w:rsid w:val="1EA3DA71"/>
    <w:rsid w:val="1EA99FE6"/>
    <w:rsid w:val="1EAD4082"/>
    <w:rsid w:val="1EADD4AC"/>
    <w:rsid w:val="1EAEA3D6"/>
    <w:rsid w:val="1EAF1C91"/>
    <w:rsid w:val="1EB4AD66"/>
    <w:rsid w:val="1EB50C48"/>
    <w:rsid w:val="1EBB014C"/>
    <w:rsid w:val="1EBB5587"/>
    <w:rsid w:val="1EBE2A4D"/>
    <w:rsid w:val="1EC2F19F"/>
    <w:rsid w:val="1EC3FCB5"/>
    <w:rsid w:val="1EC5C4FE"/>
    <w:rsid w:val="1EC971C8"/>
    <w:rsid w:val="1ECA62E8"/>
    <w:rsid w:val="1ECAA49B"/>
    <w:rsid w:val="1ECDFF12"/>
    <w:rsid w:val="1ECF7D51"/>
    <w:rsid w:val="1ED13231"/>
    <w:rsid w:val="1ED172CD"/>
    <w:rsid w:val="1ED2BFCE"/>
    <w:rsid w:val="1ED63C9D"/>
    <w:rsid w:val="1ED68444"/>
    <w:rsid w:val="1EDB0F03"/>
    <w:rsid w:val="1EE062D6"/>
    <w:rsid w:val="1EE732E7"/>
    <w:rsid w:val="1EE8D5D9"/>
    <w:rsid w:val="1EE9FB4B"/>
    <w:rsid w:val="1EEC31C6"/>
    <w:rsid w:val="1EF29509"/>
    <w:rsid w:val="1EF4A75F"/>
    <w:rsid w:val="1EF6E644"/>
    <w:rsid w:val="1EF94A90"/>
    <w:rsid w:val="1EFC868B"/>
    <w:rsid w:val="1EFC9732"/>
    <w:rsid w:val="1F051EF1"/>
    <w:rsid w:val="1F05E53C"/>
    <w:rsid w:val="1F060196"/>
    <w:rsid w:val="1F06BA8D"/>
    <w:rsid w:val="1F07FD86"/>
    <w:rsid w:val="1F08B089"/>
    <w:rsid w:val="1F0C17B4"/>
    <w:rsid w:val="1F0C529D"/>
    <w:rsid w:val="1F10AEDC"/>
    <w:rsid w:val="1F12187B"/>
    <w:rsid w:val="1F1226CC"/>
    <w:rsid w:val="1F1361E9"/>
    <w:rsid w:val="1F17B0E0"/>
    <w:rsid w:val="1F1E325E"/>
    <w:rsid w:val="1F214D38"/>
    <w:rsid w:val="1F24D656"/>
    <w:rsid w:val="1F292683"/>
    <w:rsid w:val="1F29F8DC"/>
    <w:rsid w:val="1F2DDA54"/>
    <w:rsid w:val="1F2E52EF"/>
    <w:rsid w:val="1F31BAA2"/>
    <w:rsid w:val="1F346F93"/>
    <w:rsid w:val="1F36E575"/>
    <w:rsid w:val="1F37949E"/>
    <w:rsid w:val="1F3FE5B5"/>
    <w:rsid w:val="1F413145"/>
    <w:rsid w:val="1F42BE0B"/>
    <w:rsid w:val="1F43AC93"/>
    <w:rsid w:val="1F461A10"/>
    <w:rsid w:val="1F4AE85D"/>
    <w:rsid w:val="1F4DCE3A"/>
    <w:rsid w:val="1F4FF9C2"/>
    <w:rsid w:val="1F50ED8E"/>
    <w:rsid w:val="1F527572"/>
    <w:rsid w:val="1F531B43"/>
    <w:rsid w:val="1F5D791A"/>
    <w:rsid w:val="1F5FC8E2"/>
    <w:rsid w:val="1F65AAD0"/>
    <w:rsid w:val="1F67BA08"/>
    <w:rsid w:val="1F6A376B"/>
    <w:rsid w:val="1F6C0A41"/>
    <w:rsid w:val="1F6EBCFE"/>
    <w:rsid w:val="1F71C6C9"/>
    <w:rsid w:val="1F737E32"/>
    <w:rsid w:val="1F75FE56"/>
    <w:rsid w:val="1F7AD05B"/>
    <w:rsid w:val="1F7BF05A"/>
    <w:rsid w:val="1F7C929D"/>
    <w:rsid w:val="1F7D4A06"/>
    <w:rsid w:val="1F868B79"/>
    <w:rsid w:val="1F889D77"/>
    <w:rsid w:val="1F8D49DA"/>
    <w:rsid w:val="1F8F5A02"/>
    <w:rsid w:val="1F908AF9"/>
    <w:rsid w:val="1F9153AD"/>
    <w:rsid w:val="1F926BA2"/>
    <w:rsid w:val="1F92B6F4"/>
    <w:rsid w:val="1F935125"/>
    <w:rsid w:val="1F952322"/>
    <w:rsid w:val="1F95BA64"/>
    <w:rsid w:val="1F963E57"/>
    <w:rsid w:val="1F96D126"/>
    <w:rsid w:val="1F97C159"/>
    <w:rsid w:val="1F98EF1E"/>
    <w:rsid w:val="1F9CAC12"/>
    <w:rsid w:val="1FA5A1CF"/>
    <w:rsid w:val="1FA5FF38"/>
    <w:rsid w:val="1FA84B6D"/>
    <w:rsid w:val="1FABE95C"/>
    <w:rsid w:val="1FAD06C6"/>
    <w:rsid w:val="1FADD275"/>
    <w:rsid w:val="1FAE1B62"/>
    <w:rsid w:val="1FB127BE"/>
    <w:rsid w:val="1FB17A62"/>
    <w:rsid w:val="1FB18D0D"/>
    <w:rsid w:val="1FB7F83A"/>
    <w:rsid w:val="1FBA8965"/>
    <w:rsid w:val="1FBBBA01"/>
    <w:rsid w:val="1FBBBCAA"/>
    <w:rsid w:val="1FBF12E9"/>
    <w:rsid w:val="1FBF556A"/>
    <w:rsid w:val="1FC28919"/>
    <w:rsid w:val="1FC5B3B0"/>
    <w:rsid w:val="1FCA3F7E"/>
    <w:rsid w:val="1FCA7E0C"/>
    <w:rsid w:val="1FCB5950"/>
    <w:rsid w:val="1FCC886B"/>
    <w:rsid w:val="1FCDEBBE"/>
    <w:rsid w:val="1FCE241D"/>
    <w:rsid w:val="1FCF708D"/>
    <w:rsid w:val="1FD36DB7"/>
    <w:rsid w:val="1FD3EA8D"/>
    <w:rsid w:val="1FD66D88"/>
    <w:rsid w:val="1FD8B0D9"/>
    <w:rsid w:val="1FD90109"/>
    <w:rsid w:val="1FDA6B32"/>
    <w:rsid w:val="1FE8EEC4"/>
    <w:rsid w:val="1FE8FB05"/>
    <w:rsid w:val="1FEC9EC1"/>
    <w:rsid w:val="1FF67142"/>
    <w:rsid w:val="1FF6BBAB"/>
    <w:rsid w:val="1FF984A9"/>
    <w:rsid w:val="1FFFD19D"/>
    <w:rsid w:val="2000DDAA"/>
    <w:rsid w:val="20047E47"/>
    <w:rsid w:val="20058411"/>
    <w:rsid w:val="2006E148"/>
    <w:rsid w:val="2007B68F"/>
    <w:rsid w:val="20156374"/>
    <w:rsid w:val="2015C663"/>
    <w:rsid w:val="20185FA2"/>
    <w:rsid w:val="20195E7C"/>
    <w:rsid w:val="201A600E"/>
    <w:rsid w:val="201B8665"/>
    <w:rsid w:val="201BC441"/>
    <w:rsid w:val="201D491A"/>
    <w:rsid w:val="201F1922"/>
    <w:rsid w:val="2020E4B5"/>
    <w:rsid w:val="2023AE75"/>
    <w:rsid w:val="20258DF8"/>
    <w:rsid w:val="2027C455"/>
    <w:rsid w:val="202D0782"/>
    <w:rsid w:val="2030C0F1"/>
    <w:rsid w:val="20320B4C"/>
    <w:rsid w:val="2033FA0F"/>
    <w:rsid w:val="2034B2DD"/>
    <w:rsid w:val="203508C0"/>
    <w:rsid w:val="2037048E"/>
    <w:rsid w:val="203AF18C"/>
    <w:rsid w:val="203B2D12"/>
    <w:rsid w:val="204432FE"/>
    <w:rsid w:val="20446518"/>
    <w:rsid w:val="20491AC3"/>
    <w:rsid w:val="20492BC7"/>
    <w:rsid w:val="204A78AD"/>
    <w:rsid w:val="2050C3E8"/>
    <w:rsid w:val="2050FB1A"/>
    <w:rsid w:val="20549052"/>
    <w:rsid w:val="205F2D05"/>
    <w:rsid w:val="20670C66"/>
    <w:rsid w:val="2069A421"/>
    <w:rsid w:val="206AD864"/>
    <w:rsid w:val="206CD541"/>
    <w:rsid w:val="206FC060"/>
    <w:rsid w:val="2071813D"/>
    <w:rsid w:val="20759F53"/>
    <w:rsid w:val="2075AE4E"/>
    <w:rsid w:val="207C1431"/>
    <w:rsid w:val="207C7228"/>
    <w:rsid w:val="207D2B1F"/>
    <w:rsid w:val="207ED0C4"/>
    <w:rsid w:val="207FBDDA"/>
    <w:rsid w:val="20829FBB"/>
    <w:rsid w:val="2083D3D9"/>
    <w:rsid w:val="208593BD"/>
    <w:rsid w:val="20878E94"/>
    <w:rsid w:val="208986C6"/>
    <w:rsid w:val="208E1E8E"/>
    <w:rsid w:val="209816B5"/>
    <w:rsid w:val="20A46D64"/>
    <w:rsid w:val="20A5C0ED"/>
    <w:rsid w:val="20A5CB45"/>
    <w:rsid w:val="20ABAC8D"/>
    <w:rsid w:val="20AEA9AD"/>
    <w:rsid w:val="20B32857"/>
    <w:rsid w:val="20B33475"/>
    <w:rsid w:val="20B3F27D"/>
    <w:rsid w:val="20B57201"/>
    <w:rsid w:val="20B8AE60"/>
    <w:rsid w:val="20BEDAE5"/>
    <w:rsid w:val="20C2C551"/>
    <w:rsid w:val="20CE7BD2"/>
    <w:rsid w:val="20CF7866"/>
    <w:rsid w:val="20D20CC5"/>
    <w:rsid w:val="20D25619"/>
    <w:rsid w:val="20D28F7F"/>
    <w:rsid w:val="20DBB8E3"/>
    <w:rsid w:val="20DD36BF"/>
    <w:rsid w:val="20E15B38"/>
    <w:rsid w:val="20E4D105"/>
    <w:rsid w:val="20E7C023"/>
    <w:rsid w:val="20E94807"/>
    <w:rsid w:val="20F0AE83"/>
    <w:rsid w:val="20F47A9E"/>
    <w:rsid w:val="20F57486"/>
    <w:rsid w:val="20F6AA06"/>
    <w:rsid w:val="20FF5397"/>
    <w:rsid w:val="21021B1A"/>
    <w:rsid w:val="21025955"/>
    <w:rsid w:val="2103A52B"/>
    <w:rsid w:val="21050222"/>
    <w:rsid w:val="210628E5"/>
    <w:rsid w:val="2108EC30"/>
    <w:rsid w:val="210C3120"/>
    <w:rsid w:val="210DA33B"/>
    <w:rsid w:val="210FBF26"/>
    <w:rsid w:val="210FD11B"/>
    <w:rsid w:val="211365C0"/>
    <w:rsid w:val="21189294"/>
    <w:rsid w:val="2118DDF0"/>
    <w:rsid w:val="2120E62E"/>
    <w:rsid w:val="212376D0"/>
    <w:rsid w:val="2123AC53"/>
    <w:rsid w:val="2127B55E"/>
    <w:rsid w:val="213111E7"/>
    <w:rsid w:val="21327A4F"/>
    <w:rsid w:val="2133D48A"/>
    <w:rsid w:val="2135A8E8"/>
    <w:rsid w:val="2135C5B4"/>
    <w:rsid w:val="2135DAE5"/>
    <w:rsid w:val="2138522E"/>
    <w:rsid w:val="2138AC45"/>
    <w:rsid w:val="213F7F86"/>
    <w:rsid w:val="2145C445"/>
    <w:rsid w:val="2147AC6C"/>
    <w:rsid w:val="214C52CF"/>
    <w:rsid w:val="214C5DA5"/>
    <w:rsid w:val="214F6C72"/>
    <w:rsid w:val="2150D66B"/>
    <w:rsid w:val="21582CA3"/>
    <w:rsid w:val="21586376"/>
    <w:rsid w:val="21589FC7"/>
    <w:rsid w:val="2158E6BD"/>
    <w:rsid w:val="2159B893"/>
    <w:rsid w:val="215C120A"/>
    <w:rsid w:val="21674F52"/>
    <w:rsid w:val="216971BC"/>
    <w:rsid w:val="216A21F0"/>
    <w:rsid w:val="216BBD65"/>
    <w:rsid w:val="216BC1EB"/>
    <w:rsid w:val="216F4203"/>
    <w:rsid w:val="2171C447"/>
    <w:rsid w:val="217B5711"/>
    <w:rsid w:val="217EF9CC"/>
    <w:rsid w:val="217FCFDE"/>
    <w:rsid w:val="21825083"/>
    <w:rsid w:val="2193A88F"/>
    <w:rsid w:val="2193DC81"/>
    <w:rsid w:val="219434E0"/>
    <w:rsid w:val="2194A271"/>
    <w:rsid w:val="219881BA"/>
    <w:rsid w:val="21992DE2"/>
    <w:rsid w:val="21A31491"/>
    <w:rsid w:val="21ADDFC3"/>
    <w:rsid w:val="21B2ED2B"/>
    <w:rsid w:val="21B6CA9B"/>
    <w:rsid w:val="21B7D71B"/>
    <w:rsid w:val="21BE4C3D"/>
    <w:rsid w:val="21BF91B7"/>
    <w:rsid w:val="21C3B91D"/>
    <w:rsid w:val="21C62514"/>
    <w:rsid w:val="21C90C94"/>
    <w:rsid w:val="21C9C8C4"/>
    <w:rsid w:val="21CE95AD"/>
    <w:rsid w:val="21D8933A"/>
    <w:rsid w:val="21D935DF"/>
    <w:rsid w:val="21DBA6D1"/>
    <w:rsid w:val="21DDABAC"/>
    <w:rsid w:val="21DE7AFF"/>
    <w:rsid w:val="21E99EE0"/>
    <w:rsid w:val="21EE112C"/>
    <w:rsid w:val="21F5EBDB"/>
    <w:rsid w:val="21F823D7"/>
    <w:rsid w:val="21F8CAFF"/>
    <w:rsid w:val="21FCF50E"/>
    <w:rsid w:val="21FFBE4F"/>
    <w:rsid w:val="2200D607"/>
    <w:rsid w:val="2206E054"/>
    <w:rsid w:val="220A1971"/>
    <w:rsid w:val="220B7B17"/>
    <w:rsid w:val="220F3C06"/>
    <w:rsid w:val="2217D528"/>
    <w:rsid w:val="22181F80"/>
    <w:rsid w:val="221C6B45"/>
    <w:rsid w:val="221CE3E8"/>
    <w:rsid w:val="22232CA1"/>
    <w:rsid w:val="222331B1"/>
    <w:rsid w:val="2225C5EE"/>
    <w:rsid w:val="22279D66"/>
    <w:rsid w:val="222B7F65"/>
    <w:rsid w:val="222E8CF9"/>
    <w:rsid w:val="2230119F"/>
    <w:rsid w:val="22367954"/>
    <w:rsid w:val="223D2327"/>
    <w:rsid w:val="223E56FB"/>
    <w:rsid w:val="2241D7C6"/>
    <w:rsid w:val="22452B94"/>
    <w:rsid w:val="224B7DB0"/>
    <w:rsid w:val="224B9236"/>
    <w:rsid w:val="2250ADF4"/>
    <w:rsid w:val="2254D7DD"/>
    <w:rsid w:val="2256D690"/>
    <w:rsid w:val="22584C2E"/>
    <w:rsid w:val="2258EF11"/>
    <w:rsid w:val="225A5F50"/>
    <w:rsid w:val="225B17C7"/>
    <w:rsid w:val="225D4DD7"/>
    <w:rsid w:val="225EDDF3"/>
    <w:rsid w:val="226243D1"/>
    <w:rsid w:val="2266AD1D"/>
    <w:rsid w:val="22760383"/>
    <w:rsid w:val="227CFBD5"/>
    <w:rsid w:val="227E4D7E"/>
    <w:rsid w:val="227ED8EE"/>
    <w:rsid w:val="22836020"/>
    <w:rsid w:val="22837C56"/>
    <w:rsid w:val="228789DD"/>
    <w:rsid w:val="228A9D14"/>
    <w:rsid w:val="228B8DB3"/>
    <w:rsid w:val="228BCCA0"/>
    <w:rsid w:val="22910CEE"/>
    <w:rsid w:val="22927178"/>
    <w:rsid w:val="22955B79"/>
    <w:rsid w:val="22959F27"/>
    <w:rsid w:val="229CC884"/>
    <w:rsid w:val="229DC018"/>
    <w:rsid w:val="22A4023B"/>
    <w:rsid w:val="22A790C4"/>
    <w:rsid w:val="22ABBD52"/>
    <w:rsid w:val="22AEDB20"/>
    <w:rsid w:val="22B2017B"/>
    <w:rsid w:val="22B2F55B"/>
    <w:rsid w:val="22B3D19C"/>
    <w:rsid w:val="22B8EA8D"/>
    <w:rsid w:val="22BB721D"/>
    <w:rsid w:val="22C0E078"/>
    <w:rsid w:val="22C13659"/>
    <w:rsid w:val="22C84C81"/>
    <w:rsid w:val="22C9974C"/>
    <w:rsid w:val="22C9FD7D"/>
    <w:rsid w:val="22CCBDB0"/>
    <w:rsid w:val="22CE8C60"/>
    <w:rsid w:val="22D171E8"/>
    <w:rsid w:val="22D31793"/>
    <w:rsid w:val="22E005CF"/>
    <w:rsid w:val="22E1D334"/>
    <w:rsid w:val="22E36646"/>
    <w:rsid w:val="22E4F361"/>
    <w:rsid w:val="22EAEE64"/>
    <w:rsid w:val="22EB4760"/>
    <w:rsid w:val="22ECC904"/>
    <w:rsid w:val="22ED5DA1"/>
    <w:rsid w:val="22EEEF2F"/>
    <w:rsid w:val="22F0DD50"/>
    <w:rsid w:val="22F329F3"/>
    <w:rsid w:val="22F4AFFD"/>
    <w:rsid w:val="22F4B23E"/>
    <w:rsid w:val="22F8DC71"/>
    <w:rsid w:val="22F99064"/>
    <w:rsid w:val="22FC1E86"/>
    <w:rsid w:val="22FCEB5F"/>
    <w:rsid w:val="22FE3D41"/>
    <w:rsid w:val="22FFA0D4"/>
    <w:rsid w:val="23016B41"/>
    <w:rsid w:val="2301B7F3"/>
    <w:rsid w:val="23021ECE"/>
    <w:rsid w:val="23027F72"/>
    <w:rsid w:val="23067076"/>
    <w:rsid w:val="2307492A"/>
    <w:rsid w:val="2308F9DA"/>
    <w:rsid w:val="23121F54"/>
    <w:rsid w:val="2312DFC1"/>
    <w:rsid w:val="231492D9"/>
    <w:rsid w:val="23151FBC"/>
    <w:rsid w:val="23167365"/>
    <w:rsid w:val="231AE9B4"/>
    <w:rsid w:val="231CCBA4"/>
    <w:rsid w:val="23211213"/>
    <w:rsid w:val="23216EC6"/>
    <w:rsid w:val="2321D496"/>
    <w:rsid w:val="23230CDF"/>
    <w:rsid w:val="2324A23B"/>
    <w:rsid w:val="2324B756"/>
    <w:rsid w:val="2325F405"/>
    <w:rsid w:val="232994B5"/>
    <w:rsid w:val="232B58F0"/>
    <w:rsid w:val="232B5B22"/>
    <w:rsid w:val="232C7239"/>
    <w:rsid w:val="232FC04E"/>
    <w:rsid w:val="23321EF3"/>
    <w:rsid w:val="233F082B"/>
    <w:rsid w:val="233F7BE6"/>
    <w:rsid w:val="234223C1"/>
    <w:rsid w:val="234767B9"/>
    <w:rsid w:val="234BBF08"/>
    <w:rsid w:val="234F7792"/>
    <w:rsid w:val="23556C99"/>
    <w:rsid w:val="235F0B19"/>
    <w:rsid w:val="2363EEE0"/>
    <w:rsid w:val="23673329"/>
    <w:rsid w:val="23682520"/>
    <w:rsid w:val="2372C1E8"/>
    <w:rsid w:val="2374AEFE"/>
    <w:rsid w:val="2374D008"/>
    <w:rsid w:val="2379F4BA"/>
    <w:rsid w:val="237CC857"/>
    <w:rsid w:val="237E701A"/>
    <w:rsid w:val="237F6B0D"/>
    <w:rsid w:val="23874EB8"/>
    <w:rsid w:val="23899964"/>
    <w:rsid w:val="238BA065"/>
    <w:rsid w:val="238F6F45"/>
    <w:rsid w:val="2390B477"/>
    <w:rsid w:val="23964A2B"/>
    <w:rsid w:val="2399A06F"/>
    <w:rsid w:val="239B8EB0"/>
    <w:rsid w:val="239BB077"/>
    <w:rsid w:val="23A0FAC8"/>
    <w:rsid w:val="23A13ACF"/>
    <w:rsid w:val="23A163D9"/>
    <w:rsid w:val="23A199DE"/>
    <w:rsid w:val="23A4FB23"/>
    <w:rsid w:val="23A5E82F"/>
    <w:rsid w:val="23A619E2"/>
    <w:rsid w:val="23A628DC"/>
    <w:rsid w:val="23A6D34C"/>
    <w:rsid w:val="23A866C5"/>
    <w:rsid w:val="23A97081"/>
    <w:rsid w:val="23AA9C21"/>
    <w:rsid w:val="23B24141"/>
    <w:rsid w:val="23B6C7EA"/>
    <w:rsid w:val="23B6F516"/>
    <w:rsid w:val="23B8B696"/>
    <w:rsid w:val="23BF5D62"/>
    <w:rsid w:val="23C1DBE7"/>
    <w:rsid w:val="23C290F5"/>
    <w:rsid w:val="23C55551"/>
    <w:rsid w:val="23C57C8E"/>
    <w:rsid w:val="23C6A7F2"/>
    <w:rsid w:val="23C7C44D"/>
    <w:rsid w:val="23C89E32"/>
    <w:rsid w:val="23C9B87E"/>
    <w:rsid w:val="23CFC5FA"/>
    <w:rsid w:val="23D77428"/>
    <w:rsid w:val="23D7F034"/>
    <w:rsid w:val="23D8DF74"/>
    <w:rsid w:val="23DB466F"/>
    <w:rsid w:val="23E40AF7"/>
    <w:rsid w:val="23E49195"/>
    <w:rsid w:val="23E495F1"/>
    <w:rsid w:val="23E8708A"/>
    <w:rsid w:val="23E90A70"/>
    <w:rsid w:val="23EAE8FE"/>
    <w:rsid w:val="23EF1D32"/>
    <w:rsid w:val="23F4DFBE"/>
    <w:rsid w:val="23F7562D"/>
    <w:rsid w:val="23F8F2C6"/>
    <w:rsid w:val="23FA77DC"/>
    <w:rsid w:val="23FB8310"/>
    <w:rsid w:val="23FCB1BC"/>
    <w:rsid w:val="23FD6655"/>
    <w:rsid w:val="240050AD"/>
    <w:rsid w:val="24065C43"/>
    <w:rsid w:val="2409CF75"/>
    <w:rsid w:val="240ABB60"/>
    <w:rsid w:val="241333FB"/>
    <w:rsid w:val="2413E38A"/>
    <w:rsid w:val="241601FB"/>
    <w:rsid w:val="2416A439"/>
    <w:rsid w:val="24187132"/>
    <w:rsid w:val="241D114B"/>
    <w:rsid w:val="241D2325"/>
    <w:rsid w:val="241E4492"/>
    <w:rsid w:val="2422A83C"/>
    <w:rsid w:val="242567D0"/>
    <w:rsid w:val="24287101"/>
    <w:rsid w:val="2428C836"/>
    <w:rsid w:val="242A3A81"/>
    <w:rsid w:val="24323178"/>
    <w:rsid w:val="24336E20"/>
    <w:rsid w:val="2437E37E"/>
    <w:rsid w:val="243A1459"/>
    <w:rsid w:val="243A1B2B"/>
    <w:rsid w:val="243AAC01"/>
    <w:rsid w:val="243B26E9"/>
    <w:rsid w:val="243D6B5E"/>
    <w:rsid w:val="243E291E"/>
    <w:rsid w:val="2440A992"/>
    <w:rsid w:val="24421AE7"/>
    <w:rsid w:val="2443385A"/>
    <w:rsid w:val="2444B902"/>
    <w:rsid w:val="244A1BB6"/>
    <w:rsid w:val="244C3A22"/>
    <w:rsid w:val="244C73D6"/>
    <w:rsid w:val="244D7D71"/>
    <w:rsid w:val="24505D30"/>
    <w:rsid w:val="2450CE8B"/>
    <w:rsid w:val="24559175"/>
    <w:rsid w:val="245AF32E"/>
    <w:rsid w:val="246052A9"/>
    <w:rsid w:val="24651E4F"/>
    <w:rsid w:val="24654576"/>
    <w:rsid w:val="24676469"/>
    <w:rsid w:val="24678DA6"/>
    <w:rsid w:val="24681458"/>
    <w:rsid w:val="246AF7D4"/>
    <w:rsid w:val="246BF25A"/>
    <w:rsid w:val="246C8229"/>
    <w:rsid w:val="246ECFEB"/>
    <w:rsid w:val="24722962"/>
    <w:rsid w:val="247713F6"/>
    <w:rsid w:val="2477F0C9"/>
    <w:rsid w:val="2478F38B"/>
    <w:rsid w:val="247C6253"/>
    <w:rsid w:val="247CE323"/>
    <w:rsid w:val="24804275"/>
    <w:rsid w:val="24854786"/>
    <w:rsid w:val="2486D26B"/>
    <w:rsid w:val="24892DCF"/>
    <w:rsid w:val="248C3662"/>
    <w:rsid w:val="248FADF1"/>
    <w:rsid w:val="2490BE7C"/>
    <w:rsid w:val="249352F4"/>
    <w:rsid w:val="24983595"/>
    <w:rsid w:val="24994A40"/>
    <w:rsid w:val="24A04634"/>
    <w:rsid w:val="24A0E48B"/>
    <w:rsid w:val="24A2FB71"/>
    <w:rsid w:val="24A3B917"/>
    <w:rsid w:val="24A4D665"/>
    <w:rsid w:val="24A732AE"/>
    <w:rsid w:val="24AB062E"/>
    <w:rsid w:val="24AD9C86"/>
    <w:rsid w:val="24B143A6"/>
    <w:rsid w:val="24B22501"/>
    <w:rsid w:val="24B3C607"/>
    <w:rsid w:val="24B70BA4"/>
    <w:rsid w:val="24BB2E3D"/>
    <w:rsid w:val="24BB9C4A"/>
    <w:rsid w:val="24BF5E0F"/>
    <w:rsid w:val="24C06CC5"/>
    <w:rsid w:val="24C174C9"/>
    <w:rsid w:val="24C28DBD"/>
    <w:rsid w:val="24C60399"/>
    <w:rsid w:val="24C85AB9"/>
    <w:rsid w:val="24C8CA45"/>
    <w:rsid w:val="24CBF2F7"/>
    <w:rsid w:val="24CC68D4"/>
    <w:rsid w:val="24CD9901"/>
    <w:rsid w:val="24CE3488"/>
    <w:rsid w:val="24CFFC40"/>
    <w:rsid w:val="24D54664"/>
    <w:rsid w:val="24D62653"/>
    <w:rsid w:val="24D8459B"/>
    <w:rsid w:val="24DCCED7"/>
    <w:rsid w:val="24DDB310"/>
    <w:rsid w:val="24E29DCC"/>
    <w:rsid w:val="24E3CB34"/>
    <w:rsid w:val="24E4B036"/>
    <w:rsid w:val="24E5879E"/>
    <w:rsid w:val="24E7299A"/>
    <w:rsid w:val="24E8759E"/>
    <w:rsid w:val="24E92C9B"/>
    <w:rsid w:val="24EE66EA"/>
    <w:rsid w:val="24EFB3C4"/>
    <w:rsid w:val="24EFF277"/>
    <w:rsid w:val="24F3C346"/>
    <w:rsid w:val="24F7366E"/>
    <w:rsid w:val="24FD0EBF"/>
    <w:rsid w:val="2504940D"/>
    <w:rsid w:val="2505864A"/>
    <w:rsid w:val="2509F264"/>
    <w:rsid w:val="250F866A"/>
    <w:rsid w:val="250F8DB8"/>
    <w:rsid w:val="2512C7EB"/>
    <w:rsid w:val="251C47A8"/>
    <w:rsid w:val="251C82A8"/>
    <w:rsid w:val="251E9D17"/>
    <w:rsid w:val="2521B6E1"/>
    <w:rsid w:val="2525A38C"/>
    <w:rsid w:val="2525CB7D"/>
    <w:rsid w:val="2529A49D"/>
    <w:rsid w:val="252B961C"/>
    <w:rsid w:val="252E3EA2"/>
    <w:rsid w:val="25303D69"/>
    <w:rsid w:val="253071DD"/>
    <w:rsid w:val="2533F51F"/>
    <w:rsid w:val="25357DE3"/>
    <w:rsid w:val="2537289F"/>
    <w:rsid w:val="253A96A1"/>
    <w:rsid w:val="253B0429"/>
    <w:rsid w:val="253D0C1D"/>
    <w:rsid w:val="2541EBDF"/>
    <w:rsid w:val="25448C05"/>
    <w:rsid w:val="254793DA"/>
    <w:rsid w:val="254A5377"/>
    <w:rsid w:val="254CF5EA"/>
    <w:rsid w:val="254D0501"/>
    <w:rsid w:val="254EC9D6"/>
    <w:rsid w:val="25509CCB"/>
    <w:rsid w:val="25518B41"/>
    <w:rsid w:val="2553FAFD"/>
    <w:rsid w:val="255A5B7B"/>
    <w:rsid w:val="255F61B3"/>
    <w:rsid w:val="2564091F"/>
    <w:rsid w:val="25668E0E"/>
    <w:rsid w:val="256A7208"/>
    <w:rsid w:val="256FC55C"/>
    <w:rsid w:val="2570AEF8"/>
    <w:rsid w:val="257DD8BE"/>
    <w:rsid w:val="257E3805"/>
    <w:rsid w:val="257FBFBA"/>
    <w:rsid w:val="25851135"/>
    <w:rsid w:val="25882A2E"/>
    <w:rsid w:val="2588BD56"/>
    <w:rsid w:val="258ED2D2"/>
    <w:rsid w:val="259E6403"/>
    <w:rsid w:val="25A3CE35"/>
    <w:rsid w:val="25A65AF7"/>
    <w:rsid w:val="25A801DF"/>
    <w:rsid w:val="25A94BCC"/>
    <w:rsid w:val="25AA8F00"/>
    <w:rsid w:val="25AAF241"/>
    <w:rsid w:val="25B0DEB7"/>
    <w:rsid w:val="25B85E61"/>
    <w:rsid w:val="25B94DA8"/>
    <w:rsid w:val="25BAB1B7"/>
    <w:rsid w:val="25BD2142"/>
    <w:rsid w:val="25C62F78"/>
    <w:rsid w:val="25C92A88"/>
    <w:rsid w:val="25C97470"/>
    <w:rsid w:val="25C9E235"/>
    <w:rsid w:val="25CCDD12"/>
    <w:rsid w:val="25D227CB"/>
    <w:rsid w:val="25D35393"/>
    <w:rsid w:val="25DC1B1D"/>
    <w:rsid w:val="25E416A2"/>
    <w:rsid w:val="25E4EBA2"/>
    <w:rsid w:val="25E6059A"/>
    <w:rsid w:val="25E9F6D0"/>
    <w:rsid w:val="25ED822E"/>
    <w:rsid w:val="25F0933B"/>
    <w:rsid w:val="25F16D58"/>
    <w:rsid w:val="25F2D159"/>
    <w:rsid w:val="25F734CE"/>
    <w:rsid w:val="25FAAC51"/>
    <w:rsid w:val="25FC23F9"/>
    <w:rsid w:val="26004461"/>
    <w:rsid w:val="2600FB7C"/>
    <w:rsid w:val="26011C3A"/>
    <w:rsid w:val="26051ED9"/>
    <w:rsid w:val="2605C772"/>
    <w:rsid w:val="2609C36E"/>
    <w:rsid w:val="260BB67B"/>
    <w:rsid w:val="260D8E40"/>
    <w:rsid w:val="260EB659"/>
    <w:rsid w:val="260F20B8"/>
    <w:rsid w:val="2618FFF0"/>
    <w:rsid w:val="261A660D"/>
    <w:rsid w:val="261B0F21"/>
    <w:rsid w:val="261D9F32"/>
    <w:rsid w:val="261EBCB6"/>
    <w:rsid w:val="261EDB3E"/>
    <w:rsid w:val="26254504"/>
    <w:rsid w:val="26268EA7"/>
    <w:rsid w:val="2628EE84"/>
    <w:rsid w:val="262A6414"/>
    <w:rsid w:val="262E555F"/>
    <w:rsid w:val="26311406"/>
    <w:rsid w:val="26350A53"/>
    <w:rsid w:val="264058BA"/>
    <w:rsid w:val="2640716E"/>
    <w:rsid w:val="2642FC4F"/>
    <w:rsid w:val="26495692"/>
    <w:rsid w:val="2649C9B0"/>
    <w:rsid w:val="264C0885"/>
    <w:rsid w:val="264C6E83"/>
    <w:rsid w:val="264C849F"/>
    <w:rsid w:val="264D1407"/>
    <w:rsid w:val="264F12AE"/>
    <w:rsid w:val="26512F0E"/>
    <w:rsid w:val="26521A0F"/>
    <w:rsid w:val="26525518"/>
    <w:rsid w:val="2655B3D4"/>
    <w:rsid w:val="265636C6"/>
    <w:rsid w:val="265C830C"/>
    <w:rsid w:val="2661A2D7"/>
    <w:rsid w:val="2662FFB2"/>
    <w:rsid w:val="2663A118"/>
    <w:rsid w:val="266ABEA2"/>
    <w:rsid w:val="266ABF13"/>
    <w:rsid w:val="266E171F"/>
    <w:rsid w:val="2676C8CB"/>
    <w:rsid w:val="2677B43F"/>
    <w:rsid w:val="2677BBEE"/>
    <w:rsid w:val="26787403"/>
    <w:rsid w:val="2678A46D"/>
    <w:rsid w:val="268129F0"/>
    <w:rsid w:val="26816839"/>
    <w:rsid w:val="2686CEFA"/>
    <w:rsid w:val="2687CD80"/>
    <w:rsid w:val="2688A2AB"/>
    <w:rsid w:val="268DE2BC"/>
    <w:rsid w:val="269180C4"/>
    <w:rsid w:val="2692D1BF"/>
    <w:rsid w:val="26A083A8"/>
    <w:rsid w:val="26A1705C"/>
    <w:rsid w:val="26A25DA5"/>
    <w:rsid w:val="26A74273"/>
    <w:rsid w:val="26A83A35"/>
    <w:rsid w:val="26AA2C6C"/>
    <w:rsid w:val="26AA38B6"/>
    <w:rsid w:val="26AC99CB"/>
    <w:rsid w:val="26AFF7B5"/>
    <w:rsid w:val="26B1570C"/>
    <w:rsid w:val="26B9F972"/>
    <w:rsid w:val="26BB4DF5"/>
    <w:rsid w:val="26BB674A"/>
    <w:rsid w:val="26BD6721"/>
    <w:rsid w:val="26BFD3AF"/>
    <w:rsid w:val="26C0E873"/>
    <w:rsid w:val="26C3C070"/>
    <w:rsid w:val="26C4AE3F"/>
    <w:rsid w:val="26C80810"/>
    <w:rsid w:val="26C870F4"/>
    <w:rsid w:val="26CC527E"/>
    <w:rsid w:val="26CC95B0"/>
    <w:rsid w:val="26D29C15"/>
    <w:rsid w:val="26D604CE"/>
    <w:rsid w:val="26DCBFA5"/>
    <w:rsid w:val="26DF9998"/>
    <w:rsid w:val="26E3884D"/>
    <w:rsid w:val="26E83283"/>
    <w:rsid w:val="26E9A5C4"/>
    <w:rsid w:val="26E9AC8E"/>
    <w:rsid w:val="26EBA5F6"/>
    <w:rsid w:val="26ECA079"/>
    <w:rsid w:val="26F3DB42"/>
    <w:rsid w:val="26F3DF83"/>
    <w:rsid w:val="26F4C2C3"/>
    <w:rsid w:val="26F632E3"/>
    <w:rsid w:val="26FB2E58"/>
    <w:rsid w:val="26FCD29D"/>
    <w:rsid w:val="26FE5F3C"/>
    <w:rsid w:val="26FEF84A"/>
    <w:rsid w:val="27007340"/>
    <w:rsid w:val="270192AF"/>
    <w:rsid w:val="2702AF5A"/>
    <w:rsid w:val="270FA364"/>
    <w:rsid w:val="27102CAE"/>
    <w:rsid w:val="2710D498"/>
    <w:rsid w:val="2717B359"/>
    <w:rsid w:val="271EDD55"/>
    <w:rsid w:val="27215B00"/>
    <w:rsid w:val="27222CB5"/>
    <w:rsid w:val="27235B51"/>
    <w:rsid w:val="27253744"/>
    <w:rsid w:val="272B27E9"/>
    <w:rsid w:val="2737503D"/>
    <w:rsid w:val="2738AF4C"/>
    <w:rsid w:val="2738C04B"/>
    <w:rsid w:val="273A3D07"/>
    <w:rsid w:val="274309D1"/>
    <w:rsid w:val="2747824E"/>
    <w:rsid w:val="27484E10"/>
    <w:rsid w:val="27489D49"/>
    <w:rsid w:val="274BB29A"/>
    <w:rsid w:val="274C42C0"/>
    <w:rsid w:val="274F863A"/>
    <w:rsid w:val="27511817"/>
    <w:rsid w:val="275206E5"/>
    <w:rsid w:val="2752A25F"/>
    <w:rsid w:val="2763F897"/>
    <w:rsid w:val="276487E7"/>
    <w:rsid w:val="27662FDD"/>
    <w:rsid w:val="276AB851"/>
    <w:rsid w:val="276D7336"/>
    <w:rsid w:val="2774C212"/>
    <w:rsid w:val="2779977E"/>
    <w:rsid w:val="277FF84A"/>
    <w:rsid w:val="2781A773"/>
    <w:rsid w:val="2782FD8F"/>
    <w:rsid w:val="27831016"/>
    <w:rsid w:val="278DEC95"/>
    <w:rsid w:val="279155F6"/>
    <w:rsid w:val="279250F0"/>
    <w:rsid w:val="2792FBAA"/>
    <w:rsid w:val="279548B0"/>
    <w:rsid w:val="279ED3A6"/>
    <w:rsid w:val="27A043A7"/>
    <w:rsid w:val="27A0B5B7"/>
    <w:rsid w:val="27A20B97"/>
    <w:rsid w:val="27A2D8A9"/>
    <w:rsid w:val="27A4B552"/>
    <w:rsid w:val="27A8933B"/>
    <w:rsid w:val="27ADCA08"/>
    <w:rsid w:val="27B3834E"/>
    <w:rsid w:val="27B4FF20"/>
    <w:rsid w:val="27B567BB"/>
    <w:rsid w:val="27B78CD6"/>
    <w:rsid w:val="27BB2C69"/>
    <w:rsid w:val="27C05996"/>
    <w:rsid w:val="27C5375A"/>
    <w:rsid w:val="27C871F4"/>
    <w:rsid w:val="27CA7404"/>
    <w:rsid w:val="27CB0DF3"/>
    <w:rsid w:val="27D2B45B"/>
    <w:rsid w:val="27DC023A"/>
    <w:rsid w:val="27DF4068"/>
    <w:rsid w:val="27E44941"/>
    <w:rsid w:val="27EAF101"/>
    <w:rsid w:val="27ECD849"/>
    <w:rsid w:val="27EF842F"/>
    <w:rsid w:val="27F0559B"/>
    <w:rsid w:val="27F38992"/>
    <w:rsid w:val="27F674A9"/>
    <w:rsid w:val="27FA4B91"/>
    <w:rsid w:val="27FABB49"/>
    <w:rsid w:val="27FB2B7D"/>
    <w:rsid w:val="27FDDA6A"/>
    <w:rsid w:val="27FE4110"/>
    <w:rsid w:val="27FF05FD"/>
    <w:rsid w:val="27FF6FC6"/>
    <w:rsid w:val="2801217B"/>
    <w:rsid w:val="280221BA"/>
    <w:rsid w:val="280546CE"/>
    <w:rsid w:val="280673A5"/>
    <w:rsid w:val="2806EB04"/>
    <w:rsid w:val="2808E69A"/>
    <w:rsid w:val="280B59E9"/>
    <w:rsid w:val="280C647D"/>
    <w:rsid w:val="280DA2AE"/>
    <w:rsid w:val="280F927E"/>
    <w:rsid w:val="280FE5B2"/>
    <w:rsid w:val="2810F847"/>
    <w:rsid w:val="28130141"/>
    <w:rsid w:val="2814B880"/>
    <w:rsid w:val="281563F2"/>
    <w:rsid w:val="28170F13"/>
    <w:rsid w:val="281916FF"/>
    <w:rsid w:val="2819FAF6"/>
    <w:rsid w:val="282118C9"/>
    <w:rsid w:val="2825C0BB"/>
    <w:rsid w:val="2829A881"/>
    <w:rsid w:val="282ACA8E"/>
    <w:rsid w:val="282AE8F0"/>
    <w:rsid w:val="282B5676"/>
    <w:rsid w:val="282C5B96"/>
    <w:rsid w:val="282D17E5"/>
    <w:rsid w:val="2832E068"/>
    <w:rsid w:val="2835BA4D"/>
    <w:rsid w:val="283774E0"/>
    <w:rsid w:val="2839FC0C"/>
    <w:rsid w:val="283BA1F8"/>
    <w:rsid w:val="283CD134"/>
    <w:rsid w:val="283E69F3"/>
    <w:rsid w:val="283F3E28"/>
    <w:rsid w:val="2840F038"/>
    <w:rsid w:val="28415FA2"/>
    <w:rsid w:val="2842F61D"/>
    <w:rsid w:val="28432C9A"/>
    <w:rsid w:val="284C6F46"/>
    <w:rsid w:val="284D1279"/>
    <w:rsid w:val="284D8781"/>
    <w:rsid w:val="2854E196"/>
    <w:rsid w:val="2855E89C"/>
    <w:rsid w:val="285ACAE2"/>
    <w:rsid w:val="285B1E4C"/>
    <w:rsid w:val="285B8692"/>
    <w:rsid w:val="285B8A0E"/>
    <w:rsid w:val="285C81A0"/>
    <w:rsid w:val="285D47BF"/>
    <w:rsid w:val="2865C055"/>
    <w:rsid w:val="286664AC"/>
    <w:rsid w:val="286A45FE"/>
    <w:rsid w:val="286AC664"/>
    <w:rsid w:val="286CACFB"/>
    <w:rsid w:val="286DAEB8"/>
    <w:rsid w:val="2870979F"/>
    <w:rsid w:val="28739D9C"/>
    <w:rsid w:val="28771061"/>
    <w:rsid w:val="287961AB"/>
    <w:rsid w:val="287A4071"/>
    <w:rsid w:val="287B401B"/>
    <w:rsid w:val="287BBEA0"/>
    <w:rsid w:val="287EB7B1"/>
    <w:rsid w:val="28847BB0"/>
    <w:rsid w:val="288563A2"/>
    <w:rsid w:val="288BF9CE"/>
    <w:rsid w:val="288E2658"/>
    <w:rsid w:val="288E694C"/>
    <w:rsid w:val="28900C41"/>
    <w:rsid w:val="289629AC"/>
    <w:rsid w:val="289ACB1C"/>
    <w:rsid w:val="289B2035"/>
    <w:rsid w:val="289D0F43"/>
    <w:rsid w:val="289DE1A4"/>
    <w:rsid w:val="289F3992"/>
    <w:rsid w:val="289F9382"/>
    <w:rsid w:val="28A317A0"/>
    <w:rsid w:val="28A52B04"/>
    <w:rsid w:val="28A709D5"/>
    <w:rsid w:val="28B54DA9"/>
    <w:rsid w:val="28B7785F"/>
    <w:rsid w:val="28B975D2"/>
    <w:rsid w:val="28BB349E"/>
    <w:rsid w:val="28BBC71E"/>
    <w:rsid w:val="28BCE46F"/>
    <w:rsid w:val="28BF1BC4"/>
    <w:rsid w:val="28C26517"/>
    <w:rsid w:val="28C7EAAA"/>
    <w:rsid w:val="28CF589B"/>
    <w:rsid w:val="28D19EAC"/>
    <w:rsid w:val="28D60233"/>
    <w:rsid w:val="28D73104"/>
    <w:rsid w:val="28D7A81E"/>
    <w:rsid w:val="28D8AF4A"/>
    <w:rsid w:val="28DE0DD6"/>
    <w:rsid w:val="28E465A4"/>
    <w:rsid w:val="28E7E4E2"/>
    <w:rsid w:val="28E8056F"/>
    <w:rsid w:val="28F06099"/>
    <w:rsid w:val="28F10E31"/>
    <w:rsid w:val="28F1AD72"/>
    <w:rsid w:val="28F44B64"/>
    <w:rsid w:val="28F5A890"/>
    <w:rsid w:val="28F87174"/>
    <w:rsid w:val="28FB5B99"/>
    <w:rsid w:val="28FD8280"/>
    <w:rsid w:val="29038581"/>
    <w:rsid w:val="29041433"/>
    <w:rsid w:val="2905E11B"/>
    <w:rsid w:val="2905E72F"/>
    <w:rsid w:val="2906AF1A"/>
    <w:rsid w:val="2908BF28"/>
    <w:rsid w:val="29090593"/>
    <w:rsid w:val="290A424B"/>
    <w:rsid w:val="290DAF17"/>
    <w:rsid w:val="29129769"/>
    <w:rsid w:val="2913625B"/>
    <w:rsid w:val="2915FFED"/>
    <w:rsid w:val="291651F9"/>
    <w:rsid w:val="2917082F"/>
    <w:rsid w:val="2917D4D0"/>
    <w:rsid w:val="2918837F"/>
    <w:rsid w:val="29193BBB"/>
    <w:rsid w:val="291A64BB"/>
    <w:rsid w:val="291B1C44"/>
    <w:rsid w:val="291F36D4"/>
    <w:rsid w:val="2920B75B"/>
    <w:rsid w:val="2924B53A"/>
    <w:rsid w:val="2929956D"/>
    <w:rsid w:val="292BD9DA"/>
    <w:rsid w:val="292EC172"/>
    <w:rsid w:val="292FBF51"/>
    <w:rsid w:val="2930DB4A"/>
    <w:rsid w:val="2932C81F"/>
    <w:rsid w:val="29336815"/>
    <w:rsid w:val="2936E07C"/>
    <w:rsid w:val="2938D5C5"/>
    <w:rsid w:val="293A68ED"/>
    <w:rsid w:val="293C143A"/>
    <w:rsid w:val="293D584B"/>
    <w:rsid w:val="29411648"/>
    <w:rsid w:val="29439AA9"/>
    <w:rsid w:val="2944F953"/>
    <w:rsid w:val="2944FAF9"/>
    <w:rsid w:val="294A41B9"/>
    <w:rsid w:val="295309BB"/>
    <w:rsid w:val="29540DD1"/>
    <w:rsid w:val="295498DC"/>
    <w:rsid w:val="2956EF9C"/>
    <w:rsid w:val="29578C17"/>
    <w:rsid w:val="2959D23F"/>
    <w:rsid w:val="295B2C13"/>
    <w:rsid w:val="295B86E7"/>
    <w:rsid w:val="295D88A9"/>
    <w:rsid w:val="296359F0"/>
    <w:rsid w:val="2963D661"/>
    <w:rsid w:val="296412E6"/>
    <w:rsid w:val="29651C39"/>
    <w:rsid w:val="296A04F5"/>
    <w:rsid w:val="296BEE3D"/>
    <w:rsid w:val="296D15C6"/>
    <w:rsid w:val="296F98E8"/>
    <w:rsid w:val="297095E3"/>
    <w:rsid w:val="2971E3F1"/>
    <w:rsid w:val="2974DDB3"/>
    <w:rsid w:val="29796D05"/>
    <w:rsid w:val="2979DDE2"/>
    <w:rsid w:val="297B1752"/>
    <w:rsid w:val="297F4DD0"/>
    <w:rsid w:val="297F52BB"/>
    <w:rsid w:val="2980A42B"/>
    <w:rsid w:val="2984904C"/>
    <w:rsid w:val="298B9C74"/>
    <w:rsid w:val="298E703E"/>
    <w:rsid w:val="299282C1"/>
    <w:rsid w:val="2998CB03"/>
    <w:rsid w:val="299A0007"/>
    <w:rsid w:val="29A27C24"/>
    <w:rsid w:val="29A6ABB2"/>
    <w:rsid w:val="29A6B23E"/>
    <w:rsid w:val="29AC32C6"/>
    <w:rsid w:val="29AEA4DE"/>
    <w:rsid w:val="29AF65DA"/>
    <w:rsid w:val="29B06C01"/>
    <w:rsid w:val="29B27008"/>
    <w:rsid w:val="29B29F76"/>
    <w:rsid w:val="29B61BBD"/>
    <w:rsid w:val="29BBCB55"/>
    <w:rsid w:val="29BC8287"/>
    <w:rsid w:val="29BEE3C7"/>
    <w:rsid w:val="29C18E5E"/>
    <w:rsid w:val="29CB0FE1"/>
    <w:rsid w:val="29CD7049"/>
    <w:rsid w:val="29D223C8"/>
    <w:rsid w:val="29D34BA2"/>
    <w:rsid w:val="29D6BA0D"/>
    <w:rsid w:val="29DC115A"/>
    <w:rsid w:val="29E04A87"/>
    <w:rsid w:val="29E4A812"/>
    <w:rsid w:val="29E681D9"/>
    <w:rsid w:val="29E74F78"/>
    <w:rsid w:val="29E7E114"/>
    <w:rsid w:val="29E92943"/>
    <w:rsid w:val="29EB7022"/>
    <w:rsid w:val="29EF3916"/>
    <w:rsid w:val="29EFF45F"/>
    <w:rsid w:val="29F10C3F"/>
    <w:rsid w:val="29F2A707"/>
    <w:rsid w:val="29F374AF"/>
    <w:rsid w:val="29F70746"/>
    <w:rsid w:val="29FA1116"/>
    <w:rsid w:val="29FC6294"/>
    <w:rsid w:val="29FEEE12"/>
    <w:rsid w:val="2A00E6A8"/>
    <w:rsid w:val="2A03C7BC"/>
    <w:rsid w:val="2A05A34C"/>
    <w:rsid w:val="2A08DFDF"/>
    <w:rsid w:val="2A08EC6D"/>
    <w:rsid w:val="2A097363"/>
    <w:rsid w:val="2A0F0255"/>
    <w:rsid w:val="2A1426B7"/>
    <w:rsid w:val="2A149B70"/>
    <w:rsid w:val="2A184144"/>
    <w:rsid w:val="2A185F5C"/>
    <w:rsid w:val="2A188213"/>
    <w:rsid w:val="2A1A874B"/>
    <w:rsid w:val="2A1B8760"/>
    <w:rsid w:val="2A1C2E60"/>
    <w:rsid w:val="2A1D5CD3"/>
    <w:rsid w:val="2A1DE4EF"/>
    <w:rsid w:val="2A21422A"/>
    <w:rsid w:val="2A21CAC2"/>
    <w:rsid w:val="2A21F775"/>
    <w:rsid w:val="2A232A80"/>
    <w:rsid w:val="2A2809FB"/>
    <w:rsid w:val="2A2E1D98"/>
    <w:rsid w:val="2A30DF01"/>
    <w:rsid w:val="2A3215A3"/>
    <w:rsid w:val="2A340EFE"/>
    <w:rsid w:val="2A34E066"/>
    <w:rsid w:val="2A356FD6"/>
    <w:rsid w:val="2A37BDC8"/>
    <w:rsid w:val="2A37CE8A"/>
    <w:rsid w:val="2A3A0AA0"/>
    <w:rsid w:val="2A3A79CB"/>
    <w:rsid w:val="2A3B280C"/>
    <w:rsid w:val="2A3C20EC"/>
    <w:rsid w:val="2A3DF16A"/>
    <w:rsid w:val="2A3F6C8D"/>
    <w:rsid w:val="2A43445D"/>
    <w:rsid w:val="2A438F3E"/>
    <w:rsid w:val="2A43EC94"/>
    <w:rsid w:val="2A45E24B"/>
    <w:rsid w:val="2A48819F"/>
    <w:rsid w:val="2A48ABEB"/>
    <w:rsid w:val="2A4E9D83"/>
    <w:rsid w:val="2A4EEC1E"/>
    <w:rsid w:val="2A532144"/>
    <w:rsid w:val="2A604146"/>
    <w:rsid w:val="2A60B3A7"/>
    <w:rsid w:val="2A636399"/>
    <w:rsid w:val="2A64F4A4"/>
    <w:rsid w:val="2A67D640"/>
    <w:rsid w:val="2A6967CC"/>
    <w:rsid w:val="2A6B462B"/>
    <w:rsid w:val="2A6C5A26"/>
    <w:rsid w:val="2A6FE753"/>
    <w:rsid w:val="2A7A7A1D"/>
    <w:rsid w:val="2A7AA7A9"/>
    <w:rsid w:val="2A7B6DC6"/>
    <w:rsid w:val="2A7BB128"/>
    <w:rsid w:val="2A7DDEBD"/>
    <w:rsid w:val="2A7F330D"/>
    <w:rsid w:val="2A8233E1"/>
    <w:rsid w:val="2A828845"/>
    <w:rsid w:val="2A85459F"/>
    <w:rsid w:val="2A87C251"/>
    <w:rsid w:val="2A87CE26"/>
    <w:rsid w:val="2A89B7A6"/>
    <w:rsid w:val="2A8B6311"/>
    <w:rsid w:val="2A8F35F7"/>
    <w:rsid w:val="2A963CFA"/>
    <w:rsid w:val="2A96D963"/>
    <w:rsid w:val="2A996827"/>
    <w:rsid w:val="2A9C07B9"/>
    <w:rsid w:val="2A9E8F6A"/>
    <w:rsid w:val="2AA11B25"/>
    <w:rsid w:val="2AA7E905"/>
    <w:rsid w:val="2AAAC3FB"/>
    <w:rsid w:val="2AABB6A9"/>
    <w:rsid w:val="2AACDB1A"/>
    <w:rsid w:val="2AAE239D"/>
    <w:rsid w:val="2AB26DE0"/>
    <w:rsid w:val="2AB2CFA7"/>
    <w:rsid w:val="2AB55881"/>
    <w:rsid w:val="2AB6B4C4"/>
    <w:rsid w:val="2AB75C4D"/>
    <w:rsid w:val="2ABA508A"/>
    <w:rsid w:val="2ABBEF7B"/>
    <w:rsid w:val="2ABDE495"/>
    <w:rsid w:val="2ABEF491"/>
    <w:rsid w:val="2AC1355F"/>
    <w:rsid w:val="2AC20BFF"/>
    <w:rsid w:val="2AC495E9"/>
    <w:rsid w:val="2AC59E5E"/>
    <w:rsid w:val="2AC5AF68"/>
    <w:rsid w:val="2AC94FEB"/>
    <w:rsid w:val="2ACF6EE9"/>
    <w:rsid w:val="2AD095A8"/>
    <w:rsid w:val="2AD397F8"/>
    <w:rsid w:val="2ADA4E15"/>
    <w:rsid w:val="2ADF59D2"/>
    <w:rsid w:val="2AE20C41"/>
    <w:rsid w:val="2AE26DEA"/>
    <w:rsid w:val="2AE278DC"/>
    <w:rsid w:val="2AE7814F"/>
    <w:rsid w:val="2AE945B0"/>
    <w:rsid w:val="2AEA0D55"/>
    <w:rsid w:val="2AEA3476"/>
    <w:rsid w:val="2AEBB590"/>
    <w:rsid w:val="2AEF42E7"/>
    <w:rsid w:val="2AF3A914"/>
    <w:rsid w:val="2B00EE48"/>
    <w:rsid w:val="2B089496"/>
    <w:rsid w:val="2B0A01E5"/>
    <w:rsid w:val="2B0FE095"/>
    <w:rsid w:val="2B10D9CB"/>
    <w:rsid w:val="2B12B063"/>
    <w:rsid w:val="2B1AECB0"/>
    <w:rsid w:val="2B1DFBCF"/>
    <w:rsid w:val="2B2058B8"/>
    <w:rsid w:val="2B24545A"/>
    <w:rsid w:val="2B27BA27"/>
    <w:rsid w:val="2B2805B1"/>
    <w:rsid w:val="2B29F755"/>
    <w:rsid w:val="2B345A31"/>
    <w:rsid w:val="2B35F3DB"/>
    <w:rsid w:val="2B3A893A"/>
    <w:rsid w:val="2B3CA1D0"/>
    <w:rsid w:val="2B3D9D54"/>
    <w:rsid w:val="2B3FE1DF"/>
    <w:rsid w:val="2B42A75D"/>
    <w:rsid w:val="2B480D18"/>
    <w:rsid w:val="2B4D1C6A"/>
    <w:rsid w:val="2B502CF1"/>
    <w:rsid w:val="2B50A1A3"/>
    <w:rsid w:val="2B54AC0F"/>
    <w:rsid w:val="2B5587FB"/>
    <w:rsid w:val="2B57635E"/>
    <w:rsid w:val="2B5AA3B2"/>
    <w:rsid w:val="2B5E01DD"/>
    <w:rsid w:val="2B5EF7C8"/>
    <w:rsid w:val="2B5F5E64"/>
    <w:rsid w:val="2B61029D"/>
    <w:rsid w:val="2B65E50A"/>
    <w:rsid w:val="2B66A892"/>
    <w:rsid w:val="2B67994B"/>
    <w:rsid w:val="2B6A25B9"/>
    <w:rsid w:val="2B6D4DD6"/>
    <w:rsid w:val="2B6D50A1"/>
    <w:rsid w:val="2B7C4952"/>
    <w:rsid w:val="2B7DB0D3"/>
    <w:rsid w:val="2B82028D"/>
    <w:rsid w:val="2B820FA5"/>
    <w:rsid w:val="2B8A6966"/>
    <w:rsid w:val="2B8AA8BC"/>
    <w:rsid w:val="2B8B39EF"/>
    <w:rsid w:val="2B8B909A"/>
    <w:rsid w:val="2B8D2E03"/>
    <w:rsid w:val="2B8E9776"/>
    <w:rsid w:val="2B8FF617"/>
    <w:rsid w:val="2B915CAC"/>
    <w:rsid w:val="2B938F42"/>
    <w:rsid w:val="2B9F501E"/>
    <w:rsid w:val="2B9F8712"/>
    <w:rsid w:val="2BA23E3F"/>
    <w:rsid w:val="2BA94821"/>
    <w:rsid w:val="2BB0AAF1"/>
    <w:rsid w:val="2BB0D57C"/>
    <w:rsid w:val="2BB0D939"/>
    <w:rsid w:val="2BCCFC31"/>
    <w:rsid w:val="2BCD9FB5"/>
    <w:rsid w:val="2BD18C6E"/>
    <w:rsid w:val="2BD22813"/>
    <w:rsid w:val="2BD25654"/>
    <w:rsid w:val="2BD39912"/>
    <w:rsid w:val="2BD92DBD"/>
    <w:rsid w:val="2BD94884"/>
    <w:rsid w:val="2BD9897C"/>
    <w:rsid w:val="2BDBB235"/>
    <w:rsid w:val="2BDCF013"/>
    <w:rsid w:val="2BDF88AF"/>
    <w:rsid w:val="2BDFED41"/>
    <w:rsid w:val="2BE7C8EE"/>
    <w:rsid w:val="2BEA2313"/>
    <w:rsid w:val="2BEAB26B"/>
    <w:rsid w:val="2BEF11FB"/>
    <w:rsid w:val="2BEF5FD3"/>
    <w:rsid w:val="2BF21457"/>
    <w:rsid w:val="2BF26980"/>
    <w:rsid w:val="2BF2F47E"/>
    <w:rsid w:val="2BF50D95"/>
    <w:rsid w:val="2BF6577C"/>
    <w:rsid w:val="2BFD66D2"/>
    <w:rsid w:val="2C0266E9"/>
    <w:rsid w:val="2C063A50"/>
    <w:rsid w:val="2C087C2D"/>
    <w:rsid w:val="2C09192B"/>
    <w:rsid w:val="2C0CD6B8"/>
    <w:rsid w:val="2C1272E3"/>
    <w:rsid w:val="2C1676D4"/>
    <w:rsid w:val="2C17A52D"/>
    <w:rsid w:val="2C1C00DE"/>
    <w:rsid w:val="2C1EF9B3"/>
    <w:rsid w:val="2C2A3B70"/>
    <w:rsid w:val="2C2D3926"/>
    <w:rsid w:val="2C2DB2DD"/>
    <w:rsid w:val="2C302C74"/>
    <w:rsid w:val="2C31605A"/>
    <w:rsid w:val="2C31E6C1"/>
    <w:rsid w:val="2C37F045"/>
    <w:rsid w:val="2C3CE128"/>
    <w:rsid w:val="2C3ED473"/>
    <w:rsid w:val="2C40115D"/>
    <w:rsid w:val="2C42A45D"/>
    <w:rsid w:val="2C482268"/>
    <w:rsid w:val="2C482DFA"/>
    <w:rsid w:val="2C4BEA4C"/>
    <w:rsid w:val="2C54B17A"/>
    <w:rsid w:val="2C57A126"/>
    <w:rsid w:val="2C57B82D"/>
    <w:rsid w:val="2C6EF1BA"/>
    <w:rsid w:val="2C706D1C"/>
    <w:rsid w:val="2C75AD98"/>
    <w:rsid w:val="2C77AE0A"/>
    <w:rsid w:val="2C7E0A7A"/>
    <w:rsid w:val="2C85E82F"/>
    <w:rsid w:val="2C863796"/>
    <w:rsid w:val="2C875436"/>
    <w:rsid w:val="2C87D8C5"/>
    <w:rsid w:val="2C88A860"/>
    <w:rsid w:val="2C8A1DD1"/>
    <w:rsid w:val="2C8BE801"/>
    <w:rsid w:val="2C8E093F"/>
    <w:rsid w:val="2C8EC091"/>
    <w:rsid w:val="2C8F0A8C"/>
    <w:rsid w:val="2C921AFE"/>
    <w:rsid w:val="2C98B067"/>
    <w:rsid w:val="2C98F59A"/>
    <w:rsid w:val="2CA0B621"/>
    <w:rsid w:val="2CA42A39"/>
    <w:rsid w:val="2CA5C3C2"/>
    <w:rsid w:val="2CA7C47A"/>
    <w:rsid w:val="2CADA17F"/>
    <w:rsid w:val="2CADCC17"/>
    <w:rsid w:val="2CB177D2"/>
    <w:rsid w:val="2CB18081"/>
    <w:rsid w:val="2CB35D1E"/>
    <w:rsid w:val="2CB36924"/>
    <w:rsid w:val="2CB4D730"/>
    <w:rsid w:val="2CB4FAE9"/>
    <w:rsid w:val="2CB712F2"/>
    <w:rsid w:val="2CBB7347"/>
    <w:rsid w:val="2CC26F8B"/>
    <w:rsid w:val="2CC56E5B"/>
    <w:rsid w:val="2CC9F0C0"/>
    <w:rsid w:val="2CCE332D"/>
    <w:rsid w:val="2CD04234"/>
    <w:rsid w:val="2CD38D84"/>
    <w:rsid w:val="2CDC6D55"/>
    <w:rsid w:val="2CE00071"/>
    <w:rsid w:val="2CE06B92"/>
    <w:rsid w:val="2CEAE738"/>
    <w:rsid w:val="2CEBF208"/>
    <w:rsid w:val="2CECB1E5"/>
    <w:rsid w:val="2CEE73D7"/>
    <w:rsid w:val="2CF1D79B"/>
    <w:rsid w:val="2CF21E8B"/>
    <w:rsid w:val="2CF4242B"/>
    <w:rsid w:val="2CF5701E"/>
    <w:rsid w:val="2CF5C132"/>
    <w:rsid w:val="2CF8E437"/>
    <w:rsid w:val="2CF9AB79"/>
    <w:rsid w:val="2CFBBAD8"/>
    <w:rsid w:val="2CFC93B7"/>
    <w:rsid w:val="2D01AAAD"/>
    <w:rsid w:val="2D02B3AA"/>
    <w:rsid w:val="2D0D400B"/>
    <w:rsid w:val="2D0D4383"/>
    <w:rsid w:val="2D0D6ADA"/>
    <w:rsid w:val="2D0EABF4"/>
    <w:rsid w:val="2D112ECC"/>
    <w:rsid w:val="2D12053B"/>
    <w:rsid w:val="2D2151FE"/>
    <w:rsid w:val="2D251C94"/>
    <w:rsid w:val="2D2AC3ED"/>
    <w:rsid w:val="2D2DC901"/>
    <w:rsid w:val="2D32FB90"/>
    <w:rsid w:val="2D33C7ED"/>
    <w:rsid w:val="2D34F819"/>
    <w:rsid w:val="2D369A1F"/>
    <w:rsid w:val="2D38C6F1"/>
    <w:rsid w:val="2D3D0C6C"/>
    <w:rsid w:val="2D3D3411"/>
    <w:rsid w:val="2D3F4056"/>
    <w:rsid w:val="2D40F20A"/>
    <w:rsid w:val="2D432E5A"/>
    <w:rsid w:val="2D447652"/>
    <w:rsid w:val="2D477030"/>
    <w:rsid w:val="2D4E5570"/>
    <w:rsid w:val="2D525C81"/>
    <w:rsid w:val="2D570DD7"/>
    <w:rsid w:val="2D5B6687"/>
    <w:rsid w:val="2D5D4547"/>
    <w:rsid w:val="2D6171C7"/>
    <w:rsid w:val="2D671A82"/>
    <w:rsid w:val="2D69BFBC"/>
    <w:rsid w:val="2D6AD2C5"/>
    <w:rsid w:val="2D6B0E22"/>
    <w:rsid w:val="2D6B2A3B"/>
    <w:rsid w:val="2D6D5CCF"/>
    <w:rsid w:val="2D6F3ACF"/>
    <w:rsid w:val="2D724106"/>
    <w:rsid w:val="2D7393C9"/>
    <w:rsid w:val="2D775057"/>
    <w:rsid w:val="2D77E853"/>
    <w:rsid w:val="2D7A777A"/>
    <w:rsid w:val="2D7CDE99"/>
    <w:rsid w:val="2D83F3C8"/>
    <w:rsid w:val="2D8852E6"/>
    <w:rsid w:val="2D8E47BF"/>
    <w:rsid w:val="2D92E2CA"/>
    <w:rsid w:val="2D9439B6"/>
    <w:rsid w:val="2D943A9D"/>
    <w:rsid w:val="2D94DE35"/>
    <w:rsid w:val="2D956B6E"/>
    <w:rsid w:val="2D95AE4C"/>
    <w:rsid w:val="2D9A75A4"/>
    <w:rsid w:val="2D9EEE33"/>
    <w:rsid w:val="2DA11BDC"/>
    <w:rsid w:val="2DA13270"/>
    <w:rsid w:val="2DA2D3B6"/>
    <w:rsid w:val="2DA7F6C5"/>
    <w:rsid w:val="2DAB5534"/>
    <w:rsid w:val="2DAF8031"/>
    <w:rsid w:val="2DB12761"/>
    <w:rsid w:val="2DB6C1DC"/>
    <w:rsid w:val="2DBFFDF7"/>
    <w:rsid w:val="2DC1E2BA"/>
    <w:rsid w:val="2DC242A8"/>
    <w:rsid w:val="2DC25EB5"/>
    <w:rsid w:val="2DC2A2C1"/>
    <w:rsid w:val="2DC2A521"/>
    <w:rsid w:val="2DC5DF2A"/>
    <w:rsid w:val="2DC88EBC"/>
    <w:rsid w:val="2DC9370F"/>
    <w:rsid w:val="2DCA89D0"/>
    <w:rsid w:val="2DCAF369"/>
    <w:rsid w:val="2DCB71E0"/>
    <w:rsid w:val="2DCCCEE9"/>
    <w:rsid w:val="2DCE2501"/>
    <w:rsid w:val="2DD235DB"/>
    <w:rsid w:val="2DD2C269"/>
    <w:rsid w:val="2DD2D715"/>
    <w:rsid w:val="2DD30DD9"/>
    <w:rsid w:val="2DDAFF03"/>
    <w:rsid w:val="2DDB4874"/>
    <w:rsid w:val="2DDBFE35"/>
    <w:rsid w:val="2DDE8FDC"/>
    <w:rsid w:val="2DE17173"/>
    <w:rsid w:val="2DE66673"/>
    <w:rsid w:val="2DE78FA1"/>
    <w:rsid w:val="2DE8F9B8"/>
    <w:rsid w:val="2DE92415"/>
    <w:rsid w:val="2DEA4D8E"/>
    <w:rsid w:val="2DEA5689"/>
    <w:rsid w:val="2DEFA94A"/>
    <w:rsid w:val="2DF2E48C"/>
    <w:rsid w:val="2DF53A2B"/>
    <w:rsid w:val="2DFC6931"/>
    <w:rsid w:val="2DFE0D57"/>
    <w:rsid w:val="2E004D8A"/>
    <w:rsid w:val="2E00CE82"/>
    <w:rsid w:val="2E01E446"/>
    <w:rsid w:val="2E060B1E"/>
    <w:rsid w:val="2E062518"/>
    <w:rsid w:val="2E07541F"/>
    <w:rsid w:val="2E094FBB"/>
    <w:rsid w:val="2E0E292B"/>
    <w:rsid w:val="2E0EA24D"/>
    <w:rsid w:val="2E114DE6"/>
    <w:rsid w:val="2E16DF6D"/>
    <w:rsid w:val="2E18A312"/>
    <w:rsid w:val="2E1C60AD"/>
    <w:rsid w:val="2E1F2DA5"/>
    <w:rsid w:val="2E28A1FB"/>
    <w:rsid w:val="2E2E748F"/>
    <w:rsid w:val="2E2ED2E6"/>
    <w:rsid w:val="2E321D82"/>
    <w:rsid w:val="2E335C9C"/>
    <w:rsid w:val="2E3C8309"/>
    <w:rsid w:val="2E42A505"/>
    <w:rsid w:val="2E43617A"/>
    <w:rsid w:val="2E4754ED"/>
    <w:rsid w:val="2E4A2093"/>
    <w:rsid w:val="2E4AB9DD"/>
    <w:rsid w:val="2E56F4CA"/>
    <w:rsid w:val="2E57F050"/>
    <w:rsid w:val="2E59DB31"/>
    <w:rsid w:val="2E5B2E9C"/>
    <w:rsid w:val="2E5C1371"/>
    <w:rsid w:val="2E5ECAEA"/>
    <w:rsid w:val="2E62C9C3"/>
    <w:rsid w:val="2E63E957"/>
    <w:rsid w:val="2E6A3919"/>
    <w:rsid w:val="2E6CD060"/>
    <w:rsid w:val="2E6E01CE"/>
    <w:rsid w:val="2E75D8B3"/>
    <w:rsid w:val="2E7C80ED"/>
    <w:rsid w:val="2E7D5FC8"/>
    <w:rsid w:val="2E812D54"/>
    <w:rsid w:val="2E84AA24"/>
    <w:rsid w:val="2E85D7DA"/>
    <w:rsid w:val="2E87D9DE"/>
    <w:rsid w:val="2E89F6CD"/>
    <w:rsid w:val="2E8A2BCB"/>
    <w:rsid w:val="2E8A3A94"/>
    <w:rsid w:val="2E8AED3C"/>
    <w:rsid w:val="2E8C9C7A"/>
    <w:rsid w:val="2E8DE47B"/>
    <w:rsid w:val="2E8E21D6"/>
    <w:rsid w:val="2E9741A6"/>
    <w:rsid w:val="2EA1D02F"/>
    <w:rsid w:val="2EA52718"/>
    <w:rsid w:val="2EA75FCC"/>
    <w:rsid w:val="2EA985FC"/>
    <w:rsid w:val="2EAFFA8C"/>
    <w:rsid w:val="2EB631B0"/>
    <w:rsid w:val="2EB881F4"/>
    <w:rsid w:val="2EB89DDD"/>
    <w:rsid w:val="2EBF822E"/>
    <w:rsid w:val="2EC3B5F6"/>
    <w:rsid w:val="2ECA3BF0"/>
    <w:rsid w:val="2ECAEE27"/>
    <w:rsid w:val="2ECC8595"/>
    <w:rsid w:val="2ECF103F"/>
    <w:rsid w:val="2ED2C292"/>
    <w:rsid w:val="2ED6AB12"/>
    <w:rsid w:val="2EE3336F"/>
    <w:rsid w:val="2EE3BEBD"/>
    <w:rsid w:val="2EE5825C"/>
    <w:rsid w:val="2EE5AFC4"/>
    <w:rsid w:val="2EE78540"/>
    <w:rsid w:val="2EE81B4F"/>
    <w:rsid w:val="2EEA664B"/>
    <w:rsid w:val="2EEB7BE9"/>
    <w:rsid w:val="2EEBF31D"/>
    <w:rsid w:val="2EECCBD6"/>
    <w:rsid w:val="2EF4610B"/>
    <w:rsid w:val="2EF59092"/>
    <w:rsid w:val="2EFDB640"/>
    <w:rsid w:val="2EFFF2E5"/>
    <w:rsid w:val="2F023264"/>
    <w:rsid w:val="2F03664B"/>
    <w:rsid w:val="2F03A9B0"/>
    <w:rsid w:val="2F095935"/>
    <w:rsid w:val="2F095FA6"/>
    <w:rsid w:val="2F0A8440"/>
    <w:rsid w:val="2F12B429"/>
    <w:rsid w:val="2F176EAE"/>
    <w:rsid w:val="2F1EE10C"/>
    <w:rsid w:val="2F201E65"/>
    <w:rsid w:val="2F20F22E"/>
    <w:rsid w:val="2F2A29A0"/>
    <w:rsid w:val="2F2B069D"/>
    <w:rsid w:val="2F2B6C9B"/>
    <w:rsid w:val="2F2FB0B2"/>
    <w:rsid w:val="2F364787"/>
    <w:rsid w:val="2F385BCE"/>
    <w:rsid w:val="2F3D6725"/>
    <w:rsid w:val="2F43E939"/>
    <w:rsid w:val="2F46320B"/>
    <w:rsid w:val="2F4B9531"/>
    <w:rsid w:val="2F528E3E"/>
    <w:rsid w:val="2F540E52"/>
    <w:rsid w:val="2F5455D1"/>
    <w:rsid w:val="2F54B45B"/>
    <w:rsid w:val="2F571367"/>
    <w:rsid w:val="2F58C02D"/>
    <w:rsid w:val="2F5A64F7"/>
    <w:rsid w:val="2F5C8084"/>
    <w:rsid w:val="2F606CFB"/>
    <w:rsid w:val="2F60A08D"/>
    <w:rsid w:val="2F613919"/>
    <w:rsid w:val="2F6340FB"/>
    <w:rsid w:val="2F63454F"/>
    <w:rsid w:val="2F63F440"/>
    <w:rsid w:val="2F658FFE"/>
    <w:rsid w:val="2F65BF4E"/>
    <w:rsid w:val="2F683CDB"/>
    <w:rsid w:val="2F6A7551"/>
    <w:rsid w:val="2F6E0962"/>
    <w:rsid w:val="2F79A25A"/>
    <w:rsid w:val="2F7A61F5"/>
    <w:rsid w:val="2F7D54EA"/>
    <w:rsid w:val="2F7EA301"/>
    <w:rsid w:val="2F7EA52A"/>
    <w:rsid w:val="2F7ED6EB"/>
    <w:rsid w:val="2F7F116E"/>
    <w:rsid w:val="2F7FB432"/>
    <w:rsid w:val="2F8053C2"/>
    <w:rsid w:val="2F846B5E"/>
    <w:rsid w:val="2F8D2372"/>
    <w:rsid w:val="2F92475A"/>
    <w:rsid w:val="2F930EC7"/>
    <w:rsid w:val="2F935509"/>
    <w:rsid w:val="2F9ADD77"/>
    <w:rsid w:val="2F9C864F"/>
    <w:rsid w:val="2F9CFBD2"/>
    <w:rsid w:val="2FAD7868"/>
    <w:rsid w:val="2FAE1C7F"/>
    <w:rsid w:val="2FAEEE6E"/>
    <w:rsid w:val="2FC0BE60"/>
    <w:rsid w:val="2FC34E86"/>
    <w:rsid w:val="2FC53FB5"/>
    <w:rsid w:val="2FC5E40E"/>
    <w:rsid w:val="2FC6672D"/>
    <w:rsid w:val="2FC7F4EA"/>
    <w:rsid w:val="2FD102C5"/>
    <w:rsid w:val="2FD61D3F"/>
    <w:rsid w:val="2FD636B4"/>
    <w:rsid w:val="2FDA4675"/>
    <w:rsid w:val="2FDB5CD5"/>
    <w:rsid w:val="2FDC6078"/>
    <w:rsid w:val="2FDFDFC3"/>
    <w:rsid w:val="2FE38F86"/>
    <w:rsid w:val="2FF169F0"/>
    <w:rsid w:val="2FF17F77"/>
    <w:rsid w:val="2FF27406"/>
    <w:rsid w:val="2FF31709"/>
    <w:rsid w:val="2FF5CBC5"/>
    <w:rsid w:val="2FF623DD"/>
    <w:rsid w:val="2FF6F1E9"/>
    <w:rsid w:val="2FF96CF7"/>
    <w:rsid w:val="2FF97E5C"/>
    <w:rsid w:val="2FFF0FFF"/>
    <w:rsid w:val="30027F2E"/>
    <w:rsid w:val="300454BB"/>
    <w:rsid w:val="3008FAE5"/>
    <w:rsid w:val="300BD551"/>
    <w:rsid w:val="3012189B"/>
    <w:rsid w:val="3015B3E5"/>
    <w:rsid w:val="301626CD"/>
    <w:rsid w:val="3018B45C"/>
    <w:rsid w:val="30197184"/>
    <w:rsid w:val="301C95B5"/>
    <w:rsid w:val="301FFB99"/>
    <w:rsid w:val="3020A30A"/>
    <w:rsid w:val="3021D30D"/>
    <w:rsid w:val="30253C6C"/>
    <w:rsid w:val="30262BD6"/>
    <w:rsid w:val="3029F237"/>
    <w:rsid w:val="302EA7FD"/>
    <w:rsid w:val="302FC645"/>
    <w:rsid w:val="30325B0C"/>
    <w:rsid w:val="30342C85"/>
    <w:rsid w:val="3034D196"/>
    <w:rsid w:val="3034E98D"/>
    <w:rsid w:val="303684CF"/>
    <w:rsid w:val="3040EE03"/>
    <w:rsid w:val="304D6FF3"/>
    <w:rsid w:val="304E61D6"/>
    <w:rsid w:val="305022F2"/>
    <w:rsid w:val="3051B755"/>
    <w:rsid w:val="305460C7"/>
    <w:rsid w:val="30595FEE"/>
    <w:rsid w:val="3059B401"/>
    <w:rsid w:val="305AAD3D"/>
    <w:rsid w:val="305CAAFD"/>
    <w:rsid w:val="3060A9D9"/>
    <w:rsid w:val="30674544"/>
    <w:rsid w:val="3070997C"/>
    <w:rsid w:val="30724C65"/>
    <w:rsid w:val="3076F8CE"/>
    <w:rsid w:val="307C38EF"/>
    <w:rsid w:val="307F5FA8"/>
    <w:rsid w:val="308035EC"/>
    <w:rsid w:val="30827F24"/>
    <w:rsid w:val="30829410"/>
    <w:rsid w:val="3083E4DA"/>
    <w:rsid w:val="30841CDD"/>
    <w:rsid w:val="3085F29C"/>
    <w:rsid w:val="308BABD8"/>
    <w:rsid w:val="308C5F5A"/>
    <w:rsid w:val="308D79FE"/>
    <w:rsid w:val="3090FDAB"/>
    <w:rsid w:val="3097694C"/>
    <w:rsid w:val="3097F8DE"/>
    <w:rsid w:val="309C16C2"/>
    <w:rsid w:val="30A56CD5"/>
    <w:rsid w:val="30A5CEE9"/>
    <w:rsid w:val="30AD1D86"/>
    <w:rsid w:val="30B208F6"/>
    <w:rsid w:val="30B61908"/>
    <w:rsid w:val="30B74978"/>
    <w:rsid w:val="30BACBEF"/>
    <w:rsid w:val="30C38248"/>
    <w:rsid w:val="30C8361C"/>
    <w:rsid w:val="30C9A70F"/>
    <w:rsid w:val="30CCF3AA"/>
    <w:rsid w:val="30CE0456"/>
    <w:rsid w:val="30D3BCF0"/>
    <w:rsid w:val="30D63339"/>
    <w:rsid w:val="30D7DB3E"/>
    <w:rsid w:val="30D8142F"/>
    <w:rsid w:val="30D8909C"/>
    <w:rsid w:val="30D9C26F"/>
    <w:rsid w:val="30DA381F"/>
    <w:rsid w:val="30DB24D8"/>
    <w:rsid w:val="30DE8247"/>
    <w:rsid w:val="30E0AE14"/>
    <w:rsid w:val="30E102EA"/>
    <w:rsid w:val="30E1AA06"/>
    <w:rsid w:val="30E1AF40"/>
    <w:rsid w:val="30E241E2"/>
    <w:rsid w:val="30E37FAE"/>
    <w:rsid w:val="30E6D937"/>
    <w:rsid w:val="30E96A7F"/>
    <w:rsid w:val="30EA5D78"/>
    <w:rsid w:val="30EBB00A"/>
    <w:rsid w:val="30F0C726"/>
    <w:rsid w:val="30F1169A"/>
    <w:rsid w:val="30F4C254"/>
    <w:rsid w:val="30F5B9D1"/>
    <w:rsid w:val="30F7350C"/>
    <w:rsid w:val="30F96032"/>
    <w:rsid w:val="30FB2EB3"/>
    <w:rsid w:val="30FB42B3"/>
    <w:rsid w:val="30FCBDF7"/>
    <w:rsid w:val="31016710"/>
    <w:rsid w:val="31017DA0"/>
    <w:rsid w:val="310305BD"/>
    <w:rsid w:val="31039E37"/>
    <w:rsid w:val="3105A410"/>
    <w:rsid w:val="310813FB"/>
    <w:rsid w:val="310F9963"/>
    <w:rsid w:val="31128C97"/>
    <w:rsid w:val="31133103"/>
    <w:rsid w:val="3113B8FD"/>
    <w:rsid w:val="3113FBE1"/>
    <w:rsid w:val="3116932B"/>
    <w:rsid w:val="31173E56"/>
    <w:rsid w:val="31182F3A"/>
    <w:rsid w:val="3118C5DF"/>
    <w:rsid w:val="311A3478"/>
    <w:rsid w:val="311B0280"/>
    <w:rsid w:val="31222AA8"/>
    <w:rsid w:val="312614B6"/>
    <w:rsid w:val="3126F286"/>
    <w:rsid w:val="31289FC8"/>
    <w:rsid w:val="312963AE"/>
    <w:rsid w:val="312DD0F5"/>
    <w:rsid w:val="31325A24"/>
    <w:rsid w:val="313624A7"/>
    <w:rsid w:val="3137B8DC"/>
    <w:rsid w:val="3144BAE6"/>
    <w:rsid w:val="314525C8"/>
    <w:rsid w:val="3145C1FC"/>
    <w:rsid w:val="31467BBC"/>
    <w:rsid w:val="3146F41E"/>
    <w:rsid w:val="3149454F"/>
    <w:rsid w:val="314D67AA"/>
    <w:rsid w:val="3151F382"/>
    <w:rsid w:val="3152AB88"/>
    <w:rsid w:val="31556B47"/>
    <w:rsid w:val="31564FEC"/>
    <w:rsid w:val="31575A3F"/>
    <w:rsid w:val="31576BD5"/>
    <w:rsid w:val="31594AA8"/>
    <w:rsid w:val="3159A8CD"/>
    <w:rsid w:val="3159F1BE"/>
    <w:rsid w:val="315A1834"/>
    <w:rsid w:val="315ABD01"/>
    <w:rsid w:val="315D30AD"/>
    <w:rsid w:val="315D3A08"/>
    <w:rsid w:val="315E84DF"/>
    <w:rsid w:val="315EF32E"/>
    <w:rsid w:val="3161B217"/>
    <w:rsid w:val="31626FB9"/>
    <w:rsid w:val="316AF4DF"/>
    <w:rsid w:val="316B7C26"/>
    <w:rsid w:val="31728441"/>
    <w:rsid w:val="31732CD9"/>
    <w:rsid w:val="3176014A"/>
    <w:rsid w:val="3178B6EC"/>
    <w:rsid w:val="31790876"/>
    <w:rsid w:val="317A542A"/>
    <w:rsid w:val="317F754B"/>
    <w:rsid w:val="31815BF8"/>
    <w:rsid w:val="318480E0"/>
    <w:rsid w:val="318567FE"/>
    <w:rsid w:val="3188FA2A"/>
    <w:rsid w:val="318AF750"/>
    <w:rsid w:val="318C2E20"/>
    <w:rsid w:val="318C7D62"/>
    <w:rsid w:val="318DFF2F"/>
    <w:rsid w:val="3191C31F"/>
    <w:rsid w:val="3193B9C8"/>
    <w:rsid w:val="319DCCA3"/>
    <w:rsid w:val="319DE04D"/>
    <w:rsid w:val="319E88A8"/>
    <w:rsid w:val="319F59C2"/>
    <w:rsid w:val="31AC71AB"/>
    <w:rsid w:val="31B73F31"/>
    <w:rsid w:val="31B8AB40"/>
    <w:rsid w:val="31B8CE16"/>
    <w:rsid w:val="31B927EB"/>
    <w:rsid w:val="31BA6856"/>
    <w:rsid w:val="31BAD9F2"/>
    <w:rsid w:val="31BC0750"/>
    <w:rsid w:val="31BC2E22"/>
    <w:rsid w:val="31CE7100"/>
    <w:rsid w:val="31D0304B"/>
    <w:rsid w:val="31D034AE"/>
    <w:rsid w:val="31D24712"/>
    <w:rsid w:val="31D2DF27"/>
    <w:rsid w:val="31D3182A"/>
    <w:rsid w:val="31D86BC4"/>
    <w:rsid w:val="31DD328F"/>
    <w:rsid w:val="31E1E0B4"/>
    <w:rsid w:val="31E2DDEC"/>
    <w:rsid w:val="31E8785C"/>
    <w:rsid w:val="31EE467F"/>
    <w:rsid w:val="31EE6190"/>
    <w:rsid w:val="31EFA40E"/>
    <w:rsid w:val="31EFC88E"/>
    <w:rsid w:val="31F14ECF"/>
    <w:rsid w:val="31FA096F"/>
    <w:rsid w:val="31FF33B3"/>
    <w:rsid w:val="3205649C"/>
    <w:rsid w:val="32069393"/>
    <w:rsid w:val="320A67A2"/>
    <w:rsid w:val="320AB027"/>
    <w:rsid w:val="320BA577"/>
    <w:rsid w:val="320CD487"/>
    <w:rsid w:val="32166E13"/>
    <w:rsid w:val="3216E5EC"/>
    <w:rsid w:val="321AC747"/>
    <w:rsid w:val="321C7A1D"/>
    <w:rsid w:val="32240BF5"/>
    <w:rsid w:val="32248761"/>
    <w:rsid w:val="32255FEF"/>
    <w:rsid w:val="322C9B98"/>
    <w:rsid w:val="322CA14B"/>
    <w:rsid w:val="3233A3BB"/>
    <w:rsid w:val="3239557B"/>
    <w:rsid w:val="323AE912"/>
    <w:rsid w:val="323B7F9B"/>
    <w:rsid w:val="323C17A6"/>
    <w:rsid w:val="323C1807"/>
    <w:rsid w:val="323F3B62"/>
    <w:rsid w:val="3240B57E"/>
    <w:rsid w:val="3240EC8A"/>
    <w:rsid w:val="32472AC5"/>
    <w:rsid w:val="32486F41"/>
    <w:rsid w:val="324B6877"/>
    <w:rsid w:val="324BD4BB"/>
    <w:rsid w:val="324DD548"/>
    <w:rsid w:val="325592D5"/>
    <w:rsid w:val="325625FF"/>
    <w:rsid w:val="325A3DCA"/>
    <w:rsid w:val="325B7B94"/>
    <w:rsid w:val="325D2548"/>
    <w:rsid w:val="325D61A8"/>
    <w:rsid w:val="32601B5F"/>
    <w:rsid w:val="3260E163"/>
    <w:rsid w:val="326472D3"/>
    <w:rsid w:val="3277594D"/>
    <w:rsid w:val="3279438E"/>
    <w:rsid w:val="3279D220"/>
    <w:rsid w:val="327E3B91"/>
    <w:rsid w:val="3288C7F8"/>
    <w:rsid w:val="328B7F9E"/>
    <w:rsid w:val="328F7750"/>
    <w:rsid w:val="328FE477"/>
    <w:rsid w:val="32956FF3"/>
    <w:rsid w:val="3299A245"/>
    <w:rsid w:val="329F1E1C"/>
    <w:rsid w:val="329F3A9F"/>
    <w:rsid w:val="32A3EDC9"/>
    <w:rsid w:val="32A849D1"/>
    <w:rsid w:val="32B0346C"/>
    <w:rsid w:val="32B2D3DC"/>
    <w:rsid w:val="32B38BE6"/>
    <w:rsid w:val="32B482AE"/>
    <w:rsid w:val="32B53AAD"/>
    <w:rsid w:val="32B636ED"/>
    <w:rsid w:val="32B8DE53"/>
    <w:rsid w:val="32B9F7D4"/>
    <w:rsid w:val="32BA3E28"/>
    <w:rsid w:val="32BC9345"/>
    <w:rsid w:val="32BEFF07"/>
    <w:rsid w:val="32C027F1"/>
    <w:rsid w:val="32C6D812"/>
    <w:rsid w:val="32CD677E"/>
    <w:rsid w:val="32D5F401"/>
    <w:rsid w:val="32DAD57F"/>
    <w:rsid w:val="32EA0712"/>
    <w:rsid w:val="32EAD561"/>
    <w:rsid w:val="32F19953"/>
    <w:rsid w:val="32F21C73"/>
    <w:rsid w:val="32F2A3F8"/>
    <w:rsid w:val="32F7EA26"/>
    <w:rsid w:val="32FA4C9F"/>
    <w:rsid w:val="3307FB10"/>
    <w:rsid w:val="330CE30D"/>
    <w:rsid w:val="330EA8C6"/>
    <w:rsid w:val="330F0CCF"/>
    <w:rsid w:val="33150110"/>
    <w:rsid w:val="3319CD99"/>
    <w:rsid w:val="331B7A4E"/>
    <w:rsid w:val="331C8510"/>
    <w:rsid w:val="3320C27E"/>
    <w:rsid w:val="33214D29"/>
    <w:rsid w:val="33251F5A"/>
    <w:rsid w:val="3327C9D3"/>
    <w:rsid w:val="332F490F"/>
    <w:rsid w:val="3331CC75"/>
    <w:rsid w:val="333343B3"/>
    <w:rsid w:val="333444AE"/>
    <w:rsid w:val="3334DD6F"/>
    <w:rsid w:val="3335ABF2"/>
    <w:rsid w:val="3336D75E"/>
    <w:rsid w:val="33387954"/>
    <w:rsid w:val="333CD7A6"/>
    <w:rsid w:val="333E2794"/>
    <w:rsid w:val="333FDE53"/>
    <w:rsid w:val="33440716"/>
    <w:rsid w:val="3345386D"/>
    <w:rsid w:val="3346ACB8"/>
    <w:rsid w:val="3346D870"/>
    <w:rsid w:val="33474F7B"/>
    <w:rsid w:val="33497B5A"/>
    <w:rsid w:val="334A3716"/>
    <w:rsid w:val="334CCB8A"/>
    <w:rsid w:val="334CCE4F"/>
    <w:rsid w:val="335493C0"/>
    <w:rsid w:val="33557E54"/>
    <w:rsid w:val="3359122C"/>
    <w:rsid w:val="335B5C2E"/>
    <w:rsid w:val="335BD463"/>
    <w:rsid w:val="335CFAC1"/>
    <w:rsid w:val="335FE083"/>
    <w:rsid w:val="3360CE08"/>
    <w:rsid w:val="3361A79F"/>
    <w:rsid w:val="33692E14"/>
    <w:rsid w:val="336A61FE"/>
    <w:rsid w:val="336AC8DE"/>
    <w:rsid w:val="336BB132"/>
    <w:rsid w:val="336D9201"/>
    <w:rsid w:val="336F4265"/>
    <w:rsid w:val="3370287B"/>
    <w:rsid w:val="3370CBCD"/>
    <w:rsid w:val="3375E1E8"/>
    <w:rsid w:val="3376BA1E"/>
    <w:rsid w:val="337AE7F9"/>
    <w:rsid w:val="337AFFEA"/>
    <w:rsid w:val="337C1645"/>
    <w:rsid w:val="337CAA1B"/>
    <w:rsid w:val="337CAC70"/>
    <w:rsid w:val="3383755A"/>
    <w:rsid w:val="338F3FAA"/>
    <w:rsid w:val="33919772"/>
    <w:rsid w:val="33945755"/>
    <w:rsid w:val="339461AF"/>
    <w:rsid w:val="3396FE72"/>
    <w:rsid w:val="33A354F8"/>
    <w:rsid w:val="33A359D5"/>
    <w:rsid w:val="33A6D8BD"/>
    <w:rsid w:val="33A87BEB"/>
    <w:rsid w:val="33A99A7C"/>
    <w:rsid w:val="33AC7D9B"/>
    <w:rsid w:val="33AE07A1"/>
    <w:rsid w:val="33AE7B8B"/>
    <w:rsid w:val="33B0ABB6"/>
    <w:rsid w:val="33B10652"/>
    <w:rsid w:val="33B353B8"/>
    <w:rsid w:val="33B3D5F9"/>
    <w:rsid w:val="33B5E0FE"/>
    <w:rsid w:val="33B636B3"/>
    <w:rsid w:val="33BAD274"/>
    <w:rsid w:val="33C67823"/>
    <w:rsid w:val="33C87663"/>
    <w:rsid w:val="33CEED1A"/>
    <w:rsid w:val="33CFF22B"/>
    <w:rsid w:val="33D1D6E2"/>
    <w:rsid w:val="33E01274"/>
    <w:rsid w:val="33E437C9"/>
    <w:rsid w:val="33E9943F"/>
    <w:rsid w:val="33EB6DEC"/>
    <w:rsid w:val="33EC70AB"/>
    <w:rsid w:val="33EE52B1"/>
    <w:rsid w:val="33F3DD1A"/>
    <w:rsid w:val="33F4352E"/>
    <w:rsid w:val="33F4A03A"/>
    <w:rsid w:val="33F519C1"/>
    <w:rsid w:val="33F65FD5"/>
    <w:rsid w:val="33F783FB"/>
    <w:rsid w:val="34024D47"/>
    <w:rsid w:val="340333A2"/>
    <w:rsid w:val="34034AC1"/>
    <w:rsid w:val="34073644"/>
    <w:rsid w:val="340D84D1"/>
    <w:rsid w:val="340DCC60"/>
    <w:rsid w:val="34137017"/>
    <w:rsid w:val="34195FDD"/>
    <w:rsid w:val="341D08EE"/>
    <w:rsid w:val="34228C13"/>
    <w:rsid w:val="342360AA"/>
    <w:rsid w:val="3423CD8A"/>
    <w:rsid w:val="34256D5D"/>
    <w:rsid w:val="3426DF75"/>
    <w:rsid w:val="34280756"/>
    <w:rsid w:val="342E80D2"/>
    <w:rsid w:val="342EFFE7"/>
    <w:rsid w:val="342F47B7"/>
    <w:rsid w:val="342FF689"/>
    <w:rsid w:val="343166D1"/>
    <w:rsid w:val="3433B21F"/>
    <w:rsid w:val="34348A7E"/>
    <w:rsid w:val="3436A63C"/>
    <w:rsid w:val="34390B5D"/>
    <w:rsid w:val="34417A3F"/>
    <w:rsid w:val="3443998D"/>
    <w:rsid w:val="3445FEB0"/>
    <w:rsid w:val="34482B9E"/>
    <w:rsid w:val="34496B1B"/>
    <w:rsid w:val="344DFC98"/>
    <w:rsid w:val="344F0BAD"/>
    <w:rsid w:val="34516399"/>
    <w:rsid w:val="3454A1B8"/>
    <w:rsid w:val="34588F93"/>
    <w:rsid w:val="345FE243"/>
    <w:rsid w:val="3461DCDB"/>
    <w:rsid w:val="34653E8C"/>
    <w:rsid w:val="34666936"/>
    <w:rsid w:val="34691622"/>
    <w:rsid w:val="346B4C7F"/>
    <w:rsid w:val="346EF5E6"/>
    <w:rsid w:val="346F7843"/>
    <w:rsid w:val="3470A9C3"/>
    <w:rsid w:val="34715A81"/>
    <w:rsid w:val="34731AFD"/>
    <w:rsid w:val="3476DB62"/>
    <w:rsid w:val="3476F31A"/>
    <w:rsid w:val="34772B02"/>
    <w:rsid w:val="3477C0FA"/>
    <w:rsid w:val="3477FC6C"/>
    <w:rsid w:val="347A927F"/>
    <w:rsid w:val="34809BEF"/>
    <w:rsid w:val="34813F2A"/>
    <w:rsid w:val="34840115"/>
    <w:rsid w:val="348583C9"/>
    <w:rsid w:val="348D9E9A"/>
    <w:rsid w:val="348E9925"/>
    <w:rsid w:val="348ED590"/>
    <w:rsid w:val="3492FF22"/>
    <w:rsid w:val="3498EE5B"/>
    <w:rsid w:val="349BCB68"/>
    <w:rsid w:val="349C4232"/>
    <w:rsid w:val="349DB972"/>
    <w:rsid w:val="349F960F"/>
    <w:rsid w:val="34A7B787"/>
    <w:rsid w:val="34A7FF29"/>
    <w:rsid w:val="34A8742D"/>
    <w:rsid w:val="34AE802C"/>
    <w:rsid w:val="34B09485"/>
    <w:rsid w:val="34B7C571"/>
    <w:rsid w:val="34B8AA6F"/>
    <w:rsid w:val="34BAFBE8"/>
    <w:rsid w:val="34BBF3CE"/>
    <w:rsid w:val="34BC49BC"/>
    <w:rsid w:val="34BCBF8D"/>
    <w:rsid w:val="34BCEA07"/>
    <w:rsid w:val="34BE23C0"/>
    <w:rsid w:val="34BFE597"/>
    <w:rsid w:val="34C0E144"/>
    <w:rsid w:val="34C1DD4B"/>
    <w:rsid w:val="34CC286A"/>
    <w:rsid w:val="34D712F0"/>
    <w:rsid w:val="34D81C1F"/>
    <w:rsid w:val="34D8D91B"/>
    <w:rsid w:val="34D8DAB1"/>
    <w:rsid w:val="34DAF1E9"/>
    <w:rsid w:val="34DFAF3A"/>
    <w:rsid w:val="34E5A65B"/>
    <w:rsid w:val="34E5CDA3"/>
    <w:rsid w:val="34E60A98"/>
    <w:rsid w:val="34E6C8FD"/>
    <w:rsid w:val="34E7939A"/>
    <w:rsid w:val="34E7CF7E"/>
    <w:rsid w:val="34E801B6"/>
    <w:rsid w:val="34EE7D82"/>
    <w:rsid w:val="34F3109C"/>
    <w:rsid w:val="34F3F95E"/>
    <w:rsid w:val="34F83D45"/>
    <w:rsid w:val="34FAA8CB"/>
    <w:rsid w:val="34FD4CBB"/>
    <w:rsid w:val="35008B75"/>
    <w:rsid w:val="3503EEC3"/>
    <w:rsid w:val="3504C1BA"/>
    <w:rsid w:val="350505D2"/>
    <w:rsid w:val="350F9097"/>
    <w:rsid w:val="350FC07F"/>
    <w:rsid w:val="3515F6F0"/>
    <w:rsid w:val="351AD299"/>
    <w:rsid w:val="351C97D8"/>
    <w:rsid w:val="351D39E8"/>
    <w:rsid w:val="35263814"/>
    <w:rsid w:val="35270824"/>
    <w:rsid w:val="352C300F"/>
    <w:rsid w:val="3534BE84"/>
    <w:rsid w:val="35358E6A"/>
    <w:rsid w:val="3538E9EC"/>
    <w:rsid w:val="353AC094"/>
    <w:rsid w:val="353E69CD"/>
    <w:rsid w:val="353E83A1"/>
    <w:rsid w:val="353E94BD"/>
    <w:rsid w:val="354079AE"/>
    <w:rsid w:val="3542DD16"/>
    <w:rsid w:val="354A174F"/>
    <w:rsid w:val="354AF706"/>
    <w:rsid w:val="35518AE0"/>
    <w:rsid w:val="3556E6C3"/>
    <w:rsid w:val="3557CDE0"/>
    <w:rsid w:val="355C779A"/>
    <w:rsid w:val="355F82B7"/>
    <w:rsid w:val="356248BC"/>
    <w:rsid w:val="35649E08"/>
    <w:rsid w:val="356779F5"/>
    <w:rsid w:val="3569C4DC"/>
    <w:rsid w:val="356B0EEA"/>
    <w:rsid w:val="3571EF26"/>
    <w:rsid w:val="3572DDB1"/>
    <w:rsid w:val="35736A89"/>
    <w:rsid w:val="357A1EC4"/>
    <w:rsid w:val="357FC863"/>
    <w:rsid w:val="35814A66"/>
    <w:rsid w:val="3585BF7B"/>
    <w:rsid w:val="3586875E"/>
    <w:rsid w:val="35883500"/>
    <w:rsid w:val="35887923"/>
    <w:rsid w:val="358C5D6A"/>
    <w:rsid w:val="358DE1E3"/>
    <w:rsid w:val="35940D61"/>
    <w:rsid w:val="359443C7"/>
    <w:rsid w:val="3596E095"/>
    <w:rsid w:val="35998861"/>
    <w:rsid w:val="35998EB4"/>
    <w:rsid w:val="359A25F6"/>
    <w:rsid w:val="359A6BC4"/>
    <w:rsid w:val="359C0347"/>
    <w:rsid w:val="359F870D"/>
    <w:rsid w:val="35A01D1B"/>
    <w:rsid w:val="35A27DE5"/>
    <w:rsid w:val="35A3C5B4"/>
    <w:rsid w:val="35A78EE2"/>
    <w:rsid w:val="35AADF32"/>
    <w:rsid w:val="35AFA707"/>
    <w:rsid w:val="35B0588E"/>
    <w:rsid w:val="35B39209"/>
    <w:rsid w:val="35B4D384"/>
    <w:rsid w:val="35B651D3"/>
    <w:rsid w:val="35B7D5FD"/>
    <w:rsid w:val="35B84F6A"/>
    <w:rsid w:val="35B8F0BD"/>
    <w:rsid w:val="35B9D7FD"/>
    <w:rsid w:val="35BAE449"/>
    <w:rsid w:val="35BB3512"/>
    <w:rsid w:val="35BE33A8"/>
    <w:rsid w:val="35C0F640"/>
    <w:rsid w:val="35C23CE5"/>
    <w:rsid w:val="35C3AB37"/>
    <w:rsid w:val="35C5F35E"/>
    <w:rsid w:val="35C73FAB"/>
    <w:rsid w:val="35CB3777"/>
    <w:rsid w:val="35CCA92A"/>
    <w:rsid w:val="35CD7FD9"/>
    <w:rsid w:val="35D65B81"/>
    <w:rsid w:val="35DA1794"/>
    <w:rsid w:val="35DD4937"/>
    <w:rsid w:val="35DD5D0A"/>
    <w:rsid w:val="35E0AACC"/>
    <w:rsid w:val="35E2DEE2"/>
    <w:rsid w:val="35E517F8"/>
    <w:rsid w:val="35E51BAA"/>
    <w:rsid w:val="35E54521"/>
    <w:rsid w:val="35E9C58E"/>
    <w:rsid w:val="35EE494F"/>
    <w:rsid w:val="35F13962"/>
    <w:rsid w:val="35F18EB2"/>
    <w:rsid w:val="35F5BE45"/>
    <w:rsid w:val="35FBE0AD"/>
    <w:rsid w:val="35FC01FF"/>
    <w:rsid w:val="35FDD4E1"/>
    <w:rsid w:val="3600B9A2"/>
    <w:rsid w:val="3600EE64"/>
    <w:rsid w:val="3604867D"/>
    <w:rsid w:val="36048716"/>
    <w:rsid w:val="360966C5"/>
    <w:rsid w:val="3612EFE5"/>
    <w:rsid w:val="3615AEC4"/>
    <w:rsid w:val="361DC17A"/>
    <w:rsid w:val="3620FBC9"/>
    <w:rsid w:val="36248B0D"/>
    <w:rsid w:val="36267FC0"/>
    <w:rsid w:val="3626922C"/>
    <w:rsid w:val="36280C39"/>
    <w:rsid w:val="3628C592"/>
    <w:rsid w:val="362B67ED"/>
    <w:rsid w:val="362B9311"/>
    <w:rsid w:val="362D08CA"/>
    <w:rsid w:val="362E3F08"/>
    <w:rsid w:val="362F523A"/>
    <w:rsid w:val="363775D2"/>
    <w:rsid w:val="36387D2F"/>
    <w:rsid w:val="363C4F68"/>
    <w:rsid w:val="363D9A27"/>
    <w:rsid w:val="363E3806"/>
    <w:rsid w:val="36443D52"/>
    <w:rsid w:val="36474318"/>
    <w:rsid w:val="364FBB65"/>
    <w:rsid w:val="3651288A"/>
    <w:rsid w:val="36518A54"/>
    <w:rsid w:val="36581828"/>
    <w:rsid w:val="365B5517"/>
    <w:rsid w:val="365B7DAD"/>
    <w:rsid w:val="36612301"/>
    <w:rsid w:val="3661E7C2"/>
    <w:rsid w:val="3664974A"/>
    <w:rsid w:val="36653896"/>
    <w:rsid w:val="36656373"/>
    <w:rsid w:val="366640A0"/>
    <w:rsid w:val="3666BA71"/>
    <w:rsid w:val="366AC588"/>
    <w:rsid w:val="3674AFB2"/>
    <w:rsid w:val="3674C11E"/>
    <w:rsid w:val="3676B1DC"/>
    <w:rsid w:val="36783288"/>
    <w:rsid w:val="367EAF15"/>
    <w:rsid w:val="36823CFF"/>
    <w:rsid w:val="368459EB"/>
    <w:rsid w:val="36864A56"/>
    <w:rsid w:val="3687312B"/>
    <w:rsid w:val="3687E482"/>
    <w:rsid w:val="3688B2B5"/>
    <w:rsid w:val="36938B5B"/>
    <w:rsid w:val="3695D491"/>
    <w:rsid w:val="3697A28F"/>
    <w:rsid w:val="3698765D"/>
    <w:rsid w:val="369E4EC0"/>
    <w:rsid w:val="369ECC5A"/>
    <w:rsid w:val="36A09BA0"/>
    <w:rsid w:val="36A68D13"/>
    <w:rsid w:val="36A70B9E"/>
    <w:rsid w:val="36A945C2"/>
    <w:rsid w:val="36AA7A1F"/>
    <w:rsid w:val="36AA8B6B"/>
    <w:rsid w:val="36AACA31"/>
    <w:rsid w:val="36AE2E1E"/>
    <w:rsid w:val="36AEEC23"/>
    <w:rsid w:val="36B45067"/>
    <w:rsid w:val="36B8A96B"/>
    <w:rsid w:val="36B8EC9F"/>
    <w:rsid w:val="36BA2B57"/>
    <w:rsid w:val="36BC847F"/>
    <w:rsid w:val="36BFE914"/>
    <w:rsid w:val="36CE830E"/>
    <w:rsid w:val="36D1F349"/>
    <w:rsid w:val="36D240FF"/>
    <w:rsid w:val="36D3FFF5"/>
    <w:rsid w:val="36D77C93"/>
    <w:rsid w:val="36D9AEB1"/>
    <w:rsid w:val="36DC9281"/>
    <w:rsid w:val="36E56E0C"/>
    <w:rsid w:val="36F23D8D"/>
    <w:rsid w:val="36F246C5"/>
    <w:rsid w:val="36F54760"/>
    <w:rsid w:val="36F7872C"/>
    <w:rsid w:val="36FA8564"/>
    <w:rsid w:val="36FAB823"/>
    <w:rsid w:val="36FB16D1"/>
    <w:rsid w:val="36FD636B"/>
    <w:rsid w:val="36FDD744"/>
    <w:rsid w:val="3700D92C"/>
    <w:rsid w:val="3702828C"/>
    <w:rsid w:val="37034527"/>
    <w:rsid w:val="3704AEC2"/>
    <w:rsid w:val="37075FE2"/>
    <w:rsid w:val="3708A762"/>
    <w:rsid w:val="370DD709"/>
    <w:rsid w:val="370E4CE6"/>
    <w:rsid w:val="3712102C"/>
    <w:rsid w:val="371377DE"/>
    <w:rsid w:val="37178839"/>
    <w:rsid w:val="3718300D"/>
    <w:rsid w:val="371BA6C1"/>
    <w:rsid w:val="3721AC0B"/>
    <w:rsid w:val="3727C084"/>
    <w:rsid w:val="37298883"/>
    <w:rsid w:val="372CA146"/>
    <w:rsid w:val="372D89C2"/>
    <w:rsid w:val="3732C1FF"/>
    <w:rsid w:val="37364DE0"/>
    <w:rsid w:val="37375076"/>
    <w:rsid w:val="373811EC"/>
    <w:rsid w:val="373E3E6B"/>
    <w:rsid w:val="373E8494"/>
    <w:rsid w:val="373E8841"/>
    <w:rsid w:val="3746FA54"/>
    <w:rsid w:val="3747EE67"/>
    <w:rsid w:val="37491938"/>
    <w:rsid w:val="374D344D"/>
    <w:rsid w:val="374ED39E"/>
    <w:rsid w:val="37513BFB"/>
    <w:rsid w:val="3754ED15"/>
    <w:rsid w:val="3755310B"/>
    <w:rsid w:val="3756C985"/>
    <w:rsid w:val="3758017B"/>
    <w:rsid w:val="37593C30"/>
    <w:rsid w:val="375C58AF"/>
    <w:rsid w:val="375F8D11"/>
    <w:rsid w:val="375F99DE"/>
    <w:rsid w:val="37603477"/>
    <w:rsid w:val="3760F4EF"/>
    <w:rsid w:val="37628D53"/>
    <w:rsid w:val="3763AD08"/>
    <w:rsid w:val="3766A924"/>
    <w:rsid w:val="3767FB18"/>
    <w:rsid w:val="3768CF52"/>
    <w:rsid w:val="376AA62A"/>
    <w:rsid w:val="37700CB8"/>
    <w:rsid w:val="37714650"/>
    <w:rsid w:val="3772AE5E"/>
    <w:rsid w:val="3773F58E"/>
    <w:rsid w:val="3774A0EE"/>
    <w:rsid w:val="3776BEF7"/>
    <w:rsid w:val="37773E73"/>
    <w:rsid w:val="3778E126"/>
    <w:rsid w:val="377A34DA"/>
    <w:rsid w:val="377B0311"/>
    <w:rsid w:val="377EEA72"/>
    <w:rsid w:val="3782EC74"/>
    <w:rsid w:val="3783A588"/>
    <w:rsid w:val="37840E9F"/>
    <w:rsid w:val="37859D31"/>
    <w:rsid w:val="378662A5"/>
    <w:rsid w:val="37891E4A"/>
    <w:rsid w:val="37897122"/>
    <w:rsid w:val="378FA48C"/>
    <w:rsid w:val="378FCAD8"/>
    <w:rsid w:val="37914E50"/>
    <w:rsid w:val="3792CCC0"/>
    <w:rsid w:val="37966BC5"/>
    <w:rsid w:val="37992E0D"/>
    <w:rsid w:val="379B0ADE"/>
    <w:rsid w:val="37A0CEB7"/>
    <w:rsid w:val="37A2F2AC"/>
    <w:rsid w:val="37A313F9"/>
    <w:rsid w:val="37A37D66"/>
    <w:rsid w:val="37B3C261"/>
    <w:rsid w:val="37B55154"/>
    <w:rsid w:val="37B7C5EF"/>
    <w:rsid w:val="37B7FFDD"/>
    <w:rsid w:val="37BA086A"/>
    <w:rsid w:val="37BC8EE8"/>
    <w:rsid w:val="37BD398A"/>
    <w:rsid w:val="37BE6F86"/>
    <w:rsid w:val="37C02B42"/>
    <w:rsid w:val="37C3EDD2"/>
    <w:rsid w:val="37C70C27"/>
    <w:rsid w:val="37D3EE58"/>
    <w:rsid w:val="37D71166"/>
    <w:rsid w:val="37DCD4F4"/>
    <w:rsid w:val="37E3C614"/>
    <w:rsid w:val="37E75F96"/>
    <w:rsid w:val="37E9E59A"/>
    <w:rsid w:val="37EE8813"/>
    <w:rsid w:val="37F4DB9A"/>
    <w:rsid w:val="37F54208"/>
    <w:rsid w:val="37F83908"/>
    <w:rsid w:val="37F84B73"/>
    <w:rsid w:val="37FB2346"/>
    <w:rsid w:val="3800732D"/>
    <w:rsid w:val="38009CBF"/>
    <w:rsid w:val="380159C7"/>
    <w:rsid w:val="3808C37F"/>
    <w:rsid w:val="380A9F3B"/>
    <w:rsid w:val="380D4F22"/>
    <w:rsid w:val="380E55E9"/>
    <w:rsid w:val="380F98AB"/>
    <w:rsid w:val="380FF68A"/>
    <w:rsid w:val="38138DB1"/>
    <w:rsid w:val="381451FD"/>
    <w:rsid w:val="3814E2F7"/>
    <w:rsid w:val="381B4BEA"/>
    <w:rsid w:val="381B82FC"/>
    <w:rsid w:val="381BCEA4"/>
    <w:rsid w:val="381F5FF4"/>
    <w:rsid w:val="3820BCA8"/>
    <w:rsid w:val="38236AED"/>
    <w:rsid w:val="382AF3F0"/>
    <w:rsid w:val="382B419D"/>
    <w:rsid w:val="382B9992"/>
    <w:rsid w:val="382C4EE6"/>
    <w:rsid w:val="382EF3EC"/>
    <w:rsid w:val="383258BE"/>
    <w:rsid w:val="3838EF52"/>
    <w:rsid w:val="383A46B2"/>
    <w:rsid w:val="383D4F38"/>
    <w:rsid w:val="383DFEA3"/>
    <w:rsid w:val="383E7854"/>
    <w:rsid w:val="38412F1D"/>
    <w:rsid w:val="38425955"/>
    <w:rsid w:val="3843B2BC"/>
    <w:rsid w:val="38446AD8"/>
    <w:rsid w:val="384933F1"/>
    <w:rsid w:val="384D2630"/>
    <w:rsid w:val="384F19F1"/>
    <w:rsid w:val="3854E0DF"/>
    <w:rsid w:val="385765DB"/>
    <w:rsid w:val="385A4E9F"/>
    <w:rsid w:val="385AA8BF"/>
    <w:rsid w:val="385D3DD3"/>
    <w:rsid w:val="3863A92E"/>
    <w:rsid w:val="386B5DA4"/>
    <w:rsid w:val="387C2331"/>
    <w:rsid w:val="3881F66C"/>
    <w:rsid w:val="38859E13"/>
    <w:rsid w:val="38864900"/>
    <w:rsid w:val="3888190A"/>
    <w:rsid w:val="388A6FFF"/>
    <w:rsid w:val="388B1572"/>
    <w:rsid w:val="3894E77E"/>
    <w:rsid w:val="38962479"/>
    <w:rsid w:val="38988709"/>
    <w:rsid w:val="389C689E"/>
    <w:rsid w:val="38A37FD1"/>
    <w:rsid w:val="38A3B8F3"/>
    <w:rsid w:val="38A46DC8"/>
    <w:rsid w:val="38AA24E1"/>
    <w:rsid w:val="38B01C31"/>
    <w:rsid w:val="38B26068"/>
    <w:rsid w:val="38B53261"/>
    <w:rsid w:val="38B8023C"/>
    <w:rsid w:val="38B85EA5"/>
    <w:rsid w:val="38B8A2D6"/>
    <w:rsid w:val="38BB2551"/>
    <w:rsid w:val="38C63BD3"/>
    <w:rsid w:val="38C832F1"/>
    <w:rsid w:val="38C8E592"/>
    <w:rsid w:val="38CD3A87"/>
    <w:rsid w:val="38D140FA"/>
    <w:rsid w:val="38D388C9"/>
    <w:rsid w:val="38DBEC43"/>
    <w:rsid w:val="38DFAA25"/>
    <w:rsid w:val="38E20B07"/>
    <w:rsid w:val="38EDFB05"/>
    <w:rsid w:val="38EFE8B1"/>
    <w:rsid w:val="38EFF666"/>
    <w:rsid w:val="38F47D83"/>
    <w:rsid w:val="38F4D7CE"/>
    <w:rsid w:val="38F68658"/>
    <w:rsid w:val="3902556B"/>
    <w:rsid w:val="39058785"/>
    <w:rsid w:val="3905B0DF"/>
    <w:rsid w:val="390E686E"/>
    <w:rsid w:val="390ED3CC"/>
    <w:rsid w:val="390FDD9A"/>
    <w:rsid w:val="3912F13B"/>
    <w:rsid w:val="391303D0"/>
    <w:rsid w:val="39137BF9"/>
    <w:rsid w:val="3915C7A3"/>
    <w:rsid w:val="391AE4B3"/>
    <w:rsid w:val="391CDB66"/>
    <w:rsid w:val="39204220"/>
    <w:rsid w:val="392071AC"/>
    <w:rsid w:val="39221AF1"/>
    <w:rsid w:val="39278F28"/>
    <w:rsid w:val="39285F48"/>
    <w:rsid w:val="39291F16"/>
    <w:rsid w:val="3929BD30"/>
    <w:rsid w:val="392CB7F8"/>
    <w:rsid w:val="393190D5"/>
    <w:rsid w:val="3936043F"/>
    <w:rsid w:val="39464884"/>
    <w:rsid w:val="39477C21"/>
    <w:rsid w:val="39481ECF"/>
    <w:rsid w:val="3948DB37"/>
    <w:rsid w:val="394BA061"/>
    <w:rsid w:val="394CD0D0"/>
    <w:rsid w:val="39529AC0"/>
    <w:rsid w:val="39547072"/>
    <w:rsid w:val="39552D05"/>
    <w:rsid w:val="3958E07E"/>
    <w:rsid w:val="39595A8C"/>
    <w:rsid w:val="39597464"/>
    <w:rsid w:val="395B35BB"/>
    <w:rsid w:val="39660BC7"/>
    <w:rsid w:val="3966CF1B"/>
    <w:rsid w:val="3968B20E"/>
    <w:rsid w:val="396DC0DA"/>
    <w:rsid w:val="39746E6F"/>
    <w:rsid w:val="39750DF9"/>
    <w:rsid w:val="397641CE"/>
    <w:rsid w:val="397AB632"/>
    <w:rsid w:val="397B1D51"/>
    <w:rsid w:val="3980252F"/>
    <w:rsid w:val="39810EC9"/>
    <w:rsid w:val="3981EF77"/>
    <w:rsid w:val="39827DCA"/>
    <w:rsid w:val="3988E61B"/>
    <w:rsid w:val="398E2416"/>
    <w:rsid w:val="39957E28"/>
    <w:rsid w:val="399C06E6"/>
    <w:rsid w:val="399C4C6E"/>
    <w:rsid w:val="39A8A9F2"/>
    <w:rsid w:val="39AABF90"/>
    <w:rsid w:val="39AE35C2"/>
    <w:rsid w:val="39B03733"/>
    <w:rsid w:val="39B146CB"/>
    <w:rsid w:val="39B1DBA6"/>
    <w:rsid w:val="39B6B4E7"/>
    <w:rsid w:val="39B6B917"/>
    <w:rsid w:val="39B6F38C"/>
    <w:rsid w:val="39B7075B"/>
    <w:rsid w:val="39BC9623"/>
    <w:rsid w:val="39C3C896"/>
    <w:rsid w:val="39C3DFED"/>
    <w:rsid w:val="39CA685E"/>
    <w:rsid w:val="39CC21F2"/>
    <w:rsid w:val="39CEF876"/>
    <w:rsid w:val="39D00FE7"/>
    <w:rsid w:val="39D37759"/>
    <w:rsid w:val="39D64D49"/>
    <w:rsid w:val="39D8EF67"/>
    <w:rsid w:val="39DD73F0"/>
    <w:rsid w:val="39E26B0A"/>
    <w:rsid w:val="39E3DC60"/>
    <w:rsid w:val="39E4848E"/>
    <w:rsid w:val="39E5E732"/>
    <w:rsid w:val="39EFA406"/>
    <w:rsid w:val="39F0604D"/>
    <w:rsid w:val="39F8E94F"/>
    <w:rsid w:val="39FA3CA3"/>
    <w:rsid w:val="39FF69F8"/>
    <w:rsid w:val="3A001F17"/>
    <w:rsid w:val="3A01E2E9"/>
    <w:rsid w:val="3A03E9CA"/>
    <w:rsid w:val="3A052EE5"/>
    <w:rsid w:val="3A05FE20"/>
    <w:rsid w:val="3A0762EE"/>
    <w:rsid w:val="3A0BE6BD"/>
    <w:rsid w:val="3A109642"/>
    <w:rsid w:val="3A153BC5"/>
    <w:rsid w:val="3A15A6A9"/>
    <w:rsid w:val="3A186F20"/>
    <w:rsid w:val="3A1B2CFF"/>
    <w:rsid w:val="3A211585"/>
    <w:rsid w:val="3A259644"/>
    <w:rsid w:val="3A26A025"/>
    <w:rsid w:val="3A28BD2A"/>
    <w:rsid w:val="3A2A05D7"/>
    <w:rsid w:val="3A2BE074"/>
    <w:rsid w:val="3A2D306F"/>
    <w:rsid w:val="3A2ECAB0"/>
    <w:rsid w:val="3A321468"/>
    <w:rsid w:val="3A32A111"/>
    <w:rsid w:val="3A347E87"/>
    <w:rsid w:val="3A3AC91A"/>
    <w:rsid w:val="3A3C1515"/>
    <w:rsid w:val="3A3E4462"/>
    <w:rsid w:val="3A4051E8"/>
    <w:rsid w:val="3A43C429"/>
    <w:rsid w:val="3A4B3F88"/>
    <w:rsid w:val="3A4C46DD"/>
    <w:rsid w:val="3A539F45"/>
    <w:rsid w:val="3A56C707"/>
    <w:rsid w:val="3A580D28"/>
    <w:rsid w:val="3A58FECA"/>
    <w:rsid w:val="3A5F15D5"/>
    <w:rsid w:val="3A64019C"/>
    <w:rsid w:val="3A6498A9"/>
    <w:rsid w:val="3A6600BC"/>
    <w:rsid w:val="3A683A3D"/>
    <w:rsid w:val="3A6B97F7"/>
    <w:rsid w:val="3A6D3EB5"/>
    <w:rsid w:val="3A7163BF"/>
    <w:rsid w:val="3A7382B7"/>
    <w:rsid w:val="3A75FAB4"/>
    <w:rsid w:val="3A7692FF"/>
    <w:rsid w:val="3A77155C"/>
    <w:rsid w:val="3A7722A8"/>
    <w:rsid w:val="3A7AE599"/>
    <w:rsid w:val="3A7CDD27"/>
    <w:rsid w:val="3A7D80AC"/>
    <w:rsid w:val="3A7E583F"/>
    <w:rsid w:val="3A7EF940"/>
    <w:rsid w:val="3A83D193"/>
    <w:rsid w:val="3A845BB3"/>
    <w:rsid w:val="3A8896B5"/>
    <w:rsid w:val="3A8963BB"/>
    <w:rsid w:val="3A897D60"/>
    <w:rsid w:val="3A97CE3D"/>
    <w:rsid w:val="3A981D0C"/>
    <w:rsid w:val="3A9863D3"/>
    <w:rsid w:val="3A9AEAE2"/>
    <w:rsid w:val="3A9D1D0C"/>
    <w:rsid w:val="3A9E0143"/>
    <w:rsid w:val="3AA3C937"/>
    <w:rsid w:val="3AA61D19"/>
    <w:rsid w:val="3AA652FA"/>
    <w:rsid w:val="3AB06BB4"/>
    <w:rsid w:val="3AB08B96"/>
    <w:rsid w:val="3AB08C40"/>
    <w:rsid w:val="3AB13B6A"/>
    <w:rsid w:val="3AB6108D"/>
    <w:rsid w:val="3AB82129"/>
    <w:rsid w:val="3AB84052"/>
    <w:rsid w:val="3ABD29A9"/>
    <w:rsid w:val="3ABED85C"/>
    <w:rsid w:val="3AC28648"/>
    <w:rsid w:val="3ACFD117"/>
    <w:rsid w:val="3AD24F27"/>
    <w:rsid w:val="3AD28EE4"/>
    <w:rsid w:val="3ADA4512"/>
    <w:rsid w:val="3ADB6400"/>
    <w:rsid w:val="3ADDF131"/>
    <w:rsid w:val="3AE08E63"/>
    <w:rsid w:val="3AEC84F2"/>
    <w:rsid w:val="3AECBC0F"/>
    <w:rsid w:val="3AF642BC"/>
    <w:rsid w:val="3AF6B051"/>
    <w:rsid w:val="3AFAB62F"/>
    <w:rsid w:val="3AFB44A6"/>
    <w:rsid w:val="3AFC14BB"/>
    <w:rsid w:val="3AFCC3C2"/>
    <w:rsid w:val="3B026560"/>
    <w:rsid w:val="3B053A2A"/>
    <w:rsid w:val="3B07300A"/>
    <w:rsid w:val="3B0949BB"/>
    <w:rsid w:val="3B0D19E9"/>
    <w:rsid w:val="3B167C93"/>
    <w:rsid w:val="3B173219"/>
    <w:rsid w:val="3B175473"/>
    <w:rsid w:val="3B191257"/>
    <w:rsid w:val="3B1E2E2E"/>
    <w:rsid w:val="3B1EA26C"/>
    <w:rsid w:val="3B1F2F8A"/>
    <w:rsid w:val="3B21DC3D"/>
    <w:rsid w:val="3B23E35F"/>
    <w:rsid w:val="3B287E81"/>
    <w:rsid w:val="3B2BFABF"/>
    <w:rsid w:val="3B2CE44F"/>
    <w:rsid w:val="3B2DC42E"/>
    <w:rsid w:val="3B325F03"/>
    <w:rsid w:val="3B42ECDB"/>
    <w:rsid w:val="3B44C732"/>
    <w:rsid w:val="3B4B31B1"/>
    <w:rsid w:val="3B53A26D"/>
    <w:rsid w:val="3B559582"/>
    <w:rsid w:val="3B5BD580"/>
    <w:rsid w:val="3B5C3502"/>
    <w:rsid w:val="3B5D4B6F"/>
    <w:rsid w:val="3B634169"/>
    <w:rsid w:val="3B64037F"/>
    <w:rsid w:val="3B69F433"/>
    <w:rsid w:val="3B6E12D6"/>
    <w:rsid w:val="3B6FD3C7"/>
    <w:rsid w:val="3B705159"/>
    <w:rsid w:val="3B733748"/>
    <w:rsid w:val="3B77D6CF"/>
    <w:rsid w:val="3B78F516"/>
    <w:rsid w:val="3B7B9E45"/>
    <w:rsid w:val="3B7BBFDB"/>
    <w:rsid w:val="3B7CEB60"/>
    <w:rsid w:val="3B7D9011"/>
    <w:rsid w:val="3B802514"/>
    <w:rsid w:val="3B850845"/>
    <w:rsid w:val="3B8AA052"/>
    <w:rsid w:val="3B9081FC"/>
    <w:rsid w:val="3B90F58E"/>
    <w:rsid w:val="3B9482D8"/>
    <w:rsid w:val="3B94D97D"/>
    <w:rsid w:val="3B97227E"/>
    <w:rsid w:val="3B988B69"/>
    <w:rsid w:val="3BA1FF09"/>
    <w:rsid w:val="3BA21019"/>
    <w:rsid w:val="3BA3A62D"/>
    <w:rsid w:val="3BA437F8"/>
    <w:rsid w:val="3BA7562D"/>
    <w:rsid w:val="3BAAFB90"/>
    <w:rsid w:val="3BABB2B8"/>
    <w:rsid w:val="3BAFAA40"/>
    <w:rsid w:val="3BB04ECC"/>
    <w:rsid w:val="3BB98FBA"/>
    <w:rsid w:val="3BBA3D52"/>
    <w:rsid w:val="3BBBD522"/>
    <w:rsid w:val="3BBECC84"/>
    <w:rsid w:val="3BC233A2"/>
    <w:rsid w:val="3BC56D33"/>
    <w:rsid w:val="3BC7B229"/>
    <w:rsid w:val="3BCA690B"/>
    <w:rsid w:val="3BCCB3E4"/>
    <w:rsid w:val="3BCEA40D"/>
    <w:rsid w:val="3BCFC082"/>
    <w:rsid w:val="3BD04AFA"/>
    <w:rsid w:val="3BD470CE"/>
    <w:rsid w:val="3BD8A770"/>
    <w:rsid w:val="3BD96154"/>
    <w:rsid w:val="3BDF6F1B"/>
    <w:rsid w:val="3BE3EB3E"/>
    <w:rsid w:val="3BE83D0D"/>
    <w:rsid w:val="3BE84D66"/>
    <w:rsid w:val="3BE9AAA8"/>
    <w:rsid w:val="3BEC919F"/>
    <w:rsid w:val="3BECA99B"/>
    <w:rsid w:val="3BEF924C"/>
    <w:rsid w:val="3BF1CC4C"/>
    <w:rsid w:val="3BF269D8"/>
    <w:rsid w:val="3BF35ECE"/>
    <w:rsid w:val="3BF76EC0"/>
    <w:rsid w:val="3BFCE87D"/>
    <w:rsid w:val="3BFEA200"/>
    <w:rsid w:val="3C064140"/>
    <w:rsid w:val="3C0BB12D"/>
    <w:rsid w:val="3C0DA945"/>
    <w:rsid w:val="3C1269FB"/>
    <w:rsid w:val="3C1467ED"/>
    <w:rsid w:val="3C14D1B3"/>
    <w:rsid w:val="3C152A28"/>
    <w:rsid w:val="3C16253B"/>
    <w:rsid w:val="3C192BF9"/>
    <w:rsid w:val="3C19F129"/>
    <w:rsid w:val="3C21581E"/>
    <w:rsid w:val="3C2251F7"/>
    <w:rsid w:val="3C22CCE9"/>
    <w:rsid w:val="3C24334D"/>
    <w:rsid w:val="3C26EE97"/>
    <w:rsid w:val="3C275408"/>
    <w:rsid w:val="3C2E54A0"/>
    <w:rsid w:val="3C2F21C6"/>
    <w:rsid w:val="3C309655"/>
    <w:rsid w:val="3C319038"/>
    <w:rsid w:val="3C3CD93B"/>
    <w:rsid w:val="3C412046"/>
    <w:rsid w:val="3C414E51"/>
    <w:rsid w:val="3C45BBC2"/>
    <w:rsid w:val="3C4700CF"/>
    <w:rsid w:val="3C4D23DB"/>
    <w:rsid w:val="3C53AEE2"/>
    <w:rsid w:val="3C5455DC"/>
    <w:rsid w:val="3C54D8F0"/>
    <w:rsid w:val="3C563E64"/>
    <w:rsid w:val="3C5F88C3"/>
    <w:rsid w:val="3C635BF9"/>
    <w:rsid w:val="3C686FCB"/>
    <w:rsid w:val="3C6E198D"/>
    <w:rsid w:val="3C721B8E"/>
    <w:rsid w:val="3C75F2AF"/>
    <w:rsid w:val="3C76ECC7"/>
    <w:rsid w:val="3C7ABAEE"/>
    <w:rsid w:val="3C7C5F36"/>
    <w:rsid w:val="3C7CBD09"/>
    <w:rsid w:val="3C7D2F77"/>
    <w:rsid w:val="3C804C13"/>
    <w:rsid w:val="3C8140FD"/>
    <w:rsid w:val="3C8449ED"/>
    <w:rsid w:val="3C87EC80"/>
    <w:rsid w:val="3C8B8512"/>
    <w:rsid w:val="3C8FE56C"/>
    <w:rsid w:val="3C94CFC3"/>
    <w:rsid w:val="3C954CF0"/>
    <w:rsid w:val="3C963D1A"/>
    <w:rsid w:val="3C969E67"/>
    <w:rsid w:val="3C9874F7"/>
    <w:rsid w:val="3C9D70F4"/>
    <w:rsid w:val="3C9DA3F2"/>
    <w:rsid w:val="3C9FFC7F"/>
    <w:rsid w:val="3CA68E55"/>
    <w:rsid w:val="3CA702CA"/>
    <w:rsid w:val="3CAA0755"/>
    <w:rsid w:val="3CAE1B93"/>
    <w:rsid w:val="3CB0BE2E"/>
    <w:rsid w:val="3CB145EC"/>
    <w:rsid w:val="3CB18B25"/>
    <w:rsid w:val="3CB2F541"/>
    <w:rsid w:val="3CB99C19"/>
    <w:rsid w:val="3CBA2FC2"/>
    <w:rsid w:val="3CBCCFC0"/>
    <w:rsid w:val="3CC01C9D"/>
    <w:rsid w:val="3CC055FA"/>
    <w:rsid w:val="3CC18398"/>
    <w:rsid w:val="3CC4BA04"/>
    <w:rsid w:val="3CC9329C"/>
    <w:rsid w:val="3CC9D1E4"/>
    <w:rsid w:val="3CCA0167"/>
    <w:rsid w:val="3CCBA8F2"/>
    <w:rsid w:val="3CCF9943"/>
    <w:rsid w:val="3CCFBE40"/>
    <w:rsid w:val="3CD025D1"/>
    <w:rsid w:val="3CD0B89F"/>
    <w:rsid w:val="3CD43796"/>
    <w:rsid w:val="3CD96723"/>
    <w:rsid w:val="3CDCD41D"/>
    <w:rsid w:val="3CE08DCE"/>
    <w:rsid w:val="3CE180AA"/>
    <w:rsid w:val="3CE48FAA"/>
    <w:rsid w:val="3CE5C63B"/>
    <w:rsid w:val="3CE8F3FE"/>
    <w:rsid w:val="3CECD570"/>
    <w:rsid w:val="3CED9777"/>
    <w:rsid w:val="3CF13099"/>
    <w:rsid w:val="3CF4B6EB"/>
    <w:rsid w:val="3CF970F4"/>
    <w:rsid w:val="3D00FF1D"/>
    <w:rsid w:val="3D028C7D"/>
    <w:rsid w:val="3D04AEB3"/>
    <w:rsid w:val="3D04F8D8"/>
    <w:rsid w:val="3D0784EE"/>
    <w:rsid w:val="3D0ADBF8"/>
    <w:rsid w:val="3D0C2105"/>
    <w:rsid w:val="3D19630E"/>
    <w:rsid w:val="3D1F026F"/>
    <w:rsid w:val="3D211BA3"/>
    <w:rsid w:val="3D27FAAD"/>
    <w:rsid w:val="3D2998C8"/>
    <w:rsid w:val="3D2BBFE4"/>
    <w:rsid w:val="3D2C7273"/>
    <w:rsid w:val="3D2DABDF"/>
    <w:rsid w:val="3D2DDB36"/>
    <w:rsid w:val="3D355484"/>
    <w:rsid w:val="3D374E62"/>
    <w:rsid w:val="3D37A276"/>
    <w:rsid w:val="3D3B7D37"/>
    <w:rsid w:val="3D3C0991"/>
    <w:rsid w:val="3D3F1162"/>
    <w:rsid w:val="3D413A48"/>
    <w:rsid w:val="3D4300B7"/>
    <w:rsid w:val="3D49BF43"/>
    <w:rsid w:val="3D4BFFBC"/>
    <w:rsid w:val="3D4CB9CC"/>
    <w:rsid w:val="3D4DACF7"/>
    <w:rsid w:val="3D518FE8"/>
    <w:rsid w:val="3D51AD46"/>
    <w:rsid w:val="3D51CBAD"/>
    <w:rsid w:val="3D5920F1"/>
    <w:rsid w:val="3D59AFF5"/>
    <w:rsid w:val="3D5C509E"/>
    <w:rsid w:val="3D5DB862"/>
    <w:rsid w:val="3D5F1591"/>
    <w:rsid w:val="3D5F41A3"/>
    <w:rsid w:val="3D60D5CD"/>
    <w:rsid w:val="3D619A8C"/>
    <w:rsid w:val="3D63BDC6"/>
    <w:rsid w:val="3D64AF6B"/>
    <w:rsid w:val="3D6920C6"/>
    <w:rsid w:val="3D6952EA"/>
    <w:rsid w:val="3D6A1081"/>
    <w:rsid w:val="3D6D8059"/>
    <w:rsid w:val="3D6E643E"/>
    <w:rsid w:val="3D77B998"/>
    <w:rsid w:val="3D78F246"/>
    <w:rsid w:val="3D7E5305"/>
    <w:rsid w:val="3D843A8F"/>
    <w:rsid w:val="3D87EC79"/>
    <w:rsid w:val="3D899EF0"/>
    <w:rsid w:val="3D89F715"/>
    <w:rsid w:val="3D8C0409"/>
    <w:rsid w:val="3D99F847"/>
    <w:rsid w:val="3D9F025C"/>
    <w:rsid w:val="3D9F4D55"/>
    <w:rsid w:val="3D9FC6F2"/>
    <w:rsid w:val="3DA73028"/>
    <w:rsid w:val="3DA79CE4"/>
    <w:rsid w:val="3DA95DF6"/>
    <w:rsid w:val="3DAA1111"/>
    <w:rsid w:val="3DAC4988"/>
    <w:rsid w:val="3DB33101"/>
    <w:rsid w:val="3DB3BC7A"/>
    <w:rsid w:val="3DB5AC44"/>
    <w:rsid w:val="3DB61EC5"/>
    <w:rsid w:val="3DB70E16"/>
    <w:rsid w:val="3DB81649"/>
    <w:rsid w:val="3DBAB145"/>
    <w:rsid w:val="3DBD6265"/>
    <w:rsid w:val="3DC0AAF5"/>
    <w:rsid w:val="3DC9001F"/>
    <w:rsid w:val="3DCE1E21"/>
    <w:rsid w:val="3DCF4A2E"/>
    <w:rsid w:val="3DD1A597"/>
    <w:rsid w:val="3DD1CB3F"/>
    <w:rsid w:val="3DD3A27E"/>
    <w:rsid w:val="3DD6E3A5"/>
    <w:rsid w:val="3DD7A2A7"/>
    <w:rsid w:val="3DD8987A"/>
    <w:rsid w:val="3DE38470"/>
    <w:rsid w:val="3DE5DC2B"/>
    <w:rsid w:val="3DE714D0"/>
    <w:rsid w:val="3DEBAF97"/>
    <w:rsid w:val="3DEDFC93"/>
    <w:rsid w:val="3DEFCB69"/>
    <w:rsid w:val="3DF423EB"/>
    <w:rsid w:val="3DFAFADB"/>
    <w:rsid w:val="3DFF9C62"/>
    <w:rsid w:val="3E0009AA"/>
    <w:rsid w:val="3E01469C"/>
    <w:rsid w:val="3E02AA1C"/>
    <w:rsid w:val="3E069038"/>
    <w:rsid w:val="3E06FEEA"/>
    <w:rsid w:val="3E093A58"/>
    <w:rsid w:val="3E0D93AE"/>
    <w:rsid w:val="3E0F7A1B"/>
    <w:rsid w:val="3E0F9F9D"/>
    <w:rsid w:val="3E0FD7C8"/>
    <w:rsid w:val="3E10C5B1"/>
    <w:rsid w:val="3E1768B7"/>
    <w:rsid w:val="3E195081"/>
    <w:rsid w:val="3E22E5E1"/>
    <w:rsid w:val="3E237F24"/>
    <w:rsid w:val="3E241E5F"/>
    <w:rsid w:val="3E25B640"/>
    <w:rsid w:val="3E29971A"/>
    <w:rsid w:val="3E29C2B0"/>
    <w:rsid w:val="3E2B544A"/>
    <w:rsid w:val="3E2E58DD"/>
    <w:rsid w:val="3E2F9B3A"/>
    <w:rsid w:val="3E306FE0"/>
    <w:rsid w:val="3E31AC1E"/>
    <w:rsid w:val="3E34D75B"/>
    <w:rsid w:val="3E358542"/>
    <w:rsid w:val="3E3804D6"/>
    <w:rsid w:val="3E3B6778"/>
    <w:rsid w:val="3E3C31F8"/>
    <w:rsid w:val="3E3CBAD7"/>
    <w:rsid w:val="3E3E7B1C"/>
    <w:rsid w:val="3E3E89AD"/>
    <w:rsid w:val="3E3F5974"/>
    <w:rsid w:val="3E3F9520"/>
    <w:rsid w:val="3E463651"/>
    <w:rsid w:val="3E4CFA30"/>
    <w:rsid w:val="3E4EE682"/>
    <w:rsid w:val="3E546B18"/>
    <w:rsid w:val="3E54C2A7"/>
    <w:rsid w:val="3E567AE9"/>
    <w:rsid w:val="3E59F83E"/>
    <w:rsid w:val="3E5B18B0"/>
    <w:rsid w:val="3E5C803A"/>
    <w:rsid w:val="3E5D0EDF"/>
    <w:rsid w:val="3E5F2A0C"/>
    <w:rsid w:val="3E684AA7"/>
    <w:rsid w:val="3E6D195E"/>
    <w:rsid w:val="3E705DF5"/>
    <w:rsid w:val="3E73350A"/>
    <w:rsid w:val="3E770493"/>
    <w:rsid w:val="3E7849F0"/>
    <w:rsid w:val="3E78721C"/>
    <w:rsid w:val="3E794479"/>
    <w:rsid w:val="3E7BBBE2"/>
    <w:rsid w:val="3E7D0B6D"/>
    <w:rsid w:val="3E7D589E"/>
    <w:rsid w:val="3E7ECB1A"/>
    <w:rsid w:val="3E879C2F"/>
    <w:rsid w:val="3E893248"/>
    <w:rsid w:val="3E8B27AE"/>
    <w:rsid w:val="3E8FF573"/>
    <w:rsid w:val="3E9285C9"/>
    <w:rsid w:val="3E94CE90"/>
    <w:rsid w:val="3E971481"/>
    <w:rsid w:val="3E9B59DA"/>
    <w:rsid w:val="3E9F9985"/>
    <w:rsid w:val="3EA03D3E"/>
    <w:rsid w:val="3EA17FAF"/>
    <w:rsid w:val="3EA44435"/>
    <w:rsid w:val="3EA9DA5C"/>
    <w:rsid w:val="3EAEC7CA"/>
    <w:rsid w:val="3EB12144"/>
    <w:rsid w:val="3EB36327"/>
    <w:rsid w:val="3EB4B2E7"/>
    <w:rsid w:val="3EB4E81B"/>
    <w:rsid w:val="3EB5235D"/>
    <w:rsid w:val="3EBA0A3A"/>
    <w:rsid w:val="3EBF243D"/>
    <w:rsid w:val="3EBF7E13"/>
    <w:rsid w:val="3EC3D130"/>
    <w:rsid w:val="3EC3E28B"/>
    <w:rsid w:val="3ECA166A"/>
    <w:rsid w:val="3ED2EF13"/>
    <w:rsid w:val="3ED8329A"/>
    <w:rsid w:val="3EDD1C92"/>
    <w:rsid w:val="3EDD202A"/>
    <w:rsid w:val="3EE2065E"/>
    <w:rsid w:val="3EE55A64"/>
    <w:rsid w:val="3EE74919"/>
    <w:rsid w:val="3EE865CA"/>
    <w:rsid w:val="3EE88099"/>
    <w:rsid w:val="3EEC447F"/>
    <w:rsid w:val="3EF65EF4"/>
    <w:rsid w:val="3EF887ED"/>
    <w:rsid w:val="3EF8E264"/>
    <w:rsid w:val="3EFB98FC"/>
    <w:rsid w:val="3F041C6F"/>
    <w:rsid w:val="3F0AC6D9"/>
    <w:rsid w:val="3F109300"/>
    <w:rsid w:val="3F147A2B"/>
    <w:rsid w:val="3F172AF6"/>
    <w:rsid w:val="3F1B9BCC"/>
    <w:rsid w:val="3F1D0267"/>
    <w:rsid w:val="3F1EC9D2"/>
    <w:rsid w:val="3F1F04C3"/>
    <w:rsid w:val="3F1F5912"/>
    <w:rsid w:val="3F22061A"/>
    <w:rsid w:val="3F22B9C3"/>
    <w:rsid w:val="3F23BC78"/>
    <w:rsid w:val="3F25608C"/>
    <w:rsid w:val="3F267894"/>
    <w:rsid w:val="3F26E37B"/>
    <w:rsid w:val="3F285663"/>
    <w:rsid w:val="3F2F61EC"/>
    <w:rsid w:val="3F36C1C0"/>
    <w:rsid w:val="3F37D206"/>
    <w:rsid w:val="3F3884AD"/>
    <w:rsid w:val="3F3ED3B5"/>
    <w:rsid w:val="3F3F07C7"/>
    <w:rsid w:val="3F403B2C"/>
    <w:rsid w:val="3F4094B3"/>
    <w:rsid w:val="3F42B226"/>
    <w:rsid w:val="3F439BCA"/>
    <w:rsid w:val="3F4BCFA6"/>
    <w:rsid w:val="3F50EBF7"/>
    <w:rsid w:val="3F52DE77"/>
    <w:rsid w:val="3F5525C3"/>
    <w:rsid w:val="3F56D55A"/>
    <w:rsid w:val="3F577DD8"/>
    <w:rsid w:val="3F57E778"/>
    <w:rsid w:val="3F5914AC"/>
    <w:rsid w:val="3F5D4E59"/>
    <w:rsid w:val="3F63EAE1"/>
    <w:rsid w:val="3F6465AA"/>
    <w:rsid w:val="3F6D67CF"/>
    <w:rsid w:val="3F704C4C"/>
    <w:rsid w:val="3F737AD4"/>
    <w:rsid w:val="3F7650F4"/>
    <w:rsid w:val="3F76E1FC"/>
    <w:rsid w:val="3F7888DB"/>
    <w:rsid w:val="3F853A27"/>
    <w:rsid w:val="3F860E4E"/>
    <w:rsid w:val="3F89454B"/>
    <w:rsid w:val="3F8A9172"/>
    <w:rsid w:val="3F903EAC"/>
    <w:rsid w:val="3F90DBA1"/>
    <w:rsid w:val="3F90F06C"/>
    <w:rsid w:val="3F927FAC"/>
    <w:rsid w:val="3F92F92D"/>
    <w:rsid w:val="3F93A423"/>
    <w:rsid w:val="3F9849EF"/>
    <w:rsid w:val="3F9D2295"/>
    <w:rsid w:val="3F9DDB6E"/>
    <w:rsid w:val="3F9F3A24"/>
    <w:rsid w:val="3FA5BEAF"/>
    <w:rsid w:val="3FA68C2A"/>
    <w:rsid w:val="3FA808A9"/>
    <w:rsid w:val="3FA878F2"/>
    <w:rsid w:val="3FA9F0B3"/>
    <w:rsid w:val="3FAAAEE3"/>
    <w:rsid w:val="3FAE1526"/>
    <w:rsid w:val="3FB1470C"/>
    <w:rsid w:val="3FB1574E"/>
    <w:rsid w:val="3FB3009C"/>
    <w:rsid w:val="3FB6027C"/>
    <w:rsid w:val="3FB96647"/>
    <w:rsid w:val="3FBADADB"/>
    <w:rsid w:val="3FC75378"/>
    <w:rsid w:val="3FC95805"/>
    <w:rsid w:val="3FCB0B75"/>
    <w:rsid w:val="3FD181A5"/>
    <w:rsid w:val="3FD28C27"/>
    <w:rsid w:val="3FD2CA70"/>
    <w:rsid w:val="3FD568C7"/>
    <w:rsid w:val="3FD7F8C6"/>
    <w:rsid w:val="3FDB2A35"/>
    <w:rsid w:val="3FDBF2B4"/>
    <w:rsid w:val="3FDEEBB2"/>
    <w:rsid w:val="3FE0B193"/>
    <w:rsid w:val="3FE387C6"/>
    <w:rsid w:val="3FE5E843"/>
    <w:rsid w:val="3FE63DCF"/>
    <w:rsid w:val="3FE9BBC7"/>
    <w:rsid w:val="3FEE7747"/>
    <w:rsid w:val="3FF1D50C"/>
    <w:rsid w:val="3FF68160"/>
    <w:rsid w:val="3FFE6DEB"/>
    <w:rsid w:val="4004F305"/>
    <w:rsid w:val="4009CB82"/>
    <w:rsid w:val="400AF005"/>
    <w:rsid w:val="400F505F"/>
    <w:rsid w:val="400FA8BB"/>
    <w:rsid w:val="40109289"/>
    <w:rsid w:val="4011870F"/>
    <w:rsid w:val="4015B5F4"/>
    <w:rsid w:val="4015E6E3"/>
    <w:rsid w:val="401709E6"/>
    <w:rsid w:val="40179D09"/>
    <w:rsid w:val="401F7B81"/>
    <w:rsid w:val="401FD80A"/>
    <w:rsid w:val="40208244"/>
    <w:rsid w:val="4020F670"/>
    <w:rsid w:val="40212E6D"/>
    <w:rsid w:val="40232A88"/>
    <w:rsid w:val="4023B8C8"/>
    <w:rsid w:val="402556A7"/>
    <w:rsid w:val="402887B3"/>
    <w:rsid w:val="4032F18A"/>
    <w:rsid w:val="40332F0F"/>
    <w:rsid w:val="40358C97"/>
    <w:rsid w:val="4036AF71"/>
    <w:rsid w:val="403753B7"/>
    <w:rsid w:val="403B0BF1"/>
    <w:rsid w:val="403C8CBC"/>
    <w:rsid w:val="403D591A"/>
    <w:rsid w:val="4040FC6E"/>
    <w:rsid w:val="4041495C"/>
    <w:rsid w:val="40484006"/>
    <w:rsid w:val="40489400"/>
    <w:rsid w:val="4049F6AF"/>
    <w:rsid w:val="404CBBCA"/>
    <w:rsid w:val="405163A2"/>
    <w:rsid w:val="4057D103"/>
    <w:rsid w:val="40580191"/>
    <w:rsid w:val="4058A2C1"/>
    <w:rsid w:val="405B3231"/>
    <w:rsid w:val="405D6A95"/>
    <w:rsid w:val="405E3D03"/>
    <w:rsid w:val="40605457"/>
    <w:rsid w:val="40607064"/>
    <w:rsid w:val="4061DB1D"/>
    <w:rsid w:val="40624CD2"/>
    <w:rsid w:val="4062F9C3"/>
    <w:rsid w:val="4064F1BB"/>
    <w:rsid w:val="406626E4"/>
    <w:rsid w:val="40696C4F"/>
    <w:rsid w:val="406AC507"/>
    <w:rsid w:val="406AE771"/>
    <w:rsid w:val="406B2301"/>
    <w:rsid w:val="406C8BE2"/>
    <w:rsid w:val="406EDD51"/>
    <w:rsid w:val="4071BF92"/>
    <w:rsid w:val="4074BFEC"/>
    <w:rsid w:val="4074E35B"/>
    <w:rsid w:val="40762FBE"/>
    <w:rsid w:val="40791186"/>
    <w:rsid w:val="407A8864"/>
    <w:rsid w:val="40843CB9"/>
    <w:rsid w:val="40844840"/>
    <w:rsid w:val="408525A9"/>
    <w:rsid w:val="408527B1"/>
    <w:rsid w:val="408EF72D"/>
    <w:rsid w:val="408F7BB2"/>
    <w:rsid w:val="40922F55"/>
    <w:rsid w:val="40928DA6"/>
    <w:rsid w:val="40933BF9"/>
    <w:rsid w:val="4099A95E"/>
    <w:rsid w:val="409FDD86"/>
    <w:rsid w:val="40A16E20"/>
    <w:rsid w:val="40A875F8"/>
    <w:rsid w:val="40AD3755"/>
    <w:rsid w:val="40AFB812"/>
    <w:rsid w:val="40B331D5"/>
    <w:rsid w:val="40B4AA8C"/>
    <w:rsid w:val="40C0E17B"/>
    <w:rsid w:val="40CBD74E"/>
    <w:rsid w:val="40D04A27"/>
    <w:rsid w:val="40D41B68"/>
    <w:rsid w:val="40D53AE8"/>
    <w:rsid w:val="40D7ED7F"/>
    <w:rsid w:val="40D95C3A"/>
    <w:rsid w:val="40DCE4C6"/>
    <w:rsid w:val="40DF9D0F"/>
    <w:rsid w:val="40E17112"/>
    <w:rsid w:val="40E61DB0"/>
    <w:rsid w:val="40EDB2FC"/>
    <w:rsid w:val="40EE5F61"/>
    <w:rsid w:val="40EF6C4D"/>
    <w:rsid w:val="40EF9A6D"/>
    <w:rsid w:val="40F1B574"/>
    <w:rsid w:val="40F1D6DE"/>
    <w:rsid w:val="40F305FC"/>
    <w:rsid w:val="40F4CDB0"/>
    <w:rsid w:val="40F4FDFD"/>
    <w:rsid w:val="40F7A6FD"/>
    <w:rsid w:val="40FA2C4D"/>
    <w:rsid w:val="40FB2987"/>
    <w:rsid w:val="40FDFA53"/>
    <w:rsid w:val="40FE89C5"/>
    <w:rsid w:val="4109C565"/>
    <w:rsid w:val="4109EB07"/>
    <w:rsid w:val="410D51FF"/>
    <w:rsid w:val="410D5C96"/>
    <w:rsid w:val="410D8906"/>
    <w:rsid w:val="4111864D"/>
    <w:rsid w:val="4112B15B"/>
    <w:rsid w:val="4116FB44"/>
    <w:rsid w:val="41170098"/>
    <w:rsid w:val="41180E2D"/>
    <w:rsid w:val="41184FAC"/>
    <w:rsid w:val="4118C19F"/>
    <w:rsid w:val="411C0714"/>
    <w:rsid w:val="4122783A"/>
    <w:rsid w:val="4123852E"/>
    <w:rsid w:val="4124D7E1"/>
    <w:rsid w:val="41257AB4"/>
    <w:rsid w:val="41262B57"/>
    <w:rsid w:val="412828F9"/>
    <w:rsid w:val="41336FBB"/>
    <w:rsid w:val="4137F716"/>
    <w:rsid w:val="413818FC"/>
    <w:rsid w:val="413CEFE7"/>
    <w:rsid w:val="413EBD10"/>
    <w:rsid w:val="4145D982"/>
    <w:rsid w:val="414689FE"/>
    <w:rsid w:val="4146DB5C"/>
    <w:rsid w:val="41513E44"/>
    <w:rsid w:val="41522111"/>
    <w:rsid w:val="41537401"/>
    <w:rsid w:val="4155ABAC"/>
    <w:rsid w:val="4155D3A9"/>
    <w:rsid w:val="415657A7"/>
    <w:rsid w:val="4159267A"/>
    <w:rsid w:val="41600FDA"/>
    <w:rsid w:val="4161F071"/>
    <w:rsid w:val="4163AE70"/>
    <w:rsid w:val="4165D2C1"/>
    <w:rsid w:val="416CB7CA"/>
    <w:rsid w:val="416E8506"/>
    <w:rsid w:val="416F848C"/>
    <w:rsid w:val="41760EF9"/>
    <w:rsid w:val="4176993D"/>
    <w:rsid w:val="41779F57"/>
    <w:rsid w:val="4177E8E8"/>
    <w:rsid w:val="4179AA0A"/>
    <w:rsid w:val="4179AB4A"/>
    <w:rsid w:val="417A963D"/>
    <w:rsid w:val="417D6BD4"/>
    <w:rsid w:val="417F5124"/>
    <w:rsid w:val="418B3E2D"/>
    <w:rsid w:val="418C3ABF"/>
    <w:rsid w:val="4192AC08"/>
    <w:rsid w:val="4197E407"/>
    <w:rsid w:val="41A12BE9"/>
    <w:rsid w:val="41A5357E"/>
    <w:rsid w:val="41A578C0"/>
    <w:rsid w:val="41A680FF"/>
    <w:rsid w:val="41A7BA0A"/>
    <w:rsid w:val="41A81A40"/>
    <w:rsid w:val="41A8E330"/>
    <w:rsid w:val="41AA618B"/>
    <w:rsid w:val="41AAD971"/>
    <w:rsid w:val="41AE04BC"/>
    <w:rsid w:val="41B55B1F"/>
    <w:rsid w:val="41BA8E65"/>
    <w:rsid w:val="41BD0DDD"/>
    <w:rsid w:val="41C0A69D"/>
    <w:rsid w:val="41C38EF5"/>
    <w:rsid w:val="41C38F3B"/>
    <w:rsid w:val="41C476D4"/>
    <w:rsid w:val="41C57A51"/>
    <w:rsid w:val="41CD71C6"/>
    <w:rsid w:val="41D1A8A4"/>
    <w:rsid w:val="41D2080A"/>
    <w:rsid w:val="41D5AA46"/>
    <w:rsid w:val="41DBB17D"/>
    <w:rsid w:val="41DDB749"/>
    <w:rsid w:val="41DDC4DB"/>
    <w:rsid w:val="41E0BADD"/>
    <w:rsid w:val="41E3AE55"/>
    <w:rsid w:val="41EAD612"/>
    <w:rsid w:val="41EB410D"/>
    <w:rsid w:val="41EE0799"/>
    <w:rsid w:val="41F0236E"/>
    <w:rsid w:val="41F8C9F8"/>
    <w:rsid w:val="41F8F0E2"/>
    <w:rsid w:val="41F916CE"/>
    <w:rsid w:val="4200680C"/>
    <w:rsid w:val="4203FB34"/>
    <w:rsid w:val="4208387C"/>
    <w:rsid w:val="420A86F9"/>
    <w:rsid w:val="421210AC"/>
    <w:rsid w:val="4215812F"/>
    <w:rsid w:val="42177151"/>
    <w:rsid w:val="4218438A"/>
    <w:rsid w:val="4219A7AB"/>
    <w:rsid w:val="421BCB3C"/>
    <w:rsid w:val="421EFE5A"/>
    <w:rsid w:val="42260122"/>
    <w:rsid w:val="42289110"/>
    <w:rsid w:val="4228F1C4"/>
    <w:rsid w:val="4229A96A"/>
    <w:rsid w:val="42308D0B"/>
    <w:rsid w:val="4234D16C"/>
    <w:rsid w:val="423B0113"/>
    <w:rsid w:val="423B53B9"/>
    <w:rsid w:val="423CBD0F"/>
    <w:rsid w:val="423CF5CE"/>
    <w:rsid w:val="424281B0"/>
    <w:rsid w:val="4245E4DA"/>
    <w:rsid w:val="42494EE5"/>
    <w:rsid w:val="424AEEB0"/>
    <w:rsid w:val="42509EDF"/>
    <w:rsid w:val="42531786"/>
    <w:rsid w:val="425D33BC"/>
    <w:rsid w:val="425D8C2D"/>
    <w:rsid w:val="4261BFD9"/>
    <w:rsid w:val="42622ECC"/>
    <w:rsid w:val="42625648"/>
    <w:rsid w:val="4265569A"/>
    <w:rsid w:val="4269C4BC"/>
    <w:rsid w:val="426A04C5"/>
    <w:rsid w:val="426CF24C"/>
    <w:rsid w:val="4276513B"/>
    <w:rsid w:val="4276B8B8"/>
    <w:rsid w:val="42790802"/>
    <w:rsid w:val="427A429B"/>
    <w:rsid w:val="427C217E"/>
    <w:rsid w:val="4284EA18"/>
    <w:rsid w:val="428D01CC"/>
    <w:rsid w:val="42908A50"/>
    <w:rsid w:val="429199C1"/>
    <w:rsid w:val="42951FC1"/>
    <w:rsid w:val="4295B1A1"/>
    <w:rsid w:val="42981A02"/>
    <w:rsid w:val="4298FDFE"/>
    <w:rsid w:val="429E4928"/>
    <w:rsid w:val="429FDA8F"/>
    <w:rsid w:val="42A0D1DC"/>
    <w:rsid w:val="42A2E559"/>
    <w:rsid w:val="42A5E140"/>
    <w:rsid w:val="42A84EF1"/>
    <w:rsid w:val="42AA6E7B"/>
    <w:rsid w:val="42ADED8A"/>
    <w:rsid w:val="42AE5352"/>
    <w:rsid w:val="42B0F759"/>
    <w:rsid w:val="42B4D464"/>
    <w:rsid w:val="42B92CCB"/>
    <w:rsid w:val="42B99EBE"/>
    <w:rsid w:val="42BB7993"/>
    <w:rsid w:val="42BC7488"/>
    <w:rsid w:val="42BE619D"/>
    <w:rsid w:val="42C65474"/>
    <w:rsid w:val="42C71325"/>
    <w:rsid w:val="42CEB182"/>
    <w:rsid w:val="42D13C39"/>
    <w:rsid w:val="42D91067"/>
    <w:rsid w:val="42E3AE90"/>
    <w:rsid w:val="42E4151E"/>
    <w:rsid w:val="42E65674"/>
    <w:rsid w:val="42E6BE4C"/>
    <w:rsid w:val="42E6C1F5"/>
    <w:rsid w:val="42E8397C"/>
    <w:rsid w:val="42E8F1AB"/>
    <w:rsid w:val="42EAA8FB"/>
    <w:rsid w:val="42ECC7A8"/>
    <w:rsid w:val="42ED4A7C"/>
    <w:rsid w:val="42EF25AF"/>
    <w:rsid w:val="42F74E67"/>
    <w:rsid w:val="42FCF96C"/>
    <w:rsid w:val="43025433"/>
    <w:rsid w:val="43189CB9"/>
    <w:rsid w:val="4318B106"/>
    <w:rsid w:val="43199A01"/>
    <w:rsid w:val="431D837D"/>
    <w:rsid w:val="43215AF7"/>
    <w:rsid w:val="4323F079"/>
    <w:rsid w:val="4329139E"/>
    <w:rsid w:val="432B9D8D"/>
    <w:rsid w:val="432CA9F5"/>
    <w:rsid w:val="432FC0B0"/>
    <w:rsid w:val="432FF5D8"/>
    <w:rsid w:val="43320D48"/>
    <w:rsid w:val="433D9FB2"/>
    <w:rsid w:val="43407CBA"/>
    <w:rsid w:val="434445C4"/>
    <w:rsid w:val="4345A70B"/>
    <w:rsid w:val="4346A85D"/>
    <w:rsid w:val="43472141"/>
    <w:rsid w:val="43476B57"/>
    <w:rsid w:val="434CE695"/>
    <w:rsid w:val="434E85D2"/>
    <w:rsid w:val="434F9B69"/>
    <w:rsid w:val="434FB96D"/>
    <w:rsid w:val="434FF65C"/>
    <w:rsid w:val="43552923"/>
    <w:rsid w:val="43552F5C"/>
    <w:rsid w:val="435A1562"/>
    <w:rsid w:val="435D4DF4"/>
    <w:rsid w:val="435E8290"/>
    <w:rsid w:val="436066ED"/>
    <w:rsid w:val="436088D5"/>
    <w:rsid w:val="4368BE73"/>
    <w:rsid w:val="436E270A"/>
    <w:rsid w:val="436E6C9D"/>
    <w:rsid w:val="436F6A03"/>
    <w:rsid w:val="4370B150"/>
    <w:rsid w:val="4370D37F"/>
    <w:rsid w:val="437435C2"/>
    <w:rsid w:val="4375E131"/>
    <w:rsid w:val="4375F941"/>
    <w:rsid w:val="43764C13"/>
    <w:rsid w:val="4377FF8B"/>
    <w:rsid w:val="43794D65"/>
    <w:rsid w:val="4380EC2A"/>
    <w:rsid w:val="43864D11"/>
    <w:rsid w:val="4389EF43"/>
    <w:rsid w:val="438C85C8"/>
    <w:rsid w:val="438E2895"/>
    <w:rsid w:val="43937C47"/>
    <w:rsid w:val="4393E072"/>
    <w:rsid w:val="43948564"/>
    <w:rsid w:val="43956572"/>
    <w:rsid w:val="43976A6B"/>
    <w:rsid w:val="4398CFED"/>
    <w:rsid w:val="43A08416"/>
    <w:rsid w:val="43A12E65"/>
    <w:rsid w:val="43AAD0B2"/>
    <w:rsid w:val="43AC3ABE"/>
    <w:rsid w:val="43AD7723"/>
    <w:rsid w:val="43AF762A"/>
    <w:rsid w:val="43B2782F"/>
    <w:rsid w:val="43BB8E39"/>
    <w:rsid w:val="43BC31D1"/>
    <w:rsid w:val="43BEEF75"/>
    <w:rsid w:val="43C091EA"/>
    <w:rsid w:val="43C0E0ED"/>
    <w:rsid w:val="43C3398E"/>
    <w:rsid w:val="43C43C58"/>
    <w:rsid w:val="43C55BE8"/>
    <w:rsid w:val="43C5C5ED"/>
    <w:rsid w:val="43C7F4D3"/>
    <w:rsid w:val="43C83457"/>
    <w:rsid w:val="43CE247A"/>
    <w:rsid w:val="43D0FB3C"/>
    <w:rsid w:val="43D23315"/>
    <w:rsid w:val="43D4D64B"/>
    <w:rsid w:val="43D7890F"/>
    <w:rsid w:val="43D9C073"/>
    <w:rsid w:val="43DF2D0C"/>
    <w:rsid w:val="43DFCD0B"/>
    <w:rsid w:val="43E2AD79"/>
    <w:rsid w:val="43E4B990"/>
    <w:rsid w:val="43E67EB8"/>
    <w:rsid w:val="43E8968C"/>
    <w:rsid w:val="43EA2F7E"/>
    <w:rsid w:val="43EA77EC"/>
    <w:rsid w:val="43EB40F7"/>
    <w:rsid w:val="43ED4B3C"/>
    <w:rsid w:val="43EE8D4A"/>
    <w:rsid w:val="43EED07F"/>
    <w:rsid w:val="43F194D0"/>
    <w:rsid w:val="43F41EC2"/>
    <w:rsid w:val="43FF745D"/>
    <w:rsid w:val="44013F91"/>
    <w:rsid w:val="4404DFB9"/>
    <w:rsid w:val="4406E808"/>
    <w:rsid w:val="4408217F"/>
    <w:rsid w:val="440AC92D"/>
    <w:rsid w:val="440D3AAA"/>
    <w:rsid w:val="4410D8E8"/>
    <w:rsid w:val="4411E200"/>
    <w:rsid w:val="4412D338"/>
    <w:rsid w:val="4413FC1B"/>
    <w:rsid w:val="4414753B"/>
    <w:rsid w:val="4415EF05"/>
    <w:rsid w:val="44162AB4"/>
    <w:rsid w:val="44181172"/>
    <w:rsid w:val="441A2FAD"/>
    <w:rsid w:val="441A4FA7"/>
    <w:rsid w:val="441B19F0"/>
    <w:rsid w:val="441B9E2F"/>
    <w:rsid w:val="441EC3ED"/>
    <w:rsid w:val="4423D0D9"/>
    <w:rsid w:val="4425076B"/>
    <w:rsid w:val="4426B1BB"/>
    <w:rsid w:val="4428552F"/>
    <w:rsid w:val="44286069"/>
    <w:rsid w:val="4429E881"/>
    <w:rsid w:val="442DA8BC"/>
    <w:rsid w:val="442E6BD4"/>
    <w:rsid w:val="442FCAA9"/>
    <w:rsid w:val="44314167"/>
    <w:rsid w:val="4431E013"/>
    <w:rsid w:val="44361DE2"/>
    <w:rsid w:val="44370F97"/>
    <w:rsid w:val="44386944"/>
    <w:rsid w:val="443B5506"/>
    <w:rsid w:val="443B5D19"/>
    <w:rsid w:val="443B6E53"/>
    <w:rsid w:val="443C139C"/>
    <w:rsid w:val="44420168"/>
    <w:rsid w:val="4443986B"/>
    <w:rsid w:val="444523C5"/>
    <w:rsid w:val="44483815"/>
    <w:rsid w:val="44485D71"/>
    <w:rsid w:val="444C0884"/>
    <w:rsid w:val="4450BE00"/>
    <w:rsid w:val="44525109"/>
    <w:rsid w:val="4452C3FA"/>
    <w:rsid w:val="4455439F"/>
    <w:rsid w:val="44578E3F"/>
    <w:rsid w:val="4458433B"/>
    <w:rsid w:val="445E0690"/>
    <w:rsid w:val="4462B0B9"/>
    <w:rsid w:val="446C1D18"/>
    <w:rsid w:val="446C6C44"/>
    <w:rsid w:val="446C82E0"/>
    <w:rsid w:val="446E63ED"/>
    <w:rsid w:val="4470BBE7"/>
    <w:rsid w:val="4472E65D"/>
    <w:rsid w:val="4474A286"/>
    <w:rsid w:val="44784B16"/>
    <w:rsid w:val="44785B85"/>
    <w:rsid w:val="4478C4E5"/>
    <w:rsid w:val="447F0369"/>
    <w:rsid w:val="447F37AB"/>
    <w:rsid w:val="44805B04"/>
    <w:rsid w:val="4480CA95"/>
    <w:rsid w:val="4482D092"/>
    <w:rsid w:val="448309A8"/>
    <w:rsid w:val="44833BC0"/>
    <w:rsid w:val="4483A624"/>
    <w:rsid w:val="4485B564"/>
    <w:rsid w:val="44868249"/>
    <w:rsid w:val="448FBB8D"/>
    <w:rsid w:val="44913692"/>
    <w:rsid w:val="44966861"/>
    <w:rsid w:val="449FC632"/>
    <w:rsid w:val="44A2B9C2"/>
    <w:rsid w:val="44A4CB7A"/>
    <w:rsid w:val="44A60D18"/>
    <w:rsid w:val="44A65B41"/>
    <w:rsid w:val="44A94093"/>
    <w:rsid w:val="44B72CD5"/>
    <w:rsid w:val="44B7BCA6"/>
    <w:rsid w:val="44BE4D54"/>
    <w:rsid w:val="44C0A3CC"/>
    <w:rsid w:val="44C1F960"/>
    <w:rsid w:val="44C2E484"/>
    <w:rsid w:val="44C311CF"/>
    <w:rsid w:val="44C38F5D"/>
    <w:rsid w:val="44CB3EF5"/>
    <w:rsid w:val="44CCD5E0"/>
    <w:rsid w:val="44CD0541"/>
    <w:rsid w:val="44CF3788"/>
    <w:rsid w:val="44D07373"/>
    <w:rsid w:val="44D5A393"/>
    <w:rsid w:val="44D82F0A"/>
    <w:rsid w:val="44DA2628"/>
    <w:rsid w:val="44DB0523"/>
    <w:rsid w:val="44DE71E6"/>
    <w:rsid w:val="44E0C9A3"/>
    <w:rsid w:val="44E45476"/>
    <w:rsid w:val="44E5336F"/>
    <w:rsid w:val="44EF2F89"/>
    <w:rsid w:val="44F07E93"/>
    <w:rsid w:val="44F1843E"/>
    <w:rsid w:val="44F18608"/>
    <w:rsid w:val="44F3DF8A"/>
    <w:rsid w:val="44F42C49"/>
    <w:rsid w:val="44F73C7F"/>
    <w:rsid w:val="44F9B407"/>
    <w:rsid w:val="44FCB507"/>
    <w:rsid w:val="45000FF7"/>
    <w:rsid w:val="450359FA"/>
    <w:rsid w:val="45037463"/>
    <w:rsid w:val="45043A72"/>
    <w:rsid w:val="450B3466"/>
    <w:rsid w:val="450C2248"/>
    <w:rsid w:val="45174EF7"/>
    <w:rsid w:val="45177C87"/>
    <w:rsid w:val="451C3D3A"/>
    <w:rsid w:val="451CB087"/>
    <w:rsid w:val="451EA699"/>
    <w:rsid w:val="4521260E"/>
    <w:rsid w:val="45260AC6"/>
    <w:rsid w:val="4529DE13"/>
    <w:rsid w:val="452F9EF0"/>
    <w:rsid w:val="452FE01B"/>
    <w:rsid w:val="4530E49C"/>
    <w:rsid w:val="45342320"/>
    <w:rsid w:val="453A4706"/>
    <w:rsid w:val="454042B4"/>
    <w:rsid w:val="45421622"/>
    <w:rsid w:val="4547F4E5"/>
    <w:rsid w:val="454B1BAD"/>
    <w:rsid w:val="454F11B6"/>
    <w:rsid w:val="454F97B4"/>
    <w:rsid w:val="4550F184"/>
    <w:rsid w:val="455A5A81"/>
    <w:rsid w:val="455DC845"/>
    <w:rsid w:val="456629CD"/>
    <w:rsid w:val="456920FD"/>
    <w:rsid w:val="456A5C60"/>
    <w:rsid w:val="456BE5A1"/>
    <w:rsid w:val="456BFA26"/>
    <w:rsid w:val="45755319"/>
    <w:rsid w:val="4575FABC"/>
    <w:rsid w:val="4578B638"/>
    <w:rsid w:val="4578BE87"/>
    <w:rsid w:val="457941A5"/>
    <w:rsid w:val="4579CC99"/>
    <w:rsid w:val="457A3FA3"/>
    <w:rsid w:val="457C960D"/>
    <w:rsid w:val="457F924D"/>
    <w:rsid w:val="4582A2F9"/>
    <w:rsid w:val="45849668"/>
    <w:rsid w:val="4585FE87"/>
    <w:rsid w:val="4588F04D"/>
    <w:rsid w:val="458D0B94"/>
    <w:rsid w:val="458E1694"/>
    <w:rsid w:val="458FBAE2"/>
    <w:rsid w:val="4591436A"/>
    <w:rsid w:val="4591BA36"/>
    <w:rsid w:val="4597C80E"/>
    <w:rsid w:val="459AFE23"/>
    <w:rsid w:val="459BA96F"/>
    <w:rsid w:val="459D57E7"/>
    <w:rsid w:val="459D6539"/>
    <w:rsid w:val="45A1C49F"/>
    <w:rsid w:val="45A652C9"/>
    <w:rsid w:val="45AB86D0"/>
    <w:rsid w:val="45B15044"/>
    <w:rsid w:val="45B8D1C7"/>
    <w:rsid w:val="45BA707D"/>
    <w:rsid w:val="45BCD9BA"/>
    <w:rsid w:val="45BF2414"/>
    <w:rsid w:val="45BFBA62"/>
    <w:rsid w:val="45D0C7F6"/>
    <w:rsid w:val="45D237B5"/>
    <w:rsid w:val="45D4BBB5"/>
    <w:rsid w:val="45D4F77C"/>
    <w:rsid w:val="45D5598D"/>
    <w:rsid w:val="45D5A80F"/>
    <w:rsid w:val="45D923B1"/>
    <w:rsid w:val="45DA86DD"/>
    <w:rsid w:val="45DB579A"/>
    <w:rsid w:val="45DEA54A"/>
    <w:rsid w:val="45E40498"/>
    <w:rsid w:val="45E69DCB"/>
    <w:rsid w:val="45E92DA9"/>
    <w:rsid w:val="45E97730"/>
    <w:rsid w:val="45EA521B"/>
    <w:rsid w:val="45F028C1"/>
    <w:rsid w:val="45F18831"/>
    <w:rsid w:val="45F1A9ED"/>
    <w:rsid w:val="45F691B1"/>
    <w:rsid w:val="45F6BF28"/>
    <w:rsid w:val="45F74B4F"/>
    <w:rsid w:val="45FBEBF2"/>
    <w:rsid w:val="460393E6"/>
    <w:rsid w:val="46070D45"/>
    <w:rsid w:val="4611C69B"/>
    <w:rsid w:val="4611DFCD"/>
    <w:rsid w:val="4612BCB7"/>
    <w:rsid w:val="461326B0"/>
    <w:rsid w:val="461438ED"/>
    <w:rsid w:val="46157787"/>
    <w:rsid w:val="461A1DFD"/>
    <w:rsid w:val="461B49A7"/>
    <w:rsid w:val="461BCE11"/>
    <w:rsid w:val="46248C2D"/>
    <w:rsid w:val="4626672A"/>
    <w:rsid w:val="462A8DBC"/>
    <w:rsid w:val="462DAF67"/>
    <w:rsid w:val="46333472"/>
    <w:rsid w:val="4638AC09"/>
    <w:rsid w:val="463D2B87"/>
    <w:rsid w:val="46412C0B"/>
    <w:rsid w:val="46421575"/>
    <w:rsid w:val="46433CD3"/>
    <w:rsid w:val="4644B628"/>
    <w:rsid w:val="4648FDA2"/>
    <w:rsid w:val="464D0745"/>
    <w:rsid w:val="4651E8FB"/>
    <w:rsid w:val="4652055F"/>
    <w:rsid w:val="4656673E"/>
    <w:rsid w:val="465A1B31"/>
    <w:rsid w:val="465B4C30"/>
    <w:rsid w:val="46636CBE"/>
    <w:rsid w:val="46656466"/>
    <w:rsid w:val="4668B027"/>
    <w:rsid w:val="466977BE"/>
    <w:rsid w:val="466D9D30"/>
    <w:rsid w:val="4671A3F3"/>
    <w:rsid w:val="4672DE1E"/>
    <w:rsid w:val="4673BE21"/>
    <w:rsid w:val="46751A86"/>
    <w:rsid w:val="4675D8C6"/>
    <w:rsid w:val="467A91EC"/>
    <w:rsid w:val="467EC452"/>
    <w:rsid w:val="467F8C88"/>
    <w:rsid w:val="46812720"/>
    <w:rsid w:val="468245CB"/>
    <w:rsid w:val="468F4C8E"/>
    <w:rsid w:val="468FCFB9"/>
    <w:rsid w:val="4690FC90"/>
    <w:rsid w:val="46925DC1"/>
    <w:rsid w:val="469377E2"/>
    <w:rsid w:val="469A076F"/>
    <w:rsid w:val="46A204AC"/>
    <w:rsid w:val="46A37275"/>
    <w:rsid w:val="46A52C1C"/>
    <w:rsid w:val="46AC0B5B"/>
    <w:rsid w:val="46B2D1E0"/>
    <w:rsid w:val="46B58D4D"/>
    <w:rsid w:val="46B68F7E"/>
    <w:rsid w:val="46BD6029"/>
    <w:rsid w:val="46BF80DA"/>
    <w:rsid w:val="46BFAF7F"/>
    <w:rsid w:val="46C2CC07"/>
    <w:rsid w:val="46C2CC63"/>
    <w:rsid w:val="46C2DB9A"/>
    <w:rsid w:val="46C8AF1F"/>
    <w:rsid w:val="46C8F644"/>
    <w:rsid w:val="46CC953E"/>
    <w:rsid w:val="46D09B79"/>
    <w:rsid w:val="46D44478"/>
    <w:rsid w:val="46DAA9AC"/>
    <w:rsid w:val="46DE6DBA"/>
    <w:rsid w:val="46E033F7"/>
    <w:rsid w:val="46EB0CB2"/>
    <w:rsid w:val="46F010E8"/>
    <w:rsid w:val="46F28638"/>
    <w:rsid w:val="46F28B1A"/>
    <w:rsid w:val="46F600CC"/>
    <w:rsid w:val="46F78B9B"/>
    <w:rsid w:val="46F82CC8"/>
    <w:rsid w:val="46FB2614"/>
    <w:rsid w:val="46FBF01C"/>
    <w:rsid w:val="46FC1415"/>
    <w:rsid w:val="46FEEC42"/>
    <w:rsid w:val="47019930"/>
    <w:rsid w:val="47025417"/>
    <w:rsid w:val="4702FCED"/>
    <w:rsid w:val="470490B5"/>
    <w:rsid w:val="4705855F"/>
    <w:rsid w:val="4706CF86"/>
    <w:rsid w:val="470797FE"/>
    <w:rsid w:val="47096223"/>
    <w:rsid w:val="470A4DE0"/>
    <w:rsid w:val="470A89F6"/>
    <w:rsid w:val="47108069"/>
    <w:rsid w:val="47110D4B"/>
    <w:rsid w:val="4715487E"/>
    <w:rsid w:val="4715A724"/>
    <w:rsid w:val="4717AD15"/>
    <w:rsid w:val="471AD6F2"/>
    <w:rsid w:val="471AF85E"/>
    <w:rsid w:val="471B3456"/>
    <w:rsid w:val="471CF7BD"/>
    <w:rsid w:val="471E0CC3"/>
    <w:rsid w:val="47207C3E"/>
    <w:rsid w:val="47220C32"/>
    <w:rsid w:val="47224190"/>
    <w:rsid w:val="4729A443"/>
    <w:rsid w:val="4729F4B9"/>
    <w:rsid w:val="472AE286"/>
    <w:rsid w:val="472CD92F"/>
    <w:rsid w:val="47325819"/>
    <w:rsid w:val="47362996"/>
    <w:rsid w:val="473ACDD4"/>
    <w:rsid w:val="473B10D0"/>
    <w:rsid w:val="473E3C02"/>
    <w:rsid w:val="47413D1E"/>
    <w:rsid w:val="4743404E"/>
    <w:rsid w:val="47472C1D"/>
    <w:rsid w:val="474B20DF"/>
    <w:rsid w:val="474E5A84"/>
    <w:rsid w:val="47550B15"/>
    <w:rsid w:val="47559B60"/>
    <w:rsid w:val="4755BC31"/>
    <w:rsid w:val="47587C37"/>
    <w:rsid w:val="475AAF67"/>
    <w:rsid w:val="4760C6B9"/>
    <w:rsid w:val="4760DDEA"/>
    <w:rsid w:val="4764CE60"/>
    <w:rsid w:val="476DDEA7"/>
    <w:rsid w:val="476F7E72"/>
    <w:rsid w:val="4774943D"/>
    <w:rsid w:val="4777D8BC"/>
    <w:rsid w:val="47791E49"/>
    <w:rsid w:val="47793FD2"/>
    <w:rsid w:val="477B2FF8"/>
    <w:rsid w:val="477E863C"/>
    <w:rsid w:val="477F00C7"/>
    <w:rsid w:val="47816CC9"/>
    <w:rsid w:val="4789D773"/>
    <w:rsid w:val="478B65C9"/>
    <w:rsid w:val="478E1C83"/>
    <w:rsid w:val="47931322"/>
    <w:rsid w:val="479584E0"/>
    <w:rsid w:val="4795AB82"/>
    <w:rsid w:val="4795EADD"/>
    <w:rsid w:val="4796F6F2"/>
    <w:rsid w:val="47975AB6"/>
    <w:rsid w:val="479AA590"/>
    <w:rsid w:val="479F8376"/>
    <w:rsid w:val="479FB64E"/>
    <w:rsid w:val="47A03FF1"/>
    <w:rsid w:val="47A14823"/>
    <w:rsid w:val="47A1F8C2"/>
    <w:rsid w:val="47A20296"/>
    <w:rsid w:val="47A4CCB0"/>
    <w:rsid w:val="47A8D0F3"/>
    <w:rsid w:val="47AA6681"/>
    <w:rsid w:val="47B10773"/>
    <w:rsid w:val="47B2D32E"/>
    <w:rsid w:val="47B43707"/>
    <w:rsid w:val="47B5ADEC"/>
    <w:rsid w:val="47B76277"/>
    <w:rsid w:val="47BBF205"/>
    <w:rsid w:val="47C20AB7"/>
    <w:rsid w:val="47C7DFAC"/>
    <w:rsid w:val="47CA3206"/>
    <w:rsid w:val="47CF75AD"/>
    <w:rsid w:val="47D35BB5"/>
    <w:rsid w:val="47D41476"/>
    <w:rsid w:val="47D762D3"/>
    <w:rsid w:val="47D8AF19"/>
    <w:rsid w:val="47D8E408"/>
    <w:rsid w:val="47D93792"/>
    <w:rsid w:val="47D93BCE"/>
    <w:rsid w:val="47DBDE2C"/>
    <w:rsid w:val="47DCA525"/>
    <w:rsid w:val="47E05835"/>
    <w:rsid w:val="47E12ED5"/>
    <w:rsid w:val="47E69CF4"/>
    <w:rsid w:val="47E69FE2"/>
    <w:rsid w:val="47E75114"/>
    <w:rsid w:val="47E7A419"/>
    <w:rsid w:val="47E7E90F"/>
    <w:rsid w:val="47E8DF0E"/>
    <w:rsid w:val="47EAF392"/>
    <w:rsid w:val="47F01DBD"/>
    <w:rsid w:val="47F7A097"/>
    <w:rsid w:val="47FFE574"/>
    <w:rsid w:val="4805C281"/>
    <w:rsid w:val="4806BF53"/>
    <w:rsid w:val="480C9284"/>
    <w:rsid w:val="480FBA76"/>
    <w:rsid w:val="481077A5"/>
    <w:rsid w:val="48108D4D"/>
    <w:rsid w:val="481336A8"/>
    <w:rsid w:val="481454C4"/>
    <w:rsid w:val="4814C644"/>
    <w:rsid w:val="4815B814"/>
    <w:rsid w:val="48176F79"/>
    <w:rsid w:val="4819DE98"/>
    <w:rsid w:val="481CC4FC"/>
    <w:rsid w:val="481E7856"/>
    <w:rsid w:val="481F23BB"/>
    <w:rsid w:val="481F2BA9"/>
    <w:rsid w:val="4820EDFF"/>
    <w:rsid w:val="4823E18F"/>
    <w:rsid w:val="4825F847"/>
    <w:rsid w:val="482C531F"/>
    <w:rsid w:val="482D2303"/>
    <w:rsid w:val="483301B3"/>
    <w:rsid w:val="48336CD9"/>
    <w:rsid w:val="4836FF59"/>
    <w:rsid w:val="48387A3B"/>
    <w:rsid w:val="4839D46D"/>
    <w:rsid w:val="483BACE0"/>
    <w:rsid w:val="483DC7B0"/>
    <w:rsid w:val="483FE84D"/>
    <w:rsid w:val="4842232A"/>
    <w:rsid w:val="4848A880"/>
    <w:rsid w:val="484E3864"/>
    <w:rsid w:val="4851216B"/>
    <w:rsid w:val="4857415B"/>
    <w:rsid w:val="48586196"/>
    <w:rsid w:val="485D0993"/>
    <w:rsid w:val="485D21B5"/>
    <w:rsid w:val="4862C7D0"/>
    <w:rsid w:val="4863609F"/>
    <w:rsid w:val="48642080"/>
    <w:rsid w:val="4866F0F3"/>
    <w:rsid w:val="486ADA9D"/>
    <w:rsid w:val="486BA660"/>
    <w:rsid w:val="486D8614"/>
    <w:rsid w:val="4870AD02"/>
    <w:rsid w:val="48726996"/>
    <w:rsid w:val="4873BEAD"/>
    <w:rsid w:val="4875B677"/>
    <w:rsid w:val="487625F7"/>
    <w:rsid w:val="4878A259"/>
    <w:rsid w:val="487D5F89"/>
    <w:rsid w:val="487E7B41"/>
    <w:rsid w:val="487FFB4C"/>
    <w:rsid w:val="48813DF7"/>
    <w:rsid w:val="4881BF35"/>
    <w:rsid w:val="48852970"/>
    <w:rsid w:val="488B3644"/>
    <w:rsid w:val="488D1A57"/>
    <w:rsid w:val="4891B5B5"/>
    <w:rsid w:val="489236EE"/>
    <w:rsid w:val="48941352"/>
    <w:rsid w:val="489469A4"/>
    <w:rsid w:val="489723FD"/>
    <w:rsid w:val="4898BD20"/>
    <w:rsid w:val="489E057C"/>
    <w:rsid w:val="489E5377"/>
    <w:rsid w:val="48A439F3"/>
    <w:rsid w:val="48A5AA71"/>
    <w:rsid w:val="48A7C888"/>
    <w:rsid w:val="48A7CB62"/>
    <w:rsid w:val="48A9627B"/>
    <w:rsid w:val="48AA2C6D"/>
    <w:rsid w:val="48AD37BE"/>
    <w:rsid w:val="48AF5B9B"/>
    <w:rsid w:val="48AFC57F"/>
    <w:rsid w:val="48B15011"/>
    <w:rsid w:val="48B4EF92"/>
    <w:rsid w:val="48B51423"/>
    <w:rsid w:val="48B5154A"/>
    <w:rsid w:val="48BA5C13"/>
    <w:rsid w:val="48C4CDA9"/>
    <w:rsid w:val="48C69E33"/>
    <w:rsid w:val="48C8A990"/>
    <w:rsid w:val="48D21A7F"/>
    <w:rsid w:val="48D4B1F2"/>
    <w:rsid w:val="48D5E8B7"/>
    <w:rsid w:val="48DA05B2"/>
    <w:rsid w:val="48DAA663"/>
    <w:rsid w:val="48DAB1E4"/>
    <w:rsid w:val="48E11028"/>
    <w:rsid w:val="48E41540"/>
    <w:rsid w:val="48E60882"/>
    <w:rsid w:val="48EEC51A"/>
    <w:rsid w:val="48F130D0"/>
    <w:rsid w:val="48F23B93"/>
    <w:rsid w:val="48F406CE"/>
    <w:rsid w:val="48F4DA65"/>
    <w:rsid w:val="48F59E2B"/>
    <w:rsid w:val="48F87431"/>
    <w:rsid w:val="48FC3DA1"/>
    <w:rsid w:val="48FF554C"/>
    <w:rsid w:val="48FF75DD"/>
    <w:rsid w:val="4900A5B9"/>
    <w:rsid w:val="4900B8C9"/>
    <w:rsid w:val="49017C68"/>
    <w:rsid w:val="4902998A"/>
    <w:rsid w:val="49075435"/>
    <w:rsid w:val="490DB546"/>
    <w:rsid w:val="490DF116"/>
    <w:rsid w:val="490F96BB"/>
    <w:rsid w:val="4914DA3E"/>
    <w:rsid w:val="49188C4B"/>
    <w:rsid w:val="49192409"/>
    <w:rsid w:val="491B648D"/>
    <w:rsid w:val="491B70D9"/>
    <w:rsid w:val="4922C00E"/>
    <w:rsid w:val="49291509"/>
    <w:rsid w:val="492926C7"/>
    <w:rsid w:val="492CAD59"/>
    <w:rsid w:val="49354644"/>
    <w:rsid w:val="4936E9B8"/>
    <w:rsid w:val="49374254"/>
    <w:rsid w:val="49386A03"/>
    <w:rsid w:val="493B97A7"/>
    <w:rsid w:val="493CDE30"/>
    <w:rsid w:val="493FF7B0"/>
    <w:rsid w:val="49443C1E"/>
    <w:rsid w:val="4947270C"/>
    <w:rsid w:val="494EE204"/>
    <w:rsid w:val="494FC752"/>
    <w:rsid w:val="49558B4D"/>
    <w:rsid w:val="495CB638"/>
    <w:rsid w:val="4962FE89"/>
    <w:rsid w:val="49662CAC"/>
    <w:rsid w:val="4966FFAB"/>
    <w:rsid w:val="496A170D"/>
    <w:rsid w:val="496BC14F"/>
    <w:rsid w:val="496DF610"/>
    <w:rsid w:val="4975D961"/>
    <w:rsid w:val="49767A0C"/>
    <w:rsid w:val="4979CF33"/>
    <w:rsid w:val="497CA2AE"/>
    <w:rsid w:val="49827E25"/>
    <w:rsid w:val="4983D5CE"/>
    <w:rsid w:val="4987118C"/>
    <w:rsid w:val="498A274E"/>
    <w:rsid w:val="498E3AD6"/>
    <w:rsid w:val="498EFF47"/>
    <w:rsid w:val="49920969"/>
    <w:rsid w:val="4995CF7F"/>
    <w:rsid w:val="4996DBC5"/>
    <w:rsid w:val="49A189F4"/>
    <w:rsid w:val="49A24A19"/>
    <w:rsid w:val="49A268FA"/>
    <w:rsid w:val="49A33AEA"/>
    <w:rsid w:val="49A6E728"/>
    <w:rsid w:val="49AB6476"/>
    <w:rsid w:val="49AE6BC5"/>
    <w:rsid w:val="49B1C74A"/>
    <w:rsid w:val="49B4F6C8"/>
    <w:rsid w:val="49B67212"/>
    <w:rsid w:val="49B8814D"/>
    <w:rsid w:val="49B98737"/>
    <w:rsid w:val="49B9B501"/>
    <w:rsid w:val="49BAA054"/>
    <w:rsid w:val="49BADC52"/>
    <w:rsid w:val="49BF4234"/>
    <w:rsid w:val="49C126EC"/>
    <w:rsid w:val="49C13D8A"/>
    <w:rsid w:val="49C1B0E0"/>
    <w:rsid w:val="49C346AA"/>
    <w:rsid w:val="49C40FCF"/>
    <w:rsid w:val="49C77F9D"/>
    <w:rsid w:val="49CA0C03"/>
    <w:rsid w:val="49D2B970"/>
    <w:rsid w:val="49D3407C"/>
    <w:rsid w:val="49E10E92"/>
    <w:rsid w:val="49E9836B"/>
    <w:rsid w:val="49EBA15C"/>
    <w:rsid w:val="49EC76E7"/>
    <w:rsid w:val="49EE03AA"/>
    <w:rsid w:val="49F3E802"/>
    <w:rsid w:val="49FABDD0"/>
    <w:rsid w:val="49FCF3F2"/>
    <w:rsid w:val="49FD81ED"/>
    <w:rsid w:val="4A01AF17"/>
    <w:rsid w:val="4A01E9B4"/>
    <w:rsid w:val="4A064342"/>
    <w:rsid w:val="4A07F49E"/>
    <w:rsid w:val="4A08DA28"/>
    <w:rsid w:val="4A0A6003"/>
    <w:rsid w:val="4A0B34B7"/>
    <w:rsid w:val="4A0DD888"/>
    <w:rsid w:val="4A1883EF"/>
    <w:rsid w:val="4A1E01B8"/>
    <w:rsid w:val="4A1E69B0"/>
    <w:rsid w:val="4A1F3DCB"/>
    <w:rsid w:val="4A203107"/>
    <w:rsid w:val="4A21FF92"/>
    <w:rsid w:val="4A256988"/>
    <w:rsid w:val="4A25BB57"/>
    <w:rsid w:val="4A28C73E"/>
    <w:rsid w:val="4A28FEC4"/>
    <w:rsid w:val="4A292D47"/>
    <w:rsid w:val="4A299E29"/>
    <w:rsid w:val="4A2B8371"/>
    <w:rsid w:val="4A30E102"/>
    <w:rsid w:val="4A340849"/>
    <w:rsid w:val="4A393E38"/>
    <w:rsid w:val="4A3A7C06"/>
    <w:rsid w:val="4A3ABDB8"/>
    <w:rsid w:val="4A3B8707"/>
    <w:rsid w:val="4A3D0F7D"/>
    <w:rsid w:val="4A3D3961"/>
    <w:rsid w:val="4A3F1317"/>
    <w:rsid w:val="4A42059D"/>
    <w:rsid w:val="4A44A7A1"/>
    <w:rsid w:val="4A455E50"/>
    <w:rsid w:val="4A4D0EF9"/>
    <w:rsid w:val="4A5568BE"/>
    <w:rsid w:val="4A5B0594"/>
    <w:rsid w:val="4A604F28"/>
    <w:rsid w:val="4A6D66AF"/>
    <w:rsid w:val="4A706787"/>
    <w:rsid w:val="4A749D30"/>
    <w:rsid w:val="4A74AAB6"/>
    <w:rsid w:val="4A75CB62"/>
    <w:rsid w:val="4A77E245"/>
    <w:rsid w:val="4A78AE45"/>
    <w:rsid w:val="4A7967ED"/>
    <w:rsid w:val="4A7A69DB"/>
    <w:rsid w:val="4A867198"/>
    <w:rsid w:val="4A87D89A"/>
    <w:rsid w:val="4A8AE3D8"/>
    <w:rsid w:val="4A8BA8CC"/>
    <w:rsid w:val="4A91B5C5"/>
    <w:rsid w:val="4A97BCF3"/>
    <w:rsid w:val="4A9905BD"/>
    <w:rsid w:val="4A9DE896"/>
    <w:rsid w:val="4A9FFC56"/>
    <w:rsid w:val="4AA2ECE5"/>
    <w:rsid w:val="4AA4A480"/>
    <w:rsid w:val="4AA4A51C"/>
    <w:rsid w:val="4AA4E01F"/>
    <w:rsid w:val="4AA7F6C5"/>
    <w:rsid w:val="4AA934FB"/>
    <w:rsid w:val="4AB726FC"/>
    <w:rsid w:val="4ABAF616"/>
    <w:rsid w:val="4ABB6FDC"/>
    <w:rsid w:val="4ABDA86D"/>
    <w:rsid w:val="4AC5193F"/>
    <w:rsid w:val="4AC93DE2"/>
    <w:rsid w:val="4AC971FF"/>
    <w:rsid w:val="4ACDDC80"/>
    <w:rsid w:val="4ACE95C6"/>
    <w:rsid w:val="4AD01B08"/>
    <w:rsid w:val="4AD0C36B"/>
    <w:rsid w:val="4AD19B45"/>
    <w:rsid w:val="4AD20F6A"/>
    <w:rsid w:val="4AD469F7"/>
    <w:rsid w:val="4AD60EFF"/>
    <w:rsid w:val="4ADABF7D"/>
    <w:rsid w:val="4AE0D82F"/>
    <w:rsid w:val="4AE293CA"/>
    <w:rsid w:val="4AE9A47B"/>
    <w:rsid w:val="4AF174D8"/>
    <w:rsid w:val="4AF48A43"/>
    <w:rsid w:val="4AF7ECF3"/>
    <w:rsid w:val="4AFFF77B"/>
    <w:rsid w:val="4B09C260"/>
    <w:rsid w:val="4B0EF0AB"/>
    <w:rsid w:val="4B10A908"/>
    <w:rsid w:val="4B1BE79A"/>
    <w:rsid w:val="4B1C844A"/>
    <w:rsid w:val="4B20B775"/>
    <w:rsid w:val="4B21C1F2"/>
    <w:rsid w:val="4B21C882"/>
    <w:rsid w:val="4B24EC09"/>
    <w:rsid w:val="4B2571A3"/>
    <w:rsid w:val="4B27E8B1"/>
    <w:rsid w:val="4B29BE40"/>
    <w:rsid w:val="4B29DB57"/>
    <w:rsid w:val="4B2B0068"/>
    <w:rsid w:val="4B2B270E"/>
    <w:rsid w:val="4B2FDED3"/>
    <w:rsid w:val="4B397866"/>
    <w:rsid w:val="4B3B91E7"/>
    <w:rsid w:val="4B3C1274"/>
    <w:rsid w:val="4B405896"/>
    <w:rsid w:val="4B420F5A"/>
    <w:rsid w:val="4B453514"/>
    <w:rsid w:val="4B4675F4"/>
    <w:rsid w:val="4B473B56"/>
    <w:rsid w:val="4B4A0A03"/>
    <w:rsid w:val="4B4A81A1"/>
    <w:rsid w:val="4B568022"/>
    <w:rsid w:val="4B569CB9"/>
    <w:rsid w:val="4B586D6A"/>
    <w:rsid w:val="4B5A2D7C"/>
    <w:rsid w:val="4B5AE0C1"/>
    <w:rsid w:val="4B5B37CA"/>
    <w:rsid w:val="4B5CF4AC"/>
    <w:rsid w:val="4B5DF92E"/>
    <w:rsid w:val="4B5E15DC"/>
    <w:rsid w:val="4B5E7AC4"/>
    <w:rsid w:val="4B6415CE"/>
    <w:rsid w:val="4B6472F7"/>
    <w:rsid w:val="4B65AAFF"/>
    <w:rsid w:val="4B65DF41"/>
    <w:rsid w:val="4B668ED9"/>
    <w:rsid w:val="4B676F4B"/>
    <w:rsid w:val="4B6806D0"/>
    <w:rsid w:val="4B6C482E"/>
    <w:rsid w:val="4B72CF3E"/>
    <w:rsid w:val="4B7753AD"/>
    <w:rsid w:val="4B7AA316"/>
    <w:rsid w:val="4B7D586F"/>
    <w:rsid w:val="4B7EA60F"/>
    <w:rsid w:val="4B80B2D6"/>
    <w:rsid w:val="4B81DC07"/>
    <w:rsid w:val="4B824D5C"/>
    <w:rsid w:val="4B869313"/>
    <w:rsid w:val="4B8C2E2C"/>
    <w:rsid w:val="4B8C357B"/>
    <w:rsid w:val="4B8F5DC9"/>
    <w:rsid w:val="4B902CE0"/>
    <w:rsid w:val="4B914E8D"/>
    <w:rsid w:val="4B935D12"/>
    <w:rsid w:val="4B93BA9A"/>
    <w:rsid w:val="4B95F9DF"/>
    <w:rsid w:val="4B969870"/>
    <w:rsid w:val="4B99CC8D"/>
    <w:rsid w:val="4B9A6A32"/>
    <w:rsid w:val="4B9C3494"/>
    <w:rsid w:val="4BA1640E"/>
    <w:rsid w:val="4BA2F885"/>
    <w:rsid w:val="4BB0E1B1"/>
    <w:rsid w:val="4BB21BD5"/>
    <w:rsid w:val="4BB61E23"/>
    <w:rsid w:val="4BB62CAE"/>
    <w:rsid w:val="4BB67AED"/>
    <w:rsid w:val="4BBA30EC"/>
    <w:rsid w:val="4BBB9F9A"/>
    <w:rsid w:val="4BC0F4E0"/>
    <w:rsid w:val="4BC3035F"/>
    <w:rsid w:val="4BC5019D"/>
    <w:rsid w:val="4BC5249D"/>
    <w:rsid w:val="4BC66AE2"/>
    <w:rsid w:val="4BC785CB"/>
    <w:rsid w:val="4BCCF7E1"/>
    <w:rsid w:val="4BCDFFC6"/>
    <w:rsid w:val="4BDFA55E"/>
    <w:rsid w:val="4BE210EA"/>
    <w:rsid w:val="4BE6E344"/>
    <w:rsid w:val="4BE9FF3F"/>
    <w:rsid w:val="4BEF8B08"/>
    <w:rsid w:val="4BF48E53"/>
    <w:rsid w:val="4BF5135E"/>
    <w:rsid w:val="4BF7D159"/>
    <w:rsid w:val="4BFE2A78"/>
    <w:rsid w:val="4C04B95D"/>
    <w:rsid w:val="4C06F0FA"/>
    <w:rsid w:val="4C083BA9"/>
    <w:rsid w:val="4C0C23E5"/>
    <w:rsid w:val="4C0CB121"/>
    <w:rsid w:val="4C110995"/>
    <w:rsid w:val="4C114B9D"/>
    <w:rsid w:val="4C16A0ED"/>
    <w:rsid w:val="4C17CF6C"/>
    <w:rsid w:val="4C18C923"/>
    <w:rsid w:val="4C1E3BFC"/>
    <w:rsid w:val="4C26DF20"/>
    <w:rsid w:val="4C29066C"/>
    <w:rsid w:val="4C2A98B0"/>
    <w:rsid w:val="4C2C9A11"/>
    <w:rsid w:val="4C2D13C2"/>
    <w:rsid w:val="4C306A8F"/>
    <w:rsid w:val="4C30E58E"/>
    <w:rsid w:val="4C3381FA"/>
    <w:rsid w:val="4C3564D0"/>
    <w:rsid w:val="4C35AE99"/>
    <w:rsid w:val="4C377070"/>
    <w:rsid w:val="4C399F53"/>
    <w:rsid w:val="4C3CEB13"/>
    <w:rsid w:val="4C441251"/>
    <w:rsid w:val="4C4D92A5"/>
    <w:rsid w:val="4C4E8DCD"/>
    <w:rsid w:val="4C54C346"/>
    <w:rsid w:val="4C55763C"/>
    <w:rsid w:val="4C56BA4F"/>
    <w:rsid w:val="4C580719"/>
    <w:rsid w:val="4C5B4A39"/>
    <w:rsid w:val="4C5D633E"/>
    <w:rsid w:val="4C634B82"/>
    <w:rsid w:val="4C64B096"/>
    <w:rsid w:val="4C671C18"/>
    <w:rsid w:val="4C688CBE"/>
    <w:rsid w:val="4C695650"/>
    <w:rsid w:val="4C7189C3"/>
    <w:rsid w:val="4C7322B1"/>
    <w:rsid w:val="4C7744FD"/>
    <w:rsid w:val="4C78668F"/>
    <w:rsid w:val="4C7A7625"/>
    <w:rsid w:val="4C7BA24B"/>
    <w:rsid w:val="4C7CAC29"/>
    <w:rsid w:val="4C7E1E99"/>
    <w:rsid w:val="4C827AE2"/>
    <w:rsid w:val="4C8D7A6F"/>
    <w:rsid w:val="4C8D85E9"/>
    <w:rsid w:val="4C8E595F"/>
    <w:rsid w:val="4C96636B"/>
    <w:rsid w:val="4C9801BB"/>
    <w:rsid w:val="4C982766"/>
    <w:rsid w:val="4C984CDD"/>
    <w:rsid w:val="4C9906F0"/>
    <w:rsid w:val="4C9CBE9D"/>
    <w:rsid w:val="4C9E0888"/>
    <w:rsid w:val="4C9E7172"/>
    <w:rsid w:val="4C9EA06D"/>
    <w:rsid w:val="4CA5038F"/>
    <w:rsid w:val="4CAB60E5"/>
    <w:rsid w:val="4CAF4F3D"/>
    <w:rsid w:val="4CB2336E"/>
    <w:rsid w:val="4CB7AB7E"/>
    <w:rsid w:val="4CBCC7CF"/>
    <w:rsid w:val="4CBF86CE"/>
    <w:rsid w:val="4CC09AC9"/>
    <w:rsid w:val="4CC1A733"/>
    <w:rsid w:val="4CC69DE0"/>
    <w:rsid w:val="4CCB3910"/>
    <w:rsid w:val="4CCBC129"/>
    <w:rsid w:val="4CCD60FA"/>
    <w:rsid w:val="4CCDC802"/>
    <w:rsid w:val="4CCE0411"/>
    <w:rsid w:val="4CD1EF7B"/>
    <w:rsid w:val="4CD561BC"/>
    <w:rsid w:val="4CD75F58"/>
    <w:rsid w:val="4CDB5BA7"/>
    <w:rsid w:val="4CE69BBB"/>
    <w:rsid w:val="4CEE9FF0"/>
    <w:rsid w:val="4CF0A375"/>
    <w:rsid w:val="4CF28489"/>
    <w:rsid w:val="4CF29465"/>
    <w:rsid w:val="4CF29889"/>
    <w:rsid w:val="4CF4FFB5"/>
    <w:rsid w:val="4CF59CA6"/>
    <w:rsid w:val="4CFA43C8"/>
    <w:rsid w:val="4CFB8C0E"/>
    <w:rsid w:val="4D008A27"/>
    <w:rsid w:val="4D01F181"/>
    <w:rsid w:val="4D04D4DA"/>
    <w:rsid w:val="4D0C7822"/>
    <w:rsid w:val="4D120FA0"/>
    <w:rsid w:val="4D14BE20"/>
    <w:rsid w:val="4D163AF2"/>
    <w:rsid w:val="4D16553A"/>
    <w:rsid w:val="4D1A46EC"/>
    <w:rsid w:val="4D1A5836"/>
    <w:rsid w:val="4D1BA1C4"/>
    <w:rsid w:val="4D1F9798"/>
    <w:rsid w:val="4D214233"/>
    <w:rsid w:val="4D229793"/>
    <w:rsid w:val="4D23D741"/>
    <w:rsid w:val="4D244CC2"/>
    <w:rsid w:val="4D24FDFD"/>
    <w:rsid w:val="4D305C2C"/>
    <w:rsid w:val="4D332669"/>
    <w:rsid w:val="4D335C61"/>
    <w:rsid w:val="4D34B066"/>
    <w:rsid w:val="4D36661B"/>
    <w:rsid w:val="4D368BB9"/>
    <w:rsid w:val="4D3CB951"/>
    <w:rsid w:val="4D428020"/>
    <w:rsid w:val="4D433404"/>
    <w:rsid w:val="4D4368CF"/>
    <w:rsid w:val="4D4924E1"/>
    <w:rsid w:val="4D49EE7D"/>
    <w:rsid w:val="4D4C1B16"/>
    <w:rsid w:val="4D4C1F72"/>
    <w:rsid w:val="4D4D360C"/>
    <w:rsid w:val="4D4DE469"/>
    <w:rsid w:val="4D4E2628"/>
    <w:rsid w:val="4D4EDB7B"/>
    <w:rsid w:val="4D5F4D49"/>
    <w:rsid w:val="4D63C07C"/>
    <w:rsid w:val="4D67C202"/>
    <w:rsid w:val="4D69B765"/>
    <w:rsid w:val="4D6A1677"/>
    <w:rsid w:val="4D712A38"/>
    <w:rsid w:val="4D757A20"/>
    <w:rsid w:val="4D7689C1"/>
    <w:rsid w:val="4D7CA3A1"/>
    <w:rsid w:val="4D80923B"/>
    <w:rsid w:val="4D825486"/>
    <w:rsid w:val="4D8485DC"/>
    <w:rsid w:val="4D858DD5"/>
    <w:rsid w:val="4D89AD03"/>
    <w:rsid w:val="4D8A9112"/>
    <w:rsid w:val="4D8B948B"/>
    <w:rsid w:val="4D8F00C0"/>
    <w:rsid w:val="4D9B3815"/>
    <w:rsid w:val="4D9B4C63"/>
    <w:rsid w:val="4D9C6ED0"/>
    <w:rsid w:val="4D9FF69F"/>
    <w:rsid w:val="4DA4B501"/>
    <w:rsid w:val="4DB2180E"/>
    <w:rsid w:val="4DB2EB99"/>
    <w:rsid w:val="4DB3B33A"/>
    <w:rsid w:val="4DB40219"/>
    <w:rsid w:val="4DB5847A"/>
    <w:rsid w:val="4DC32A38"/>
    <w:rsid w:val="4DCA2BE0"/>
    <w:rsid w:val="4DCC4DF9"/>
    <w:rsid w:val="4DCE02C0"/>
    <w:rsid w:val="4DD1C55D"/>
    <w:rsid w:val="4DD7DA8B"/>
    <w:rsid w:val="4DD99E39"/>
    <w:rsid w:val="4DDB1F84"/>
    <w:rsid w:val="4DE1F60E"/>
    <w:rsid w:val="4DE43A0E"/>
    <w:rsid w:val="4DE7670E"/>
    <w:rsid w:val="4DE86E47"/>
    <w:rsid w:val="4DE91192"/>
    <w:rsid w:val="4DE9C669"/>
    <w:rsid w:val="4DEE664D"/>
    <w:rsid w:val="4DF00C6D"/>
    <w:rsid w:val="4DF1586B"/>
    <w:rsid w:val="4DF24868"/>
    <w:rsid w:val="4DF45BCA"/>
    <w:rsid w:val="4DF905CD"/>
    <w:rsid w:val="4DF9339F"/>
    <w:rsid w:val="4DF9F354"/>
    <w:rsid w:val="4DFAF89C"/>
    <w:rsid w:val="4E008192"/>
    <w:rsid w:val="4E06361C"/>
    <w:rsid w:val="4E0AA5A1"/>
    <w:rsid w:val="4E0E0422"/>
    <w:rsid w:val="4E0E3AE2"/>
    <w:rsid w:val="4E104796"/>
    <w:rsid w:val="4E122D48"/>
    <w:rsid w:val="4E1638D0"/>
    <w:rsid w:val="4E1A8691"/>
    <w:rsid w:val="4E1F1F6C"/>
    <w:rsid w:val="4E26920A"/>
    <w:rsid w:val="4E294AD0"/>
    <w:rsid w:val="4E2BA044"/>
    <w:rsid w:val="4E2E5CDC"/>
    <w:rsid w:val="4E2FDD53"/>
    <w:rsid w:val="4E38231B"/>
    <w:rsid w:val="4E3A8C39"/>
    <w:rsid w:val="4E3DF74D"/>
    <w:rsid w:val="4E41F64F"/>
    <w:rsid w:val="4E47D812"/>
    <w:rsid w:val="4E488259"/>
    <w:rsid w:val="4E4D7EAA"/>
    <w:rsid w:val="4E4DE5DE"/>
    <w:rsid w:val="4E4F25B4"/>
    <w:rsid w:val="4E516752"/>
    <w:rsid w:val="4E5224D9"/>
    <w:rsid w:val="4E5561D1"/>
    <w:rsid w:val="4E5C12E4"/>
    <w:rsid w:val="4E5C71B9"/>
    <w:rsid w:val="4E6198A8"/>
    <w:rsid w:val="4E64C963"/>
    <w:rsid w:val="4E654E1E"/>
    <w:rsid w:val="4E660533"/>
    <w:rsid w:val="4E676150"/>
    <w:rsid w:val="4E68CEC7"/>
    <w:rsid w:val="4E6960FA"/>
    <w:rsid w:val="4E69FD9F"/>
    <w:rsid w:val="4E6D8AD6"/>
    <w:rsid w:val="4E6E59F9"/>
    <w:rsid w:val="4E720717"/>
    <w:rsid w:val="4E7332A9"/>
    <w:rsid w:val="4E74BDC1"/>
    <w:rsid w:val="4E74BF6D"/>
    <w:rsid w:val="4E7678BB"/>
    <w:rsid w:val="4E7809EA"/>
    <w:rsid w:val="4E786CD8"/>
    <w:rsid w:val="4E796679"/>
    <w:rsid w:val="4E7B1AD8"/>
    <w:rsid w:val="4E7BA58B"/>
    <w:rsid w:val="4E7BD6F8"/>
    <w:rsid w:val="4E7E90AC"/>
    <w:rsid w:val="4E7EBC58"/>
    <w:rsid w:val="4E7F5D53"/>
    <w:rsid w:val="4E80FEE5"/>
    <w:rsid w:val="4E82D336"/>
    <w:rsid w:val="4E88EA81"/>
    <w:rsid w:val="4E8CE6A5"/>
    <w:rsid w:val="4E8ED3B1"/>
    <w:rsid w:val="4E8FAFA6"/>
    <w:rsid w:val="4E8FD65B"/>
    <w:rsid w:val="4E907A26"/>
    <w:rsid w:val="4E966007"/>
    <w:rsid w:val="4E97A8AA"/>
    <w:rsid w:val="4E984FDC"/>
    <w:rsid w:val="4E9C0C5A"/>
    <w:rsid w:val="4E9FB1C6"/>
    <w:rsid w:val="4EA0AA76"/>
    <w:rsid w:val="4EA3AEEF"/>
    <w:rsid w:val="4EA44775"/>
    <w:rsid w:val="4EA85479"/>
    <w:rsid w:val="4EACF83E"/>
    <w:rsid w:val="4EAD55BA"/>
    <w:rsid w:val="4EADC677"/>
    <w:rsid w:val="4EADF607"/>
    <w:rsid w:val="4EAE84ED"/>
    <w:rsid w:val="4EB0A503"/>
    <w:rsid w:val="4EB211F1"/>
    <w:rsid w:val="4EBA7977"/>
    <w:rsid w:val="4EC017F7"/>
    <w:rsid w:val="4EC8D4E2"/>
    <w:rsid w:val="4ECC0601"/>
    <w:rsid w:val="4ED11B7D"/>
    <w:rsid w:val="4ED47602"/>
    <w:rsid w:val="4ED6EF9D"/>
    <w:rsid w:val="4EDAA9C9"/>
    <w:rsid w:val="4EE1EB84"/>
    <w:rsid w:val="4EE72EB9"/>
    <w:rsid w:val="4EEF1072"/>
    <w:rsid w:val="4EF6F159"/>
    <w:rsid w:val="4EF8491F"/>
    <w:rsid w:val="4EFB41CE"/>
    <w:rsid w:val="4EFDD006"/>
    <w:rsid w:val="4EFE430C"/>
    <w:rsid w:val="4F074304"/>
    <w:rsid w:val="4F09AF21"/>
    <w:rsid w:val="4F0D6377"/>
    <w:rsid w:val="4F0F5C61"/>
    <w:rsid w:val="4F0FAC5D"/>
    <w:rsid w:val="4F10C2D1"/>
    <w:rsid w:val="4F1117A1"/>
    <w:rsid w:val="4F11669F"/>
    <w:rsid w:val="4F1CEA99"/>
    <w:rsid w:val="4F1E8213"/>
    <w:rsid w:val="4F1F2764"/>
    <w:rsid w:val="4F202695"/>
    <w:rsid w:val="4F2178A4"/>
    <w:rsid w:val="4F2584BC"/>
    <w:rsid w:val="4F2959B5"/>
    <w:rsid w:val="4F2A683D"/>
    <w:rsid w:val="4F2AD3B6"/>
    <w:rsid w:val="4F2CC590"/>
    <w:rsid w:val="4F2E57E7"/>
    <w:rsid w:val="4F2EFD68"/>
    <w:rsid w:val="4F2F39AB"/>
    <w:rsid w:val="4F30A654"/>
    <w:rsid w:val="4F31C27A"/>
    <w:rsid w:val="4F35C642"/>
    <w:rsid w:val="4F39B1CD"/>
    <w:rsid w:val="4F3A0C36"/>
    <w:rsid w:val="4F3B4D6A"/>
    <w:rsid w:val="4F3D407C"/>
    <w:rsid w:val="4F3E34A0"/>
    <w:rsid w:val="4F3F5E6E"/>
    <w:rsid w:val="4F44212A"/>
    <w:rsid w:val="4F461BAA"/>
    <w:rsid w:val="4F46DFC8"/>
    <w:rsid w:val="4F47F151"/>
    <w:rsid w:val="4F497DB5"/>
    <w:rsid w:val="4F4C0DF3"/>
    <w:rsid w:val="4F4CFCB7"/>
    <w:rsid w:val="4F4F2760"/>
    <w:rsid w:val="4F533698"/>
    <w:rsid w:val="4F56AC5B"/>
    <w:rsid w:val="4F579B6B"/>
    <w:rsid w:val="4F58BBCC"/>
    <w:rsid w:val="4F593589"/>
    <w:rsid w:val="4F5A2EA6"/>
    <w:rsid w:val="4F5B8F1E"/>
    <w:rsid w:val="4F5D33F2"/>
    <w:rsid w:val="4F5E4CB1"/>
    <w:rsid w:val="4F62924A"/>
    <w:rsid w:val="4F6F63CA"/>
    <w:rsid w:val="4F745FD8"/>
    <w:rsid w:val="4F74B59C"/>
    <w:rsid w:val="4F7B9036"/>
    <w:rsid w:val="4F7C3C34"/>
    <w:rsid w:val="4F81AA41"/>
    <w:rsid w:val="4F821F07"/>
    <w:rsid w:val="4F86686D"/>
    <w:rsid w:val="4F897C53"/>
    <w:rsid w:val="4F8C32E4"/>
    <w:rsid w:val="4F9760C3"/>
    <w:rsid w:val="4F97D141"/>
    <w:rsid w:val="4F9891F5"/>
    <w:rsid w:val="4F98ABDF"/>
    <w:rsid w:val="4F99CC41"/>
    <w:rsid w:val="4F9A5D5E"/>
    <w:rsid w:val="4F9C8EDD"/>
    <w:rsid w:val="4F9FA68A"/>
    <w:rsid w:val="4FA46A4C"/>
    <w:rsid w:val="4FA7F0CB"/>
    <w:rsid w:val="4FABBE0B"/>
    <w:rsid w:val="4FACDF04"/>
    <w:rsid w:val="4FADF89E"/>
    <w:rsid w:val="4FAED58A"/>
    <w:rsid w:val="4FAF9608"/>
    <w:rsid w:val="4FB62ACE"/>
    <w:rsid w:val="4FBB02D6"/>
    <w:rsid w:val="4FBF3515"/>
    <w:rsid w:val="4FC216EB"/>
    <w:rsid w:val="4FC3DF86"/>
    <w:rsid w:val="4FC4B5E2"/>
    <w:rsid w:val="4FC588A8"/>
    <w:rsid w:val="4FD147EE"/>
    <w:rsid w:val="4FD84AB6"/>
    <w:rsid w:val="4FDDD2CB"/>
    <w:rsid w:val="4FDE4FBB"/>
    <w:rsid w:val="4FE1F6CE"/>
    <w:rsid w:val="4FE5F39F"/>
    <w:rsid w:val="4FE96757"/>
    <w:rsid w:val="4FEFBFB2"/>
    <w:rsid w:val="4FF0A9B3"/>
    <w:rsid w:val="4FF1893E"/>
    <w:rsid w:val="4FF58B59"/>
    <w:rsid w:val="4FF59CA9"/>
    <w:rsid w:val="4FF6985E"/>
    <w:rsid w:val="4FF9ACC4"/>
    <w:rsid w:val="4FFBA13C"/>
    <w:rsid w:val="4FFD6992"/>
    <w:rsid w:val="500B8774"/>
    <w:rsid w:val="500DE603"/>
    <w:rsid w:val="50121CA3"/>
    <w:rsid w:val="501283F9"/>
    <w:rsid w:val="5016E182"/>
    <w:rsid w:val="5021311E"/>
    <w:rsid w:val="502F78DA"/>
    <w:rsid w:val="50301EA6"/>
    <w:rsid w:val="5030C446"/>
    <w:rsid w:val="5032D5F5"/>
    <w:rsid w:val="50422018"/>
    <w:rsid w:val="504477C4"/>
    <w:rsid w:val="50452BB2"/>
    <w:rsid w:val="5048540C"/>
    <w:rsid w:val="5048F4D4"/>
    <w:rsid w:val="504FAE1F"/>
    <w:rsid w:val="504FCBC2"/>
    <w:rsid w:val="5053932B"/>
    <w:rsid w:val="50588EF8"/>
    <w:rsid w:val="5060EB22"/>
    <w:rsid w:val="506300E8"/>
    <w:rsid w:val="5063D0B2"/>
    <w:rsid w:val="5064F785"/>
    <w:rsid w:val="50695793"/>
    <w:rsid w:val="506C8E19"/>
    <w:rsid w:val="506DA254"/>
    <w:rsid w:val="50708D38"/>
    <w:rsid w:val="507221CC"/>
    <w:rsid w:val="50796FD1"/>
    <w:rsid w:val="507C9FB8"/>
    <w:rsid w:val="507E8C46"/>
    <w:rsid w:val="507EDF3E"/>
    <w:rsid w:val="5084ED06"/>
    <w:rsid w:val="508612C7"/>
    <w:rsid w:val="50871735"/>
    <w:rsid w:val="50886B17"/>
    <w:rsid w:val="508AD910"/>
    <w:rsid w:val="508C12B7"/>
    <w:rsid w:val="50904E2C"/>
    <w:rsid w:val="50932A81"/>
    <w:rsid w:val="50968B5C"/>
    <w:rsid w:val="50973E7B"/>
    <w:rsid w:val="509E4C14"/>
    <w:rsid w:val="50A532DE"/>
    <w:rsid w:val="50A6D773"/>
    <w:rsid w:val="50A8CDF1"/>
    <w:rsid w:val="50A92863"/>
    <w:rsid w:val="50B243BA"/>
    <w:rsid w:val="50B37C2B"/>
    <w:rsid w:val="50B84F3D"/>
    <w:rsid w:val="50B96505"/>
    <w:rsid w:val="50BA06E0"/>
    <w:rsid w:val="50BCFFBC"/>
    <w:rsid w:val="50BDC5D9"/>
    <w:rsid w:val="50C1AE4B"/>
    <w:rsid w:val="50C63AF0"/>
    <w:rsid w:val="50C682DA"/>
    <w:rsid w:val="50CADA87"/>
    <w:rsid w:val="50D07127"/>
    <w:rsid w:val="50D1B2CE"/>
    <w:rsid w:val="50D68FDD"/>
    <w:rsid w:val="50D6B142"/>
    <w:rsid w:val="50D90974"/>
    <w:rsid w:val="50DCC822"/>
    <w:rsid w:val="50DEC4A6"/>
    <w:rsid w:val="50E01FD7"/>
    <w:rsid w:val="50E0F9EF"/>
    <w:rsid w:val="50E0FF36"/>
    <w:rsid w:val="50E22D1D"/>
    <w:rsid w:val="50E2C139"/>
    <w:rsid w:val="50E4EA92"/>
    <w:rsid w:val="50E56488"/>
    <w:rsid w:val="50EE2F74"/>
    <w:rsid w:val="50F0B786"/>
    <w:rsid w:val="50F47BBD"/>
    <w:rsid w:val="50F7DC05"/>
    <w:rsid w:val="50F811F5"/>
    <w:rsid w:val="50FCE93C"/>
    <w:rsid w:val="50FE774B"/>
    <w:rsid w:val="51091811"/>
    <w:rsid w:val="510CFE41"/>
    <w:rsid w:val="510EDB9A"/>
    <w:rsid w:val="511461D2"/>
    <w:rsid w:val="5114AEB7"/>
    <w:rsid w:val="5117751E"/>
    <w:rsid w:val="511867CB"/>
    <w:rsid w:val="5118A17A"/>
    <w:rsid w:val="511F5308"/>
    <w:rsid w:val="511F876B"/>
    <w:rsid w:val="51273859"/>
    <w:rsid w:val="51292684"/>
    <w:rsid w:val="5129835C"/>
    <w:rsid w:val="512BD27D"/>
    <w:rsid w:val="512D8EAC"/>
    <w:rsid w:val="51387270"/>
    <w:rsid w:val="513994D5"/>
    <w:rsid w:val="513A9A96"/>
    <w:rsid w:val="513C7213"/>
    <w:rsid w:val="513D75D9"/>
    <w:rsid w:val="514552E4"/>
    <w:rsid w:val="51460128"/>
    <w:rsid w:val="514C04F6"/>
    <w:rsid w:val="514DD420"/>
    <w:rsid w:val="515062C1"/>
    <w:rsid w:val="51536AE8"/>
    <w:rsid w:val="515AA350"/>
    <w:rsid w:val="515BDAF4"/>
    <w:rsid w:val="515C25BB"/>
    <w:rsid w:val="515CB1E9"/>
    <w:rsid w:val="515FBFF3"/>
    <w:rsid w:val="51600EF0"/>
    <w:rsid w:val="5162306C"/>
    <w:rsid w:val="5164B2F8"/>
    <w:rsid w:val="5164B7A3"/>
    <w:rsid w:val="5164CFD9"/>
    <w:rsid w:val="516587EB"/>
    <w:rsid w:val="5165B9D6"/>
    <w:rsid w:val="51673F8A"/>
    <w:rsid w:val="5168BE3B"/>
    <w:rsid w:val="51691044"/>
    <w:rsid w:val="51699CA8"/>
    <w:rsid w:val="5169CD4C"/>
    <w:rsid w:val="516B8BB4"/>
    <w:rsid w:val="516D55F0"/>
    <w:rsid w:val="516F151D"/>
    <w:rsid w:val="516FEB71"/>
    <w:rsid w:val="5176A045"/>
    <w:rsid w:val="5178495D"/>
    <w:rsid w:val="517E1FC2"/>
    <w:rsid w:val="5181A45D"/>
    <w:rsid w:val="51836F99"/>
    <w:rsid w:val="5183C759"/>
    <w:rsid w:val="5186D351"/>
    <w:rsid w:val="518D3053"/>
    <w:rsid w:val="518E519A"/>
    <w:rsid w:val="518E6C1A"/>
    <w:rsid w:val="518F90C5"/>
    <w:rsid w:val="519136FF"/>
    <w:rsid w:val="51919B77"/>
    <w:rsid w:val="51932B61"/>
    <w:rsid w:val="519BF5B1"/>
    <w:rsid w:val="519DABAC"/>
    <w:rsid w:val="519E27CC"/>
    <w:rsid w:val="519F9793"/>
    <w:rsid w:val="519FBF5E"/>
    <w:rsid w:val="51A03E46"/>
    <w:rsid w:val="51A13958"/>
    <w:rsid w:val="51A58DB4"/>
    <w:rsid w:val="51A5FBEE"/>
    <w:rsid w:val="51B05D52"/>
    <w:rsid w:val="51B1BCA8"/>
    <w:rsid w:val="51B2DBFD"/>
    <w:rsid w:val="51B57ADD"/>
    <w:rsid w:val="51B6C5BA"/>
    <w:rsid w:val="51B8FD3C"/>
    <w:rsid w:val="51BCCC16"/>
    <w:rsid w:val="51BEEA88"/>
    <w:rsid w:val="51BF29FB"/>
    <w:rsid w:val="51C21373"/>
    <w:rsid w:val="51C781B7"/>
    <w:rsid w:val="51CB2727"/>
    <w:rsid w:val="51CB8E85"/>
    <w:rsid w:val="51D5EA6A"/>
    <w:rsid w:val="51DA1D5A"/>
    <w:rsid w:val="51DB17C8"/>
    <w:rsid w:val="51DBECD4"/>
    <w:rsid w:val="51DCDF88"/>
    <w:rsid w:val="51E08137"/>
    <w:rsid w:val="51E2DF57"/>
    <w:rsid w:val="51E34AF1"/>
    <w:rsid w:val="51E73843"/>
    <w:rsid w:val="51E8DED9"/>
    <w:rsid w:val="51E941CC"/>
    <w:rsid w:val="51E94D69"/>
    <w:rsid w:val="51EA1094"/>
    <w:rsid w:val="51EED24D"/>
    <w:rsid w:val="51F2D0FC"/>
    <w:rsid w:val="51F4D80C"/>
    <w:rsid w:val="51F52B3B"/>
    <w:rsid w:val="51FAFCC4"/>
    <w:rsid w:val="51FC59DF"/>
    <w:rsid w:val="51FE2D3E"/>
    <w:rsid w:val="520756CB"/>
    <w:rsid w:val="5208D1B7"/>
    <w:rsid w:val="520BFEA8"/>
    <w:rsid w:val="520C76EC"/>
    <w:rsid w:val="520D8A97"/>
    <w:rsid w:val="520F49D5"/>
    <w:rsid w:val="52130AFA"/>
    <w:rsid w:val="52149A06"/>
    <w:rsid w:val="521528E4"/>
    <w:rsid w:val="52190DE0"/>
    <w:rsid w:val="521BA387"/>
    <w:rsid w:val="5225022C"/>
    <w:rsid w:val="52272FA5"/>
    <w:rsid w:val="52283FA5"/>
    <w:rsid w:val="522AF0F9"/>
    <w:rsid w:val="522FB252"/>
    <w:rsid w:val="5231DC27"/>
    <w:rsid w:val="52328B5C"/>
    <w:rsid w:val="5238CB95"/>
    <w:rsid w:val="523A3F6F"/>
    <w:rsid w:val="523EF881"/>
    <w:rsid w:val="52431E44"/>
    <w:rsid w:val="52481CEE"/>
    <w:rsid w:val="52495E57"/>
    <w:rsid w:val="5249A82C"/>
    <w:rsid w:val="524AD2A9"/>
    <w:rsid w:val="524B30D3"/>
    <w:rsid w:val="524B3E64"/>
    <w:rsid w:val="524B3ED1"/>
    <w:rsid w:val="524DDF17"/>
    <w:rsid w:val="5251CCB7"/>
    <w:rsid w:val="5251FF88"/>
    <w:rsid w:val="525273F3"/>
    <w:rsid w:val="5257FD01"/>
    <w:rsid w:val="5258AABE"/>
    <w:rsid w:val="525B4DE3"/>
    <w:rsid w:val="525D15FA"/>
    <w:rsid w:val="525D2408"/>
    <w:rsid w:val="525EFB1B"/>
    <w:rsid w:val="5261FBDB"/>
    <w:rsid w:val="52679E1F"/>
    <w:rsid w:val="526DBB71"/>
    <w:rsid w:val="52700FCD"/>
    <w:rsid w:val="52701785"/>
    <w:rsid w:val="52773021"/>
    <w:rsid w:val="52778217"/>
    <w:rsid w:val="5278B398"/>
    <w:rsid w:val="527D5BF7"/>
    <w:rsid w:val="527F01DA"/>
    <w:rsid w:val="528175C9"/>
    <w:rsid w:val="5289A2D6"/>
    <w:rsid w:val="528C1EB7"/>
    <w:rsid w:val="528CAC82"/>
    <w:rsid w:val="52904C1E"/>
    <w:rsid w:val="529088B0"/>
    <w:rsid w:val="5299C00A"/>
    <w:rsid w:val="5299EE40"/>
    <w:rsid w:val="529F6F56"/>
    <w:rsid w:val="52A10F7C"/>
    <w:rsid w:val="52A18D98"/>
    <w:rsid w:val="52AC63CF"/>
    <w:rsid w:val="52AC72C5"/>
    <w:rsid w:val="52AD4423"/>
    <w:rsid w:val="52B15B3D"/>
    <w:rsid w:val="52B60359"/>
    <w:rsid w:val="52B872D6"/>
    <w:rsid w:val="52BA40CC"/>
    <w:rsid w:val="52BB5C32"/>
    <w:rsid w:val="52BCE274"/>
    <w:rsid w:val="52C4839C"/>
    <w:rsid w:val="52C993C9"/>
    <w:rsid w:val="52D3F69A"/>
    <w:rsid w:val="52D60EE8"/>
    <w:rsid w:val="52D6E274"/>
    <w:rsid w:val="52D96AA2"/>
    <w:rsid w:val="52DF83E6"/>
    <w:rsid w:val="52E085C2"/>
    <w:rsid w:val="52E8D605"/>
    <w:rsid w:val="52E8DF79"/>
    <w:rsid w:val="52EC81BB"/>
    <w:rsid w:val="52F117EE"/>
    <w:rsid w:val="52F31A33"/>
    <w:rsid w:val="52F918B7"/>
    <w:rsid w:val="5301B91E"/>
    <w:rsid w:val="5304A258"/>
    <w:rsid w:val="53057A43"/>
    <w:rsid w:val="53064FC5"/>
    <w:rsid w:val="53075190"/>
    <w:rsid w:val="530FD9B1"/>
    <w:rsid w:val="53110F29"/>
    <w:rsid w:val="53117B01"/>
    <w:rsid w:val="5312033C"/>
    <w:rsid w:val="531AB8F2"/>
    <w:rsid w:val="531CB992"/>
    <w:rsid w:val="531D2674"/>
    <w:rsid w:val="5320BF89"/>
    <w:rsid w:val="5321CB4E"/>
    <w:rsid w:val="53230130"/>
    <w:rsid w:val="53243D9C"/>
    <w:rsid w:val="5324548A"/>
    <w:rsid w:val="53272C04"/>
    <w:rsid w:val="5328D1D1"/>
    <w:rsid w:val="532C6009"/>
    <w:rsid w:val="5330DE8E"/>
    <w:rsid w:val="5330FB9D"/>
    <w:rsid w:val="53317A54"/>
    <w:rsid w:val="533683E1"/>
    <w:rsid w:val="5337A44B"/>
    <w:rsid w:val="5338931E"/>
    <w:rsid w:val="533A9D37"/>
    <w:rsid w:val="533C4D1D"/>
    <w:rsid w:val="533D05DB"/>
    <w:rsid w:val="533FD8C3"/>
    <w:rsid w:val="5340BFA1"/>
    <w:rsid w:val="534512CD"/>
    <w:rsid w:val="5345D6A0"/>
    <w:rsid w:val="5346A07D"/>
    <w:rsid w:val="534775A0"/>
    <w:rsid w:val="534F3FFC"/>
    <w:rsid w:val="53514C50"/>
    <w:rsid w:val="5357C1C8"/>
    <w:rsid w:val="5358C996"/>
    <w:rsid w:val="535D158B"/>
    <w:rsid w:val="535FC94A"/>
    <w:rsid w:val="5360E589"/>
    <w:rsid w:val="5362C9CE"/>
    <w:rsid w:val="5365D055"/>
    <w:rsid w:val="536C69A5"/>
    <w:rsid w:val="53703BEC"/>
    <w:rsid w:val="5371436E"/>
    <w:rsid w:val="53777D3C"/>
    <w:rsid w:val="537804FB"/>
    <w:rsid w:val="5380E409"/>
    <w:rsid w:val="5381F610"/>
    <w:rsid w:val="53912697"/>
    <w:rsid w:val="53912804"/>
    <w:rsid w:val="53916C6D"/>
    <w:rsid w:val="5397EAF9"/>
    <w:rsid w:val="539A3296"/>
    <w:rsid w:val="53A35EB1"/>
    <w:rsid w:val="53A4E416"/>
    <w:rsid w:val="53A4F162"/>
    <w:rsid w:val="53A56F58"/>
    <w:rsid w:val="53AB9A98"/>
    <w:rsid w:val="53AF18B6"/>
    <w:rsid w:val="53AF8C65"/>
    <w:rsid w:val="53B08FD8"/>
    <w:rsid w:val="53B1754E"/>
    <w:rsid w:val="53B339B1"/>
    <w:rsid w:val="53B5417E"/>
    <w:rsid w:val="53BB4640"/>
    <w:rsid w:val="53BC5F43"/>
    <w:rsid w:val="53BD9D48"/>
    <w:rsid w:val="53BDD075"/>
    <w:rsid w:val="53BE371E"/>
    <w:rsid w:val="53BF24C2"/>
    <w:rsid w:val="53C0C248"/>
    <w:rsid w:val="53C347A3"/>
    <w:rsid w:val="53C62B2D"/>
    <w:rsid w:val="53C8A030"/>
    <w:rsid w:val="53CF16DD"/>
    <w:rsid w:val="53CFDB71"/>
    <w:rsid w:val="53D0762B"/>
    <w:rsid w:val="53D3C7E7"/>
    <w:rsid w:val="53D69499"/>
    <w:rsid w:val="53DF24DF"/>
    <w:rsid w:val="53E0F6A9"/>
    <w:rsid w:val="53E21F1A"/>
    <w:rsid w:val="53E71411"/>
    <w:rsid w:val="53E96A8E"/>
    <w:rsid w:val="53EB90C7"/>
    <w:rsid w:val="53ED4F67"/>
    <w:rsid w:val="53F47B36"/>
    <w:rsid w:val="53F71965"/>
    <w:rsid w:val="53F949BC"/>
    <w:rsid w:val="53FA3B09"/>
    <w:rsid w:val="53FAFD29"/>
    <w:rsid w:val="53FF41DD"/>
    <w:rsid w:val="5407DFE0"/>
    <w:rsid w:val="54081A33"/>
    <w:rsid w:val="540B2A72"/>
    <w:rsid w:val="540D5109"/>
    <w:rsid w:val="540F6AC2"/>
    <w:rsid w:val="5410EC6A"/>
    <w:rsid w:val="54154B06"/>
    <w:rsid w:val="54156E65"/>
    <w:rsid w:val="5415C9A1"/>
    <w:rsid w:val="541ACA40"/>
    <w:rsid w:val="541FD42C"/>
    <w:rsid w:val="5420CB70"/>
    <w:rsid w:val="5420D6C4"/>
    <w:rsid w:val="54236E14"/>
    <w:rsid w:val="5428A9A0"/>
    <w:rsid w:val="542ACF7C"/>
    <w:rsid w:val="5430B868"/>
    <w:rsid w:val="543213A2"/>
    <w:rsid w:val="5436985A"/>
    <w:rsid w:val="543AB95C"/>
    <w:rsid w:val="543E5C87"/>
    <w:rsid w:val="543E7933"/>
    <w:rsid w:val="543F8A41"/>
    <w:rsid w:val="543FD937"/>
    <w:rsid w:val="5443145E"/>
    <w:rsid w:val="5443A8CC"/>
    <w:rsid w:val="5444FA08"/>
    <w:rsid w:val="54472960"/>
    <w:rsid w:val="5449C0C3"/>
    <w:rsid w:val="544B3CE0"/>
    <w:rsid w:val="544B75BC"/>
    <w:rsid w:val="544D7F73"/>
    <w:rsid w:val="54553B0D"/>
    <w:rsid w:val="5458A256"/>
    <w:rsid w:val="545CFF75"/>
    <w:rsid w:val="545EA65D"/>
    <w:rsid w:val="54659639"/>
    <w:rsid w:val="54685097"/>
    <w:rsid w:val="54692447"/>
    <w:rsid w:val="546CA77F"/>
    <w:rsid w:val="546EC42E"/>
    <w:rsid w:val="546F2252"/>
    <w:rsid w:val="5471EFD9"/>
    <w:rsid w:val="547ADDAF"/>
    <w:rsid w:val="547EEED7"/>
    <w:rsid w:val="548074F6"/>
    <w:rsid w:val="5483E957"/>
    <w:rsid w:val="54852B81"/>
    <w:rsid w:val="54870AE9"/>
    <w:rsid w:val="5487B703"/>
    <w:rsid w:val="5488AE11"/>
    <w:rsid w:val="5488B51F"/>
    <w:rsid w:val="5489353E"/>
    <w:rsid w:val="548FF0B4"/>
    <w:rsid w:val="54910121"/>
    <w:rsid w:val="5493B9A3"/>
    <w:rsid w:val="549563BE"/>
    <w:rsid w:val="5499E12D"/>
    <w:rsid w:val="54A1D5C6"/>
    <w:rsid w:val="54A469FA"/>
    <w:rsid w:val="54A70A60"/>
    <w:rsid w:val="54A9260A"/>
    <w:rsid w:val="54AEBA8D"/>
    <w:rsid w:val="54BE901C"/>
    <w:rsid w:val="54C0D615"/>
    <w:rsid w:val="54C36ED6"/>
    <w:rsid w:val="54C75C5E"/>
    <w:rsid w:val="54C82D16"/>
    <w:rsid w:val="54C8483E"/>
    <w:rsid w:val="54C95B5D"/>
    <w:rsid w:val="54CA256A"/>
    <w:rsid w:val="54CD09E7"/>
    <w:rsid w:val="54CF8FB8"/>
    <w:rsid w:val="54D5D708"/>
    <w:rsid w:val="54DB1C5D"/>
    <w:rsid w:val="54E01C19"/>
    <w:rsid w:val="54E63F6D"/>
    <w:rsid w:val="54E69185"/>
    <w:rsid w:val="54E851E6"/>
    <w:rsid w:val="54F3267F"/>
    <w:rsid w:val="54F7D514"/>
    <w:rsid w:val="54F81577"/>
    <w:rsid w:val="54F8318A"/>
    <w:rsid w:val="55013E63"/>
    <w:rsid w:val="550644C5"/>
    <w:rsid w:val="5506EF90"/>
    <w:rsid w:val="5509B684"/>
    <w:rsid w:val="550A8990"/>
    <w:rsid w:val="550AB3A6"/>
    <w:rsid w:val="550B099F"/>
    <w:rsid w:val="550E9AF9"/>
    <w:rsid w:val="5510E441"/>
    <w:rsid w:val="5510EE02"/>
    <w:rsid w:val="55127F88"/>
    <w:rsid w:val="55162712"/>
    <w:rsid w:val="551C1563"/>
    <w:rsid w:val="551C40C3"/>
    <w:rsid w:val="551EC63C"/>
    <w:rsid w:val="551F59EE"/>
    <w:rsid w:val="55210797"/>
    <w:rsid w:val="55212967"/>
    <w:rsid w:val="552141ED"/>
    <w:rsid w:val="55216781"/>
    <w:rsid w:val="5522E037"/>
    <w:rsid w:val="55256492"/>
    <w:rsid w:val="5526A6A6"/>
    <w:rsid w:val="552776CB"/>
    <w:rsid w:val="55299336"/>
    <w:rsid w:val="552B91E8"/>
    <w:rsid w:val="552D5808"/>
    <w:rsid w:val="5530704A"/>
    <w:rsid w:val="5534E2EA"/>
    <w:rsid w:val="55360119"/>
    <w:rsid w:val="553A9A35"/>
    <w:rsid w:val="553BCA86"/>
    <w:rsid w:val="553FEAC7"/>
    <w:rsid w:val="55475FF8"/>
    <w:rsid w:val="554A86CA"/>
    <w:rsid w:val="554C67A0"/>
    <w:rsid w:val="554D5489"/>
    <w:rsid w:val="554F5010"/>
    <w:rsid w:val="55569348"/>
    <w:rsid w:val="555BCEDD"/>
    <w:rsid w:val="555C0B85"/>
    <w:rsid w:val="555EDE67"/>
    <w:rsid w:val="5568953C"/>
    <w:rsid w:val="556A4544"/>
    <w:rsid w:val="556B2AA4"/>
    <w:rsid w:val="556E7ACE"/>
    <w:rsid w:val="557185D9"/>
    <w:rsid w:val="5572EA6E"/>
    <w:rsid w:val="557472ED"/>
    <w:rsid w:val="5575FD2F"/>
    <w:rsid w:val="5576B61A"/>
    <w:rsid w:val="5577B5AB"/>
    <w:rsid w:val="557B266E"/>
    <w:rsid w:val="557B35B7"/>
    <w:rsid w:val="557B453A"/>
    <w:rsid w:val="557D1C1A"/>
    <w:rsid w:val="557EB405"/>
    <w:rsid w:val="557F03E0"/>
    <w:rsid w:val="55801A1D"/>
    <w:rsid w:val="55826ECF"/>
    <w:rsid w:val="558DCDB4"/>
    <w:rsid w:val="55913E0D"/>
    <w:rsid w:val="5594D69E"/>
    <w:rsid w:val="5599CB80"/>
    <w:rsid w:val="559A33BF"/>
    <w:rsid w:val="55A0D3C6"/>
    <w:rsid w:val="55A432E0"/>
    <w:rsid w:val="55A4ABD0"/>
    <w:rsid w:val="55A6BDC2"/>
    <w:rsid w:val="55A8BBF9"/>
    <w:rsid w:val="55B24728"/>
    <w:rsid w:val="55B26C56"/>
    <w:rsid w:val="55B42B20"/>
    <w:rsid w:val="55BAB0E3"/>
    <w:rsid w:val="55BEA87B"/>
    <w:rsid w:val="55C09163"/>
    <w:rsid w:val="55C2BC1E"/>
    <w:rsid w:val="55CB9875"/>
    <w:rsid w:val="55CE0BE7"/>
    <w:rsid w:val="55CF6FB1"/>
    <w:rsid w:val="55CF7AFB"/>
    <w:rsid w:val="55D0A95F"/>
    <w:rsid w:val="55D1549D"/>
    <w:rsid w:val="55D3C4F1"/>
    <w:rsid w:val="55D650F3"/>
    <w:rsid w:val="55D7D694"/>
    <w:rsid w:val="55D898AF"/>
    <w:rsid w:val="55DF3D20"/>
    <w:rsid w:val="55DFFCF1"/>
    <w:rsid w:val="55E10EBF"/>
    <w:rsid w:val="55E14E94"/>
    <w:rsid w:val="55E1A201"/>
    <w:rsid w:val="55E20819"/>
    <w:rsid w:val="55E32D53"/>
    <w:rsid w:val="55E822E6"/>
    <w:rsid w:val="55E9FC0F"/>
    <w:rsid w:val="55EB7C1D"/>
    <w:rsid w:val="55EC943C"/>
    <w:rsid w:val="55EE1787"/>
    <w:rsid w:val="55EF1029"/>
    <w:rsid w:val="55EF4529"/>
    <w:rsid w:val="55F030A4"/>
    <w:rsid w:val="55F59453"/>
    <w:rsid w:val="55F9B4E4"/>
    <w:rsid w:val="55FA3C6B"/>
    <w:rsid w:val="55FBE067"/>
    <w:rsid w:val="55FD3089"/>
    <w:rsid w:val="56068103"/>
    <w:rsid w:val="560788A5"/>
    <w:rsid w:val="56083BA2"/>
    <w:rsid w:val="56099DDF"/>
    <w:rsid w:val="560E1FD7"/>
    <w:rsid w:val="5612E6FA"/>
    <w:rsid w:val="5613988B"/>
    <w:rsid w:val="56139B04"/>
    <w:rsid w:val="5613BA6E"/>
    <w:rsid w:val="561860DC"/>
    <w:rsid w:val="561D8598"/>
    <w:rsid w:val="561E7450"/>
    <w:rsid w:val="562C002C"/>
    <w:rsid w:val="562CC31F"/>
    <w:rsid w:val="562F9432"/>
    <w:rsid w:val="563263D9"/>
    <w:rsid w:val="56346444"/>
    <w:rsid w:val="563A8156"/>
    <w:rsid w:val="563A8C6E"/>
    <w:rsid w:val="564158DC"/>
    <w:rsid w:val="56420049"/>
    <w:rsid w:val="56463C93"/>
    <w:rsid w:val="564739BA"/>
    <w:rsid w:val="564D7C5B"/>
    <w:rsid w:val="56544381"/>
    <w:rsid w:val="5656BEFA"/>
    <w:rsid w:val="56574D50"/>
    <w:rsid w:val="565C4933"/>
    <w:rsid w:val="565C77AE"/>
    <w:rsid w:val="5660B933"/>
    <w:rsid w:val="56632F77"/>
    <w:rsid w:val="566415CA"/>
    <w:rsid w:val="5664FE8C"/>
    <w:rsid w:val="5666908C"/>
    <w:rsid w:val="566C40C5"/>
    <w:rsid w:val="567198EF"/>
    <w:rsid w:val="5677D341"/>
    <w:rsid w:val="5678C639"/>
    <w:rsid w:val="567A66D2"/>
    <w:rsid w:val="567C2CEE"/>
    <w:rsid w:val="567E4CAE"/>
    <w:rsid w:val="567FFEC2"/>
    <w:rsid w:val="5681146E"/>
    <w:rsid w:val="568722B0"/>
    <w:rsid w:val="568B9635"/>
    <w:rsid w:val="56900013"/>
    <w:rsid w:val="56993820"/>
    <w:rsid w:val="569C754D"/>
    <w:rsid w:val="56A784CF"/>
    <w:rsid w:val="56A79DAF"/>
    <w:rsid w:val="56AAA4CD"/>
    <w:rsid w:val="56ABB610"/>
    <w:rsid w:val="56AD7BDB"/>
    <w:rsid w:val="56B00E27"/>
    <w:rsid w:val="56B3F593"/>
    <w:rsid w:val="56B529A1"/>
    <w:rsid w:val="56B66536"/>
    <w:rsid w:val="56B6C78E"/>
    <w:rsid w:val="56B9918B"/>
    <w:rsid w:val="56C0C929"/>
    <w:rsid w:val="56C0CEF8"/>
    <w:rsid w:val="56C5B0E0"/>
    <w:rsid w:val="56C5D095"/>
    <w:rsid w:val="56C5EF3E"/>
    <w:rsid w:val="56C63977"/>
    <w:rsid w:val="56C7444A"/>
    <w:rsid w:val="56C93D92"/>
    <w:rsid w:val="56CA501A"/>
    <w:rsid w:val="56D3FAED"/>
    <w:rsid w:val="56D48166"/>
    <w:rsid w:val="56D9D689"/>
    <w:rsid w:val="56DD0A80"/>
    <w:rsid w:val="56DD3634"/>
    <w:rsid w:val="56DF489D"/>
    <w:rsid w:val="56E289FD"/>
    <w:rsid w:val="56E3C382"/>
    <w:rsid w:val="56E6911D"/>
    <w:rsid w:val="56E8CB86"/>
    <w:rsid w:val="56E8E09D"/>
    <w:rsid w:val="56EBF1E3"/>
    <w:rsid w:val="56F084F3"/>
    <w:rsid w:val="56F1CAA6"/>
    <w:rsid w:val="56F207A6"/>
    <w:rsid w:val="56F579B3"/>
    <w:rsid w:val="56F990CA"/>
    <w:rsid w:val="5701D307"/>
    <w:rsid w:val="570221FD"/>
    <w:rsid w:val="57035E85"/>
    <w:rsid w:val="5704EDBC"/>
    <w:rsid w:val="57053BA8"/>
    <w:rsid w:val="5707853E"/>
    <w:rsid w:val="570A861B"/>
    <w:rsid w:val="570FBF40"/>
    <w:rsid w:val="5711CD7F"/>
    <w:rsid w:val="57141C19"/>
    <w:rsid w:val="5714619C"/>
    <w:rsid w:val="5714E4BE"/>
    <w:rsid w:val="5718730B"/>
    <w:rsid w:val="5719285F"/>
    <w:rsid w:val="571F8E88"/>
    <w:rsid w:val="57201D1A"/>
    <w:rsid w:val="57213585"/>
    <w:rsid w:val="572566F9"/>
    <w:rsid w:val="572635D1"/>
    <w:rsid w:val="572659E1"/>
    <w:rsid w:val="572A61D6"/>
    <w:rsid w:val="572DD7CF"/>
    <w:rsid w:val="572EFFDF"/>
    <w:rsid w:val="5733B358"/>
    <w:rsid w:val="5737FE10"/>
    <w:rsid w:val="5738EDDF"/>
    <w:rsid w:val="573B4326"/>
    <w:rsid w:val="573BE5FD"/>
    <w:rsid w:val="573CC406"/>
    <w:rsid w:val="573CC7F1"/>
    <w:rsid w:val="573EF992"/>
    <w:rsid w:val="57437F27"/>
    <w:rsid w:val="57476FEB"/>
    <w:rsid w:val="574D489D"/>
    <w:rsid w:val="574F6530"/>
    <w:rsid w:val="57526D93"/>
    <w:rsid w:val="57555CAE"/>
    <w:rsid w:val="575AB454"/>
    <w:rsid w:val="575F0E8B"/>
    <w:rsid w:val="57670B63"/>
    <w:rsid w:val="5768758E"/>
    <w:rsid w:val="576AE3ED"/>
    <w:rsid w:val="576B1B4A"/>
    <w:rsid w:val="57701FFA"/>
    <w:rsid w:val="5771785A"/>
    <w:rsid w:val="5771B38B"/>
    <w:rsid w:val="5771D5A6"/>
    <w:rsid w:val="5774310F"/>
    <w:rsid w:val="57743FF1"/>
    <w:rsid w:val="57759EB3"/>
    <w:rsid w:val="57795156"/>
    <w:rsid w:val="577EB0FA"/>
    <w:rsid w:val="577FA165"/>
    <w:rsid w:val="577FB0EC"/>
    <w:rsid w:val="5780792E"/>
    <w:rsid w:val="57834884"/>
    <w:rsid w:val="5785DFDC"/>
    <w:rsid w:val="578724B9"/>
    <w:rsid w:val="578ADA02"/>
    <w:rsid w:val="578EB27E"/>
    <w:rsid w:val="5795A0FF"/>
    <w:rsid w:val="5798F8B3"/>
    <w:rsid w:val="579C9BA2"/>
    <w:rsid w:val="57A3A0ED"/>
    <w:rsid w:val="57A55A05"/>
    <w:rsid w:val="57A8C5E4"/>
    <w:rsid w:val="57AECE22"/>
    <w:rsid w:val="57B28312"/>
    <w:rsid w:val="57B573B3"/>
    <w:rsid w:val="57B5DFB1"/>
    <w:rsid w:val="57B6584D"/>
    <w:rsid w:val="57B8FFD3"/>
    <w:rsid w:val="57BBD5B6"/>
    <w:rsid w:val="57BC4C96"/>
    <w:rsid w:val="57BCC892"/>
    <w:rsid w:val="57BD21C8"/>
    <w:rsid w:val="57BD884F"/>
    <w:rsid w:val="57BFE148"/>
    <w:rsid w:val="57C275F1"/>
    <w:rsid w:val="57CA196C"/>
    <w:rsid w:val="57CBB9C2"/>
    <w:rsid w:val="57D038E8"/>
    <w:rsid w:val="57D4FC36"/>
    <w:rsid w:val="57D94D7D"/>
    <w:rsid w:val="57DA0517"/>
    <w:rsid w:val="57DC09DE"/>
    <w:rsid w:val="57DFDEAB"/>
    <w:rsid w:val="57E23469"/>
    <w:rsid w:val="57E26FF6"/>
    <w:rsid w:val="57E5A50A"/>
    <w:rsid w:val="57E6D23A"/>
    <w:rsid w:val="57E9AA04"/>
    <w:rsid w:val="57F0F55F"/>
    <w:rsid w:val="57F1B7AB"/>
    <w:rsid w:val="57F1DC70"/>
    <w:rsid w:val="57F26877"/>
    <w:rsid w:val="57F3F251"/>
    <w:rsid w:val="57F48F91"/>
    <w:rsid w:val="57F94E0C"/>
    <w:rsid w:val="57FC0F32"/>
    <w:rsid w:val="57FC357D"/>
    <w:rsid w:val="580329A1"/>
    <w:rsid w:val="58042ADF"/>
    <w:rsid w:val="58055194"/>
    <w:rsid w:val="5806CB15"/>
    <w:rsid w:val="5807C617"/>
    <w:rsid w:val="5807E80B"/>
    <w:rsid w:val="5808ED28"/>
    <w:rsid w:val="58099A31"/>
    <w:rsid w:val="580BBCEC"/>
    <w:rsid w:val="580D21F1"/>
    <w:rsid w:val="580E96C8"/>
    <w:rsid w:val="581C1D85"/>
    <w:rsid w:val="581C5C92"/>
    <w:rsid w:val="58212035"/>
    <w:rsid w:val="582415E7"/>
    <w:rsid w:val="5825ACD8"/>
    <w:rsid w:val="5826477E"/>
    <w:rsid w:val="582831AF"/>
    <w:rsid w:val="582C4961"/>
    <w:rsid w:val="582FD006"/>
    <w:rsid w:val="58306AC2"/>
    <w:rsid w:val="5833235B"/>
    <w:rsid w:val="58359B34"/>
    <w:rsid w:val="5839CD42"/>
    <w:rsid w:val="583ADBAF"/>
    <w:rsid w:val="583D5039"/>
    <w:rsid w:val="58459C3C"/>
    <w:rsid w:val="5850C6AC"/>
    <w:rsid w:val="58526AB6"/>
    <w:rsid w:val="5856D07C"/>
    <w:rsid w:val="5859FACE"/>
    <w:rsid w:val="585F643A"/>
    <w:rsid w:val="58636179"/>
    <w:rsid w:val="5864DDEC"/>
    <w:rsid w:val="5868163A"/>
    <w:rsid w:val="58684CCC"/>
    <w:rsid w:val="58732827"/>
    <w:rsid w:val="5873FA48"/>
    <w:rsid w:val="58769A7D"/>
    <w:rsid w:val="58792646"/>
    <w:rsid w:val="58796B08"/>
    <w:rsid w:val="587D20C4"/>
    <w:rsid w:val="587F2FE7"/>
    <w:rsid w:val="5884C602"/>
    <w:rsid w:val="58859D39"/>
    <w:rsid w:val="588C85AD"/>
    <w:rsid w:val="58920F78"/>
    <w:rsid w:val="5894C51E"/>
    <w:rsid w:val="5899B4B1"/>
    <w:rsid w:val="589B6CE6"/>
    <w:rsid w:val="589D0249"/>
    <w:rsid w:val="589EEFFB"/>
    <w:rsid w:val="58A1C6C7"/>
    <w:rsid w:val="58A35E00"/>
    <w:rsid w:val="58AB282D"/>
    <w:rsid w:val="58ABEDCE"/>
    <w:rsid w:val="58ADAF52"/>
    <w:rsid w:val="58AF9048"/>
    <w:rsid w:val="58B14BE2"/>
    <w:rsid w:val="58B1D381"/>
    <w:rsid w:val="58BD2663"/>
    <w:rsid w:val="58C3AE54"/>
    <w:rsid w:val="58C4233D"/>
    <w:rsid w:val="58C56BD6"/>
    <w:rsid w:val="58C7518B"/>
    <w:rsid w:val="58C9A093"/>
    <w:rsid w:val="58CA85B1"/>
    <w:rsid w:val="58CE6E69"/>
    <w:rsid w:val="58D2BD82"/>
    <w:rsid w:val="58D828DD"/>
    <w:rsid w:val="58D9CDD2"/>
    <w:rsid w:val="58DCDA7D"/>
    <w:rsid w:val="58DDF7AE"/>
    <w:rsid w:val="58E01ABA"/>
    <w:rsid w:val="58E18EB3"/>
    <w:rsid w:val="58E1BC2E"/>
    <w:rsid w:val="58E55BD1"/>
    <w:rsid w:val="58E64A0D"/>
    <w:rsid w:val="58E8C89D"/>
    <w:rsid w:val="58E97C1C"/>
    <w:rsid w:val="58EC078B"/>
    <w:rsid w:val="58F7FF87"/>
    <w:rsid w:val="58F972F7"/>
    <w:rsid w:val="58F9C793"/>
    <w:rsid w:val="58FCCB1B"/>
    <w:rsid w:val="58FD3ACD"/>
    <w:rsid w:val="58FF4EAD"/>
    <w:rsid w:val="58FFCF28"/>
    <w:rsid w:val="59017338"/>
    <w:rsid w:val="59039E26"/>
    <w:rsid w:val="5907A3CF"/>
    <w:rsid w:val="590B0C24"/>
    <w:rsid w:val="591060BD"/>
    <w:rsid w:val="5914ACB1"/>
    <w:rsid w:val="5914E3B8"/>
    <w:rsid w:val="5919132A"/>
    <w:rsid w:val="591A9468"/>
    <w:rsid w:val="591B337B"/>
    <w:rsid w:val="591F5EE5"/>
    <w:rsid w:val="5923B70D"/>
    <w:rsid w:val="59263A7C"/>
    <w:rsid w:val="592B9BAB"/>
    <w:rsid w:val="592DD497"/>
    <w:rsid w:val="592ECE44"/>
    <w:rsid w:val="5931A1EE"/>
    <w:rsid w:val="59358CA2"/>
    <w:rsid w:val="59360578"/>
    <w:rsid w:val="593C01E7"/>
    <w:rsid w:val="593CCE4A"/>
    <w:rsid w:val="59413AE9"/>
    <w:rsid w:val="594154BE"/>
    <w:rsid w:val="5941C1BE"/>
    <w:rsid w:val="594DACAA"/>
    <w:rsid w:val="594ECA37"/>
    <w:rsid w:val="594F023F"/>
    <w:rsid w:val="59502EAC"/>
    <w:rsid w:val="595C60B1"/>
    <w:rsid w:val="595CFE34"/>
    <w:rsid w:val="5961374A"/>
    <w:rsid w:val="59613ABB"/>
    <w:rsid w:val="59619360"/>
    <w:rsid w:val="596366E0"/>
    <w:rsid w:val="5964375D"/>
    <w:rsid w:val="5969375C"/>
    <w:rsid w:val="596A4E5C"/>
    <w:rsid w:val="596DB25A"/>
    <w:rsid w:val="596F7AA6"/>
    <w:rsid w:val="597E8761"/>
    <w:rsid w:val="598318B7"/>
    <w:rsid w:val="5983F1E7"/>
    <w:rsid w:val="598428C9"/>
    <w:rsid w:val="59877F3A"/>
    <w:rsid w:val="59890AD6"/>
    <w:rsid w:val="59901587"/>
    <w:rsid w:val="5994BCF7"/>
    <w:rsid w:val="5996096B"/>
    <w:rsid w:val="599706FC"/>
    <w:rsid w:val="59989B9A"/>
    <w:rsid w:val="5999C32E"/>
    <w:rsid w:val="599A65EA"/>
    <w:rsid w:val="599DD3B5"/>
    <w:rsid w:val="599F64D6"/>
    <w:rsid w:val="599FA6BB"/>
    <w:rsid w:val="59A0CC25"/>
    <w:rsid w:val="59A0ED7D"/>
    <w:rsid w:val="59A22DD3"/>
    <w:rsid w:val="59A28638"/>
    <w:rsid w:val="59A41DD1"/>
    <w:rsid w:val="59A72CF9"/>
    <w:rsid w:val="59AA3942"/>
    <w:rsid w:val="59AC8711"/>
    <w:rsid w:val="59B581CE"/>
    <w:rsid w:val="59BC8E1B"/>
    <w:rsid w:val="59C20255"/>
    <w:rsid w:val="59C67388"/>
    <w:rsid w:val="59D03646"/>
    <w:rsid w:val="59D2D2B6"/>
    <w:rsid w:val="59D49DBD"/>
    <w:rsid w:val="59DA680B"/>
    <w:rsid w:val="59DCC48A"/>
    <w:rsid w:val="59DD9EDD"/>
    <w:rsid w:val="59DE8466"/>
    <w:rsid w:val="59E227FB"/>
    <w:rsid w:val="59E34246"/>
    <w:rsid w:val="59EC6079"/>
    <w:rsid w:val="59ECB51F"/>
    <w:rsid w:val="59F0BD1C"/>
    <w:rsid w:val="59F26329"/>
    <w:rsid w:val="59F32EEB"/>
    <w:rsid w:val="59F8F01F"/>
    <w:rsid w:val="59FB2DCB"/>
    <w:rsid w:val="59FB443A"/>
    <w:rsid w:val="59FD3998"/>
    <w:rsid w:val="59FE1379"/>
    <w:rsid w:val="59FFCC22"/>
    <w:rsid w:val="59FFF4C5"/>
    <w:rsid w:val="5A002AFE"/>
    <w:rsid w:val="5A01F348"/>
    <w:rsid w:val="5A034DB1"/>
    <w:rsid w:val="5A040000"/>
    <w:rsid w:val="5A04436B"/>
    <w:rsid w:val="5A04CF7E"/>
    <w:rsid w:val="5A04F353"/>
    <w:rsid w:val="5A0BED74"/>
    <w:rsid w:val="5A0FECA1"/>
    <w:rsid w:val="5A109496"/>
    <w:rsid w:val="5A1243CD"/>
    <w:rsid w:val="5A15A05A"/>
    <w:rsid w:val="5A15A598"/>
    <w:rsid w:val="5A19EBA8"/>
    <w:rsid w:val="5A1A832D"/>
    <w:rsid w:val="5A1E6EA1"/>
    <w:rsid w:val="5A1FEE7C"/>
    <w:rsid w:val="5A23CF35"/>
    <w:rsid w:val="5A24275B"/>
    <w:rsid w:val="5A26A209"/>
    <w:rsid w:val="5A2BEADB"/>
    <w:rsid w:val="5A2CC7E8"/>
    <w:rsid w:val="5A30D804"/>
    <w:rsid w:val="5A31A28C"/>
    <w:rsid w:val="5A343EF1"/>
    <w:rsid w:val="5A34C2B4"/>
    <w:rsid w:val="5A35C4F7"/>
    <w:rsid w:val="5A36633D"/>
    <w:rsid w:val="5A387781"/>
    <w:rsid w:val="5A3A2635"/>
    <w:rsid w:val="5A3BF2C3"/>
    <w:rsid w:val="5A3D7A0A"/>
    <w:rsid w:val="5A444B3D"/>
    <w:rsid w:val="5A450093"/>
    <w:rsid w:val="5A453DFD"/>
    <w:rsid w:val="5A4545BD"/>
    <w:rsid w:val="5A49730E"/>
    <w:rsid w:val="5A54471B"/>
    <w:rsid w:val="5A54C6EE"/>
    <w:rsid w:val="5A556586"/>
    <w:rsid w:val="5A627CDD"/>
    <w:rsid w:val="5A653877"/>
    <w:rsid w:val="5A6B16AC"/>
    <w:rsid w:val="5A700324"/>
    <w:rsid w:val="5A71C190"/>
    <w:rsid w:val="5A74C1ED"/>
    <w:rsid w:val="5A769EAE"/>
    <w:rsid w:val="5A791B6D"/>
    <w:rsid w:val="5A7B4F7B"/>
    <w:rsid w:val="5A7C1770"/>
    <w:rsid w:val="5A7D2B6F"/>
    <w:rsid w:val="5A809518"/>
    <w:rsid w:val="5A80E302"/>
    <w:rsid w:val="5A82E368"/>
    <w:rsid w:val="5A83D350"/>
    <w:rsid w:val="5A870A20"/>
    <w:rsid w:val="5A9153A6"/>
    <w:rsid w:val="5A921F34"/>
    <w:rsid w:val="5A98C8DE"/>
    <w:rsid w:val="5A992532"/>
    <w:rsid w:val="5A9D1EBB"/>
    <w:rsid w:val="5AA19634"/>
    <w:rsid w:val="5AA1CF1C"/>
    <w:rsid w:val="5AA672A9"/>
    <w:rsid w:val="5AAE7B95"/>
    <w:rsid w:val="5AB38D90"/>
    <w:rsid w:val="5AB5E735"/>
    <w:rsid w:val="5AB9D8CB"/>
    <w:rsid w:val="5ABA1AE7"/>
    <w:rsid w:val="5ABC2698"/>
    <w:rsid w:val="5ABFE3EC"/>
    <w:rsid w:val="5AC0F36E"/>
    <w:rsid w:val="5AC37FE6"/>
    <w:rsid w:val="5AC3940C"/>
    <w:rsid w:val="5AC46767"/>
    <w:rsid w:val="5AC670EF"/>
    <w:rsid w:val="5AC8EBE2"/>
    <w:rsid w:val="5ACACCB7"/>
    <w:rsid w:val="5ACFEDEF"/>
    <w:rsid w:val="5AD5FF65"/>
    <w:rsid w:val="5AD69224"/>
    <w:rsid w:val="5AD6B41E"/>
    <w:rsid w:val="5AD7C5B5"/>
    <w:rsid w:val="5AD7D486"/>
    <w:rsid w:val="5ADF19F4"/>
    <w:rsid w:val="5ADF9890"/>
    <w:rsid w:val="5ADFA93D"/>
    <w:rsid w:val="5AE12B8F"/>
    <w:rsid w:val="5AE30065"/>
    <w:rsid w:val="5AE4AB70"/>
    <w:rsid w:val="5AE5A916"/>
    <w:rsid w:val="5AE685CC"/>
    <w:rsid w:val="5AE987A4"/>
    <w:rsid w:val="5AEB72F9"/>
    <w:rsid w:val="5AEDB553"/>
    <w:rsid w:val="5AEF01C6"/>
    <w:rsid w:val="5AF63F77"/>
    <w:rsid w:val="5AFAC2AE"/>
    <w:rsid w:val="5AFD0914"/>
    <w:rsid w:val="5AFD5D05"/>
    <w:rsid w:val="5AFEEEB6"/>
    <w:rsid w:val="5B01B1A4"/>
    <w:rsid w:val="5B02A8BC"/>
    <w:rsid w:val="5B0450FD"/>
    <w:rsid w:val="5B06A90E"/>
    <w:rsid w:val="5B0946DB"/>
    <w:rsid w:val="5B0AA5D0"/>
    <w:rsid w:val="5B0B7A8A"/>
    <w:rsid w:val="5B134738"/>
    <w:rsid w:val="5B152D63"/>
    <w:rsid w:val="5B16E4A4"/>
    <w:rsid w:val="5B171EC1"/>
    <w:rsid w:val="5B189F77"/>
    <w:rsid w:val="5B1AA77A"/>
    <w:rsid w:val="5B1E1304"/>
    <w:rsid w:val="5B1EEA90"/>
    <w:rsid w:val="5B2049D8"/>
    <w:rsid w:val="5B246124"/>
    <w:rsid w:val="5B2630C6"/>
    <w:rsid w:val="5B2662C2"/>
    <w:rsid w:val="5B282170"/>
    <w:rsid w:val="5B2855DD"/>
    <w:rsid w:val="5B28F65E"/>
    <w:rsid w:val="5B2BE382"/>
    <w:rsid w:val="5B2CD03E"/>
    <w:rsid w:val="5B2CE876"/>
    <w:rsid w:val="5B31CDAE"/>
    <w:rsid w:val="5B326FAD"/>
    <w:rsid w:val="5B328798"/>
    <w:rsid w:val="5B32D717"/>
    <w:rsid w:val="5B3318A4"/>
    <w:rsid w:val="5B343DFE"/>
    <w:rsid w:val="5B34507B"/>
    <w:rsid w:val="5B34B208"/>
    <w:rsid w:val="5B37887C"/>
    <w:rsid w:val="5B3A1111"/>
    <w:rsid w:val="5B401F07"/>
    <w:rsid w:val="5B42DCFB"/>
    <w:rsid w:val="5B439A40"/>
    <w:rsid w:val="5B4AAA83"/>
    <w:rsid w:val="5B4DA488"/>
    <w:rsid w:val="5B52F9AB"/>
    <w:rsid w:val="5B54CAA7"/>
    <w:rsid w:val="5B622FEE"/>
    <w:rsid w:val="5B629039"/>
    <w:rsid w:val="5B6377F4"/>
    <w:rsid w:val="5B65D585"/>
    <w:rsid w:val="5B676B3A"/>
    <w:rsid w:val="5B683177"/>
    <w:rsid w:val="5B720610"/>
    <w:rsid w:val="5B75BB56"/>
    <w:rsid w:val="5B793F19"/>
    <w:rsid w:val="5B798EC8"/>
    <w:rsid w:val="5B7F9121"/>
    <w:rsid w:val="5B800958"/>
    <w:rsid w:val="5B807289"/>
    <w:rsid w:val="5B8074EC"/>
    <w:rsid w:val="5B848F53"/>
    <w:rsid w:val="5B871051"/>
    <w:rsid w:val="5B8AC5EB"/>
    <w:rsid w:val="5B8B284B"/>
    <w:rsid w:val="5B8F20F6"/>
    <w:rsid w:val="5B957602"/>
    <w:rsid w:val="5B9859C8"/>
    <w:rsid w:val="5B98C951"/>
    <w:rsid w:val="5B99E55C"/>
    <w:rsid w:val="5B9AB893"/>
    <w:rsid w:val="5B9D1E62"/>
    <w:rsid w:val="5BA153AF"/>
    <w:rsid w:val="5BA1B2D1"/>
    <w:rsid w:val="5BA220EA"/>
    <w:rsid w:val="5BA22E97"/>
    <w:rsid w:val="5BA6251A"/>
    <w:rsid w:val="5BA68B16"/>
    <w:rsid w:val="5BA68F1A"/>
    <w:rsid w:val="5BA72B7D"/>
    <w:rsid w:val="5BA76B35"/>
    <w:rsid w:val="5BA88F7C"/>
    <w:rsid w:val="5BB2002F"/>
    <w:rsid w:val="5BB210AF"/>
    <w:rsid w:val="5BB5E842"/>
    <w:rsid w:val="5BB9992E"/>
    <w:rsid w:val="5BBC55C4"/>
    <w:rsid w:val="5BBE3622"/>
    <w:rsid w:val="5BBF0A99"/>
    <w:rsid w:val="5BC51E59"/>
    <w:rsid w:val="5BC6C158"/>
    <w:rsid w:val="5BCA205A"/>
    <w:rsid w:val="5BCDA8C6"/>
    <w:rsid w:val="5BD03BA3"/>
    <w:rsid w:val="5BD4BAF2"/>
    <w:rsid w:val="5BDCCD83"/>
    <w:rsid w:val="5BDD29D9"/>
    <w:rsid w:val="5BDED129"/>
    <w:rsid w:val="5BE21B54"/>
    <w:rsid w:val="5BE29283"/>
    <w:rsid w:val="5BE47214"/>
    <w:rsid w:val="5BE4A621"/>
    <w:rsid w:val="5BEAF156"/>
    <w:rsid w:val="5BEB0FB9"/>
    <w:rsid w:val="5BEBC22B"/>
    <w:rsid w:val="5BF303B3"/>
    <w:rsid w:val="5BF341F2"/>
    <w:rsid w:val="5BF3F44E"/>
    <w:rsid w:val="5BF94750"/>
    <w:rsid w:val="5BFA5DDB"/>
    <w:rsid w:val="5BFEF2EF"/>
    <w:rsid w:val="5C042234"/>
    <w:rsid w:val="5C057ACA"/>
    <w:rsid w:val="5C07B059"/>
    <w:rsid w:val="5C07DD9F"/>
    <w:rsid w:val="5C09DE6F"/>
    <w:rsid w:val="5C1284E7"/>
    <w:rsid w:val="5C145D7F"/>
    <w:rsid w:val="5C14EDB6"/>
    <w:rsid w:val="5C15B6E3"/>
    <w:rsid w:val="5C1C5C38"/>
    <w:rsid w:val="5C1E3216"/>
    <w:rsid w:val="5C208BCB"/>
    <w:rsid w:val="5C25D01D"/>
    <w:rsid w:val="5C2B2D05"/>
    <w:rsid w:val="5C2E7828"/>
    <w:rsid w:val="5C32CEA2"/>
    <w:rsid w:val="5C3DD840"/>
    <w:rsid w:val="5C3E0A9A"/>
    <w:rsid w:val="5C3E161A"/>
    <w:rsid w:val="5C42CEFD"/>
    <w:rsid w:val="5C45D75C"/>
    <w:rsid w:val="5C4A526E"/>
    <w:rsid w:val="5C4B386D"/>
    <w:rsid w:val="5C4BD2BC"/>
    <w:rsid w:val="5C503AF5"/>
    <w:rsid w:val="5C51F5EE"/>
    <w:rsid w:val="5C5B5B22"/>
    <w:rsid w:val="5C61F18A"/>
    <w:rsid w:val="5C62A881"/>
    <w:rsid w:val="5C67B307"/>
    <w:rsid w:val="5C6BD9CF"/>
    <w:rsid w:val="5C6CF576"/>
    <w:rsid w:val="5C7E61B8"/>
    <w:rsid w:val="5C7EDC65"/>
    <w:rsid w:val="5C7EF174"/>
    <w:rsid w:val="5C82D47C"/>
    <w:rsid w:val="5C83CAA5"/>
    <w:rsid w:val="5C8655E3"/>
    <w:rsid w:val="5C895DD0"/>
    <w:rsid w:val="5C8A75DC"/>
    <w:rsid w:val="5C8C8BF8"/>
    <w:rsid w:val="5C8D7A7D"/>
    <w:rsid w:val="5C908DC8"/>
    <w:rsid w:val="5C90B236"/>
    <w:rsid w:val="5C930974"/>
    <w:rsid w:val="5C93E36D"/>
    <w:rsid w:val="5C94BFB4"/>
    <w:rsid w:val="5C95E178"/>
    <w:rsid w:val="5C97165D"/>
    <w:rsid w:val="5C986773"/>
    <w:rsid w:val="5C9A4EB7"/>
    <w:rsid w:val="5C9B54A0"/>
    <w:rsid w:val="5CA5DDCF"/>
    <w:rsid w:val="5CA69EB0"/>
    <w:rsid w:val="5CA6B596"/>
    <w:rsid w:val="5CAE8493"/>
    <w:rsid w:val="5CAF36D6"/>
    <w:rsid w:val="5CB2A6B3"/>
    <w:rsid w:val="5CB397D9"/>
    <w:rsid w:val="5CB88D69"/>
    <w:rsid w:val="5CB93A3B"/>
    <w:rsid w:val="5CC0B297"/>
    <w:rsid w:val="5CC5D003"/>
    <w:rsid w:val="5CCFA5CD"/>
    <w:rsid w:val="5CD0167B"/>
    <w:rsid w:val="5CD0193C"/>
    <w:rsid w:val="5CD0F82F"/>
    <w:rsid w:val="5CD1ADD4"/>
    <w:rsid w:val="5CD206AC"/>
    <w:rsid w:val="5CD37EA4"/>
    <w:rsid w:val="5CD40C77"/>
    <w:rsid w:val="5CDAB49C"/>
    <w:rsid w:val="5CDC79A0"/>
    <w:rsid w:val="5CDE2CC8"/>
    <w:rsid w:val="5CDEC91E"/>
    <w:rsid w:val="5CE11E56"/>
    <w:rsid w:val="5CE15195"/>
    <w:rsid w:val="5CE5A29F"/>
    <w:rsid w:val="5CE88C4E"/>
    <w:rsid w:val="5CEE8F67"/>
    <w:rsid w:val="5CEEB97A"/>
    <w:rsid w:val="5CEF34DE"/>
    <w:rsid w:val="5CF71E28"/>
    <w:rsid w:val="5CFB962F"/>
    <w:rsid w:val="5D00EAA3"/>
    <w:rsid w:val="5D07ED68"/>
    <w:rsid w:val="5D0B77CC"/>
    <w:rsid w:val="5D0C3023"/>
    <w:rsid w:val="5D0CE744"/>
    <w:rsid w:val="5D191BE4"/>
    <w:rsid w:val="5D19273F"/>
    <w:rsid w:val="5D193CBC"/>
    <w:rsid w:val="5D205FB4"/>
    <w:rsid w:val="5D217DAB"/>
    <w:rsid w:val="5D2385BA"/>
    <w:rsid w:val="5D259692"/>
    <w:rsid w:val="5D25EFF4"/>
    <w:rsid w:val="5D270103"/>
    <w:rsid w:val="5D2A9CCD"/>
    <w:rsid w:val="5D2D5334"/>
    <w:rsid w:val="5D300AE4"/>
    <w:rsid w:val="5D330BC5"/>
    <w:rsid w:val="5D37EA11"/>
    <w:rsid w:val="5D3C8E1C"/>
    <w:rsid w:val="5D3D8F2F"/>
    <w:rsid w:val="5D484940"/>
    <w:rsid w:val="5D48D2F3"/>
    <w:rsid w:val="5D4BFA3C"/>
    <w:rsid w:val="5D4EB68F"/>
    <w:rsid w:val="5D4FF271"/>
    <w:rsid w:val="5D51C702"/>
    <w:rsid w:val="5D590FE0"/>
    <w:rsid w:val="5D5BE019"/>
    <w:rsid w:val="5D5E0DAB"/>
    <w:rsid w:val="5D6374D2"/>
    <w:rsid w:val="5D64D84E"/>
    <w:rsid w:val="5D69BD97"/>
    <w:rsid w:val="5D6B0E58"/>
    <w:rsid w:val="5D6B5799"/>
    <w:rsid w:val="5D6B9DC4"/>
    <w:rsid w:val="5D6D48E4"/>
    <w:rsid w:val="5D74238E"/>
    <w:rsid w:val="5D75CECC"/>
    <w:rsid w:val="5D76378C"/>
    <w:rsid w:val="5D783A4E"/>
    <w:rsid w:val="5D7CFA3E"/>
    <w:rsid w:val="5D873BD0"/>
    <w:rsid w:val="5D8852F2"/>
    <w:rsid w:val="5D8B2DC4"/>
    <w:rsid w:val="5D964C5D"/>
    <w:rsid w:val="5D9963C8"/>
    <w:rsid w:val="5D9E4A25"/>
    <w:rsid w:val="5DA2C711"/>
    <w:rsid w:val="5DA2F098"/>
    <w:rsid w:val="5DA562E2"/>
    <w:rsid w:val="5DA5782F"/>
    <w:rsid w:val="5DA95902"/>
    <w:rsid w:val="5DA99CCD"/>
    <w:rsid w:val="5DB1F3DB"/>
    <w:rsid w:val="5DB6A256"/>
    <w:rsid w:val="5DB6C0C8"/>
    <w:rsid w:val="5DC36A73"/>
    <w:rsid w:val="5DC448F0"/>
    <w:rsid w:val="5DC45C3A"/>
    <w:rsid w:val="5DC54246"/>
    <w:rsid w:val="5DC68C59"/>
    <w:rsid w:val="5DD0DA5C"/>
    <w:rsid w:val="5DD196E2"/>
    <w:rsid w:val="5DD272B1"/>
    <w:rsid w:val="5DD401A2"/>
    <w:rsid w:val="5DD49D66"/>
    <w:rsid w:val="5DD869F8"/>
    <w:rsid w:val="5DDD9FF6"/>
    <w:rsid w:val="5DE619F3"/>
    <w:rsid w:val="5DE724BF"/>
    <w:rsid w:val="5DE8D4D3"/>
    <w:rsid w:val="5DEB58BD"/>
    <w:rsid w:val="5DEB7E4A"/>
    <w:rsid w:val="5DF163EC"/>
    <w:rsid w:val="5DF191B5"/>
    <w:rsid w:val="5DF21758"/>
    <w:rsid w:val="5DF84844"/>
    <w:rsid w:val="5DF8856B"/>
    <w:rsid w:val="5DFD2D23"/>
    <w:rsid w:val="5DFE0C19"/>
    <w:rsid w:val="5E007D97"/>
    <w:rsid w:val="5E018DD5"/>
    <w:rsid w:val="5E0299F4"/>
    <w:rsid w:val="5E02ABF1"/>
    <w:rsid w:val="5E053C0A"/>
    <w:rsid w:val="5E08E80A"/>
    <w:rsid w:val="5E09F9BD"/>
    <w:rsid w:val="5E0A15A3"/>
    <w:rsid w:val="5E0CF307"/>
    <w:rsid w:val="5E123EC4"/>
    <w:rsid w:val="5E12E959"/>
    <w:rsid w:val="5E1557E2"/>
    <w:rsid w:val="5E17934B"/>
    <w:rsid w:val="5E1A2BD6"/>
    <w:rsid w:val="5E1FE6E7"/>
    <w:rsid w:val="5E202134"/>
    <w:rsid w:val="5E203522"/>
    <w:rsid w:val="5E231B13"/>
    <w:rsid w:val="5E23736E"/>
    <w:rsid w:val="5E2448CD"/>
    <w:rsid w:val="5E290143"/>
    <w:rsid w:val="5E2B1934"/>
    <w:rsid w:val="5E2B2758"/>
    <w:rsid w:val="5E30B8E1"/>
    <w:rsid w:val="5E3229D8"/>
    <w:rsid w:val="5E3341F0"/>
    <w:rsid w:val="5E4118B3"/>
    <w:rsid w:val="5E51AE08"/>
    <w:rsid w:val="5E5297B9"/>
    <w:rsid w:val="5E529DCE"/>
    <w:rsid w:val="5E534DD2"/>
    <w:rsid w:val="5E555743"/>
    <w:rsid w:val="5E59758E"/>
    <w:rsid w:val="5E5FA710"/>
    <w:rsid w:val="5E60C790"/>
    <w:rsid w:val="5E64DBAF"/>
    <w:rsid w:val="5E660197"/>
    <w:rsid w:val="5E668157"/>
    <w:rsid w:val="5E678844"/>
    <w:rsid w:val="5E691342"/>
    <w:rsid w:val="5E699544"/>
    <w:rsid w:val="5E750C2A"/>
    <w:rsid w:val="5E7649FB"/>
    <w:rsid w:val="5E7855BC"/>
    <w:rsid w:val="5E7A1E72"/>
    <w:rsid w:val="5E80D80F"/>
    <w:rsid w:val="5E81A12B"/>
    <w:rsid w:val="5E837456"/>
    <w:rsid w:val="5E84BBDA"/>
    <w:rsid w:val="5E867AC4"/>
    <w:rsid w:val="5E8B269A"/>
    <w:rsid w:val="5E8B622D"/>
    <w:rsid w:val="5E8BD38D"/>
    <w:rsid w:val="5E92F6CA"/>
    <w:rsid w:val="5E949937"/>
    <w:rsid w:val="5E950010"/>
    <w:rsid w:val="5E98D57A"/>
    <w:rsid w:val="5E9A5ECB"/>
    <w:rsid w:val="5E9AE09E"/>
    <w:rsid w:val="5E9BC632"/>
    <w:rsid w:val="5E9DDA18"/>
    <w:rsid w:val="5E9ECAAE"/>
    <w:rsid w:val="5E9F4061"/>
    <w:rsid w:val="5EA6B2AA"/>
    <w:rsid w:val="5EA9BC1A"/>
    <w:rsid w:val="5EB4996F"/>
    <w:rsid w:val="5EB4B225"/>
    <w:rsid w:val="5EB4C44E"/>
    <w:rsid w:val="5EB665F4"/>
    <w:rsid w:val="5EB799DF"/>
    <w:rsid w:val="5EB9912C"/>
    <w:rsid w:val="5EB9EC7D"/>
    <w:rsid w:val="5EC83710"/>
    <w:rsid w:val="5ECCF8A6"/>
    <w:rsid w:val="5ED04AE4"/>
    <w:rsid w:val="5ED69FA2"/>
    <w:rsid w:val="5ED7166C"/>
    <w:rsid w:val="5EDA0243"/>
    <w:rsid w:val="5EDCCB4B"/>
    <w:rsid w:val="5EDF2446"/>
    <w:rsid w:val="5EDF5C8C"/>
    <w:rsid w:val="5EE13533"/>
    <w:rsid w:val="5EEA50A6"/>
    <w:rsid w:val="5EEB8145"/>
    <w:rsid w:val="5EF27144"/>
    <w:rsid w:val="5EF86B93"/>
    <w:rsid w:val="5EFD43AF"/>
    <w:rsid w:val="5EFF00F7"/>
    <w:rsid w:val="5F06121E"/>
    <w:rsid w:val="5F0B0AB9"/>
    <w:rsid w:val="5F0B8149"/>
    <w:rsid w:val="5F0DDB42"/>
    <w:rsid w:val="5F111924"/>
    <w:rsid w:val="5F139470"/>
    <w:rsid w:val="5F16F9C2"/>
    <w:rsid w:val="5F1D78FA"/>
    <w:rsid w:val="5F1EB22E"/>
    <w:rsid w:val="5F264AF3"/>
    <w:rsid w:val="5F2A5106"/>
    <w:rsid w:val="5F2C17AE"/>
    <w:rsid w:val="5F2EEF16"/>
    <w:rsid w:val="5F34CC28"/>
    <w:rsid w:val="5F3762F9"/>
    <w:rsid w:val="5F37EA93"/>
    <w:rsid w:val="5F381537"/>
    <w:rsid w:val="5F38D20A"/>
    <w:rsid w:val="5F390292"/>
    <w:rsid w:val="5F3F612C"/>
    <w:rsid w:val="5F40E35D"/>
    <w:rsid w:val="5F479294"/>
    <w:rsid w:val="5F4C2E78"/>
    <w:rsid w:val="5F4CC0E1"/>
    <w:rsid w:val="5F54FEB8"/>
    <w:rsid w:val="5F55A4FC"/>
    <w:rsid w:val="5F55ABFE"/>
    <w:rsid w:val="5F5793C1"/>
    <w:rsid w:val="5F5793CA"/>
    <w:rsid w:val="5F58F6AF"/>
    <w:rsid w:val="5F5B282B"/>
    <w:rsid w:val="5F6686F6"/>
    <w:rsid w:val="5F717488"/>
    <w:rsid w:val="5F7282D9"/>
    <w:rsid w:val="5F7584C5"/>
    <w:rsid w:val="5F7A1073"/>
    <w:rsid w:val="5F7BADF7"/>
    <w:rsid w:val="5F7D406E"/>
    <w:rsid w:val="5F840E65"/>
    <w:rsid w:val="5F846124"/>
    <w:rsid w:val="5F878747"/>
    <w:rsid w:val="5F89A41C"/>
    <w:rsid w:val="5F8DD9D9"/>
    <w:rsid w:val="5F8EC3E4"/>
    <w:rsid w:val="5F913D1C"/>
    <w:rsid w:val="5F92F3D1"/>
    <w:rsid w:val="5F9B7A2A"/>
    <w:rsid w:val="5FA2573A"/>
    <w:rsid w:val="5FA372E5"/>
    <w:rsid w:val="5FA3AEA9"/>
    <w:rsid w:val="5FA80406"/>
    <w:rsid w:val="5FA8984F"/>
    <w:rsid w:val="5FA94284"/>
    <w:rsid w:val="5FAA0B52"/>
    <w:rsid w:val="5FB13BC3"/>
    <w:rsid w:val="5FB20565"/>
    <w:rsid w:val="5FB5D93A"/>
    <w:rsid w:val="5FB9FE53"/>
    <w:rsid w:val="5FBB8106"/>
    <w:rsid w:val="5FBE1701"/>
    <w:rsid w:val="5FC55F03"/>
    <w:rsid w:val="5FC6D7B7"/>
    <w:rsid w:val="5FCD0816"/>
    <w:rsid w:val="5FD16C97"/>
    <w:rsid w:val="5FD3509A"/>
    <w:rsid w:val="5FD64CCF"/>
    <w:rsid w:val="5FD66E64"/>
    <w:rsid w:val="5FDAFD62"/>
    <w:rsid w:val="5FDD8EAD"/>
    <w:rsid w:val="5FE209D2"/>
    <w:rsid w:val="5FE3C617"/>
    <w:rsid w:val="5FE4C6D6"/>
    <w:rsid w:val="5FEB3880"/>
    <w:rsid w:val="5FEDA09B"/>
    <w:rsid w:val="5FEE4EAC"/>
    <w:rsid w:val="5FF122AE"/>
    <w:rsid w:val="5FF402C9"/>
    <w:rsid w:val="5FFD0940"/>
    <w:rsid w:val="600148EC"/>
    <w:rsid w:val="600704C3"/>
    <w:rsid w:val="600B9539"/>
    <w:rsid w:val="600C3ACC"/>
    <w:rsid w:val="600D7FD6"/>
    <w:rsid w:val="600EB98E"/>
    <w:rsid w:val="600F593E"/>
    <w:rsid w:val="6013FB4E"/>
    <w:rsid w:val="60172EF0"/>
    <w:rsid w:val="601A97E6"/>
    <w:rsid w:val="601AACEA"/>
    <w:rsid w:val="601E01ED"/>
    <w:rsid w:val="601E8DBA"/>
    <w:rsid w:val="601FB806"/>
    <w:rsid w:val="60202B49"/>
    <w:rsid w:val="602183A4"/>
    <w:rsid w:val="60298CA9"/>
    <w:rsid w:val="602A97E5"/>
    <w:rsid w:val="602FCFD6"/>
    <w:rsid w:val="6030CB39"/>
    <w:rsid w:val="60310DBC"/>
    <w:rsid w:val="6038524D"/>
    <w:rsid w:val="6038E8B2"/>
    <w:rsid w:val="603ADD2F"/>
    <w:rsid w:val="603C8D99"/>
    <w:rsid w:val="6040054A"/>
    <w:rsid w:val="60427DC1"/>
    <w:rsid w:val="60454F25"/>
    <w:rsid w:val="60455287"/>
    <w:rsid w:val="604861CC"/>
    <w:rsid w:val="604B42F6"/>
    <w:rsid w:val="604D7F12"/>
    <w:rsid w:val="604F40AD"/>
    <w:rsid w:val="604FDB2F"/>
    <w:rsid w:val="605038A9"/>
    <w:rsid w:val="60530296"/>
    <w:rsid w:val="605465E7"/>
    <w:rsid w:val="6054E42E"/>
    <w:rsid w:val="6056436A"/>
    <w:rsid w:val="6056AD03"/>
    <w:rsid w:val="60586E01"/>
    <w:rsid w:val="605C6982"/>
    <w:rsid w:val="605D60A7"/>
    <w:rsid w:val="60699BB6"/>
    <w:rsid w:val="606A7032"/>
    <w:rsid w:val="606AFD3C"/>
    <w:rsid w:val="606D0676"/>
    <w:rsid w:val="606D56AE"/>
    <w:rsid w:val="6071CE85"/>
    <w:rsid w:val="6075CCC3"/>
    <w:rsid w:val="6075F5C8"/>
    <w:rsid w:val="6078A797"/>
    <w:rsid w:val="6081533A"/>
    <w:rsid w:val="6081A293"/>
    <w:rsid w:val="6082CE70"/>
    <w:rsid w:val="6083BD96"/>
    <w:rsid w:val="6089602D"/>
    <w:rsid w:val="608BD111"/>
    <w:rsid w:val="608D65B2"/>
    <w:rsid w:val="608FEE20"/>
    <w:rsid w:val="60976C17"/>
    <w:rsid w:val="6097D0E4"/>
    <w:rsid w:val="609BD8BF"/>
    <w:rsid w:val="609C12B7"/>
    <w:rsid w:val="609C20E0"/>
    <w:rsid w:val="609ED4B2"/>
    <w:rsid w:val="60A3B168"/>
    <w:rsid w:val="60A46254"/>
    <w:rsid w:val="60A76995"/>
    <w:rsid w:val="60A86287"/>
    <w:rsid w:val="60AEF2ED"/>
    <w:rsid w:val="60AFF508"/>
    <w:rsid w:val="60B18AAE"/>
    <w:rsid w:val="60B1D2D2"/>
    <w:rsid w:val="60B29CCD"/>
    <w:rsid w:val="60B38560"/>
    <w:rsid w:val="60B7B3D3"/>
    <w:rsid w:val="60BB6C58"/>
    <w:rsid w:val="60BBFB16"/>
    <w:rsid w:val="60BD7896"/>
    <w:rsid w:val="60BDB4A8"/>
    <w:rsid w:val="60BDD3CF"/>
    <w:rsid w:val="60BFA826"/>
    <w:rsid w:val="60C2A077"/>
    <w:rsid w:val="60C3AC64"/>
    <w:rsid w:val="60CC17D9"/>
    <w:rsid w:val="60CD0576"/>
    <w:rsid w:val="60D00098"/>
    <w:rsid w:val="60D04D4C"/>
    <w:rsid w:val="60D34741"/>
    <w:rsid w:val="60D3BA3E"/>
    <w:rsid w:val="60D4A216"/>
    <w:rsid w:val="60D70EE0"/>
    <w:rsid w:val="60DB134B"/>
    <w:rsid w:val="60DDAA2D"/>
    <w:rsid w:val="60E349A6"/>
    <w:rsid w:val="60E47D60"/>
    <w:rsid w:val="60E7CE98"/>
    <w:rsid w:val="60EBBD0F"/>
    <w:rsid w:val="60ED0C54"/>
    <w:rsid w:val="60EDEF43"/>
    <w:rsid w:val="60FACAE6"/>
    <w:rsid w:val="60FC2191"/>
    <w:rsid w:val="60FCECAB"/>
    <w:rsid w:val="60FE8012"/>
    <w:rsid w:val="60FE91C5"/>
    <w:rsid w:val="60FF2D0C"/>
    <w:rsid w:val="6104D04D"/>
    <w:rsid w:val="61061D4B"/>
    <w:rsid w:val="61072957"/>
    <w:rsid w:val="6109A72B"/>
    <w:rsid w:val="610CAC18"/>
    <w:rsid w:val="610E1765"/>
    <w:rsid w:val="61142F90"/>
    <w:rsid w:val="6114D6C3"/>
    <w:rsid w:val="61176E99"/>
    <w:rsid w:val="611E335D"/>
    <w:rsid w:val="611E7CD5"/>
    <w:rsid w:val="611E8FA5"/>
    <w:rsid w:val="611EA4EC"/>
    <w:rsid w:val="6125316D"/>
    <w:rsid w:val="6126271A"/>
    <w:rsid w:val="6128C341"/>
    <w:rsid w:val="612A1B4F"/>
    <w:rsid w:val="612C0711"/>
    <w:rsid w:val="6134DD5C"/>
    <w:rsid w:val="6135F442"/>
    <w:rsid w:val="61390C02"/>
    <w:rsid w:val="613A971C"/>
    <w:rsid w:val="613B2EC1"/>
    <w:rsid w:val="613D0839"/>
    <w:rsid w:val="613D421F"/>
    <w:rsid w:val="6142B328"/>
    <w:rsid w:val="6142FAE8"/>
    <w:rsid w:val="614EA284"/>
    <w:rsid w:val="61546979"/>
    <w:rsid w:val="6156266C"/>
    <w:rsid w:val="615913F1"/>
    <w:rsid w:val="615B24B0"/>
    <w:rsid w:val="615D2516"/>
    <w:rsid w:val="615F7218"/>
    <w:rsid w:val="61636AFE"/>
    <w:rsid w:val="616435E4"/>
    <w:rsid w:val="616568C2"/>
    <w:rsid w:val="61660733"/>
    <w:rsid w:val="61664EC9"/>
    <w:rsid w:val="6167E634"/>
    <w:rsid w:val="616D3CF8"/>
    <w:rsid w:val="61707D3C"/>
    <w:rsid w:val="6172185D"/>
    <w:rsid w:val="6173BCA4"/>
    <w:rsid w:val="61796A57"/>
    <w:rsid w:val="617992C5"/>
    <w:rsid w:val="617B21D2"/>
    <w:rsid w:val="617C7DD7"/>
    <w:rsid w:val="617E0BDD"/>
    <w:rsid w:val="618158F0"/>
    <w:rsid w:val="618228C7"/>
    <w:rsid w:val="6183A086"/>
    <w:rsid w:val="61868C75"/>
    <w:rsid w:val="61874CCE"/>
    <w:rsid w:val="618A2BC0"/>
    <w:rsid w:val="618A3E08"/>
    <w:rsid w:val="618B1D2E"/>
    <w:rsid w:val="618CFEED"/>
    <w:rsid w:val="618D0E41"/>
    <w:rsid w:val="618D36C6"/>
    <w:rsid w:val="618F5088"/>
    <w:rsid w:val="6194253F"/>
    <w:rsid w:val="6198B976"/>
    <w:rsid w:val="619A513C"/>
    <w:rsid w:val="619B8E3A"/>
    <w:rsid w:val="619EA1DD"/>
    <w:rsid w:val="619FC5EA"/>
    <w:rsid w:val="61A12F3B"/>
    <w:rsid w:val="61A1CA78"/>
    <w:rsid w:val="61A58EB9"/>
    <w:rsid w:val="61A64121"/>
    <w:rsid w:val="61AB5222"/>
    <w:rsid w:val="61AC5917"/>
    <w:rsid w:val="61AFCC8F"/>
    <w:rsid w:val="61B0F005"/>
    <w:rsid w:val="61B1A747"/>
    <w:rsid w:val="61B1EE82"/>
    <w:rsid w:val="61B479A3"/>
    <w:rsid w:val="61B54464"/>
    <w:rsid w:val="61B56F48"/>
    <w:rsid w:val="61B9BC71"/>
    <w:rsid w:val="61BB986F"/>
    <w:rsid w:val="61BD605D"/>
    <w:rsid w:val="61C06AB4"/>
    <w:rsid w:val="61C39D77"/>
    <w:rsid w:val="61C8583F"/>
    <w:rsid w:val="61C8FD3C"/>
    <w:rsid w:val="61CC00BE"/>
    <w:rsid w:val="61CC8530"/>
    <w:rsid w:val="61CE2391"/>
    <w:rsid w:val="61D3FE6E"/>
    <w:rsid w:val="61D47A38"/>
    <w:rsid w:val="61D6D3DB"/>
    <w:rsid w:val="61D72ED5"/>
    <w:rsid w:val="61DD4344"/>
    <w:rsid w:val="61DF8F02"/>
    <w:rsid w:val="61E2A880"/>
    <w:rsid w:val="61E4AF63"/>
    <w:rsid w:val="61E573C0"/>
    <w:rsid w:val="61E7B596"/>
    <w:rsid w:val="61F03F3C"/>
    <w:rsid w:val="61F0B228"/>
    <w:rsid w:val="61F53D97"/>
    <w:rsid w:val="61F8286A"/>
    <w:rsid w:val="61FD6BB4"/>
    <w:rsid w:val="61FFD845"/>
    <w:rsid w:val="61FFF5EC"/>
    <w:rsid w:val="6201A55B"/>
    <w:rsid w:val="620281E7"/>
    <w:rsid w:val="62072DA1"/>
    <w:rsid w:val="620A6E3A"/>
    <w:rsid w:val="620AF8B6"/>
    <w:rsid w:val="620DFFC7"/>
    <w:rsid w:val="620FF7E5"/>
    <w:rsid w:val="621800D4"/>
    <w:rsid w:val="621A0F65"/>
    <w:rsid w:val="621C6C7A"/>
    <w:rsid w:val="621CCAB6"/>
    <w:rsid w:val="621D0E23"/>
    <w:rsid w:val="621DB206"/>
    <w:rsid w:val="6220984A"/>
    <w:rsid w:val="6220A2E2"/>
    <w:rsid w:val="6223330C"/>
    <w:rsid w:val="6223C229"/>
    <w:rsid w:val="6227C100"/>
    <w:rsid w:val="622EFF32"/>
    <w:rsid w:val="6230CCE7"/>
    <w:rsid w:val="62325825"/>
    <w:rsid w:val="623D8609"/>
    <w:rsid w:val="62455855"/>
    <w:rsid w:val="6246C05C"/>
    <w:rsid w:val="62490C73"/>
    <w:rsid w:val="6249F6CE"/>
    <w:rsid w:val="624CF46E"/>
    <w:rsid w:val="62513520"/>
    <w:rsid w:val="62546DF2"/>
    <w:rsid w:val="62556644"/>
    <w:rsid w:val="6255BBFB"/>
    <w:rsid w:val="625F814A"/>
    <w:rsid w:val="6262A911"/>
    <w:rsid w:val="6263D344"/>
    <w:rsid w:val="62681D34"/>
    <w:rsid w:val="6268AC3C"/>
    <w:rsid w:val="626BA168"/>
    <w:rsid w:val="626F299C"/>
    <w:rsid w:val="627514CF"/>
    <w:rsid w:val="6278F831"/>
    <w:rsid w:val="62795557"/>
    <w:rsid w:val="627C8EA0"/>
    <w:rsid w:val="627DA197"/>
    <w:rsid w:val="627E04FD"/>
    <w:rsid w:val="6281D1B6"/>
    <w:rsid w:val="628289C4"/>
    <w:rsid w:val="62844C95"/>
    <w:rsid w:val="62895CC4"/>
    <w:rsid w:val="628AE71E"/>
    <w:rsid w:val="628D4062"/>
    <w:rsid w:val="629102F5"/>
    <w:rsid w:val="62913505"/>
    <w:rsid w:val="62941337"/>
    <w:rsid w:val="62975D7C"/>
    <w:rsid w:val="6297F738"/>
    <w:rsid w:val="629A0CE4"/>
    <w:rsid w:val="629BCF99"/>
    <w:rsid w:val="629D5752"/>
    <w:rsid w:val="629E93AE"/>
    <w:rsid w:val="62A28E52"/>
    <w:rsid w:val="62AD9A05"/>
    <w:rsid w:val="62B68CF5"/>
    <w:rsid w:val="62BB04A1"/>
    <w:rsid w:val="62BB12D2"/>
    <w:rsid w:val="62C13AAB"/>
    <w:rsid w:val="62C2390E"/>
    <w:rsid w:val="62C281B2"/>
    <w:rsid w:val="62C2C9BA"/>
    <w:rsid w:val="62C35A59"/>
    <w:rsid w:val="62C4AF65"/>
    <w:rsid w:val="62C5F3D0"/>
    <w:rsid w:val="62C67E1C"/>
    <w:rsid w:val="62C719BE"/>
    <w:rsid w:val="62CB57C9"/>
    <w:rsid w:val="62CB8A3E"/>
    <w:rsid w:val="62CBC46B"/>
    <w:rsid w:val="62CBCE7E"/>
    <w:rsid w:val="62CC0CEC"/>
    <w:rsid w:val="62CF578D"/>
    <w:rsid w:val="62D47030"/>
    <w:rsid w:val="62D47DAF"/>
    <w:rsid w:val="62D68934"/>
    <w:rsid w:val="62D88B2F"/>
    <w:rsid w:val="62D9D9F3"/>
    <w:rsid w:val="62DC001F"/>
    <w:rsid w:val="62E23181"/>
    <w:rsid w:val="62E5643B"/>
    <w:rsid w:val="62E6FFA6"/>
    <w:rsid w:val="62E868B3"/>
    <w:rsid w:val="62E9E054"/>
    <w:rsid w:val="62EA47FD"/>
    <w:rsid w:val="62ECF096"/>
    <w:rsid w:val="62F10887"/>
    <w:rsid w:val="62F17016"/>
    <w:rsid w:val="62F4B308"/>
    <w:rsid w:val="62F57575"/>
    <w:rsid w:val="62F6AD61"/>
    <w:rsid w:val="62F7F870"/>
    <w:rsid w:val="62FA5123"/>
    <w:rsid w:val="62FCFAC7"/>
    <w:rsid w:val="62FD6C75"/>
    <w:rsid w:val="62FDABAF"/>
    <w:rsid w:val="62FDED0D"/>
    <w:rsid w:val="62FE72AC"/>
    <w:rsid w:val="63019B7E"/>
    <w:rsid w:val="63072A34"/>
    <w:rsid w:val="6307E8F1"/>
    <w:rsid w:val="630BC33A"/>
    <w:rsid w:val="630C6AD5"/>
    <w:rsid w:val="630E644C"/>
    <w:rsid w:val="630EE5F4"/>
    <w:rsid w:val="631169EE"/>
    <w:rsid w:val="6313F65D"/>
    <w:rsid w:val="631A8B8E"/>
    <w:rsid w:val="631BF422"/>
    <w:rsid w:val="631C49B1"/>
    <w:rsid w:val="631E719C"/>
    <w:rsid w:val="6320D41F"/>
    <w:rsid w:val="632426A6"/>
    <w:rsid w:val="63256746"/>
    <w:rsid w:val="632C0B4B"/>
    <w:rsid w:val="63346E28"/>
    <w:rsid w:val="63383330"/>
    <w:rsid w:val="63386EB6"/>
    <w:rsid w:val="63387635"/>
    <w:rsid w:val="633C8ACE"/>
    <w:rsid w:val="633CBC74"/>
    <w:rsid w:val="633F92B4"/>
    <w:rsid w:val="6340F27C"/>
    <w:rsid w:val="634115AD"/>
    <w:rsid w:val="63459777"/>
    <w:rsid w:val="634917C0"/>
    <w:rsid w:val="6350BF2F"/>
    <w:rsid w:val="63512A9B"/>
    <w:rsid w:val="6351C494"/>
    <w:rsid w:val="63557A74"/>
    <w:rsid w:val="63614169"/>
    <w:rsid w:val="636D89EF"/>
    <w:rsid w:val="6371D23F"/>
    <w:rsid w:val="6378FB0F"/>
    <w:rsid w:val="637E2613"/>
    <w:rsid w:val="63818F29"/>
    <w:rsid w:val="638221F7"/>
    <w:rsid w:val="6383DBC5"/>
    <w:rsid w:val="6386D9D3"/>
    <w:rsid w:val="63882BFC"/>
    <w:rsid w:val="63891663"/>
    <w:rsid w:val="638D7007"/>
    <w:rsid w:val="638F54BE"/>
    <w:rsid w:val="63966BEA"/>
    <w:rsid w:val="6396D115"/>
    <w:rsid w:val="6399C36A"/>
    <w:rsid w:val="6399FB25"/>
    <w:rsid w:val="639AEEC3"/>
    <w:rsid w:val="639EEB02"/>
    <w:rsid w:val="63A289EE"/>
    <w:rsid w:val="63A4B040"/>
    <w:rsid w:val="63A61EB3"/>
    <w:rsid w:val="63AC3DFD"/>
    <w:rsid w:val="63AE6DA2"/>
    <w:rsid w:val="63BACC7F"/>
    <w:rsid w:val="63BD6322"/>
    <w:rsid w:val="63BF0E85"/>
    <w:rsid w:val="63C19E36"/>
    <w:rsid w:val="63C2B5CF"/>
    <w:rsid w:val="63C2E9B2"/>
    <w:rsid w:val="63C90DFE"/>
    <w:rsid w:val="63CB6164"/>
    <w:rsid w:val="63D53526"/>
    <w:rsid w:val="63D54CF1"/>
    <w:rsid w:val="63D8F299"/>
    <w:rsid w:val="63DBC102"/>
    <w:rsid w:val="63DC1D80"/>
    <w:rsid w:val="63DC85C4"/>
    <w:rsid w:val="63DDFADA"/>
    <w:rsid w:val="63E260F1"/>
    <w:rsid w:val="63E4D875"/>
    <w:rsid w:val="63E6DD37"/>
    <w:rsid w:val="63E7D956"/>
    <w:rsid w:val="63E93B96"/>
    <w:rsid w:val="63EAED1D"/>
    <w:rsid w:val="63EFA700"/>
    <w:rsid w:val="63F1C670"/>
    <w:rsid w:val="63F2F17B"/>
    <w:rsid w:val="63F33C9B"/>
    <w:rsid w:val="63F6E361"/>
    <w:rsid w:val="63FCE2A8"/>
    <w:rsid w:val="63FF3002"/>
    <w:rsid w:val="63FF8FAE"/>
    <w:rsid w:val="6403AA2D"/>
    <w:rsid w:val="6403DDE9"/>
    <w:rsid w:val="64066CD6"/>
    <w:rsid w:val="6406CCBC"/>
    <w:rsid w:val="6408D75F"/>
    <w:rsid w:val="64094925"/>
    <w:rsid w:val="640A3607"/>
    <w:rsid w:val="640B2C69"/>
    <w:rsid w:val="640B3CDC"/>
    <w:rsid w:val="64103E76"/>
    <w:rsid w:val="64106C12"/>
    <w:rsid w:val="64131569"/>
    <w:rsid w:val="64157029"/>
    <w:rsid w:val="64178A76"/>
    <w:rsid w:val="6418921E"/>
    <w:rsid w:val="64198AB8"/>
    <w:rsid w:val="641A2FFE"/>
    <w:rsid w:val="641C68D1"/>
    <w:rsid w:val="64282606"/>
    <w:rsid w:val="642A7807"/>
    <w:rsid w:val="642AEB70"/>
    <w:rsid w:val="642DB731"/>
    <w:rsid w:val="642E2459"/>
    <w:rsid w:val="643195A9"/>
    <w:rsid w:val="64340FE3"/>
    <w:rsid w:val="64373901"/>
    <w:rsid w:val="643BE698"/>
    <w:rsid w:val="64421814"/>
    <w:rsid w:val="6445A2A2"/>
    <w:rsid w:val="6447AB7C"/>
    <w:rsid w:val="644F1343"/>
    <w:rsid w:val="64504DD0"/>
    <w:rsid w:val="64514AA2"/>
    <w:rsid w:val="645358B4"/>
    <w:rsid w:val="6455373B"/>
    <w:rsid w:val="64589D48"/>
    <w:rsid w:val="6459D41D"/>
    <w:rsid w:val="645AD5DD"/>
    <w:rsid w:val="645C8ACA"/>
    <w:rsid w:val="645E74BA"/>
    <w:rsid w:val="645F942F"/>
    <w:rsid w:val="6460F290"/>
    <w:rsid w:val="64613851"/>
    <w:rsid w:val="6463C1B4"/>
    <w:rsid w:val="6465FC66"/>
    <w:rsid w:val="6468FF12"/>
    <w:rsid w:val="64690CF4"/>
    <w:rsid w:val="64697966"/>
    <w:rsid w:val="646AAA66"/>
    <w:rsid w:val="646AC2A1"/>
    <w:rsid w:val="646DA909"/>
    <w:rsid w:val="646EB785"/>
    <w:rsid w:val="64754BEA"/>
    <w:rsid w:val="64772191"/>
    <w:rsid w:val="6477B03F"/>
    <w:rsid w:val="647C959B"/>
    <w:rsid w:val="6483F6A9"/>
    <w:rsid w:val="648CB5F1"/>
    <w:rsid w:val="648CF5BB"/>
    <w:rsid w:val="64908194"/>
    <w:rsid w:val="64909900"/>
    <w:rsid w:val="6492A020"/>
    <w:rsid w:val="64996BC2"/>
    <w:rsid w:val="649AE2A2"/>
    <w:rsid w:val="649AF820"/>
    <w:rsid w:val="64A007B8"/>
    <w:rsid w:val="64A3BBFA"/>
    <w:rsid w:val="64A6FFA5"/>
    <w:rsid w:val="64A93A20"/>
    <w:rsid w:val="64AC35E9"/>
    <w:rsid w:val="64AE82C7"/>
    <w:rsid w:val="64AF08D1"/>
    <w:rsid w:val="64AFCB79"/>
    <w:rsid w:val="64AFD2B2"/>
    <w:rsid w:val="64B41B7A"/>
    <w:rsid w:val="64B54D43"/>
    <w:rsid w:val="64B8FD93"/>
    <w:rsid w:val="64BC1642"/>
    <w:rsid w:val="64BD03FE"/>
    <w:rsid w:val="64C0C29E"/>
    <w:rsid w:val="64C19303"/>
    <w:rsid w:val="64C1D363"/>
    <w:rsid w:val="64C2554F"/>
    <w:rsid w:val="64C26987"/>
    <w:rsid w:val="64C281AD"/>
    <w:rsid w:val="64C2D880"/>
    <w:rsid w:val="64C43086"/>
    <w:rsid w:val="64C50D46"/>
    <w:rsid w:val="64C87E33"/>
    <w:rsid w:val="64C88E93"/>
    <w:rsid w:val="64CA3AD7"/>
    <w:rsid w:val="64CBC94A"/>
    <w:rsid w:val="64CCDE8A"/>
    <w:rsid w:val="64D6143B"/>
    <w:rsid w:val="64D66326"/>
    <w:rsid w:val="64DBC679"/>
    <w:rsid w:val="64DF6402"/>
    <w:rsid w:val="64E30446"/>
    <w:rsid w:val="64E3715B"/>
    <w:rsid w:val="64E3E1F1"/>
    <w:rsid w:val="64ECE358"/>
    <w:rsid w:val="64F04F0D"/>
    <w:rsid w:val="64F23D24"/>
    <w:rsid w:val="64F4C478"/>
    <w:rsid w:val="64F7B0E9"/>
    <w:rsid w:val="64F9A385"/>
    <w:rsid w:val="64FB3E92"/>
    <w:rsid w:val="64FB7EBD"/>
    <w:rsid w:val="64FE4156"/>
    <w:rsid w:val="6501E4C2"/>
    <w:rsid w:val="65048091"/>
    <w:rsid w:val="6504A547"/>
    <w:rsid w:val="650748B1"/>
    <w:rsid w:val="65080504"/>
    <w:rsid w:val="650974D8"/>
    <w:rsid w:val="6510ACF0"/>
    <w:rsid w:val="651256B1"/>
    <w:rsid w:val="651441D4"/>
    <w:rsid w:val="65163A9D"/>
    <w:rsid w:val="6519ADF3"/>
    <w:rsid w:val="651C7926"/>
    <w:rsid w:val="652218DF"/>
    <w:rsid w:val="652A0BA5"/>
    <w:rsid w:val="652AC1F8"/>
    <w:rsid w:val="652B6865"/>
    <w:rsid w:val="652B854F"/>
    <w:rsid w:val="652C7A71"/>
    <w:rsid w:val="6530C748"/>
    <w:rsid w:val="6531DBDC"/>
    <w:rsid w:val="653645CE"/>
    <w:rsid w:val="653788C5"/>
    <w:rsid w:val="653AD7CB"/>
    <w:rsid w:val="653C3E6A"/>
    <w:rsid w:val="65404716"/>
    <w:rsid w:val="654100F6"/>
    <w:rsid w:val="654335BE"/>
    <w:rsid w:val="65474E73"/>
    <w:rsid w:val="65476FF6"/>
    <w:rsid w:val="65514D0A"/>
    <w:rsid w:val="6551CF96"/>
    <w:rsid w:val="6552CFD6"/>
    <w:rsid w:val="6557543F"/>
    <w:rsid w:val="655CBBC2"/>
    <w:rsid w:val="655E235E"/>
    <w:rsid w:val="65624855"/>
    <w:rsid w:val="65666968"/>
    <w:rsid w:val="656A8F1D"/>
    <w:rsid w:val="65700167"/>
    <w:rsid w:val="65704E57"/>
    <w:rsid w:val="657387DF"/>
    <w:rsid w:val="65748D18"/>
    <w:rsid w:val="657551A0"/>
    <w:rsid w:val="65766C12"/>
    <w:rsid w:val="65797103"/>
    <w:rsid w:val="6579F298"/>
    <w:rsid w:val="657AE811"/>
    <w:rsid w:val="65834AEE"/>
    <w:rsid w:val="65850914"/>
    <w:rsid w:val="658846FE"/>
    <w:rsid w:val="6588A04B"/>
    <w:rsid w:val="658E5504"/>
    <w:rsid w:val="65905E41"/>
    <w:rsid w:val="6592EF22"/>
    <w:rsid w:val="6593DF7B"/>
    <w:rsid w:val="65990926"/>
    <w:rsid w:val="659AA67E"/>
    <w:rsid w:val="65A4A879"/>
    <w:rsid w:val="65AC18D8"/>
    <w:rsid w:val="65B49148"/>
    <w:rsid w:val="65B58B8F"/>
    <w:rsid w:val="65C2FC11"/>
    <w:rsid w:val="65C68681"/>
    <w:rsid w:val="65CA4BE5"/>
    <w:rsid w:val="65CCC666"/>
    <w:rsid w:val="65D0BBB7"/>
    <w:rsid w:val="65D10513"/>
    <w:rsid w:val="65D2869E"/>
    <w:rsid w:val="65D917E3"/>
    <w:rsid w:val="65D9251B"/>
    <w:rsid w:val="65DD71A6"/>
    <w:rsid w:val="65E2A557"/>
    <w:rsid w:val="65E30677"/>
    <w:rsid w:val="65E535AF"/>
    <w:rsid w:val="65E5F02E"/>
    <w:rsid w:val="65E85EC3"/>
    <w:rsid w:val="65EB3D06"/>
    <w:rsid w:val="65F5AD85"/>
    <w:rsid w:val="65F654EF"/>
    <w:rsid w:val="65F70BBB"/>
    <w:rsid w:val="65F7D39A"/>
    <w:rsid w:val="65FB74A8"/>
    <w:rsid w:val="65FD7D41"/>
    <w:rsid w:val="6600140A"/>
    <w:rsid w:val="66001431"/>
    <w:rsid w:val="6606F0D8"/>
    <w:rsid w:val="660FCD95"/>
    <w:rsid w:val="660FDCFB"/>
    <w:rsid w:val="66116B50"/>
    <w:rsid w:val="6612FC29"/>
    <w:rsid w:val="6613B23B"/>
    <w:rsid w:val="6613D6F8"/>
    <w:rsid w:val="661611BA"/>
    <w:rsid w:val="661716D1"/>
    <w:rsid w:val="661756F9"/>
    <w:rsid w:val="661B9EB4"/>
    <w:rsid w:val="661D8333"/>
    <w:rsid w:val="66223FCE"/>
    <w:rsid w:val="6625A34B"/>
    <w:rsid w:val="66271244"/>
    <w:rsid w:val="6629E12E"/>
    <w:rsid w:val="6634E480"/>
    <w:rsid w:val="6637BE25"/>
    <w:rsid w:val="663B0F6D"/>
    <w:rsid w:val="663F4E4C"/>
    <w:rsid w:val="6640F66C"/>
    <w:rsid w:val="6642672F"/>
    <w:rsid w:val="664405E6"/>
    <w:rsid w:val="664427F1"/>
    <w:rsid w:val="664463CB"/>
    <w:rsid w:val="664C54BA"/>
    <w:rsid w:val="66505286"/>
    <w:rsid w:val="6652A2BB"/>
    <w:rsid w:val="6652B722"/>
    <w:rsid w:val="66576286"/>
    <w:rsid w:val="6659D5CA"/>
    <w:rsid w:val="6660CFC7"/>
    <w:rsid w:val="66624413"/>
    <w:rsid w:val="6663BC60"/>
    <w:rsid w:val="6664628F"/>
    <w:rsid w:val="66646550"/>
    <w:rsid w:val="6664718D"/>
    <w:rsid w:val="6664F51F"/>
    <w:rsid w:val="6665754E"/>
    <w:rsid w:val="66693D44"/>
    <w:rsid w:val="666AD4B6"/>
    <w:rsid w:val="666DD623"/>
    <w:rsid w:val="666FA07C"/>
    <w:rsid w:val="666FCF79"/>
    <w:rsid w:val="667285BC"/>
    <w:rsid w:val="6673B0FF"/>
    <w:rsid w:val="6673BEAB"/>
    <w:rsid w:val="66752021"/>
    <w:rsid w:val="66759AF3"/>
    <w:rsid w:val="6678E6BB"/>
    <w:rsid w:val="667B4C37"/>
    <w:rsid w:val="667D2F90"/>
    <w:rsid w:val="6680C4BF"/>
    <w:rsid w:val="6688D953"/>
    <w:rsid w:val="668B0267"/>
    <w:rsid w:val="668D6B59"/>
    <w:rsid w:val="669013C5"/>
    <w:rsid w:val="66903032"/>
    <w:rsid w:val="66936CC1"/>
    <w:rsid w:val="6694BBE7"/>
    <w:rsid w:val="6695060B"/>
    <w:rsid w:val="6697E5BD"/>
    <w:rsid w:val="669A80BC"/>
    <w:rsid w:val="669AE4D4"/>
    <w:rsid w:val="66A5FE53"/>
    <w:rsid w:val="66A6660F"/>
    <w:rsid w:val="66A6F686"/>
    <w:rsid w:val="66AAC922"/>
    <w:rsid w:val="66AB36D7"/>
    <w:rsid w:val="66B0BBCD"/>
    <w:rsid w:val="66B13DBD"/>
    <w:rsid w:val="66B64703"/>
    <w:rsid w:val="66B97B9C"/>
    <w:rsid w:val="66BB504C"/>
    <w:rsid w:val="66BC887A"/>
    <w:rsid w:val="66C5F103"/>
    <w:rsid w:val="66C87A93"/>
    <w:rsid w:val="66CA4956"/>
    <w:rsid w:val="66CB16BF"/>
    <w:rsid w:val="66CBD359"/>
    <w:rsid w:val="66CD136E"/>
    <w:rsid w:val="66CDC4C8"/>
    <w:rsid w:val="66D0DDAB"/>
    <w:rsid w:val="66D12DC4"/>
    <w:rsid w:val="66D4D445"/>
    <w:rsid w:val="66D5A8EE"/>
    <w:rsid w:val="66D80199"/>
    <w:rsid w:val="66DD4659"/>
    <w:rsid w:val="66DE3E93"/>
    <w:rsid w:val="66DFF30A"/>
    <w:rsid w:val="66E4A721"/>
    <w:rsid w:val="66E69815"/>
    <w:rsid w:val="66E86373"/>
    <w:rsid w:val="66E87408"/>
    <w:rsid w:val="66EA647A"/>
    <w:rsid w:val="66EAD7E7"/>
    <w:rsid w:val="66EF0A4A"/>
    <w:rsid w:val="66F23371"/>
    <w:rsid w:val="66F6B8AD"/>
    <w:rsid w:val="66F751DF"/>
    <w:rsid w:val="66F7C7C5"/>
    <w:rsid w:val="66FF4058"/>
    <w:rsid w:val="6701018E"/>
    <w:rsid w:val="67053602"/>
    <w:rsid w:val="67056B42"/>
    <w:rsid w:val="670645FF"/>
    <w:rsid w:val="671048E5"/>
    <w:rsid w:val="6714423E"/>
    <w:rsid w:val="67147EA7"/>
    <w:rsid w:val="6714B725"/>
    <w:rsid w:val="67157916"/>
    <w:rsid w:val="6716A1FE"/>
    <w:rsid w:val="671870EE"/>
    <w:rsid w:val="671BD61D"/>
    <w:rsid w:val="671CA3DE"/>
    <w:rsid w:val="671D11D9"/>
    <w:rsid w:val="67267828"/>
    <w:rsid w:val="672D8298"/>
    <w:rsid w:val="67310398"/>
    <w:rsid w:val="67311E8C"/>
    <w:rsid w:val="6732B1BA"/>
    <w:rsid w:val="67389CAB"/>
    <w:rsid w:val="673AD3D1"/>
    <w:rsid w:val="673F5B1F"/>
    <w:rsid w:val="67434801"/>
    <w:rsid w:val="67490E60"/>
    <w:rsid w:val="674D10EB"/>
    <w:rsid w:val="674DAB4C"/>
    <w:rsid w:val="674E17F9"/>
    <w:rsid w:val="67530F7C"/>
    <w:rsid w:val="675AB59A"/>
    <w:rsid w:val="675F897C"/>
    <w:rsid w:val="675FC9A3"/>
    <w:rsid w:val="6760C37B"/>
    <w:rsid w:val="676B500E"/>
    <w:rsid w:val="676BAB0A"/>
    <w:rsid w:val="676F1926"/>
    <w:rsid w:val="676F1F63"/>
    <w:rsid w:val="67723736"/>
    <w:rsid w:val="67779544"/>
    <w:rsid w:val="6777E2C3"/>
    <w:rsid w:val="677807B7"/>
    <w:rsid w:val="677984B1"/>
    <w:rsid w:val="677D333B"/>
    <w:rsid w:val="677DF022"/>
    <w:rsid w:val="67849350"/>
    <w:rsid w:val="678593B8"/>
    <w:rsid w:val="6785AF07"/>
    <w:rsid w:val="67864CF1"/>
    <w:rsid w:val="678774BB"/>
    <w:rsid w:val="6788D861"/>
    <w:rsid w:val="678AADA0"/>
    <w:rsid w:val="678E696E"/>
    <w:rsid w:val="678E94C3"/>
    <w:rsid w:val="678F4E01"/>
    <w:rsid w:val="67A4D46E"/>
    <w:rsid w:val="67A84232"/>
    <w:rsid w:val="67AD1D31"/>
    <w:rsid w:val="67AE5F4A"/>
    <w:rsid w:val="67B12BF5"/>
    <w:rsid w:val="67B2C9FA"/>
    <w:rsid w:val="67B62885"/>
    <w:rsid w:val="67B8E8FA"/>
    <w:rsid w:val="67B8F7A1"/>
    <w:rsid w:val="67BC2B98"/>
    <w:rsid w:val="67BDF7CE"/>
    <w:rsid w:val="67BF859D"/>
    <w:rsid w:val="67C1070A"/>
    <w:rsid w:val="67C93593"/>
    <w:rsid w:val="67CA6268"/>
    <w:rsid w:val="67CDCC8A"/>
    <w:rsid w:val="67D0418D"/>
    <w:rsid w:val="67D33A9A"/>
    <w:rsid w:val="67DA6296"/>
    <w:rsid w:val="67DBD7F0"/>
    <w:rsid w:val="67DD425D"/>
    <w:rsid w:val="67DE997F"/>
    <w:rsid w:val="67E4265A"/>
    <w:rsid w:val="67E783A9"/>
    <w:rsid w:val="67E811EB"/>
    <w:rsid w:val="67E8B60E"/>
    <w:rsid w:val="67ED52D4"/>
    <w:rsid w:val="67F07581"/>
    <w:rsid w:val="67F08F42"/>
    <w:rsid w:val="67F495AE"/>
    <w:rsid w:val="67F54E6D"/>
    <w:rsid w:val="67F67919"/>
    <w:rsid w:val="67FBFAF9"/>
    <w:rsid w:val="68004560"/>
    <w:rsid w:val="68060EB8"/>
    <w:rsid w:val="68069B88"/>
    <w:rsid w:val="68075AFA"/>
    <w:rsid w:val="6809C6D4"/>
    <w:rsid w:val="680E4DDA"/>
    <w:rsid w:val="68105678"/>
    <w:rsid w:val="68106315"/>
    <w:rsid w:val="68128AE8"/>
    <w:rsid w:val="6816C3FD"/>
    <w:rsid w:val="68300D09"/>
    <w:rsid w:val="683064ED"/>
    <w:rsid w:val="683329A8"/>
    <w:rsid w:val="68339003"/>
    <w:rsid w:val="683C6BCB"/>
    <w:rsid w:val="6844368C"/>
    <w:rsid w:val="6849305D"/>
    <w:rsid w:val="684C3296"/>
    <w:rsid w:val="684D0DD8"/>
    <w:rsid w:val="684D6E51"/>
    <w:rsid w:val="68551991"/>
    <w:rsid w:val="6855D26C"/>
    <w:rsid w:val="6855E684"/>
    <w:rsid w:val="685C59BA"/>
    <w:rsid w:val="685F2684"/>
    <w:rsid w:val="68620240"/>
    <w:rsid w:val="68669D05"/>
    <w:rsid w:val="686A48A0"/>
    <w:rsid w:val="68712F84"/>
    <w:rsid w:val="68733227"/>
    <w:rsid w:val="687376C7"/>
    <w:rsid w:val="6873E9F6"/>
    <w:rsid w:val="687A50C2"/>
    <w:rsid w:val="687CC2C5"/>
    <w:rsid w:val="6880C073"/>
    <w:rsid w:val="68814FFA"/>
    <w:rsid w:val="688585F3"/>
    <w:rsid w:val="6887D1FA"/>
    <w:rsid w:val="688ED6D5"/>
    <w:rsid w:val="6890EC45"/>
    <w:rsid w:val="689117C6"/>
    <w:rsid w:val="68958928"/>
    <w:rsid w:val="68961ABC"/>
    <w:rsid w:val="6899C492"/>
    <w:rsid w:val="689E7C8A"/>
    <w:rsid w:val="689F5F69"/>
    <w:rsid w:val="68A7D62F"/>
    <w:rsid w:val="68A9869F"/>
    <w:rsid w:val="68B22DC2"/>
    <w:rsid w:val="68B2AA65"/>
    <w:rsid w:val="68BA5B58"/>
    <w:rsid w:val="68BBE639"/>
    <w:rsid w:val="68BC5A58"/>
    <w:rsid w:val="68BD6537"/>
    <w:rsid w:val="68C0769D"/>
    <w:rsid w:val="68C13151"/>
    <w:rsid w:val="68C1883A"/>
    <w:rsid w:val="68CCAF5D"/>
    <w:rsid w:val="68CCC49A"/>
    <w:rsid w:val="68CE3FA4"/>
    <w:rsid w:val="68D5858D"/>
    <w:rsid w:val="68D6C6CC"/>
    <w:rsid w:val="68DAA286"/>
    <w:rsid w:val="68DC4855"/>
    <w:rsid w:val="68DCFFE4"/>
    <w:rsid w:val="68E07275"/>
    <w:rsid w:val="68E100B2"/>
    <w:rsid w:val="68E369B4"/>
    <w:rsid w:val="68E6A8A8"/>
    <w:rsid w:val="68EAE06A"/>
    <w:rsid w:val="68EFB01F"/>
    <w:rsid w:val="68F2BD97"/>
    <w:rsid w:val="68FA7C94"/>
    <w:rsid w:val="68FB41EB"/>
    <w:rsid w:val="68FCE1FC"/>
    <w:rsid w:val="68FE7A05"/>
    <w:rsid w:val="690636EF"/>
    <w:rsid w:val="690958D1"/>
    <w:rsid w:val="690A5B3A"/>
    <w:rsid w:val="690B1290"/>
    <w:rsid w:val="690DBA1F"/>
    <w:rsid w:val="690E0DEE"/>
    <w:rsid w:val="690FF52A"/>
    <w:rsid w:val="69118F2B"/>
    <w:rsid w:val="691FAB33"/>
    <w:rsid w:val="6920B3AF"/>
    <w:rsid w:val="6920C6E6"/>
    <w:rsid w:val="692BED29"/>
    <w:rsid w:val="693C850E"/>
    <w:rsid w:val="6941D9C4"/>
    <w:rsid w:val="694235E5"/>
    <w:rsid w:val="694468A3"/>
    <w:rsid w:val="6944D282"/>
    <w:rsid w:val="694BABEF"/>
    <w:rsid w:val="69546BEB"/>
    <w:rsid w:val="6955618B"/>
    <w:rsid w:val="6956B3C9"/>
    <w:rsid w:val="6958C11E"/>
    <w:rsid w:val="695EAA32"/>
    <w:rsid w:val="69613C06"/>
    <w:rsid w:val="696142EC"/>
    <w:rsid w:val="6963DADC"/>
    <w:rsid w:val="6963F06A"/>
    <w:rsid w:val="696AC1F0"/>
    <w:rsid w:val="69714044"/>
    <w:rsid w:val="6975E124"/>
    <w:rsid w:val="6977C65D"/>
    <w:rsid w:val="697BC3BC"/>
    <w:rsid w:val="69808704"/>
    <w:rsid w:val="6986282A"/>
    <w:rsid w:val="6992AA1B"/>
    <w:rsid w:val="6998602D"/>
    <w:rsid w:val="69995B44"/>
    <w:rsid w:val="69A057DE"/>
    <w:rsid w:val="69A189FC"/>
    <w:rsid w:val="69A64A8A"/>
    <w:rsid w:val="69A7AEF3"/>
    <w:rsid w:val="69A9EFA6"/>
    <w:rsid w:val="69B39052"/>
    <w:rsid w:val="69B6CEB9"/>
    <w:rsid w:val="69B8F83E"/>
    <w:rsid w:val="69BD8A34"/>
    <w:rsid w:val="69BF5FE9"/>
    <w:rsid w:val="69C1D100"/>
    <w:rsid w:val="69C26B6F"/>
    <w:rsid w:val="69C38BD8"/>
    <w:rsid w:val="69C56BB7"/>
    <w:rsid w:val="69C71B6A"/>
    <w:rsid w:val="69C80607"/>
    <w:rsid w:val="69D3D19E"/>
    <w:rsid w:val="69D65F89"/>
    <w:rsid w:val="69D86436"/>
    <w:rsid w:val="69DE66E7"/>
    <w:rsid w:val="69DEEB64"/>
    <w:rsid w:val="69E11C88"/>
    <w:rsid w:val="69E2A9B9"/>
    <w:rsid w:val="69E34EFB"/>
    <w:rsid w:val="69E7D5E0"/>
    <w:rsid w:val="69EA69A7"/>
    <w:rsid w:val="69EE0D48"/>
    <w:rsid w:val="69EF5601"/>
    <w:rsid w:val="69F1D595"/>
    <w:rsid w:val="69FC31D9"/>
    <w:rsid w:val="69FC46E1"/>
    <w:rsid w:val="6A03FC36"/>
    <w:rsid w:val="6A04D63D"/>
    <w:rsid w:val="6A051007"/>
    <w:rsid w:val="6A0A42F6"/>
    <w:rsid w:val="6A100CCD"/>
    <w:rsid w:val="6A102BD8"/>
    <w:rsid w:val="6A104380"/>
    <w:rsid w:val="6A106D2A"/>
    <w:rsid w:val="6A162DBD"/>
    <w:rsid w:val="6A16F971"/>
    <w:rsid w:val="6A19B608"/>
    <w:rsid w:val="6A1D791D"/>
    <w:rsid w:val="6A28F32E"/>
    <w:rsid w:val="6A2E1A2C"/>
    <w:rsid w:val="6A2FAF12"/>
    <w:rsid w:val="6A31F883"/>
    <w:rsid w:val="6A335E24"/>
    <w:rsid w:val="6A36C9AA"/>
    <w:rsid w:val="6A396945"/>
    <w:rsid w:val="6A3D36E1"/>
    <w:rsid w:val="6A43950F"/>
    <w:rsid w:val="6A43D28D"/>
    <w:rsid w:val="6A449A7E"/>
    <w:rsid w:val="6A47ECA4"/>
    <w:rsid w:val="6A48322C"/>
    <w:rsid w:val="6A4DCD1D"/>
    <w:rsid w:val="6A4F1B7E"/>
    <w:rsid w:val="6A52A2D5"/>
    <w:rsid w:val="6A52F64D"/>
    <w:rsid w:val="6A540DE7"/>
    <w:rsid w:val="6A585830"/>
    <w:rsid w:val="6A589A0A"/>
    <w:rsid w:val="6A59DD41"/>
    <w:rsid w:val="6A6035E8"/>
    <w:rsid w:val="6A608F17"/>
    <w:rsid w:val="6A61ABE8"/>
    <w:rsid w:val="6A65EB7C"/>
    <w:rsid w:val="6A66E971"/>
    <w:rsid w:val="6A671671"/>
    <w:rsid w:val="6A6C82C0"/>
    <w:rsid w:val="6A6FEE23"/>
    <w:rsid w:val="6A70F237"/>
    <w:rsid w:val="6A7649D9"/>
    <w:rsid w:val="6A78375A"/>
    <w:rsid w:val="6A7ACF84"/>
    <w:rsid w:val="6A81E449"/>
    <w:rsid w:val="6A8ABD5F"/>
    <w:rsid w:val="6A8C533A"/>
    <w:rsid w:val="6A8CC12C"/>
    <w:rsid w:val="6A8D64DF"/>
    <w:rsid w:val="6A928024"/>
    <w:rsid w:val="6A94C3CF"/>
    <w:rsid w:val="6A9545DF"/>
    <w:rsid w:val="6A965881"/>
    <w:rsid w:val="6A984521"/>
    <w:rsid w:val="6A9A9C54"/>
    <w:rsid w:val="6AA48A9D"/>
    <w:rsid w:val="6AA8250F"/>
    <w:rsid w:val="6AAB0C6F"/>
    <w:rsid w:val="6AAB2B64"/>
    <w:rsid w:val="6AACA92A"/>
    <w:rsid w:val="6AB22963"/>
    <w:rsid w:val="6AB7A513"/>
    <w:rsid w:val="6ABADA66"/>
    <w:rsid w:val="6ABB5404"/>
    <w:rsid w:val="6ABE327D"/>
    <w:rsid w:val="6AC08C26"/>
    <w:rsid w:val="6AC84946"/>
    <w:rsid w:val="6AC9B8A2"/>
    <w:rsid w:val="6ACAD788"/>
    <w:rsid w:val="6ACD0D51"/>
    <w:rsid w:val="6AD43884"/>
    <w:rsid w:val="6AD5F115"/>
    <w:rsid w:val="6AD6228A"/>
    <w:rsid w:val="6AD7D142"/>
    <w:rsid w:val="6ADB78D4"/>
    <w:rsid w:val="6ADBF53D"/>
    <w:rsid w:val="6ADC7A88"/>
    <w:rsid w:val="6ADD3EC3"/>
    <w:rsid w:val="6ADD4568"/>
    <w:rsid w:val="6AE136C0"/>
    <w:rsid w:val="6AE40A68"/>
    <w:rsid w:val="6AEB9781"/>
    <w:rsid w:val="6AEFC9C8"/>
    <w:rsid w:val="6AF1E9AC"/>
    <w:rsid w:val="6AF461B1"/>
    <w:rsid w:val="6AFA1924"/>
    <w:rsid w:val="6AFAD876"/>
    <w:rsid w:val="6B048966"/>
    <w:rsid w:val="6B0664D4"/>
    <w:rsid w:val="6B07AA5A"/>
    <w:rsid w:val="6B0CDD62"/>
    <w:rsid w:val="6B0CFBE6"/>
    <w:rsid w:val="6B10A610"/>
    <w:rsid w:val="6B10F9CA"/>
    <w:rsid w:val="6B116BE6"/>
    <w:rsid w:val="6B1332D5"/>
    <w:rsid w:val="6B24CB0A"/>
    <w:rsid w:val="6B25B817"/>
    <w:rsid w:val="6B268FE8"/>
    <w:rsid w:val="6B291670"/>
    <w:rsid w:val="6B29FA53"/>
    <w:rsid w:val="6B2A4F00"/>
    <w:rsid w:val="6B2A942F"/>
    <w:rsid w:val="6B2AE281"/>
    <w:rsid w:val="6B2B6785"/>
    <w:rsid w:val="6B2E684F"/>
    <w:rsid w:val="6B2EBB0D"/>
    <w:rsid w:val="6B2F43BD"/>
    <w:rsid w:val="6B3A0CE2"/>
    <w:rsid w:val="6B3C3CBF"/>
    <w:rsid w:val="6B3F6321"/>
    <w:rsid w:val="6B410D11"/>
    <w:rsid w:val="6B442448"/>
    <w:rsid w:val="6B4A5429"/>
    <w:rsid w:val="6B4F5652"/>
    <w:rsid w:val="6B4FAAA9"/>
    <w:rsid w:val="6B50C87C"/>
    <w:rsid w:val="6B52C7D0"/>
    <w:rsid w:val="6B549E2D"/>
    <w:rsid w:val="6B5CB394"/>
    <w:rsid w:val="6B60898B"/>
    <w:rsid w:val="6B648392"/>
    <w:rsid w:val="6B69C9A0"/>
    <w:rsid w:val="6B6D5AE8"/>
    <w:rsid w:val="6B6EA2A9"/>
    <w:rsid w:val="6B813E46"/>
    <w:rsid w:val="6B816AC6"/>
    <w:rsid w:val="6B820DB0"/>
    <w:rsid w:val="6B8538F7"/>
    <w:rsid w:val="6B86ECBE"/>
    <w:rsid w:val="6B89855D"/>
    <w:rsid w:val="6B8A0F9B"/>
    <w:rsid w:val="6B8BC5D6"/>
    <w:rsid w:val="6B8E8DD9"/>
    <w:rsid w:val="6B8EB1E3"/>
    <w:rsid w:val="6B8F4766"/>
    <w:rsid w:val="6B8F4FF4"/>
    <w:rsid w:val="6B900A5F"/>
    <w:rsid w:val="6B91F7DF"/>
    <w:rsid w:val="6B930BB9"/>
    <w:rsid w:val="6BA08664"/>
    <w:rsid w:val="6BA656C0"/>
    <w:rsid w:val="6BA89F4A"/>
    <w:rsid w:val="6BA9E403"/>
    <w:rsid w:val="6BA9F976"/>
    <w:rsid w:val="6BAD76CE"/>
    <w:rsid w:val="6BAD9C1B"/>
    <w:rsid w:val="6BB1C4D3"/>
    <w:rsid w:val="6BB22D3F"/>
    <w:rsid w:val="6BB58A9B"/>
    <w:rsid w:val="6BB678B0"/>
    <w:rsid w:val="6BB8069D"/>
    <w:rsid w:val="6BB85CB3"/>
    <w:rsid w:val="6BB8D9A5"/>
    <w:rsid w:val="6BBF22DF"/>
    <w:rsid w:val="6BC15617"/>
    <w:rsid w:val="6BC29303"/>
    <w:rsid w:val="6BC3AB5B"/>
    <w:rsid w:val="6BC47806"/>
    <w:rsid w:val="6BC714AD"/>
    <w:rsid w:val="6BC86515"/>
    <w:rsid w:val="6BD22C59"/>
    <w:rsid w:val="6BD3F82F"/>
    <w:rsid w:val="6BD91417"/>
    <w:rsid w:val="6BDA3142"/>
    <w:rsid w:val="6BDC4207"/>
    <w:rsid w:val="6BDC7279"/>
    <w:rsid w:val="6BE24754"/>
    <w:rsid w:val="6BE71A88"/>
    <w:rsid w:val="6BE7C235"/>
    <w:rsid w:val="6BED3EFA"/>
    <w:rsid w:val="6BF22E41"/>
    <w:rsid w:val="6BF23653"/>
    <w:rsid w:val="6BF57111"/>
    <w:rsid w:val="6BF987D5"/>
    <w:rsid w:val="6BFE7053"/>
    <w:rsid w:val="6BFFC1B6"/>
    <w:rsid w:val="6C038EE4"/>
    <w:rsid w:val="6C05A35D"/>
    <w:rsid w:val="6C05D9F0"/>
    <w:rsid w:val="6C05E264"/>
    <w:rsid w:val="6C069023"/>
    <w:rsid w:val="6C0911AE"/>
    <w:rsid w:val="6C09DAD7"/>
    <w:rsid w:val="6C0A2459"/>
    <w:rsid w:val="6C13E95A"/>
    <w:rsid w:val="6C174290"/>
    <w:rsid w:val="6C183C3B"/>
    <w:rsid w:val="6C18EF79"/>
    <w:rsid w:val="6C19A078"/>
    <w:rsid w:val="6C19B5E7"/>
    <w:rsid w:val="6C1A2E97"/>
    <w:rsid w:val="6C1EAB86"/>
    <w:rsid w:val="6C216027"/>
    <w:rsid w:val="6C2943C5"/>
    <w:rsid w:val="6C2AD9B2"/>
    <w:rsid w:val="6C2E3221"/>
    <w:rsid w:val="6C332E78"/>
    <w:rsid w:val="6C3512E6"/>
    <w:rsid w:val="6C35F039"/>
    <w:rsid w:val="6C3C4D8D"/>
    <w:rsid w:val="6C41B782"/>
    <w:rsid w:val="6C4284B2"/>
    <w:rsid w:val="6C444611"/>
    <w:rsid w:val="6C450D5E"/>
    <w:rsid w:val="6C458B1F"/>
    <w:rsid w:val="6C472E17"/>
    <w:rsid w:val="6C49DB82"/>
    <w:rsid w:val="6C4A146F"/>
    <w:rsid w:val="6C5036F2"/>
    <w:rsid w:val="6C5BBFFD"/>
    <w:rsid w:val="6C5F0F21"/>
    <w:rsid w:val="6C623B1A"/>
    <w:rsid w:val="6C69C05E"/>
    <w:rsid w:val="6C6B2A19"/>
    <w:rsid w:val="6C6EB81C"/>
    <w:rsid w:val="6C71C78F"/>
    <w:rsid w:val="6C72FBAA"/>
    <w:rsid w:val="6C731AC5"/>
    <w:rsid w:val="6C74547D"/>
    <w:rsid w:val="6C750DAA"/>
    <w:rsid w:val="6C7B5338"/>
    <w:rsid w:val="6C828859"/>
    <w:rsid w:val="6C85CB63"/>
    <w:rsid w:val="6C8A4192"/>
    <w:rsid w:val="6C8D1CEB"/>
    <w:rsid w:val="6C8D7830"/>
    <w:rsid w:val="6C8ED63B"/>
    <w:rsid w:val="6C9B8EBB"/>
    <w:rsid w:val="6C9C0006"/>
    <w:rsid w:val="6C9D0367"/>
    <w:rsid w:val="6C9EAE34"/>
    <w:rsid w:val="6CA81533"/>
    <w:rsid w:val="6CA896BD"/>
    <w:rsid w:val="6CAB216E"/>
    <w:rsid w:val="6CAB2956"/>
    <w:rsid w:val="6CAB73B2"/>
    <w:rsid w:val="6CAE722B"/>
    <w:rsid w:val="6CB09CCF"/>
    <w:rsid w:val="6CB30542"/>
    <w:rsid w:val="6CB481F0"/>
    <w:rsid w:val="6CB5F307"/>
    <w:rsid w:val="6CB6D6EF"/>
    <w:rsid w:val="6CB98659"/>
    <w:rsid w:val="6CBDA9B7"/>
    <w:rsid w:val="6CBDC8AA"/>
    <w:rsid w:val="6CBE0F7C"/>
    <w:rsid w:val="6CC0FF93"/>
    <w:rsid w:val="6CC36E69"/>
    <w:rsid w:val="6CC4B091"/>
    <w:rsid w:val="6CC8BF1D"/>
    <w:rsid w:val="6CCA456E"/>
    <w:rsid w:val="6CD09760"/>
    <w:rsid w:val="6CD13EC5"/>
    <w:rsid w:val="6CD4C214"/>
    <w:rsid w:val="6CD52697"/>
    <w:rsid w:val="6CD74B79"/>
    <w:rsid w:val="6CD9458F"/>
    <w:rsid w:val="6CD985EE"/>
    <w:rsid w:val="6CDEB237"/>
    <w:rsid w:val="6CDF8EDC"/>
    <w:rsid w:val="6CE91CD3"/>
    <w:rsid w:val="6CEAF25C"/>
    <w:rsid w:val="6CECFF90"/>
    <w:rsid w:val="6CEE7BA5"/>
    <w:rsid w:val="6CF07FAD"/>
    <w:rsid w:val="6CF68967"/>
    <w:rsid w:val="6CF794A8"/>
    <w:rsid w:val="6CF8C044"/>
    <w:rsid w:val="6CF9BB34"/>
    <w:rsid w:val="6CFA3CC8"/>
    <w:rsid w:val="6CFC4D1D"/>
    <w:rsid w:val="6CFF5879"/>
    <w:rsid w:val="6CFFB888"/>
    <w:rsid w:val="6D01ED39"/>
    <w:rsid w:val="6D038EF0"/>
    <w:rsid w:val="6D03DFC8"/>
    <w:rsid w:val="6D050143"/>
    <w:rsid w:val="6D0DF424"/>
    <w:rsid w:val="6D0E86A1"/>
    <w:rsid w:val="6D100DDA"/>
    <w:rsid w:val="6D1172B1"/>
    <w:rsid w:val="6D1FEA31"/>
    <w:rsid w:val="6D226DB8"/>
    <w:rsid w:val="6D240508"/>
    <w:rsid w:val="6D27FF0A"/>
    <w:rsid w:val="6D2DEECC"/>
    <w:rsid w:val="6D327DD4"/>
    <w:rsid w:val="6D3977AE"/>
    <w:rsid w:val="6D3E0DE3"/>
    <w:rsid w:val="6D3EBD06"/>
    <w:rsid w:val="6D40B68D"/>
    <w:rsid w:val="6D411723"/>
    <w:rsid w:val="6D4160C5"/>
    <w:rsid w:val="6D432EFB"/>
    <w:rsid w:val="6D4B87CF"/>
    <w:rsid w:val="6D4D5B5E"/>
    <w:rsid w:val="6D4DF4C7"/>
    <w:rsid w:val="6D4EBB78"/>
    <w:rsid w:val="6D573D8E"/>
    <w:rsid w:val="6D58A11F"/>
    <w:rsid w:val="6D59291C"/>
    <w:rsid w:val="6D5DA394"/>
    <w:rsid w:val="6D5E8524"/>
    <w:rsid w:val="6D5F0605"/>
    <w:rsid w:val="6D60A707"/>
    <w:rsid w:val="6D60EE5B"/>
    <w:rsid w:val="6D6CC6ED"/>
    <w:rsid w:val="6D72574F"/>
    <w:rsid w:val="6D75A398"/>
    <w:rsid w:val="6D7A9C82"/>
    <w:rsid w:val="6D7D09EB"/>
    <w:rsid w:val="6D85F4D6"/>
    <w:rsid w:val="6D870805"/>
    <w:rsid w:val="6D882D17"/>
    <w:rsid w:val="6D93D861"/>
    <w:rsid w:val="6D966AAA"/>
    <w:rsid w:val="6D97F837"/>
    <w:rsid w:val="6D98CE03"/>
    <w:rsid w:val="6D994652"/>
    <w:rsid w:val="6D9AAABF"/>
    <w:rsid w:val="6D9ACDE7"/>
    <w:rsid w:val="6DA1AA48"/>
    <w:rsid w:val="6DA2E200"/>
    <w:rsid w:val="6DA6F4EB"/>
    <w:rsid w:val="6DA91B77"/>
    <w:rsid w:val="6DAA255E"/>
    <w:rsid w:val="6DAA9133"/>
    <w:rsid w:val="6DAC4CBA"/>
    <w:rsid w:val="6DACC422"/>
    <w:rsid w:val="6DB312F1"/>
    <w:rsid w:val="6DB46DE6"/>
    <w:rsid w:val="6DB92AC7"/>
    <w:rsid w:val="6DBEC07B"/>
    <w:rsid w:val="6DC03400"/>
    <w:rsid w:val="6DC400AF"/>
    <w:rsid w:val="6DC5D368"/>
    <w:rsid w:val="6DCA26C5"/>
    <w:rsid w:val="6DCAC42B"/>
    <w:rsid w:val="6DCB3394"/>
    <w:rsid w:val="6DCBCD65"/>
    <w:rsid w:val="6DCD8E67"/>
    <w:rsid w:val="6DCDEC62"/>
    <w:rsid w:val="6DCEFCC4"/>
    <w:rsid w:val="6DCF11C1"/>
    <w:rsid w:val="6DD799F5"/>
    <w:rsid w:val="6DD7DBFD"/>
    <w:rsid w:val="6DDD1809"/>
    <w:rsid w:val="6DE00E4E"/>
    <w:rsid w:val="6DE52465"/>
    <w:rsid w:val="6DE826EE"/>
    <w:rsid w:val="6DEE7829"/>
    <w:rsid w:val="6DF21E94"/>
    <w:rsid w:val="6DF34DEB"/>
    <w:rsid w:val="6DF4A2F4"/>
    <w:rsid w:val="6DF56167"/>
    <w:rsid w:val="6DF69288"/>
    <w:rsid w:val="6DF87202"/>
    <w:rsid w:val="6DF90FFE"/>
    <w:rsid w:val="6E01C509"/>
    <w:rsid w:val="6E0C468A"/>
    <w:rsid w:val="6E173ACA"/>
    <w:rsid w:val="6E1DE1A4"/>
    <w:rsid w:val="6E202BF2"/>
    <w:rsid w:val="6E20B550"/>
    <w:rsid w:val="6E21C005"/>
    <w:rsid w:val="6E23C544"/>
    <w:rsid w:val="6E2BEC1F"/>
    <w:rsid w:val="6E2C265B"/>
    <w:rsid w:val="6E2CFDCE"/>
    <w:rsid w:val="6E2FCD15"/>
    <w:rsid w:val="6E3005F6"/>
    <w:rsid w:val="6E3276C3"/>
    <w:rsid w:val="6E33974B"/>
    <w:rsid w:val="6E33DCA9"/>
    <w:rsid w:val="6E36750A"/>
    <w:rsid w:val="6E3B3C43"/>
    <w:rsid w:val="6E45744F"/>
    <w:rsid w:val="6E4851DA"/>
    <w:rsid w:val="6E48A1CC"/>
    <w:rsid w:val="6E4CF35D"/>
    <w:rsid w:val="6E4E994C"/>
    <w:rsid w:val="6E4EA1EE"/>
    <w:rsid w:val="6E4F259B"/>
    <w:rsid w:val="6E50AC6E"/>
    <w:rsid w:val="6E50D635"/>
    <w:rsid w:val="6E50E107"/>
    <w:rsid w:val="6E573EAA"/>
    <w:rsid w:val="6E5865E4"/>
    <w:rsid w:val="6E5E0E9D"/>
    <w:rsid w:val="6E62F004"/>
    <w:rsid w:val="6E67F6A6"/>
    <w:rsid w:val="6E74E29B"/>
    <w:rsid w:val="6E774B3D"/>
    <w:rsid w:val="6E77885D"/>
    <w:rsid w:val="6E78CC1B"/>
    <w:rsid w:val="6E7BA75F"/>
    <w:rsid w:val="6E8861F6"/>
    <w:rsid w:val="6E89F481"/>
    <w:rsid w:val="6E8B46F4"/>
    <w:rsid w:val="6E8BE14E"/>
    <w:rsid w:val="6E92A915"/>
    <w:rsid w:val="6E994FF3"/>
    <w:rsid w:val="6E9A7095"/>
    <w:rsid w:val="6E9DEA64"/>
    <w:rsid w:val="6EA02229"/>
    <w:rsid w:val="6EA80FAF"/>
    <w:rsid w:val="6EA9067E"/>
    <w:rsid w:val="6EA995CA"/>
    <w:rsid w:val="6EAC6978"/>
    <w:rsid w:val="6EAD014A"/>
    <w:rsid w:val="6EAE2131"/>
    <w:rsid w:val="6EAFAA1E"/>
    <w:rsid w:val="6EB19A18"/>
    <w:rsid w:val="6EB9B04A"/>
    <w:rsid w:val="6EBACB33"/>
    <w:rsid w:val="6EBCEDB9"/>
    <w:rsid w:val="6EC43DEE"/>
    <w:rsid w:val="6ECC0991"/>
    <w:rsid w:val="6ECDF744"/>
    <w:rsid w:val="6ED5D62D"/>
    <w:rsid w:val="6EE13FE3"/>
    <w:rsid w:val="6EED82DA"/>
    <w:rsid w:val="6EEF55C8"/>
    <w:rsid w:val="6EF16B81"/>
    <w:rsid w:val="6EF40486"/>
    <w:rsid w:val="6EF7D981"/>
    <w:rsid w:val="6EF9561C"/>
    <w:rsid w:val="6F01BFF8"/>
    <w:rsid w:val="6F04C6B0"/>
    <w:rsid w:val="6F068E2C"/>
    <w:rsid w:val="6F0A4B5C"/>
    <w:rsid w:val="6F0ACA6B"/>
    <w:rsid w:val="6F0ECD1D"/>
    <w:rsid w:val="6F136DF8"/>
    <w:rsid w:val="6F15B478"/>
    <w:rsid w:val="6F1A568F"/>
    <w:rsid w:val="6F1E52D3"/>
    <w:rsid w:val="6F201839"/>
    <w:rsid w:val="6F20A8E7"/>
    <w:rsid w:val="6F2827ED"/>
    <w:rsid w:val="6F2B790C"/>
    <w:rsid w:val="6F2D2233"/>
    <w:rsid w:val="6F2F13C8"/>
    <w:rsid w:val="6F34AF92"/>
    <w:rsid w:val="6F34EB13"/>
    <w:rsid w:val="6F399A9B"/>
    <w:rsid w:val="6F3ADE2A"/>
    <w:rsid w:val="6F3B7009"/>
    <w:rsid w:val="6F3F4462"/>
    <w:rsid w:val="6F41EADE"/>
    <w:rsid w:val="6F440EB0"/>
    <w:rsid w:val="6F45D245"/>
    <w:rsid w:val="6F483549"/>
    <w:rsid w:val="6F4FCEF3"/>
    <w:rsid w:val="6F50EB7F"/>
    <w:rsid w:val="6F56171C"/>
    <w:rsid w:val="6F5822D0"/>
    <w:rsid w:val="6F5830EB"/>
    <w:rsid w:val="6F58E73C"/>
    <w:rsid w:val="6F5B4104"/>
    <w:rsid w:val="6F5BD080"/>
    <w:rsid w:val="6F5E69CD"/>
    <w:rsid w:val="6F5F34B2"/>
    <w:rsid w:val="6F61C794"/>
    <w:rsid w:val="6F6409BC"/>
    <w:rsid w:val="6F64BB52"/>
    <w:rsid w:val="6F6756A9"/>
    <w:rsid w:val="6F6899E0"/>
    <w:rsid w:val="6F6A178F"/>
    <w:rsid w:val="6F6A3110"/>
    <w:rsid w:val="6F6A9559"/>
    <w:rsid w:val="6F6ACF88"/>
    <w:rsid w:val="6F6BFAAB"/>
    <w:rsid w:val="6F6C1713"/>
    <w:rsid w:val="6F6CB56D"/>
    <w:rsid w:val="6F6DD443"/>
    <w:rsid w:val="6F7511F8"/>
    <w:rsid w:val="6F75E5F0"/>
    <w:rsid w:val="6F776D7B"/>
    <w:rsid w:val="6F78F99F"/>
    <w:rsid w:val="6F7D733C"/>
    <w:rsid w:val="6F7E9BCB"/>
    <w:rsid w:val="6F80E405"/>
    <w:rsid w:val="6F81AF5B"/>
    <w:rsid w:val="6F848504"/>
    <w:rsid w:val="6F861C71"/>
    <w:rsid w:val="6F878CE7"/>
    <w:rsid w:val="6F8A1DEF"/>
    <w:rsid w:val="6F8D7034"/>
    <w:rsid w:val="6F8E3999"/>
    <w:rsid w:val="6F8E86AE"/>
    <w:rsid w:val="6F90028C"/>
    <w:rsid w:val="6F91C8E1"/>
    <w:rsid w:val="6F94C927"/>
    <w:rsid w:val="6F9737DF"/>
    <w:rsid w:val="6F989404"/>
    <w:rsid w:val="6F9916F2"/>
    <w:rsid w:val="6FA1455F"/>
    <w:rsid w:val="6FA268C5"/>
    <w:rsid w:val="6FA3651C"/>
    <w:rsid w:val="6FA59A08"/>
    <w:rsid w:val="6FA806C1"/>
    <w:rsid w:val="6FAA2916"/>
    <w:rsid w:val="6FAC7F07"/>
    <w:rsid w:val="6FAE0020"/>
    <w:rsid w:val="6FAEB910"/>
    <w:rsid w:val="6FB3521E"/>
    <w:rsid w:val="6FB6972B"/>
    <w:rsid w:val="6FB70639"/>
    <w:rsid w:val="6FB8B997"/>
    <w:rsid w:val="6FBBBD21"/>
    <w:rsid w:val="6FBCCB9C"/>
    <w:rsid w:val="6FBD1A85"/>
    <w:rsid w:val="6FBE50CD"/>
    <w:rsid w:val="6FBF5AA9"/>
    <w:rsid w:val="6FC2F818"/>
    <w:rsid w:val="6FC333B3"/>
    <w:rsid w:val="6FC6EA3D"/>
    <w:rsid w:val="6FCAA243"/>
    <w:rsid w:val="6FCC876F"/>
    <w:rsid w:val="6FCCA590"/>
    <w:rsid w:val="6FCE890A"/>
    <w:rsid w:val="6FD23E5A"/>
    <w:rsid w:val="6FD3B10C"/>
    <w:rsid w:val="6FD4C3A9"/>
    <w:rsid w:val="6FD6CEC6"/>
    <w:rsid w:val="6FD82EB8"/>
    <w:rsid w:val="6FDE9732"/>
    <w:rsid w:val="6FDF3C5C"/>
    <w:rsid w:val="6FE12D92"/>
    <w:rsid w:val="6FE2DDC9"/>
    <w:rsid w:val="6FE693D5"/>
    <w:rsid w:val="6FEB06F7"/>
    <w:rsid w:val="6FEB458F"/>
    <w:rsid w:val="6FF397BC"/>
    <w:rsid w:val="6FF3CC3C"/>
    <w:rsid w:val="6FF79E17"/>
    <w:rsid w:val="6FF80946"/>
    <w:rsid w:val="70005C58"/>
    <w:rsid w:val="7000B32C"/>
    <w:rsid w:val="70035C7C"/>
    <w:rsid w:val="7003ACE4"/>
    <w:rsid w:val="70055D38"/>
    <w:rsid w:val="7005BB5F"/>
    <w:rsid w:val="700AC159"/>
    <w:rsid w:val="700D8B17"/>
    <w:rsid w:val="700DB97D"/>
    <w:rsid w:val="700DBF49"/>
    <w:rsid w:val="70126A0F"/>
    <w:rsid w:val="7014A1D7"/>
    <w:rsid w:val="70156D05"/>
    <w:rsid w:val="7015A637"/>
    <w:rsid w:val="7016FD8E"/>
    <w:rsid w:val="701A06EE"/>
    <w:rsid w:val="701CBF65"/>
    <w:rsid w:val="7022FDDE"/>
    <w:rsid w:val="7023D72E"/>
    <w:rsid w:val="702413D6"/>
    <w:rsid w:val="7025C60A"/>
    <w:rsid w:val="7029800E"/>
    <w:rsid w:val="702D50DE"/>
    <w:rsid w:val="70386813"/>
    <w:rsid w:val="7039270C"/>
    <w:rsid w:val="703EBA15"/>
    <w:rsid w:val="703FB9F8"/>
    <w:rsid w:val="704287C2"/>
    <w:rsid w:val="7042B12A"/>
    <w:rsid w:val="704352E2"/>
    <w:rsid w:val="70435FC4"/>
    <w:rsid w:val="704836B3"/>
    <w:rsid w:val="7049B05A"/>
    <w:rsid w:val="704E2122"/>
    <w:rsid w:val="7051CA1D"/>
    <w:rsid w:val="70559247"/>
    <w:rsid w:val="7055BD1F"/>
    <w:rsid w:val="7058E89C"/>
    <w:rsid w:val="705C813F"/>
    <w:rsid w:val="70645F3C"/>
    <w:rsid w:val="70653FC9"/>
    <w:rsid w:val="7065DF4E"/>
    <w:rsid w:val="706732B2"/>
    <w:rsid w:val="70675607"/>
    <w:rsid w:val="706A22CA"/>
    <w:rsid w:val="706C6361"/>
    <w:rsid w:val="706F1C5F"/>
    <w:rsid w:val="7079A943"/>
    <w:rsid w:val="708BA8FD"/>
    <w:rsid w:val="709504E1"/>
    <w:rsid w:val="70973B55"/>
    <w:rsid w:val="70992AA6"/>
    <w:rsid w:val="709F4EE9"/>
    <w:rsid w:val="70A706A5"/>
    <w:rsid w:val="70ADF099"/>
    <w:rsid w:val="70BA7692"/>
    <w:rsid w:val="70C59DD8"/>
    <w:rsid w:val="70C6DAF2"/>
    <w:rsid w:val="70C9F350"/>
    <w:rsid w:val="70CA597A"/>
    <w:rsid w:val="70CA88F4"/>
    <w:rsid w:val="70CAC112"/>
    <w:rsid w:val="70CCA020"/>
    <w:rsid w:val="70CF8270"/>
    <w:rsid w:val="70D0092E"/>
    <w:rsid w:val="70D139EE"/>
    <w:rsid w:val="70D3B4BD"/>
    <w:rsid w:val="70D3F870"/>
    <w:rsid w:val="70D6843E"/>
    <w:rsid w:val="70D9278F"/>
    <w:rsid w:val="70D9E546"/>
    <w:rsid w:val="70DD670A"/>
    <w:rsid w:val="70DDB729"/>
    <w:rsid w:val="70DDD189"/>
    <w:rsid w:val="70DFCF2C"/>
    <w:rsid w:val="70E2B95A"/>
    <w:rsid w:val="70E380F5"/>
    <w:rsid w:val="70E7B9C8"/>
    <w:rsid w:val="70E81243"/>
    <w:rsid w:val="70E8B757"/>
    <w:rsid w:val="70E91145"/>
    <w:rsid w:val="70EA9F1A"/>
    <w:rsid w:val="70EEA5E1"/>
    <w:rsid w:val="70F109C3"/>
    <w:rsid w:val="70F34172"/>
    <w:rsid w:val="70F3F331"/>
    <w:rsid w:val="70F4638A"/>
    <w:rsid w:val="70F92CEC"/>
    <w:rsid w:val="70F9BF34"/>
    <w:rsid w:val="70FAB85F"/>
    <w:rsid w:val="70FE406F"/>
    <w:rsid w:val="70FE680E"/>
    <w:rsid w:val="71019177"/>
    <w:rsid w:val="7108C630"/>
    <w:rsid w:val="710D8A97"/>
    <w:rsid w:val="7118FE77"/>
    <w:rsid w:val="7120BE06"/>
    <w:rsid w:val="7127F601"/>
    <w:rsid w:val="71296DF4"/>
    <w:rsid w:val="7129779F"/>
    <w:rsid w:val="712D293A"/>
    <w:rsid w:val="712DCF0C"/>
    <w:rsid w:val="712DD1B9"/>
    <w:rsid w:val="712FE426"/>
    <w:rsid w:val="7134AEF7"/>
    <w:rsid w:val="71368189"/>
    <w:rsid w:val="713EB1AE"/>
    <w:rsid w:val="713FC846"/>
    <w:rsid w:val="7143A301"/>
    <w:rsid w:val="714774ED"/>
    <w:rsid w:val="714A73E6"/>
    <w:rsid w:val="714C3433"/>
    <w:rsid w:val="714D7620"/>
    <w:rsid w:val="714D84AC"/>
    <w:rsid w:val="714D9899"/>
    <w:rsid w:val="714F5767"/>
    <w:rsid w:val="7152FF4E"/>
    <w:rsid w:val="71555AD9"/>
    <w:rsid w:val="7155FA90"/>
    <w:rsid w:val="71573C6E"/>
    <w:rsid w:val="7157737A"/>
    <w:rsid w:val="715C4049"/>
    <w:rsid w:val="715D8EED"/>
    <w:rsid w:val="715FD952"/>
    <w:rsid w:val="71617CCA"/>
    <w:rsid w:val="7164102B"/>
    <w:rsid w:val="7166E457"/>
    <w:rsid w:val="71686E8C"/>
    <w:rsid w:val="7168CF00"/>
    <w:rsid w:val="716B70E0"/>
    <w:rsid w:val="716DC2BB"/>
    <w:rsid w:val="716DF0DC"/>
    <w:rsid w:val="717172D5"/>
    <w:rsid w:val="717261C7"/>
    <w:rsid w:val="7173F5F0"/>
    <w:rsid w:val="7175BFD1"/>
    <w:rsid w:val="717DED06"/>
    <w:rsid w:val="717EB856"/>
    <w:rsid w:val="71822041"/>
    <w:rsid w:val="7186C8F0"/>
    <w:rsid w:val="7187A9D1"/>
    <w:rsid w:val="7187F354"/>
    <w:rsid w:val="718FF3B8"/>
    <w:rsid w:val="7191FF87"/>
    <w:rsid w:val="71927E15"/>
    <w:rsid w:val="71A0703D"/>
    <w:rsid w:val="71A1D533"/>
    <w:rsid w:val="71A2BB85"/>
    <w:rsid w:val="71A841B6"/>
    <w:rsid w:val="71A9732A"/>
    <w:rsid w:val="71AA116C"/>
    <w:rsid w:val="71AAD215"/>
    <w:rsid w:val="71ABEC0F"/>
    <w:rsid w:val="71AFE6C2"/>
    <w:rsid w:val="71B40CE9"/>
    <w:rsid w:val="71B5DEFB"/>
    <w:rsid w:val="71B7287B"/>
    <w:rsid w:val="71BC74E7"/>
    <w:rsid w:val="71C1D490"/>
    <w:rsid w:val="71C6A041"/>
    <w:rsid w:val="71CB4162"/>
    <w:rsid w:val="71CC8510"/>
    <w:rsid w:val="71DB122C"/>
    <w:rsid w:val="71DB2BD7"/>
    <w:rsid w:val="71DFF23D"/>
    <w:rsid w:val="71E75269"/>
    <w:rsid w:val="71E8258E"/>
    <w:rsid w:val="71EBFC71"/>
    <w:rsid w:val="71F2DDC4"/>
    <w:rsid w:val="71F4FC32"/>
    <w:rsid w:val="71F8E243"/>
    <w:rsid w:val="71FEA0A5"/>
    <w:rsid w:val="71FF2337"/>
    <w:rsid w:val="7201163E"/>
    <w:rsid w:val="7201D2EC"/>
    <w:rsid w:val="7202BC72"/>
    <w:rsid w:val="72039295"/>
    <w:rsid w:val="72047D52"/>
    <w:rsid w:val="72054819"/>
    <w:rsid w:val="72056F36"/>
    <w:rsid w:val="72078F69"/>
    <w:rsid w:val="721066AB"/>
    <w:rsid w:val="72123089"/>
    <w:rsid w:val="7213EC03"/>
    <w:rsid w:val="721410FA"/>
    <w:rsid w:val="72150E15"/>
    <w:rsid w:val="721692A8"/>
    <w:rsid w:val="7216996E"/>
    <w:rsid w:val="7218D3CB"/>
    <w:rsid w:val="721B0A1B"/>
    <w:rsid w:val="721BCC38"/>
    <w:rsid w:val="721C2574"/>
    <w:rsid w:val="721E0E67"/>
    <w:rsid w:val="72329EA7"/>
    <w:rsid w:val="72334633"/>
    <w:rsid w:val="7234EBB7"/>
    <w:rsid w:val="72374208"/>
    <w:rsid w:val="72396D40"/>
    <w:rsid w:val="723C476D"/>
    <w:rsid w:val="7243A991"/>
    <w:rsid w:val="7245F608"/>
    <w:rsid w:val="7251737C"/>
    <w:rsid w:val="72520056"/>
    <w:rsid w:val="7253995E"/>
    <w:rsid w:val="7257957B"/>
    <w:rsid w:val="725983CA"/>
    <w:rsid w:val="7259FB06"/>
    <w:rsid w:val="725B2BC2"/>
    <w:rsid w:val="725F7DF3"/>
    <w:rsid w:val="726B76E6"/>
    <w:rsid w:val="726C47C7"/>
    <w:rsid w:val="726EC202"/>
    <w:rsid w:val="726F3157"/>
    <w:rsid w:val="726FF785"/>
    <w:rsid w:val="727647E8"/>
    <w:rsid w:val="727657E4"/>
    <w:rsid w:val="727B4564"/>
    <w:rsid w:val="727B77C0"/>
    <w:rsid w:val="727BB2EA"/>
    <w:rsid w:val="727FB025"/>
    <w:rsid w:val="728037A4"/>
    <w:rsid w:val="72887551"/>
    <w:rsid w:val="72894F59"/>
    <w:rsid w:val="7289D739"/>
    <w:rsid w:val="7289E0AF"/>
    <w:rsid w:val="728B79C4"/>
    <w:rsid w:val="728BC486"/>
    <w:rsid w:val="72924A87"/>
    <w:rsid w:val="72928730"/>
    <w:rsid w:val="72957607"/>
    <w:rsid w:val="7296A2DC"/>
    <w:rsid w:val="72982891"/>
    <w:rsid w:val="729ADE15"/>
    <w:rsid w:val="729B5456"/>
    <w:rsid w:val="72A0F5D3"/>
    <w:rsid w:val="72A18BAD"/>
    <w:rsid w:val="72A202AC"/>
    <w:rsid w:val="72A20EDD"/>
    <w:rsid w:val="72A5800F"/>
    <w:rsid w:val="72A584FA"/>
    <w:rsid w:val="72A94738"/>
    <w:rsid w:val="72AB3CF6"/>
    <w:rsid w:val="72B570C8"/>
    <w:rsid w:val="72BA49D1"/>
    <w:rsid w:val="72BA60AE"/>
    <w:rsid w:val="72BCDABD"/>
    <w:rsid w:val="72BD7B0B"/>
    <w:rsid w:val="72C01B6A"/>
    <w:rsid w:val="72C33287"/>
    <w:rsid w:val="72C9A349"/>
    <w:rsid w:val="72D0A19D"/>
    <w:rsid w:val="72DB2A3A"/>
    <w:rsid w:val="72DBD39C"/>
    <w:rsid w:val="72DCF7BC"/>
    <w:rsid w:val="72DEC44C"/>
    <w:rsid w:val="72E3E8A5"/>
    <w:rsid w:val="72E82B7B"/>
    <w:rsid w:val="72EDA28A"/>
    <w:rsid w:val="72EDD147"/>
    <w:rsid w:val="72F2A771"/>
    <w:rsid w:val="72F4562B"/>
    <w:rsid w:val="72F5569C"/>
    <w:rsid w:val="72F6CE64"/>
    <w:rsid w:val="72FCAF39"/>
    <w:rsid w:val="72FCFA5A"/>
    <w:rsid w:val="7300B81E"/>
    <w:rsid w:val="7301770E"/>
    <w:rsid w:val="73028A90"/>
    <w:rsid w:val="7303F617"/>
    <w:rsid w:val="73048E3B"/>
    <w:rsid w:val="7305B24C"/>
    <w:rsid w:val="7308B023"/>
    <w:rsid w:val="730BEA92"/>
    <w:rsid w:val="730CDAE4"/>
    <w:rsid w:val="730D9703"/>
    <w:rsid w:val="730DF670"/>
    <w:rsid w:val="730FDEDE"/>
    <w:rsid w:val="73124A36"/>
    <w:rsid w:val="7314E831"/>
    <w:rsid w:val="731D0C36"/>
    <w:rsid w:val="731F00DA"/>
    <w:rsid w:val="7322C57D"/>
    <w:rsid w:val="732967B2"/>
    <w:rsid w:val="732A717D"/>
    <w:rsid w:val="732D92E0"/>
    <w:rsid w:val="732F7892"/>
    <w:rsid w:val="7331523F"/>
    <w:rsid w:val="7333D1A2"/>
    <w:rsid w:val="733C7BE8"/>
    <w:rsid w:val="7344A5E4"/>
    <w:rsid w:val="734C09AF"/>
    <w:rsid w:val="734F3B45"/>
    <w:rsid w:val="734F7EB9"/>
    <w:rsid w:val="7351ACC0"/>
    <w:rsid w:val="7356646F"/>
    <w:rsid w:val="7356C732"/>
    <w:rsid w:val="735C8FB5"/>
    <w:rsid w:val="735E6866"/>
    <w:rsid w:val="73625667"/>
    <w:rsid w:val="736A7C8D"/>
    <w:rsid w:val="736AB1DA"/>
    <w:rsid w:val="737026A9"/>
    <w:rsid w:val="73725CC1"/>
    <w:rsid w:val="73749CDE"/>
    <w:rsid w:val="7379A3CF"/>
    <w:rsid w:val="737D555E"/>
    <w:rsid w:val="737F7F86"/>
    <w:rsid w:val="737FAC8E"/>
    <w:rsid w:val="737FC918"/>
    <w:rsid w:val="73817D08"/>
    <w:rsid w:val="738A3027"/>
    <w:rsid w:val="738F6E56"/>
    <w:rsid w:val="739289EE"/>
    <w:rsid w:val="7392FB73"/>
    <w:rsid w:val="73930587"/>
    <w:rsid w:val="7397FC56"/>
    <w:rsid w:val="73980262"/>
    <w:rsid w:val="739D677B"/>
    <w:rsid w:val="73A3A01B"/>
    <w:rsid w:val="73A455AB"/>
    <w:rsid w:val="73A57888"/>
    <w:rsid w:val="73A71931"/>
    <w:rsid w:val="73A9C88B"/>
    <w:rsid w:val="73ACDE46"/>
    <w:rsid w:val="73AF8F6B"/>
    <w:rsid w:val="73B470DA"/>
    <w:rsid w:val="73B4F38B"/>
    <w:rsid w:val="73B55D32"/>
    <w:rsid w:val="73C32824"/>
    <w:rsid w:val="73C9BDA0"/>
    <w:rsid w:val="73CAB1AD"/>
    <w:rsid w:val="73D06328"/>
    <w:rsid w:val="73D7410A"/>
    <w:rsid w:val="73D79AC3"/>
    <w:rsid w:val="73E47DA7"/>
    <w:rsid w:val="73E4D047"/>
    <w:rsid w:val="73E5D1EF"/>
    <w:rsid w:val="73E72096"/>
    <w:rsid w:val="73EB534B"/>
    <w:rsid w:val="73ED3739"/>
    <w:rsid w:val="73EF41D6"/>
    <w:rsid w:val="73EFB22C"/>
    <w:rsid w:val="73F0FAC7"/>
    <w:rsid w:val="73F25567"/>
    <w:rsid w:val="73F361C5"/>
    <w:rsid w:val="73F42C21"/>
    <w:rsid w:val="73F575B6"/>
    <w:rsid w:val="73FD0628"/>
    <w:rsid w:val="73FEEC67"/>
    <w:rsid w:val="73FF6346"/>
    <w:rsid w:val="740255B1"/>
    <w:rsid w:val="74050636"/>
    <w:rsid w:val="740BEC5D"/>
    <w:rsid w:val="740C6D30"/>
    <w:rsid w:val="741634FD"/>
    <w:rsid w:val="74175AC1"/>
    <w:rsid w:val="7419B9A8"/>
    <w:rsid w:val="741BC281"/>
    <w:rsid w:val="741E2A96"/>
    <w:rsid w:val="74206CC1"/>
    <w:rsid w:val="7421F3E1"/>
    <w:rsid w:val="74225B76"/>
    <w:rsid w:val="74273293"/>
    <w:rsid w:val="7429E13E"/>
    <w:rsid w:val="742D8AB4"/>
    <w:rsid w:val="742F35E1"/>
    <w:rsid w:val="743C4B1F"/>
    <w:rsid w:val="743F6633"/>
    <w:rsid w:val="744028BE"/>
    <w:rsid w:val="7442B5CF"/>
    <w:rsid w:val="7449B142"/>
    <w:rsid w:val="744BD1C2"/>
    <w:rsid w:val="74502ADE"/>
    <w:rsid w:val="7451C20F"/>
    <w:rsid w:val="74558AAE"/>
    <w:rsid w:val="7455C894"/>
    <w:rsid w:val="7455EEEE"/>
    <w:rsid w:val="745A34E9"/>
    <w:rsid w:val="745D9D22"/>
    <w:rsid w:val="745FDD37"/>
    <w:rsid w:val="7463788B"/>
    <w:rsid w:val="746593A2"/>
    <w:rsid w:val="7465BCCC"/>
    <w:rsid w:val="746B3AB4"/>
    <w:rsid w:val="7471B477"/>
    <w:rsid w:val="7471BD89"/>
    <w:rsid w:val="74752EBB"/>
    <w:rsid w:val="7479556A"/>
    <w:rsid w:val="7479E81C"/>
    <w:rsid w:val="747B5EB3"/>
    <w:rsid w:val="747C1ABF"/>
    <w:rsid w:val="747F5CC2"/>
    <w:rsid w:val="7488DB1E"/>
    <w:rsid w:val="748E164E"/>
    <w:rsid w:val="748E3BB5"/>
    <w:rsid w:val="7493CE04"/>
    <w:rsid w:val="749737DE"/>
    <w:rsid w:val="7499F348"/>
    <w:rsid w:val="749A47CB"/>
    <w:rsid w:val="749B303B"/>
    <w:rsid w:val="749C15D3"/>
    <w:rsid w:val="749C919C"/>
    <w:rsid w:val="749D5796"/>
    <w:rsid w:val="749D7D40"/>
    <w:rsid w:val="74A2E1AC"/>
    <w:rsid w:val="74A3CEC4"/>
    <w:rsid w:val="74A8AF68"/>
    <w:rsid w:val="74AC7017"/>
    <w:rsid w:val="74B08ED2"/>
    <w:rsid w:val="74B50A5C"/>
    <w:rsid w:val="74C32FBD"/>
    <w:rsid w:val="74C5ABAD"/>
    <w:rsid w:val="74C7A0F4"/>
    <w:rsid w:val="74D3A5AF"/>
    <w:rsid w:val="74D81BFD"/>
    <w:rsid w:val="74E6DC72"/>
    <w:rsid w:val="74EADFF3"/>
    <w:rsid w:val="74EDB764"/>
    <w:rsid w:val="74EF9FA9"/>
    <w:rsid w:val="74F00D4E"/>
    <w:rsid w:val="74F26EE7"/>
    <w:rsid w:val="74F55030"/>
    <w:rsid w:val="74F6227F"/>
    <w:rsid w:val="74F694A9"/>
    <w:rsid w:val="74F6ABA3"/>
    <w:rsid w:val="74F72570"/>
    <w:rsid w:val="74FC4C19"/>
    <w:rsid w:val="74FD6F73"/>
    <w:rsid w:val="7501A8BD"/>
    <w:rsid w:val="75042B14"/>
    <w:rsid w:val="7507E3FA"/>
    <w:rsid w:val="750912C6"/>
    <w:rsid w:val="750DBF7C"/>
    <w:rsid w:val="750E0CB6"/>
    <w:rsid w:val="7510E7AB"/>
    <w:rsid w:val="7513F595"/>
    <w:rsid w:val="75142CA6"/>
    <w:rsid w:val="75144EE2"/>
    <w:rsid w:val="7515DE45"/>
    <w:rsid w:val="7516C3AB"/>
    <w:rsid w:val="751840E3"/>
    <w:rsid w:val="751D63C6"/>
    <w:rsid w:val="751F15C4"/>
    <w:rsid w:val="7522016F"/>
    <w:rsid w:val="7524B50B"/>
    <w:rsid w:val="7526762B"/>
    <w:rsid w:val="75394831"/>
    <w:rsid w:val="7539B8DB"/>
    <w:rsid w:val="753B4FBF"/>
    <w:rsid w:val="7541562E"/>
    <w:rsid w:val="7541C1BF"/>
    <w:rsid w:val="75433FAD"/>
    <w:rsid w:val="754755D6"/>
    <w:rsid w:val="75492EC8"/>
    <w:rsid w:val="754A1C2D"/>
    <w:rsid w:val="754B6F67"/>
    <w:rsid w:val="754D527C"/>
    <w:rsid w:val="754ED0DE"/>
    <w:rsid w:val="7554418A"/>
    <w:rsid w:val="755E84CA"/>
    <w:rsid w:val="755F8656"/>
    <w:rsid w:val="75681993"/>
    <w:rsid w:val="756941C9"/>
    <w:rsid w:val="756F99B7"/>
    <w:rsid w:val="7570CDC8"/>
    <w:rsid w:val="7570EF9B"/>
    <w:rsid w:val="7571FD1F"/>
    <w:rsid w:val="75732378"/>
    <w:rsid w:val="7575EB98"/>
    <w:rsid w:val="7576FF45"/>
    <w:rsid w:val="75776A2F"/>
    <w:rsid w:val="757C901F"/>
    <w:rsid w:val="758510F6"/>
    <w:rsid w:val="7585F5D2"/>
    <w:rsid w:val="75874D57"/>
    <w:rsid w:val="75892BBF"/>
    <w:rsid w:val="758AD264"/>
    <w:rsid w:val="758D4405"/>
    <w:rsid w:val="758EBE19"/>
    <w:rsid w:val="75942C00"/>
    <w:rsid w:val="75949A6F"/>
    <w:rsid w:val="75979605"/>
    <w:rsid w:val="759B7A7E"/>
    <w:rsid w:val="759BC886"/>
    <w:rsid w:val="75A36A5C"/>
    <w:rsid w:val="75A430C1"/>
    <w:rsid w:val="75A44A6F"/>
    <w:rsid w:val="75A65FD9"/>
    <w:rsid w:val="75A71A4F"/>
    <w:rsid w:val="75A8D04D"/>
    <w:rsid w:val="75A8D3BE"/>
    <w:rsid w:val="75A918FB"/>
    <w:rsid w:val="75ADC4ED"/>
    <w:rsid w:val="75ADF6F6"/>
    <w:rsid w:val="75B32D0B"/>
    <w:rsid w:val="75B6213F"/>
    <w:rsid w:val="75BDE16E"/>
    <w:rsid w:val="75BE82AC"/>
    <w:rsid w:val="75C031FD"/>
    <w:rsid w:val="75C1A8D4"/>
    <w:rsid w:val="75C505B8"/>
    <w:rsid w:val="75C79D8B"/>
    <w:rsid w:val="75CD2185"/>
    <w:rsid w:val="75CE196F"/>
    <w:rsid w:val="75D57A24"/>
    <w:rsid w:val="75D73348"/>
    <w:rsid w:val="75D8E890"/>
    <w:rsid w:val="75DB7881"/>
    <w:rsid w:val="75E3B35E"/>
    <w:rsid w:val="75E511A8"/>
    <w:rsid w:val="75E9CA98"/>
    <w:rsid w:val="75EC4C84"/>
    <w:rsid w:val="75EE629F"/>
    <w:rsid w:val="75F11788"/>
    <w:rsid w:val="75F1F327"/>
    <w:rsid w:val="75F43ABF"/>
    <w:rsid w:val="75F55DF5"/>
    <w:rsid w:val="75F6BE1F"/>
    <w:rsid w:val="75F9F208"/>
    <w:rsid w:val="75FF66A7"/>
    <w:rsid w:val="7604324C"/>
    <w:rsid w:val="76052207"/>
    <w:rsid w:val="7608932C"/>
    <w:rsid w:val="760B81DF"/>
    <w:rsid w:val="76102A4F"/>
    <w:rsid w:val="7610B2F6"/>
    <w:rsid w:val="761100C0"/>
    <w:rsid w:val="7613C960"/>
    <w:rsid w:val="7614B419"/>
    <w:rsid w:val="76166D00"/>
    <w:rsid w:val="7618168D"/>
    <w:rsid w:val="761ACEB7"/>
    <w:rsid w:val="761B2E99"/>
    <w:rsid w:val="76225409"/>
    <w:rsid w:val="76246FEB"/>
    <w:rsid w:val="7625331C"/>
    <w:rsid w:val="7625F314"/>
    <w:rsid w:val="76282DC7"/>
    <w:rsid w:val="762AEFF3"/>
    <w:rsid w:val="762E6199"/>
    <w:rsid w:val="7633306E"/>
    <w:rsid w:val="76372A88"/>
    <w:rsid w:val="763FE496"/>
    <w:rsid w:val="76413286"/>
    <w:rsid w:val="7644C4F8"/>
    <w:rsid w:val="76487955"/>
    <w:rsid w:val="764DC02F"/>
    <w:rsid w:val="7652B2B5"/>
    <w:rsid w:val="765666ED"/>
    <w:rsid w:val="765C7BEA"/>
    <w:rsid w:val="765CBA72"/>
    <w:rsid w:val="765F7FB6"/>
    <w:rsid w:val="76605685"/>
    <w:rsid w:val="766569D6"/>
    <w:rsid w:val="766D91A2"/>
    <w:rsid w:val="767146D9"/>
    <w:rsid w:val="7673B779"/>
    <w:rsid w:val="76768F5C"/>
    <w:rsid w:val="76788308"/>
    <w:rsid w:val="7679F6F5"/>
    <w:rsid w:val="767A1C35"/>
    <w:rsid w:val="767B1EC0"/>
    <w:rsid w:val="7682A846"/>
    <w:rsid w:val="76857724"/>
    <w:rsid w:val="7686926A"/>
    <w:rsid w:val="7687B2E6"/>
    <w:rsid w:val="7687ECC0"/>
    <w:rsid w:val="7688C0F4"/>
    <w:rsid w:val="76924656"/>
    <w:rsid w:val="76933171"/>
    <w:rsid w:val="769644B2"/>
    <w:rsid w:val="76967286"/>
    <w:rsid w:val="76989454"/>
    <w:rsid w:val="76996B1E"/>
    <w:rsid w:val="769CC387"/>
    <w:rsid w:val="76A20544"/>
    <w:rsid w:val="76A3A06D"/>
    <w:rsid w:val="76AAA6F0"/>
    <w:rsid w:val="76AD6304"/>
    <w:rsid w:val="76AEF87C"/>
    <w:rsid w:val="76AF7487"/>
    <w:rsid w:val="76B0CCB8"/>
    <w:rsid w:val="76B5CB03"/>
    <w:rsid w:val="76B621E2"/>
    <w:rsid w:val="76B67E4C"/>
    <w:rsid w:val="76B8F263"/>
    <w:rsid w:val="76C30DDE"/>
    <w:rsid w:val="76CAA527"/>
    <w:rsid w:val="76CD6FD7"/>
    <w:rsid w:val="76D03C16"/>
    <w:rsid w:val="76D2E96F"/>
    <w:rsid w:val="76D34241"/>
    <w:rsid w:val="76D5FA3A"/>
    <w:rsid w:val="76D66613"/>
    <w:rsid w:val="76D68E06"/>
    <w:rsid w:val="76E6F6CA"/>
    <w:rsid w:val="76EA2E81"/>
    <w:rsid w:val="76EAB272"/>
    <w:rsid w:val="76EEF993"/>
    <w:rsid w:val="76F112D3"/>
    <w:rsid w:val="76F16239"/>
    <w:rsid w:val="76F84B5B"/>
    <w:rsid w:val="76F9A019"/>
    <w:rsid w:val="76FDDA4B"/>
    <w:rsid w:val="77041421"/>
    <w:rsid w:val="77046A27"/>
    <w:rsid w:val="77054961"/>
    <w:rsid w:val="77058AF7"/>
    <w:rsid w:val="7709F562"/>
    <w:rsid w:val="770AE231"/>
    <w:rsid w:val="770E02D4"/>
    <w:rsid w:val="770EBF9D"/>
    <w:rsid w:val="770FC6C7"/>
    <w:rsid w:val="77109B55"/>
    <w:rsid w:val="77138525"/>
    <w:rsid w:val="771AE198"/>
    <w:rsid w:val="771E9237"/>
    <w:rsid w:val="7726D0B6"/>
    <w:rsid w:val="77286567"/>
    <w:rsid w:val="772FB015"/>
    <w:rsid w:val="77308BAC"/>
    <w:rsid w:val="773E2F44"/>
    <w:rsid w:val="773FB4C8"/>
    <w:rsid w:val="77421238"/>
    <w:rsid w:val="7742D032"/>
    <w:rsid w:val="7743FDED"/>
    <w:rsid w:val="7749BC32"/>
    <w:rsid w:val="774A9CBD"/>
    <w:rsid w:val="77546984"/>
    <w:rsid w:val="77588785"/>
    <w:rsid w:val="7758CF64"/>
    <w:rsid w:val="775B9F68"/>
    <w:rsid w:val="775C26C6"/>
    <w:rsid w:val="775CA1CB"/>
    <w:rsid w:val="7760976A"/>
    <w:rsid w:val="776571D2"/>
    <w:rsid w:val="776F8ED7"/>
    <w:rsid w:val="7776752E"/>
    <w:rsid w:val="7776C993"/>
    <w:rsid w:val="7779CFB5"/>
    <w:rsid w:val="77829BBF"/>
    <w:rsid w:val="7785AF3F"/>
    <w:rsid w:val="7787CEE1"/>
    <w:rsid w:val="7787DBF6"/>
    <w:rsid w:val="77880E86"/>
    <w:rsid w:val="77883BAE"/>
    <w:rsid w:val="778D2A55"/>
    <w:rsid w:val="779492C1"/>
    <w:rsid w:val="7795B121"/>
    <w:rsid w:val="7795B96E"/>
    <w:rsid w:val="7797B037"/>
    <w:rsid w:val="77984377"/>
    <w:rsid w:val="779A607B"/>
    <w:rsid w:val="779DD921"/>
    <w:rsid w:val="779E58FD"/>
    <w:rsid w:val="779EF74E"/>
    <w:rsid w:val="77A182D6"/>
    <w:rsid w:val="77A76A8D"/>
    <w:rsid w:val="77A7B532"/>
    <w:rsid w:val="77A86728"/>
    <w:rsid w:val="77A99A1E"/>
    <w:rsid w:val="77AA0213"/>
    <w:rsid w:val="77B207D7"/>
    <w:rsid w:val="77B2FA2B"/>
    <w:rsid w:val="77B62A99"/>
    <w:rsid w:val="77B8005A"/>
    <w:rsid w:val="77BA8C31"/>
    <w:rsid w:val="77C01B8C"/>
    <w:rsid w:val="77C22653"/>
    <w:rsid w:val="77CB44CF"/>
    <w:rsid w:val="77CE1D5B"/>
    <w:rsid w:val="77D25D81"/>
    <w:rsid w:val="77D4C5E5"/>
    <w:rsid w:val="77D602EB"/>
    <w:rsid w:val="77E01749"/>
    <w:rsid w:val="77E1451F"/>
    <w:rsid w:val="77E31FA8"/>
    <w:rsid w:val="77E34EB4"/>
    <w:rsid w:val="77E45F5D"/>
    <w:rsid w:val="77E52972"/>
    <w:rsid w:val="77EEA295"/>
    <w:rsid w:val="77F02706"/>
    <w:rsid w:val="77F1F56B"/>
    <w:rsid w:val="77F22185"/>
    <w:rsid w:val="77F2AB23"/>
    <w:rsid w:val="77F3A5AC"/>
    <w:rsid w:val="77F4239E"/>
    <w:rsid w:val="77F4D7FD"/>
    <w:rsid w:val="77F64830"/>
    <w:rsid w:val="77F77011"/>
    <w:rsid w:val="77FA88C5"/>
    <w:rsid w:val="7800BEAF"/>
    <w:rsid w:val="7801525D"/>
    <w:rsid w:val="780183E0"/>
    <w:rsid w:val="7801D60B"/>
    <w:rsid w:val="78036D58"/>
    <w:rsid w:val="78043CDA"/>
    <w:rsid w:val="780E6200"/>
    <w:rsid w:val="780E7769"/>
    <w:rsid w:val="781175C5"/>
    <w:rsid w:val="78122C04"/>
    <w:rsid w:val="781891BE"/>
    <w:rsid w:val="781B1B28"/>
    <w:rsid w:val="781C5AFE"/>
    <w:rsid w:val="782166F4"/>
    <w:rsid w:val="782646D0"/>
    <w:rsid w:val="782A0C1F"/>
    <w:rsid w:val="782C4A11"/>
    <w:rsid w:val="782CFC85"/>
    <w:rsid w:val="782D7A25"/>
    <w:rsid w:val="782FBCBB"/>
    <w:rsid w:val="7833424E"/>
    <w:rsid w:val="7838E6D6"/>
    <w:rsid w:val="783E3F6E"/>
    <w:rsid w:val="784146C8"/>
    <w:rsid w:val="7847B23A"/>
    <w:rsid w:val="78484784"/>
    <w:rsid w:val="784989F7"/>
    <w:rsid w:val="7850CF79"/>
    <w:rsid w:val="7851FAAA"/>
    <w:rsid w:val="7852BAEA"/>
    <w:rsid w:val="78531A0D"/>
    <w:rsid w:val="78534817"/>
    <w:rsid w:val="78537A11"/>
    <w:rsid w:val="78540502"/>
    <w:rsid w:val="78558024"/>
    <w:rsid w:val="7865DC24"/>
    <w:rsid w:val="7866DDEA"/>
    <w:rsid w:val="786721EB"/>
    <w:rsid w:val="786A5086"/>
    <w:rsid w:val="78700EFC"/>
    <w:rsid w:val="7870841E"/>
    <w:rsid w:val="787120CA"/>
    <w:rsid w:val="78745826"/>
    <w:rsid w:val="787716E1"/>
    <w:rsid w:val="787A653F"/>
    <w:rsid w:val="787B94EE"/>
    <w:rsid w:val="787E0551"/>
    <w:rsid w:val="7882DE97"/>
    <w:rsid w:val="7884EAF6"/>
    <w:rsid w:val="7885907D"/>
    <w:rsid w:val="788985C9"/>
    <w:rsid w:val="78899959"/>
    <w:rsid w:val="788C5539"/>
    <w:rsid w:val="788C779E"/>
    <w:rsid w:val="78948070"/>
    <w:rsid w:val="7897DC4F"/>
    <w:rsid w:val="789B0BDE"/>
    <w:rsid w:val="789B7CDD"/>
    <w:rsid w:val="789EC85A"/>
    <w:rsid w:val="789EF2ED"/>
    <w:rsid w:val="78A26BCC"/>
    <w:rsid w:val="78A2F0FF"/>
    <w:rsid w:val="78A473F2"/>
    <w:rsid w:val="78A976D8"/>
    <w:rsid w:val="78B25796"/>
    <w:rsid w:val="78B605F1"/>
    <w:rsid w:val="78B81CA6"/>
    <w:rsid w:val="78B8461F"/>
    <w:rsid w:val="78BC15E3"/>
    <w:rsid w:val="78BC2F95"/>
    <w:rsid w:val="78C137E2"/>
    <w:rsid w:val="78C191AB"/>
    <w:rsid w:val="78C3E760"/>
    <w:rsid w:val="78C5EDFA"/>
    <w:rsid w:val="78C6ABA6"/>
    <w:rsid w:val="78C6F635"/>
    <w:rsid w:val="78CBBCBB"/>
    <w:rsid w:val="78CD525B"/>
    <w:rsid w:val="78CD9D4C"/>
    <w:rsid w:val="78D1E7E9"/>
    <w:rsid w:val="78D23162"/>
    <w:rsid w:val="78D2F8A6"/>
    <w:rsid w:val="78D35701"/>
    <w:rsid w:val="78DCE24B"/>
    <w:rsid w:val="78DD46C8"/>
    <w:rsid w:val="78DDF141"/>
    <w:rsid w:val="78DF8E24"/>
    <w:rsid w:val="78E30907"/>
    <w:rsid w:val="78E6F561"/>
    <w:rsid w:val="78EA81F9"/>
    <w:rsid w:val="78EAE936"/>
    <w:rsid w:val="78EB3852"/>
    <w:rsid w:val="78EBAAE7"/>
    <w:rsid w:val="78F0DCDC"/>
    <w:rsid w:val="78F2FFC3"/>
    <w:rsid w:val="78F3631D"/>
    <w:rsid w:val="78F5FAA1"/>
    <w:rsid w:val="78F7D9D4"/>
    <w:rsid w:val="78F7FF44"/>
    <w:rsid w:val="78F8064C"/>
    <w:rsid w:val="78F9893D"/>
    <w:rsid w:val="78FC7251"/>
    <w:rsid w:val="7900F7C8"/>
    <w:rsid w:val="79026832"/>
    <w:rsid w:val="790299DD"/>
    <w:rsid w:val="7904006C"/>
    <w:rsid w:val="79041E58"/>
    <w:rsid w:val="7909AE26"/>
    <w:rsid w:val="790B0F04"/>
    <w:rsid w:val="790B3BB8"/>
    <w:rsid w:val="790F360D"/>
    <w:rsid w:val="790FBC42"/>
    <w:rsid w:val="7913A700"/>
    <w:rsid w:val="7913C6FB"/>
    <w:rsid w:val="79177FA8"/>
    <w:rsid w:val="7917A80D"/>
    <w:rsid w:val="7922E0D5"/>
    <w:rsid w:val="7926A9CE"/>
    <w:rsid w:val="7928BC5E"/>
    <w:rsid w:val="7929AF2B"/>
    <w:rsid w:val="792CD057"/>
    <w:rsid w:val="792D94FC"/>
    <w:rsid w:val="79327F8F"/>
    <w:rsid w:val="7935394E"/>
    <w:rsid w:val="7937121B"/>
    <w:rsid w:val="7938B104"/>
    <w:rsid w:val="793D0054"/>
    <w:rsid w:val="793FB792"/>
    <w:rsid w:val="793FFF82"/>
    <w:rsid w:val="79408025"/>
    <w:rsid w:val="79418053"/>
    <w:rsid w:val="7944CC43"/>
    <w:rsid w:val="79490CE0"/>
    <w:rsid w:val="794EF30E"/>
    <w:rsid w:val="794F061C"/>
    <w:rsid w:val="79503997"/>
    <w:rsid w:val="7958E9DE"/>
    <w:rsid w:val="795E7153"/>
    <w:rsid w:val="795FAA35"/>
    <w:rsid w:val="7961163E"/>
    <w:rsid w:val="7961BDD8"/>
    <w:rsid w:val="796797CB"/>
    <w:rsid w:val="7967A98C"/>
    <w:rsid w:val="79693C0A"/>
    <w:rsid w:val="7969F06F"/>
    <w:rsid w:val="796C5DED"/>
    <w:rsid w:val="796C7F2F"/>
    <w:rsid w:val="79768EC2"/>
    <w:rsid w:val="797858C6"/>
    <w:rsid w:val="79788465"/>
    <w:rsid w:val="7979CFD0"/>
    <w:rsid w:val="797A3D83"/>
    <w:rsid w:val="797E19B8"/>
    <w:rsid w:val="7980A313"/>
    <w:rsid w:val="79813BE0"/>
    <w:rsid w:val="79845428"/>
    <w:rsid w:val="7986BA9F"/>
    <w:rsid w:val="798911FE"/>
    <w:rsid w:val="798A4131"/>
    <w:rsid w:val="798F2244"/>
    <w:rsid w:val="799316CF"/>
    <w:rsid w:val="79951CC0"/>
    <w:rsid w:val="799643DE"/>
    <w:rsid w:val="799B4AC0"/>
    <w:rsid w:val="79A394F2"/>
    <w:rsid w:val="79A656D0"/>
    <w:rsid w:val="79A81412"/>
    <w:rsid w:val="79A9BC30"/>
    <w:rsid w:val="79ACAE0E"/>
    <w:rsid w:val="79AE24B8"/>
    <w:rsid w:val="79AE5179"/>
    <w:rsid w:val="79B2826C"/>
    <w:rsid w:val="79B37880"/>
    <w:rsid w:val="79B41B5E"/>
    <w:rsid w:val="79B53014"/>
    <w:rsid w:val="79B70E21"/>
    <w:rsid w:val="79B75572"/>
    <w:rsid w:val="79BB29F7"/>
    <w:rsid w:val="79BE39EF"/>
    <w:rsid w:val="79BF65C3"/>
    <w:rsid w:val="79C83DFF"/>
    <w:rsid w:val="79CA2C3E"/>
    <w:rsid w:val="79CB0033"/>
    <w:rsid w:val="79CBD1D3"/>
    <w:rsid w:val="79CDF6DB"/>
    <w:rsid w:val="79CE018F"/>
    <w:rsid w:val="79D8CF87"/>
    <w:rsid w:val="79DA8B7A"/>
    <w:rsid w:val="79DBD569"/>
    <w:rsid w:val="79DE2A3C"/>
    <w:rsid w:val="79E1F121"/>
    <w:rsid w:val="79E2C361"/>
    <w:rsid w:val="79E42CAA"/>
    <w:rsid w:val="79E59143"/>
    <w:rsid w:val="79E86CEB"/>
    <w:rsid w:val="79EB1C2A"/>
    <w:rsid w:val="79EB778D"/>
    <w:rsid w:val="79EFD588"/>
    <w:rsid w:val="79F10FBB"/>
    <w:rsid w:val="79F6BE54"/>
    <w:rsid w:val="79FA10DA"/>
    <w:rsid w:val="7A0200B2"/>
    <w:rsid w:val="7A0261D2"/>
    <w:rsid w:val="7A0813A6"/>
    <w:rsid w:val="7A0A5B79"/>
    <w:rsid w:val="7A165101"/>
    <w:rsid w:val="7A170122"/>
    <w:rsid w:val="7A19F8BF"/>
    <w:rsid w:val="7A23E65F"/>
    <w:rsid w:val="7A2668E7"/>
    <w:rsid w:val="7A27C3EF"/>
    <w:rsid w:val="7A289BE0"/>
    <w:rsid w:val="7A28CA22"/>
    <w:rsid w:val="7A2A680C"/>
    <w:rsid w:val="7A2EEA1D"/>
    <w:rsid w:val="7A3A1E8A"/>
    <w:rsid w:val="7A3F3037"/>
    <w:rsid w:val="7A418C73"/>
    <w:rsid w:val="7A42AA78"/>
    <w:rsid w:val="7A4303F4"/>
    <w:rsid w:val="7A43D3F1"/>
    <w:rsid w:val="7A472FFE"/>
    <w:rsid w:val="7A49C57B"/>
    <w:rsid w:val="7A4BB604"/>
    <w:rsid w:val="7A4E6355"/>
    <w:rsid w:val="7A517B15"/>
    <w:rsid w:val="7A54DC27"/>
    <w:rsid w:val="7A56F129"/>
    <w:rsid w:val="7A595D56"/>
    <w:rsid w:val="7A5BE8C6"/>
    <w:rsid w:val="7A605AFC"/>
    <w:rsid w:val="7A60D7AB"/>
    <w:rsid w:val="7A626258"/>
    <w:rsid w:val="7A665DF9"/>
    <w:rsid w:val="7A6B6C29"/>
    <w:rsid w:val="7A6CC289"/>
    <w:rsid w:val="7A702C64"/>
    <w:rsid w:val="7A704DE0"/>
    <w:rsid w:val="7A7098A7"/>
    <w:rsid w:val="7A72FFF5"/>
    <w:rsid w:val="7A747556"/>
    <w:rsid w:val="7A7AD481"/>
    <w:rsid w:val="7A7F1472"/>
    <w:rsid w:val="7A8497B0"/>
    <w:rsid w:val="7A84B400"/>
    <w:rsid w:val="7A854E94"/>
    <w:rsid w:val="7A963AA1"/>
    <w:rsid w:val="7A96C87B"/>
    <w:rsid w:val="7A9FC8CD"/>
    <w:rsid w:val="7AA0760B"/>
    <w:rsid w:val="7AA36269"/>
    <w:rsid w:val="7AA477EE"/>
    <w:rsid w:val="7AA55132"/>
    <w:rsid w:val="7AA5C761"/>
    <w:rsid w:val="7AA869B1"/>
    <w:rsid w:val="7AAA5069"/>
    <w:rsid w:val="7AB13995"/>
    <w:rsid w:val="7AB2F478"/>
    <w:rsid w:val="7AB5E929"/>
    <w:rsid w:val="7AB9B240"/>
    <w:rsid w:val="7ABEA320"/>
    <w:rsid w:val="7ABF0E71"/>
    <w:rsid w:val="7ABFDC70"/>
    <w:rsid w:val="7AC226C1"/>
    <w:rsid w:val="7AC72CB3"/>
    <w:rsid w:val="7AC783A1"/>
    <w:rsid w:val="7ACA8381"/>
    <w:rsid w:val="7ACC40CE"/>
    <w:rsid w:val="7ACCB1FD"/>
    <w:rsid w:val="7ACD1721"/>
    <w:rsid w:val="7ACDE5F7"/>
    <w:rsid w:val="7AD0023D"/>
    <w:rsid w:val="7AD002C3"/>
    <w:rsid w:val="7AD1170C"/>
    <w:rsid w:val="7AD3EAF9"/>
    <w:rsid w:val="7AD5AB3A"/>
    <w:rsid w:val="7ADA43B4"/>
    <w:rsid w:val="7ADA9369"/>
    <w:rsid w:val="7ADDEF63"/>
    <w:rsid w:val="7ADF6C14"/>
    <w:rsid w:val="7ADFD309"/>
    <w:rsid w:val="7AE01209"/>
    <w:rsid w:val="7AE038DC"/>
    <w:rsid w:val="7AE054E2"/>
    <w:rsid w:val="7AE41130"/>
    <w:rsid w:val="7AE4AB94"/>
    <w:rsid w:val="7AE543F7"/>
    <w:rsid w:val="7AE69B4C"/>
    <w:rsid w:val="7AE88009"/>
    <w:rsid w:val="7AE89B61"/>
    <w:rsid w:val="7AEF1ACB"/>
    <w:rsid w:val="7AF47FF9"/>
    <w:rsid w:val="7AF7EA44"/>
    <w:rsid w:val="7AFB7E2E"/>
    <w:rsid w:val="7AFE47E7"/>
    <w:rsid w:val="7B007C05"/>
    <w:rsid w:val="7B0300A0"/>
    <w:rsid w:val="7B03303B"/>
    <w:rsid w:val="7B04F2F6"/>
    <w:rsid w:val="7B070224"/>
    <w:rsid w:val="7B076ECB"/>
    <w:rsid w:val="7B08A485"/>
    <w:rsid w:val="7B14418E"/>
    <w:rsid w:val="7B146D7E"/>
    <w:rsid w:val="7B149588"/>
    <w:rsid w:val="7B17D5DB"/>
    <w:rsid w:val="7B1A1E19"/>
    <w:rsid w:val="7B1C0046"/>
    <w:rsid w:val="7B201F70"/>
    <w:rsid w:val="7B208F46"/>
    <w:rsid w:val="7B25BCF6"/>
    <w:rsid w:val="7B2A0BE1"/>
    <w:rsid w:val="7B2D0664"/>
    <w:rsid w:val="7B2E8905"/>
    <w:rsid w:val="7B32CC63"/>
    <w:rsid w:val="7B33F4D3"/>
    <w:rsid w:val="7B347737"/>
    <w:rsid w:val="7B363424"/>
    <w:rsid w:val="7B3747DD"/>
    <w:rsid w:val="7B3BE9DC"/>
    <w:rsid w:val="7B3D7F65"/>
    <w:rsid w:val="7B460427"/>
    <w:rsid w:val="7B4AB0C8"/>
    <w:rsid w:val="7B4BB52C"/>
    <w:rsid w:val="7B4C1C08"/>
    <w:rsid w:val="7B4F4EF2"/>
    <w:rsid w:val="7B55F4D4"/>
    <w:rsid w:val="7B571E57"/>
    <w:rsid w:val="7B5A7AFA"/>
    <w:rsid w:val="7B5DDBCC"/>
    <w:rsid w:val="7B629A98"/>
    <w:rsid w:val="7B65CD32"/>
    <w:rsid w:val="7B66CCA0"/>
    <w:rsid w:val="7B732666"/>
    <w:rsid w:val="7B834E79"/>
    <w:rsid w:val="7B8378FA"/>
    <w:rsid w:val="7B8A1EBE"/>
    <w:rsid w:val="7B918B7B"/>
    <w:rsid w:val="7B9227DC"/>
    <w:rsid w:val="7B940983"/>
    <w:rsid w:val="7B96999F"/>
    <w:rsid w:val="7B99FEA6"/>
    <w:rsid w:val="7B9AD38D"/>
    <w:rsid w:val="7B9CA57F"/>
    <w:rsid w:val="7BA32A43"/>
    <w:rsid w:val="7BAAD7C3"/>
    <w:rsid w:val="7BAB6999"/>
    <w:rsid w:val="7BB114FB"/>
    <w:rsid w:val="7BB43F9F"/>
    <w:rsid w:val="7BB45C09"/>
    <w:rsid w:val="7BB510F9"/>
    <w:rsid w:val="7BB9DF62"/>
    <w:rsid w:val="7BBD24D4"/>
    <w:rsid w:val="7BC047B6"/>
    <w:rsid w:val="7BC60EBF"/>
    <w:rsid w:val="7BC88DF9"/>
    <w:rsid w:val="7BD03DCB"/>
    <w:rsid w:val="7BD05DD1"/>
    <w:rsid w:val="7BD2C697"/>
    <w:rsid w:val="7BD673B8"/>
    <w:rsid w:val="7BD853EA"/>
    <w:rsid w:val="7BD98465"/>
    <w:rsid w:val="7BDDEE95"/>
    <w:rsid w:val="7BDE483A"/>
    <w:rsid w:val="7BE97856"/>
    <w:rsid w:val="7BEB3EE7"/>
    <w:rsid w:val="7BEFDB31"/>
    <w:rsid w:val="7BF27541"/>
    <w:rsid w:val="7BFBD801"/>
    <w:rsid w:val="7BFDDD11"/>
    <w:rsid w:val="7C0257B7"/>
    <w:rsid w:val="7C02F4E2"/>
    <w:rsid w:val="7C05C0AB"/>
    <w:rsid w:val="7C06F37D"/>
    <w:rsid w:val="7C07B320"/>
    <w:rsid w:val="7C0DFFA9"/>
    <w:rsid w:val="7C1220C0"/>
    <w:rsid w:val="7C1275EC"/>
    <w:rsid w:val="7C16827D"/>
    <w:rsid w:val="7C1C1249"/>
    <w:rsid w:val="7C1F6B27"/>
    <w:rsid w:val="7C20825B"/>
    <w:rsid w:val="7C265EA8"/>
    <w:rsid w:val="7C27FB06"/>
    <w:rsid w:val="7C2B84F8"/>
    <w:rsid w:val="7C2F6673"/>
    <w:rsid w:val="7C3307B1"/>
    <w:rsid w:val="7C332496"/>
    <w:rsid w:val="7C392DF0"/>
    <w:rsid w:val="7C3AACDA"/>
    <w:rsid w:val="7C3B5C67"/>
    <w:rsid w:val="7C3DB36F"/>
    <w:rsid w:val="7C41789A"/>
    <w:rsid w:val="7C42F7D3"/>
    <w:rsid w:val="7C486670"/>
    <w:rsid w:val="7C54DB9C"/>
    <w:rsid w:val="7C5768EB"/>
    <w:rsid w:val="7C58FC7A"/>
    <w:rsid w:val="7C5B56EF"/>
    <w:rsid w:val="7C5D8C1A"/>
    <w:rsid w:val="7C635F88"/>
    <w:rsid w:val="7C63DF29"/>
    <w:rsid w:val="7C6790DE"/>
    <w:rsid w:val="7C6C2D84"/>
    <w:rsid w:val="7C6CDE3B"/>
    <w:rsid w:val="7C733EE6"/>
    <w:rsid w:val="7C75EC17"/>
    <w:rsid w:val="7C7B11B6"/>
    <w:rsid w:val="7C7B5708"/>
    <w:rsid w:val="7C7DF5D2"/>
    <w:rsid w:val="7C89501C"/>
    <w:rsid w:val="7C8985ED"/>
    <w:rsid w:val="7C8B41A6"/>
    <w:rsid w:val="7C8B70C1"/>
    <w:rsid w:val="7C8C135D"/>
    <w:rsid w:val="7C8D15A1"/>
    <w:rsid w:val="7C8D568A"/>
    <w:rsid w:val="7C8DC406"/>
    <w:rsid w:val="7C92A858"/>
    <w:rsid w:val="7C92D491"/>
    <w:rsid w:val="7C95A20A"/>
    <w:rsid w:val="7C967B73"/>
    <w:rsid w:val="7C9A1788"/>
    <w:rsid w:val="7C9B8166"/>
    <w:rsid w:val="7C9DC554"/>
    <w:rsid w:val="7C9FB025"/>
    <w:rsid w:val="7CA48FC3"/>
    <w:rsid w:val="7CA64A02"/>
    <w:rsid w:val="7CAED759"/>
    <w:rsid w:val="7CB05161"/>
    <w:rsid w:val="7CB5B608"/>
    <w:rsid w:val="7CB69EDF"/>
    <w:rsid w:val="7CC1DDFF"/>
    <w:rsid w:val="7CC4CE2A"/>
    <w:rsid w:val="7CC63A2B"/>
    <w:rsid w:val="7CC94323"/>
    <w:rsid w:val="7CCBC4F3"/>
    <w:rsid w:val="7CCF64BD"/>
    <w:rsid w:val="7CD76E99"/>
    <w:rsid w:val="7CDC544D"/>
    <w:rsid w:val="7CE09314"/>
    <w:rsid w:val="7CE4942B"/>
    <w:rsid w:val="7CE74D0F"/>
    <w:rsid w:val="7CE7F265"/>
    <w:rsid w:val="7CEA980E"/>
    <w:rsid w:val="7CEE8D81"/>
    <w:rsid w:val="7CF5512B"/>
    <w:rsid w:val="7CF79C0A"/>
    <w:rsid w:val="7CF9F01F"/>
    <w:rsid w:val="7CFE9895"/>
    <w:rsid w:val="7D048DA6"/>
    <w:rsid w:val="7D05E9F1"/>
    <w:rsid w:val="7D06BAD0"/>
    <w:rsid w:val="7D0D4387"/>
    <w:rsid w:val="7D0EC49D"/>
    <w:rsid w:val="7D116288"/>
    <w:rsid w:val="7D1286A1"/>
    <w:rsid w:val="7D1508D2"/>
    <w:rsid w:val="7D1548E2"/>
    <w:rsid w:val="7D1797B3"/>
    <w:rsid w:val="7D22FA76"/>
    <w:rsid w:val="7D2935A8"/>
    <w:rsid w:val="7D2950A0"/>
    <w:rsid w:val="7D2B1A40"/>
    <w:rsid w:val="7D2F3185"/>
    <w:rsid w:val="7D2F7AD0"/>
    <w:rsid w:val="7D316621"/>
    <w:rsid w:val="7D319BF8"/>
    <w:rsid w:val="7D31DBBD"/>
    <w:rsid w:val="7D36AB89"/>
    <w:rsid w:val="7D3E5A7D"/>
    <w:rsid w:val="7D3F3839"/>
    <w:rsid w:val="7D3FEB30"/>
    <w:rsid w:val="7D41A7C5"/>
    <w:rsid w:val="7D470B79"/>
    <w:rsid w:val="7D534065"/>
    <w:rsid w:val="7D565489"/>
    <w:rsid w:val="7D5986CA"/>
    <w:rsid w:val="7D5AF7FA"/>
    <w:rsid w:val="7D5BDDC5"/>
    <w:rsid w:val="7D5D67C3"/>
    <w:rsid w:val="7D5E4350"/>
    <w:rsid w:val="7D61228E"/>
    <w:rsid w:val="7D637FCE"/>
    <w:rsid w:val="7D63E49F"/>
    <w:rsid w:val="7D652FB5"/>
    <w:rsid w:val="7D6A5D27"/>
    <w:rsid w:val="7D6A5D8D"/>
    <w:rsid w:val="7D6A800C"/>
    <w:rsid w:val="7D6AE358"/>
    <w:rsid w:val="7D6DEC8A"/>
    <w:rsid w:val="7D714104"/>
    <w:rsid w:val="7D74024B"/>
    <w:rsid w:val="7D76283F"/>
    <w:rsid w:val="7D79FC6C"/>
    <w:rsid w:val="7D811146"/>
    <w:rsid w:val="7D830E18"/>
    <w:rsid w:val="7D8352BE"/>
    <w:rsid w:val="7D83CD4F"/>
    <w:rsid w:val="7D851791"/>
    <w:rsid w:val="7D87471E"/>
    <w:rsid w:val="7D891367"/>
    <w:rsid w:val="7D8CB809"/>
    <w:rsid w:val="7D8D3801"/>
    <w:rsid w:val="7D8DF1D0"/>
    <w:rsid w:val="7D8FD77B"/>
    <w:rsid w:val="7D96E9A5"/>
    <w:rsid w:val="7D970E56"/>
    <w:rsid w:val="7D9831E6"/>
    <w:rsid w:val="7D99322F"/>
    <w:rsid w:val="7D99AE7F"/>
    <w:rsid w:val="7D9B93B1"/>
    <w:rsid w:val="7D9C7733"/>
    <w:rsid w:val="7D9CE73F"/>
    <w:rsid w:val="7D9FB388"/>
    <w:rsid w:val="7DA36FBA"/>
    <w:rsid w:val="7DA7BC28"/>
    <w:rsid w:val="7DA97939"/>
    <w:rsid w:val="7DB2B82B"/>
    <w:rsid w:val="7DB59CE1"/>
    <w:rsid w:val="7DB68F29"/>
    <w:rsid w:val="7DBE0870"/>
    <w:rsid w:val="7DBE8721"/>
    <w:rsid w:val="7DC7FE6C"/>
    <w:rsid w:val="7DC8615A"/>
    <w:rsid w:val="7DC87EAA"/>
    <w:rsid w:val="7DD22F35"/>
    <w:rsid w:val="7DD311CA"/>
    <w:rsid w:val="7DD6D9D5"/>
    <w:rsid w:val="7DDAE02E"/>
    <w:rsid w:val="7DE790E7"/>
    <w:rsid w:val="7DE91C62"/>
    <w:rsid w:val="7DEA065D"/>
    <w:rsid w:val="7DEA625F"/>
    <w:rsid w:val="7DEB2637"/>
    <w:rsid w:val="7DEBD6DA"/>
    <w:rsid w:val="7DEF32BD"/>
    <w:rsid w:val="7DF15E42"/>
    <w:rsid w:val="7DF2D0CE"/>
    <w:rsid w:val="7DF3AC57"/>
    <w:rsid w:val="7DF3C16F"/>
    <w:rsid w:val="7DF56FE8"/>
    <w:rsid w:val="7DF57966"/>
    <w:rsid w:val="7DF5AF9F"/>
    <w:rsid w:val="7DF87287"/>
    <w:rsid w:val="7DFA136E"/>
    <w:rsid w:val="7DFF252C"/>
    <w:rsid w:val="7E024835"/>
    <w:rsid w:val="7E05B693"/>
    <w:rsid w:val="7E083414"/>
    <w:rsid w:val="7E0E316E"/>
    <w:rsid w:val="7E12C445"/>
    <w:rsid w:val="7E151C2C"/>
    <w:rsid w:val="7E163E38"/>
    <w:rsid w:val="7E1650EA"/>
    <w:rsid w:val="7E16EEFF"/>
    <w:rsid w:val="7E190DC2"/>
    <w:rsid w:val="7E1B52F3"/>
    <w:rsid w:val="7E1DD9D1"/>
    <w:rsid w:val="7E1EF256"/>
    <w:rsid w:val="7E29DF38"/>
    <w:rsid w:val="7E29F29A"/>
    <w:rsid w:val="7E2A7329"/>
    <w:rsid w:val="7E3C2034"/>
    <w:rsid w:val="7E3DFF9D"/>
    <w:rsid w:val="7E3E0F97"/>
    <w:rsid w:val="7E3E7C97"/>
    <w:rsid w:val="7E3F41B6"/>
    <w:rsid w:val="7E436C84"/>
    <w:rsid w:val="7E4B86D8"/>
    <w:rsid w:val="7E4BEE43"/>
    <w:rsid w:val="7E4CD478"/>
    <w:rsid w:val="7E4E7853"/>
    <w:rsid w:val="7E4EE6D9"/>
    <w:rsid w:val="7E518D68"/>
    <w:rsid w:val="7E546D68"/>
    <w:rsid w:val="7E548EB9"/>
    <w:rsid w:val="7E54E6FC"/>
    <w:rsid w:val="7E5BA8A4"/>
    <w:rsid w:val="7E629BF1"/>
    <w:rsid w:val="7E636EB2"/>
    <w:rsid w:val="7E66108C"/>
    <w:rsid w:val="7E666958"/>
    <w:rsid w:val="7E66C7C6"/>
    <w:rsid w:val="7E72EC95"/>
    <w:rsid w:val="7E748151"/>
    <w:rsid w:val="7E93515F"/>
    <w:rsid w:val="7E961F60"/>
    <w:rsid w:val="7E963D60"/>
    <w:rsid w:val="7E98D437"/>
    <w:rsid w:val="7E9925DD"/>
    <w:rsid w:val="7EA4E9D0"/>
    <w:rsid w:val="7EAA2299"/>
    <w:rsid w:val="7EB0C831"/>
    <w:rsid w:val="7EB493F4"/>
    <w:rsid w:val="7EB687DA"/>
    <w:rsid w:val="7EBE5C58"/>
    <w:rsid w:val="7EC01FDB"/>
    <w:rsid w:val="7EC4FAA1"/>
    <w:rsid w:val="7EC845BE"/>
    <w:rsid w:val="7ED1C5C8"/>
    <w:rsid w:val="7ED6424C"/>
    <w:rsid w:val="7ED65A3C"/>
    <w:rsid w:val="7EDC9FD0"/>
    <w:rsid w:val="7EDF8CDE"/>
    <w:rsid w:val="7EEA2F09"/>
    <w:rsid w:val="7EF3B386"/>
    <w:rsid w:val="7EF44C76"/>
    <w:rsid w:val="7EF4E780"/>
    <w:rsid w:val="7EF57B23"/>
    <w:rsid w:val="7EFCF965"/>
    <w:rsid w:val="7EFF2942"/>
    <w:rsid w:val="7F010942"/>
    <w:rsid w:val="7F0E5E56"/>
    <w:rsid w:val="7F0E981A"/>
    <w:rsid w:val="7F138F63"/>
    <w:rsid w:val="7F1396D2"/>
    <w:rsid w:val="7F165F0D"/>
    <w:rsid w:val="7F169F4C"/>
    <w:rsid w:val="7F1AA37E"/>
    <w:rsid w:val="7F1C802B"/>
    <w:rsid w:val="7F1D11F7"/>
    <w:rsid w:val="7F20892F"/>
    <w:rsid w:val="7F2311E0"/>
    <w:rsid w:val="7F276A39"/>
    <w:rsid w:val="7F2D5563"/>
    <w:rsid w:val="7F2DEE3A"/>
    <w:rsid w:val="7F2EF34D"/>
    <w:rsid w:val="7F3038B4"/>
    <w:rsid w:val="7F32B55B"/>
    <w:rsid w:val="7F3AA975"/>
    <w:rsid w:val="7F3F233C"/>
    <w:rsid w:val="7F421BC1"/>
    <w:rsid w:val="7F424C0A"/>
    <w:rsid w:val="7F4518E6"/>
    <w:rsid w:val="7F458D80"/>
    <w:rsid w:val="7F4F0864"/>
    <w:rsid w:val="7F53578B"/>
    <w:rsid w:val="7F57C593"/>
    <w:rsid w:val="7F58812A"/>
    <w:rsid w:val="7F597116"/>
    <w:rsid w:val="7F5DBFB3"/>
    <w:rsid w:val="7F5FA52F"/>
    <w:rsid w:val="7F63C994"/>
    <w:rsid w:val="7F6CC1F7"/>
    <w:rsid w:val="7F6D09D2"/>
    <w:rsid w:val="7F6F8494"/>
    <w:rsid w:val="7F705944"/>
    <w:rsid w:val="7F712FE7"/>
    <w:rsid w:val="7F791A24"/>
    <w:rsid w:val="7F7B6485"/>
    <w:rsid w:val="7F7CEB84"/>
    <w:rsid w:val="7F7D05C9"/>
    <w:rsid w:val="7F7E15EE"/>
    <w:rsid w:val="7F811E3A"/>
    <w:rsid w:val="7F825CDC"/>
    <w:rsid w:val="7F8661B7"/>
    <w:rsid w:val="7F875711"/>
    <w:rsid w:val="7F89554D"/>
    <w:rsid w:val="7F89D3D6"/>
    <w:rsid w:val="7F8BBE42"/>
    <w:rsid w:val="7F8D4267"/>
    <w:rsid w:val="7F95C995"/>
    <w:rsid w:val="7F972BAE"/>
    <w:rsid w:val="7F9A20FE"/>
    <w:rsid w:val="7FA09EE5"/>
    <w:rsid w:val="7FABA5B2"/>
    <w:rsid w:val="7FACD01D"/>
    <w:rsid w:val="7FAEC8D1"/>
    <w:rsid w:val="7FAFDB42"/>
    <w:rsid w:val="7FB121FA"/>
    <w:rsid w:val="7FB1D173"/>
    <w:rsid w:val="7FB36A71"/>
    <w:rsid w:val="7FB53ADA"/>
    <w:rsid w:val="7FB60C1B"/>
    <w:rsid w:val="7FB8925A"/>
    <w:rsid w:val="7FB8BDD0"/>
    <w:rsid w:val="7FBBC6FA"/>
    <w:rsid w:val="7FC8025E"/>
    <w:rsid w:val="7FC91C28"/>
    <w:rsid w:val="7FCD4FE7"/>
    <w:rsid w:val="7FCDD171"/>
    <w:rsid w:val="7FCEFC3A"/>
    <w:rsid w:val="7FCFF262"/>
    <w:rsid w:val="7FD633AE"/>
    <w:rsid w:val="7FD87CD8"/>
    <w:rsid w:val="7FDD2647"/>
    <w:rsid w:val="7FDDE8F9"/>
    <w:rsid w:val="7FE03745"/>
    <w:rsid w:val="7FE1BA22"/>
    <w:rsid w:val="7FE58BC8"/>
    <w:rsid w:val="7FEC4A73"/>
    <w:rsid w:val="7FF02608"/>
    <w:rsid w:val="7FF08691"/>
    <w:rsid w:val="7FF247DF"/>
    <w:rsid w:val="7FF3176C"/>
    <w:rsid w:val="7FF6EAD4"/>
    <w:rsid w:val="7FF7C625"/>
    <w:rsid w:val="7FF82F5C"/>
    <w:rsid w:val="7FFD401A"/>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59C9E76"/>
  <w15:docId w15:val="{D82299D8-A58A-4BE8-8691-E6A86DDD9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ro" w:eastAsia="en-I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42E5"/>
  </w:style>
  <w:style w:type="paragraph" w:styleId="Heading1">
    <w:name w:val="heading 1"/>
    <w:basedOn w:val="Normal"/>
    <w:next w:val="Text1"/>
    <w:link w:val="Heading1Char"/>
    <w:uiPriority w:val="9"/>
    <w:qFormat/>
    <w:pPr>
      <w:keepNext/>
      <w:numPr>
        <w:numId w:val="7"/>
      </w:numPr>
      <w:spacing w:before="360" w:after="120" w:line="240" w:lineRule="auto"/>
      <w:jc w:val="both"/>
      <w:outlineLvl w:val="0"/>
    </w:pPr>
    <w:rPr>
      <w:rFonts w:ascii="Cambria Math" w:eastAsiaTheme="majorEastAsia" w:hAnsi="Cambria Math" w:cs="Cambria Math"/>
      <w:b/>
      <w:smallCaps/>
      <w:sz w:val="24"/>
    </w:rPr>
  </w:style>
  <w:style w:type="paragraph" w:styleId="Heading2">
    <w:name w:val="heading 2"/>
    <w:basedOn w:val="Normal"/>
    <w:next w:val="Text1"/>
    <w:link w:val="Heading2Char"/>
    <w:uiPriority w:val="9"/>
    <w:unhideWhenUsed/>
    <w:qFormat/>
    <w:pPr>
      <w:keepNext/>
      <w:numPr>
        <w:ilvl w:val="1"/>
        <w:numId w:val="7"/>
      </w:numPr>
      <w:spacing w:before="120" w:after="120" w:line="240" w:lineRule="auto"/>
      <w:jc w:val="both"/>
      <w:outlineLvl w:val="1"/>
    </w:pPr>
    <w:rPr>
      <w:rFonts w:ascii="Times New Roman" w:eastAsiaTheme="majorEastAsia" w:hAnsi="Times New Roman" w:cs="Times New Roman"/>
      <w:b/>
      <w:sz w:val="24"/>
    </w:rPr>
  </w:style>
  <w:style w:type="paragraph" w:styleId="Heading3">
    <w:name w:val="heading 3"/>
    <w:basedOn w:val="Normal"/>
    <w:next w:val="Text1"/>
    <w:link w:val="Heading3Char"/>
    <w:uiPriority w:val="9"/>
    <w:unhideWhenUsed/>
    <w:qFormat/>
    <w:pPr>
      <w:keepNext/>
      <w:numPr>
        <w:ilvl w:val="2"/>
        <w:numId w:val="7"/>
      </w:numPr>
      <w:spacing w:before="120" w:after="120" w:line="240" w:lineRule="auto"/>
      <w:jc w:val="both"/>
      <w:outlineLvl w:val="2"/>
    </w:pPr>
    <w:rPr>
      <w:rFonts w:ascii="Times New Roman" w:eastAsiaTheme="majorEastAsia" w:hAnsi="Times New Roman" w:cs="Times New Roman"/>
      <w:i/>
      <w:sz w:val="24"/>
    </w:rPr>
  </w:style>
  <w:style w:type="paragraph" w:styleId="Heading4">
    <w:name w:val="heading 4"/>
    <w:basedOn w:val="Normal"/>
    <w:next w:val="Text1"/>
    <w:link w:val="Heading4Char"/>
    <w:uiPriority w:val="9"/>
    <w:unhideWhenUsed/>
    <w:qFormat/>
    <w:pPr>
      <w:keepNext/>
      <w:numPr>
        <w:ilvl w:val="3"/>
        <w:numId w:val="7"/>
      </w:numPr>
      <w:spacing w:before="120" w:after="120" w:line="240" w:lineRule="auto"/>
      <w:jc w:val="both"/>
      <w:outlineLvl w:val="3"/>
    </w:pPr>
    <w:rPr>
      <w:rFonts w:ascii="Times New Roman" w:eastAsiaTheme="majorEastAsia" w:hAnsi="Times New Roman" w:cs="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Cambria Math" w:eastAsiaTheme="majorEastAsia" w:hAnsi="Cambria Math" w:cs="Cambria Math"/>
      <w:b/>
      <w:smallCaps/>
      <w:sz w:val="24"/>
    </w:rPr>
  </w:style>
  <w:style w:type="character" w:customStyle="1" w:styleId="Heading2Char">
    <w:name w:val="Heading 2 Char"/>
    <w:basedOn w:val="DefaultParagraphFont"/>
    <w:link w:val="Heading2"/>
    <w:uiPriority w:val="9"/>
    <w:rPr>
      <w:rFonts w:ascii="Times New Roman" w:eastAsiaTheme="majorEastAsia" w:hAnsi="Times New Roman" w:cs="Times New Roman"/>
      <w:b/>
      <w:sz w:val="24"/>
    </w:rPr>
  </w:style>
  <w:style w:type="character" w:customStyle="1" w:styleId="Heading3Char">
    <w:name w:val="Heading 3 Char"/>
    <w:basedOn w:val="DefaultParagraphFont"/>
    <w:link w:val="Heading3"/>
    <w:uiPriority w:val="9"/>
    <w:rPr>
      <w:rFonts w:ascii="Times New Roman" w:eastAsiaTheme="majorEastAsia" w:hAnsi="Times New Roman" w:cs="Times New Roman"/>
      <w:i/>
      <w:sz w:val="24"/>
    </w:rPr>
  </w:style>
  <w:style w:type="character" w:customStyle="1" w:styleId="Heading4Char">
    <w:name w:val="Heading 4 Char"/>
    <w:basedOn w:val="DefaultParagraphFont"/>
    <w:link w:val="Heading4"/>
    <w:uiPriority w:val="9"/>
    <w:rPr>
      <w:rFonts w:ascii="Times New Roman" w:eastAsiaTheme="majorEastAsia" w:hAnsi="Times New Roman" w:cs="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Char1,f"/>
    <w:basedOn w:val="Normal"/>
    <w:link w:val="FootnoteTextChar"/>
    <w:uiPriority w:val="99"/>
    <w:unhideWhenUsed/>
    <w:qFormat/>
    <w:pPr>
      <w:spacing w:after="0" w:line="240" w:lineRule="auto"/>
      <w:ind w:left="720" w:hanging="720"/>
      <w:jc w:val="both"/>
    </w:pPr>
    <w:rPr>
      <w:rFonts w:ascii="Times New Roman" w:hAnsi="Times New Roman" w:cs="Times New Roman"/>
      <w:sz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Pr>
      <w:rFonts w:ascii="Times New Roman" w:hAnsi="Times New Roman" w:cs="Times New Roman"/>
      <w:sz w:val="20"/>
    </w:rPr>
  </w:style>
  <w:style w:type="paragraph" w:styleId="TOCHeading">
    <w:name w:val="TOC Heading"/>
    <w:basedOn w:val="Normal"/>
    <w:next w:val="Normal"/>
    <w:uiPriority w:val="39"/>
    <w:semiHidden/>
    <w:unhideWhenUsed/>
    <w:qFormat/>
    <w:pPr>
      <w:spacing w:before="120" w:after="240" w:line="240" w:lineRule="auto"/>
      <w:jc w:val="center"/>
    </w:pPr>
    <w:rPr>
      <w:rFonts w:ascii="Times New Roman" w:hAnsi="Times New Roman" w:cs="Times New Roman"/>
      <w:b/>
      <w:sz w:val="28"/>
    </w:rPr>
  </w:style>
  <w:style w:type="paragraph" w:styleId="TOC1">
    <w:name w:val="toc 1"/>
    <w:basedOn w:val="Normal"/>
    <w:next w:val="Normal"/>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2">
    <w:name w:val="toc 2"/>
    <w:basedOn w:val="Normal"/>
    <w:next w:val="Normal"/>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3">
    <w:name w:val="toc 3"/>
    <w:basedOn w:val="Normal"/>
    <w:next w:val="Normal"/>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4">
    <w:name w:val="toc 4"/>
    <w:basedOn w:val="Normal"/>
    <w:next w:val="Normal"/>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5">
    <w:name w:val="toc 5"/>
    <w:basedOn w:val="Normal"/>
    <w:next w:val="Normal"/>
    <w:uiPriority w:val="39"/>
    <w:semiHidden/>
    <w:unhideWhenUsed/>
    <w:pPr>
      <w:tabs>
        <w:tab w:val="right" w:leader="dot" w:pos="9071"/>
      </w:tabs>
      <w:spacing w:before="300" w:after="120" w:line="240" w:lineRule="auto"/>
    </w:pPr>
    <w:rPr>
      <w:rFonts w:ascii="Times New Roman" w:hAnsi="Times New Roman" w:cs="Times New Roman"/>
      <w:sz w:val="24"/>
    </w:rPr>
  </w:style>
  <w:style w:type="paragraph" w:styleId="TOC6">
    <w:name w:val="toc 6"/>
    <w:basedOn w:val="Normal"/>
    <w:next w:val="Normal"/>
    <w:uiPriority w:val="39"/>
    <w:semiHidden/>
    <w:unhideWhenUsed/>
    <w:pPr>
      <w:tabs>
        <w:tab w:val="right" w:leader="dot" w:pos="9071"/>
      </w:tabs>
      <w:spacing w:before="240" w:after="120" w:line="240" w:lineRule="auto"/>
    </w:pPr>
    <w:rPr>
      <w:rFonts w:ascii="Times New Roman" w:hAnsi="Times New Roman" w:cs="Times New Roman"/>
      <w:sz w:val="24"/>
    </w:rPr>
  </w:style>
  <w:style w:type="paragraph" w:styleId="TOC7">
    <w:name w:val="toc 7"/>
    <w:basedOn w:val="Normal"/>
    <w:next w:val="Normal"/>
    <w:uiPriority w:val="39"/>
    <w:semiHidden/>
    <w:unhideWhenUsed/>
    <w:pPr>
      <w:tabs>
        <w:tab w:val="right" w:leader="dot" w:pos="9071"/>
      </w:tabs>
      <w:spacing w:before="180" w:after="120" w:line="240" w:lineRule="auto"/>
    </w:pPr>
    <w:rPr>
      <w:rFonts w:ascii="Times New Roman" w:hAnsi="Times New Roman" w:cs="Times New Roman"/>
      <w:sz w:val="24"/>
    </w:rPr>
  </w:style>
  <w:style w:type="paragraph" w:styleId="TOC8">
    <w:name w:val="toc 8"/>
    <w:basedOn w:val="Normal"/>
    <w:next w:val="Normal"/>
    <w:uiPriority w:val="39"/>
    <w:semiHidden/>
    <w:unhideWhenUsed/>
    <w:pPr>
      <w:tabs>
        <w:tab w:val="right" w:leader="dot" w:pos="9071"/>
      </w:tabs>
      <w:spacing w:before="120" w:after="120" w:line="240" w:lineRule="auto"/>
    </w:pPr>
    <w:rPr>
      <w:rFonts w:ascii="Times New Roman" w:hAnsi="Times New Roman" w:cs="Times New Roman"/>
      <w:sz w:val="24"/>
    </w:rPr>
  </w:style>
  <w:style w:type="paragraph" w:styleId="TOC9">
    <w:name w:val="toc 9"/>
    <w:basedOn w:val="Normal"/>
    <w:next w:val="Normal"/>
    <w:uiPriority w:val="39"/>
    <w:semiHidden/>
    <w:unhideWhenUsed/>
    <w:pPr>
      <w:tabs>
        <w:tab w:val="right" w:leader="dot" w:pos="9071"/>
      </w:tabs>
      <w:spacing w:before="120" w:after="12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character" w:styleId="FootnoteReference">
    <w:name w:val="footnote reference"/>
    <w:aliases w:val="Footnote Reference Char Car Char Char Car Char Car Char Car Char Car Char Char Car Car Char Char Char Char Char Car Char Car Char Char Car Char Car Diagrama,Footnotes refss Car Char Car Diagrama,Footnote Reference Superscript,o"/>
    <w:basedOn w:val="DefaultParagraphFont"/>
    <w:link w:val="FootnoteReferenceCharCarCharCharCarCharCarCharCarCharCarCharCharCarCarCharCharCharCharCharCarCharCarCharCharCarCharCar"/>
    <w:uiPriority w:val="99"/>
    <w:unhideWhenUsed/>
    <w:qFormat/>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rsid w:val="00C96FF0"/>
    <w:pPr>
      <w:spacing w:after="120" w:line="240" w:lineRule="auto"/>
      <w:jc w:val="right"/>
    </w:pPr>
    <w:rPr>
      <w:rFonts w:ascii="Times New Roman" w:hAnsi="Times New Roman" w:cs="Times New Roman"/>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Text1">
    <w:name w:val="Text 1"/>
    <w:basedOn w:val="Normal"/>
    <w:pPr>
      <w:spacing w:before="120" w:after="120" w:line="240" w:lineRule="auto"/>
      <w:ind w:left="850"/>
      <w:jc w:val="both"/>
    </w:pPr>
    <w:rPr>
      <w:rFonts w:ascii="Times New Roman" w:hAnsi="Times New Roman" w:cs="Times New Roman"/>
      <w:sz w:val="24"/>
    </w:rPr>
  </w:style>
  <w:style w:type="paragraph" w:customStyle="1" w:styleId="Text2">
    <w:name w:val="Text 2"/>
    <w:basedOn w:val="Normal"/>
    <w:pPr>
      <w:spacing w:before="120" w:after="120" w:line="240" w:lineRule="auto"/>
      <w:ind w:left="1417"/>
      <w:jc w:val="both"/>
    </w:pPr>
    <w:rPr>
      <w:rFonts w:ascii="Times New Roman" w:hAnsi="Times New Roman" w:cs="Times New Roman"/>
      <w:sz w:val="24"/>
    </w:rPr>
  </w:style>
  <w:style w:type="paragraph" w:customStyle="1" w:styleId="Text3">
    <w:name w:val="Text 3"/>
    <w:basedOn w:val="Normal"/>
    <w:pPr>
      <w:spacing w:before="120" w:after="120" w:line="240" w:lineRule="auto"/>
      <w:ind w:left="1984"/>
      <w:jc w:val="both"/>
    </w:pPr>
    <w:rPr>
      <w:rFonts w:ascii="Times New Roman" w:hAnsi="Times New Roman" w:cs="Times New Roman"/>
      <w:sz w:val="24"/>
    </w:rPr>
  </w:style>
  <w:style w:type="paragraph" w:customStyle="1" w:styleId="Text4">
    <w:name w:val="Text 4"/>
    <w:basedOn w:val="Normal"/>
    <w:pPr>
      <w:spacing w:before="120" w:after="120" w:line="240" w:lineRule="auto"/>
      <w:ind w:left="2551"/>
      <w:jc w:val="both"/>
    </w:pPr>
    <w:rPr>
      <w:rFonts w:ascii="Times New Roman" w:hAnsi="Times New Roman" w:cs="Times New Roman"/>
      <w:sz w:val="24"/>
    </w:rPr>
  </w:style>
  <w:style w:type="paragraph" w:customStyle="1" w:styleId="NormalCentered">
    <w:name w:val="Normal Centered"/>
    <w:basedOn w:val="Normal"/>
    <w:pPr>
      <w:spacing w:before="120" w:after="120" w:line="240" w:lineRule="auto"/>
      <w:jc w:val="center"/>
    </w:pPr>
    <w:rPr>
      <w:rFonts w:ascii="Times New Roman" w:hAnsi="Times New Roman" w:cs="Times New Roman"/>
      <w:sz w:val="24"/>
    </w:rPr>
  </w:style>
  <w:style w:type="paragraph" w:customStyle="1" w:styleId="NormalLeft">
    <w:name w:val="Normal Left"/>
    <w:basedOn w:val="Normal"/>
    <w:pPr>
      <w:spacing w:before="120" w:after="120" w:line="240" w:lineRule="auto"/>
    </w:pPr>
    <w:rPr>
      <w:rFonts w:ascii="Times New Roman" w:hAnsi="Times New Roman" w:cs="Times New Roman"/>
      <w:sz w:val="24"/>
    </w:rPr>
  </w:style>
  <w:style w:type="paragraph" w:customStyle="1" w:styleId="NormalRight">
    <w:name w:val="Normal Right"/>
    <w:basedOn w:val="Normal"/>
    <w:pPr>
      <w:spacing w:before="120" w:after="120" w:line="240" w:lineRule="auto"/>
      <w:jc w:val="right"/>
    </w:pPr>
    <w:rPr>
      <w:rFonts w:ascii="Times New Roman" w:hAnsi="Times New Roman" w:cs="Times New Roman"/>
      <w:sz w:val="24"/>
    </w:rPr>
  </w:style>
  <w:style w:type="paragraph" w:customStyle="1" w:styleId="QuotedText">
    <w:name w:val="Quoted Text"/>
    <w:basedOn w:val="Normal"/>
    <w:pPr>
      <w:spacing w:before="120" w:after="120" w:line="240" w:lineRule="auto"/>
      <w:ind w:left="1417"/>
      <w:jc w:val="both"/>
    </w:pPr>
    <w:rPr>
      <w:rFonts w:ascii="Times New Roman" w:hAnsi="Times New Roman" w:cs="Times New Roman"/>
      <w:sz w:val="24"/>
    </w:rPr>
  </w:style>
  <w:style w:type="paragraph" w:customStyle="1" w:styleId="Point0">
    <w:name w:val="Point 0"/>
    <w:basedOn w:val="Normal"/>
    <w:pPr>
      <w:spacing w:before="120" w:after="120" w:line="240" w:lineRule="auto"/>
      <w:ind w:left="850" w:hanging="850"/>
      <w:jc w:val="both"/>
    </w:pPr>
    <w:rPr>
      <w:rFonts w:ascii="Times New Roman" w:hAnsi="Times New Roman" w:cs="Times New Roman"/>
      <w:sz w:val="24"/>
    </w:rPr>
  </w:style>
  <w:style w:type="paragraph" w:customStyle="1" w:styleId="Point1">
    <w:name w:val="Point 1"/>
    <w:basedOn w:val="Normal"/>
    <w:pPr>
      <w:spacing w:before="120" w:after="120" w:line="240" w:lineRule="auto"/>
      <w:ind w:left="1417" w:hanging="567"/>
      <w:jc w:val="both"/>
    </w:pPr>
    <w:rPr>
      <w:rFonts w:ascii="Times New Roman" w:hAnsi="Times New Roman" w:cs="Times New Roman"/>
      <w:sz w:val="24"/>
    </w:rPr>
  </w:style>
  <w:style w:type="paragraph" w:customStyle="1" w:styleId="Point2">
    <w:name w:val="Point 2"/>
    <w:basedOn w:val="Normal"/>
    <w:pPr>
      <w:spacing w:before="120" w:after="120" w:line="240" w:lineRule="auto"/>
      <w:ind w:left="1984" w:hanging="567"/>
      <w:jc w:val="both"/>
    </w:pPr>
    <w:rPr>
      <w:rFonts w:ascii="Times New Roman" w:hAnsi="Times New Roman" w:cs="Times New Roman"/>
      <w:sz w:val="24"/>
    </w:rPr>
  </w:style>
  <w:style w:type="paragraph" w:customStyle="1" w:styleId="Point3">
    <w:name w:val="Point 3"/>
    <w:basedOn w:val="Normal"/>
    <w:pPr>
      <w:spacing w:before="120" w:after="120" w:line="240" w:lineRule="auto"/>
      <w:ind w:left="2551" w:hanging="567"/>
      <w:jc w:val="both"/>
    </w:pPr>
    <w:rPr>
      <w:rFonts w:ascii="Times New Roman" w:hAnsi="Times New Roman" w:cs="Times New Roman"/>
      <w:sz w:val="24"/>
    </w:rPr>
  </w:style>
  <w:style w:type="paragraph" w:customStyle="1" w:styleId="Point4">
    <w:name w:val="Point 4"/>
    <w:basedOn w:val="Normal"/>
    <w:pPr>
      <w:spacing w:before="120" w:after="120" w:line="240" w:lineRule="auto"/>
      <w:ind w:left="3118" w:hanging="567"/>
      <w:jc w:val="both"/>
    </w:pPr>
    <w:rPr>
      <w:rFonts w:ascii="Times New Roman" w:hAnsi="Times New Roman" w:cs="Times New Roman"/>
      <w:sz w:val="24"/>
    </w:rPr>
  </w:style>
  <w:style w:type="paragraph" w:customStyle="1" w:styleId="Tiret0">
    <w:name w:val="Tiret 0"/>
    <w:basedOn w:val="Point0"/>
    <w:pPr>
      <w:numPr>
        <w:numId w:val="2"/>
      </w:numPr>
    </w:pPr>
  </w:style>
  <w:style w:type="paragraph" w:customStyle="1" w:styleId="Tiret1">
    <w:name w:val="Tiret 1"/>
    <w:basedOn w:val="Point1"/>
    <w:pPr>
      <w:numPr>
        <w:numId w:val="3"/>
      </w:numPr>
    </w:pPr>
  </w:style>
  <w:style w:type="paragraph" w:customStyle="1" w:styleId="Tiret2">
    <w:name w:val="Tiret 2"/>
    <w:basedOn w:val="Point2"/>
    <w:pPr>
      <w:numPr>
        <w:numId w:val="4"/>
      </w:numPr>
    </w:pPr>
  </w:style>
  <w:style w:type="paragraph" w:customStyle="1" w:styleId="Tiret3">
    <w:name w:val="Tiret 3"/>
    <w:basedOn w:val="Point3"/>
    <w:pPr>
      <w:numPr>
        <w:numId w:val="5"/>
      </w:numPr>
    </w:pPr>
  </w:style>
  <w:style w:type="paragraph" w:customStyle="1" w:styleId="Tiret4">
    <w:name w:val="Tiret 4"/>
    <w:basedOn w:val="Point4"/>
    <w:pPr>
      <w:numPr>
        <w:numId w:val="6"/>
      </w:numPr>
    </w:pPr>
  </w:style>
  <w:style w:type="paragraph" w:customStyle="1" w:styleId="PointDouble0">
    <w:name w:val="PointDouble 0"/>
    <w:basedOn w:val="Normal"/>
    <w:pPr>
      <w:tabs>
        <w:tab w:val="left" w:pos="850"/>
      </w:tabs>
      <w:spacing w:before="120" w:after="120" w:line="240" w:lineRule="auto"/>
      <w:ind w:left="1417" w:hanging="1417"/>
      <w:jc w:val="both"/>
    </w:pPr>
    <w:rPr>
      <w:rFonts w:ascii="Times New Roman" w:hAnsi="Times New Roman" w:cs="Times New Roman"/>
      <w:sz w:val="24"/>
    </w:rPr>
  </w:style>
  <w:style w:type="paragraph" w:customStyle="1" w:styleId="PointDouble1">
    <w:name w:val="PointDouble 1"/>
    <w:basedOn w:val="Normal"/>
    <w:pPr>
      <w:tabs>
        <w:tab w:val="left" w:pos="1417"/>
      </w:tabs>
      <w:spacing w:before="120" w:after="120" w:line="240" w:lineRule="auto"/>
      <w:ind w:left="1984" w:hanging="1134"/>
      <w:jc w:val="both"/>
    </w:pPr>
    <w:rPr>
      <w:rFonts w:ascii="Times New Roman" w:hAnsi="Times New Roman" w:cs="Times New Roman"/>
      <w:sz w:val="24"/>
    </w:rPr>
  </w:style>
  <w:style w:type="paragraph" w:customStyle="1" w:styleId="PointDouble2">
    <w:name w:val="PointDouble 2"/>
    <w:basedOn w:val="Normal"/>
    <w:pPr>
      <w:tabs>
        <w:tab w:val="left" w:pos="1984"/>
      </w:tabs>
      <w:spacing w:before="120" w:after="120" w:line="240" w:lineRule="auto"/>
      <w:ind w:left="2551" w:hanging="1134"/>
      <w:jc w:val="both"/>
    </w:pPr>
    <w:rPr>
      <w:rFonts w:ascii="Times New Roman" w:hAnsi="Times New Roman" w:cs="Times New Roman"/>
      <w:sz w:val="24"/>
    </w:rPr>
  </w:style>
  <w:style w:type="paragraph" w:customStyle="1" w:styleId="PointDouble3">
    <w:name w:val="PointDouble 3"/>
    <w:basedOn w:val="Normal"/>
    <w:pPr>
      <w:tabs>
        <w:tab w:val="left" w:pos="2551"/>
      </w:tabs>
      <w:spacing w:before="120" w:after="120" w:line="240" w:lineRule="auto"/>
      <w:ind w:left="3118" w:hanging="1134"/>
      <w:jc w:val="both"/>
    </w:pPr>
    <w:rPr>
      <w:rFonts w:ascii="Times New Roman" w:hAnsi="Times New Roman" w:cs="Times New Roman"/>
      <w:sz w:val="24"/>
    </w:rPr>
  </w:style>
  <w:style w:type="paragraph" w:customStyle="1" w:styleId="PointDouble4">
    <w:name w:val="PointDouble 4"/>
    <w:basedOn w:val="Normal"/>
    <w:pPr>
      <w:tabs>
        <w:tab w:val="left" w:pos="3118"/>
      </w:tabs>
      <w:spacing w:before="120" w:after="120" w:line="240" w:lineRule="auto"/>
      <w:ind w:left="3685" w:hanging="1134"/>
      <w:jc w:val="both"/>
    </w:pPr>
    <w:rPr>
      <w:rFonts w:ascii="Times New Roman" w:hAnsi="Times New Roman" w:cs="Times New Roman"/>
      <w:sz w:val="24"/>
    </w:rPr>
  </w:style>
  <w:style w:type="paragraph" w:customStyle="1" w:styleId="PointTriple0">
    <w:name w:val="PointTriple 0"/>
    <w:basedOn w:val="Normal"/>
    <w:pPr>
      <w:tabs>
        <w:tab w:val="left" w:pos="850"/>
        <w:tab w:val="left" w:pos="1417"/>
      </w:tabs>
      <w:spacing w:before="120" w:after="120" w:line="240" w:lineRule="auto"/>
      <w:ind w:left="1984" w:hanging="1984"/>
      <w:jc w:val="both"/>
    </w:pPr>
    <w:rPr>
      <w:rFonts w:ascii="Times New Roman" w:hAnsi="Times New Roman" w:cs="Times New Roman"/>
      <w:sz w:val="24"/>
    </w:rPr>
  </w:style>
  <w:style w:type="paragraph" w:customStyle="1" w:styleId="PointTriple1">
    <w:name w:val="PointTriple 1"/>
    <w:basedOn w:val="Normal"/>
    <w:pPr>
      <w:tabs>
        <w:tab w:val="left" w:pos="1417"/>
        <w:tab w:val="left" w:pos="1984"/>
      </w:tabs>
      <w:spacing w:before="120" w:after="120" w:line="240" w:lineRule="auto"/>
      <w:ind w:left="2551" w:hanging="1701"/>
      <w:jc w:val="both"/>
    </w:pPr>
    <w:rPr>
      <w:rFonts w:ascii="Times New Roman" w:hAnsi="Times New Roman" w:cs="Times New Roman"/>
      <w:sz w:val="24"/>
    </w:rPr>
  </w:style>
  <w:style w:type="paragraph" w:customStyle="1" w:styleId="PointTriple2">
    <w:name w:val="PointTriple 2"/>
    <w:basedOn w:val="Normal"/>
    <w:pPr>
      <w:tabs>
        <w:tab w:val="left" w:pos="1984"/>
        <w:tab w:val="left" w:pos="2551"/>
      </w:tabs>
      <w:spacing w:before="120" w:after="120" w:line="240" w:lineRule="auto"/>
      <w:ind w:left="3118" w:hanging="1701"/>
      <w:jc w:val="both"/>
    </w:pPr>
    <w:rPr>
      <w:rFonts w:ascii="Times New Roman" w:hAnsi="Times New Roman" w:cs="Times New Roman"/>
      <w:sz w:val="24"/>
    </w:rPr>
  </w:style>
  <w:style w:type="paragraph" w:customStyle="1" w:styleId="PointTriple3">
    <w:name w:val="PointTriple 3"/>
    <w:basedOn w:val="Normal"/>
    <w:pPr>
      <w:tabs>
        <w:tab w:val="left" w:pos="2551"/>
        <w:tab w:val="left" w:pos="3118"/>
      </w:tabs>
      <w:spacing w:before="120" w:after="120" w:line="240" w:lineRule="auto"/>
      <w:ind w:left="3685" w:hanging="1701"/>
      <w:jc w:val="both"/>
    </w:pPr>
    <w:rPr>
      <w:rFonts w:ascii="Times New Roman" w:hAnsi="Times New Roman" w:cs="Times New Roman"/>
      <w:sz w:val="24"/>
    </w:rPr>
  </w:style>
  <w:style w:type="paragraph" w:customStyle="1" w:styleId="PointTriple4">
    <w:name w:val="PointTriple 4"/>
    <w:basedOn w:val="Normal"/>
    <w:pPr>
      <w:tabs>
        <w:tab w:val="left" w:pos="3118"/>
        <w:tab w:val="left" w:pos="3685"/>
      </w:tabs>
      <w:spacing w:before="120" w:after="120" w:line="240" w:lineRule="auto"/>
      <w:ind w:left="4252" w:hanging="1701"/>
      <w:jc w:val="both"/>
    </w:pPr>
    <w:rPr>
      <w:rFonts w:ascii="Times New Roman" w:hAnsi="Times New Roman" w:cs="Times New Roman"/>
      <w:sz w:val="24"/>
    </w:rPr>
  </w:style>
  <w:style w:type="paragraph" w:customStyle="1" w:styleId="NumPar1">
    <w:name w:val="NumPar 1"/>
    <w:basedOn w:val="Normal"/>
    <w:next w:val="Text1"/>
    <w:pPr>
      <w:numPr>
        <w:numId w:val="19"/>
      </w:numPr>
      <w:spacing w:before="120" w:after="120" w:line="240" w:lineRule="auto"/>
      <w:jc w:val="both"/>
    </w:pPr>
    <w:rPr>
      <w:rFonts w:ascii="Cambria Math" w:hAnsi="Cambria Math" w:cs="Cambria Math"/>
      <w:sz w:val="24"/>
    </w:rPr>
  </w:style>
  <w:style w:type="paragraph" w:customStyle="1" w:styleId="NumPar2">
    <w:name w:val="NumPar 2"/>
    <w:basedOn w:val="Normal"/>
    <w:next w:val="Text1"/>
    <w:rsid w:val="00584C72"/>
    <w:pPr>
      <w:keepNext/>
      <w:keepLines/>
      <w:numPr>
        <w:ilvl w:val="1"/>
        <w:numId w:val="19"/>
      </w:numPr>
      <w:spacing w:before="480" w:line="240" w:lineRule="auto"/>
      <w:jc w:val="both"/>
    </w:pPr>
    <w:rPr>
      <w:rFonts w:ascii="Times New Roman" w:hAnsi="Times New Roman" w:cs="Times New Roman"/>
      <w:sz w:val="24"/>
    </w:rPr>
  </w:style>
  <w:style w:type="paragraph" w:customStyle="1" w:styleId="NumPar3">
    <w:name w:val="NumPar 3"/>
    <w:basedOn w:val="Normal"/>
    <w:next w:val="Text1"/>
    <w:pPr>
      <w:numPr>
        <w:ilvl w:val="2"/>
        <w:numId w:val="19"/>
      </w:numPr>
      <w:spacing w:before="120" w:after="120" w:line="240" w:lineRule="auto"/>
      <w:jc w:val="both"/>
    </w:pPr>
    <w:rPr>
      <w:rFonts w:ascii="Times New Roman" w:hAnsi="Times New Roman" w:cs="Times New Roman"/>
      <w:sz w:val="24"/>
    </w:rPr>
  </w:style>
  <w:style w:type="paragraph" w:customStyle="1" w:styleId="NumPar4">
    <w:name w:val="NumPar 4"/>
    <w:basedOn w:val="Normal"/>
    <w:next w:val="Text1"/>
    <w:pPr>
      <w:numPr>
        <w:ilvl w:val="3"/>
        <w:numId w:val="19"/>
      </w:numPr>
      <w:spacing w:before="120" w:after="120" w:line="240" w:lineRule="auto"/>
      <w:jc w:val="both"/>
    </w:pPr>
    <w:rPr>
      <w:rFonts w:ascii="Times New Roman" w:hAnsi="Times New Roman" w:cs="Times New Roman"/>
      <w:sz w:val="24"/>
    </w:rPr>
  </w:style>
  <w:style w:type="paragraph" w:customStyle="1" w:styleId="ManualNumPar1">
    <w:name w:val="Manual NumPar 1"/>
    <w:basedOn w:val="Normal"/>
    <w:next w:val="Text1"/>
    <w:pPr>
      <w:spacing w:before="120" w:after="120" w:line="240" w:lineRule="auto"/>
      <w:ind w:left="850" w:hanging="850"/>
      <w:jc w:val="both"/>
    </w:pPr>
    <w:rPr>
      <w:rFonts w:ascii="Times New Roman" w:hAnsi="Times New Roman" w:cs="Times New Roman"/>
      <w:sz w:val="24"/>
    </w:rPr>
  </w:style>
  <w:style w:type="paragraph" w:customStyle="1" w:styleId="ManualNumPar2">
    <w:name w:val="Manual NumPar 2"/>
    <w:basedOn w:val="Normal"/>
    <w:next w:val="Text1"/>
    <w:pPr>
      <w:spacing w:before="120" w:after="120" w:line="240" w:lineRule="auto"/>
      <w:ind w:left="850" w:hanging="850"/>
      <w:jc w:val="both"/>
    </w:pPr>
    <w:rPr>
      <w:rFonts w:ascii="Times New Roman" w:hAnsi="Times New Roman" w:cs="Times New Roman"/>
      <w:sz w:val="24"/>
    </w:rPr>
  </w:style>
  <w:style w:type="paragraph" w:customStyle="1" w:styleId="ManualNumPar3">
    <w:name w:val="Manual NumPar 3"/>
    <w:basedOn w:val="Normal"/>
    <w:next w:val="Text1"/>
    <w:pPr>
      <w:spacing w:before="120" w:after="120" w:line="240" w:lineRule="auto"/>
      <w:ind w:left="850" w:hanging="850"/>
      <w:jc w:val="both"/>
    </w:pPr>
    <w:rPr>
      <w:rFonts w:ascii="Times New Roman" w:hAnsi="Times New Roman" w:cs="Times New Roman"/>
      <w:sz w:val="24"/>
    </w:rPr>
  </w:style>
  <w:style w:type="paragraph" w:customStyle="1" w:styleId="ManualNumPar4">
    <w:name w:val="Manual NumPar 4"/>
    <w:basedOn w:val="Normal"/>
    <w:next w:val="Text1"/>
    <w:pPr>
      <w:spacing w:before="120" w:after="120" w:line="240" w:lineRule="auto"/>
      <w:ind w:left="850" w:hanging="850"/>
      <w:jc w:val="both"/>
    </w:pPr>
    <w:rPr>
      <w:rFonts w:ascii="Times New Roman" w:hAnsi="Times New Roman" w:cs="Times New Roman"/>
      <w:sz w:val="24"/>
    </w:rPr>
  </w:style>
  <w:style w:type="paragraph" w:customStyle="1" w:styleId="QuotedNumPar">
    <w:name w:val="Quoted NumPar"/>
    <w:basedOn w:val="Normal"/>
    <w:pPr>
      <w:spacing w:before="120" w:after="120" w:line="240" w:lineRule="auto"/>
      <w:ind w:left="1417" w:hanging="567"/>
      <w:jc w:val="both"/>
    </w:pPr>
    <w:rPr>
      <w:rFonts w:ascii="Times New Roman" w:hAnsi="Times New Roman" w:cs="Times New Roman"/>
      <w:sz w:val="24"/>
    </w:rPr>
  </w:style>
  <w:style w:type="paragraph" w:customStyle="1" w:styleId="ManualHeading1">
    <w:name w:val="Manual Heading 1"/>
    <w:basedOn w:val="Normal"/>
    <w:next w:val="Text1"/>
    <w:pPr>
      <w:keepNext/>
      <w:tabs>
        <w:tab w:val="left" w:pos="850"/>
      </w:tabs>
      <w:spacing w:before="360" w:after="120" w:line="240" w:lineRule="auto"/>
      <w:ind w:left="850" w:hanging="850"/>
      <w:jc w:val="both"/>
      <w:outlineLvl w:val="0"/>
    </w:pPr>
    <w:rPr>
      <w:rFonts w:ascii="Times New Roman" w:hAnsi="Times New Roman" w:cs="Times New Roman"/>
      <w:b/>
      <w:smallCaps/>
      <w:sz w:val="24"/>
    </w:rPr>
  </w:style>
  <w:style w:type="paragraph" w:customStyle="1" w:styleId="ManualHeading2">
    <w:name w:val="Manual Heading 2"/>
    <w:basedOn w:val="Normal"/>
    <w:next w:val="Text1"/>
    <w:pPr>
      <w:keepNext/>
      <w:tabs>
        <w:tab w:val="left" w:pos="850"/>
      </w:tabs>
      <w:spacing w:before="120" w:after="120" w:line="240" w:lineRule="auto"/>
      <w:ind w:left="850" w:hanging="850"/>
      <w:jc w:val="both"/>
      <w:outlineLvl w:val="1"/>
    </w:pPr>
    <w:rPr>
      <w:rFonts w:ascii="Times New Roman" w:hAnsi="Times New Roman" w:cs="Times New Roman"/>
      <w:b/>
      <w:sz w:val="24"/>
    </w:rPr>
  </w:style>
  <w:style w:type="paragraph" w:customStyle="1" w:styleId="ManualHeading3">
    <w:name w:val="Manual Heading 3"/>
    <w:basedOn w:val="Normal"/>
    <w:next w:val="Text1"/>
    <w:pPr>
      <w:keepNext/>
      <w:tabs>
        <w:tab w:val="left" w:pos="850"/>
      </w:tabs>
      <w:spacing w:before="120" w:after="120" w:line="240" w:lineRule="auto"/>
      <w:ind w:left="850" w:hanging="850"/>
      <w:jc w:val="both"/>
      <w:outlineLvl w:val="2"/>
    </w:pPr>
    <w:rPr>
      <w:rFonts w:ascii="Times New Roman" w:hAnsi="Times New Roman" w:cs="Times New Roman"/>
      <w:i/>
      <w:sz w:val="24"/>
    </w:rPr>
  </w:style>
  <w:style w:type="paragraph" w:customStyle="1" w:styleId="ManualHeading4">
    <w:name w:val="Manual Heading 4"/>
    <w:basedOn w:val="Normal"/>
    <w:next w:val="Text1"/>
    <w:pPr>
      <w:keepNext/>
      <w:tabs>
        <w:tab w:val="left" w:pos="850"/>
      </w:tabs>
      <w:spacing w:before="120" w:after="120" w:line="240" w:lineRule="auto"/>
      <w:ind w:left="850" w:hanging="850"/>
      <w:jc w:val="both"/>
      <w:outlineLvl w:val="3"/>
    </w:pPr>
    <w:rPr>
      <w:rFonts w:ascii="Times New Roman" w:hAnsi="Times New Roman" w:cs="Times New Roman"/>
      <w:sz w:val="24"/>
    </w:rPr>
  </w:style>
  <w:style w:type="paragraph" w:customStyle="1" w:styleId="ChapterTitle">
    <w:name w:val="ChapterTitle"/>
    <w:basedOn w:val="Normal"/>
    <w:next w:val="Normal"/>
    <w:pPr>
      <w:keepNext/>
      <w:spacing w:before="120" w:after="360" w:line="240" w:lineRule="auto"/>
      <w:jc w:val="center"/>
    </w:pPr>
    <w:rPr>
      <w:rFonts w:ascii="Times New Roman" w:hAnsi="Times New Roman" w:cs="Times New Roman"/>
      <w:b/>
      <w:sz w:val="32"/>
    </w:rPr>
  </w:style>
  <w:style w:type="paragraph" w:customStyle="1" w:styleId="PartTitle">
    <w:name w:val="PartTitle"/>
    <w:basedOn w:val="Normal"/>
    <w:next w:val="ChapterTitle"/>
    <w:pPr>
      <w:keepNext/>
      <w:pageBreakBefore/>
      <w:spacing w:before="120" w:after="360" w:line="240" w:lineRule="auto"/>
      <w:jc w:val="center"/>
    </w:pPr>
    <w:rPr>
      <w:rFonts w:ascii="Times New Roman" w:hAnsi="Times New Roman" w:cs="Times New Roman"/>
      <w:b/>
      <w:sz w:val="36"/>
    </w:rPr>
  </w:style>
  <w:style w:type="paragraph" w:customStyle="1" w:styleId="SectionTitle">
    <w:name w:val="SectionTitle"/>
    <w:basedOn w:val="Normal"/>
    <w:next w:val="Heading1"/>
    <w:pPr>
      <w:keepNext/>
      <w:spacing w:before="120" w:after="360" w:line="240" w:lineRule="auto"/>
      <w:jc w:val="center"/>
    </w:pPr>
    <w:rPr>
      <w:rFonts w:ascii="Times New Roman" w:hAnsi="Times New Roman" w:cs="Times New Roman"/>
      <w:b/>
      <w:smallCaps/>
      <w:sz w:val="28"/>
    </w:rPr>
  </w:style>
  <w:style w:type="paragraph" w:customStyle="1" w:styleId="TableTitle">
    <w:name w:val="Table Title"/>
    <w:basedOn w:val="Normal"/>
    <w:next w:val="Normal"/>
    <w:pPr>
      <w:spacing w:before="120" w:after="120" w:line="240" w:lineRule="auto"/>
      <w:jc w:val="center"/>
    </w:pPr>
    <w:rPr>
      <w:rFonts w:ascii="Times New Roman" w:hAnsi="Times New Roman" w:cs="Times New Roman"/>
      <w:b/>
      <w:sz w:val="24"/>
    </w:rPr>
  </w:style>
  <w:style w:type="character" w:customStyle="1" w:styleId="Marker">
    <w:name w:val="Marker"/>
    <w:basedOn w:val="DefaultParagraphFont"/>
    <w:rsid w:val="00EC3C7F"/>
    <w:rPr>
      <w:color w:val="0000FF"/>
      <w:bdr w:val="none" w:sz="0" w:space="0" w:color="auto"/>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8"/>
      </w:numPr>
      <w:spacing w:before="120" w:after="120" w:line="240" w:lineRule="auto"/>
      <w:jc w:val="both"/>
    </w:pPr>
    <w:rPr>
      <w:rFonts w:ascii="Cambria Math" w:hAnsi="Cambria Math" w:cs="Cambria Math"/>
      <w:sz w:val="24"/>
    </w:rPr>
  </w:style>
  <w:style w:type="paragraph" w:customStyle="1" w:styleId="Point1number">
    <w:name w:val="Point 1 (number)"/>
    <w:basedOn w:val="Normal"/>
    <w:pPr>
      <w:numPr>
        <w:ilvl w:val="2"/>
        <w:numId w:val="8"/>
      </w:numPr>
      <w:spacing w:before="120" w:after="120" w:line="240" w:lineRule="auto"/>
      <w:jc w:val="both"/>
    </w:pPr>
    <w:rPr>
      <w:rFonts w:ascii="Times New Roman" w:hAnsi="Times New Roman" w:cs="Times New Roman"/>
      <w:sz w:val="24"/>
    </w:rPr>
  </w:style>
  <w:style w:type="paragraph" w:customStyle="1" w:styleId="Point2number">
    <w:name w:val="Point 2 (number)"/>
    <w:basedOn w:val="Normal"/>
    <w:pPr>
      <w:numPr>
        <w:ilvl w:val="4"/>
        <w:numId w:val="8"/>
      </w:numPr>
      <w:spacing w:before="120" w:after="120" w:line="240" w:lineRule="auto"/>
      <w:jc w:val="both"/>
    </w:pPr>
    <w:rPr>
      <w:rFonts w:ascii="Times New Roman" w:hAnsi="Times New Roman" w:cs="Times New Roman"/>
      <w:sz w:val="24"/>
    </w:rPr>
  </w:style>
  <w:style w:type="paragraph" w:customStyle="1" w:styleId="Point3number">
    <w:name w:val="Point 3 (number)"/>
    <w:basedOn w:val="Normal"/>
    <w:pPr>
      <w:numPr>
        <w:ilvl w:val="6"/>
        <w:numId w:val="8"/>
      </w:numPr>
      <w:spacing w:before="120" w:after="120" w:line="240" w:lineRule="auto"/>
      <w:jc w:val="both"/>
    </w:pPr>
    <w:rPr>
      <w:rFonts w:ascii="Times New Roman" w:hAnsi="Times New Roman" w:cs="Times New Roman"/>
      <w:sz w:val="24"/>
    </w:rPr>
  </w:style>
  <w:style w:type="paragraph" w:customStyle="1" w:styleId="Point0letter">
    <w:name w:val="Point 0 (letter)"/>
    <w:basedOn w:val="Normal"/>
    <w:pPr>
      <w:numPr>
        <w:ilvl w:val="1"/>
        <w:numId w:val="8"/>
      </w:numPr>
      <w:spacing w:before="120" w:after="120" w:line="240" w:lineRule="auto"/>
      <w:jc w:val="both"/>
    </w:pPr>
    <w:rPr>
      <w:rFonts w:ascii="Times New Roman" w:hAnsi="Times New Roman" w:cs="Times New Roman"/>
      <w:sz w:val="24"/>
    </w:rPr>
  </w:style>
  <w:style w:type="paragraph" w:customStyle="1" w:styleId="Point1letter">
    <w:name w:val="Point 1 (letter)"/>
    <w:basedOn w:val="Normal"/>
    <w:pPr>
      <w:numPr>
        <w:ilvl w:val="3"/>
        <w:numId w:val="8"/>
      </w:numPr>
      <w:spacing w:before="120" w:after="120" w:line="240" w:lineRule="auto"/>
      <w:jc w:val="both"/>
    </w:pPr>
    <w:rPr>
      <w:rFonts w:ascii="Times New Roman" w:hAnsi="Times New Roman" w:cs="Times New Roman"/>
      <w:sz w:val="24"/>
    </w:rPr>
  </w:style>
  <w:style w:type="paragraph" w:customStyle="1" w:styleId="Point2letter">
    <w:name w:val="Point 2 (letter)"/>
    <w:basedOn w:val="Normal"/>
    <w:pPr>
      <w:numPr>
        <w:ilvl w:val="5"/>
        <w:numId w:val="8"/>
      </w:numPr>
      <w:spacing w:before="120" w:after="120" w:line="240" w:lineRule="auto"/>
      <w:jc w:val="both"/>
    </w:pPr>
    <w:rPr>
      <w:rFonts w:ascii="Times New Roman" w:hAnsi="Times New Roman" w:cs="Times New Roman"/>
      <w:sz w:val="24"/>
    </w:rPr>
  </w:style>
  <w:style w:type="paragraph" w:customStyle="1" w:styleId="Point3letter">
    <w:name w:val="Point 3 (letter)"/>
    <w:basedOn w:val="Normal"/>
    <w:pPr>
      <w:numPr>
        <w:ilvl w:val="7"/>
        <w:numId w:val="8"/>
      </w:numPr>
      <w:spacing w:before="120" w:after="120" w:line="240" w:lineRule="auto"/>
      <w:jc w:val="both"/>
    </w:pPr>
    <w:rPr>
      <w:rFonts w:ascii="Times New Roman" w:hAnsi="Times New Roman" w:cs="Times New Roman"/>
      <w:sz w:val="24"/>
    </w:rPr>
  </w:style>
  <w:style w:type="paragraph" w:customStyle="1" w:styleId="Point4letter">
    <w:name w:val="Point 4 (letter)"/>
    <w:basedOn w:val="Normal"/>
    <w:pPr>
      <w:numPr>
        <w:ilvl w:val="8"/>
        <w:numId w:val="8"/>
      </w:numPr>
      <w:spacing w:before="120" w:after="120" w:line="240" w:lineRule="auto"/>
      <w:jc w:val="both"/>
    </w:pPr>
    <w:rPr>
      <w:rFonts w:ascii="Times New Roman" w:hAnsi="Times New Roman" w:cs="Times New Roman"/>
      <w:sz w:val="24"/>
    </w:rPr>
  </w:style>
  <w:style w:type="paragraph" w:customStyle="1" w:styleId="Bullet0">
    <w:name w:val="Bullet 0"/>
    <w:basedOn w:val="Normal"/>
    <w:pPr>
      <w:numPr>
        <w:numId w:val="9"/>
      </w:numPr>
      <w:spacing w:before="120" w:after="120" w:line="240" w:lineRule="auto"/>
      <w:jc w:val="both"/>
    </w:pPr>
    <w:rPr>
      <w:rFonts w:ascii="Cambria Math" w:hAnsi="Cambria Math" w:cs="Cambria Math"/>
      <w:sz w:val="24"/>
    </w:rPr>
  </w:style>
  <w:style w:type="paragraph" w:customStyle="1" w:styleId="Bullet1">
    <w:name w:val="Bullet 1"/>
    <w:basedOn w:val="Normal"/>
    <w:pPr>
      <w:numPr>
        <w:numId w:val="10"/>
      </w:numPr>
      <w:spacing w:before="120" w:after="120" w:line="240" w:lineRule="auto"/>
      <w:jc w:val="both"/>
    </w:pPr>
    <w:rPr>
      <w:rFonts w:ascii="Cambria Math" w:hAnsi="Cambria Math" w:cs="Cambria Math"/>
      <w:sz w:val="24"/>
    </w:rPr>
  </w:style>
  <w:style w:type="paragraph" w:customStyle="1" w:styleId="Bullet2">
    <w:name w:val="Bullet 2"/>
    <w:basedOn w:val="Normal"/>
    <w:pPr>
      <w:numPr>
        <w:numId w:val="11"/>
      </w:numPr>
      <w:spacing w:before="120" w:after="120" w:line="240" w:lineRule="auto"/>
      <w:jc w:val="both"/>
    </w:pPr>
    <w:rPr>
      <w:rFonts w:ascii="Cambria Math" w:hAnsi="Cambria Math" w:cs="Cambria Math"/>
      <w:sz w:val="24"/>
    </w:rPr>
  </w:style>
  <w:style w:type="paragraph" w:customStyle="1" w:styleId="Bullet3">
    <w:name w:val="Bullet 3"/>
    <w:basedOn w:val="Normal"/>
    <w:pPr>
      <w:numPr>
        <w:numId w:val="12"/>
      </w:numPr>
      <w:spacing w:before="120" w:after="120" w:line="240" w:lineRule="auto"/>
      <w:jc w:val="both"/>
    </w:pPr>
    <w:rPr>
      <w:rFonts w:ascii="Cambria Math" w:hAnsi="Cambria Math" w:cs="Cambria Math"/>
      <w:sz w:val="24"/>
    </w:rPr>
  </w:style>
  <w:style w:type="paragraph" w:customStyle="1" w:styleId="Bullet4">
    <w:name w:val="Bullet 4"/>
    <w:basedOn w:val="Normal"/>
    <w:pPr>
      <w:numPr>
        <w:numId w:val="13"/>
      </w:numPr>
      <w:spacing w:before="120" w:after="120" w:line="240" w:lineRule="auto"/>
      <w:jc w:val="both"/>
    </w:pPr>
    <w:rPr>
      <w:rFonts w:ascii="Cambria Math" w:hAnsi="Cambria Math" w:cs="Cambria Math"/>
      <w:sz w:val="24"/>
    </w:rPr>
  </w:style>
  <w:style w:type="paragraph" w:customStyle="1" w:styleId="Langue">
    <w:name w:val="Langue"/>
    <w:basedOn w:val="Normal"/>
    <w:next w:val="Rfrenceinterne"/>
    <w:pPr>
      <w:framePr w:wrap="around" w:vAnchor="page" w:hAnchor="text" w:xAlign="center" w:y="14741"/>
      <w:spacing w:after="600" w:line="240" w:lineRule="auto"/>
      <w:jc w:val="center"/>
    </w:pPr>
    <w:rPr>
      <w:rFonts w:ascii="Times New Roman" w:hAnsi="Times New Roman" w:cs="Times New Roman"/>
      <w:b/>
      <w:caps/>
      <w:sz w:val="24"/>
    </w:rPr>
  </w:style>
  <w:style w:type="paragraph" w:customStyle="1" w:styleId="Nomdelinstitution">
    <w:name w:val="Nom de l'institution"/>
    <w:basedOn w:val="Normal"/>
    <w:next w:val="Emission"/>
    <w:pPr>
      <w:spacing w:after="0" w:line="240" w:lineRule="auto"/>
    </w:pPr>
    <w:rPr>
      <w:rFonts w:ascii="Arial" w:hAnsi="Arial" w:cs="Arial"/>
      <w:sz w:val="24"/>
    </w:rPr>
  </w:style>
  <w:style w:type="paragraph" w:customStyle="1" w:styleId="Emission">
    <w:name w:val="Emission"/>
    <w:basedOn w:val="Normal"/>
    <w:next w:val="Rfrenceinstitutionnelle"/>
    <w:pPr>
      <w:spacing w:after="0" w:line="240" w:lineRule="auto"/>
      <w:ind w:left="5103"/>
    </w:pPr>
    <w:rPr>
      <w:rFonts w:ascii="Times New Roman" w:hAnsi="Times New Roman" w:cs="Times New Roman"/>
      <w:sz w:val="24"/>
    </w:rPr>
  </w:style>
  <w:style w:type="paragraph" w:customStyle="1" w:styleId="Rfrenceinstitutionnelle">
    <w:name w:val="Référence institutionnelle"/>
    <w:basedOn w:val="Normal"/>
    <w:next w:val="Confidentialit"/>
    <w:pPr>
      <w:spacing w:after="240" w:line="240" w:lineRule="auto"/>
      <w:ind w:left="5103"/>
    </w:pPr>
    <w:rPr>
      <w:rFonts w:ascii="Times New Roman" w:hAnsi="Times New Roman" w:cs="Times New Roman"/>
      <w:sz w:val="24"/>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C96FF0"/>
    <w:pPr>
      <w:spacing w:after="0"/>
      <w:ind w:left="5103"/>
    </w:pPr>
    <w:rPr>
      <w:rFonts w:ascii="Times New Roman" w:hAnsi="Times New Roman" w:cs="Times New Roman"/>
      <w:sz w:val="28"/>
      <w:szCs w:val="22"/>
    </w:rPr>
  </w:style>
  <w:style w:type="paragraph" w:customStyle="1" w:styleId="DateMarking">
    <w:name w:val="DateMarking"/>
    <w:basedOn w:val="Normal"/>
    <w:rsid w:val="00C96FF0"/>
    <w:pPr>
      <w:spacing w:after="0"/>
      <w:ind w:left="5103"/>
    </w:pPr>
    <w:rPr>
      <w:rFonts w:ascii="Times New Roman" w:hAnsi="Times New Roman" w:cs="Times New Roman"/>
      <w:i/>
      <w:sz w:val="28"/>
      <w:szCs w:val="22"/>
    </w:rPr>
  </w:style>
  <w:style w:type="paragraph" w:customStyle="1" w:styleId="ReleasableTo">
    <w:name w:val="ReleasableTo"/>
    <w:basedOn w:val="Normal"/>
    <w:rsid w:val="00C96FF0"/>
    <w:pPr>
      <w:spacing w:after="0"/>
      <w:ind w:left="5103"/>
    </w:pPr>
    <w:rPr>
      <w:rFonts w:ascii="Times New Roman" w:hAnsi="Times New Roman" w:cs="Times New Roman"/>
      <w:i/>
      <w:sz w:val="28"/>
      <w:szCs w:val="22"/>
    </w:rPr>
  </w:style>
  <w:style w:type="paragraph" w:customStyle="1" w:styleId="Annexetitreexpos">
    <w:name w:val="Annexe titre (exposé)"/>
    <w:basedOn w:val="Normal"/>
    <w:next w:val="Normal"/>
    <w:pPr>
      <w:spacing w:before="120" w:after="120" w:line="240" w:lineRule="auto"/>
      <w:jc w:val="center"/>
    </w:pPr>
    <w:rPr>
      <w:rFonts w:ascii="Times New Roman" w:hAnsi="Times New Roman" w:cs="Times New Roman"/>
      <w:b/>
      <w:sz w:val="24"/>
      <w:u w:val="single"/>
    </w:rPr>
  </w:style>
  <w:style w:type="paragraph" w:customStyle="1" w:styleId="Annexetitre">
    <w:name w:val="Annexe titre"/>
    <w:basedOn w:val="Normal"/>
    <w:next w:val="Normal"/>
    <w:pPr>
      <w:spacing w:before="120" w:after="120" w:line="240" w:lineRule="auto"/>
      <w:jc w:val="center"/>
    </w:pPr>
    <w:rPr>
      <w:rFonts w:ascii="Times New Roman" w:hAnsi="Times New Roman" w:cs="Times New Roman"/>
      <w:b/>
      <w:sz w:val="24"/>
      <w:u w:val="single"/>
    </w:rPr>
  </w:style>
  <w:style w:type="paragraph" w:customStyle="1" w:styleId="Annexetitrefichefinancire">
    <w:name w:val="Annexe titre (fiche financière)"/>
    <w:basedOn w:val="Normal"/>
    <w:next w:val="Normal"/>
    <w:pPr>
      <w:spacing w:before="120" w:after="120" w:line="240" w:lineRule="auto"/>
      <w:jc w:val="center"/>
    </w:pPr>
    <w:rPr>
      <w:rFonts w:ascii="Times New Roman" w:hAnsi="Times New Roman" w:cs="Times New Roman"/>
      <w:b/>
      <w:sz w:val="24"/>
      <w:u w:val="single"/>
    </w:rPr>
  </w:style>
  <w:style w:type="paragraph" w:customStyle="1" w:styleId="Applicationdirecte">
    <w:name w:val="Application directe"/>
    <w:basedOn w:val="Normal"/>
    <w:next w:val="Fait"/>
    <w:pPr>
      <w:spacing w:before="480" w:after="120" w:line="240" w:lineRule="auto"/>
      <w:jc w:val="both"/>
    </w:pPr>
    <w:rPr>
      <w:rFonts w:ascii="Times New Roman" w:hAnsi="Times New Roman" w:cs="Times New Roman"/>
      <w:sz w:val="24"/>
    </w:rPr>
  </w:style>
  <w:style w:type="paragraph" w:customStyle="1" w:styleId="Avertissementtitre">
    <w:name w:val="Avertissement titre"/>
    <w:basedOn w:val="Normal"/>
    <w:next w:val="Normal"/>
    <w:pPr>
      <w:keepNext/>
      <w:spacing w:before="480" w:after="120" w:line="240" w:lineRule="auto"/>
      <w:jc w:val="both"/>
    </w:pPr>
    <w:rPr>
      <w:rFonts w:ascii="Times New Roman" w:hAnsi="Times New Roman" w:cs="Times New Roman"/>
      <w:sz w:val="24"/>
      <w:u w:val="single"/>
    </w:rPr>
  </w:style>
  <w:style w:type="paragraph" w:customStyle="1" w:styleId="Confidence">
    <w:name w:val="Confidence"/>
    <w:basedOn w:val="Normal"/>
    <w:next w:val="Normal"/>
    <w:pPr>
      <w:spacing w:before="360" w:after="120" w:line="240" w:lineRule="auto"/>
      <w:jc w:val="center"/>
    </w:pPr>
    <w:rPr>
      <w:rFonts w:ascii="Times New Roman" w:hAnsi="Times New Roman" w:cs="Times New Roman"/>
      <w:sz w:val="24"/>
    </w:rPr>
  </w:style>
  <w:style w:type="paragraph" w:customStyle="1" w:styleId="Confidentialit">
    <w:name w:val="Confidentialité"/>
    <w:basedOn w:val="Normal"/>
    <w:next w:val="TypedudocumentPagedecouverture"/>
    <w:pPr>
      <w:spacing w:before="240" w:after="240" w:line="240" w:lineRule="auto"/>
      <w:ind w:left="5103"/>
    </w:pPr>
    <w:rPr>
      <w:rFonts w:ascii="Times New Roman" w:hAnsi="Times New Roman" w:cs="Times New Roman"/>
      <w:i/>
      <w:sz w:val="32"/>
    </w:rPr>
  </w:style>
  <w:style w:type="paragraph" w:customStyle="1" w:styleId="Considrant">
    <w:name w:val="Considérant"/>
    <w:basedOn w:val="Normal"/>
    <w:pPr>
      <w:numPr>
        <w:numId w:val="14"/>
      </w:numPr>
      <w:spacing w:before="120" w:after="120" w:line="240" w:lineRule="auto"/>
      <w:jc w:val="both"/>
    </w:pPr>
    <w:rPr>
      <w:rFonts w:ascii="Cambria Math" w:hAnsi="Cambria Math" w:cs="Cambria Math"/>
      <w:sz w:val="24"/>
    </w:rPr>
  </w:style>
  <w:style w:type="paragraph" w:customStyle="1" w:styleId="Corrigendum">
    <w:name w:val="Corrigendum"/>
    <w:basedOn w:val="Normal"/>
    <w:next w:val="Normal"/>
    <w:pPr>
      <w:spacing w:after="240" w:line="240" w:lineRule="auto"/>
    </w:pPr>
    <w:rPr>
      <w:rFonts w:ascii="Times New Roman" w:hAnsi="Times New Roman" w:cs="Times New Roman"/>
      <w:sz w:val="24"/>
    </w:rPr>
  </w:style>
  <w:style w:type="paragraph" w:customStyle="1" w:styleId="Datedadoption">
    <w:name w:val="Date d'adoption"/>
    <w:basedOn w:val="Normal"/>
    <w:next w:val="IntrtEEE"/>
    <w:pPr>
      <w:spacing w:before="360" w:after="0" w:line="240" w:lineRule="auto"/>
      <w:jc w:val="center"/>
    </w:pPr>
    <w:rPr>
      <w:rFonts w:ascii="Times New Roman" w:hAnsi="Times New Roman" w:cs="Times New Roman"/>
      <w:b/>
      <w:sz w:val="24"/>
    </w:rPr>
  </w:style>
  <w:style w:type="paragraph" w:customStyle="1" w:styleId="Exposdesmotifstitre">
    <w:name w:val="Exposé des motifs titre"/>
    <w:basedOn w:val="Normal"/>
    <w:next w:val="Normal"/>
    <w:pPr>
      <w:spacing w:before="120" w:after="120" w:line="240" w:lineRule="auto"/>
      <w:jc w:val="center"/>
    </w:pPr>
    <w:rPr>
      <w:rFonts w:ascii="Times New Roman" w:hAnsi="Times New Roman" w:cs="Times New Roman"/>
      <w:b/>
      <w:sz w:val="24"/>
      <w:u w:val="single"/>
    </w:rPr>
  </w:style>
  <w:style w:type="paragraph" w:customStyle="1" w:styleId="Fait">
    <w:name w:val="Fait à"/>
    <w:basedOn w:val="Normal"/>
    <w:next w:val="Institutionquisigne"/>
    <w:pPr>
      <w:keepNext/>
      <w:spacing w:before="120" w:after="0" w:line="240" w:lineRule="auto"/>
      <w:jc w:val="both"/>
    </w:pPr>
    <w:rPr>
      <w:rFonts w:ascii="Times New Roman" w:hAnsi="Times New Roman" w:cs="Times New Roman"/>
      <w:sz w:val="24"/>
    </w:rPr>
  </w:style>
  <w:style w:type="paragraph" w:customStyle="1" w:styleId="Formuledadoption">
    <w:name w:val="Formule d'adoption"/>
    <w:basedOn w:val="Normal"/>
    <w:next w:val="Titrearticle"/>
    <w:pPr>
      <w:keepNext/>
      <w:spacing w:before="120" w:after="120" w:line="240" w:lineRule="auto"/>
      <w:jc w:val="both"/>
    </w:pPr>
    <w:rPr>
      <w:rFonts w:ascii="Times New Roman" w:hAnsi="Times New Roman" w:cs="Times New Roman"/>
      <w:sz w:val="24"/>
    </w:rPr>
  </w:style>
  <w:style w:type="paragraph" w:customStyle="1" w:styleId="Institutionquiagit">
    <w:name w:val="Institution qui agit"/>
    <w:basedOn w:val="Normal"/>
    <w:next w:val="Normal"/>
    <w:pPr>
      <w:keepNext/>
      <w:spacing w:before="600" w:after="120" w:line="240" w:lineRule="auto"/>
      <w:jc w:val="both"/>
    </w:pPr>
    <w:rPr>
      <w:rFonts w:ascii="Times New Roman" w:hAnsi="Times New Roman" w:cs="Times New Roman"/>
      <w:sz w:val="24"/>
    </w:rPr>
  </w:style>
  <w:style w:type="paragraph" w:customStyle="1" w:styleId="Institutionquisigne">
    <w:name w:val="Institution qui signe"/>
    <w:basedOn w:val="Normal"/>
    <w:next w:val="Personnequisigne"/>
    <w:pPr>
      <w:keepNext/>
      <w:tabs>
        <w:tab w:val="left" w:pos="4252"/>
      </w:tabs>
      <w:spacing w:before="720" w:after="0" w:line="240" w:lineRule="auto"/>
      <w:jc w:val="both"/>
    </w:pPr>
    <w:rPr>
      <w:rFonts w:ascii="Times New Roman" w:hAnsi="Times New Roman" w:cs="Times New Roman"/>
      <w:i/>
      <w:sz w:val="24"/>
    </w:rPr>
  </w:style>
  <w:style w:type="paragraph" w:customStyle="1" w:styleId="ManualConsidrant">
    <w:name w:val="Manual Considérant"/>
    <w:basedOn w:val="Normal"/>
    <w:pPr>
      <w:spacing w:before="120" w:after="120" w:line="240" w:lineRule="auto"/>
      <w:ind w:left="709" w:hanging="709"/>
      <w:jc w:val="both"/>
    </w:pPr>
    <w:rPr>
      <w:rFonts w:ascii="Times New Roman" w:hAnsi="Times New Roman" w:cs="Times New Roman"/>
      <w:sz w:val="24"/>
    </w:rPr>
  </w:style>
  <w:style w:type="paragraph" w:customStyle="1" w:styleId="Personnequisigne">
    <w:name w:val="Personne qui signe"/>
    <w:basedOn w:val="Normal"/>
    <w:next w:val="Institutionquisigne"/>
    <w:pPr>
      <w:tabs>
        <w:tab w:val="left" w:pos="4252"/>
      </w:tabs>
      <w:spacing w:after="0" w:line="240" w:lineRule="auto"/>
    </w:pPr>
    <w:rPr>
      <w:rFonts w:ascii="Times New Roman" w:hAnsi="Times New Roman" w:cs="Times New Roman"/>
      <w:i/>
      <w:sz w:val="24"/>
    </w:rPr>
  </w:style>
  <w:style w:type="paragraph" w:customStyle="1" w:styleId="Rfrenceinterinstitutionnelle">
    <w:name w:val="Référence interinstitutionnelle"/>
    <w:basedOn w:val="Normal"/>
    <w:next w:val="Statut"/>
    <w:pPr>
      <w:spacing w:after="0" w:line="240" w:lineRule="auto"/>
      <w:ind w:left="5103"/>
    </w:pPr>
    <w:rPr>
      <w:rFonts w:ascii="Times New Roman" w:hAnsi="Times New Roman" w:cs="Times New Roman"/>
      <w:sz w:val="24"/>
    </w:rPr>
  </w:style>
  <w:style w:type="paragraph" w:customStyle="1" w:styleId="Rfrenceinterne">
    <w:name w:val="Référence interne"/>
    <w:basedOn w:val="Normal"/>
    <w:next w:val="Rfrenceinterinstitutionnelle"/>
    <w:pPr>
      <w:spacing w:after="0" w:line="240" w:lineRule="auto"/>
      <w:ind w:left="5103"/>
    </w:pPr>
    <w:rPr>
      <w:rFonts w:ascii="Times New Roman" w:hAnsi="Times New Roman" w:cs="Times New Roman"/>
      <w:sz w:val="24"/>
    </w:rPr>
  </w:style>
  <w:style w:type="paragraph" w:customStyle="1" w:styleId="Statut">
    <w:name w:val="Statut"/>
    <w:basedOn w:val="Normal"/>
    <w:next w:val="Typedudocument"/>
    <w:pPr>
      <w:spacing w:after="240" w:line="240" w:lineRule="auto"/>
      <w:jc w:val="center"/>
    </w:pPr>
    <w:rPr>
      <w:rFonts w:ascii="Times New Roman" w:hAnsi="Times New Roman" w:cs="Times New Roman"/>
      <w:sz w:val="24"/>
    </w:rPr>
  </w:style>
  <w:style w:type="paragraph" w:customStyle="1" w:styleId="Titrearticle">
    <w:name w:val="Titre article"/>
    <w:basedOn w:val="Normal"/>
    <w:next w:val="Normal"/>
    <w:pPr>
      <w:keepNext/>
      <w:spacing w:before="360" w:after="120" w:line="240" w:lineRule="auto"/>
      <w:jc w:val="center"/>
    </w:pPr>
    <w:rPr>
      <w:rFonts w:ascii="Times New Roman" w:hAnsi="Times New Roman" w:cs="Times New Roman"/>
      <w:i/>
      <w:sz w:val="24"/>
    </w:rPr>
  </w:style>
  <w:style w:type="paragraph" w:customStyle="1" w:styleId="Typedudocument">
    <w:name w:val="Type du document"/>
    <w:basedOn w:val="Normal"/>
    <w:next w:val="Accompagnant"/>
    <w:pPr>
      <w:spacing w:before="360" w:after="180" w:line="240" w:lineRule="auto"/>
      <w:jc w:val="center"/>
    </w:pPr>
    <w:rPr>
      <w:rFonts w:ascii="Times New Roman" w:hAnsi="Times New Roman" w:cs="Times New Roman"/>
      <w:b/>
      <w:sz w:val="24"/>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before="120" w:after="120" w:line="360" w:lineRule="auto"/>
      <w:ind w:left="3402"/>
    </w:pPr>
    <w:rPr>
      <w:rFonts w:ascii="Times New Roman" w:hAnsi="Times New Roman" w:cs="Times New Roman"/>
      <w:sz w:val="24"/>
    </w:rPr>
  </w:style>
  <w:style w:type="paragraph" w:customStyle="1" w:styleId="Objetexterne">
    <w:name w:val="Objet externe"/>
    <w:basedOn w:val="Normal"/>
    <w:next w:val="Normal"/>
    <w:pPr>
      <w:spacing w:before="120" w:after="120" w:line="240" w:lineRule="auto"/>
      <w:jc w:val="both"/>
    </w:pPr>
    <w:rPr>
      <w:rFonts w:ascii="Times New Roman" w:hAnsi="Times New Roman" w:cs="Times New Roman"/>
      <w:i/>
      <w:caps/>
      <w:sz w:val="24"/>
    </w:rPr>
  </w:style>
  <w:style w:type="paragraph" w:customStyle="1" w:styleId="Supertitre">
    <w:name w:val="Supertitre"/>
    <w:basedOn w:val="Normal"/>
    <w:next w:val="Normal"/>
    <w:pPr>
      <w:spacing w:after="600" w:line="240" w:lineRule="auto"/>
      <w:jc w:val="center"/>
    </w:pPr>
    <w:rPr>
      <w:rFonts w:ascii="Times New Roman" w:hAnsi="Times New Roman" w:cs="Times New Roman"/>
      <w:b/>
      <w:sz w:val="24"/>
    </w:rPr>
  </w:style>
  <w:style w:type="paragraph" w:customStyle="1" w:styleId="Languesfaisantfoi">
    <w:name w:val="Langues faisant foi"/>
    <w:basedOn w:val="Normal"/>
    <w:next w:val="Normal"/>
    <w:rsid w:val="00BC463F"/>
    <w:pPr>
      <w:spacing w:before="360" w:after="240" w:line="240" w:lineRule="auto"/>
      <w:jc w:val="center"/>
    </w:pPr>
    <w:rPr>
      <w:rFonts w:ascii="Times New Roman" w:hAnsi="Times New Roman" w:cs="Times New Roman"/>
      <w:sz w:val="24"/>
      <w:szCs w:val="22"/>
    </w:rPr>
  </w:style>
  <w:style w:type="paragraph" w:customStyle="1" w:styleId="Rfrencecroise">
    <w:name w:val="Référence croisée"/>
    <w:basedOn w:val="Normal"/>
    <w:pPr>
      <w:spacing w:after="0" w:line="240" w:lineRule="auto"/>
      <w:jc w:val="center"/>
    </w:pPr>
    <w:rPr>
      <w:rFonts w:ascii="Times New Roman" w:hAnsi="Times New Roman" w:cs="Times New Roman"/>
      <w:sz w:val="24"/>
    </w:rPr>
  </w:style>
  <w:style w:type="paragraph" w:customStyle="1" w:styleId="Fichefinanciretitre">
    <w:name w:val="Fiche financière titre"/>
    <w:basedOn w:val="Normal"/>
    <w:next w:val="Normal"/>
    <w:pPr>
      <w:spacing w:before="120" w:after="120" w:line="240" w:lineRule="auto"/>
      <w:jc w:val="center"/>
    </w:pPr>
    <w:rPr>
      <w:rFonts w:ascii="Times New Roman" w:hAnsi="Times New Roman" w:cs="Times New Roman"/>
      <w:b/>
      <w:sz w:val="24"/>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after="240" w:line="240" w:lineRule="auto"/>
      <w:ind w:left="5103"/>
    </w:pPr>
    <w:rPr>
      <w:rFonts w:ascii="Times New Roman" w:hAnsi="Times New Roman" w:cs="Times New Roman"/>
      <w:sz w:val="24"/>
    </w:rPr>
  </w:style>
  <w:style w:type="paragraph" w:customStyle="1" w:styleId="IntrtEEE">
    <w:name w:val="Intérêt EEE"/>
    <w:basedOn w:val="Languesfaisantfoi"/>
    <w:next w:val="Normal"/>
    <w:rsid w:val="00BC463F"/>
    <w:pPr>
      <w:spacing w:after="0"/>
    </w:pPr>
  </w:style>
  <w:style w:type="paragraph" w:customStyle="1" w:styleId="Accompagnant">
    <w:name w:val="Accompagnant"/>
    <w:basedOn w:val="Normal"/>
    <w:next w:val="Typeacteprincipal"/>
    <w:pPr>
      <w:spacing w:before="180" w:after="240" w:line="240" w:lineRule="auto"/>
      <w:jc w:val="center"/>
    </w:pPr>
    <w:rPr>
      <w:rFonts w:ascii="Times New Roman" w:hAnsi="Times New Roman" w:cs="Times New Roman"/>
      <w:b/>
      <w:sz w:val="24"/>
    </w:rPr>
  </w:style>
  <w:style w:type="paragraph" w:customStyle="1" w:styleId="Typeacteprincipal">
    <w:name w:val="Type acte principal"/>
    <w:basedOn w:val="Normal"/>
    <w:next w:val="Objetacteprincipal"/>
    <w:pPr>
      <w:spacing w:after="240" w:line="240" w:lineRule="auto"/>
      <w:jc w:val="center"/>
    </w:pPr>
    <w:rPr>
      <w:rFonts w:ascii="Times New Roman" w:hAnsi="Times New Roman" w:cs="Times New Roman"/>
      <w:b/>
      <w:sz w:val="24"/>
    </w:rPr>
  </w:style>
  <w:style w:type="paragraph" w:customStyle="1" w:styleId="Objetacteprincipal">
    <w:name w:val="Objet acte principal"/>
    <w:basedOn w:val="Normal"/>
    <w:next w:val="Titrearticle"/>
    <w:pPr>
      <w:spacing w:after="360" w:line="240" w:lineRule="auto"/>
      <w:jc w:val="center"/>
    </w:pPr>
    <w:rPr>
      <w:rFonts w:ascii="Times New Roman" w:hAnsi="Times New Roman" w:cs="Times New Roman"/>
      <w:b/>
      <w:sz w:val="24"/>
    </w:rPr>
  </w:style>
  <w:style w:type="paragraph" w:customStyle="1" w:styleId="IntrtEEEPagedecouverture">
    <w:name w:val="Intérêt EEE (Page de couverture)"/>
    <w:basedOn w:val="IntrtEEE"/>
    <w:next w:val="Normal"/>
    <w:rsid w:val="00BC463F"/>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BC463F"/>
    <w:pPr>
      <w:spacing w:before="360" w:after="240" w:line="240" w:lineRule="auto"/>
      <w:jc w:val="center"/>
    </w:pPr>
    <w:rPr>
      <w:rFonts w:ascii="Times New Roman" w:hAnsi="Times New Roman" w:cs="Times New Roman"/>
      <w:sz w:val="24"/>
      <w:szCs w:val="22"/>
    </w:rPr>
  </w:style>
  <w:style w:type="character" w:styleId="CommentReference">
    <w:name w:val="annotation reference"/>
    <w:basedOn w:val="DefaultParagraphFont"/>
    <w:uiPriority w:val="99"/>
    <w:unhideWhenUsed/>
    <w:rPr>
      <w:sz w:val="16"/>
    </w:rPr>
  </w:style>
  <w:style w:type="paragraph" w:styleId="CommentText">
    <w:name w:val="annotation text"/>
    <w:basedOn w:val="Normal"/>
    <w:link w:val="CommentTextChar"/>
    <w:uiPriority w:val="99"/>
    <w:unhideWhenUsed/>
    <w:pPr>
      <w:spacing w:before="120" w:after="120" w:line="240" w:lineRule="auto"/>
      <w:jc w:val="both"/>
    </w:pPr>
    <w:rPr>
      <w:rFonts w:ascii="Times New Roman" w:hAnsi="Times New Roman" w:cs="Times New Roman"/>
      <w:sz w:val="20"/>
    </w:rPr>
  </w:style>
  <w:style w:type="character" w:customStyle="1" w:styleId="CommentTextChar">
    <w:name w:val="Comment Text Char"/>
    <w:basedOn w:val="DefaultParagraphFont"/>
    <w:link w:val="CommentText"/>
    <w:uiPriority w:val="99"/>
    <w:rPr>
      <w:rFonts w:ascii="Times New Roman" w:hAnsi="Times New Roman" w:cs="Times New Roman"/>
      <w:sz w:val="20"/>
    </w:r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
    <w:basedOn w:val="Normal"/>
    <w:link w:val="ListParagraphChar"/>
    <w:uiPriority w:val="34"/>
    <w:qFormat/>
    <w:pPr>
      <w:spacing w:after="160" w:line="259" w:lineRule="auto"/>
      <w:ind w:left="720"/>
      <w:contextualSpacing/>
    </w:p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basedOn w:val="DefaultParagraphFont"/>
    <w:link w:val="ListParagraph"/>
    <w:uiPriority w:val="34"/>
    <w:qFormat/>
    <w:locked/>
  </w:style>
  <w:style w:type="character" w:styleId="IntenseEmphasis">
    <w:name w:val="Intense Emphasis"/>
    <w:basedOn w:val="DefaultParagraphFont"/>
    <w:uiPriority w:val="21"/>
    <w:qFormat/>
    <w:rPr>
      <w:i/>
      <w:color w:val="4F81BD" w:themeColor="accent1"/>
    </w:rPr>
  </w:style>
  <w:style w:type="paragraph" w:styleId="BalloonText">
    <w:name w:val="Balloon Text"/>
    <w:basedOn w:val="Normal"/>
    <w:link w:val="BalloonTextChar"/>
    <w:uiPriority w:val="99"/>
    <w:semiHidden/>
    <w:unhideWhenUsed/>
    <w:pPr>
      <w:spacing w:after="0" w:line="240" w:lineRule="auto"/>
      <w:jc w:val="both"/>
    </w:pPr>
    <w:rPr>
      <w:rFonts w:ascii="Segoe UI" w:hAnsi="Segoe UI" w:cs="Segoe UI"/>
      <w:sz w:val="18"/>
    </w:rPr>
  </w:style>
  <w:style w:type="character" w:customStyle="1" w:styleId="BalloonTextChar">
    <w:name w:val="Balloon Text Char"/>
    <w:basedOn w:val="DefaultParagraphFont"/>
    <w:link w:val="BalloonText"/>
    <w:uiPriority w:val="99"/>
    <w:semiHidden/>
    <w:rPr>
      <w:rFonts w:ascii="Segoe UI" w:hAnsi="Segoe UI" w:cs="Segoe UI"/>
      <w:sz w:val="18"/>
    </w:rPr>
  </w:style>
  <w:style w:type="paragraph" w:styleId="ListBullet">
    <w:name w:val="List Bullet"/>
    <w:basedOn w:val="Normal"/>
    <w:uiPriority w:val="99"/>
    <w:semiHidden/>
    <w:unhideWhenUsed/>
    <w:pPr>
      <w:numPr>
        <w:numId w:val="15"/>
      </w:numPr>
      <w:spacing w:before="120" w:after="120" w:line="240" w:lineRule="auto"/>
      <w:contextualSpacing/>
      <w:jc w:val="both"/>
    </w:pPr>
    <w:rPr>
      <w:rFonts w:ascii="Cambria Math" w:hAnsi="Cambria Math" w:cs="Cambria Math"/>
      <w:sz w:val="24"/>
    </w:rPr>
  </w:style>
  <w:style w:type="paragraph" w:styleId="ListBullet2">
    <w:name w:val="List Bullet 2"/>
    <w:basedOn w:val="Normal"/>
    <w:uiPriority w:val="99"/>
    <w:semiHidden/>
    <w:unhideWhenUsed/>
    <w:pPr>
      <w:numPr>
        <w:numId w:val="16"/>
      </w:numPr>
      <w:spacing w:before="120" w:after="120" w:line="240" w:lineRule="auto"/>
      <w:contextualSpacing/>
      <w:jc w:val="both"/>
    </w:pPr>
    <w:rPr>
      <w:rFonts w:ascii="Cambria Math" w:hAnsi="Cambria Math" w:cs="Cambria Math"/>
      <w:sz w:val="24"/>
    </w:rPr>
  </w:style>
  <w:style w:type="paragraph" w:styleId="ListBullet3">
    <w:name w:val="List Bullet 3"/>
    <w:basedOn w:val="Normal"/>
    <w:uiPriority w:val="99"/>
    <w:semiHidden/>
    <w:unhideWhenUsed/>
    <w:pPr>
      <w:numPr>
        <w:numId w:val="17"/>
      </w:numPr>
      <w:spacing w:before="120" w:after="120" w:line="240" w:lineRule="auto"/>
      <w:contextualSpacing/>
      <w:jc w:val="both"/>
    </w:pPr>
    <w:rPr>
      <w:rFonts w:ascii="Cambria Math" w:hAnsi="Cambria Math" w:cs="Cambria Math"/>
      <w:sz w:val="24"/>
    </w:rPr>
  </w:style>
  <w:style w:type="paragraph" w:styleId="ListBullet4">
    <w:name w:val="List Bullet 4"/>
    <w:basedOn w:val="Normal"/>
    <w:uiPriority w:val="99"/>
    <w:semiHidden/>
    <w:unhideWhenUsed/>
    <w:pPr>
      <w:numPr>
        <w:numId w:val="18"/>
      </w:numPr>
      <w:spacing w:before="120" w:after="120" w:line="240" w:lineRule="auto"/>
      <w:contextualSpacing/>
      <w:jc w:val="both"/>
    </w:pPr>
    <w:rPr>
      <w:rFonts w:ascii="Cambria Math" w:hAnsi="Cambria Math" w:cs="Cambria Math"/>
      <w:sz w:val="24"/>
    </w:rPr>
  </w:style>
  <w:style w:type="paragraph" w:styleId="CommentSubject">
    <w:name w:val="annotation subject"/>
    <w:basedOn w:val="CommentText"/>
    <w:next w:val="CommentText"/>
    <w:link w:val="CommentSubjectChar"/>
    <w:uiPriority w:val="99"/>
    <w:semiHidden/>
    <w:unhideWhenUsed/>
    <w:rPr>
      <w:b/>
    </w:rPr>
  </w:style>
  <w:style w:type="character" w:customStyle="1" w:styleId="CommentSubjectChar">
    <w:name w:val="Comment Subject Char"/>
    <w:basedOn w:val="CommentTextChar"/>
    <w:link w:val="CommentSubject"/>
    <w:uiPriority w:val="99"/>
    <w:semiHidden/>
    <w:rPr>
      <w:rFonts w:ascii="Times New Roman" w:hAnsi="Times New Roman" w:cs="Times New Roman"/>
      <w:b/>
      <w:sz w:val="20"/>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paragraph">
    <w:name w:val="paragraph"/>
    <w:basedOn w:val="Normal"/>
    <w:pPr>
      <w:spacing w:before="100" w:beforeAutospacing="1" w:after="100" w:afterAutospacing="1" w:line="240" w:lineRule="auto"/>
    </w:pPr>
    <w:rPr>
      <w:rFonts w:ascii="Times New Roman" w:eastAsia="Times New Roman" w:hAnsi="Times New Roman" w:cs="Times New Roman"/>
      <w:sz w:val="24"/>
    </w:rPr>
  </w:style>
  <w:style w:type="character" w:customStyle="1" w:styleId="normaltextrun">
    <w:name w:val="normaltextrun"/>
    <w:basedOn w:val="DefaultParagraphFont"/>
  </w:style>
  <w:style w:type="character" w:customStyle="1" w:styleId="eop">
    <w:name w:val="eop"/>
    <w:basedOn w:val="DefaultParagraphFont"/>
  </w:style>
  <w:style w:type="table" w:styleId="TableGrid">
    <w:name w:val="Table Grid"/>
    <w:basedOn w:val="TableNormal"/>
    <w:uiPriority w:val="59"/>
    <w:pPr>
      <w:spacing w:after="0" w:line="240" w:lineRule="auto"/>
    </w:pPr>
    <w:tblPr/>
  </w:style>
  <w:style w:type="character" w:customStyle="1" w:styleId="Mention1000">
    <w:name w:val="Mention1000"/>
    <w:basedOn w:val="DefaultParagraphFont"/>
    <w:uiPriority w:val="99"/>
    <w:unhideWhenUsed/>
    <w:rPr>
      <w:color w:val="2B579A"/>
      <w:shd w:val="clear" w:color="auto" w:fill="E6E6E6"/>
    </w:rPr>
  </w:style>
  <w:style w:type="character" w:styleId="Emphasis">
    <w:name w:val="Emphasis"/>
    <w:basedOn w:val="DefaultParagraphFont"/>
    <w:uiPriority w:val="20"/>
    <w:qFormat/>
    <w:rPr>
      <w:i/>
    </w:rPr>
  </w:style>
  <w:style w:type="character" w:styleId="Hyperlink">
    <w:name w:val="Hyperlink"/>
    <w:basedOn w:val="DefaultParagraphFont"/>
    <w:uiPriority w:val="99"/>
    <w:unhideWhenUsed/>
    <w:rPr>
      <w:color w:val="0000FF" w:themeColor="hyperlink"/>
      <w:u w:val="single"/>
    </w:rPr>
  </w:style>
  <w:style w:type="character" w:customStyle="1" w:styleId="phrase">
    <w:name w:val="phrase"/>
    <w:basedOn w:val="DefaultParagraphFont"/>
  </w:style>
  <w:style w:type="character" w:customStyle="1" w:styleId="word">
    <w:name w:val="word"/>
    <w:basedOn w:val="DefaultParagraphFont"/>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Caption">
    <w:name w:val="caption"/>
    <w:basedOn w:val="Normal"/>
    <w:next w:val="Normal"/>
    <w:uiPriority w:val="35"/>
    <w:semiHidden/>
    <w:unhideWhenUsed/>
    <w:qFormat/>
    <w:pPr>
      <w:spacing w:line="240" w:lineRule="auto"/>
      <w:jc w:val="both"/>
    </w:pPr>
    <w:rPr>
      <w:rFonts w:ascii="Times New Roman" w:hAnsi="Times New Roman" w:cs="Times New Roman"/>
      <w:i/>
      <w:color w:val="1F497D" w:themeColor="text2"/>
      <w:sz w:val="18"/>
    </w:rPr>
  </w:style>
  <w:style w:type="paragraph" w:styleId="TableofFigures">
    <w:name w:val="table of figures"/>
    <w:basedOn w:val="Normal"/>
    <w:next w:val="Normal"/>
    <w:uiPriority w:val="99"/>
    <w:semiHidden/>
    <w:unhideWhenUsed/>
    <w:pPr>
      <w:spacing w:before="120" w:after="0" w:line="240" w:lineRule="auto"/>
      <w:jc w:val="both"/>
    </w:pPr>
    <w:rPr>
      <w:rFonts w:ascii="Times New Roman" w:hAnsi="Times New Roman" w:cs="Times New Roman"/>
      <w:sz w:val="24"/>
    </w:rPr>
  </w:style>
  <w:style w:type="paragraph" w:styleId="ListNumber">
    <w:name w:val="List Number"/>
    <w:basedOn w:val="Normal"/>
    <w:uiPriority w:val="99"/>
    <w:unhideWhenUsed/>
    <w:pPr>
      <w:numPr>
        <w:numId w:val="20"/>
      </w:numPr>
      <w:spacing w:before="120" w:after="120" w:line="240" w:lineRule="auto"/>
      <w:contextualSpacing/>
      <w:jc w:val="both"/>
    </w:pPr>
    <w:rPr>
      <w:rFonts w:ascii="Cambria Math" w:hAnsi="Cambria Math" w:cs="Cambria Math"/>
      <w:sz w:val="24"/>
    </w:rPr>
  </w:style>
  <w:style w:type="paragraph" w:styleId="ListNumber2">
    <w:name w:val="List Number 2"/>
    <w:basedOn w:val="Normal"/>
    <w:uiPriority w:val="99"/>
    <w:semiHidden/>
    <w:unhideWhenUsed/>
    <w:pPr>
      <w:numPr>
        <w:numId w:val="21"/>
      </w:numPr>
      <w:spacing w:before="120" w:after="120" w:line="240" w:lineRule="auto"/>
      <w:contextualSpacing/>
      <w:jc w:val="both"/>
    </w:pPr>
    <w:rPr>
      <w:rFonts w:ascii="Cambria Math" w:hAnsi="Cambria Math" w:cs="Cambria Math"/>
      <w:sz w:val="24"/>
    </w:rPr>
  </w:style>
  <w:style w:type="paragraph" w:styleId="ListNumber3">
    <w:name w:val="List Number 3"/>
    <w:basedOn w:val="Normal"/>
    <w:uiPriority w:val="99"/>
    <w:semiHidden/>
    <w:unhideWhenUsed/>
    <w:pPr>
      <w:numPr>
        <w:numId w:val="22"/>
      </w:numPr>
      <w:spacing w:before="120" w:after="120" w:line="240" w:lineRule="auto"/>
      <w:contextualSpacing/>
      <w:jc w:val="both"/>
    </w:pPr>
    <w:rPr>
      <w:rFonts w:ascii="Cambria Math" w:hAnsi="Cambria Math" w:cs="Cambria Math"/>
      <w:sz w:val="24"/>
    </w:rPr>
  </w:style>
  <w:style w:type="paragraph" w:styleId="ListNumber4">
    <w:name w:val="List Number 4"/>
    <w:basedOn w:val="Normal"/>
    <w:uiPriority w:val="99"/>
    <w:semiHidden/>
    <w:unhideWhenUsed/>
    <w:pPr>
      <w:numPr>
        <w:numId w:val="23"/>
      </w:numPr>
      <w:spacing w:before="120" w:after="120" w:line="240" w:lineRule="auto"/>
      <w:contextualSpacing/>
      <w:jc w:val="both"/>
    </w:pPr>
    <w:rPr>
      <w:rFonts w:ascii="Cambria Math" w:hAnsi="Cambria Math" w:cs="Cambria Math"/>
      <w:sz w:val="24"/>
    </w:rPr>
  </w:style>
  <w:style w:type="character" w:customStyle="1" w:styleId="findhit">
    <w:name w:val="findhit"/>
    <w:basedOn w:val="DefaultParagraphFont"/>
  </w:style>
  <w:style w:type="character" w:customStyle="1" w:styleId="Mention1">
    <w:name w:val="Mention1"/>
    <w:basedOn w:val="DefaultParagraphFont"/>
    <w:uiPriority w:val="99"/>
    <w:unhideWhenUsed/>
    <w:rPr>
      <w:color w:val="2B579A"/>
      <w:shd w:val="clear" w:color="auto" w:fill="E6E6E6"/>
    </w:rPr>
  </w:style>
  <w:style w:type="paragraph" w:styleId="HTMLPreformatted">
    <w:name w:val="HTML Preformatted"/>
    <w:basedOn w:val="Normal"/>
    <w:link w:val="HTMLPreformattedChar"/>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rPr>
  </w:style>
  <w:style w:type="character" w:customStyle="1" w:styleId="y2iqfc">
    <w:name w:val="y2iqfc"/>
    <w:basedOn w:val="DefaultParagraphFont"/>
  </w:style>
  <w:style w:type="character" w:styleId="Strong">
    <w:name w:val="Strong"/>
    <w:basedOn w:val="DefaultParagraphFont"/>
    <w:uiPriority w:val="22"/>
    <w:qFormat/>
    <w:rPr>
      <w:b/>
    </w:rPr>
  </w:style>
  <w:style w:type="paragraph" w:customStyle="1" w:styleId="Default">
    <w:name w:val="Default"/>
    <w:pPr>
      <w:autoSpaceDE w:val="0"/>
      <w:autoSpaceDN w:val="0"/>
      <w:adjustRightInd w:val="0"/>
      <w:spacing w:after="0" w:line="240" w:lineRule="auto"/>
    </w:pPr>
    <w:rPr>
      <w:rFonts w:ascii="Times New Roman" w:hAnsi="Times New Roman" w:cs="Times New Roman"/>
      <w:sz w:val="24"/>
    </w:rPr>
  </w:style>
  <w:style w:type="character" w:customStyle="1" w:styleId="jlqj4b">
    <w:name w:val="jlqj4b"/>
    <w:basedOn w:val="DefaultParagraphFont"/>
  </w:style>
  <w:style w:type="character" w:customStyle="1" w:styleId="viiyi">
    <w:name w:val="viiyi"/>
    <w:basedOn w:val="DefaultParagraphFont"/>
  </w:style>
  <w:style w:type="character" w:customStyle="1" w:styleId="Mention2">
    <w:name w:val="Mention2"/>
    <w:basedOn w:val="DefaultParagraphFont"/>
    <w:uiPriority w:val="99"/>
    <w:unhideWhenUsed/>
    <w:rPr>
      <w:color w:val="2B579A"/>
      <w:shd w:val="clear" w:color="auto" w:fill="E6E6E6"/>
    </w:rPr>
  </w:style>
  <w:style w:type="character" w:customStyle="1" w:styleId="Mention10">
    <w:name w:val="Mention10"/>
    <w:basedOn w:val="DefaultParagraphFont"/>
    <w:uiPriority w:val="99"/>
    <w:unhideWhenUsed/>
    <w:rPr>
      <w:color w:val="2B579A"/>
      <w:shd w:val="clear" w:color="auto" w:fill="E6E6E6"/>
    </w:rPr>
  </w:style>
  <w:style w:type="character" w:customStyle="1" w:styleId="Mention100">
    <w:name w:val="Mention100"/>
    <w:basedOn w:val="DefaultParagraphFont"/>
    <w:uiPriority w:val="99"/>
    <w:unhideWhenUsed/>
    <w:rPr>
      <w:color w:val="2B579A"/>
      <w:shd w:val="clear" w:color="auto" w:fill="E6E6E6"/>
    </w:rPr>
  </w:style>
  <w:style w:type="character" w:customStyle="1" w:styleId="Mention10000">
    <w:name w:val="Mention10000"/>
    <w:basedOn w:val="DefaultParagraphFont"/>
    <w:uiPriority w:val="99"/>
    <w:unhideWhenUsed/>
    <w:rPr>
      <w:color w:val="2B579A"/>
      <w:shd w:val="clear" w:color="auto" w:fill="E6E6E6"/>
    </w:rPr>
  </w:style>
  <w:style w:type="character" w:customStyle="1" w:styleId="Mention100000">
    <w:name w:val="Mention100000"/>
    <w:basedOn w:val="DefaultParagraphFont"/>
    <w:uiPriority w:val="99"/>
    <w:unhideWhenUsed/>
    <w:rPr>
      <w:color w:val="2B579A"/>
      <w:shd w:val="clear" w:color="auto" w:fill="E6E6E6"/>
    </w:rPr>
  </w:style>
  <w:style w:type="table" w:customStyle="1" w:styleId="GridTable1Light-Accent11">
    <w:name w:val="Grid Table 1 Light - Accent 11"/>
    <w:basedOn w:val="TableNormal"/>
    <w:uiPriority w:val="46"/>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rPr>
      <w:tblPr/>
      <w:tcPr>
        <w:tcBorders>
          <w:bottom w:val="single" w:sz="12" w:space="0" w:color="95B3D7" w:themeColor="accent1" w:themeTint="99"/>
        </w:tcBorders>
      </w:tcPr>
    </w:tblStylePr>
    <w:tblStylePr w:type="lastRow">
      <w:rPr>
        <w:b/>
      </w:rPr>
      <w:tblPr/>
      <w:tcPr>
        <w:tcBorders>
          <w:top w:val="double" w:sz="2" w:space="0" w:color="95B3D7" w:themeColor="accent1" w:themeTint="99"/>
        </w:tcBorders>
      </w:tcPr>
    </w:tblStylePr>
    <w:tblStylePr w:type="firstCol">
      <w:rPr>
        <w:b/>
      </w:rPr>
    </w:tblStylePr>
    <w:tblStylePr w:type="lastCol">
      <w:rPr>
        <w:b/>
      </w:rPr>
    </w:tblStylePr>
  </w:style>
  <w:style w:type="character" w:styleId="SubtleEmphasis">
    <w:name w:val="Subtle Emphasis"/>
    <w:basedOn w:val="DefaultParagraphFont"/>
    <w:uiPriority w:val="19"/>
    <w:qFormat/>
    <w:rPr>
      <w:i/>
      <w:color w:val="404040" w:themeColor="text1" w:themeTint="BF"/>
    </w:rPr>
  </w:style>
  <w:style w:type="paragraph" w:styleId="EndnoteText">
    <w:name w:val="endnote text"/>
    <w:basedOn w:val="Normal"/>
    <w:link w:val="EndnoteTextChar"/>
    <w:uiPriority w:val="99"/>
    <w:semiHidden/>
    <w:unhideWhenUsed/>
    <w:rsid w:val="00D8757E"/>
    <w:pPr>
      <w:spacing w:after="0" w:line="240" w:lineRule="auto"/>
    </w:pPr>
    <w:rPr>
      <w:sz w:val="20"/>
    </w:rPr>
  </w:style>
  <w:style w:type="character" w:customStyle="1" w:styleId="EndnoteTextChar">
    <w:name w:val="Endnote Text Char"/>
    <w:basedOn w:val="DefaultParagraphFont"/>
    <w:link w:val="EndnoteText"/>
    <w:uiPriority w:val="99"/>
    <w:semiHidden/>
    <w:rsid w:val="00D8757E"/>
    <w:rPr>
      <w:sz w:val="20"/>
    </w:rPr>
  </w:style>
  <w:style w:type="character" w:styleId="EndnoteReference">
    <w:name w:val="endnote reference"/>
    <w:basedOn w:val="DefaultParagraphFont"/>
    <w:uiPriority w:val="99"/>
    <w:semiHidden/>
    <w:unhideWhenUsed/>
    <w:rsid w:val="00D8757E"/>
    <w:rPr>
      <w:vertAlign w:val="superscript"/>
    </w:rPr>
  </w:style>
  <w:style w:type="paragraph" w:customStyle="1" w:styleId="TechnicalBlock">
    <w:name w:val="Technical Block"/>
    <w:basedOn w:val="Normal"/>
    <w:link w:val="TechnicalBlockChar"/>
    <w:rsid w:val="00DE326D"/>
    <w:pPr>
      <w:spacing w:after="240" w:line="240" w:lineRule="auto"/>
      <w:jc w:val="center"/>
    </w:pPr>
  </w:style>
  <w:style w:type="character" w:customStyle="1" w:styleId="TechnicalBlockChar">
    <w:name w:val="Technical Block Char"/>
    <w:basedOn w:val="DefaultParagraphFont"/>
    <w:link w:val="TechnicalBlock"/>
    <w:rsid w:val="00DE326D"/>
  </w:style>
  <w:style w:type="paragraph" w:customStyle="1" w:styleId="EntText">
    <w:name w:val="EntText"/>
    <w:basedOn w:val="Normal"/>
    <w:rsid w:val="00EC3C7F"/>
    <w:pPr>
      <w:spacing w:before="120" w:after="120" w:line="360" w:lineRule="auto"/>
    </w:pPr>
    <w:rPr>
      <w:rFonts w:ascii="Times New Roman" w:hAnsi="Times New Roman" w:cs="Times New Roman"/>
      <w:sz w:val="24"/>
      <w:szCs w:val="22"/>
    </w:rPr>
  </w:style>
  <w:style w:type="paragraph" w:customStyle="1" w:styleId="Lignefinal">
    <w:name w:val="Ligne final"/>
    <w:basedOn w:val="Normal"/>
    <w:next w:val="Normal"/>
    <w:rsid w:val="00EC3C7F"/>
    <w:pPr>
      <w:pBdr>
        <w:bottom w:val="single" w:sz="4" w:space="0" w:color="000000"/>
      </w:pBdr>
      <w:spacing w:before="360" w:after="120" w:line="360" w:lineRule="auto"/>
      <w:ind w:left="3400" w:right="3400"/>
      <w:jc w:val="center"/>
    </w:pPr>
    <w:rPr>
      <w:rFonts w:ascii="Times New Roman" w:hAnsi="Times New Roman" w:cs="Times New Roman"/>
      <w:b/>
      <w:sz w:val="24"/>
      <w:szCs w:val="22"/>
    </w:rPr>
  </w:style>
  <w:style w:type="paragraph" w:customStyle="1" w:styleId="pj">
    <w:name w:val="p.j."/>
    <w:basedOn w:val="Normal"/>
    <w:link w:val="pjChar"/>
    <w:rsid w:val="00DE326D"/>
    <w:pPr>
      <w:spacing w:before="1200" w:after="120" w:line="240" w:lineRule="auto"/>
      <w:ind w:left="1440" w:hanging="1440"/>
    </w:pPr>
    <w:rPr>
      <w:rFonts w:ascii="Times New Roman" w:hAnsi="Times New Roman" w:cs="Times New Roman"/>
      <w:sz w:val="24"/>
    </w:rPr>
  </w:style>
  <w:style w:type="character" w:customStyle="1" w:styleId="pjChar">
    <w:name w:val="p.j. Char"/>
    <w:basedOn w:val="TechnicalBlockChar"/>
    <w:link w:val="pj"/>
    <w:rsid w:val="00DE326D"/>
    <w:rPr>
      <w:rFonts w:ascii="Times New Roman" w:hAnsi="Times New Roman" w:cs="Times New Roman"/>
      <w:sz w:val="24"/>
    </w:rPr>
  </w:style>
  <w:style w:type="paragraph" w:customStyle="1" w:styleId="nbbordered">
    <w:name w:val="nb bordered"/>
    <w:basedOn w:val="Normal"/>
    <w:link w:val="nbborderedChar"/>
    <w:rsid w:val="00DE326D"/>
    <w:pPr>
      <w:pBdr>
        <w:top w:val="single" w:sz="4" w:space="1" w:color="auto"/>
        <w:left w:val="single" w:sz="4" w:space="4" w:color="auto"/>
        <w:bottom w:val="single" w:sz="4" w:space="1" w:color="auto"/>
        <w:right w:val="single" w:sz="4" w:space="4" w:color="auto"/>
        <w:between w:val="single" w:sz="4" w:space="0" w:color="auto"/>
      </w:pBdr>
      <w:spacing w:after="160" w:line="240" w:lineRule="auto"/>
      <w:ind w:left="480" w:hanging="480"/>
    </w:pPr>
    <w:rPr>
      <w:rFonts w:ascii="Times New Roman" w:hAnsi="Times New Roman" w:cs="Times New Roman"/>
      <w:b/>
      <w:sz w:val="24"/>
    </w:rPr>
  </w:style>
  <w:style w:type="character" w:customStyle="1" w:styleId="nbborderedChar">
    <w:name w:val="nb bordered Char"/>
    <w:basedOn w:val="TechnicalBlockChar"/>
    <w:link w:val="nbbordered"/>
    <w:rsid w:val="00DE326D"/>
    <w:rPr>
      <w:rFonts w:ascii="Times New Roman" w:hAnsi="Times New Roman" w:cs="Times New Roman"/>
      <w:b/>
      <w:sz w:val="24"/>
    </w:rPr>
  </w:style>
  <w:style w:type="paragraph" w:customStyle="1" w:styleId="HeaderCouncil">
    <w:name w:val="Header Council"/>
    <w:basedOn w:val="Normal"/>
    <w:link w:val="HeaderCouncilChar"/>
    <w:rsid w:val="00DE326D"/>
    <w:pPr>
      <w:spacing w:after="0"/>
    </w:pPr>
    <w:rPr>
      <w:sz w:val="2"/>
    </w:rPr>
  </w:style>
  <w:style w:type="character" w:customStyle="1" w:styleId="HeaderCouncilChar">
    <w:name w:val="Header Council Char"/>
    <w:basedOn w:val="DefaultParagraphFont"/>
    <w:link w:val="HeaderCouncil"/>
    <w:rsid w:val="00DE326D"/>
    <w:rPr>
      <w:sz w:val="2"/>
    </w:rPr>
  </w:style>
  <w:style w:type="paragraph" w:customStyle="1" w:styleId="HeaderCouncilLarge">
    <w:name w:val="Header Council Large"/>
    <w:basedOn w:val="Normal"/>
    <w:link w:val="HeaderCouncilLargeChar"/>
    <w:rsid w:val="00DE326D"/>
    <w:pPr>
      <w:spacing w:after="440"/>
    </w:pPr>
    <w:rPr>
      <w:sz w:val="2"/>
    </w:rPr>
  </w:style>
  <w:style w:type="character" w:customStyle="1" w:styleId="HeaderCouncilLargeChar">
    <w:name w:val="Header Council Large Char"/>
    <w:basedOn w:val="DefaultParagraphFont"/>
    <w:link w:val="HeaderCouncilLarge"/>
    <w:rsid w:val="00DE326D"/>
    <w:rPr>
      <w:sz w:val="2"/>
    </w:rPr>
  </w:style>
  <w:style w:type="paragraph" w:customStyle="1" w:styleId="FooterCouncil">
    <w:name w:val="Footer Council"/>
    <w:basedOn w:val="Normal"/>
    <w:link w:val="FooterCouncilChar"/>
    <w:rsid w:val="00DE326D"/>
    <w:pPr>
      <w:spacing w:after="0"/>
    </w:pPr>
    <w:rPr>
      <w:sz w:val="2"/>
    </w:rPr>
  </w:style>
  <w:style w:type="character" w:customStyle="1" w:styleId="FooterCouncilChar">
    <w:name w:val="Footer Council Char"/>
    <w:basedOn w:val="DefaultParagraphFont"/>
    <w:link w:val="FooterCouncil"/>
    <w:rsid w:val="00DE326D"/>
    <w:rPr>
      <w:sz w:val="2"/>
    </w:rPr>
  </w:style>
  <w:style w:type="paragraph" w:customStyle="1" w:styleId="FooterText">
    <w:name w:val="Footer Text"/>
    <w:basedOn w:val="Normal"/>
    <w:rsid w:val="00DE326D"/>
    <w:pPr>
      <w:spacing w:after="0" w:line="240" w:lineRule="auto"/>
    </w:pPr>
    <w:rPr>
      <w:rFonts w:ascii="Times New Roman" w:eastAsia="Times New Roman" w:hAnsi="Times New Roman" w:cs="Times New Roman"/>
      <w:sz w:val="24"/>
    </w:rPr>
  </w:style>
  <w:style w:type="character" w:styleId="PlaceholderText">
    <w:name w:val="Placeholder Text"/>
    <w:basedOn w:val="DefaultParagraphFont"/>
    <w:uiPriority w:val="99"/>
    <w:semiHidden/>
    <w:rsid w:val="00DE326D"/>
    <w:rPr>
      <w:color w:val="808080"/>
    </w:rPr>
  </w:style>
  <w:style w:type="character" w:customStyle="1" w:styleId="tabchar">
    <w:name w:val="tabchar"/>
    <w:basedOn w:val="DefaultParagraphFont"/>
    <w:rsid w:val="004267C6"/>
  </w:style>
  <w:style w:type="character" w:customStyle="1" w:styleId="Paminjimas1">
    <w:name w:val="Paminėjimas1"/>
    <w:basedOn w:val="DefaultParagraphFont"/>
    <w:uiPriority w:val="99"/>
    <w:unhideWhenUsed/>
    <w:rsid w:val="008D34FB"/>
    <w:rPr>
      <w:color w:val="2B579A"/>
      <w:shd w:val="clear" w:color="auto" w:fill="E6E6E6"/>
    </w:rPr>
  </w:style>
  <w:style w:type="character" w:customStyle="1" w:styleId="scxw175276049">
    <w:name w:val="scxw175276049"/>
    <w:basedOn w:val="DefaultParagraphFont"/>
    <w:rsid w:val="00BF7B60"/>
  </w:style>
  <w:style w:type="paragraph" w:customStyle="1" w:styleId="P68B1DB1-prastasis16">
    <w:name w:val="P68B1DB1-prastasis16"/>
    <w:basedOn w:val="Normal"/>
    <w:uiPriority w:val="1"/>
    <w:rsid w:val="4D16553A"/>
    <w:pPr>
      <w:spacing w:after="160"/>
    </w:pPr>
    <w:rPr>
      <w:rFonts w:ascii="Times New Roman" w:eastAsiaTheme="minorEastAsia" w:hAnsi="Times New Roman" w:cs="Times New Roman"/>
      <w:i/>
      <w:sz w:val="20"/>
    </w:rPr>
  </w:style>
  <w:style w:type="character" w:customStyle="1" w:styleId="Neapdorotaspaminjimas1">
    <w:name w:val="Neapdorotas paminėjimas1"/>
    <w:basedOn w:val="DefaultParagraphFont"/>
    <w:uiPriority w:val="99"/>
    <w:unhideWhenUsed/>
    <w:rsid w:val="00182654"/>
    <w:rPr>
      <w:color w:val="605E5C"/>
      <w:shd w:val="clear" w:color="auto" w:fill="E1DFDD"/>
    </w:r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aliases w:val="Footnotes refss Car Char Car,callout Car Car Char Char Car,Footnotes refss Car1"/>
    <w:basedOn w:val="Normal"/>
    <w:link w:val="FootnoteReference"/>
    <w:uiPriority w:val="99"/>
    <w:qFormat/>
    <w:rsid w:val="002A0444"/>
    <w:pPr>
      <w:spacing w:after="0" w:line="240" w:lineRule="auto"/>
    </w:pPr>
    <w:rPr>
      <w:vertAlign w:val="superscript"/>
    </w:rPr>
  </w:style>
  <w:style w:type="paragraph" w:customStyle="1" w:styleId="P68B1DB1-prastasis5">
    <w:name w:val="P68B1DB1-prastasis5"/>
    <w:basedOn w:val="Normal"/>
    <w:rsid w:val="002A0444"/>
    <w:pPr>
      <w:widowControl w:val="0"/>
      <w:spacing w:after="0" w:line="240" w:lineRule="auto"/>
    </w:pPr>
    <w:rPr>
      <w:rFonts w:ascii="Arial" w:eastAsia="Times New Roman" w:hAnsi="Arial" w:cs="Arial"/>
    </w:rPr>
  </w:style>
  <w:style w:type="paragraph" w:customStyle="1" w:styleId="P68B1DB1-Antrat211">
    <w:name w:val="P68B1DB1-Antrat211"/>
    <w:basedOn w:val="Heading2"/>
    <w:rsid w:val="003D7A3A"/>
    <w:pPr>
      <w:keepLines/>
      <w:widowControl w:val="0"/>
      <w:numPr>
        <w:ilvl w:val="0"/>
        <w:numId w:val="0"/>
      </w:numPr>
      <w:ind w:left="720" w:hanging="360"/>
      <w:jc w:val="left"/>
    </w:pPr>
    <w:rPr>
      <w:rFonts w:ascii="MS Mincho" w:eastAsia="Wingdings" w:hAnsi="MS Mincho" w:cstheme="majorBidi"/>
      <w:b w:val="0"/>
      <w:color w:val="365F91" w:themeColor="accent1" w:themeShade="BF"/>
      <w:sz w:val="28"/>
    </w:rPr>
  </w:style>
  <w:style w:type="paragraph" w:customStyle="1" w:styleId="P68B1DB1-prastasis20">
    <w:name w:val="P68B1DB1-prastasis20"/>
    <w:basedOn w:val="Normal"/>
    <w:rsid w:val="002A0444"/>
    <w:pPr>
      <w:widowControl w:val="0"/>
      <w:spacing w:after="0" w:line="240" w:lineRule="auto"/>
    </w:pPr>
    <w:rPr>
      <w:rFonts w:ascii="Times New Roman" w:eastAsia="Times New Roman" w:hAnsi="Times New Roman" w:cs="Times New Roman"/>
      <w:color w:val="4F81BD" w:themeColor="accent1"/>
      <w:sz w:val="18"/>
    </w:rPr>
  </w:style>
  <w:style w:type="paragraph" w:customStyle="1" w:styleId="P68B1DB1-prastasis21">
    <w:name w:val="P68B1DB1-prastasis21"/>
    <w:basedOn w:val="Normal"/>
    <w:rsid w:val="002A0444"/>
    <w:pPr>
      <w:widowControl w:val="0"/>
      <w:spacing w:after="0" w:line="240" w:lineRule="auto"/>
    </w:pPr>
    <w:rPr>
      <w:rFonts w:ascii="Arial" w:eastAsia="Times New Roman" w:hAnsi="Arial" w:cs="Arial"/>
    </w:rPr>
  </w:style>
  <w:style w:type="paragraph" w:customStyle="1" w:styleId="P68B1DB1-prastasis12">
    <w:name w:val="P68B1DB1-prastasis12"/>
    <w:basedOn w:val="Normal"/>
    <w:rsid w:val="00D55078"/>
    <w:pPr>
      <w:widowControl w:val="0"/>
      <w:spacing w:after="0" w:line="240" w:lineRule="auto"/>
    </w:pPr>
    <w:rPr>
      <w:rFonts w:ascii="Arial" w:eastAsia="Calibri" w:hAnsi="Arial" w:cs="Arial"/>
    </w:rPr>
  </w:style>
  <w:style w:type="paragraph" w:customStyle="1" w:styleId="P68B1DB1-Headeriams24">
    <w:name w:val="P68B1DB1-Headeriams24"/>
    <w:basedOn w:val="Normal"/>
    <w:rsid w:val="00D55078"/>
    <w:pPr>
      <w:spacing w:after="0" w:line="240" w:lineRule="auto"/>
      <w:jc w:val="right"/>
    </w:pPr>
    <w:rPr>
      <w:rFonts w:asciiTheme="majorHAnsi" w:eastAsia="Calibri" w:hAnsiTheme="majorHAnsi" w:cs="Times New Roman"/>
      <w:color w:val="4181B6"/>
      <w:sz w:val="20"/>
    </w:rPr>
  </w:style>
  <w:style w:type="paragraph" w:customStyle="1" w:styleId="P68B1DB1-prastasis25">
    <w:name w:val="P68B1DB1-prastasis25"/>
    <w:basedOn w:val="Normal"/>
    <w:rsid w:val="00D55078"/>
    <w:pPr>
      <w:widowControl w:val="0"/>
      <w:spacing w:after="0" w:line="240" w:lineRule="auto"/>
    </w:pPr>
    <w:rPr>
      <w:rFonts w:ascii="Arial" w:eastAsia="Calibri" w:hAnsi="Arial" w:cs="Arial"/>
      <w:u w:val="single"/>
    </w:rPr>
  </w:style>
  <w:style w:type="paragraph" w:customStyle="1" w:styleId="P68B1DB1-Puslapioinaostekstas66">
    <w:name w:val="P68B1DB1-Puslapioinaostekstas66"/>
    <w:basedOn w:val="FootnoteText"/>
    <w:rsid w:val="00D55078"/>
    <w:pPr>
      <w:ind w:left="0" w:firstLine="0"/>
      <w:jc w:val="left"/>
    </w:pPr>
    <w:rPr>
      <w:rFonts w:ascii="Calibri" w:eastAsia="Calibri" w:hAnsi="Calibri"/>
      <w:sz w:val="18"/>
    </w:rPr>
  </w:style>
  <w:style w:type="character" w:styleId="FollowedHyperlink">
    <w:name w:val="FollowedHyperlink"/>
    <w:basedOn w:val="DefaultParagraphFont"/>
    <w:uiPriority w:val="99"/>
    <w:semiHidden/>
    <w:unhideWhenUsed/>
    <w:rsid w:val="00FA4368"/>
    <w:rPr>
      <w:color w:val="800080" w:themeColor="followedHyperlink"/>
      <w:u w:val="single"/>
    </w:rPr>
  </w:style>
  <w:style w:type="paragraph" w:customStyle="1" w:styleId="P68B1DB1-Antrat335">
    <w:name w:val="P68B1DB1-Antrat335"/>
    <w:basedOn w:val="Normal"/>
    <w:uiPriority w:val="1"/>
    <w:rsid w:val="00D46B16"/>
    <w:pPr>
      <w:keepNext/>
      <w:keepLines/>
      <w:widowControl w:val="0"/>
      <w:tabs>
        <w:tab w:val="num" w:pos="1417"/>
      </w:tabs>
      <w:spacing w:before="120" w:after="120"/>
      <w:ind w:left="1417" w:hanging="567"/>
      <w:outlineLvl w:val="2"/>
    </w:pPr>
    <w:rPr>
      <w:rFonts w:asciiTheme="majorHAnsi" w:eastAsia="Calibri" w:hAnsiTheme="majorHAnsi" w:cstheme="majorBidi"/>
      <w:color w:val="4472C4"/>
    </w:rPr>
  </w:style>
  <w:style w:type="paragraph" w:customStyle="1" w:styleId="P68B1DB1-Normal11">
    <w:name w:val="P68B1DB1-Normal11"/>
    <w:basedOn w:val="Normal"/>
    <w:rsid w:val="00CC6FFC"/>
    <w:pPr>
      <w:spacing w:after="0" w:line="240" w:lineRule="auto"/>
    </w:pPr>
    <w:rPr>
      <w:rFonts w:ascii="Times New Roman" w:eastAsia="Times New Roman" w:hAnsi="Times New Roman" w:cs="Times New Roman"/>
      <w:sz w:val="20"/>
      <w:highlight w:val="yellow"/>
    </w:rPr>
  </w:style>
  <w:style w:type="paragraph" w:customStyle="1" w:styleId="LegalNumPar">
    <w:name w:val="LegalNumPar"/>
    <w:basedOn w:val="Normal"/>
    <w:rsid w:val="00D31B38"/>
    <w:pPr>
      <w:spacing w:after="160" w:line="259" w:lineRule="auto"/>
      <w:ind w:left="476" w:hanging="476"/>
    </w:pPr>
  </w:style>
  <w:style w:type="paragraph" w:customStyle="1" w:styleId="LegalNumPar2">
    <w:name w:val="LegalNumPar2"/>
    <w:basedOn w:val="Normal"/>
    <w:rsid w:val="00D31B38"/>
    <w:pPr>
      <w:spacing w:after="160" w:line="259" w:lineRule="auto"/>
      <w:ind w:left="953" w:hanging="477"/>
    </w:pPr>
  </w:style>
  <w:style w:type="paragraph" w:customStyle="1" w:styleId="LegalNumPar3">
    <w:name w:val="LegalNumPar3"/>
    <w:basedOn w:val="Normal"/>
    <w:rsid w:val="00D31B38"/>
    <w:pPr>
      <w:spacing w:after="160" w:line="259" w:lineRule="auto"/>
      <w:ind w:left="1429" w:hanging="476"/>
    </w:pPr>
  </w:style>
  <w:style w:type="character" w:customStyle="1" w:styleId="CommentTextChar1">
    <w:name w:val="Comment Text Char1"/>
    <w:basedOn w:val="DefaultParagraphFont"/>
    <w:uiPriority w:val="99"/>
    <w:rsid w:val="00957A1F"/>
    <w:rPr>
      <w:sz w:val="20"/>
    </w:rPr>
  </w:style>
  <w:style w:type="character" w:customStyle="1" w:styleId="Mention3">
    <w:name w:val="Mention3"/>
    <w:basedOn w:val="DefaultParagraphFont"/>
    <w:uiPriority w:val="99"/>
    <w:unhideWhenUsed/>
    <w:rsid w:val="0074378B"/>
    <w:rPr>
      <w:color w:val="2B579A"/>
      <w:shd w:val="clear" w:color="auto" w:fill="E1DFDD"/>
    </w:rPr>
  </w:style>
  <w:style w:type="character" w:customStyle="1" w:styleId="cf01">
    <w:name w:val="cf01"/>
    <w:basedOn w:val="DefaultParagraphFont"/>
    <w:rsid w:val="008C0840"/>
    <w:rPr>
      <w:rFonts w:ascii="Segoe UI" w:hAnsi="Segoe UI" w:cs="Segoe UI" w:hint="default"/>
      <w:sz w:val="18"/>
    </w:rPr>
  </w:style>
  <w:style w:type="paragraph" w:customStyle="1" w:styleId="msonormal0">
    <w:name w:val="msonormal"/>
    <w:basedOn w:val="Normal"/>
    <w:rsid w:val="001770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1770BA"/>
  </w:style>
  <w:style w:type="character" w:customStyle="1" w:styleId="linebreakblob">
    <w:name w:val="linebreakblob"/>
    <w:basedOn w:val="DefaultParagraphFont"/>
    <w:rsid w:val="001770BA"/>
  </w:style>
  <w:style w:type="character" w:customStyle="1" w:styleId="scxw115188795">
    <w:name w:val="scxw115188795"/>
    <w:basedOn w:val="DefaultParagraphFont"/>
    <w:rsid w:val="001770BA"/>
  </w:style>
  <w:style w:type="character" w:customStyle="1" w:styleId="trackchangetextdeletionmarker">
    <w:name w:val="trackchangetextdeletionmarker"/>
    <w:basedOn w:val="DefaultParagraphFont"/>
    <w:rsid w:val="001770BA"/>
  </w:style>
  <w:style w:type="character" w:customStyle="1" w:styleId="superscript">
    <w:name w:val="superscript"/>
    <w:basedOn w:val="DefaultParagraphFont"/>
    <w:rsid w:val="00DA4A7E"/>
  </w:style>
  <w:style w:type="paragraph" w:customStyle="1" w:styleId="outlineelement">
    <w:name w:val="outlineelement"/>
    <w:basedOn w:val="Normal"/>
    <w:rsid w:val="0020225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xw85986454">
    <w:name w:val="scxw85986454"/>
    <w:basedOn w:val="DefaultParagraphFont"/>
    <w:rsid w:val="0020225C"/>
  </w:style>
  <w:style w:type="character" w:customStyle="1" w:styleId="Mention4">
    <w:name w:val="Mention4"/>
    <w:basedOn w:val="DefaultParagraphFont"/>
    <w:uiPriority w:val="99"/>
    <w:unhideWhenUsed/>
    <w:rsid w:val="00AD107C"/>
    <w:rPr>
      <w:color w:val="2B579A"/>
      <w:shd w:val="clear" w:color="auto" w:fill="E1DFDD"/>
    </w:rPr>
  </w:style>
  <w:style w:type="character" w:customStyle="1" w:styleId="Mention5">
    <w:name w:val="Mention5"/>
    <w:basedOn w:val="DefaultParagraphFont"/>
    <w:uiPriority w:val="99"/>
    <w:unhideWhenUsed/>
    <w:rsid w:val="00381B92"/>
    <w:rPr>
      <w:color w:val="2B579A"/>
      <w:shd w:val="clear" w:color="auto" w:fill="E1DFDD"/>
    </w:rPr>
  </w:style>
  <w:style w:type="character" w:customStyle="1" w:styleId="UnresolvedMention1">
    <w:name w:val="Unresolved Mention1"/>
    <w:basedOn w:val="DefaultParagraphFont"/>
    <w:uiPriority w:val="99"/>
    <w:semiHidden/>
    <w:unhideWhenUsed/>
    <w:rsid w:val="00BD42AF"/>
    <w:rPr>
      <w:color w:val="605E5C"/>
      <w:shd w:val="clear" w:color="auto" w:fill="E1DFDD"/>
    </w:rPr>
  </w:style>
  <w:style w:type="character" w:customStyle="1" w:styleId="Mention50">
    <w:name w:val="Mention50"/>
    <w:basedOn w:val="DefaultParagraphFont"/>
    <w:uiPriority w:val="99"/>
    <w:unhideWhenUsed/>
    <w:rsid w:val="000519E2"/>
    <w:rPr>
      <w:color w:val="2B579A"/>
      <w:shd w:val="clear" w:color="auto" w:fill="E1DFDD"/>
    </w:rPr>
  </w:style>
  <w:style w:type="character" w:customStyle="1" w:styleId="UnresolvedMention10">
    <w:name w:val="Unresolved Mention10"/>
    <w:basedOn w:val="DefaultParagraphFont"/>
    <w:uiPriority w:val="99"/>
    <w:semiHidden/>
    <w:unhideWhenUsed/>
    <w:rsid w:val="000519E2"/>
    <w:rPr>
      <w:color w:val="605E5C"/>
      <w:shd w:val="clear" w:color="auto" w:fill="E1DFDD"/>
    </w:rPr>
  </w:style>
  <w:style w:type="character" w:customStyle="1" w:styleId="Mention">
    <w:name w:val="Mention"/>
    <w:basedOn w:val="DefaultParagraphFont"/>
    <w:uiPriority w:val="99"/>
    <w:unhideWhenUsed/>
    <w:rsid w:val="00C2407D"/>
    <w:rPr>
      <w:color w:val="2B579A"/>
      <w:shd w:val="clear" w:color="auto" w:fill="E1DFDD"/>
    </w:rPr>
  </w:style>
  <w:style w:type="character" w:customStyle="1" w:styleId="Mention500">
    <w:name w:val="Mention500"/>
    <w:basedOn w:val="DefaultParagraphFont"/>
    <w:uiPriority w:val="99"/>
    <w:unhideWhenUsed/>
    <w:rsid w:val="00093FA1"/>
    <w:rPr>
      <w:color w:val="2B579A"/>
      <w:shd w:val="clear" w:color="auto" w:fill="E1DFDD"/>
    </w:rPr>
  </w:style>
  <w:style w:type="character" w:customStyle="1" w:styleId="UnresolvedMention100">
    <w:name w:val="Unresolved Mention100"/>
    <w:basedOn w:val="DefaultParagraphFont"/>
    <w:uiPriority w:val="99"/>
    <w:semiHidden/>
    <w:unhideWhenUsed/>
    <w:rsid w:val="00093FA1"/>
    <w:rPr>
      <w:color w:val="605E5C"/>
      <w:shd w:val="clear" w:color="auto" w:fill="E1DFDD"/>
    </w:rPr>
  </w:style>
  <w:style w:type="paragraph" w:customStyle="1" w:styleId="P68B1DB1-Normal1">
    <w:name w:val="P68B1DB1-Normal1"/>
    <w:basedOn w:val="Normal"/>
    <w:rPr>
      <w:rFonts w:ascii="Times New Roman" w:hAnsi="Times New Roman"/>
      <w:b/>
      <w:color w:val="000000" w:themeColor="text1"/>
      <w:sz w:val="24"/>
    </w:rPr>
  </w:style>
  <w:style w:type="paragraph" w:customStyle="1" w:styleId="P68B1DB1-Heading12">
    <w:name w:val="P68B1DB1-Heading12"/>
    <w:basedOn w:val="Heading1"/>
    <w:rPr>
      <w:rFonts w:ascii="Times New Roman" w:hAnsi="Times New Roman"/>
    </w:rPr>
  </w:style>
  <w:style w:type="paragraph" w:customStyle="1" w:styleId="P68B1DB1-NumPar13">
    <w:name w:val="P68B1DB1-NumPar13"/>
    <w:basedOn w:val="NumPar1"/>
    <w:rPr>
      <w:rFonts w:ascii="Times New Roman" w:hAnsi="Times New Roman"/>
      <w:b/>
    </w:rPr>
  </w:style>
  <w:style w:type="paragraph" w:customStyle="1" w:styleId="P68B1DB1-Normal4">
    <w:name w:val="P68B1DB1-Normal4"/>
    <w:basedOn w:val="Normal"/>
    <w:rPr>
      <w:rFonts w:ascii="Times New Roman" w:hAnsi="Times New Roman"/>
      <w:sz w:val="24"/>
    </w:rPr>
  </w:style>
  <w:style w:type="paragraph" w:customStyle="1" w:styleId="P68B1DB1-Text15">
    <w:name w:val="P68B1DB1-Text15"/>
    <w:basedOn w:val="Text1"/>
    <w:rPr>
      <w:b/>
      <w:u w:val="single"/>
    </w:rPr>
  </w:style>
  <w:style w:type="paragraph" w:customStyle="1" w:styleId="P68B1DB1-Normal6">
    <w:name w:val="P68B1DB1-Normal6"/>
    <w:basedOn w:val="Normal"/>
    <w:rPr>
      <w:rFonts w:ascii="Times New Roman" w:hAnsi="Times New Roman"/>
      <w:sz w:val="24"/>
      <w:u w:val="single"/>
    </w:rPr>
  </w:style>
  <w:style w:type="paragraph" w:customStyle="1" w:styleId="P68B1DB1-Normal7">
    <w:name w:val="P68B1DB1-Normal7"/>
    <w:basedOn w:val="Normal"/>
    <w:rPr>
      <w:rFonts w:ascii="Times New Roman" w:eastAsia="Calibri" w:hAnsi="Times New Roman" w:cs="Arial"/>
      <w:sz w:val="24"/>
    </w:rPr>
  </w:style>
  <w:style w:type="paragraph" w:customStyle="1" w:styleId="P68B1DB1-Normal8">
    <w:name w:val="P68B1DB1-Normal8"/>
    <w:basedOn w:val="Normal"/>
    <w:rPr>
      <w:sz w:val="24"/>
    </w:rPr>
  </w:style>
  <w:style w:type="paragraph" w:customStyle="1" w:styleId="P68B1DB1-Normal9">
    <w:name w:val="P68B1DB1-Normal9"/>
    <w:basedOn w:val="Normal"/>
    <w:rPr>
      <w:rFonts w:ascii="Times New Roman" w:hAnsi="Times New Roman"/>
      <w:b/>
      <w:sz w:val="20"/>
    </w:rPr>
  </w:style>
  <w:style w:type="paragraph" w:customStyle="1" w:styleId="P68B1DB1-Normal10">
    <w:name w:val="P68B1DB1-Normal10"/>
    <w:basedOn w:val="Normal"/>
    <w:rPr>
      <w:sz w:val="20"/>
    </w:rPr>
  </w:style>
  <w:style w:type="paragraph" w:customStyle="1" w:styleId="P68B1DB1-Normal12">
    <w:name w:val="P68B1DB1-Normal12"/>
    <w:basedOn w:val="Normal"/>
    <w:rPr>
      <w:rFonts w:ascii="Times New Roman" w:hAnsi="Times New Roman"/>
      <w:sz w:val="20"/>
    </w:rPr>
  </w:style>
  <w:style w:type="paragraph" w:customStyle="1" w:styleId="P68B1DB1-Normal13">
    <w:name w:val="P68B1DB1-Normal13"/>
    <w:basedOn w:val="Normal"/>
    <w:rPr>
      <w:rFonts w:ascii="Times New Roman" w:eastAsia="Times New Roman" w:hAnsi="Times New Roman" w:cs="Times New Roman"/>
      <w:sz w:val="20"/>
    </w:rPr>
  </w:style>
  <w:style w:type="paragraph" w:customStyle="1" w:styleId="P68B1DB1-Normal14">
    <w:name w:val="P68B1DB1-Normal14"/>
    <w:basedOn w:val="Normal"/>
    <w:rPr>
      <w:rFonts w:ascii="Times New Roman" w:eastAsia="Times New Roman" w:hAnsi="Times New Roman" w:cs="Times New Roman"/>
      <w:color w:val="000000" w:themeColor="text1"/>
      <w:sz w:val="20"/>
    </w:rPr>
  </w:style>
  <w:style w:type="paragraph" w:customStyle="1" w:styleId="P68B1DB1-Normal15">
    <w:name w:val="P68B1DB1-Normal15"/>
    <w:basedOn w:val="Normal"/>
    <w:rPr>
      <w:rFonts w:ascii="Times New Roman" w:eastAsia="Times New Roman" w:hAnsi="Times New Roman" w:cs="Times New Roman"/>
      <w:color w:val="242424"/>
      <w:sz w:val="20"/>
    </w:rPr>
  </w:style>
  <w:style w:type="paragraph" w:customStyle="1" w:styleId="P68B1DB1-Normal16">
    <w:name w:val="P68B1DB1-Normal16"/>
    <w:basedOn w:val="Normal"/>
    <w:rPr>
      <w:rFonts w:ascii="Times New Roman" w:eastAsia="Calibri" w:hAnsi="Times New Roman" w:cs="Arial"/>
      <w:sz w:val="20"/>
    </w:rPr>
  </w:style>
  <w:style w:type="paragraph" w:customStyle="1" w:styleId="P68B1DB1-Normal17">
    <w:name w:val="P68B1DB1-Normal17"/>
    <w:basedOn w:val="Normal"/>
    <w:rPr>
      <w:rFonts w:ascii="Times" w:eastAsia="Times" w:hAnsi="Times" w:cs="Times"/>
      <w:sz w:val="20"/>
    </w:rPr>
  </w:style>
  <w:style w:type="paragraph" w:customStyle="1" w:styleId="P68B1DB1-ListParagraph18">
    <w:name w:val="P68B1DB1-ListParagraph18"/>
    <w:basedOn w:val="ListParagraph"/>
    <w:rPr>
      <w:rFonts w:ascii="Times New Roman" w:hAnsi="Times New Roman"/>
      <w:sz w:val="24"/>
    </w:rPr>
  </w:style>
  <w:style w:type="paragraph" w:customStyle="1" w:styleId="P68B1DB1-Normal19">
    <w:name w:val="P68B1DB1-Normal19"/>
    <w:basedOn w:val="Normal"/>
    <w:rPr>
      <w:rFonts w:ascii="Times New Roman" w:eastAsia="Times New Roman" w:hAnsi="Times New Roman" w:cs="Times New Roman"/>
      <w:color w:val="000000" w:themeColor="text1"/>
      <w:sz w:val="24"/>
    </w:rPr>
  </w:style>
  <w:style w:type="paragraph" w:customStyle="1" w:styleId="P68B1DB1-Normal20">
    <w:name w:val="P68B1DB1-Normal20"/>
    <w:basedOn w:val="Normal"/>
    <w:rPr>
      <w:rFonts w:ascii="Times New Roman" w:eastAsia="Times New Roman" w:hAnsi="Times New Roman" w:cs="Times New Roman"/>
      <w:sz w:val="24"/>
    </w:rPr>
  </w:style>
  <w:style w:type="paragraph" w:customStyle="1" w:styleId="P68B1DB1-ListParagraph21">
    <w:name w:val="P68B1DB1-ListParagraph21"/>
    <w:basedOn w:val="ListParagraph"/>
    <w:rPr>
      <w:rFonts w:ascii="Times New Roman" w:eastAsia="Times New Roman" w:hAnsi="Times New Roman" w:cs="Times New Roman"/>
      <w:sz w:val="20"/>
    </w:rPr>
  </w:style>
  <w:style w:type="paragraph" w:customStyle="1" w:styleId="P68B1DB1-Normal22">
    <w:name w:val="P68B1DB1-Normal22"/>
    <w:basedOn w:val="Normal"/>
    <w:rPr>
      <w:rFonts w:ascii="Times New Roman" w:eastAsia="Times New Roman" w:hAnsi="Times New Roman"/>
      <w:sz w:val="20"/>
    </w:rPr>
  </w:style>
  <w:style w:type="paragraph" w:customStyle="1" w:styleId="P68B1DB1-ListParagraph23">
    <w:name w:val="P68B1DB1-ListParagraph23"/>
    <w:basedOn w:val="ListParagraph"/>
    <w:rPr>
      <w:rFonts w:ascii="Times New Roman" w:hAnsi="Times New Roman"/>
      <w:sz w:val="20"/>
    </w:rPr>
  </w:style>
  <w:style w:type="paragraph" w:customStyle="1" w:styleId="P68B1DB1-paragraph24">
    <w:name w:val="P68B1DB1-paragraph24"/>
    <w:basedOn w:val="paragraph"/>
    <w:rPr>
      <w:sz w:val="20"/>
    </w:rPr>
  </w:style>
  <w:style w:type="paragraph" w:customStyle="1" w:styleId="P68B1DB1-Normal25">
    <w:name w:val="P68B1DB1-Normal25"/>
    <w:basedOn w:val="Normal"/>
    <w:rPr>
      <w:rFonts w:ascii="Times New Roman" w:hAnsi="Times New Roman"/>
      <w:sz w:val="18"/>
    </w:rPr>
  </w:style>
  <w:style w:type="paragraph" w:customStyle="1" w:styleId="P68B1DB1-Normal26">
    <w:name w:val="P68B1DB1-Normal26"/>
    <w:basedOn w:val="Normal"/>
    <w:rPr>
      <w:rFonts w:ascii="Times New Roman" w:hAnsi="Times New Roman"/>
    </w:rPr>
  </w:style>
  <w:style w:type="paragraph" w:customStyle="1" w:styleId="P68B1DB1-Text127">
    <w:name w:val="P68B1DB1-Text127"/>
    <w:basedOn w:val="Text1"/>
    <w:rPr>
      <w:u w:val="single"/>
    </w:rPr>
  </w:style>
  <w:style w:type="paragraph" w:customStyle="1" w:styleId="P68B1DB1-Text128">
    <w:name w:val="P68B1DB1-Text128"/>
    <w:basedOn w:val="Text1"/>
    <w:rPr>
      <w:sz w:val="20"/>
    </w:rPr>
  </w:style>
  <w:style w:type="paragraph" w:customStyle="1" w:styleId="P68B1DB1-Normal29">
    <w:name w:val="P68B1DB1-Normal29"/>
    <w:basedOn w:val="Normal"/>
    <w:rPr>
      <w:rFonts w:ascii="Times New Roman" w:hAnsi="Times New Roman" w:cs="Times New Roman"/>
      <w:sz w:val="20"/>
    </w:rPr>
  </w:style>
  <w:style w:type="paragraph" w:customStyle="1" w:styleId="P68B1DB1-paragraph30">
    <w:name w:val="P68B1DB1-paragraph30"/>
    <w:basedOn w:val="paragraph"/>
    <w:rPr>
      <w:u w:val="single"/>
    </w:rPr>
  </w:style>
  <w:style w:type="paragraph" w:customStyle="1" w:styleId="P68B1DB1-ListParagraph31">
    <w:name w:val="P68B1DB1-ListParagraph31"/>
    <w:basedOn w:val="ListParagraph"/>
    <w:rPr>
      <w:rFonts w:ascii="Times New Roman" w:eastAsia="Times New Roman" w:hAnsi="Times New Roman" w:cs="Times New Roman"/>
      <w:sz w:val="24"/>
    </w:rPr>
  </w:style>
  <w:style w:type="paragraph" w:customStyle="1" w:styleId="P68B1DB1-paragraph32">
    <w:name w:val="P68B1DB1-paragraph32"/>
    <w:basedOn w:val="paragraph"/>
    <w:rPr>
      <w:color w:val="000000" w:themeColor="text1"/>
    </w:rPr>
  </w:style>
  <w:style w:type="paragraph" w:customStyle="1" w:styleId="P68B1DB1-Normal33">
    <w:name w:val="P68B1DB1-Normal33"/>
    <w:basedOn w:val="Normal"/>
    <w:rPr>
      <w:rFonts w:ascii="Times New Roman" w:hAnsi="Times New Roman"/>
      <w:sz w:val="19"/>
    </w:rPr>
  </w:style>
  <w:style w:type="paragraph" w:customStyle="1" w:styleId="P68B1DB1-P68B1DB1-prastasis1234">
    <w:name w:val="P68B1DB1-P68B1DB1-prastasis1234"/>
    <w:basedOn w:val="P68B1DB1-prastasis12"/>
    <w:rPr>
      <w:rFonts w:ascii="Times New Roman" w:hAnsi="Times New Roman"/>
      <w:sz w:val="20"/>
    </w:rPr>
  </w:style>
  <w:style w:type="paragraph" w:customStyle="1" w:styleId="P68B1DB1-Normal35">
    <w:name w:val="P68B1DB1-Normal35"/>
    <w:basedOn w:val="Normal"/>
    <w:rPr>
      <w:rFonts w:ascii="Times New Roman" w:hAnsi="Times New Roman" w:cs="Cambria Math"/>
      <w:b/>
      <w:sz w:val="24"/>
    </w:rPr>
  </w:style>
  <w:style w:type="paragraph" w:customStyle="1" w:styleId="P68B1DB1-Normal36">
    <w:name w:val="P68B1DB1-Normal36"/>
    <w:basedOn w:val="Normal"/>
    <w:rPr>
      <w:rFonts w:ascii="Times New Roman" w:hAnsi="Times New Roman" w:cs="Times New Roman"/>
      <w:sz w:val="24"/>
    </w:rPr>
  </w:style>
  <w:style w:type="paragraph" w:customStyle="1" w:styleId="P68B1DB1-ListParagraph37">
    <w:name w:val="P68B1DB1-ListParagraph37"/>
    <w:basedOn w:val="ListParagraph"/>
    <w:rPr>
      <w:rFonts w:ascii="Times New Roman" w:hAnsi="Times New Roman" w:cs="Times New Roman"/>
      <w:sz w:val="24"/>
    </w:rPr>
  </w:style>
  <w:style w:type="paragraph" w:customStyle="1" w:styleId="P68B1DB1-Normal38">
    <w:name w:val="P68B1DB1-Normal38"/>
    <w:basedOn w:val="Normal"/>
    <w:rPr>
      <w:rFonts w:ascii="Times New Roman" w:eastAsia="Times New Roman" w:hAnsi="Times New Roman" w:cs="Times New Roman"/>
      <w:b/>
      <w:color w:val="000000"/>
    </w:rPr>
  </w:style>
  <w:style w:type="paragraph" w:customStyle="1" w:styleId="P68B1DB1-Normal39">
    <w:name w:val="P68B1DB1-Normal39"/>
    <w:basedOn w:val="Normal"/>
    <w:rPr>
      <w:rFonts w:ascii="Times New Roman" w:eastAsia="Times New Roman" w:hAnsi="Times New Roman" w:cs="Times New Roman"/>
      <w:color w:val="000000"/>
    </w:rPr>
  </w:style>
  <w:style w:type="paragraph" w:customStyle="1" w:styleId="P68B1DB1-Normal40">
    <w:name w:val="P68B1DB1-Normal40"/>
    <w:basedOn w:val="Normal"/>
    <w:rPr>
      <w:rFonts w:ascii="Times New Roman" w:eastAsia="Times New Roman" w:hAnsi="Times New Roman" w:cs="Times New Roman"/>
    </w:rPr>
  </w:style>
  <w:style w:type="paragraph" w:customStyle="1" w:styleId="P68B1DB1-Normal41">
    <w:name w:val="P68B1DB1-Normal41"/>
    <w:basedOn w:val="Normal"/>
    <w:rPr>
      <w:rFonts w:ascii="Times New Roman" w:eastAsiaTheme="minorEastAsia" w:hAnsi="Times New Roman" w:cs="Times New Roman"/>
      <w:color w:val="000000" w:themeColor="text1"/>
      <w:sz w:val="24"/>
    </w:rPr>
  </w:style>
  <w:style w:type="paragraph" w:customStyle="1" w:styleId="P68B1DB1-Normal42">
    <w:name w:val="P68B1DB1-Normal42"/>
    <w:basedOn w:val="Normal"/>
    <w:rPr>
      <w:rFonts w:ascii="Times New Roman" w:eastAsiaTheme="minorEastAsia" w:hAnsi="Times New Roman" w:cs="Times New Roman"/>
      <w:color w:val="000000" w:themeColor="text1"/>
    </w:rPr>
  </w:style>
  <w:style w:type="paragraph" w:customStyle="1" w:styleId="P68B1DB1-Normal43">
    <w:name w:val="P68B1DB1-Normal43"/>
    <w:basedOn w:val="Normal"/>
    <w:rPr>
      <w:rFonts w:ascii="Times New Roman" w:eastAsia="Calibri" w:hAnsi="Times New Roman" w:cs="Arial"/>
    </w:rPr>
  </w:style>
  <w:style w:type="paragraph" w:customStyle="1" w:styleId="P68B1DB1-Normal44">
    <w:name w:val="P68B1DB1-Normal44"/>
    <w:basedOn w:val="Normal"/>
    <w:rPr>
      <w:rFonts w:ascii="Times New Roman" w:hAnsi="Times New Roman" w:cs="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04943">
      <w:bodyDiv w:val="1"/>
      <w:marLeft w:val="0"/>
      <w:marRight w:val="0"/>
      <w:marTop w:val="0"/>
      <w:marBottom w:val="0"/>
      <w:divBdr>
        <w:top w:val="none" w:sz="0" w:space="0" w:color="auto"/>
        <w:left w:val="none" w:sz="0" w:space="0" w:color="auto"/>
        <w:bottom w:val="none" w:sz="0" w:space="0" w:color="auto"/>
        <w:right w:val="none" w:sz="0" w:space="0" w:color="auto"/>
      </w:divBdr>
      <w:divsChild>
        <w:div w:id="36709277">
          <w:marLeft w:val="0"/>
          <w:marRight w:val="0"/>
          <w:marTop w:val="0"/>
          <w:marBottom w:val="0"/>
          <w:divBdr>
            <w:top w:val="none" w:sz="0" w:space="0" w:color="auto"/>
            <w:left w:val="none" w:sz="0" w:space="0" w:color="auto"/>
            <w:bottom w:val="none" w:sz="0" w:space="0" w:color="auto"/>
            <w:right w:val="none" w:sz="0" w:space="0" w:color="auto"/>
          </w:divBdr>
        </w:div>
        <w:div w:id="885607000">
          <w:marLeft w:val="0"/>
          <w:marRight w:val="0"/>
          <w:marTop w:val="0"/>
          <w:marBottom w:val="0"/>
          <w:divBdr>
            <w:top w:val="none" w:sz="0" w:space="0" w:color="auto"/>
            <w:left w:val="none" w:sz="0" w:space="0" w:color="auto"/>
            <w:bottom w:val="none" w:sz="0" w:space="0" w:color="auto"/>
            <w:right w:val="none" w:sz="0" w:space="0" w:color="auto"/>
          </w:divBdr>
        </w:div>
        <w:div w:id="1091200009">
          <w:marLeft w:val="0"/>
          <w:marRight w:val="0"/>
          <w:marTop w:val="0"/>
          <w:marBottom w:val="0"/>
          <w:divBdr>
            <w:top w:val="none" w:sz="0" w:space="0" w:color="auto"/>
            <w:left w:val="none" w:sz="0" w:space="0" w:color="auto"/>
            <w:bottom w:val="none" w:sz="0" w:space="0" w:color="auto"/>
            <w:right w:val="none" w:sz="0" w:space="0" w:color="auto"/>
          </w:divBdr>
        </w:div>
        <w:div w:id="1143431111">
          <w:marLeft w:val="0"/>
          <w:marRight w:val="0"/>
          <w:marTop w:val="0"/>
          <w:marBottom w:val="0"/>
          <w:divBdr>
            <w:top w:val="none" w:sz="0" w:space="0" w:color="auto"/>
            <w:left w:val="none" w:sz="0" w:space="0" w:color="auto"/>
            <w:bottom w:val="none" w:sz="0" w:space="0" w:color="auto"/>
            <w:right w:val="none" w:sz="0" w:space="0" w:color="auto"/>
          </w:divBdr>
        </w:div>
        <w:div w:id="1190220550">
          <w:marLeft w:val="0"/>
          <w:marRight w:val="0"/>
          <w:marTop w:val="0"/>
          <w:marBottom w:val="0"/>
          <w:divBdr>
            <w:top w:val="none" w:sz="0" w:space="0" w:color="auto"/>
            <w:left w:val="none" w:sz="0" w:space="0" w:color="auto"/>
            <w:bottom w:val="none" w:sz="0" w:space="0" w:color="auto"/>
            <w:right w:val="none" w:sz="0" w:space="0" w:color="auto"/>
          </w:divBdr>
        </w:div>
      </w:divsChild>
    </w:div>
    <w:div w:id="31851238">
      <w:bodyDiv w:val="1"/>
      <w:marLeft w:val="0"/>
      <w:marRight w:val="0"/>
      <w:marTop w:val="0"/>
      <w:marBottom w:val="0"/>
      <w:divBdr>
        <w:top w:val="none" w:sz="0" w:space="0" w:color="auto"/>
        <w:left w:val="none" w:sz="0" w:space="0" w:color="auto"/>
        <w:bottom w:val="none" w:sz="0" w:space="0" w:color="auto"/>
        <w:right w:val="none" w:sz="0" w:space="0" w:color="auto"/>
      </w:divBdr>
    </w:div>
    <w:div w:id="31852813">
      <w:bodyDiv w:val="1"/>
      <w:marLeft w:val="0"/>
      <w:marRight w:val="0"/>
      <w:marTop w:val="0"/>
      <w:marBottom w:val="0"/>
      <w:divBdr>
        <w:top w:val="none" w:sz="0" w:space="0" w:color="auto"/>
        <w:left w:val="none" w:sz="0" w:space="0" w:color="auto"/>
        <w:bottom w:val="none" w:sz="0" w:space="0" w:color="auto"/>
        <w:right w:val="none" w:sz="0" w:space="0" w:color="auto"/>
      </w:divBdr>
    </w:div>
    <w:div w:id="95954381">
      <w:bodyDiv w:val="1"/>
      <w:marLeft w:val="0"/>
      <w:marRight w:val="0"/>
      <w:marTop w:val="0"/>
      <w:marBottom w:val="0"/>
      <w:divBdr>
        <w:top w:val="none" w:sz="0" w:space="0" w:color="auto"/>
        <w:left w:val="none" w:sz="0" w:space="0" w:color="auto"/>
        <w:bottom w:val="none" w:sz="0" w:space="0" w:color="auto"/>
        <w:right w:val="none" w:sz="0" w:space="0" w:color="auto"/>
      </w:divBdr>
      <w:divsChild>
        <w:div w:id="54090433">
          <w:marLeft w:val="0"/>
          <w:marRight w:val="0"/>
          <w:marTop w:val="0"/>
          <w:marBottom w:val="0"/>
          <w:divBdr>
            <w:top w:val="none" w:sz="0" w:space="0" w:color="auto"/>
            <w:left w:val="none" w:sz="0" w:space="0" w:color="auto"/>
            <w:bottom w:val="none" w:sz="0" w:space="0" w:color="auto"/>
            <w:right w:val="none" w:sz="0" w:space="0" w:color="auto"/>
          </w:divBdr>
          <w:divsChild>
            <w:div w:id="994339641">
              <w:marLeft w:val="0"/>
              <w:marRight w:val="0"/>
              <w:marTop w:val="0"/>
              <w:marBottom w:val="0"/>
              <w:divBdr>
                <w:top w:val="none" w:sz="0" w:space="0" w:color="auto"/>
                <w:left w:val="none" w:sz="0" w:space="0" w:color="auto"/>
                <w:bottom w:val="none" w:sz="0" w:space="0" w:color="auto"/>
                <w:right w:val="none" w:sz="0" w:space="0" w:color="auto"/>
              </w:divBdr>
            </w:div>
          </w:divsChild>
        </w:div>
        <w:div w:id="91248257">
          <w:marLeft w:val="0"/>
          <w:marRight w:val="0"/>
          <w:marTop w:val="0"/>
          <w:marBottom w:val="0"/>
          <w:divBdr>
            <w:top w:val="none" w:sz="0" w:space="0" w:color="auto"/>
            <w:left w:val="none" w:sz="0" w:space="0" w:color="auto"/>
            <w:bottom w:val="none" w:sz="0" w:space="0" w:color="auto"/>
            <w:right w:val="none" w:sz="0" w:space="0" w:color="auto"/>
          </w:divBdr>
          <w:divsChild>
            <w:div w:id="384136394">
              <w:marLeft w:val="0"/>
              <w:marRight w:val="0"/>
              <w:marTop w:val="0"/>
              <w:marBottom w:val="0"/>
              <w:divBdr>
                <w:top w:val="none" w:sz="0" w:space="0" w:color="auto"/>
                <w:left w:val="none" w:sz="0" w:space="0" w:color="auto"/>
                <w:bottom w:val="none" w:sz="0" w:space="0" w:color="auto"/>
                <w:right w:val="none" w:sz="0" w:space="0" w:color="auto"/>
              </w:divBdr>
            </w:div>
          </w:divsChild>
        </w:div>
        <w:div w:id="100338898">
          <w:marLeft w:val="0"/>
          <w:marRight w:val="0"/>
          <w:marTop w:val="0"/>
          <w:marBottom w:val="0"/>
          <w:divBdr>
            <w:top w:val="none" w:sz="0" w:space="0" w:color="auto"/>
            <w:left w:val="none" w:sz="0" w:space="0" w:color="auto"/>
            <w:bottom w:val="none" w:sz="0" w:space="0" w:color="auto"/>
            <w:right w:val="none" w:sz="0" w:space="0" w:color="auto"/>
          </w:divBdr>
          <w:divsChild>
            <w:div w:id="1824857917">
              <w:marLeft w:val="0"/>
              <w:marRight w:val="0"/>
              <w:marTop w:val="0"/>
              <w:marBottom w:val="0"/>
              <w:divBdr>
                <w:top w:val="none" w:sz="0" w:space="0" w:color="auto"/>
                <w:left w:val="none" w:sz="0" w:space="0" w:color="auto"/>
                <w:bottom w:val="none" w:sz="0" w:space="0" w:color="auto"/>
                <w:right w:val="none" w:sz="0" w:space="0" w:color="auto"/>
              </w:divBdr>
            </w:div>
          </w:divsChild>
        </w:div>
        <w:div w:id="129058844">
          <w:marLeft w:val="0"/>
          <w:marRight w:val="0"/>
          <w:marTop w:val="0"/>
          <w:marBottom w:val="0"/>
          <w:divBdr>
            <w:top w:val="none" w:sz="0" w:space="0" w:color="auto"/>
            <w:left w:val="none" w:sz="0" w:space="0" w:color="auto"/>
            <w:bottom w:val="none" w:sz="0" w:space="0" w:color="auto"/>
            <w:right w:val="none" w:sz="0" w:space="0" w:color="auto"/>
          </w:divBdr>
          <w:divsChild>
            <w:div w:id="680007962">
              <w:marLeft w:val="0"/>
              <w:marRight w:val="0"/>
              <w:marTop w:val="0"/>
              <w:marBottom w:val="0"/>
              <w:divBdr>
                <w:top w:val="none" w:sz="0" w:space="0" w:color="auto"/>
                <w:left w:val="none" w:sz="0" w:space="0" w:color="auto"/>
                <w:bottom w:val="none" w:sz="0" w:space="0" w:color="auto"/>
                <w:right w:val="none" w:sz="0" w:space="0" w:color="auto"/>
              </w:divBdr>
            </w:div>
            <w:div w:id="1957060432">
              <w:marLeft w:val="0"/>
              <w:marRight w:val="0"/>
              <w:marTop w:val="0"/>
              <w:marBottom w:val="0"/>
              <w:divBdr>
                <w:top w:val="none" w:sz="0" w:space="0" w:color="auto"/>
                <w:left w:val="none" w:sz="0" w:space="0" w:color="auto"/>
                <w:bottom w:val="none" w:sz="0" w:space="0" w:color="auto"/>
                <w:right w:val="none" w:sz="0" w:space="0" w:color="auto"/>
              </w:divBdr>
            </w:div>
          </w:divsChild>
        </w:div>
        <w:div w:id="179053224">
          <w:marLeft w:val="0"/>
          <w:marRight w:val="0"/>
          <w:marTop w:val="0"/>
          <w:marBottom w:val="0"/>
          <w:divBdr>
            <w:top w:val="none" w:sz="0" w:space="0" w:color="auto"/>
            <w:left w:val="none" w:sz="0" w:space="0" w:color="auto"/>
            <w:bottom w:val="none" w:sz="0" w:space="0" w:color="auto"/>
            <w:right w:val="none" w:sz="0" w:space="0" w:color="auto"/>
          </w:divBdr>
          <w:divsChild>
            <w:div w:id="444542773">
              <w:marLeft w:val="0"/>
              <w:marRight w:val="0"/>
              <w:marTop w:val="0"/>
              <w:marBottom w:val="0"/>
              <w:divBdr>
                <w:top w:val="none" w:sz="0" w:space="0" w:color="auto"/>
                <w:left w:val="none" w:sz="0" w:space="0" w:color="auto"/>
                <w:bottom w:val="none" w:sz="0" w:space="0" w:color="auto"/>
                <w:right w:val="none" w:sz="0" w:space="0" w:color="auto"/>
              </w:divBdr>
            </w:div>
          </w:divsChild>
        </w:div>
        <w:div w:id="179587828">
          <w:marLeft w:val="0"/>
          <w:marRight w:val="0"/>
          <w:marTop w:val="0"/>
          <w:marBottom w:val="0"/>
          <w:divBdr>
            <w:top w:val="none" w:sz="0" w:space="0" w:color="auto"/>
            <w:left w:val="none" w:sz="0" w:space="0" w:color="auto"/>
            <w:bottom w:val="none" w:sz="0" w:space="0" w:color="auto"/>
            <w:right w:val="none" w:sz="0" w:space="0" w:color="auto"/>
          </w:divBdr>
          <w:divsChild>
            <w:div w:id="1942371432">
              <w:marLeft w:val="0"/>
              <w:marRight w:val="0"/>
              <w:marTop w:val="0"/>
              <w:marBottom w:val="0"/>
              <w:divBdr>
                <w:top w:val="none" w:sz="0" w:space="0" w:color="auto"/>
                <w:left w:val="none" w:sz="0" w:space="0" w:color="auto"/>
                <w:bottom w:val="none" w:sz="0" w:space="0" w:color="auto"/>
                <w:right w:val="none" w:sz="0" w:space="0" w:color="auto"/>
              </w:divBdr>
            </w:div>
          </w:divsChild>
        </w:div>
        <w:div w:id="187792883">
          <w:marLeft w:val="0"/>
          <w:marRight w:val="0"/>
          <w:marTop w:val="0"/>
          <w:marBottom w:val="0"/>
          <w:divBdr>
            <w:top w:val="none" w:sz="0" w:space="0" w:color="auto"/>
            <w:left w:val="none" w:sz="0" w:space="0" w:color="auto"/>
            <w:bottom w:val="none" w:sz="0" w:space="0" w:color="auto"/>
            <w:right w:val="none" w:sz="0" w:space="0" w:color="auto"/>
          </w:divBdr>
          <w:divsChild>
            <w:div w:id="65543627">
              <w:marLeft w:val="0"/>
              <w:marRight w:val="0"/>
              <w:marTop w:val="0"/>
              <w:marBottom w:val="0"/>
              <w:divBdr>
                <w:top w:val="none" w:sz="0" w:space="0" w:color="auto"/>
                <w:left w:val="none" w:sz="0" w:space="0" w:color="auto"/>
                <w:bottom w:val="none" w:sz="0" w:space="0" w:color="auto"/>
                <w:right w:val="none" w:sz="0" w:space="0" w:color="auto"/>
              </w:divBdr>
            </w:div>
          </w:divsChild>
        </w:div>
        <w:div w:id="197548889">
          <w:marLeft w:val="0"/>
          <w:marRight w:val="0"/>
          <w:marTop w:val="0"/>
          <w:marBottom w:val="0"/>
          <w:divBdr>
            <w:top w:val="none" w:sz="0" w:space="0" w:color="auto"/>
            <w:left w:val="none" w:sz="0" w:space="0" w:color="auto"/>
            <w:bottom w:val="none" w:sz="0" w:space="0" w:color="auto"/>
            <w:right w:val="none" w:sz="0" w:space="0" w:color="auto"/>
          </w:divBdr>
          <w:divsChild>
            <w:div w:id="737289736">
              <w:marLeft w:val="0"/>
              <w:marRight w:val="0"/>
              <w:marTop w:val="0"/>
              <w:marBottom w:val="0"/>
              <w:divBdr>
                <w:top w:val="none" w:sz="0" w:space="0" w:color="auto"/>
                <w:left w:val="none" w:sz="0" w:space="0" w:color="auto"/>
                <w:bottom w:val="none" w:sz="0" w:space="0" w:color="auto"/>
                <w:right w:val="none" w:sz="0" w:space="0" w:color="auto"/>
              </w:divBdr>
            </w:div>
          </w:divsChild>
        </w:div>
        <w:div w:id="237788643">
          <w:marLeft w:val="0"/>
          <w:marRight w:val="0"/>
          <w:marTop w:val="0"/>
          <w:marBottom w:val="0"/>
          <w:divBdr>
            <w:top w:val="none" w:sz="0" w:space="0" w:color="auto"/>
            <w:left w:val="none" w:sz="0" w:space="0" w:color="auto"/>
            <w:bottom w:val="none" w:sz="0" w:space="0" w:color="auto"/>
            <w:right w:val="none" w:sz="0" w:space="0" w:color="auto"/>
          </w:divBdr>
          <w:divsChild>
            <w:div w:id="2110805722">
              <w:marLeft w:val="0"/>
              <w:marRight w:val="0"/>
              <w:marTop w:val="0"/>
              <w:marBottom w:val="0"/>
              <w:divBdr>
                <w:top w:val="none" w:sz="0" w:space="0" w:color="auto"/>
                <w:left w:val="none" w:sz="0" w:space="0" w:color="auto"/>
                <w:bottom w:val="none" w:sz="0" w:space="0" w:color="auto"/>
                <w:right w:val="none" w:sz="0" w:space="0" w:color="auto"/>
              </w:divBdr>
            </w:div>
          </w:divsChild>
        </w:div>
        <w:div w:id="278997191">
          <w:marLeft w:val="0"/>
          <w:marRight w:val="0"/>
          <w:marTop w:val="0"/>
          <w:marBottom w:val="0"/>
          <w:divBdr>
            <w:top w:val="none" w:sz="0" w:space="0" w:color="auto"/>
            <w:left w:val="none" w:sz="0" w:space="0" w:color="auto"/>
            <w:bottom w:val="none" w:sz="0" w:space="0" w:color="auto"/>
            <w:right w:val="none" w:sz="0" w:space="0" w:color="auto"/>
          </w:divBdr>
          <w:divsChild>
            <w:div w:id="523638949">
              <w:marLeft w:val="0"/>
              <w:marRight w:val="0"/>
              <w:marTop w:val="0"/>
              <w:marBottom w:val="0"/>
              <w:divBdr>
                <w:top w:val="none" w:sz="0" w:space="0" w:color="auto"/>
                <w:left w:val="none" w:sz="0" w:space="0" w:color="auto"/>
                <w:bottom w:val="none" w:sz="0" w:space="0" w:color="auto"/>
                <w:right w:val="none" w:sz="0" w:space="0" w:color="auto"/>
              </w:divBdr>
            </w:div>
            <w:div w:id="988217373">
              <w:marLeft w:val="0"/>
              <w:marRight w:val="0"/>
              <w:marTop w:val="0"/>
              <w:marBottom w:val="0"/>
              <w:divBdr>
                <w:top w:val="none" w:sz="0" w:space="0" w:color="auto"/>
                <w:left w:val="none" w:sz="0" w:space="0" w:color="auto"/>
                <w:bottom w:val="none" w:sz="0" w:space="0" w:color="auto"/>
                <w:right w:val="none" w:sz="0" w:space="0" w:color="auto"/>
              </w:divBdr>
            </w:div>
            <w:div w:id="1332946069">
              <w:marLeft w:val="0"/>
              <w:marRight w:val="0"/>
              <w:marTop w:val="0"/>
              <w:marBottom w:val="0"/>
              <w:divBdr>
                <w:top w:val="none" w:sz="0" w:space="0" w:color="auto"/>
                <w:left w:val="none" w:sz="0" w:space="0" w:color="auto"/>
                <w:bottom w:val="none" w:sz="0" w:space="0" w:color="auto"/>
                <w:right w:val="none" w:sz="0" w:space="0" w:color="auto"/>
              </w:divBdr>
            </w:div>
            <w:div w:id="1777283333">
              <w:marLeft w:val="0"/>
              <w:marRight w:val="0"/>
              <w:marTop w:val="0"/>
              <w:marBottom w:val="0"/>
              <w:divBdr>
                <w:top w:val="none" w:sz="0" w:space="0" w:color="auto"/>
                <w:left w:val="none" w:sz="0" w:space="0" w:color="auto"/>
                <w:bottom w:val="none" w:sz="0" w:space="0" w:color="auto"/>
                <w:right w:val="none" w:sz="0" w:space="0" w:color="auto"/>
              </w:divBdr>
            </w:div>
          </w:divsChild>
        </w:div>
        <w:div w:id="307788012">
          <w:marLeft w:val="0"/>
          <w:marRight w:val="0"/>
          <w:marTop w:val="0"/>
          <w:marBottom w:val="0"/>
          <w:divBdr>
            <w:top w:val="none" w:sz="0" w:space="0" w:color="auto"/>
            <w:left w:val="none" w:sz="0" w:space="0" w:color="auto"/>
            <w:bottom w:val="none" w:sz="0" w:space="0" w:color="auto"/>
            <w:right w:val="none" w:sz="0" w:space="0" w:color="auto"/>
          </w:divBdr>
          <w:divsChild>
            <w:div w:id="1512178568">
              <w:marLeft w:val="0"/>
              <w:marRight w:val="0"/>
              <w:marTop w:val="0"/>
              <w:marBottom w:val="0"/>
              <w:divBdr>
                <w:top w:val="none" w:sz="0" w:space="0" w:color="auto"/>
                <w:left w:val="none" w:sz="0" w:space="0" w:color="auto"/>
                <w:bottom w:val="none" w:sz="0" w:space="0" w:color="auto"/>
                <w:right w:val="none" w:sz="0" w:space="0" w:color="auto"/>
              </w:divBdr>
            </w:div>
          </w:divsChild>
        </w:div>
        <w:div w:id="346298261">
          <w:marLeft w:val="0"/>
          <w:marRight w:val="0"/>
          <w:marTop w:val="0"/>
          <w:marBottom w:val="0"/>
          <w:divBdr>
            <w:top w:val="none" w:sz="0" w:space="0" w:color="auto"/>
            <w:left w:val="none" w:sz="0" w:space="0" w:color="auto"/>
            <w:bottom w:val="none" w:sz="0" w:space="0" w:color="auto"/>
            <w:right w:val="none" w:sz="0" w:space="0" w:color="auto"/>
          </w:divBdr>
          <w:divsChild>
            <w:div w:id="1410419464">
              <w:marLeft w:val="0"/>
              <w:marRight w:val="0"/>
              <w:marTop w:val="0"/>
              <w:marBottom w:val="0"/>
              <w:divBdr>
                <w:top w:val="none" w:sz="0" w:space="0" w:color="auto"/>
                <w:left w:val="none" w:sz="0" w:space="0" w:color="auto"/>
                <w:bottom w:val="none" w:sz="0" w:space="0" w:color="auto"/>
                <w:right w:val="none" w:sz="0" w:space="0" w:color="auto"/>
              </w:divBdr>
            </w:div>
          </w:divsChild>
        </w:div>
        <w:div w:id="401413801">
          <w:marLeft w:val="0"/>
          <w:marRight w:val="0"/>
          <w:marTop w:val="0"/>
          <w:marBottom w:val="0"/>
          <w:divBdr>
            <w:top w:val="none" w:sz="0" w:space="0" w:color="auto"/>
            <w:left w:val="none" w:sz="0" w:space="0" w:color="auto"/>
            <w:bottom w:val="none" w:sz="0" w:space="0" w:color="auto"/>
            <w:right w:val="none" w:sz="0" w:space="0" w:color="auto"/>
          </w:divBdr>
          <w:divsChild>
            <w:div w:id="239339364">
              <w:marLeft w:val="0"/>
              <w:marRight w:val="0"/>
              <w:marTop w:val="0"/>
              <w:marBottom w:val="0"/>
              <w:divBdr>
                <w:top w:val="none" w:sz="0" w:space="0" w:color="auto"/>
                <w:left w:val="none" w:sz="0" w:space="0" w:color="auto"/>
                <w:bottom w:val="none" w:sz="0" w:space="0" w:color="auto"/>
                <w:right w:val="none" w:sz="0" w:space="0" w:color="auto"/>
              </w:divBdr>
            </w:div>
          </w:divsChild>
        </w:div>
        <w:div w:id="418675209">
          <w:marLeft w:val="0"/>
          <w:marRight w:val="0"/>
          <w:marTop w:val="0"/>
          <w:marBottom w:val="0"/>
          <w:divBdr>
            <w:top w:val="none" w:sz="0" w:space="0" w:color="auto"/>
            <w:left w:val="none" w:sz="0" w:space="0" w:color="auto"/>
            <w:bottom w:val="none" w:sz="0" w:space="0" w:color="auto"/>
            <w:right w:val="none" w:sz="0" w:space="0" w:color="auto"/>
          </w:divBdr>
          <w:divsChild>
            <w:div w:id="1618366460">
              <w:marLeft w:val="0"/>
              <w:marRight w:val="0"/>
              <w:marTop w:val="0"/>
              <w:marBottom w:val="0"/>
              <w:divBdr>
                <w:top w:val="none" w:sz="0" w:space="0" w:color="auto"/>
                <w:left w:val="none" w:sz="0" w:space="0" w:color="auto"/>
                <w:bottom w:val="none" w:sz="0" w:space="0" w:color="auto"/>
                <w:right w:val="none" w:sz="0" w:space="0" w:color="auto"/>
              </w:divBdr>
            </w:div>
          </w:divsChild>
        </w:div>
        <w:div w:id="460851997">
          <w:marLeft w:val="0"/>
          <w:marRight w:val="0"/>
          <w:marTop w:val="0"/>
          <w:marBottom w:val="0"/>
          <w:divBdr>
            <w:top w:val="none" w:sz="0" w:space="0" w:color="auto"/>
            <w:left w:val="none" w:sz="0" w:space="0" w:color="auto"/>
            <w:bottom w:val="none" w:sz="0" w:space="0" w:color="auto"/>
            <w:right w:val="none" w:sz="0" w:space="0" w:color="auto"/>
          </w:divBdr>
          <w:divsChild>
            <w:div w:id="345979759">
              <w:marLeft w:val="0"/>
              <w:marRight w:val="0"/>
              <w:marTop w:val="0"/>
              <w:marBottom w:val="0"/>
              <w:divBdr>
                <w:top w:val="none" w:sz="0" w:space="0" w:color="auto"/>
                <w:left w:val="none" w:sz="0" w:space="0" w:color="auto"/>
                <w:bottom w:val="none" w:sz="0" w:space="0" w:color="auto"/>
                <w:right w:val="none" w:sz="0" w:space="0" w:color="auto"/>
              </w:divBdr>
            </w:div>
          </w:divsChild>
        </w:div>
        <w:div w:id="467207904">
          <w:marLeft w:val="0"/>
          <w:marRight w:val="0"/>
          <w:marTop w:val="0"/>
          <w:marBottom w:val="0"/>
          <w:divBdr>
            <w:top w:val="none" w:sz="0" w:space="0" w:color="auto"/>
            <w:left w:val="none" w:sz="0" w:space="0" w:color="auto"/>
            <w:bottom w:val="none" w:sz="0" w:space="0" w:color="auto"/>
            <w:right w:val="none" w:sz="0" w:space="0" w:color="auto"/>
          </w:divBdr>
          <w:divsChild>
            <w:div w:id="1754282262">
              <w:marLeft w:val="0"/>
              <w:marRight w:val="0"/>
              <w:marTop w:val="0"/>
              <w:marBottom w:val="0"/>
              <w:divBdr>
                <w:top w:val="none" w:sz="0" w:space="0" w:color="auto"/>
                <w:left w:val="none" w:sz="0" w:space="0" w:color="auto"/>
                <w:bottom w:val="none" w:sz="0" w:space="0" w:color="auto"/>
                <w:right w:val="none" w:sz="0" w:space="0" w:color="auto"/>
              </w:divBdr>
            </w:div>
          </w:divsChild>
        </w:div>
        <w:div w:id="495076352">
          <w:marLeft w:val="0"/>
          <w:marRight w:val="0"/>
          <w:marTop w:val="0"/>
          <w:marBottom w:val="0"/>
          <w:divBdr>
            <w:top w:val="none" w:sz="0" w:space="0" w:color="auto"/>
            <w:left w:val="none" w:sz="0" w:space="0" w:color="auto"/>
            <w:bottom w:val="none" w:sz="0" w:space="0" w:color="auto"/>
            <w:right w:val="none" w:sz="0" w:space="0" w:color="auto"/>
          </w:divBdr>
          <w:divsChild>
            <w:div w:id="1409695062">
              <w:marLeft w:val="0"/>
              <w:marRight w:val="0"/>
              <w:marTop w:val="0"/>
              <w:marBottom w:val="0"/>
              <w:divBdr>
                <w:top w:val="none" w:sz="0" w:space="0" w:color="auto"/>
                <w:left w:val="none" w:sz="0" w:space="0" w:color="auto"/>
                <w:bottom w:val="none" w:sz="0" w:space="0" w:color="auto"/>
                <w:right w:val="none" w:sz="0" w:space="0" w:color="auto"/>
              </w:divBdr>
            </w:div>
          </w:divsChild>
        </w:div>
        <w:div w:id="520706124">
          <w:marLeft w:val="0"/>
          <w:marRight w:val="0"/>
          <w:marTop w:val="0"/>
          <w:marBottom w:val="0"/>
          <w:divBdr>
            <w:top w:val="none" w:sz="0" w:space="0" w:color="auto"/>
            <w:left w:val="none" w:sz="0" w:space="0" w:color="auto"/>
            <w:bottom w:val="none" w:sz="0" w:space="0" w:color="auto"/>
            <w:right w:val="none" w:sz="0" w:space="0" w:color="auto"/>
          </w:divBdr>
          <w:divsChild>
            <w:div w:id="2085376010">
              <w:marLeft w:val="0"/>
              <w:marRight w:val="0"/>
              <w:marTop w:val="0"/>
              <w:marBottom w:val="0"/>
              <w:divBdr>
                <w:top w:val="none" w:sz="0" w:space="0" w:color="auto"/>
                <w:left w:val="none" w:sz="0" w:space="0" w:color="auto"/>
                <w:bottom w:val="none" w:sz="0" w:space="0" w:color="auto"/>
                <w:right w:val="none" w:sz="0" w:space="0" w:color="auto"/>
              </w:divBdr>
            </w:div>
          </w:divsChild>
        </w:div>
        <w:div w:id="652679469">
          <w:marLeft w:val="0"/>
          <w:marRight w:val="0"/>
          <w:marTop w:val="0"/>
          <w:marBottom w:val="0"/>
          <w:divBdr>
            <w:top w:val="none" w:sz="0" w:space="0" w:color="auto"/>
            <w:left w:val="none" w:sz="0" w:space="0" w:color="auto"/>
            <w:bottom w:val="none" w:sz="0" w:space="0" w:color="auto"/>
            <w:right w:val="none" w:sz="0" w:space="0" w:color="auto"/>
          </w:divBdr>
          <w:divsChild>
            <w:div w:id="1756245667">
              <w:marLeft w:val="0"/>
              <w:marRight w:val="0"/>
              <w:marTop w:val="0"/>
              <w:marBottom w:val="0"/>
              <w:divBdr>
                <w:top w:val="none" w:sz="0" w:space="0" w:color="auto"/>
                <w:left w:val="none" w:sz="0" w:space="0" w:color="auto"/>
                <w:bottom w:val="none" w:sz="0" w:space="0" w:color="auto"/>
                <w:right w:val="none" w:sz="0" w:space="0" w:color="auto"/>
              </w:divBdr>
            </w:div>
          </w:divsChild>
        </w:div>
        <w:div w:id="660233788">
          <w:marLeft w:val="0"/>
          <w:marRight w:val="0"/>
          <w:marTop w:val="0"/>
          <w:marBottom w:val="0"/>
          <w:divBdr>
            <w:top w:val="none" w:sz="0" w:space="0" w:color="auto"/>
            <w:left w:val="none" w:sz="0" w:space="0" w:color="auto"/>
            <w:bottom w:val="none" w:sz="0" w:space="0" w:color="auto"/>
            <w:right w:val="none" w:sz="0" w:space="0" w:color="auto"/>
          </w:divBdr>
          <w:divsChild>
            <w:div w:id="1146049343">
              <w:marLeft w:val="0"/>
              <w:marRight w:val="0"/>
              <w:marTop w:val="0"/>
              <w:marBottom w:val="0"/>
              <w:divBdr>
                <w:top w:val="none" w:sz="0" w:space="0" w:color="auto"/>
                <w:left w:val="none" w:sz="0" w:space="0" w:color="auto"/>
                <w:bottom w:val="none" w:sz="0" w:space="0" w:color="auto"/>
                <w:right w:val="none" w:sz="0" w:space="0" w:color="auto"/>
              </w:divBdr>
            </w:div>
          </w:divsChild>
        </w:div>
        <w:div w:id="670641735">
          <w:marLeft w:val="0"/>
          <w:marRight w:val="0"/>
          <w:marTop w:val="0"/>
          <w:marBottom w:val="0"/>
          <w:divBdr>
            <w:top w:val="none" w:sz="0" w:space="0" w:color="auto"/>
            <w:left w:val="none" w:sz="0" w:space="0" w:color="auto"/>
            <w:bottom w:val="none" w:sz="0" w:space="0" w:color="auto"/>
            <w:right w:val="none" w:sz="0" w:space="0" w:color="auto"/>
          </w:divBdr>
          <w:divsChild>
            <w:div w:id="1579825807">
              <w:marLeft w:val="0"/>
              <w:marRight w:val="0"/>
              <w:marTop w:val="0"/>
              <w:marBottom w:val="0"/>
              <w:divBdr>
                <w:top w:val="none" w:sz="0" w:space="0" w:color="auto"/>
                <w:left w:val="none" w:sz="0" w:space="0" w:color="auto"/>
                <w:bottom w:val="none" w:sz="0" w:space="0" w:color="auto"/>
                <w:right w:val="none" w:sz="0" w:space="0" w:color="auto"/>
              </w:divBdr>
            </w:div>
          </w:divsChild>
        </w:div>
        <w:div w:id="672033127">
          <w:marLeft w:val="0"/>
          <w:marRight w:val="0"/>
          <w:marTop w:val="0"/>
          <w:marBottom w:val="0"/>
          <w:divBdr>
            <w:top w:val="none" w:sz="0" w:space="0" w:color="auto"/>
            <w:left w:val="none" w:sz="0" w:space="0" w:color="auto"/>
            <w:bottom w:val="none" w:sz="0" w:space="0" w:color="auto"/>
            <w:right w:val="none" w:sz="0" w:space="0" w:color="auto"/>
          </w:divBdr>
          <w:divsChild>
            <w:div w:id="582222439">
              <w:marLeft w:val="0"/>
              <w:marRight w:val="0"/>
              <w:marTop w:val="0"/>
              <w:marBottom w:val="0"/>
              <w:divBdr>
                <w:top w:val="none" w:sz="0" w:space="0" w:color="auto"/>
                <w:left w:val="none" w:sz="0" w:space="0" w:color="auto"/>
                <w:bottom w:val="none" w:sz="0" w:space="0" w:color="auto"/>
                <w:right w:val="none" w:sz="0" w:space="0" w:color="auto"/>
              </w:divBdr>
            </w:div>
          </w:divsChild>
        </w:div>
        <w:div w:id="672491153">
          <w:marLeft w:val="0"/>
          <w:marRight w:val="0"/>
          <w:marTop w:val="0"/>
          <w:marBottom w:val="0"/>
          <w:divBdr>
            <w:top w:val="none" w:sz="0" w:space="0" w:color="auto"/>
            <w:left w:val="none" w:sz="0" w:space="0" w:color="auto"/>
            <w:bottom w:val="none" w:sz="0" w:space="0" w:color="auto"/>
            <w:right w:val="none" w:sz="0" w:space="0" w:color="auto"/>
          </w:divBdr>
          <w:divsChild>
            <w:div w:id="789275669">
              <w:marLeft w:val="0"/>
              <w:marRight w:val="0"/>
              <w:marTop w:val="0"/>
              <w:marBottom w:val="0"/>
              <w:divBdr>
                <w:top w:val="none" w:sz="0" w:space="0" w:color="auto"/>
                <w:left w:val="none" w:sz="0" w:space="0" w:color="auto"/>
                <w:bottom w:val="none" w:sz="0" w:space="0" w:color="auto"/>
                <w:right w:val="none" w:sz="0" w:space="0" w:color="auto"/>
              </w:divBdr>
            </w:div>
          </w:divsChild>
        </w:div>
        <w:div w:id="738215915">
          <w:marLeft w:val="0"/>
          <w:marRight w:val="0"/>
          <w:marTop w:val="0"/>
          <w:marBottom w:val="0"/>
          <w:divBdr>
            <w:top w:val="none" w:sz="0" w:space="0" w:color="auto"/>
            <w:left w:val="none" w:sz="0" w:space="0" w:color="auto"/>
            <w:bottom w:val="none" w:sz="0" w:space="0" w:color="auto"/>
            <w:right w:val="none" w:sz="0" w:space="0" w:color="auto"/>
          </w:divBdr>
          <w:divsChild>
            <w:div w:id="1204949027">
              <w:marLeft w:val="0"/>
              <w:marRight w:val="0"/>
              <w:marTop w:val="0"/>
              <w:marBottom w:val="0"/>
              <w:divBdr>
                <w:top w:val="none" w:sz="0" w:space="0" w:color="auto"/>
                <w:left w:val="none" w:sz="0" w:space="0" w:color="auto"/>
                <w:bottom w:val="none" w:sz="0" w:space="0" w:color="auto"/>
                <w:right w:val="none" w:sz="0" w:space="0" w:color="auto"/>
              </w:divBdr>
            </w:div>
            <w:div w:id="1757822565">
              <w:marLeft w:val="0"/>
              <w:marRight w:val="0"/>
              <w:marTop w:val="0"/>
              <w:marBottom w:val="0"/>
              <w:divBdr>
                <w:top w:val="none" w:sz="0" w:space="0" w:color="auto"/>
                <w:left w:val="none" w:sz="0" w:space="0" w:color="auto"/>
                <w:bottom w:val="none" w:sz="0" w:space="0" w:color="auto"/>
                <w:right w:val="none" w:sz="0" w:space="0" w:color="auto"/>
              </w:divBdr>
            </w:div>
          </w:divsChild>
        </w:div>
        <w:div w:id="767896892">
          <w:marLeft w:val="0"/>
          <w:marRight w:val="0"/>
          <w:marTop w:val="0"/>
          <w:marBottom w:val="0"/>
          <w:divBdr>
            <w:top w:val="none" w:sz="0" w:space="0" w:color="auto"/>
            <w:left w:val="none" w:sz="0" w:space="0" w:color="auto"/>
            <w:bottom w:val="none" w:sz="0" w:space="0" w:color="auto"/>
            <w:right w:val="none" w:sz="0" w:space="0" w:color="auto"/>
          </w:divBdr>
          <w:divsChild>
            <w:div w:id="1257254423">
              <w:marLeft w:val="0"/>
              <w:marRight w:val="0"/>
              <w:marTop w:val="0"/>
              <w:marBottom w:val="0"/>
              <w:divBdr>
                <w:top w:val="none" w:sz="0" w:space="0" w:color="auto"/>
                <w:left w:val="none" w:sz="0" w:space="0" w:color="auto"/>
                <w:bottom w:val="none" w:sz="0" w:space="0" w:color="auto"/>
                <w:right w:val="none" w:sz="0" w:space="0" w:color="auto"/>
              </w:divBdr>
            </w:div>
          </w:divsChild>
        </w:div>
        <w:div w:id="906259672">
          <w:marLeft w:val="0"/>
          <w:marRight w:val="0"/>
          <w:marTop w:val="0"/>
          <w:marBottom w:val="0"/>
          <w:divBdr>
            <w:top w:val="none" w:sz="0" w:space="0" w:color="auto"/>
            <w:left w:val="none" w:sz="0" w:space="0" w:color="auto"/>
            <w:bottom w:val="none" w:sz="0" w:space="0" w:color="auto"/>
            <w:right w:val="none" w:sz="0" w:space="0" w:color="auto"/>
          </w:divBdr>
          <w:divsChild>
            <w:div w:id="2019578493">
              <w:marLeft w:val="0"/>
              <w:marRight w:val="0"/>
              <w:marTop w:val="0"/>
              <w:marBottom w:val="0"/>
              <w:divBdr>
                <w:top w:val="none" w:sz="0" w:space="0" w:color="auto"/>
                <w:left w:val="none" w:sz="0" w:space="0" w:color="auto"/>
                <w:bottom w:val="none" w:sz="0" w:space="0" w:color="auto"/>
                <w:right w:val="none" w:sz="0" w:space="0" w:color="auto"/>
              </w:divBdr>
            </w:div>
          </w:divsChild>
        </w:div>
        <w:div w:id="921765581">
          <w:marLeft w:val="0"/>
          <w:marRight w:val="0"/>
          <w:marTop w:val="0"/>
          <w:marBottom w:val="0"/>
          <w:divBdr>
            <w:top w:val="none" w:sz="0" w:space="0" w:color="auto"/>
            <w:left w:val="none" w:sz="0" w:space="0" w:color="auto"/>
            <w:bottom w:val="none" w:sz="0" w:space="0" w:color="auto"/>
            <w:right w:val="none" w:sz="0" w:space="0" w:color="auto"/>
          </w:divBdr>
          <w:divsChild>
            <w:div w:id="295991067">
              <w:marLeft w:val="0"/>
              <w:marRight w:val="0"/>
              <w:marTop w:val="0"/>
              <w:marBottom w:val="0"/>
              <w:divBdr>
                <w:top w:val="none" w:sz="0" w:space="0" w:color="auto"/>
                <w:left w:val="none" w:sz="0" w:space="0" w:color="auto"/>
                <w:bottom w:val="none" w:sz="0" w:space="0" w:color="auto"/>
                <w:right w:val="none" w:sz="0" w:space="0" w:color="auto"/>
              </w:divBdr>
            </w:div>
            <w:div w:id="659114049">
              <w:marLeft w:val="0"/>
              <w:marRight w:val="0"/>
              <w:marTop w:val="0"/>
              <w:marBottom w:val="0"/>
              <w:divBdr>
                <w:top w:val="none" w:sz="0" w:space="0" w:color="auto"/>
                <w:left w:val="none" w:sz="0" w:space="0" w:color="auto"/>
                <w:bottom w:val="none" w:sz="0" w:space="0" w:color="auto"/>
                <w:right w:val="none" w:sz="0" w:space="0" w:color="auto"/>
              </w:divBdr>
            </w:div>
            <w:div w:id="1022707386">
              <w:marLeft w:val="0"/>
              <w:marRight w:val="0"/>
              <w:marTop w:val="0"/>
              <w:marBottom w:val="0"/>
              <w:divBdr>
                <w:top w:val="none" w:sz="0" w:space="0" w:color="auto"/>
                <w:left w:val="none" w:sz="0" w:space="0" w:color="auto"/>
                <w:bottom w:val="none" w:sz="0" w:space="0" w:color="auto"/>
                <w:right w:val="none" w:sz="0" w:space="0" w:color="auto"/>
              </w:divBdr>
            </w:div>
            <w:div w:id="1446650987">
              <w:marLeft w:val="0"/>
              <w:marRight w:val="0"/>
              <w:marTop w:val="0"/>
              <w:marBottom w:val="0"/>
              <w:divBdr>
                <w:top w:val="none" w:sz="0" w:space="0" w:color="auto"/>
                <w:left w:val="none" w:sz="0" w:space="0" w:color="auto"/>
                <w:bottom w:val="none" w:sz="0" w:space="0" w:color="auto"/>
                <w:right w:val="none" w:sz="0" w:space="0" w:color="auto"/>
              </w:divBdr>
            </w:div>
            <w:div w:id="1657762134">
              <w:marLeft w:val="0"/>
              <w:marRight w:val="0"/>
              <w:marTop w:val="0"/>
              <w:marBottom w:val="0"/>
              <w:divBdr>
                <w:top w:val="none" w:sz="0" w:space="0" w:color="auto"/>
                <w:left w:val="none" w:sz="0" w:space="0" w:color="auto"/>
                <w:bottom w:val="none" w:sz="0" w:space="0" w:color="auto"/>
                <w:right w:val="none" w:sz="0" w:space="0" w:color="auto"/>
              </w:divBdr>
            </w:div>
            <w:div w:id="1728340443">
              <w:marLeft w:val="0"/>
              <w:marRight w:val="0"/>
              <w:marTop w:val="0"/>
              <w:marBottom w:val="0"/>
              <w:divBdr>
                <w:top w:val="none" w:sz="0" w:space="0" w:color="auto"/>
                <w:left w:val="none" w:sz="0" w:space="0" w:color="auto"/>
                <w:bottom w:val="none" w:sz="0" w:space="0" w:color="auto"/>
                <w:right w:val="none" w:sz="0" w:space="0" w:color="auto"/>
              </w:divBdr>
            </w:div>
            <w:div w:id="2024090689">
              <w:marLeft w:val="0"/>
              <w:marRight w:val="0"/>
              <w:marTop w:val="0"/>
              <w:marBottom w:val="0"/>
              <w:divBdr>
                <w:top w:val="none" w:sz="0" w:space="0" w:color="auto"/>
                <w:left w:val="none" w:sz="0" w:space="0" w:color="auto"/>
                <w:bottom w:val="none" w:sz="0" w:space="0" w:color="auto"/>
                <w:right w:val="none" w:sz="0" w:space="0" w:color="auto"/>
              </w:divBdr>
            </w:div>
            <w:div w:id="2100325546">
              <w:marLeft w:val="0"/>
              <w:marRight w:val="0"/>
              <w:marTop w:val="0"/>
              <w:marBottom w:val="0"/>
              <w:divBdr>
                <w:top w:val="none" w:sz="0" w:space="0" w:color="auto"/>
                <w:left w:val="none" w:sz="0" w:space="0" w:color="auto"/>
                <w:bottom w:val="none" w:sz="0" w:space="0" w:color="auto"/>
                <w:right w:val="none" w:sz="0" w:space="0" w:color="auto"/>
              </w:divBdr>
            </w:div>
          </w:divsChild>
        </w:div>
        <w:div w:id="939485613">
          <w:marLeft w:val="0"/>
          <w:marRight w:val="0"/>
          <w:marTop w:val="0"/>
          <w:marBottom w:val="0"/>
          <w:divBdr>
            <w:top w:val="none" w:sz="0" w:space="0" w:color="auto"/>
            <w:left w:val="none" w:sz="0" w:space="0" w:color="auto"/>
            <w:bottom w:val="none" w:sz="0" w:space="0" w:color="auto"/>
            <w:right w:val="none" w:sz="0" w:space="0" w:color="auto"/>
          </w:divBdr>
          <w:divsChild>
            <w:div w:id="864755422">
              <w:marLeft w:val="0"/>
              <w:marRight w:val="0"/>
              <w:marTop w:val="0"/>
              <w:marBottom w:val="0"/>
              <w:divBdr>
                <w:top w:val="none" w:sz="0" w:space="0" w:color="auto"/>
                <w:left w:val="none" w:sz="0" w:space="0" w:color="auto"/>
                <w:bottom w:val="none" w:sz="0" w:space="0" w:color="auto"/>
                <w:right w:val="none" w:sz="0" w:space="0" w:color="auto"/>
              </w:divBdr>
            </w:div>
          </w:divsChild>
        </w:div>
        <w:div w:id="946540493">
          <w:marLeft w:val="0"/>
          <w:marRight w:val="0"/>
          <w:marTop w:val="0"/>
          <w:marBottom w:val="0"/>
          <w:divBdr>
            <w:top w:val="none" w:sz="0" w:space="0" w:color="auto"/>
            <w:left w:val="none" w:sz="0" w:space="0" w:color="auto"/>
            <w:bottom w:val="none" w:sz="0" w:space="0" w:color="auto"/>
            <w:right w:val="none" w:sz="0" w:space="0" w:color="auto"/>
          </w:divBdr>
          <w:divsChild>
            <w:div w:id="615907930">
              <w:marLeft w:val="0"/>
              <w:marRight w:val="0"/>
              <w:marTop w:val="0"/>
              <w:marBottom w:val="0"/>
              <w:divBdr>
                <w:top w:val="none" w:sz="0" w:space="0" w:color="auto"/>
                <w:left w:val="none" w:sz="0" w:space="0" w:color="auto"/>
                <w:bottom w:val="none" w:sz="0" w:space="0" w:color="auto"/>
                <w:right w:val="none" w:sz="0" w:space="0" w:color="auto"/>
              </w:divBdr>
            </w:div>
          </w:divsChild>
        </w:div>
        <w:div w:id="949312167">
          <w:marLeft w:val="0"/>
          <w:marRight w:val="0"/>
          <w:marTop w:val="0"/>
          <w:marBottom w:val="0"/>
          <w:divBdr>
            <w:top w:val="none" w:sz="0" w:space="0" w:color="auto"/>
            <w:left w:val="none" w:sz="0" w:space="0" w:color="auto"/>
            <w:bottom w:val="none" w:sz="0" w:space="0" w:color="auto"/>
            <w:right w:val="none" w:sz="0" w:space="0" w:color="auto"/>
          </w:divBdr>
          <w:divsChild>
            <w:div w:id="1251501875">
              <w:marLeft w:val="0"/>
              <w:marRight w:val="0"/>
              <w:marTop w:val="0"/>
              <w:marBottom w:val="0"/>
              <w:divBdr>
                <w:top w:val="none" w:sz="0" w:space="0" w:color="auto"/>
                <w:left w:val="none" w:sz="0" w:space="0" w:color="auto"/>
                <w:bottom w:val="none" w:sz="0" w:space="0" w:color="auto"/>
                <w:right w:val="none" w:sz="0" w:space="0" w:color="auto"/>
              </w:divBdr>
            </w:div>
          </w:divsChild>
        </w:div>
        <w:div w:id="1044016595">
          <w:marLeft w:val="0"/>
          <w:marRight w:val="0"/>
          <w:marTop w:val="0"/>
          <w:marBottom w:val="0"/>
          <w:divBdr>
            <w:top w:val="none" w:sz="0" w:space="0" w:color="auto"/>
            <w:left w:val="none" w:sz="0" w:space="0" w:color="auto"/>
            <w:bottom w:val="none" w:sz="0" w:space="0" w:color="auto"/>
            <w:right w:val="none" w:sz="0" w:space="0" w:color="auto"/>
          </w:divBdr>
          <w:divsChild>
            <w:div w:id="2041316697">
              <w:marLeft w:val="0"/>
              <w:marRight w:val="0"/>
              <w:marTop w:val="0"/>
              <w:marBottom w:val="0"/>
              <w:divBdr>
                <w:top w:val="none" w:sz="0" w:space="0" w:color="auto"/>
                <w:left w:val="none" w:sz="0" w:space="0" w:color="auto"/>
                <w:bottom w:val="none" w:sz="0" w:space="0" w:color="auto"/>
                <w:right w:val="none" w:sz="0" w:space="0" w:color="auto"/>
              </w:divBdr>
            </w:div>
          </w:divsChild>
        </w:div>
        <w:div w:id="1157260364">
          <w:marLeft w:val="0"/>
          <w:marRight w:val="0"/>
          <w:marTop w:val="0"/>
          <w:marBottom w:val="0"/>
          <w:divBdr>
            <w:top w:val="none" w:sz="0" w:space="0" w:color="auto"/>
            <w:left w:val="none" w:sz="0" w:space="0" w:color="auto"/>
            <w:bottom w:val="none" w:sz="0" w:space="0" w:color="auto"/>
            <w:right w:val="none" w:sz="0" w:space="0" w:color="auto"/>
          </w:divBdr>
          <w:divsChild>
            <w:div w:id="1220288125">
              <w:marLeft w:val="0"/>
              <w:marRight w:val="0"/>
              <w:marTop w:val="0"/>
              <w:marBottom w:val="0"/>
              <w:divBdr>
                <w:top w:val="none" w:sz="0" w:space="0" w:color="auto"/>
                <w:left w:val="none" w:sz="0" w:space="0" w:color="auto"/>
                <w:bottom w:val="none" w:sz="0" w:space="0" w:color="auto"/>
                <w:right w:val="none" w:sz="0" w:space="0" w:color="auto"/>
              </w:divBdr>
            </w:div>
          </w:divsChild>
        </w:div>
        <w:div w:id="1223129223">
          <w:marLeft w:val="0"/>
          <w:marRight w:val="0"/>
          <w:marTop w:val="0"/>
          <w:marBottom w:val="0"/>
          <w:divBdr>
            <w:top w:val="none" w:sz="0" w:space="0" w:color="auto"/>
            <w:left w:val="none" w:sz="0" w:space="0" w:color="auto"/>
            <w:bottom w:val="none" w:sz="0" w:space="0" w:color="auto"/>
            <w:right w:val="none" w:sz="0" w:space="0" w:color="auto"/>
          </w:divBdr>
          <w:divsChild>
            <w:div w:id="1718699732">
              <w:marLeft w:val="0"/>
              <w:marRight w:val="0"/>
              <w:marTop w:val="0"/>
              <w:marBottom w:val="0"/>
              <w:divBdr>
                <w:top w:val="none" w:sz="0" w:space="0" w:color="auto"/>
                <w:left w:val="none" w:sz="0" w:space="0" w:color="auto"/>
                <w:bottom w:val="none" w:sz="0" w:space="0" w:color="auto"/>
                <w:right w:val="none" w:sz="0" w:space="0" w:color="auto"/>
              </w:divBdr>
            </w:div>
          </w:divsChild>
        </w:div>
        <w:div w:id="1283265125">
          <w:marLeft w:val="0"/>
          <w:marRight w:val="0"/>
          <w:marTop w:val="0"/>
          <w:marBottom w:val="0"/>
          <w:divBdr>
            <w:top w:val="none" w:sz="0" w:space="0" w:color="auto"/>
            <w:left w:val="none" w:sz="0" w:space="0" w:color="auto"/>
            <w:bottom w:val="none" w:sz="0" w:space="0" w:color="auto"/>
            <w:right w:val="none" w:sz="0" w:space="0" w:color="auto"/>
          </w:divBdr>
          <w:divsChild>
            <w:div w:id="1813869698">
              <w:marLeft w:val="0"/>
              <w:marRight w:val="0"/>
              <w:marTop w:val="0"/>
              <w:marBottom w:val="0"/>
              <w:divBdr>
                <w:top w:val="none" w:sz="0" w:space="0" w:color="auto"/>
                <w:left w:val="none" w:sz="0" w:space="0" w:color="auto"/>
                <w:bottom w:val="none" w:sz="0" w:space="0" w:color="auto"/>
                <w:right w:val="none" w:sz="0" w:space="0" w:color="auto"/>
              </w:divBdr>
            </w:div>
          </w:divsChild>
        </w:div>
        <w:div w:id="1370453126">
          <w:marLeft w:val="0"/>
          <w:marRight w:val="0"/>
          <w:marTop w:val="0"/>
          <w:marBottom w:val="0"/>
          <w:divBdr>
            <w:top w:val="none" w:sz="0" w:space="0" w:color="auto"/>
            <w:left w:val="none" w:sz="0" w:space="0" w:color="auto"/>
            <w:bottom w:val="none" w:sz="0" w:space="0" w:color="auto"/>
            <w:right w:val="none" w:sz="0" w:space="0" w:color="auto"/>
          </w:divBdr>
          <w:divsChild>
            <w:div w:id="828210877">
              <w:marLeft w:val="0"/>
              <w:marRight w:val="0"/>
              <w:marTop w:val="0"/>
              <w:marBottom w:val="0"/>
              <w:divBdr>
                <w:top w:val="none" w:sz="0" w:space="0" w:color="auto"/>
                <w:left w:val="none" w:sz="0" w:space="0" w:color="auto"/>
                <w:bottom w:val="none" w:sz="0" w:space="0" w:color="auto"/>
                <w:right w:val="none" w:sz="0" w:space="0" w:color="auto"/>
              </w:divBdr>
            </w:div>
          </w:divsChild>
        </w:div>
        <w:div w:id="1371227450">
          <w:marLeft w:val="0"/>
          <w:marRight w:val="0"/>
          <w:marTop w:val="0"/>
          <w:marBottom w:val="0"/>
          <w:divBdr>
            <w:top w:val="none" w:sz="0" w:space="0" w:color="auto"/>
            <w:left w:val="none" w:sz="0" w:space="0" w:color="auto"/>
            <w:bottom w:val="none" w:sz="0" w:space="0" w:color="auto"/>
            <w:right w:val="none" w:sz="0" w:space="0" w:color="auto"/>
          </w:divBdr>
          <w:divsChild>
            <w:div w:id="900362457">
              <w:marLeft w:val="0"/>
              <w:marRight w:val="0"/>
              <w:marTop w:val="0"/>
              <w:marBottom w:val="0"/>
              <w:divBdr>
                <w:top w:val="none" w:sz="0" w:space="0" w:color="auto"/>
                <w:left w:val="none" w:sz="0" w:space="0" w:color="auto"/>
                <w:bottom w:val="none" w:sz="0" w:space="0" w:color="auto"/>
                <w:right w:val="none" w:sz="0" w:space="0" w:color="auto"/>
              </w:divBdr>
            </w:div>
          </w:divsChild>
        </w:div>
        <w:div w:id="1395273421">
          <w:marLeft w:val="0"/>
          <w:marRight w:val="0"/>
          <w:marTop w:val="0"/>
          <w:marBottom w:val="0"/>
          <w:divBdr>
            <w:top w:val="none" w:sz="0" w:space="0" w:color="auto"/>
            <w:left w:val="none" w:sz="0" w:space="0" w:color="auto"/>
            <w:bottom w:val="none" w:sz="0" w:space="0" w:color="auto"/>
            <w:right w:val="none" w:sz="0" w:space="0" w:color="auto"/>
          </w:divBdr>
          <w:divsChild>
            <w:div w:id="1753165963">
              <w:marLeft w:val="0"/>
              <w:marRight w:val="0"/>
              <w:marTop w:val="0"/>
              <w:marBottom w:val="0"/>
              <w:divBdr>
                <w:top w:val="none" w:sz="0" w:space="0" w:color="auto"/>
                <w:left w:val="none" w:sz="0" w:space="0" w:color="auto"/>
                <w:bottom w:val="none" w:sz="0" w:space="0" w:color="auto"/>
                <w:right w:val="none" w:sz="0" w:space="0" w:color="auto"/>
              </w:divBdr>
            </w:div>
          </w:divsChild>
        </w:div>
        <w:div w:id="1443302986">
          <w:marLeft w:val="0"/>
          <w:marRight w:val="0"/>
          <w:marTop w:val="0"/>
          <w:marBottom w:val="0"/>
          <w:divBdr>
            <w:top w:val="none" w:sz="0" w:space="0" w:color="auto"/>
            <w:left w:val="none" w:sz="0" w:space="0" w:color="auto"/>
            <w:bottom w:val="none" w:sz="0" w:space="0" w:color="auto"/>
            <w:right w:val="none" w:sz="0" w:space="0" w:color="auto"/>
          </w:divBdr>
          <w:divsChild>
            <w:div w:id="1309168772">
              <w:marLeft w:val="0"/>
              <w:marRight w:val="0"/>
              <w:marTop w:val="0"/>
              <w:marBottom w:val="0"/>
              <w:divBdr>
                <w:top w:val="none" w:sz="0" w:space="0" w:color="auto"/>
                <w:left w:val="none" w:sz="0" w:space="0" w:color="auto"/>
                <w:bottom w:val="none" w:sz="0" w:space="0" w:color="auto"/>
                <w:right w:val="none" w:sz="0" w:space="0" w:color="auto"/>
              </w:divBdr>
            </w:div>
            <w:div w:id="2096856775">
              <w:marLeft w:val="0"/>
              <w:marRight w:val="0"/>
              <w:marTop w:val="0"/>
              <w:marBottom w:val="0"/>
              <w:divBdr>
                <w:top w:val="none" w:sz="0" w:space="0" w:color="auto"/>
                <w:left w:val="none" w:sz="0" w:space="0" w:color="auto"/>
                <w:bottom w:val="none" w:sz="0" w:space="0" w:color="auto"/>
                <w:right w:val="none" w:sz="0" w:space="0" w:color="auto"/>
              </w:divBdr>
            </w:div>
          </w:divsChild>
        </w:div>
        <w:div w:id="1452242009">
          <w:marLeft w:val="0"/>
          <w:marRight w:val="0"/>
          <w:marTop w:val="0"/>
          <w:marBottom w:val="0"/>
          <w:divBdr>
            <w:top w:val="none" w:sz="0" w:space="0" w:color="auto"/>
            <w:left w:val="none" w:sz="0" w:space="0" w:color="auto"/>
            <w:bottom w:val="none" w:sz="0" w:space="0" w:color="auto"/>
            <w:right w:val="none" w:sz="0" w:space="0" w:color="auto"/>
          </w:divBdr>
          <w:divsChild>
            <w:div w:id="1377007680">
              <w:marLeft w:val="0"/>
              <w:marRight w:val="0"/>
              <w:marTop w:val="0"/>
              <w:marBottom w:val="0"/>
              <w:divBdr>
                <w:top w:val="none" w:sz="0" w:space="0" w:color="auto"/>
                <w:left w:val="none" w:sz="0" w:space="0" w:color="auto"/>
                <w:bottom w:val="none" w:sz="0" w:space="0" w:color="auto"/>
                <w:right w:val="none" w:sz="0" w:space="0" w:color="auto"/>
              </w:divBdr>
            </w:div>
          </w:divsChild>
        </w:div>
        <w:div w:id="1495143208">
          <w:marLeft w:val="0"/>
          <w:marRight w:val="0"/>
          <w:marTop w:val="0"/>
          <w:marBottom w:val="0"/>
          <w:divBdr>
            <w:top w:val="none" w:sz="0" w:space="0" w:color="auto"/>
            <w:left w:val="none" w:sz="0" w:space="0" w:color="auto"/>
            <w:bottom w:val="none" w:sz="0" w:space="0" w:color="auto"/>
            <w:right w:val="none" w:sz="0" w:space="0" w:color="auto"/>
          </w:divBdr>
          <w:divsChild>
            <w:div w:id="1968655698">
              <w:marLeft w:val="0"/>
              <w:marRight w:val="0"/>
              <w:marTop w:val="0"/>
              <w:marBottom w:val="0"/>
              <w:divBdr>
                <w:top w:val="none" w:sz="0" w:space="0" w:color="auto"/>
                <w:left w:val="none" w:sz="0" w:space="0" w:color="auto"/>
                <w:bottom w:val="none" w:sz="0" w:space="0" w:color="auto"/>
                <w:right w:val="none" w:sz="0" w:space="0" w:color="auto"/>
              </w:divBdr>
            </w:div>
          </w:divsChild>
        </w:div>
        <w:div w:id="1523781168">
          <w:marLeft w:val="0"/>
          <w:marRight w:val="0"/>
          <w:marTop w:val="0"/>
          <w:marBottom w:val="0"/>
          <w:divBdr>
            <w:top w:val="none" w:sz="0" w:space="0" w:color="auto"/>
            <w:left w:val="none" w:sz="0" w:space="0" w:color="auto"/>
            <w:bottom w:val="none" w:sz="0" w:space="0" w:color="auto"/>
            <w:right w:val="none" w:sz="0" w:space="0" w:color="auto"/>
          </w:divBdr>
          <w:divsChild>
            <w:div w:id="1050032147">
              <w:marLeft w:val="0"/>
              <w:marRight w:val="0"/>
              <w:marTop w:val="0"/>
              <w:marBottom w:val="0"/>
              <w:divBdr>
                <w:top w:val="none" w:sz="0" w:space="0" w:color="auto"/>
                <w:left w:val="none" w:sz="0" w:space="0" w:color="auto"/>
                <w:bottom w:val="none" w:sz="0" w:space="0" w:color="auto"/>
                <w:right w:val="none" w:sz="0" w:space="0" w:color="auto"/>
              </w:divBdr>
            </w:div>
          </w:divsChild>
        </w:div>
        <w:div w:id="1540507324">
          <w:marLeft w:val="0"/>
          <w:marRight w:val="0"/>
          <w:marTop w:val="0"/>
          <w:marBottom w:val="0"/>
          <w:divBdr>
            <w:top w:val="none" w:sz="0" w:space="0" w:color="auto"/>
            <w:left w:val="none" w:sz="0" w:space="0" w:color="auto"/>
            <w:bottom w:val="none" w:sz="0" w:space="0" w:color="auto"/>
            <w:right w:val="none" w:sz="0" w:space="0" w:color="auto"/>
          </w:divBdr>
          <w:divsChild>
            <w:div w:id="681131592">
              <w:marLeft w:val="0"/>
              <w:marRight w:val="0"/>
              <w:marTop w:val="0"/>
              <w:marBottom w:val="0"/>
              <w:divBdr>
                <w:top w:val="none" w:sz="0" w:space="0" w:color="auto"/>
                <w:left w:val="none" w:sz="0" w:space="0" w:color="auto"/>
                <w:bottom w:val="none" w:sz="0" w:space="0" w:color="auto"/>
                <w:right w:val="none" w:sz="0" w:space="0" w:color="auto"/>
              </w:divBdr>
            </w:div>
          </w:divsChild>
        </w:div>
        <w:div w:id="1590889114">
          <w:marLeft w:val="0"/>
          <w:marRight w:val="0"/>
          <w:marTop w:val="0"/>
          <w:marBottom w:val="0"/>
          <w:divBdr>
            <w:top w:val="none" w:sz="0" w:space="0" w:color="auto"/>
            <w:left w:val="none" w:sz="0" w:space="0" w:color="auto"/>
            <w:bottom w:val="none" w:sz="0" w:space="0" w:color="auto"/>
            <w:right w:val="none" w:sz="0" w:space="0" w:color="auto"/>
          </w:divBdr>
          <w:divsChild>
            <w:div w:id="1932930500">
              <w:marLeft w:val="0"/>
              <w:marRight w:val="0"/>
              <w:marTop w:val="0"/>
              <w:marBottom w:val="0"/>
              <w:divBdr>
                <w:top w:val="none" w:sz="0" w:space="0" w:color="auto"/>
                <w:left w:val="none" w:sz="0" w:space="0" w:color="auto"/>
                <w:bottom w:val="none" w:sz="0" w:space="0" w:color="auto"/>
                <w:right w:val="none" w:sz="0" w:space="0" w:color="auto"/>
              </w:divBdr>
            </w:div>
          </w:divsChild>
        </w:div>
        <w:div w:id="1609312740">
          <w:marLeft w:val="0"/>
          <w:marRight w:val="0"/>
          <w:marTop w:val="0"/>
          <w:marBottom w:val="0"/>
          <w:divBdr>
            <w:top w:val="none" w:sz="0" w:space="0" w:color="auto"/>
            <w:left w:val="none" w:sz="0" w:space="0" w:color="auto"/>
            <w:bottom w:val="none" w:sz="0" w:space="0" w:color="auto"/>
            <w:right w:val="none" w:sz="0" w:space="0" w:color="auto"/>
          </w:divBdr>
          <w:divsChild>
            <w:div w:id="1375041473">
              <w:marLeft w:val="0"/>
              <w:marRight w:val="0"/>
              <w:marTop w:val="0"/>
              <w:marBottom w:val="0"/>
              <w:divBdr>
                <w:top w:val="none" w:sz="0" w:space="0" w:color="auto"/>
                <w:left w:val="none" w:sz="0" w:space="0" w:color="auto"/>
                <w:bottom w:val="none" w:sz="0" w:space="0" w:color="auto"/>
                <w:right w:val="none" w:sz="0" w:space="0" w:color="auto"/>
              </w:divBdr>
            </w:div>
          </w:divsChild>
        </w:div>
        <w:div w:id="1658535163">
          <w:marLeft w:val="0"/>
          <w:marRight w:val="0"/>
          <w:marTop w:val="0"/>
          <w:marBottom w:val="0"/>
          <w:divBdr>
            <w:top w:val="none" w:sz="0" w:space="0" w:color="auto"/>
            <w:left w:val="none" w:sz="0" w:space="0" w:color="auto"/>
            <w:bottom w:val="none" w:sz="0" w:space="0" w:color="auto"/>
            <w:right w:val="none" w:sz="0" w:space="0" w:color="auto"/>
          </w:divBdr>
          <w:divsChild>
            <w:div w:id="1880193382">
              <w:marLeft w:val="0"/>
              <w:marRight w:val="0"/>
              <w:marTop w:val="0"/>
              <w:marBottom w:val="0"/>
              <w:divBdr>
                <w:top w:val="none" w:sz="0" w:space="0" w:color="auto"/>
                <w:left w:val="none" w:sz="0" w:space="0" w:color="auto"/>
                <w:bottom w:val="none" w:sz="0" w:space="0" w:color="auto"/>
                <w:right w:val="none" w:sz="0" w:space="0" w:color="auto"/>
              </w:divBdr>
            </w:div>
          </w:divsChild>
        </w:div>
        <w:div w:id="1710254104">
          <w:marLeft w:val="0"/>
          <w:marRight w:val="0"/>
          <w:marTop w:val="0"/>
          <w:marBottom w:val="0"/>
          <w:divBdr>
            <w:top w:val="none" w:sz="0" w:space="0" w:color="auto"/>
            <w:left w:val="none" w:sz="0" w:space="0" w:color="auto"/>
            <w:bottom w:val="none" w:sz="0" w:space="0" w:color="auto"/>
            <w:right w:val="none" w:sz="0" w:space="0" w:color="auto"/>
          </w:divBdr>
          <w:divsChild>
            <w:div w:id="1181163294">
              <w:marLeft w:val="0"/>
              <w:marRight w:val="0"/>
              <w:marTop w:val="0"/>
              <w:marBottom w:val="0"/>
              <w:divBdr>
                <w:top w:val="none" w:sz="0" w:space="0" w:color="auto"/>
                <w:left w:val="none" w:sz="0" w:space="0" w:color="auto"/>
                <w:bottom w:val="none" w:sz="0" w:space="0" w:color="auto"/>
                <w:right w:val="none" w:sz="0" w:space="0" w:color="auto"/>
              </w:divBdr>
            </w:div>
          </w:divsChild>
        </w:div>
        <w:div w:id="1745027999">
          <w:marLeft w:val="0"/>
          <w:marRight w:val="0"/>
          <w:marTop w:val="0"/>
          <w:marBottom w:val="0"/>
          <w:divBdr>
            <w:top w:val="none" w:sz="0" w:space="0" w:color="auto"/>
            <w:left w:val="none" w:sz="0" w:space="0" w:color="auto"/>
            <w:bottom w:val="none" w:sz="0" w:space="0" w:color="auto"/>
            <w:right w:val="none" w:sz="0" w:space="0" w:color="auto"/>
          </w:divBdr>
          <w:divsChild>
            <w:div w:id="1944801358">
              <w:marLeft w:val="0"/>
              <w:marRight w:val="0"/>
              <w:marTop w:val="0"/>
              <w:marBottom w:val="0"/>
              <w:divBdr>
                <w:top w:val="none" w:sz="0" w:space="0" w:color="auto"/>
                <w:left w:val="none" w:sz="0" w:space="0" w:color="auto"/>
                <w:bottom w:val="none" w:sz="0" w:space="0" w:color="auto"/>
                <w:right w:val="none" w:sz="0" w:space="0" w:color="auto"/>
              </w:divBdr>
            </w:div>
          </w:divsChild>
        </w:div>
        <w:div w:id="1750806954">
          <w:marLeft w:val="0"/>
          <w:marRight w:val="0"/>
          <w:marTop w:val="0"/>
          <w:marBottom w:val="0"/>
          <w:divBdr>
            <w:top w:val="none" w:sz="0" w:space="0" w:color="auto"/>
            <w:left w:val="none" w:sz="0" w:space="0" w:color="auto"/>
            <w:bottom w:val="none" w:sz="0" w:space="0" w:color="auto"/>
            <w:right w:val="none" w:sz="0" w:space="0" w:color="auto"/>
          </w:divBdr>
          <w:divsChild>
            <w:div w:id="1718778101">
              <w:marLeft w:val="0"/>
              <w:marRight w:val="0"/>
              <w:marTop w:val="0"/>
              <w:marBottom w:val="0"/>
              <w:divBdr>
                <w:top w:val="none" w:sz="0" w:space="0" w:color="auto"/>
                <w:left w:val="none" w:sz="0" w:space="0" w:color="auto"/>
                <w:bottom w:val="none" w:sz="0" w:space="0" w:color="auto"/>
                <w:right w:val="none" w:sz="0" w:space="0" w:color="auto"/>
              </w:divBdr>
            </w:div>
          </w:divsChild>
        </w:div>
        <w:div w:id="1757747301">
          <w:marLeft w:val="0"/>
          <w:marRight w:val="0"/>
          <w:marTop w:val="0"/>
          <w:marBottom w:val="0"/>
          <w:divBdr>
            <w:top w:val="none" w:sz="0" w:space="0" w:color="auto"/>
            <w:left w:val="none" w:sz="0" w:space="0" w:color="auto"/>
            <w:bottom w:val="none" w:sz="0" w:space="0" w:color="auto"/>
            <w:right w:val="none" w:sz="0" w:space="0" w:color="auto"/>
          </w:divBdr>
          <w:divsChild>
            <w:div w:id="86508180">
              <w:marLeft w:val="0"/>
              <w:marRight w:val="0"/>
              <w:marTop w:val="0"/>
              <w:marBottom w:val="0"/>
              <w:divBdr>
                <w:top w:val="none" w:sz="0" w:space="0" w:color="auto"/>
                <w:left w:val="none" w:sz="0" w:space="0" w:color="auto"/>
                <w:bottom w:val="none" w:sz="0" w:space="0" w:color="auto"/>
                <w:right w:val="none" w:sz="0" w:space="0" w:color="auto"/>
              </w:divBdr>
            </w:div>
          </w:divsChild>
        </w:div>
        <w:div w:id="1803964691">
          <w:marLeft w:val="0"/>
          <w:marRight w:val="0"/>
          <w:marTop w:val="0"/>
          <w:marBottom w:val="0"/>
          <w:divBdr>
            <w:top w:val="none" w:sz="0" w:space="0" w:color="auto"/>
            <w:left w:val="none" w:sz="0" w:space="0" w:color="auto"/>
            <w:bottom w:val="none" w:sz="0" w:space="0" w:color="auto"/>
            <w:right w:val="none" w:sz="0" w:space="0" w:color="auto"/>
          </w:divBdr>
          <w:divsChild>
            <w:div w:id="1971979037">
              <w:marLeft w:val="0"/>
              <w:marRight w:val="0"/>
              <w:marTop w:val="0"/>
              <w:marBottom w:val="0"/>
              <w:divBdr>
                <w:top w:val="none" w:sz="0" w:space="0" w:color="auto"/>
                <w:left w:val="none" w:sz="0" w:space="0" w:color="auto"/>
                <w:bottom w:val="none" w:sz="0" w:space="0" w:color="auto"/>
                <w:right w:val="none" w:sz="0" w:space="0" w:color="auto"/>
              </w:divBdr>
            </w:div>
          </w:divsChild>
        </w:div>
        <w:div w:id="1860705018">
          <w:marLeft w:val="0"/>
          <w:marRight w:val="0"/>
          <w:marTop w:val="0"/>
          <w:marBottom w:val="0"/>
          <w:divBdr>
            <w:top w:val="none" w:sz="0" w:space="0" w:color="auto"/>
            <w:left w:val="none" w:sz="0" w:space="0" w:color="auto"/>
            <w:bottom w:val="none" w:sz="0" w:space="0" w:color="auto"/>
            <w:right w:val="none" w:sz="0" w:space="0" w:color="auto"/>
          </w:divBdr>
          <w:divsChild>
            <w:div w:id="161168591">
              <w:marLeft w:val="0"/>
              <w:marRight w:val="0"/>
              <w:marTop w:val="0"/>
              <w:marBottom w:val="0"/>
              <w:divBdr>
                <w:top w:val="none" w:sz="0" w:space="0" w:color="auto"/>
                <w:left w:val="none" w:sz="0" w:space="0" w:color="auto"/>
                <w:bottom w:val="none" w:sz="0" w:space="0" w:color="auto"/>
                <w:right w:val="none" w:sz="0" w:space="0" w:color="auto"/>
              </w:divBdr>
            </w:div>
          </w:divsChild>
        </w:div>
        <w:div w:id="1877886322">
          <w:marLeft w:val="0"/>
          <w:marRight w:val="0"/>
          <w:marTop w:val="0"/>
          <w:marBottom w:val="0"/>
          <w:divBdr>
            <w:top w:val="none" w:sz="0" w:space="0" w:color="auto"/>
            <w:left w:val="none" w:sz="0" w:space="0" w:color="auto"/>
            <w:bottom w:val="none" w:sz="0" w:space="0" w:color="auto"/>
            <w:right w:val="none" w:sz="0" w:space="0" w:color="auto"/>
          </w:divBdr>
          <w:divsChild>
            <w:div w:id="1781753893">
              <w:marLeft w:val="0"/>
              <w:marRight w:val="0"/>
              <w:marTop w:val="0"/>
              <w:marBottom w:val="0"/>
              <w:divBdr>
                <w:top w:val="none" w:sz="0" w:space="0" w:color="auto"/>
                <w:left w:val="none" w:sz="0" w:space="0" w:color="auto"/>
                <w:bottom w:val="none" w:sz="0" w:space="0" w:color="auto"/>
                <w:right w:val="none" w:sz="0" w:space="0" w:color="auto"/>
              </w:divBdr>
            </w:div>
          </w:divsChild>
        </w:div>
        <w:div w:id="1944610290">
          <w:marLeft w:val="0"/>
          <w:marRight w:val="0"/>
          <w:marTop w:val="0"/>
          <w:marBottom w:val="0"/>
          <w:divBdr>
            <w:top w:val="none" w:sz="0" w:space="0" w:color="auto"/>
            <w:left w:val="none" w:sz="0" w:space="0" w:color="auto"/>
            <w:bottom w:val="none" w:sz="0" w:space="0" w:color="auto"/>
            <w:right w:val="none" w:sz="0" w:space="0" w:color="auto"/>
          </w:divBdr>
          <w:divsChild>
            <w:div w:id="2021154986">
              <w:marLeft w:val="0"/>
              <w:marRight w:val="0"/>
              <w:marTop w:val="0"/>
              <w:marBottom w:val="0"/>
              <w:divBdr>
                <w:top w:val="none" w:sz="0" w:space="0" w:color="auto"/>
                <w:left w:val="none" w:sz="0" w:space="0" w:color="auto"/>
                <w:bottom w:val="none" w:sz="0" w:space="0" w:color="auto"/>
                <w:right w:val="none" w:sz="0" w:space="0" w:color="auto"/>
              </w:divBdr>
            </w:div>
          </w:divsChild>
        </w:div>
        <w:div w:id="1995796647">
          <w:marLeft w:val="0"/>
          <w:marRight w:val="0"/>
          <w:marTop w:val="0"/>
          <w:marBottom w:val="0"/>
          <w:divBdr>
            <w:top w:val="none" w:sz="0" w:space="0" w:color="auto"/>
            <w:left w:val="none" w:sz="0" w:space="0" w:color="auto"/>
            <w:bottom w:val="none" w:sz="0" w:space="0" w:color="auto"/>
            <w:right w:val="none" w:sz="0" w:space="0" w:color="auto"/>
          </w:divBdr>
          <w:divsChild>
            <w:div w:id="1782796740">
              <w:marLeft w:val="0"/>
              <w:marRight w:val="0"/>
              <w:marTop w:val="0"/>
              <w:marBottom w:val="0"/>
              <w:divBdr>
                <w:top w:val="none" w:sz="0" w:space="0" w:color="auto"/>
                <w:left w:val="none" w:sz="0" w:space="0" w:color="auto"/>
                <w:bottom w:val="none" w:sz="0" w:space="0" w:color="auto"/>
                <w:right w:val="none" w:sz="0" w:space="0" w:color="auto"/>
              </w:divBdr>
            </w:div>
          </w:divsChild>
        </w:div>
        <w:div w:id="2016493263">
          <w:marLeft w:val="0"/>
          <w:marRight w:val="0"/>
          <w:marTop w:val="0"/>
          <w:marBottom w:val="0"/>
          <w:divBdr>
            <w:top w:val="none" w:sz="0" w:space="0" w:color="auto"/>
            <w:left w:val="none" w:sz="0" w:space="0" w:color="auto"/>
            <w:bottom w:val="none" w:sz="0" w:space="0" w:color="auto"/>
            <w:right w:val="none" w:sz="0" w:space="0" w:color="auto"/>
          </w:divBdr>
          <w:divsChild>
            <w:div w:id="1699967461">
              <w:marLeft w:val="0"/>
              <w:marRight w:val="0"/>
              <w:marTop w:val="0"/>
              <w:marBottom w:val="0"/>
              <w:divBdr>
                <w:top w:val="none" w:sz="0" w:space="0" w:color="auto"/>
                <w:left w:val="none" w:sz="0" w:space="0" w:color="auto"/>
                <w:bottom w:val="none" w:sz="0" w:space="0" w:color="auto"/>
                <w:right w:val="none" w:sz="0" w:space="0" w:color="auto"/>
              </w:divBdr>
            </w:div>
          </w:divsChild>
        </w:div>
        <w:div w:id="2044206066">
          <w:marLeft w:val="0"/>
          <w:marRight w:val="0"/>
          <w:marTop w:val="0"/>
          <w:marBottom w:val="0"/>
          <w:divBdr>
            <w:top w:val="none" w:sz="0" w:space="0" w:color="auto"/>
            <w:left w:val="none" w:sz="0" w:space="0" w:color="auto"/>
            <w:bottom w:val="none" w:sz="0" w:space="0" w:color="auto"/>
            <w:right w:val="none" w:sz="0" w:space="0" w:color="auto"/>
          </w:divBdr>
          <w:divsChild>
            <w:div w:id="937369685">
              <w:marLeft w:val="0"/>
              <w:marRight w:val="0"/>
              <w:marTop w:val="0"/>
              <w:marBottom w:val="0"/>
              <w:divBdr>
                <w:top w:val="none" w:sz="0" w:space="0" w:color="auto"/>
                <w:left w:val="none" w:sz="0" w:space="0" w:color="auto"/>
                <w:bottom w:val="none" w:sz="0" w:space="0" w:color="auto"/>
                <w:right w:val="none" w:sz="0" w:space="0" w:color="auto"/>
              </w:divBdr>
            </w:div>
          </w:divsChild>
        </w:div>
        <w:div w:id="2065787230">
          <w:marLeft w:val="0"/>
          <w:marRight w:val="0"/>
          <w:marTop w:val="0"/>
          <w:marBottom w:val="0"/>
          <w:divBdr>
            <w:top w:val="none" w:sz="0" w:space="0" w:color="auto"/>
            <w:left w:val="none" w:sz="0" w:space="0" w:color="auto"/>
            <w:bottom w:val="none" w:sz="0" w:space="0" w:color="auto"/>
            <w:right w:val="none" w:sz="0" w:space="0" w:color="auto"/>
          </w:divBdr>
          <w:divsChild>
            <w:div w:id="150886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70061">
      <w:bodyDiv w:val="1"/>
      <w:marLeft w:val="0"/>
      <w:marRight w:val="0"/>
      <w:marTop w:val="0"/>
      <w:marBottom w:val="0"/>
      <w:divBdr>
        <w:top w:val="none" w:sz="0" w:space="0" w:color="auto"/>
        <w:left w:val="none" w:sz="0" w:space="0" w:color="auto"/>
        <w:bottom w:val="none" w:sz="0" w:space="0" w:color="auto"/>
        <w:right w:val="none" w:sz="0" w:space="0" w:color="auto"/>
      </w:divBdr>
    </w:div>
    <w:div w:id="106193564">
      <w:bodyDiv w:val="1"/>
      <w:marLeft w:val="0"/>
      <w:marRight w:val="0"/>
      <w:marTop w:val="0"/>
      <w:marBottom w:val="0"/>
      <w:divBdr>
        <w:top w:val="none" w:sz="0" w:space="0" w:color="auto"/>
        <w:left w:val="none" w:sz="0" w:space="0" w:color="auto"/>
        <w:bottom w:val="none" w:sz="0" w:space="0" w:color="auto"/>
        <w:right w:val="none" w:sz="0" w:space="0" w:color="auto"/>
      </w:divBdr>
    </w:div>
    <w:div w:id="111629643">
      <w:bodyDiv w:val="1"/>
      <w:marLeft w:val="0"/>
      <w:marRight w:val="0"/>
      <w:marTop w:val="0"/>
      <w:marBottom w:val="0"/>
      <w:divBdr>
        <w:top w:val="none" w:sz="0" w:space="0" w:color="auto"/>
        <w:left w:val="none" w:sz="0" w:space="0" w:color="auto"/>
        <w:bottom w:val="none" w:sz="0" w:space="0" w:color="auto"/>
        <w:right w:val="none" w:sz="0" w:space="0" w:color="auto"/>
      </w:divBdr>
      <w:divsChild>
        <w:div w:id="86924455">
          <w:marLeft w:val="-75"/>
          <w:marRight w:val="0"/>
          <w:marTop w:val="30"/>
          <w:marBottom w:val="30"/>
          <w:divBdr>
            <w:top w:val="none" w:sz="0" w:space="0" w:color="auto"/>
            <w:left w:val="none" w:sz="0" w:space="0" w:color="auto"/>
            <w:bottom w:val="none" w:sz="0" w:space="0" w:color="auto"/>
            <w:right w:val="none" w:sz="0" w:space="0" w:color="auto"/>
          </w:divBdr>
          <w:divsChild>
            <w:div w:id="289091644">
              <w:marLeft w:val="0"/>
              <w:marRight w:val="0"/>
              <w:marTop w:val="0"/>
              <w:marBottom w:val="0"/>
              <w:divBdr>
                <w:top w:val="none" w:sz="0" w:space="0" w:color="auto"/>
                <w:left w:val="none" w:sz="0" w:space="0" w:color="auto"/>
                <w:bottom w:val="none" w:sz="0" w:space="0" w:color="auto"/>
                <w:right w:val="none" w:sz="0" w:space="0" w:color="auto"/>
              </w:divBdr>
              <w:divsChild>
                <w:div w:id="858202718">
                  <w:marLeft w:val="0"/>
                  <w:marRight w:val="0"/>
                  <w:marTop w:val="0"/>
                  <w:marBottom w:val="0"/>
                  <w:divBdr>
                    <w:top w:val="none" w:sz="0" w:space="0" w:color="auto"/>
                    <w:left w:val="none" w:sz="0" w:space="0" w:color="auto"/>
                    <w:bottom w:val="none" w:sz="0" w:space="0" w:color="auto"/>
                    <w:right w:val="none" w:sz="0" w:space="0" w:color="auto"/>
                  </w:divBdr>
                </w:div>
              </w:divsChild>
            </w:div>
            <w:div w:id="362483621">
              <w:marLeft w:val="0"/>
              <w:marRight w:val="0"/>
              <w:marTop w:val="0"/>
              <w:marBottom w:val="0"/>
              <w:divBdr>
                <w:top w:val="none" w:sz="0" w:space="0" w:color="auto"/>
                <w:left w:val="none" w:sz="0" w:space="0" w:color="auto"/>
                <w:bottom w:val="none" w:sz="0" w:space="0" w:color="auto"/>
                <w:right w:val="none" w:sz="0" w:space="0" w:color="auto"/>
              </w:divBdr>
              <w:divsChild>
                <w:div w:id="760561639">
                  <w:marLeft w:val="0"/>
                  <w:marRight w:val="0"/>
                  <w:marTop w:val="0"/>
                  <w:marBottom w:val="0"/>
                  <w:divBdr>
                    <w:top w:val="none" w:sz="0" w:space="0" w:color="auto"/>
                    <w:left w:val="none" w:sz="0" w:space="0" w:color="auto"/>
                    <w:bottom w:val="none" w:sz="0" w:space="0" w:color="auto"/>
                    <w:right w:val="none" w:sz="0" w:space="0" w:color="auto"/>
                  </w:divBdr>
                </w:div>
              </w:divsChild>
            </w:div>
            <w:div w:id="396823186">
              <w:marLeft w:val="0"/>
              <w:marRight w:val="0"/>
              <w:marTop w:val="0"/>
              <w:marBottom w:val="0"/>
              <w:divBdr>
                <w:top w:val="none" w:sz="0" w:space="0" w:color="auto"/>
                <w:left w:val="none" w:sz="0" w:space="0" w:color="auto"/>
                <w:bottom w:val="none" w:sz="0" w:space="0" w:color="auto"/>
                <w:right w:val="none" w:sz="0" w:space="0" w:color="auto"/>
              </w:divBdr>
              <w:divsChild>
                <w:div w:id="1887720778">
                  <w:marLeft w:val="0"/>
                  <w:marRight w:val="0"/>
                  <w:marTop w:val="0"/>
                  <w:marBottom w:val="0"/>
                  <w:divBdr>
                    <w:top w:val="none" w:sz="0" w:space="0" w:color="auto"/>
                    <w:left w:val="none" w:sz="0" w:space="0" w:color="auto"/>
                    <w:bottom w:val="none" w:sz="0" w:space="0" w:color="auto"/>
                    <w:right w:val="none" w:sz="0" w:space="0" w:color="auto"/>
                  </w:divBdr>
                </w:div>
              </w:divsChild>
            </w:div>
            <w:div w:id="497186859">
              <w:marLeft w:val="0"/>
              <w:marRight w:val="0"/>
              <w:marTop w:val="0"/>
              <w:marBottom w:val="0"/>
              <w:divBdr>
                <w:top w:val="none" w:sz="0" w:space="0" w:color="auto"/>
                <w:left w:val="none" w:sz="0" w:space="0" w:color="auto"/>
                <w:bottom w:val="none" w:sz="0" w:space="0" w:color="auto"/>
                <w:right w:val="none" w:sz="0" w:space="0" w:color="auto"/>
              </w:divBdr>
              <w:divsChild>
                <w:div w:id="1553153292">
                  <w:marLeft w:val="0"/>
                  <w:marRight w:val="0"/>
                  <w:marTop w:val="0"/>
                  <w:marBottom w:val="0"/>
                  <w:divBdr>
                    <w:top w:val="none" w:sz="0" w:space="0" w:color="auto"/>
                    <w:left w:val="none" w:sz="0" w:space="0" w:color="auto"/>
                    <w:bottom w:val="none" w:sz="0" w:space="0" w:color="auto"/>
                    <w:right w:val="none" w:sz="0" w:space="0" w:color="auto"/>
                  </w:divBdr>
                </w:div>
              </w:divsChild>
            </w:div>
            <w:div w:id="655958030">
              <w:marLeft w:val="0"/>
              <w:marRight w:val="0"/>
              <w:marTop w:val="0"/>
              <w:marBottom w:val="0"/>
              <w:divBdr>
                <w:top w:val="none" w:sz="0" w:space="0" w:color="auto"/>
                <w:left w:val="none" w:sz="0" w:space="0" w:color="auto"/>
                <w:bottom w:val="none" w:sz="0" w:space="0" w:color="auto"/>
                <w:right w:val="none" w:sz="0" w:space="0" w:color="auto"/>
              </w:divBdr>
              <w:divsChild>
                <w:div w:id="307175971">
                  <w:marLeft w:val="0"/>
                  <w:marRight w:val="0"/>
                  <w:marTop w:val="0"/>
                  <w:marBottom w:val="0"/>
                  <w:divBdr>
                    <w:top w:val="none" w:sz="0" w:space="0" w:color="auto"/>
                    <w:left w:val="none" w:sz="0" w:space="0" w:color="auto"/>
                    <w:bottom w:val="none" w:sz="0" w:space="0" w:color="auto"/>
                    <w:right w:val="none" w:sz="0" w:space="0" w:color="auto"/>
                  </w:divBdr>
                </w:div>
              </w:divsChild>
            </w:div>
            <w:div w:id="1003628356">
              <w:marLeft w:val="0"/>
              <w:marRight w:val="0"/>
              <w:marTop w:val="0"/>
              <w:marBottom w:val="0"/>
              <w:divBdr>
                <w:top w:val="none" w:sz="0" w:space="0" w:color="auto"/>
                <w:left w:val="none" w:sz="0" w:space="0" w:color="auto"/>
                <w:bottom w:val="none" w:sz="0" w:space="0" w:color="auto"/>
                <w:right w:val="none" w:sz="0" w:space="0" w:color="auto"/>
              </w:divBdr>
              <w:divsChild>
                <w:div w:id="324820807">
                  <w:marLeft w:val="0"/>
                  <w:marRight w:val="0"/>
                  <w:marTop w:val="0"/>
                  <w:marBottom w:val="0"/>
                  <w:divBdr>
                    <w:top w:val="none" w:sz="0" w:space="0" w:color="auto"/>
                    <w:left w:val="none" w:sz="0" w:space="0" w:color="auto"/>
                    <w:bottom w:val="none" w:sz="0" w:space="0" w:color="auto"/>
                    <w:right w:val="none" w:sz="0" w:space="0" w:color="auto"/>
                  </w:divBdr>
                </w:div>
              </w:divsChild>
            </w:div>
            <w:div w:id="1162165569">
              <w:marLeft w:val="0"/>
              <w:marRight w:val="0"/>
              <w:marTop w:val="0"/>
              <w:marBottom w:val="0"/>
              <w:divBdr>
                <w:top w:val="none" w:sz="0" w:space="0" w:color="auto"/>
                <w:left w:val="none" w:sz="0" w:space="0" w:color="auto"/>
                <w:bottom w:val="none" w:sz="0" w:space="0" w:color="auto"/>
                <w:right w:val="none" w:sz="0" w:space="0" w:color="auto"/>
              </w:divBdr>
              <w:divsChild>
                <w:div w:id="98568468">
                  <w:marLeft w:val="0"/>
                  <w:marRight w:val="0"/>
                  <w:marTop w:val="0"/>
                  <w:marBottom w:val="0"/>
                  <w:divBdr>
                    <w:top w:val="none" w:sz="0" w:space="0" w:color="auto"/>
                    <w:left w:val="none" w:sz="0" w:space="0" w:color="auto"/>
                    <w:bottom w:val="none" w:sz="0" w:space="0" w:color="auto"/>
                    <w:right w:val="none" w:sz="0" w:space="0" w:color="auto"/>
                  </w:divBdr>
                </w:div>
              </w:divsChild>
            </w:div>
            <w:div w:id="1203328574">
              <w:marLeft w:val="0"/>
              <w:marRight w:val="0"/>
              <w:marTop w:val="0"/>
              <w:marBottom w:val="0"/>
              <w:divBdr>
                <w:top w:val="none" w:sz="0" w:space="0" w:color="auto"/>
                <w:left w:val="none" w:sz="0" w:space="0" w:color="auto"/>
                <w:bottom w:val="none" w:sz="0" w:space="0" w:color="auto"/>
                <w:right w:val="none" w:sz="0" w:space="0" w:color="auto"/>
              </w:divBdr>
              <w:divsChild>
                <w:div w:id="709764487">
                  <w:marLeft w:val="0"/>
                  <w:marRight w:val="0"/>
                  <w:marTop w:val="0"/>
                  <w:marBottom w:val="0"/>
                  <w:divBdr>
                    <w:top w:val="none" w:sz="0" w:space="0" w:color="auto"/>
                    <w:left w:val="none" w:sz="0" w:space="0" w:color="auto"/>
                    <w:bottom w:val="none" w:sz="0" w:space="0" w:color="auto"/>
                    <w:right w:val="none" w:sz="0" w:space="0" w:color="auto"/>
                  </w:divBdr>
                </w:div>
              </w:divsChild>
            </w:div>
            <w:div w:id="1290824017">
              <w:marLeft w:val="0"/>
              <w:marRight w:val="0"/>
              <w:marTop w:val="0"/>
              <w:marBottom w:val="0"/>
              <w:divBdr>
                <w:top w:val="none" w:sz="0" w:space="0" w:color="auto"/>
                <w:left w:val="none" w:sz="0" w:space="0" w:color="auto"/>
                <w:bottom w:val="none" w:sz="0" w:space="0" w:color="auto"/>
                <w:right w:val="none" w:sz="0" w:space="0" w:color="auto"/>
              </w:divBdr>
              <w:divsChild>
                <w:div w:id="723022151">
                  <w:marLeft w:val="0"/>
                  <w:marRight w:val="0"/>
                  <w:marTop w:val="0"/>
                  <w:marBottom w:val="0"/>
                  <w:divBdr>
                    <w:top w:val="none" w:sz="0" w:space="0" w:color="auto"/>
                    <w:left w:val="none" w:sz="0" w:space="0" w:color="auto"/>
                    <w:bottom w:val="none" w:sz="0" w:space="0" w:color="auto"/>
                    <w:right w:val="none" w:sz="0" w:space="0" w:color="auto"/>
                  </w:divBdr>
                </w:div>
              </w:divsChild>
            </w:div>
            <w:div w:id="1418136139">
              <w:marLeft w:val="0"/>
              <w:marRight w:val="0"/>
              <w:marTop w:val="0"/>
              <w:marBottom w:val="0"/>
              <w:divBdr>
                <w:top w:val="none" w:sz="0" w:space="0" w:color="auto"/>
                <w:left w:val="none" w:sz="0" w:space="0" w:color="auto"/>
                <w:bottom w:val="none" w:sz="0" w:space="0" w:color="auto"/>
                <w:right w:val="none" w:sz="0" w:space="0" w:color="auto"/>
              </w:divBdr>
              <w:divsChild>
                <w:div w:id="679937220">
                  <w:marLeft w:val="0"/>
                  <w:marRight w:val="0"/>
                  <w:marTop w:val="0"/>
                  <w:marBottom w:val="0"/>
                  <w:divBdr>
                    <w:top w:val="none" w:sz="0" w:space="0" w:color="auto"/>
                    <w:left w:val="none" w:sz="0" w:space="0" w:color="auto"/>
                    <w:bottom w:val="none" w:sz="0" w:space="0" w:color="auto"/>
                    <w:right w:val="none" w:sz="0" w:space="0" w:color="auto"/>
                  </w:divBdr>
                </w:div>
              </w:divsChild>
            </w:div>
            <w:div w:id="1478689570">
              <w:marLeft w:val="0"/>
              <w:marRight w:val="0"/>
              <w:marTop w:val="0"/>
              <w:marBottom w:val="0"/>
              <w:divBdr>
                <w:top w:val="none" w:sz="0" w:space="0" w:color="auto"/>
                <w:left w:val="none" w:sz="0" w:space="0" w:color="auto"/>
                <w:bottom w:val="none" w:sz="0" w:space="0" w:color="auto"/>
                <w:right w:val="none" w:sz="0" w:space="0" w:color="auto"/>
              </w:divBdr>
              <w:divsChild>
                <w:div w:id="970550352">
                  <w:marLeft w:val="0"/>
                  <w:marRight w:val="0"/>
                  <w:marTop w:val="0"/>
                  <w:marBottom w:val="0"/>
                  <w:divBdr>
                    <w:top w:val="none" w:sz="0" w:space="0" w:color="auto"/>
                    <w:left w:val="none" w:sz="0" w:space="0" w:color="auto"/>
                    <w:bottom w:val="none" w:sz="0" w:space="0" w:color="auto"/>
                    <w:right w:val="none" w:sz="0" w:space="0" w:color="auto"/>
                  </w:divBdr>
                </w:div>
              </w:divsChild>
            </w:div>
            <w:div w:id="1515150179">
              <w:marLeft w:val="0"/>
              <w:marRight w:val="0"/>
              <w:marTop w:val="0"/>
              <w:marBottom w:val="0"/>
              <w:divBdr>
                <w:top w:val="none" w:sz="0" w:space="0" w:color="auto"/>
                <w:left w:val="none" w:sz="0" w:space="0" w:color="auto"/>
                <w:bottom w:val="none" w:sz="0" w:space="0" w:color="auto"/>
                <w:right w:val="none" w:sz="0" w:space="0" w:color="auto"/>
              </w:divBdr>
              <w:divsChild>
                <w:div w:id="1954899113">
                  <w:marLeft w:val="0"/>
                  <w:marRight w:val="0"/>
                  <w:marTop w:val="0"/>
                  <w:marBottom w:val="0"/>
                  <w:divBdr>
                    <w:top w:val="none" w:sz="0" w:space="0" w:color="auto"/>
                    <w:left w:val="none" w:sz="0" w:space="0" w:color="auto"/>
                    <w:bottom w:val="none" w:sz="0" w:space="0" w:color="auto"/>
                    <w:right w:val="none" w:sz="0" w:space="0" w:color="auto"/>
                  </w:divBdr>
                </w:div>
              </w:divsChild>
            </w:div>
            <w:div w:id="1554804876">
              <w:marLeft w:val="0"/>
              <w:marRight w:val="0"/>
              <w:marTop w:val="0"/>
              <w:marBottom w:val="0"/>
              <w:divBdr>
                <w:top w:val="none" w:sz="0" w:space="0" w:color="auto"/>
                <w:left w:val="none" w:sz="0" w:space="0" w:color="auto"/>
                <w:bottom w:val="none" w:sz="0" w:space="0" w:color="auto"/>
                <w:right w:val="none" w:sz="0" w:space="0" w:color="auto"/>
              </w:divBdr>
              <w:divsChild>
                <w:div w:id="1629585116">
                  <w:marLeft w:val="0"/>
                  <w:marRight w:val="0"/>
                  <w:marTop w:val="0"/>
                  <w:marBottom w:val="0"/>
                  <w:divBdr>
                    <w:top w:val="none" w:sz="0" w:space="0" w:color="auto"/>
                    <w:left w:val="none" w:sz="0" w:space="0" w:color="auto"/>
                    <w:bottom w:val="none" w:sz="0" w:space="0" w:color="auto"/>
                    <w:right w:val="none" w:sz="0" w:space="0" w:color="auto"/>
                  </w:divBdr>
                </w:div>
              </w:divsChild>
            </w:div>
            <w:div w:id="1574271263">
              <w:marLeft w:val="0"/>
              <w:marRight w:val="0"/>
              <w:marTop w:val="0"/>
              <w:marBottom w:val="0"/>
              <w:divBdr>
                <w:top w:val="none" w:sz="0" w:space="0" w:color="auto"/>
                <w:left w:val="none" w:sz="0" w:space="0" w:color="auto"/>
                <w:bottom w:val="none" w:sz="0" w:space="0" w:color="auto"/>
                <w:right w:val="none" w:sz="0" w:space="0" w:color="auto"/>
              </w:divBdr>
              <w:divsChild>
                <w:div w:id="1524587225">
                  <w:marLeft w:val="0"/>
                  <w:marRight w:val="0"/>
                  <w:marTop w:val="0"/>
                  <w:marBottom w:val="0"/>
                  <w:divBdr>
                    <w:top w:val="none" w:sz="0" w:space="0" w:color="auto"/>
                    <w:left w:val="none" w:sz="0" w:space="0" w:color="auto"/>
                    <w:bottom w:val="none" w:sz="0" w:space="0" w:color="auto"/>
                    <w:right w:val="none" w:sz="0" w:space="0" w:color="auto"/>
                  </w:divBdr>
                </w:div>
              </w:divsChild>
            </w:div>
            <w:div w:id="1657609289">
              <w:marLeft w:val="0"/>
              <w:marRight w:val="0"/>
              <w:marTop w:val="0"/>
              <w:marBottom w:val="0"/>
              <w:divBdr>
                <w:top w:val="none" w:sz="0" w:space="0" w:color="auto"/>
                <w:left w:val="none" w:sz="0" w:space="0" w:color="auto"/>
                <w:bottom w:val="none" w:sz="0" w:space="0" w:color="auto"/>
                <w:right w:val="none" w:sz="0" w:space="0" w:color="auto"/>
              </w:divBdr>
              <w:divsChild>
                <w:div w:id="2131582815">
                  <w:marLeft w:val="0"/>
                  <w:marRight w:val="0"/>
                  <w:marTop w:val="0"/>
                  <w:marBottom w:val="0"/>
                  <w:divBdr>
                    <w:top w:val="none" w:sz="0" w:space="0" w:color="auto"/>
                    <w:left w:val="none" w:sz="0" w:space="0" w:color="auto"/>
                    <w:bottom w:val="none" w:sz="0" w:space="0" w:color="auto"/>
                    <w:right w:val="none" w:sz="0" w:space="0" w:color="auto"/>
                  </w:divBdr>
                </w:div>
              </w:divsChild>
            </w:div>
            <w:div w:id="1671828559">
              <w:marLeft w:val="0"/>
              <w:marRight w:val="0"/>
              <w:marTop w:val="0"/>
              <w:marBottom w:val="0"/>
              <w:divBdr>
                <w:top w:val="none" w:sz="0" w:space="0" w:color="auto"/>
                <w:left w:val="none" w:sz="0" w:space="0" w:color="auto"/>
                <w:bottom w:val="none" w:sz="0" w:space="0" w:color="auto"/>
                <w:right w:val="none" w:sz="0" w:space="0" w:color="auto"/>
              </w:divBdr>
              <w:divsChild>
                <w:div w:id="840586408">
                  <w:marLeft w:val="0"/>
                  <w:marRight w:val="0"/>
                  <w:marTop w:val="0"/>
                  <w:marBottom w:val="0"/>
                  <w:divBdr>
                    <w:top w:val="none" w:sz="0" w:space="0" w:color="auto"/>
                    <w:left w:val="none" w:sz="0" w:space="0" w:color="auto"/>
                    <w:bottom w:val="none" w:sz="0" w:space="0" w:color="auto"/>
                    <w:right w:val="none" w:sz="0" w:space="0" w:color="auto"/>
                  </w:divBdr>
                </w:div>
              </w:divsChild>
            </w:div>
            <w:div w:id="1691837894">
              <w:marLeft w:val="0"/>
              <w:marRight w:val="0"/>
              <w:marTop w:val="0"/>
              <w:marBottom w:val="0"/>
              <w:divBdr>
                <w:top w:val="none" w:sz="0" w:space="0" w:color="auto"/>
                <w:left w:val="none" w:sz="0" w:space="0" w:color="auto"/>
                <w:bottom w:val="none" w:sz="0" w:space="0" w:color="auto"/>
                <w:right w:val="none" w:sz="0" w:space="0" w:color="auto"/>
              </w:divBdr>
              <w:divsChild>
                <w:div w:id="174922746">
                  <w:marLeft w:val="0"/>
                  <w:marRight w:val="0"/>
                  <w:marTop w:val="0"/>
                  <w:marBottom w:val="0"/>
                  <w:divBdr>
                    <w:top w:val="none" w:sz="0" w:space="0" w:color="auto"/>
                    <w:left w:val="none" w:sz="0" w:space="0" w:color="auto"/>
                    <w:bottom w:val="none" w:sz="0" w:space="0" w:color="auto"/>
                    <w:right w:val="none" w:sz="0" w:space="0" w:color="auto"/>
                  </w:divBdr>
                </w:div>
              </w:divsChild>
            </w:div>
            <w:div w:id="1695299313">
              <w:marLeft w:val="0"/>
              <w:marRight w:val="0"/>
              <w:marTop w:val="0"/>
              <w:marBottom w:val="0"/>
              <w:divBdr>
                <w:top w:val="none" w:sz="0" w:space="0" w:color="auto"/>
                <w:left w:val="none" w:sz="0" w:space="0" w:color="auto"/>
                <w:bottom w:val="none" w:sz="0" w:space="0" w:color="auto"/>
                <w:right w:val="none" w:sz="0" w:space="0" w:color="auto"/>
              </w:divBdr>
              <w:divsChild>
                <w:div w:id="1185948116">
                  <w:marLeft w:val="0"/>
                  <w:marRight w:val="0"/>
                  <w:marTop w:val="0"/>
                  <w:marBottom w:val="0"/>
                  <w:divBdr>
                    <w:top w:val="none" w:sz="0" w:space="0" w:color="auto"/>
                    <w:left w:val="none" w:sz="0" w:space="0" w:color="auto"/>
                    <w:bottom w:val="none" w:sz="0" w:space="0" w:color="auto"/>
                    <w:right w:val="none" w:sz="0" w:space="0" w:color="auto"/>
                  </w:divBdr>
                </w:div>
              </w:divsChild>
            </w:div>
            <w:div w:id="1842307822">
              <w:marLeft w:val="0"/>
              <w:marRight w:val="0"/>
              <w:marTop w:val="0"/>
              <w:marBottom w:val="0"/>
              <w:divBdr>
                <w:top w:val="none" w:sz="0" w:space="0" w:color="auto"/>
                <w:left w:val="none" w:sz="0" w:space="0" w:color="auto"/>
                <w:bottom w:val="none" w:sz="0" w:space="0" w:color="auto"/>
                <w:right w:val="none" w:sz="0" w:space="0" w:color="auto"/>
              </w:divBdr>
              <w:divsChild>
                <w:div w:id="1863088456">
                  <w:marLeft w:val="0"/>
                  <w:marRight w:val="0"/>
                  <w:marTop w:val="0"/>
                  <w:marBottom w:val="0"/>
                  <w:divBdr>
                    <w:top w:val="none" w:sz="0" w:space="0" w:color="auto"/>
                    <w:left w:val="none" w:sz="0" w:space="0" w:color="auto"/>
                    <w:bottom w:val="none" w:sz="0" w:space="0" w:color="auto"/>
                    <w:right w:val="none" w:sz="0" w:space="0" w:color="auto"/>
                  </w:divBdr>
                </w:div>
              </w:divsChild>
            </w:div>
            <w:div w:id="1888176415">
              <w:marLeft w:val="0"/>
              <w:marRight w:val="0"/>
              <w:marTop w:val="0"/>
              <w:marBottom w:val="0"/>
              <w:divBdr>
                <w:top w:val="none" w:sz="0" w:space="0" w:color="auto"/>
                <w:left w:val="none" w:sz="0" w:space="0" w:color="auto"/>
                <w:bottom w:val="none" w:sz="0" w:space="0" w:color="auto"/>
                <w:right w:val="none" w:sz="0" w:space="0" w:color="auto"/>
              </w:divBdr>
              <w:divsChild>
                <w:div w:id="124348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08152">
          <w:marLeft w:val="0"/>
          <w:marRight w:val="0"/>
          <w:marTop w:val="0"/>
          <w:marBottom w:val="0"/>
          <w:divBdr>
            <w:top w:val="none" w:sz="0" w:space="0" w:color="auto"/>
            <w:left w:val="none" w:sz="0" w:space="0" w:color="auto"/>
            <w:bottom w:val="none" w:sz="0" w:space="0" w:color="auto"/>
            <w:right w:val="none" w:sz="0" w:space="0" w:color="auto"/>
          </w:divBdr>
        </w:div>
        <w:div w:id="396559956">
          <w:marLeft w:val="0"/>
          <w:marRight w:val="0"/>
          <w:marTop w:val="0"/>
          <w:marBottom w:val="0"/>
          <w:divBdr>
            <w:top w:val="none" w:sz="0" w:space="0" w:color="auto"/>
            <w:left w:val="none" w:sz="0" w:space="0" w:color="auto"/>
            <w:bottom w:val="none" w:sz="0" w:space="0" w:color="auto"/>
            <w:right w:val="none" w:sz="0" w:space="0" w:color="auto"/>
          </w:divBdr>
        </w:div>
        <w:div w:id="459344369">
          <w:marLeft w:val="-75"/>
          <w:marRight w:val="0"/>
          <w:marTop w:val="30"/>
          <w:marBottom w:val="30"/>
          <w:divBdr>
            <w:top w:val="none" w:sz="0" w:space="0" w:color="auto"/>
            <w:left w:val="none" w:sz="0" w:space="0" w:color="auto"/>
            <w:bottom w:val="none" w:sz="0" w:space="0" w:color="auto"/>
            <w:right w:val="none" w:sz="0" w:space="0" w:color="auto"/>
          </w:divBdr>
          <w:divsChild>
            <w:div w:id="5207752">
              <w:marLeft w:val="0"/>
              <w:marRight w:val="0"/>
              <w:marTop w:val="0"/>
              <w:marBottom w:val="0"/>
              <w:divBdr>
                <w:top w:val="none" w:sz="0" w:space="0" w:color="auto"/>
                <w:left w:val="none" w:sz="0" w:space="0" w:color="auto"/>
                <w:bottom w:val="none" w:sz="0" w:space="0" w:color="auto"/>
                <w:right w:val="none" w:sz="0" w:space="0" w:color="auto"/>
              </w:divBdr>
              <w:divsChild>
                <w:div w:id="896862369">
                  <w:marLeft w:val="0"/>
                  <w:marRight w:val="0"/>
                  <w:marTop w:val="0"/>
                  <w:marBottom w:val="0"/>
                  <w:divBdr>
                    <w:top w:val="none" w:sz="0" w:space="0" w:color="auto"/>
                    <w:left w:val="none" w:sz="0" w:space="0" w:color="auto"/>
                    <w:bottom w:val="none" w:sz="0" w:space="0" w:color="auto"/>
                    <w:right w:val="none" w:sz="0" w:space="0" w:color="auto"/>
                  </w:divBdr>
                </w:div>
              </w:divsChild>
            </w:div>
            <w:div w:id="221990543">
              <w:marLeft w:val="0"/>
              <w:marRight w:val="0"/>
              <w:marTop w:val="0"/>
              <w:marBottom w:val="0"/>
              <w:divBdr>
                <w:top w:val="none" w:sz="0" w:space="0" w:color="auto"/>
                <w:left w:val="none" w:sz="0" w:space="0" w:color="auto"/>
                <w:bottom w:val="none" w:sz="0" w:space="0" w:color="auto"/>
                <w:right w:val="none" w:sz="0" w:space="0" w:color="auto"/>
              </w:divBdr>
              <w:divsChild>
                <w:div w:id="1202745966">
                  <w:marLeft w:val="0"/>
                  <w:marRight w:val="0"/>
                  <w:marTop w:val="0"/>
                  <w:marBottom w:val="0"/>
                  <w:divBdr>
                    <w:top w:val="none" w:sz="0" w:space="0" w:color="auto"/>
                    <w:left w:val="none" w:sz="0" w:space="0" w:color="auto"/>
                    <w:bottom w:val="none" w:sz="0" w:space="0" w:color="auto"/>
                    <w:right w:val="none" w:sz="0" w:space="0" w:color="auto"/>
                  </w:divBdr>
                </w:div>
              </w:divsChild>
            </w:div>
            <w:div w:id="310410984">
              <w:marLeft w:val="0"/>
              <w:marRight w:val="0"/>
              <w:marTop w:val="0"/>
              <w:marBottom w:val="0"/>
              <w:divBdr>
                <w:top w:val="none" w:sz="0" w:space="0" w:color="auto"/>
                <w:left w:val="none" w:sz="0" w:space="0" w:color="auto"/>
                <w:bottom w:val="none" w:sz="0" w:space="0" w:color="auto"/>
                <w:right w:val="none" w:sz="0" w:space="0" w:color="auto"/>
              </w:divBdr>
              <w:divsChild>
                <w:div w:id="428433395">
                  <w:marLeft w:val="0"/>
                  <w:marRight w:val="0"/>
                  <w:marTop w:val="0"/>
                  <w:marBottom w:val="0"/>
                  <w:divBdr>
                    <w:top w:val="none" w:sz="0" w:space="0" w:color="auto"/>
                    <w:left w:val="none" w:sz="0" w:space="0" w:color="auto"/>
                    <w:bottom w:val="none" w:sz="0" w:space="0" w:color="auto"/>
                    <w:right w:val="none" w:sz="0" w:space="0" w:color="auto"/>
                  </w:divBdr>
                </w:div>
              </w:divsChild>
            </w:div>
            <w:div w:id="451485276">
              <w:marLeft w:val="0"/>
              <w:marRight w:val="0"/>
              <w:marTop w:val="0"/>
              <w:marBottom w:val="0"/>
              <w:divBdr>
                <w:top w:val="none" w:sz="0" w:space="0" w:color="auto"/>
                <w:left w:val="none" w:sz="0" w:space="0" w:color="auto"/>
                <w:bottom w:val="none" w:sz="0" w:space="0" w:color="auto"/>
                <w:right w:val="none" w:sz="0" w:space="0" w:color="auto"/>
              </w:divBdr>
              <w:divsChild>
                <w:div w:id="607272081">
                  <w:marLeft w:val="0"/>
                  <w:marRight w:val="0"/>
                  <w:marTop w:val="0"/>
                  <w:marBottom w:val="0"/>
                  <w:divBdr>
                    <w:top w:val="none" w:sz="0" w:space="0" w:color="auto"/>
                    <w:left w:val="none" w:sz="0" w:space="0" w:color="auto"/>
                    <w:bottom w:val="none" w:sz="0" w:space="0" w:color="auto"/>
                    <w:right w:val="none" w:sz="0" w:space="0" w:color="auto"/>
                  </w:divBdr>
                </w:div>
              </w:divsChild>
            </w:div>
            <w:div w:id="475999750">
              <w:marLeft w:val="0"/>
              <w:marRight w:val="0"/>
              <w:marTop w:val="0"/>
              <w:marBottom w:val="0"/>
              <w:divBdr>
                <w:top w:val="none" w:sz="0" w:space="0" w:color="auto"/>
                <w:left w:val="none" w:sz="0" w:space="0" w:color="auto"/>
                <w:bottom w:val="none" w:sz="0" w:space="0" w:color="auto"/>
                <w:right w:val="none" w:sz="0" w:space="0" w:color="auto"/>
              </w:divBdr>
              <w:divsChild>
                <w:div w:id="1543439988">
                  <w:marLeft w:val="0"/>
                  <w:marRight w:val="0"/>
                  <w:marTop w:val="0"/>
                  <w:marBottom w:val="0"/>
                  <w:divBdr>
                    <w:top w:val="none" w:sz="0" w:space="0" w:color="auto"/>
                    <w:left w:val="none" w:sz="0" w:space="0" w:color="auto"/>
                    <w:bottom w:val="none" w:sz="0" w:space="0" w:color="auto"/>
                    <w:right w:val="none" w:sz="0" w:space="0" w:color="auto"/>
                  </w:divBdr>
                </w:div>
              </w:divsChild>
            </w:div>
            <w:div w:id="640309883">
              <w:marLeft w:val="0"/>
              <w:marRight w:val="0"/>
              <w:marTop w:val="0"/>
              <w:marBottom w:val="0"/>
              <w:divBdr>
                <w:top w:val="none" w:sz="0" w:space="0" w:color="auto"/>
                <w:left w:val="none" w:sz="0" w:space="0" w:color="auto"/>
                <w:bottom w:val="none" w:sz="0" w:space="0" w:color="auto"/>
                <w:right w:val="none" w:sz="0" w:space="0" w:color="auto"/>
              </w:divBdr>
              <w:divsChild>
                <w:div w:id="386994735">
                  <w:marLeft w:val="0"/>
                  <w:marRight w:val="0"/>
                  <w:marTop w:val="0"/>
                  <w:marBottom w:val="0"/>
                  <w:divBdr>
                    <w:top w:val="none" w:sz="0" w:space="0" w:color="auto"/>
                    <w:left w:val="none" w:sz="0" w:space="0" w:color="auto"/>
                    <w:bottom w:val="none" w:sz="0" w:space="0" w:color="auto"/>
                    <w:right w:val="none" w:sz="0" w:space="0" w:color="auto"/>
                  </w:divBdr>
                </w:div>
              </w:divsChild>
            </w:div>
            <w:div w:id="830289402">
              <w:marLeft w:val="0"/>
              <w:marRight w:val="0"/>
              <w:marTop w:val="0"/>
              <w:marBottom w:val="0"/>
              <w:divBdr>
                <w:top w:val="none" w:sz="0" w:space="0" w:color="auto"/>
                <w:left w:val="none" w:sz="0" w:space="0" w:color="auto"/>
                <w:bottom w:val="none" w:sz="0" w:space="0" w:color="auto"/>
                <w:right w:val="none" w:sz="0" w:space="0" w:color="auto"/>
              </w:divBdr>
              <w:divsChild>
                <w:div w:id="1173031508">
                  <w:marLeft w:val="0"/>
                  <w:marRight w:val="0"/>
                  <w:marTop w:val="0"/>
                  <w:marBottom w:val="0"/>
                  <w:divBdr>
                    <w:top w:val="none" w:sz="0" w:space="0" w:color="auto"/>
                    <w:left w:val="none" w:sz="0" w:space="0" w:color="auto"/>
                    <w:bottom w:val="none" w:sz="0" w:space="0" w:color="auto"/>
                    <w:right w:val="none" w:sz="0" w:space="0" w:color="auto"/>
                  </w:divBdr>
                </w:div>
              </w:divsChild>
            </w:div>
            <w:div w:id="913204449">
              <w:marLeft w:val="0"/>
              <w:marRight w:val="0"/>
              <w:marTop w:val="0"/>
              <w:marBottom w:val="0"/>
              <w:divBdr>
                <w:top w:val="none" w:sz="0" w:space="0" w:color="auto"/>
                <w:left w:val="none" w:sz="0" w:space="0" w:color="auto"/>
                <w:bottom w:val="none" w:sz="0" w:space="0" w:color="auto"/>
                <w:right w:val="none" w:sz="0" w:space="0" w:color="auto"/>
              </w:divBdr>
              <w:divsChild>
                <w:div w:id="662244191">
                  <w:marLeft w:val="0"/>
                  <w:marRight w:val="0"/>
                  <w:marTop w:val="0"/>
                  <w:marBottom w:val="0"/>
                  <w:divBdr>
                    <w:top w:val="none" w:sz="0" w:space="0" w:color="auto"/>
                    <w:left w:val="none" w:sz="0" w:space="0" w:color="auto"/>
                    <w:bottom w:val="none" w:sz="0" w:space="0" w:color="auto"/>
                    <w:right w:val="none" w:sz="0" w:space="0" w:color="auto"/>
                  </w:divBdr>
                </w:div>
              </w:divsChild>
            </w:div>
            <w:div w:id="969745124">
              <w:marLeft w:val="0"/>
              <w:marRight w:val="0"/>
              <w:marTop w:val="0"/>
              <w:marBottom w:val="0"/>
              <w:divBdr>
                <w:top w:val="none" w:sz="0" w:space="0" w:color="auto"/>
                <w:left w:val="none" w:sz="0" w:space="0" w:color="auto"/>
                <w:bottom w:val="none" w:sz="0" w:space="0" w:color="auto"/>
                <w:right w:val="none" w:sz="0" w:space="0" w:color="auto"/>
              </w:divBdr>
              <w:divsChild>
                <w:div w:id="1096437427">
                  <w:marLeft w:val="0"/>
                  <w:marRight w:val="0"/>
                  <w:marTop w:val="0"/>
                  <w:marBottom w:val="0"/>
                  <w:divBdr>
                    <w:top w:val="none" w:sz="0" w:space="0" w:color="auto"/>
                    <w:left w:val="none" w:sz="0" w:space="0" w:color="auto"/>
                    <w:bottom w:val="none" w:sz="0" w:space="0" w:color="auto"/>
                    <w:right w:val="none" w:sz="0" w:space="0" w:color="auto"/>
                  </w:divBdr>
                </w:div>
              </w:divsChild>
            </w:div>
            <w:div w:id="1212155286">
              <w:marLeft w:val="0"/>
              <w:marRight w:val="0"/>
              <w:marTop w:val="0"/>
              <w:marBottom w:val="0"/>
              <w:divBdr>
                <w:top w:val="none" w:sz="0" w:space="0" w:color="auto"/>
                <w:left w:val="none" w:sz="0" w:space="0" w:color="auto"/>
                <w:bottom w:val="none" w:sz="0" w:space="0" w:color="auto"/>
                <w:right w:val="none" w:sz="0" w:space="0" w:color="auto"/>
              </w:divBdr>
              <w:divsChild>
                <w:div w:id="809521390">
                  <w:marLeft w:val="0"/>
                  <w:marRight w:val="0"/>
                  <w:marTop w:val="0"/>
                  <w:marBottom w:val="0"/>
                  <w:divBdr>
                    <w:top w:val="none" w:sz="0" w:space="0" w:color="auto"/>
                    <w:left w:val="none" w:sz="0" w:space="0" w:color="auto"/>
                    <w:bottom w:val="none" w:sz="0" w:space="0" w:color="auto"/>
                    <w:right w:val="none" w:sz="0" w:space="0" w:color="auto"/>
                  </w:divBdr>
                </w:div>
              </w:divsChild>
            </w:div>
            <w:div w:id="1218711738">
              <w:marLeft w:val="0"/>
              <w:marRight w:val="0"/>
              <w:marTop w:val="0"/>
              <w:marBottom w:val="0"/>
              <w:divBdr>
                <w:top w:val="none" w:sz="0" w:space="0" w:color="auto"/>
                <w:left w:val="none" w:sz="0" w:space="0" w:color="auto"/>
                <w:bottom w:val="none" w:sz="0" w:space="0" w:color="auto"/>
                <w:right w:val="none" w:sz="0" w:space="0" w:color="auto"/>
              </w:divBdr>
              <w:divsChild>
                <w:div w:id="1507672157">
                  <w:marLeft w:val="0"/>
                  <w:marRight w:val="0"/>
                  <w:marTop w:val="0"/>
                  <w:marBottom w:val="0"/>
                  <w:divBdr>
                    <w:top w:val="none" w:sz="0" w:space="0" w:color="auto"/>
                    <w:left w:val="none" w:sz="0" w:space="0" w:color="auto"/>
                    <w:bottom w:val="none" w:sz="0" w:space="0" w:color="auto"/>
                    <w:right w:val="none" w:sz="0" w:space="0" w:color="auto"/>
                  </w:divBdr>
                </w:div>
              </w:divsChild>
            </w:div>
            <w:div w:id="1231381421">
              <w:marLeft w:val="0"/>
              <w:marRight w:val="0"/>
              <w:marTop w:val="0"/>
              <w:marBottom w:val="0"/>
              <w:divBdr>
                <w:top w:val="none" w:sz="0" w:space="0" w:color="auto"/>
                <w:left w:val="none" w:sz="0" w:space="0" w:color="auto"/>
                <w:bottom w:val="none" w:sz="0" w:space="0" w:color="auto"/>
                <w:right w:val="none" w:sz="0" w:space="0" w:color="auto"/>
              </w:divBdr>
              <w:divsChild>
                <w:div w:id="2077046122">
                  <w:marLeft w:val="0"/>
                  <w:marRight w:val="0"/>
                  <w:marTop w:val="0"/>
                  <w:marBottom w:val="0"/>
                  <w:divBdr>
                    <w:top w:val="none" w:sz="0" w:space="0" w:color="auto"/>
                    <w:left w:val="none" w:sz="0" w:space="0" w:color="auto"/>
                    <w:bottom w:val="none" w:sz="0" w:space="0" w:color="auto"/>
                    <w:right w:val="none" w:sz="0" w:space="0" w:color="auto"/>
                  </w:divBdr>
                </w:div>
              </w:divsChild>
            </w:div>
            <w:div w:id="1265459654">
              <w:marLeft w:val="0"/>
              <w:marRight w:val="0"/>
              <w:marTop w:val="0"/>
              <w:marBottom w:val="0"/>
              <w:divBdr>
                <w:top w:val="none" w:sz="0" w:space="0" w:color="auto"/>
                <w:left w:val="none" w:sz="0" w:space="0" w:color="auto"/>
                <w:bottom w:val="none" w:sz="0" w:space="0" w:color="auto"/>
                <w:right w:val="none" w:sz="0" w:space="0" w:color="auto"/>
              </w:divBdr>
              <w:divsChild>
                <w:div w:id="2022966955">
                  <w:marLeft w:val="0"/>
                  <w:marRight w:val="0"/>
                  <w:marTop w:val="0"/>
                  <w:marBottom w:val="0"/>
                  <w:divBdr>
                    <w:top w:val="none" w:sz="0" w:space="0" w:color="auto"/>
                    <w:left w:val="none" w:sz="0" w:space="0" w:color="auto"/>
                    <w:bottom w:val="none" w:sz="0" w:space="0" w:color="auto"/>
                    <w:right w:val="none" w:sz="0" w:space="0" w:color="auto"/>
                  </w:divBdr>
                </w:div>
              </w:divsChild>
            </w:div>
            <w:div w:id="1329791405">
              <w:marLeft w:val="0"/>
              <w:marRight w:val="0"/>
              <w:marTop w:val="0"/>
              <w:marBottom w:val="0"/>
              <w:divBdr>
                <w:top w:val="none" w:sz="0" w:space="0" w:color="auto"/>
                <w:left w:val="none" w:sz="0" w:space="0" w:color="auto"/>
                <w:bottom w:val="none" w:sz="0" w:space="0" w:color="auto"/>
                <w:right w:val="none" w:sz="0" w:space="0" w:color="auto"/>
              </w:divBdr>
              <w:divsChild>
                <w:div w:id="1120034027">
                  <w:marLeft w:val="0"/>
                  <w:marRight w:val="0"/>
                  <w:marTop w:val="0"/>
                  <w:marBottom w:val="0"/>
                  <w:divBdr>
                    <w:top w:val="none" w:sz="0" w:space="0" w:color="auto"/>
                    <w:left w:val="none" w:sz="0" w:space="0" w:color="auto"/>
                    <w:bottom w:val="none" w:sz="0" w:space="0" w:color="auto"/>
                    <w:right w:val="none" w:sz="0" w:space="0" w:color="auto"/>
                  </w:divBdr>
                </w:div>
              </w:divsChild>
            </w:div>
            <w:div w:id="1331710346">
              <w:marLeft w:val="0"/>
              <w:marRight w:val="0"/>
              <w:marTop w:val="0"/>
              <w:marBottom w:val="0"/>
              <w:divBdr>
                <w:top w:val="none" w:sz="0" w:space="0" w:color="auto"/>
                <w:left w:val="none" w:sz="0" w:space="0" w:color="auto"/>
                <w:bottom w:val="none" w:sz="0" w:space="0" w:color="auto"/>
                <w:right w:val="none" w:sz="0" w:space="0" w:color="auto"/>
              </w:divBdr>
              <w:divsChild>
                <w:div w:id="959411474">
                  <w:marLeft w:val="0"/>
                  <w:marRight w:val="0"/>
                  <w:marTop w:val="0"/>
                  <w:marBottom w:val="0"/>
                  <w:divBdr>
                    <w:top w:val="none" w:sz="0" w:space="0" w:color="auto"/>
                    <w:left w:val="none" w:sz="0" w:space="0" w:color="auto"/>
                    <w:bottom w:val="none" w:sz="0" w:space="0" w:color="auto"/>
                    <w:right w:val="none" w:sz="0" w:space="0" w:color="auto"/>
                  </w:divBdr>
                </w:div>
              </w:divsChild>
            </w:div>
            <w:div w:id="1365132024">
              <w:marLeft w:val="0"/>
              <w:marRight w:val="0"/>
              <w:marTop w:val="0"/>
              <w:marBottom w:val="0"/>
              <w:divBdr>
                <w:top w:val="none" w:sz="0" w:space="0" w:color="auto"/>
                <w:left w:val="none" w:sz="0" w:space="0" w:color="auto"/>
                <w:bottom w:val="none" w:sz="0" w:space="0" w:color="auto"/>
                <w:right w:val="none" w:sz="0" w:space="0" w:color="auto"/>
              </w:divBdr>
              <w:divsChild>
                <w:div w:id="1752776083">
                  <w:marLeft w:val="0"/>
                  <w:marRight w:val="0"/>
                  <w:marTop w:val="0"/>
                  <w:marBottom w:val="0"/>
                  <w:divBdr>
                    <w:top w:val="none" w:sz="0" w:space="0" w:color="auto"/>
                    <w:left w:val="none" w:sz="0" w:space="0" w:color="auto"/>
                    <w:bottom w:val="none" w:sz="0" w:space="0" w:color="auto"/>
                    <w:right w:val="none" w:sz="0" w:space="0" w:color="auto"/>
                  </w:divBdr>
                </w:div>
              </w:divsChild>
            </w:div>
            <w:div w:id="1494103634">
              <w:marLeft w:val="0"/>
              <w:marRight w:val="0"/>
              <w:marTop w:val="0"/>
              <w:marBottom w:val="0"/>
              <w:divBdr>
                <w:top w:val="none" w:sz="0" w:space="0" w:color="auto"/>
                <w:left w:val="none" w:sz="0" w:space="0" w:color="auto"/>
                <w:bottom w:val="none" w:sz="0" w:space="0" w:color="auto"/>
                <w:right w:val="none" w:sz="0" w:space="0" w:color="auto"/>
              </w:divBdr>
              <w:divsChild>
                <w:div w:id="998508313">
                  <w:marLeft w:val="0"/>
                  <w:marRight w:val="0"/>
                  <w:marTop w:val="0"/>
                  <w:marBottom w:val="0"/>
                  <w:divBdr>
                    <w:top w:val="none" w:sz="0" w:space="0" w:color="auto"/>
                    <w:left w:val="none" w:sz="0" w:space="0" w:color="auto"/>
                    <w:bottom w:val="none" w:sz="0" w:space="0" w:color="auto"/>
                    <w:right w:val="none" w:sz="0" w:space="0" w:color="auto"/>
                  </w:divBdr>
                </w:div>
              </w:divsChild>
            </w:div>
            <w:div w:id="1554343987">
              <w:marLeft w:val="0"/>
              <w:marRight w:val="0"/>
              <w:marTop w:val="0"/>
              <w:marBottom w:val="0"/>
              <w:divBdr>
                <w:top w:val="none" w:sz="0" w:space="0" w:color="auto"/>
                <w:left w:val="none" w:sz="0" w:space="0" w:color="auto"/>
                <w:bottom w:val="none" w:sz="0" w:space="0" w:color="auto"/>
                <w:right w:val="none" w:sz="0" w:space="0" w:color="auto"/>
              </w:divBdr>
              <w:divsChild>
                <w:div w:id="2039698724">
                  <w:marLeft w:val="0"/>
                  <w:marRight w:val="0"/>
                  <w:marTop w:val="0"/>
                  <w:marBottom w:val="0"/>
                  <w:divBdr>
                    <w:top w:val="none" w:sz="0" w:space="0" w:color="auto"/>
                    <w:left w:val="none" w:sz="0" w:space="0" w:color="auto"/>
                    <w:bottom w:val="none" w:sz="0" w:space="0" w:color="auto"/>
                    <w:right w:val="none" w:sz="0" w:space="0" w:color="auto"/>
                  </w:divBdr>
                </w:div>
              </w:divsChild>
            </w:div>
            <w:div w:id="2008552337">
              <w:marLeft w:val="0"/>
              <w:marRight w:val="0"/>
              <w:marTop w:val="0"/>
              <w:marBottom w:val="0"/>
              <w:divBdr>
                <w:top w:val="none" w:sz="0" w:space="0" w:color="auto"/>
                <w:left w:val="none" w:sz="0" w:space="0" w:color="auto"/>
                <w:bottom w:val="none" w:sz="0" w:space="0" w:color="auto"/>
                <w:right w:val="none" w:sz="0" w:space="0" w:color="auto"/>
              </w:divBdr>
              <w:divsChild>
                <w:div w:id="314727120">
                  <w:marLeft w:val="0"/>
                  <w:marRight w:val="0"/>
                  <w:marTop w:val="0"/>
                  <w:marBottom w:val="0"/>
                  <w:divBdr>
                    <w:top w:val="none" w:sz="0" w:space="0" w:color="auto"/>
                    <w:left w:val="none" w:sz="0" w:space="0" w:color="auto"/>
                    <w:bottom w:val="none" w:sz="0" w:space="0" w:color="auto"/>
                    <w:right w:val="none" w:sz="0" w:space="0" w:color="auto"/>
                  </w:divBdr>
                </w:div>
              </w:divsChild>
            </w:div>
            <w:div w:id="2061900970">
              <w:marLeft w:val="0"/>
              <w:marRight w:val="0"/>
              <w:marTop w:val="0"/>
              <w:marBottom w:val="0"/>
              <w:divBdr>
                <w:top w:val="none" w:sz="0" w:space="0" w:color="auto"/>
                <w:left w:val="none" w:sz="0" w:space="0" w:color="auto"/>
                <w:bottom w:val="none" w:sz="0" w:space="0" w:color="auto"/>
                <w:right w:val="none" w:sz="0" w:space="0" w:color="auto"/>
              </w:divBdr>
              <w:divsChild>
                <w:div w:id="44492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525065">
          <w:marLeft w:val="0"/>
          <w:marRight w:val="0"/>
          <w:marTop w:val="0"/>
          <w:marBottom w:val="0"/>
          <w:divBdr>
            <w:top w:val="none" w:sz="0" w:space="0" w:color="auto"/>
            <w:left w:val="none" w:sz="0" w:space="0" w:color="auto"/>
            <w:bottom w:val="none" w:sz="0" w:space="0" w:color="auto"/>
            <w:right w:val="none" w:sz="0" w:space="0" w:color="auto"/>
          </w:divBdr>
        </w:div>
        <w:div w:id="645552721">
          <w:marLeft w:val="0"/>
          <w:marRight w:val="0"/>
          <w:marTop w:val="0"/>
          <w:marBottom w:val="0"/>
          <w:divBdr>
            <w:top w:val="none" w:sz="0" w:space="0" w:color="auto"/>
            <w:left w:val="none" w:sz="0" w:space="0" w:color="auto"/>
            <w:bottom w:val="none" w:sz="0" w:space="0" w:color="auto"/>
            <w:right w:val="none" w:sz="0" w:space="0" w:color="auto"/>
          </w:divBdr>
        </w:div>
        <w:div w:id="1144662983">
          <w:marLeft w:val="-75"/>
          <w:marRight w:val="0"/>
          <w:marTop w:val="30"/>
          <w:marBottom w:val="30"/>
          <w:divBdr>
            <w:top w:val="none" w:sz="0" w:space="0" w:color="auto"/>
            <w:left w:val="none" w:sz="0" w:space="0" w:color="auto"/>
            <w:bottom w:val="none" w:sz="0" w:space="0" w:color="auto"/>
            <w:right w:val="none" w:sz="0" w:space="0" w:color="auto"/>
          </w:divBdr>
          <w:divsChild>
            <w:div w:id="145367213">
              <w:marLeft w:val="0"/>
              <w:marRight w:val="0"/>
              <w:marTop w:val="0"/>
              <w:marBottom w:val="0"/>
              <w:divBdr>
                <w:top w:val="none" w:sz="0" w:space="0" w:color="auto"/>
                <w:left w:val="none" w:sz="0" w:space="0" w:color="auto"/>
                <w:bottom w:val="none" w:sz="0" w:space="0" w:color="auto"/>
                <w:right w:val="none" w:sz="0" w:space="0" w:color="auto"/>
              </w:divBdr>
              <w:divsChild>
                <w:div w:id="18355875">
                  <w:marLeft w:val="0"/>
                  <w:marRight w:val="0"/>
                  <w:marTop w:val="0"/>
                  <w:marBottom w:val="0"/>
                  <w:divBdr>
                    <w:top w:val="none" w:sz="0" w:space="0" w:color="auto"/>
                    <w:left w:val="none" w:sz="0" w:space="0" w:color="auto"/>
                    <w:bottom w:val="none" w:sz="0" w:space="0" w:color="auto"/>
                    <w:right w:val="none" w:sz="0" w:space="0" w:color="auto"/>
                  </w:divBdr>
                </w:div>
              </w:divsChild>
            </w:div>
            <w:div w:id="208424830">
              <w:marLeft w:val="0"/>
              <w:marRight w:val="0"/>
              <w:marTop w:val="0"/>
              <w:marBottom w:val="0"/>
              <w:divBdr>
                <w:top w:val="none" w:sz="0" w:space="0" w:color="auto"/>
                <w:left w:val="none" w:sz="0" w:space="0" w:color="auto"/>
                <w:bottom w:val="none" w:sz="0" w:space="0" w:color="auto"/>
                <w:right w:val="none" w:sz="0" w:space="0" w:color="auto"/>
              </w:divBdr>
              <w:divsChild>
                <w:div w:id="812869689">
                  <w:marLeft w:val="0"/>
                  <w:marRight w:val="0"/>
                  <w:marTop w:val="0"/>
                  <w:marBottom w:val="0"/>
                  <w:divBdr>
                    <w:top w:val="none" w:sz="0" w:space="0" w:color="auto"/>
                    <w:left w:val="none" w:sz="0" w:space="0" w:color="auto"/>
                    <w:bottom w:val="none" w:sz="0" w:space="0" w:color="auto"/>
                    <w:right w:val="none" w:sz="0" w:space="0" w:color="auto"/>
                  </w:divBdr>
                </w:div>
              </w:divsChild>
            </w:div>
            <w:div w:id="292055330">
              <w:marLeft w:val="0"/>
              <w:marRight w:val="0"/>
              <w:marTop w:val="0"/>
              <w:marBottom w:val="0"/>
              <w:divBdr>
                <w:top w:val="none" w:sz="0" w:space="0" w:color="auto"/>
                <w:left w:val="none" w:sz="0" w:space="0" w:color="auto"/>
                <w:bottom w:val="none" w:sz="0" w:space="0" w:color="auto"/>
                <w:right w:val="none" w:sz="0" w:space="0" w:color="auto"/>
              </w:divBdr>
              <w:divsChild>
                <w:div w:id="950551764">
                  <w:marLeft w:val="0"/>
                  <w:marRight w:val="0"/>
                  <w:marTop w:val="0"/>
                  <w:marBottom w:val="0"/>
                  <w:divBdr>
                    <w:top w:val="none" w:sz="0" w:space="0" w:color="auto"/>
                    <w:left w:val="none" w:sz="0" w:space="0" w:color="auto"/>
                    <w:bottom w:val="none" w:sz="0" w:space="0" w:color="auto"/>
                    <w:right w:val="none" w:sz="0" w:space="0" w:color="auto"/>
                  </w:divBdr>
                </w:div>
              </w:divsChild>
            </w:div>
            <w:div w:id="396824333">
              <w:marLeft w:val="0"/>
              <w:marRight w:val="0"/>
              <w:marTop w:val="0"/>
              <w:marBottom w:val="0"/>
              <w:divBdr>
                <w:top w:val="none" w:sz="0" w:space="0" w:color="auto"/>
                <w:left w:val="none" w:sz="0" w:space="0" w:color="auto"/>
                <w:bottom w:val="none" w:sz="0" w:space="0" w:color="auto"/>
                <w:right w:val="none" w:sz="0" w:space="0" w:color="auto"/>
              </w:divBdr>
              <w:divsChild>
                <w:div w:id="73746711">
                  <w:marLeft w:val="0"/>
                  <w:marRight w:val="0"/>
                  <w:marTop w:val="0"/>
                  <w:marBottom w:val="0"/>
                  <w:divBdr>
                    <w:top w:val="none" w:sz="0" w:space="0" w:color="auto"/>
                    <w:left w:val="none" w:sz="0" w:space="0" w:color="auto"/>
                    <w:bottom w:val="none" w:sz="0" w:space="0" w:color="auto"/>
                    <w:right w:val="none" w:sz="0" w:space="0" w:color="auto"/>
                  </w:divBdr>
                </w:div>
              </w:divsChild>
            </w:div>
            <w:div w:id="423840758">
              <w:marLeft w:val="0"/>
              <w:marRight w:val="0"/>
              <w:marTop w:val="0"/>
              <w:marBottom w:val="0"/>
              <w:divBdr>
                <w:top w:val="none" w:sz="0" w:space="0" w:color="auto"/>
                <w:left w:val="none" w:sz="0" w:space="0" w:color="auto"/>
                <w:bottom w:val="none" w:sz="0" w:space="0" w:color="auto"/>
                <w:right w:val="none" w:sz="0" w:space="0" w:color="auto"/>
              </w:divBdr>
              <w:divsChild>
                <w:div w:id="1932930372">
                  <w:marLeft w:val="0"/>
                  <w:marRight w:val="0"/>
                  <w:marTop w:val="0"/>
                  <w:marBottom w:val="0"/>
                  <w:divBdr>
                    <w:top w:val="none" w:sz="0" w:space="0" w:color="auto"/>
                    <w:left w:val="none" w:sz="0" w:space="0" w:color="auto"/>
                    <w:bottom w:val="none" w:sz="0" w:space="0" w:color="auto"/>
                    <w:right w:val="none" w:sz="0" w:space="0" w:color="auto"/>
                  </w:divBdr>
                </w:div>
              </w:divsChild>
            </w:div>
            <w:div w:id="430900434">
              <w:marLeft w:val="0"/>
              <w:marRight w:val="0"/>
              <w:marTop w:val="0"/>
              <w:marBottom w:val="0"/>
              <w:divBdr>
                <w:top w:val="none" w:sz="0" w:space="0" w:color="auto"/>
                <w:left w:val="none" w:sz="0" w:space="0" w:color="auto"/>
                <w:bottom w:val="none" w:sz="0" w:space="0" w:color="auto"/>
                <w:right w:val="none" w:sz="0" w:space="0" w:color="auto"/>
              </w:divBdr>
              <w:divsChild>
                <w:div w:id="178089001">
                  <w:marLeft w:val="0"/>
                  <w:marRight w:val="0"/>
                  <w:marTop w:val="0"/>
                  <w:marBottom w:val="0"/>
                  <w:divBdr>
                    <w:top w:val="none" w:sz="0" w:space="0" w:color="auto"/>
                    <w:left w:val="none" w:sz="0" w:space="0" w:color="auto"/>
                    <w:bottom w:val="none" w:sz="0" w:space="0" w:color="auto"/>
                    <w:right w:val="none" w:sz="0" w:space="0" w:color="auto"/>
                  </w:divBdr>
                </w:div>
              </w:divsChild>
            </w:div>
            <w:div w:id="801777033">
              <w:marLeft w:val="0"/>
              <w:marRight w:val="0"/>
              <w:marTop w:val="0"/>
              <w:marBottom w:val="0"/>
              <w:divBdr>
                <w:top w:val="none" w:sz="0" w:space="0" w:color="auto"/>
                <w:left w:val="none" w:sz="0" w:space="0" w:color="auto"/>
                <w:bottom w:val="none" w:sz="0" w:space="0" w:color="auto"/>
                <w:right w:val="none" w:sz="0" w:space="0" w:color="auto"/>
              </w:divBdr>
              <w:divsChild>
                <w:div w:id="101070269">
                  <w:marLeft w:val="0"/>
                  <w:marRight w:val="0"/>
                  <w:marTop w:val="0"/>
                  <w:marBottom w:val="0"/>
                  <w:divBdr>
                    <w:top w:val="none" w:sz="0" w:space="0" w:color="auto"/>
                    <w:left w:val="none" w:sz="0" w:space="0" w:color="auto"/>
                    <w:bottom w:val="none" w:sz="0" w:space="0" w:color="auto"/>
                    <w:right w:val="none" w:sz="0" w:space="0" w:color="auto"/>
                  </w:divBdr>
                </w:div>
              </w:divsChild>
            </w:div>
            <w:div w:id="905644523">
              <w:marLeft w:val="0"/>
              <w:marRight w:val="0"/>
              <w:marTop w:val="0"/>
              <w:marBottom w:val="0"/>
              <w:divBdr>
                <w:top w:val="none" w:sz="0" w:space="0" w:color="auto"/>
                <w:left w:val="none" w:sz="0" w:space="0" w:color="auto"/>
                <w:bottom w:val="none" w:sz="0" w:space="0" w:color="auto"/>
                <w:right w:val="none" w:sz="0" w:space="0" w:color="auto"/>
              </w:divBdr>
              <w:divsChild>
                <w:div w:id="997030622">
                  <w:marLeft w:val="0"/>
                  <w:marRight w:val="0"/>
                  <w:marTop w:val="0"/>
                  <w:marBottom w:val="0"/>
                  <w:divBdr>
                    <w:top w:val="none" w:sz="0" w:space="0" w:color="auto"/>
                    <w:left w:val="none" w:sz="0" w:space="0" w:color="auto"/>
                    <w:bottom w:val="none" w:sz="0" w:space="0" w:color="auto"/>
                    <w:right w:val="none" w:sz="0" w:space="0" w:color="auto"/>
                  </w:divBdr>
                </w:div>
              </w:divsChild>
            </w:div>
            <w:div w:id="923301601">
              <w:marLeft w:val="0"/>
              <w:marRight w:val="0"/>
              <w:marTop w:val="0"/>
              <w:marBottom w:val="0"/>
              <w:divBdr>
                <w:top w:val="none" w:sz="0" w:space="0" w:color="auto"/>
                <w:left w:val="none" w:sz="0" w:space="0" w:color="auto"/>
                <w:bottom w:val="none" w:sz="0" w:space="0" w:color="auto"/>
                <w:right w:val="none" w:sz="0" w:space="0" w:color="auto"/>
              </w:divBdr>
              <w:divsChild>
                <w:div w:id="174421091">
                  <w:marLeft w:val="0"/>
                  <w:marRight w:val="0"/>
                  <w:marTop w:val="0"/>
                  <w:marBottom w:val="0"/>
                  <w:divBdr>
                    <w:top w:val="none" w:sz="0" w:space="0" w:color="auto"/>
                    <w:left w:val="none" w:sz="0" w:space="0" w:color="auto"/>
                    <w:bottom w:val="none" w:sz="0" w:space="0" w:color="auto"/>
                    <w:right w:val="none" w:sz="0" w:space="0" w:color="auto"/>
                  </w:divBdr>
                </w:div>
              </w:divsChild>
            </w:div>
            <w:div w:id="981926112">
              <w:marLeft w:val="0"/>
              <w:marRight w:val="0"/>
              <w:marTop w:val="0"/>
              <w:marBottom w:val="0"/>
              <w:divBdr>
                <w:top w:val="none" w:sz="0" w:space="0" w:color="auto"/>
                <w:left w:val="none" w:sz="0" w:space="0" w:color="auto"/>
                <w:bottom w:val="none" w:sz="0" w:space="0" w:color="auto"/>
                <w:right w:val="none" w:sz="0" w:space="0" w:color="auto"/>
              </w:divBdr>
              <w:divsChild>
                <w:div w:id="2086799682">
                  <w:marLeft w:val="0"/>
                  <w:marRight w:val="0"/>
                  <w:marTop w:val="0"/>
                  <w:marBottom w:val="0"/>
                  <w:divBdr>
                    <w:top w:val="none" w:sz="0" w:space="0" w:color="auto"/>
                    <w:left w:val="none" w:sz="0" w:space="0" w:color="auto"/>
                    <w:bottom w:val="none" w:sz="0" w:space="0" w:color="auto"/>
                    <w:right w:val="none" w:sz="0" w:space="0" w:color="auto"/>
                  </w:divBdr>
                </w:div>
              </w:divsChild>
            </w:div>
            <w:div w:id="1182552396">
              <w:marLeft w:val="0"/>
              <w:marRight w:val="0"/>
              <w:marTop w:val="0"/>
              <w:marBottom w:val="0"/>
              <w:divBdr>
                <w:top w:val="none" w:sz="0" w:space="0" w:color="auto"/>
                <w:left w:val="none" w:sz="0" w:space="0" w:color="auto"/>
                <w:bottom w:val="none" w:sz="0" w:space="0" w:color="auto"/>
                <w:right w:val="none" w:sz="0" w:space="0" w:color="auto"/>
              </w:divBdr>
              <w:divsChild>
                <w:div w:id="84618905">
                  <w:marLeft w:val="0"/>
                  <w:marRight w:val="0"/>
                  <w:marTop w:val="0"/>
                  <w:marBottom w:val="0"/>
                  <w:divBdr>
                    <w:top w:val="none" w:sz="0" w:space="0" w:color="auto"/>
                    <w:left w:val="none" w:sz="0" w:space="0" w:color="auto"/>
                    <w:bottom w:val="none" w:sz="0" w:space="0" w:color="auto"/>
                    <w:right w:val="none" w:sz="0" w:space="0" w:color="auto"/>
                  </w:divBdr>
                </w:div>
              </w:divsChild>
            </w:div>
            <w:div w:id="1287003171">
              <w:marLeft w:val="0"/>
              <w:marRight w:val="0"/>
              <w:marTop w:val="0"/>
              <w:marBottom w:val="0"/>
              <w:divBdr>
                <w:top w:val="none" w:sz="0" w:space="0" w:color="auto"/>
                <w:left w:val="none" w:sz="0" w:space="0" w:color="auto"/>
                <w:bottom w:val="none" w:sz="0" w:space="0" w:color="auto"/>
                <w:right w:val="none" w:sz="0" w:space="0" w:color="auto"/>
              </w:divBdr>
              <w:divsChild>
                <w:div w:id="1058820454">
                  <w:marLeft w:val="0"/>
                  <w:marRight w:val="0"/>
                  <w:marTop w:val="0"/>
                  <w:marBottom w:val="0"/>
                  <w:divBdr>
                    <w:top w:val="none" w:sz="0" w:space="0" w:color="auto"/>
                    <w:left w:val="none" w:sz="0" w:space="0" w:color="auto"/>
                    <w:bottom w:val="none" w:sz="0" w:space="0" w:color="auto"/>
                    <w:right w:val="none" w:sz="0" w:space="0" w:color="auto"/>
                  </w:divBdr>
                </w:div>
              </w:divsChild>
            </w:div>
            <w:div w:id="1318652029">
              <w:marLeft w:val="0"/>
              <w:marRight w:val="0"/>
              <w:marTop w:val="0"/>
              <w:marBottom w:val="0"/>
              <w:divBdr>
                <w:top w:val="none" w:sz="0" w:space="0" w:color="auto"/>
                <w:left w:val="none" w:sz="0" w:space="0" w:color="auto"/>
                <w:bottom w:val="none" w:sz="0" w:space="0" w:color="auto"/>
                <w:right w:val="none" w:sz="0" w:space="0" w:color="auto"/>
              </w:divBdr>
              <w:divsChild>
                <w:div w:id="1755737625">
                  <w:marLeft w:val="0"/>
                  <w:marRight w:val="0"/>
                  <w:marTop w:val="0"/>
                  <w:marBottom w:val="0"/>
                  <w:divBdr>
                    <w:top w:val="none" w:sz="0" w:space="0" w:color="auto"/>
                    <w:left w:val="none" w:sz="0" w:space="0" w:color="auto"/>
                    <w:bottom w:val="none" w:sz="0" w:space="0" w:color="auto"/>
                    <w:right w:val="none" w:sz="0" w:space="0" w:color="auto"/>
                  </w:divBdr>
                </w:div>
              </w:divsChild>
            </w:div>
            <w:div w:id="1337154246">
              <w:marLeft w:val="0"/>
              <w:marRight w:val="0"/>
              <w:marTop w:val="0"/>
              <w:marBottom w:val="0"/>
              <w:divBdr>
                <w:top w:val="none" w:sz="0" w:space="0" w:color="auto"/>
                <w:left w:val="none" w:sz="0" w:space="0" w:color="auto"/>
                <w:bottom w:val="none" w:sz="0" w:space="0" w:color="auto"/>
                <w:right w:val="none" w:sz="0" w:space="0" w:color="auto"/>
              </w:divBdr>
              <w:divsChild>
                <w:div w:id="1694762924">
                  <w:marLeft w:val="0"/>
                  <w:marRight w:val="0"/>
                  <w:marTop w:val="0"/>
                  <w:marBottom w:val="0"/>
                  <w:divBdr>
                    <w:top w:val="none" w:sz="0" w:space="0" w:color="auto"/>
                    <w:left w:val="none" w:sz="0" w:space="0" w:color="auto"/>
                    <w:bottom w:val="none" w:sz="0" w:space="0" w:color="auto"/>
                    <w:right w:val="none" w:sz="0" w:space="0" w:color="auto"/>
                  </w:divBdr>
                </w:div>
              </w:divsChild>
            </w:div>
            <w:div w:id="1434473365">
              <w:marLeft w:val="0"/>
              <w:marRight w:val="0"/>
              <w:marTop w:val="0"/>
              <w:marBottom w:val="0"/>
              <w:divBdr>
                <w:top w:val="none" w:sz="0" w:space="0" w:color="auto"/>
                <w:left w:val="none" w:sz="0" w:space="0" w:color="auto"/>
                <w:bottom w:val="none" w:sz="0" w:space="0" w:color="auto"/>
                <w:right w:val="none" w:sz="0" w:space="0" w:color="auto"/>
              </w:divBdr>
              <w:divsChild>
                <w:div w:id="1854570487">
                  <w:marLeft w:val="0"/>
                  <w:marRight w:val="0"/>
                  <w:marTop w:val="0"/>
                  <w:marBottom w:val="0"/>
                  <w:divBdr>
                    <w:top w:val="none" w:sz="0" w:space="0" w:color="auto"/>
                    <w:left w:val="none" w:sz="0" w:space="0" w:color="auto"/>
                    <w:bottom w:val="none" w:sz="0" w:space="0" w:color="auto"/>
                    <w:right w:val="none" w:sz="0" w:space="0" w:color="auto"/>
                  </w:divBdr>
                </w:div>
              </w:divsChild>
            </w:div>
            <w:div w:id="1672102559">
              <w:marLeft w:val="0"/>
              <w:marRight w:val="0"/>
              <w:marTop w:val="0"/>
              <w:marBottom w:val="0"/>
              <w:divBdr>
                <w:top w:val="none" w:sz="0" w:space="0" w:color="auto"/>
                <w:left w:val="none" w:sz="0" w:space="0" w:color="auto"/>
                <w:bottom w:val="none" w:sz="0" w:space="0" w:color="auto"/>
                <w:right w:val="none" w:sz="0" w:space="0" w:color="auto"/>
              </w:divBdr>
              <w:divsChild>
                <w:div w:id="241835206">
                  <w:marLeft w:val="0"/>
                  <w:marRight w:val="0"/>
                  <w:marTop w:val="0"/>
                  <w:marBottom w:val="0"/>
                  <w:divBdr>
                    <w:top w:val="none" w:sz="0" w:space="0" w:color="auto"/>
                    <w:left w:val="none" w:sz="0" w:space="0" w:color="auto"/>
                    <w:bottom w:val="none" w:sz="0" w:space="0" w:color="auto"/>
                    <w:right w:val="none" w:sz="0" w:space="0" w:color="auto"/>
                  </w:divBdr>
                </w:div>
              </w:divsChild>
            </w:div>
            <w:div w:id="1688363491">
              <w:marLeft w:val="0"/>
              <w:marRight w:val="0"/>
              <w:marTop w:val="0"/>
              <w:marBottom w:val="0"/>
              <w:divBdr>
                <w:top w:val="none" w:sz="0" w:space="0" w:color="auto"/>
                <w:left w:val="none" w:sz="0" w:space="0" w:color="auto"/>
                <w:bottom w:val="none" w:sz="0" w:space="0" w:color="auto"/>
                <w:right w:val="none" w:sz="0" w:space="0" w:color="auto"/>
              </w:divBdr>
              <w:divsChild>
                <w:div w:id="928271912">
                  <w:marLeft w:val="0"/>
                  <w:marRight w:val="0"/>
                  <w:marTop w:val="0"/>
                  <w:marBottom w:val="0"/>
                  <w:divBdr>
                    <w:top w:val="none" w:sz="0" w:space="0" w:color="auto"/>
                    <w:left w:val="none" w:sz="0" w:space="0" w:color="auto"/>
                    <w:bottom w:val="none" w:sz="0" w:space="0" w:color="auto"/>
                    <w:right w:val="none" w:sz="0" w:space="0" w:color="auto"/>
                  </w:divBdr>
                </w:div>
              </w:divsChild>
            </w:div>
            <w:div w:id="1707564995">
              <w:marLeft w:val="0"/>
              <w:marRight w:val="0"/>
              <w:marTop w:val="0"/>
              <w:marBottom w:val="0"/>
              <w:divBdr>
                <w:top w:val="none" w:sz="0" w:space="0" w:color="auto"/>
                <w:left w:val="none" w:sz="0" w:space="0" w:color="auto"/>
                <w:bottom w:val="none" w:sz="0" w:space="0" w:color="auto"/>
                <w:right w:val="none" w:sz="0" w:space="0" w:color="auto"/>
              </w:divBdr>
              <w:divsChild>
                <w:div w:id="1568220635">
                  <w:marLeft w:val="0"/>
                  <w:marRight w:val="0"/>
                  <w:marTop w:val="0"/>
                  <w:marBottom w:val="0"/>
                  <w:divBdr>
                    <w:top w:val="none" w:sz="0" w:space="0" w:color="auto"/>
                    <w:left w:val="none" w:sz="0" w:space="0" w:color="auto"/>
                    <w:bottom w:val="none" w:sz="0" w:space="0" w:color="auto"/>
                    <w:right w:val="none" w:sz="0" w:space="0" w:color="auto"/>
                  </w:divBdr>
                </w:div>
              </w:divsChild>
            </w:div>
            <w:div w:id="2014642939">
              <w:marLeft w:val="0"/>
              <w:marRight w:val="0"/>
              <w:marTop w:val="0"/>
              <w:marBottom w:val="0"/>
              <w:divBdr>
                <w:top w:val="none" w:sz="0" w:space="0" w:color="auto"/>
                <w:left w:val="none" w:sz="0" w:space="0" w:color="auto"/>
                <w:bottom w:val="none" w:sz="0" w:space="0" w:color="auto"/>
                <w:right w:val="none" w:sz="0" w:space="0" w:color="auto"/>
              </w:divBdr>
              <w:divsChild>
                <w:div w:id="207959180">
                  <w:marLeft w:val="0"/>
                  <w:marRight w:val="0"/>
                  <w:marTop w:val="0"/>
                  <w:marBottom w:val="0"/>
                  <w:divBdr>
                    <w:top w:val="none" w:sz="0" w:space="0" w:color="auto"/>
                    <w:left w:val="none" w:sz="0" w:space="0" w:color="auto"/>
                    <w:bottom w:val="none" w:sz="0" w:space="0" w:color="auto"/>
                    <w:right w:val="none" w:sz="0" w:space="0" w:color="auto"/>
                  </w:divBdr>
                </w:div>
              </w:divsChild>
            </w:div>
            <w:div w:id="2116947149">
              <w:marLeft w:val="0"/>
              <w:marRight w:val="0"/>
              <w:marTop w:val="0"/>
              <w:marBottom w:val="0"/>
              <w:divBdr>
                <w:top w:val="none" w:sz="0" w:space="0" w:color="auto"/>
                <w:left w:val="none" w:sz="0" w:space="0" w:color="auto"/>
                <w:bottom w:val="none" w:sz="0" w:space="0" w:color="auto"/>
                <w:right w:val="none" w:sz="0" w:space="0" w:color="auto"/>
              </w:divBdr>
              <w:divsChild>
                <w:div w:id="161921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622421">
          <w:marLeft w:val="0"/>
          <w:marRight w:val="0"/>
          <w:marTop w:val="0"/>
          <w:marBottom w:val="0"/>
          <w:divBdr>
            <w:top w:val="none" w:sz="0" w:space="0" w:color="auto"/>
            <w:left w:val="none" w:sz="0" w:space="0" w:color="auto"/>
            <w:bottom w:val="none" w:sz="0" w:space="0" w:color="auto"/>
            <w:right w:val="none" w:sz="0" w:space="0" w:color="auto"/>
          </w:divBdr>
        </w:div>
        <w:div w:id="1392382944">
          <w:marLeft w:val="0"/>
          <w:marRight w:val="0"/>
          <w:marTop w:val="0"/>
          <w:marBottom w:val="0"/>
          <w:divBdr>
            <w:top w:val="none" w:sz="0" w:space="0" w:color="auto"/>
            <w:left w:val="none" w:sz="0" w:space="0" w:color="auto"/>
            <w:bottom w:val="none" w:sz="0" w:space="0" w:color="auto"/>
            <w:right w:val="none" w:sz="0" w:space="0" w:color="auto"/>
          </w:divBdr>
        </w:div>
        <w:div w:id="1892107364">
          <w:marLeft w:val="0"/>
          <w:marRight w:val="0"/>
          <w:marTop w:val="0"/>
          <w:marBottom w:val="0"/>
          <w:divBdr>
            <w:top w:val="none" w:sz="0" w:space="0" w:color="auto"/>
            <w:left w:val="none" w:sz="0" w:space="0" w:color="auto"/>
            <w:bottom w:val="none" w:sz="0" w:space="0" w:color="auto"/>
            <w:right w:val="none" w:sz="0" w:space="0" w:color="auto"/>
          </w:divBdr>
        </w:div>
        <w:div w:id="2133591724">
          <w:marLeft w:val="0"/>
          <w:marRight w:val="0"/>
          <w:marTop w:val="0"/>
          <w:marBottom w:val="0"/>
          <w:divBdr>
            <w:top w:val="none" w:sz="0" w:space="0" w:color="auto"/>
            <w:left w:val="none" w:sz="0" w:space="0" w:color="auto"/>
            <w:bottom w:val="none" w:sz="0" w:space="0" w:color="auto"/>
            <w:right w:val="none" w:sz="0" w:space="0" w:color="auto"/>
          </w:divBdr>
        </w:div>
      </w:divsChild>
    </w:div>
    <w:div w:id="112292949">
      <w:bodyDiv w:val="1"/>
      <w:marLeft w:val="0"/>
      <w:marRight w:val="0"/>
      <w:marTop w:val="0"/>
      <w:marBottom w:val="0"/>
      <w:divBdr>
        <w:top w:val="none" w:sz="0" w:space="0" w:color="auto"/>
        <w:left w:val="none" w:sz="0" w:space="0" w:color="auto"/>
        <w:bottom w:val="none" w:sz="0" w:space="0" w:color="auto"/>
        <w:right w:val="none" w:sz="0" w:space="0" w:color="auto"/>
      </w:divBdr>
    </w:div>
    <w:div w:id="117143264">
      <w:bodyDiv w:val="1"/>
      <w:marLeft w:val="0"/>
      <w:marRight w:val="0"/>
      <w:marTop w:val="0"/>
      <w:marBottom w:val="0"/>
      <w:divBdr>
        <w:top w:val="none" w:sz="0" w:space="0" w:color="auto"/>
        <w:left w:val="none" w:sz="0" w:space="0" w:color="auto"/>
        <w:bottom w:val="none" w:sz="0" w:space="0" w:color="auto"/>
        <w:right w:val="none" w:sz="0" w:space="0" w:color="auto"/>
      </w:divBdr>
    </w:div>
    <w:div w:id="127629255">
      <w:bodyDiv w:val="1"/>
      <w:marLeft w:val="0"/>
      <w:marRight w:val="0"/>
      <w:marTop w:val="0"/>
      <w:marBottom w:val="0"/>
      <w:divBdr>
        <w:top w:val="none" w:sz="0" w:space="0" w:color="auto"/>
        <w:left w:val="none" w:sz="0" w:space="0" w:color="auto"/>
        <w:bottom w:val="none" w:sz="0" w:space="0" w:color="auto"/>
        <w:right w:val="none" w:sz="0" w:space="0" w:color="auto"/>
      </w:divBdr>
      <w:divsChild>
        <w:div w:id="53049047">
          <w:marLeft w:val="0"/>
          <w:marRight w:val="0"/>
          <w:marTop w:val="0"/>
          <w:marBottom w:val="0"/>
          <w:divBdr>
            <w:top w:val="none" w:sz="0" w:space="0" w:color="auto"/>
            <w:left w:val="none" w:sz="0" w:space="0" w:color="auto"/>
            <w:bottom w:val="none" w:sz="0" w:space="0" w:color="auto"/>
            <w:right w:val="none" w:sz="0" w:space="0" w:color="auto"/>
          </w:divBdr>
          <w:divsChild>
            <w:div w:id="1105035250">
              <w:marLeft w:val="0"/>
              <w:marRight w:val="0"/>
              <w:marTop w:val="0"/>
              <w:marBottom w:val="0"/>
              <w:divBdr>
                <w:top w:val="none" w:sz="0" w:space="0" w:color="auto"/>
                <w:left w:val="none" w:sz="0" w:space="0" w:color="auto"/>
                <w:bottom w:val="none" w:sz="0" w:space="0" w:color="auto"/>
                <w:right w:val="none" w:sz="0" w:space="0" w:color="auto"/>
              </w:divBdr>
            </w:div>
          </w:divsChild>
        </w:div>
        <w:div w:id="244145676">
          <w:marLeft w:val="0"/>
          <w:marRight w:val="0"/>
          <w:marTop w:val="0"/>
          <w:marBottom w:val="0"/>
          <w:divBdr>
            <w:top w:val="none" w:sz="0" w:space="0" w:color="auto"/>
            <w:left w:val="none" w:sz="0" w:space="0" w:color="auto"/>
            <w:bottom w:val="none" w:sz="0" w:space="0" w:color="auto"/>
            <w:right w:val="none" w:sz="0" w:space="0" w:color="auto"/>
          </w:divBdr>
          <w:divsChild>
            <w:div w:id="393629131">
              <w:marLeft w:val="0"/>
              <w:marRight w:val="0"/>
              <w:marTop w:val="0"/>
              <w:marBottom w:val="0"/>
              <w:divBdr>
                <w:top w:val="none" w:sz="0" w:space="0" w:color="auto"/>
                <w:left w:val="none" w:sz="0" w:space="0" w:color="auto"/>
                <w:bottom w:val="none" w:sz="0" w:space="0" w:color="auto"/>
                <w:right w:val="none" w:sz="0" w:space="0" w:color="auto"/>
              </w:divBdr>
            </w:div>
            <w:div w:id="688456211">
              <w:marLeft w:val="0"/>
              <w:marRight w:val="0"/>
              <w:marTop w:val="0"/>
              <w:marBottom w:val="0"/>
              <w:divBdr>
                <w:top w:val="none" w:sz="0" w:space="0" w:color="auto"/>
                <w:left w:val="none" w:sz="0" w:space="0" w:color="auto"/>
                <w:bottom w:val="none" w:sz="0" w:space="0" w:color="auto"/>
                <w:right w:val="none" w:sz="0" w:space="0" w:color="auto"/>
              </w:divBdr>
            </w:div>
            <w:div w:id="123138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97342">
      <w:bodyDiv w:val="1"/>
      <w:marLeft w:val="0"/>
      <w:marRight w:val="0"/>
      <w:marTop w:val="0"/>
      <w:marBottom w:val="0"/>
      <w:divBdr>
        <w:top w:val="none" w:sz="0" w:space="0" w:color="auto"/>
        <w:left w:val="none" w:sz="0" w:space="0" w:color="auto"/>
        <w:bottom w:val="none" w:sz="0" w:space="0" w:color="auto"/>
        <w:right w:val="none" w:sz="0" w:space="0" w:color="auto"/>
      </w:divBdr>
    </w:div>
    <w:div w:id="277223296">
      <w:bodyDiv w:val="1"/>
      <w:marLeft w:val="0"/>
      <w:marRight w:val="0"/>
      <w:marTop w:val="0"/>
      <w:marBottom w:val="0"/>
      <w:divBdr>
        <w:top w:val="none" w:sz="0" w:space="0" w:color="auto"/>
        <w:left w:val="none" w:sz="0" w:space="0" w:color="auto"/>
        <w:bottom w:val="none" w:sz="0" w:space="0" w:color="auto"/>
        <w:right w:val="none" w:sz="0" w:space="0" w:color="auto"/>
      </w:divBdr>
    </w:div>
    <w:div w:id="329217179">
      <w:bodyDiv w:val="1"/>
      <w:marLeft w:val="0"/>
      <w:marRight w:val="0"/>
      <w:marTop w:val="0"/>
      <w:marBottom w:val="0"/>
      <w:divBdr>
        <w:top w:val="none" w:sz="0" w:space="0" w:color="auto"/>
        <w:left w:val="none" w:sz="0" w:space="0" w:color="auto"/>
        <w:bottom w:val="none" w:sz="0" w:space="0" w:color="auto"/>
        <w:right w:val="none" w:sz="0" w:space="0" w:color="auto"/>
      </w:divBdr>
    </w:div>
    <w:div w:id="406222971">
      <w:bodyDiv w:val="1"/>
      <w:marLeft w:val="0"/>
      <w:marRight w:val="0"/>
      <w:marTop w:val="0"/>
      <w:marBottom w:val="0"/>
      <w:divBdr>
        <w:top w:val="none" w:sz="0" w:space="0" w:color="auto"/>
        <w:left w:val="none" w:sz="0" w:space="0" w:color="auto"/>
        <w:bottom w:val="none" w:sz="0" w:space="0" w:color="auto"/>
        <w:right w:val="none" w:sz="0" w:space="0" w:color="auto"/>
      </w:divBdr>
    </w:div>
    <w:div w:id="420756843">
      <w:bodyDiv w:val="1"/>
      <w:marLeft w:val="0"/>
      <w:marRight w:val="0"/>
      <w:marTop w:val="0"/>
      <w:marBottom w:val="0"/>
      <w:divBdr>
        <w:top w:val="none" w:sz="0" w:space="0" w:color="auto"/>
        <w:left w:val="none" w:sz="0" w:space="0" w:color="auto"/>
        <w:bottom w:val="none" w:sz="0" w:space="0" w:color="auto"/>
        <w:right w:val="none" w:sz="0" w:space="0" w:color="auto"/>
      </w:divBdr>
    </w:div>
    <w:div w:id="544948229">
      <w:bodyDiv w:val="1"/>
      <w:marLeft w:val="0"/>
      <w:marRight w:val="0"/>
      <w:marTop w:val="0"/>
      <w:marBottom w:val="0"/>
      <w:divBdr>
        <w:top w:val="none" w:sz="0" w:space="0" w:color="auto"/>
        <w:left w:val="none" w:sz="0" w:space="0" w:color="auto"/>
        <w:bottom w:val="none" w:sz="0" w:space="0" w:color="auto"/>
        <w:right w:val="none" w:sz="0" w:space="0" w:color="auto"/>
      </w:divBdr>
    </w:div>
    <w:div w:id="575672251">
      <w:bodyDiv w:val="1"/>
      <w:marLeft w:val="0"/>
      <w:marRight w:val="0"/>
      <w:marTop w:val="0"/>
      <w:marBottom w:val="0"/>
      <w:divBdr>
        <w:top w:val="none" w:sz="0" w:space="0" w:color="auto"/>
        <w:left w:val="none" w:sz="0" w:space="0" w:color="auto"/>
        <w:bottom w:val="none" w:sz="0" w:space="0" w:color="auto"/>
        <w:right w:val="none" w:sz="0" w:space="0" w:color="auto"/>
      </w:divBdr>
    </w:div>
    <w:div w:id="629283382">
      <w:bodyDiv w:val="1"/>
      <w:marLeft w:val="0"/>
      <w:marRight w:val="0"/>
      <w:marTop w:val="0"/>
      <w:marBottom w:val="0"/>
      <w:divBdr>
        <w:top w:val="none" w:sz="0" w:space="0" w:color="auto"/>
        <w:left w:val="none" w:sz="0" w:space="0" w:color="auto"/>
        <w:bottom w:val="none" w:sz="0" w:space="0" w:color="auto"/>
        <w:right w:val="none" w:sz="0" w:space="0" w:color="auto"/>
      </w:divBdr>
    </w:div>
    <w:div w:id="730348987">
      <w:bodyDiv w:val="1"/>
      <w:marLeft w:val="0"/>
      <w:marRight w:val="0"/>
      <w:marTop w:val="0"/>
      <w:marBottom w:val="0"/>
      <w:divBdr>
        <w:top w:val="none" w:sz="0" w:space="0" w:color="auto"/>
        <w:left w:val="none" w:sz="0" w:space="0" w:color="auto"/>
        <w:bottom w:val="none" w:sz="0" w:space="0" w:color="auto"/>
        <w:right w:val="none" w:sz="0" w:space="0" w:color="auto"/>
      </w:divBdr>
    </w:div>
    <w:div w:id="764812434">
      <w:bodyDiv w:val="1"/>
      <w:marLeft w:val="0"/>
      <w:marRight w:val="0"/>
      <w:marTop w:val="0"/>
      <w:marBottom w:val="0"/>
      <w:divBdr>
        <w:top w:val="none" w:sz="0" w:space="0" w:color="auto"/>
        <w:left w:val="none" w:sz="0" w:space="0" w:color="auto"/>
        <w:bottom w:val="none" w:sz="0" w:space="0" w:color="auto"/>
        <w:right w:val="none" w:sz="0" w:space="0" w:color="auto"/>
      </w:divBdr>
    </w:div>
    <w:div w:id="796484681">
      <w:bodyDiv w:val="1"/>
      <w:marLeft w:val="0"/>
      <w:marRight w:val="0"/>
      <w:marTop w:val="0"/>
      <w:marBottom w:val="0"/>
      <w:divBdr>
        <w:top w:val="none" w:sz="0" w:space="0" w:color="auto"/>
        <w:left w:val="none" w:sz="0" w:space="0" w:color="auto"/>
        <w:bottom w:val="none" w:sz="0" w:space="0" w:color="auto"/>
        <w:right w:val="none" w:sz="0" w:space="0" w:color="auto"/>
      </w:divBdr>
    </w:div>
    <w:div w:id="797798978">
      <w:bodyDiv w:val="1"/>
      <w:marLeft w:val="0"/>
      <w:marRight w:val="0"/>
      <w:marTop w:val="0"/>
      <w:marBottom w:val="0"/>
      <w:divBdr>
        <w:top w:val="none" w:sz="0" w:space="0" w:color="auto"/>
        <w:left w:val="none" w:sz="0" w:space="0" w:color="auto"/>
        <w:bottom w:val="none" w:sz="0" w:space="0" w:color="auto"/>
        <w:right w:val="none" w:sz="0" w:space="0" w:color="auto"/>
      </w:divBdr>
    </w:div>
    <w:div w:id="845708903">
      <w:bodyDiv w:val="1"/>
      <w:marLeft w:val="0"/>
      <w:marRight w:val="0"/>
      <w:marTop w:val="0"/>
      <w:marBottom w:val="0"/>
      <w:divBdr>
        <w:top w:val="none" w:sz="0" w:space="0" w:color="auto"/>
        <w:left w:val="none" w:sz="0" w:space="0" w:color="auto"/>
        <w:bottom w:val="none" w:sz="0" w:space="0" w:color="auto"/>
        <w:right w:val="none" w:sz="0" w:space="0" w:color="auto"/>
      </w:divBdr>
      <w:divsChild>
        <w:div w:id="743895">
          <w:marLeft w:val="0"/>
          <w:marRight w:val="0"/>
          <w:marTop w:val="0"/>
          <w:marBottom w:val="0"/>
          <w:divBdr>
            <w:top w:val="none" w:sz="0" w:space="0" w:color="auto"/>
            <w:left w:val="none" w:sz="0" w:space="0" w:color="auto"/>
            <w:bottom w:val="none" w:sz="0" w:space="0" w:color="auto"/>
            <w:right w:val="none" w:sz="0" w:space="0" w:color="auto"/>
          </w:divBdr>
          <w:divsChild>
            <w:div w:id="1158307126">
              <w:marLeft w:val="0"/>
              <w:marRight w:val="0"/>
              <w:marTop w:val="0"/>
              <w:marBottom w:val="0"/>
              <w:divBdr>
                <w:top w:val="none" w:sz="0" w:space="0" w:color="auto"/>
                <w:left w:val="none" w:sz="0" w:space="0" w:color="auto"/>
                <w:bottom w:val="none" w:sz="0" w:space="0" w:color="auto"/>
                <w:right w:val="none" w:sz="0" w:space="0" w:color="auto"/>
              </w:divBdr>
            </w:div>
          </w:divsChild>
        </w:div>
        <w:div w:id="5720399">
          <w:marLeft w:val="0"/>
          <w:marRight w:val="0"/>
          <w:marTop w:val="0"/>
          <w:marBottom w:val="0"/>
          <w:divBdr>
            <w:top w:val="none" w:sz="0" w:space="0" w:color="auto"/>
            <w:left w:val="none" w:sz="0" w:space="0" w:color="auto"/>
            <w:bottom w:val="none" w:sz="0" w:space="0" w:color="auto"/>
            <w:right w:val="none" w:sz="0" w:space="0" w:color="auto"/>
          </w:divBdr>
          <w:divsChild>
            <w:div w:id="1679307693">
              <w:marLeft w:val="0"/>
              <w:marRight w:val="0"/>
              <w:marTop w:val="0"/>
              <w:marBottom w:val="0"/>
              <w:divBdr>
                <w:top w:val="none" w:sz="0" w:space="0" w:color="auto"/>
                <w:left w:val="none" w:sz="0" w:space="0" w:color="auto"/>
                <w:bottom w:val="none" w:sz="0" w:space="0" w:color="auto"/>
                <w:right w:val="none" w:sz="0" w:space="0" w:color="auto"/>
              </w:divBdr>
            </w:div>
          </w:divsChild>
        </w:div>
        <w:div w:id="14120588">
          <w:marLeft w:val="0"/>
          <w:marRight w:val="0"/>
          <w:marTop w:val="0"/>
          <w:marBottom w:val="0"/>
          <w:divBdr>
            <w:top w:val="none" w:sz="0" w:space="0" w:color="auto"/>
            <w:left w:val="none" w:sz="0" w:space="0" w:color="auto"/>
            <w:bottom w:val="none" w:sz="0" w:space="0" w:color="auto"/>
            <w:right w:val="none" w:sz="0" w:space="0" w:color="auto"/>
          </w:divBdr>
          <w:divsChild>
            <w:div w:id="265506955">
              <w:marLeft w:val="0"/>
              <w:marRight w:val="0"/>
              <w:marTop w:val="0"/>
              <w:marBottom w:val="0"/>
              <w:divBdr>
                <w:top w:val="none" w:sz="0" w:space="0" w:color="auto"/>
                <w:left w:val="none" w:sz="0" w:space="0" w:color="auto"/>
                <w:bottom w:val="none" w:sz="0" w:space="0" w:color="auto"/>
                <w:right w:val="none" w:sz="0" w:space="0" w:color="auto"/>
              </w:divBdr>
            </w:div>
          </w:divsChild>
        </w:div>
        <w:div w:id="19011006">
          <w:marLeft w:val="0"/>
          <w:marRight w:val="0"/>
          <w:marTop w:val="0"/>
          <w:marBottom w:val="0"/>
          <w:divBdr>
            <w:top w:val="none" w:sz="0" w:space="0" w:color="auto"/>
            <w:left w:val="none" w:sz="0" w:space="0" w:color="auto"/>
            <w:bottom w:val="none" w:sz="0" w:space="0" w:color="auto"/>
            <w:right w:val="none" w:sz="0" w:space="0" w:color="auto"/>
          </w:divBdr>
          <w:divsChild>
            <w:div w:id="1731080155">
              <w:marLeft w:val="0"/>
              <w:marRight w:val="0"/>
              <w:marTop w:val="0"/>
              <w:marBottom w:val="0"/>
              <w:divBdr>
                <w:top w:val="none" w:sz="0" w:space="0" w:color="auto"/>
                <w:left w:val="none" w:sz="0" w:space="0" w:color="auto"/>
                <w:bottom w:val="none" w:sz="0" w:space="0" w:color="auto"/>
                <w:right w:val="none" w:sz="0" w:space="0" w:color="auto"/>
              </w:divBdr>
            </w:div>
          </w:divsChild>
        </w:div>
        <w:div w:id="25060065">
          <w:marLeft w:val="0"/>
          <w:marRight w:val="0"/>
          <w:marTop w:val="0"/>
          <w:marBottom w:val="0"/>
          <w:divBdr>
            <w:top w:val="none" w:sz="0" w:space="0" w:color="auto"/>
            <w:left w:val="none" w:sz="0" w:space="0" w:color="auto"/>
            <w:bottom w:val="none" w:sz="0" w:space="0" w:color="auto"/>
            <w:right w:val="none" w:sz="0" w:space="0" w:color="auto"/>
          </w:divBdr>
          <w:divsChild>
            <w:div w:id="672032411">
              <w:marLeft w:val="0"/>
              <w:marRight w:val="0"/>
              <w:marTop w:val="0"/>
              <w:marBottom w:val="0"/>
              <w:divBdr>
                <w:top w:val="none" w:sz="0" w:space="0" w:color="auto"/>
                <w:left w:val="none" w:sz="0" w:space="0" w:color="auto"/>
                <w:bottom w:val="none" w:sz="0" w:space="0" w:color="auto"/>
                <w:right w:val="none" w:sz="0" w:space="0" w:color="auto"/>
              </w:divBdr>
            </w:div>
          </w:divsChild>
        </w:div>
        <w:div w:id="27799795">
          <w:marLeft w:val="0"/>
          <w:marRight w:val="0"/>
          <w:marTop w:val="0"/>
          <w:marBottom w:val="0"/>
          <w:divBdr>
            <w:top w:val="none" w:sz="0" w:space="0" w:color="auto"/>
            <w:left w:val="none" w:sz="0" w:space="0" w:color="auto"/>
            <w:bottom w:val="none" w:sz="0" w:space="0" w:color="auto"/>
            <w:right w:val="none" w:sz="0" w:space="0" w:color="auto"/>
          </w:divBdr>
          <w:divsChild>
            <w:div w:id="1346634365">
              <w:marLeft w:val="0"/>
              <w:marRight w:val="0"/>
              <w:marTop w:val="0"/>
              <w:marBottom w:val="0"/>
              <w:divBdr>
                <w:top w:val="none" w:sz="0" w:space="0" w:color="auto"/>
                <w:left w:val="none" w:sz="0" w:space="0" w:color="auto"/>
                <w:bottom w:val="none" w:sz="0" w:space="0" w:color="auto"/>
                <w:right w:val="none" w:sz="0" w:space="0" w:color="auto"/>
              </w:divBdr>
            </w:div>
          </w:divsChild>
        </w:div>
        <w:div w:id="31154829">
          <w:marLeft w:val="0"/>
          <w:marRight w:val="0"/>
          <w:marTop w:val="0"/>
          <w:marBottom w:val="0"/>
          <w:divBdr>
            <w:top w:val="none" w:sz="0" w:space="0" w:color="auto"/>
            <w:left w:val="none" w:sz="0" w:space="0" w:color="auto"/>
            <w:bottom w:val="none" w:sz="0" w:space="0" w:color="auto"/>
            <w:right w:val="none" w:sz="0" w:space="0" w:color="auto"/>
          </w:divBdr>
          <w:divsChild>
            <w:div w:id="1101296044">
              <w:marLeft w:val="0"/>
              <w:marRight w:val="0"/>
              <w:marTop w:val="0"/>
              <w:marBottom w:val="0"/>
              <w:divBdr>
                <w:top w:val="none" w:sz="0" w:space="0" w:color="auto"/>
                <w:left w:val="none" w:sz="0" w:space="0" w:color="auto"/>
                <w:bottom w:val="none" w:sz="0" w:space="0" w:color="auto"/>
                <w:right w:val="none" w:sz="0" w:space="0" w:color="auto"/>
              </w:divBdr>
            </w:div>
          </w:divsChild>
        </w:div>
        <w:div w:id="35474561">
          <w:marLeft w:val="0"/>
          <w:marRight w:val="0"/>
          <w:marTop w:val="0"/>
          <w:marBottom w:val="0"/>
          <w:divBdr>
            <w:top w:val="none" w:sz="0" w:space="0" w:color="auto"/>
            <w:left w:val="none" w:sz="0" w:space="0" w:color="auto"/>
            <w:bottom w:val="none" w:sz="0" w:space="0" w:color="auto"/>
            <w:right w:val="none" w:sz="0" w:space="0" w:color="auto"/>
          </w:divBdr>
          <w:divsChild>
            <w:div w:id="88964972">
              <w:marLeft w:val="0"/>
              <w:marRight w:val="0"/>
              <w:marTop w:val="0"/>
              <w:marBottom w:val="0"/>
              <w:divBdr>
                <w:top w:val="none" w:sz="0" w:space="0" w:color="auto"/>
                <w:left w:val="none" w:sz="0" w:space="0" w:color="auto"/>
                <w:bottom w:val="none" w:sz="0" w:space="0" w:color="auto"/>
                <w:right w:val="none" w:sz="0" w:space="0" w:color="auto"/>
              </w:divBdr>
            </w:div>
          </w:divsChild>
        </w:div>
        <w:div w:id="47069321">
          <w:marLeft w:val="0"/>
          <w:marRight w:val="0"/>
          <w:marTop w:val="0"/>
          <w:marBottom w:val="0"/>
          <w:divBdr>
            <w:top w:val="none" w:sz="0" w:space="0" w:color="auto"/>
            <w:left w:val="none" w:sz="0" w:space="0" w:color="auto"/>
            <w:bottom w:val="none" w:sz="0" w:space="0" w:color="auto"/>
            <w:right w:val="none" w:sz="0" w:space="0" w:color="auto"/>
          </w:divBdr>
          <w:divsChild>
            <w:div w:id="2003853242">
              <w:marLeft w:val="0"/>
              <w:marRight w:val="0"/>
              <w:marTop w:val="0"/>
              <w:marBottom w:val="0"/>
              <w:divBdr>
                <w:top w:val="none" w:sz="0" w:space="0" w:color="auto"/>
                <w:left w:val="none" w:sz="0" w:space="0" w:color="auto"/>
                <w:bottom w:val="none" w:sz="0" w:space="0" w:color="auto"/>
                <w:right w:val="none" w:sz="0" w:space="0" w:color="auto"/>
              </w:divBdr>
            </w:div>
          </w:divsChild>
        </w:div>
        <w:div w:id="48891140">
          <w:marLeft w:val="0"/>
          <w:marRight w:val="0"/>
          <w:marTop w:val="0"/>
          <w:marBottom w:val="0"/>
          <w:divBdr>
            <w:top w:val="none" w:sz="0" w:space="0" w:color="auto"/>
            <w:left w:val="none" w:sz="0" w:space="0" w:color="auto"/>
            <w:bottom w:val="none" w:sz="0" w:space="0" w:color="auto"/>
            <w:right w:val="none" w:sz="0" w:space="0" w:color="auto"/>
          </w:divBdr>
          <w:divsChild>
            <w:div w:id="91246162">
              <w:marLeft w:val="0"/>
              <w:marRight w:val="0"/>
              <w:marTop w:val="0"/>
              <w:marBottom w:val="0"/>
              <w:divBdr>
                <w:top w:val="none" w:sz="0" w:space="0" w:color="auto"/>
                <w:left w:val="none" w:sz="0" w:space="0" w:color="auto"/>
                <w:bottom w:val="none" w:sz="0" w:space="0" w:color="auto"/>
                <w:right w:val="none" w:sz="0" w:space="0" w:color="auto"/>
              </w:divBdr>
            </w:div>
            <w:div w:id="424153006">
              <w:marLeft w:val="0"/>
              <w:marRight w:val="0"/>
              <w:marTop w:val="0"/>
              <w:marBottom w:val="0"/>
              <w:divBdr>
                <w:top w:val="none" w:sz="0" w:space="0" w:color="auto"/>
                <w:left w:val="none" w:sz="0" w:space="0" w:color="auto"/>
                <w:bottom w:val="none" w:sz="0" w:space="0" w:color="auto"/>
                <w:right w:val="none" w:sz="0" w:space="0" w:color="auto"/>
              </w:divBdr>
            </w:div>
            <w:div w:id="1049572506">
              <w:marLeft w:val="0"/>
              <w:marRight w:val="0"/>
              <w:marTop w:val="0"/>
              <w:marBottom w:val="0"/>
              <w:divBdr>
                <w:top w:val="none" w:sz="0" w:space="0" w:color="auto"/>
                <w:left w:val="none" w:sz="0" w:space="0" w:color="auto"/>
                <w:bottom w:val="none" w:sz="0" w:space="0" w:color="auto"/>
                <w:right w:val="none" w:sz="0" w:space="0" w:color="auto"/>
              </w:divBdr>
            </w:div>
            <w:div w:id="1239170829">
              <w:marLeft w:val="0"/>
              <w:marRight w:val="0"/>
              <w:marTop w:val="0"/>
              <w:marBottom w:val="0"/>
              <w:divBdr>
                <w:top w:val="none" w:sz="0" w:space="0" w:color="auto"/>
                <w:left w:val="none" w:sz="0" w:space="0" w:color="auto"/>
                <w:bottom w:val="none" w:sz="0" w:space="0" w:color="auto"/>
                <w:right w:val="none" w:sz="0" w:space="0" w:color="auto"/>
              </w:divBdr>
            </w:div>
            <w:div w:id="1616980903">
              <w:marLeft w:val="0"/>
              <w:marRight w:val="0"/>
              <w:marTop w:val="0"/>
              <w:marBottom w:val="0"/>
              <w:divBdr>
                <w:top w:val="none" w:sz="0" w:space="0" w:color="auto"/>
                <w:left w:val="none" w:sz="0" w:space="0" w:color="auto"/>
                <w:bottom w:val="none" w:sz="0" w:space="0" w:color="auto"/>
                <w:right w:val="none" w:sz="0" w:space="0" w:color="auto"/>
              </w:divBdr>
            </w:div>
            <w:div w:id="1990212302">
              <w:marLeft w:val="0"/>
              <w:marRight w:val="0"/>
              <w:marTop w:val="0"/>
              <w:marBottom w:val="0"/>
              <w:divBdr>
                <w:top w:val="none" w:sz="0" w:space="0" w:color="auto"/>
                <w:left w:val="none" w:sz="0" w:space="0" w:color="auto"/>
                <w:bottom w:val="none" w:sz="0" w:space="0" w:color="auto"/>
                <w:right w:val="none" w:sz="0" w:space="0" w:color="auto"/>
              </w:divBdr>
            </w:div>
            <w:div w:id="2135753587">
              <w:marLeft w:val="0"/>
              <w:marRight w:val="0"/>
              <w:marTop w:val="0"/>
              <w:marBottom w:val="0"/>
              <w:divBdr>
                <w:top w:val="none" w:sz="0" w:space="0" w:color="auto"/>
                <w:left w:val="none" w:sz="0" w:space="0" w:color="auto"/>
                <w:bottom w:val="none" w:sz="0" w:space="0" w:color="auto"/>
                <w:right w:val="none" w:sz="0" w:space="0" w:color="auto"/>
              </w:divBdr>
            </w:div>
          </w:divsChild>
        </w:div>
        <w:div w:id="60569824">
          <w:marLeft w:val="0"/>
          <w:marRight w:val="0"/>
          <w:marTop w:val="0"/>
          <w:marBottom w:val="0"/>
          <w:divBdr>
            <w:top w:val="none" w:sz="0" w:space="0" w:color="auto"/>
            <w:left w:val="none" w:sz="0" w:space="0" w:color="auto"/>
            <w:bottom w:val="none" w:sz="0" w:space="0" w:color="auto"/>
            <w:right w:val="none" w:sz="0" w:space="0" w:color="auto"/>
          </w:divBdr>
          <w:divsChild>
            <w:div w:id="301497636">
              <w:marLeft w:val="0"/>
              <w:marRight w:val="0"/>
              <w:marTop w:val="0"/>
              <w:marBottom w:val="0"/>
              <w:divBdr>
                <w:top w:val="none" w:sz="0" w:space="0" w:color="auto"/>
                <w:left w:val="none" w:sz="0" w:space="0" w:color="auto"/>
                <w:bottom w:val="none" w:sz="0" w:space="0" w:color="auto"/>
                <w:right w:val="none" w:sz="0" w:space="0" w:color="auto"/>
              </w:divBdr>
            </w:div>
          </w:divsChild>
        </w:div>
        <w:div w:id="69156115">
          <w:marLeft w:val="0"/>
          <w:marRight w:val="0"/>
          <w:marTop w:val="0"/>
          <w:marBottom w:val="0"/>
          <w:divBdr>
            <w:top w:val="none" w:sz="0" w:space="0" w:color="auto"/>
            <w:left w:val="none" w:sz="0" w:space="0" w:color="auto"/>
            <w:bottom w:val="none" w:sz="0" w:space="0" w:color="auto"/>
            <w:right w:val="none" w:sz="0" w:space="0" w:color="auto"/>
          </w:divBdr>
          <w:divsChild>
            <w:div w:id="1782918577">
              <w:marLeft w:val="0"/>
              <w:marRight w:val="0"/>
              <w:marTop w:val="0"/>
              <w:marBottom w:val="0"/>
              <w:divBdr>
                <w:top w:val="none" w:sz="0" w:space="0" w:color="auto"/>
                <w:left w:val="none" w:sz="0" w:space="0" w:color="auto"/>
                <w:bottom w:val="none" w:sz="0" w:space="0" w:color="auto"/>
                <w:right w:val="none" w:sz="0" w:space="0" w:color="auto"/>
              </w:divBdr>
            </w:div>
          </w:divsChild>
        </w:div>
        <w:div w:id="83458894">
          <w:marLeft w:val="0"/>
          <w:marRight w:val="0"/>
          <w:marTop w:val="0"/>
          <w:marBottom w:val="0"/>
          <w:divBdr>
            <w:top w:val="none" w:sz="0" w:space="0" w:color="auto"/>
            <w:left w:val="none" w:sz="0" w:space="0" w:color="auto"/>
            <w:bottom w:val="none" w:sz="0" w:space="0" w:color="auto"/>
            <w:right w:val="none" w:sz="0" w:space="0" w:color="auto"/>
          </w:divBdr>
          <w:divsChild>
            <w:div w:id="1141076573">
              <w:marLeft w:val="0"/>
              <w:marRight w:val="0"/>
              <w:marTop w:val="0"/>
              <w:marBottom w:val="0"/>
              <w:divBdr>
                <w:top w:val="none" w:sz="0" w:space="0" w:color="auto"/>
                <w:left w:val="none" w:sz="0" w:space="0" w:color="auto"/>
                <w:bottom w:val="none" w:sz="0" w:space="0" w:color="auto"/>
                <w:right w:val="none" w:sz="0" w:space="0" w:color="auto"/>
              </w:divBdr>
            </w:div>
          </w:divsChild>
        </w:div>
        <w:div w:id="86390763">
          <w:marLeft w:val="0"/>
          <w:marRight w:val="0"/>
          <w:marTop w:val="0"/>
          <w:marBottom w:val="0"/>
          <w:divBdr>
            <w:top w:val="none" w:sz="0" w:space="0" w:color="auto"/>
            <w:left w:val="none" w:sz="0" w:space="0" w:color="auto"/>
            <w:bottom w:val="none" w:sz="0" w:space="0" w:color="auto"/>
            <w:right w:val="none" w:sz="0" w:space="0" w:color="auto"/>
          </w:divBdr>
          <w:divsChild>
            <w:div w:id="1197738799">
              <w:marLeft w:val="0"/>
              <w:marRight w:val="0"/>
              <w:marTop w:val="0"/>
              <w:marBottom w:val="0"/>
              <w:divBdr>
                <w:top w:val="none" w:sz="0" w:space="0" w:color="auto"/>
                <w:left w:val="none" w:sz="0" w:space="0" w:color="auto"/>
                <w:bottom w:val="none" w:sz="0" w:space="0" w:color="auto"/>
                <w:right w:val="none" w:sz="0" w:space="0" w:color="auto"/>
              </w:divBdr>
            </w:div>
          </w:divsChild>
        </w:div>
        <w:div w:id="106892841">
          <w:marLeft w:val="0"/>
          <w:marRight w:val="0"/>
          <w:marTop w:val="0"/>
          <w:marBottom w:val="0"/>
          <w:divBdr>
            <w:top w:val="none" w:sz="0" w:space="0" w:color="auto"/>
            <w:left w:val="none" w:sz="0" w:space="0" w:color="auto"/>
            <w:bottom w:val="none" w:sz="0" w:space="0" w:color="auto"/>
            <w:right w:val="none" w:sz="0" w:space="0" w:color="auto"/>
          </w:divBdr>
          <w:divsChild>
            <w:div w:id="266278610">
              <w:marLeft w:val="0"/>
              <w:marRight w:val="0"/>
              <w:marTop w:val="0"/>
              <w:marBottom w:val="0"/>
              <w:divBdr>
                <w:top w:val="none" w:sz="0" w:space="0" w:color="auto"/>
                <w:left w:val="none" w:sz="0" w:space="0" w:color="auto"/>
                <w:bottom w:val="none" w:sz="0" w:space="0" w:color="auto"/>
                <w:right w:val="none" w:sz="0" w:space="0" w:color="auto"/>
              </w:divBdr>
            </w:div>
          </w:divsChild>
        </w:div>
        <w:div w:id="116460754">
          <w:marLeft w:val="0"/>
          <w:marRight w:val="0"/>
          <w:marTop w:val="0"/>
          <w:marBottom w:val="0"/>
          <w:divBdr>
            <w:top w:val="none" w:sz="0" w:space="0" w:color="auto"/>
            <w:left w:val="none" w:sz="0" w:space="0" w:color="auto"/>
            <w:bottom w:val="none" w:sz="0" w:space="0" w:color="auto"/>
            <w:right w:val="none" w:sz="0" w:space="0" w:color="auto"/>
          </w:divBdr>
          <w:divsChild>
            <w:div w:id="1534070428">
              <w:marLeft w:val="0"/>
              <w:marRight w:val="0"/>
              <w:marTop w:val="0"/>
              <w:marBottom w:val="0"/>
              <w:divBdr>
                <w:top w:val="none" w:sz="0" w:space="0" w:color="auto"/>
                <w:left w:val="none" w:sz="0" w:space="0" w:color="auto"/>
                <w:bottom w:val="none" w:sz="0" w:space="0" w:color="auto"/>
                <w:right w:val="none" w:sz="0" w:space="0" w:color="auto"/>
              </w:divBdr>
            </w:div>
          </w:divsChild>
        </w:div>
        <w:div w:id="125780606">
          <w:marLeft w:val="0"/>
          <w:marRight w:val="0"/>
          <w:marTop w:val="0"/>
          <w:marBottom w:val="0"/>
          <w:divBdr>
            <w:top w:val="none" w:sz="0" w:space="0" w:color="auto"/>
            <w:left w:val="none" w:sz="0" w:space="0" w:color="auto"/>
            <w:bottom w:val="none" w:sz="0" w:space="0" w:color="auto"/>
            <w:right w:val="none" w:sz="0" w:space="0" w:color="auto"/>
          </w:divBdr>
          <w:divsChild>
            <w:div w:id="1994292309">
              <w:marLeft w:val="0"/>
              <w:marRight w:val="0"/>
              <w:marTop w:val="0"/>
              <w:marBottom w:val="0"/>
              <w:divBdr>
                <w:top w:val="none" w:sz="0" w:space="0" w:color="auto"/>
                <w:left w:val="none" w:sz="0" w:space="0" w:color="auto"/>
                <w:bottom w:val="none" w:sz="0" w:space="0" w:color="auto"/>
                <w:right w:val="none" w:sz="0" w:space="0" w:color="auto"/>
              </w:divBdr>
            </w:div>
          </w:divsChild>
        </w:div>
        <w:div w:id="128523684">
          <w:marLeft w:val="0"/>
          <w:marRight w:val="0"/>
          <w:marTop w:val="0"/>
          <w:marBottom w:val="0"/>
          <w:divBdr>
            <w:top w:val="none" w:sz="0" w:space="0" w:color="auto"/>
            <w:left w:val="none" w:sz="0" w:space="0" w:color="auto"/>
            <w:bottom w:val="none" w:sz="0" w:space="0" w:color="auto"/>
            <w:right w:val="none" w:sz="0" w:space="0" w:color="auto"/>
          </w:divBdr>
          <w:divsChild>
            <w:div w:id="825511872">
              <w:marLeft w:val="0"/>
              <w:marRight w:val="0"/>
              <w:marTop w:val="0"/>
              <w:marBottom w:val="0"/>
              <w:divBdr>
                <w:top w:val="none" w:sz="0" w:space="0" w:color="auto"/>
                <w:left w:val="none" w:sz="0" w:space="0" w:color="auto"/>
                <w:bottom w:val="none" w:sz="0" w:space="0" w:color="auto"/>
                <w:right w:val="none" w:sz="0" w:space="0" w:color="auto"/>
              </w:divBdr>
            </w:div>
          </w:divsChild>
        </w:div>
        <w:div w:id="132063163">
          <w:marLeft w:val="0"/>
          <w:marRight w:val="0"/>
          <w:marTop w:val="0"/>
          <w:marBottom w:val="0"/>
          <w:divBdr>
            <w:top w:val="none" w:sz="0" w:space="0" w:color="auto"/>
            <w:left w:val="none" w:sz="0" w:space="0" w:color="auto"/>
            <w:bottom w:val="none" w:sz="0" w:space="0" w:color="auto"/>
            <w:right w:val="none" w:sz="0" w:space="0" w:color="auto"/>
          </w:divBdr>
          <w:divsChild>
            <w:div w:id="188177628">
              <w:marLeft w:val="0"/>
              <w:marRight w:val="0"/>
              <w:marTop w:val="0"/>
              <w:marBottom w:val="0"/>
              <w:divBdr>
                <w:top w:val="none" w:sz="0" w:space="0" w:color="auto"/>
                <w:left w:val="none" w:sz="0" w:space="0" w:color="auto"/>
                <w:bottom w:val="none" w:sz="0" w:space="0" w:color="auto"/>
                <w:right w:val="none" w:sz="0" w:space="0" w:color="auto"/>
              </w:divBdr>
            </w:div>
          </w:divsChild>
        </w:div>
        <w:div w:id="134949805">
          <w:marLeft w:val="0"/>
          <w:marRight w:val="0"/>
          <w:marTop w:val="0"/>
          <w:marBottom w:val="0"/>
          <w:divBdr>
            <w:top w:val="none" w:sz="0" w:space="0" w:color="auto"/>
            <w:left w:val="none" w:sz="0" w:space="0" w:color="auto"/>
            <w:bottom w:val="none" w:sz="0" w:space="0" w:color="auto"/>
            <w:right w:val="none" w:sz="0" w:space="0" w:color="auto"/>
          </w:divBdr>
          <w:divsChild>
            <w:div w:id="1501195151">
              <w:marLeft w:val="0"/>
              <w:marRight w:val="0"/>
              <w:marTop w:val="0"/>
              <w:marBottom w:val="0"/>
              <w:divBdr>
                <w:top w:val="none" w:sz="0" w:space="0" w:color="auto"/>
                <w:left w:val="none" w:sz="0" w:space="0" w:color="auto"/>
                <w:bottom w:val="none" w:sz="0" w:space="0" w:color="auto"/>
                <w:right w:val="none" w:sz="0" w:space="0" w:color="auto"/>
              </w:divBdr>
            </w:div>
          </w:divsChild>
        </w:div>
        <w:div w:id="135951704">
          <w:marLeft w:val="0"/>
          <w:marRight w:val="0"/>
          <w:marTop w:val="0"/>
          <w:marBottom w:val="0"/>
          <w:divBdr>
            <w:top w:val="none" w:sz="0" w:space="0" w:color="auto"/>
            <w:left w:val="none" w:sz="0" w:space="0" w:color="auto"/>
            <w:bottom w:val="none" w:sz="0" w:space="0" w:color="auto"/>
            <w:right w:val="none" w:sz="0" w:space="0" w:color="auto"/>
          </w:divBdr>
          <w:divsChild>
            <w:div w:id="190457532">
              <w:marLeft w:val="0"/>
              <w:marRight w:val="0"/>
              <w:marTop w:val="0"/>
              <w:marBottom w:val="0"/>
              <w:divBdr>
                <w:top w:val="none" w:sz="0" w:space="0" w:color="auto"/>
                <w:left w:val="none" w:sz="0" w:space="0" w:color="auto"/>
                <w:bottom w:val="none" w:sz="0" w:space="0" w:color="auto"/>
                <w:right w:val="none" w:sz="0" w:space="0" w:color="auto"/>
              </w:divBdr>
            </w:div>
          </w:divsChild>
        </w:div>
        <w:div w:id="144712120">
          <w:marLeft w:val="0"/>
          <w:marRight w:val="0"/>
          <w:marTop w:val="0"/>
          <w:marBottom w:val="0"/>
          <w:divBdr>
            <w:top w:val="none" w:sz="0" w:space="0" w:color="auto"/>
            <w:left w:val="none" w:sz="0" w:space="0" w:color="auto"/>
            <w:bottom w:val="none" w:sz="0" w:space="0" w:color="auto"/>
            <w:right w:val="none" w:sz="0" w:space="0" w:color="auto"/>
          </w:divBdr>
          <w:divsChild>
            <w:div w:id="18554258">
              <w:marLeft w:val="0"/>
              <w:marRight w:val="0"/>
              <w:marTop w:val="0"/>
              <w:marBottom w:val="0"/>
              <w:divBdr>
                <w:top w:val="none" w:sz="0" w:space="0" w:color="auto"/>
                <w:left w:val="none" w:sz="0" w:space="0" w:color="auto"/>
                <w:bottom w:val="none" w:sz="0" w:space="0" w:color="auto"/>
                <w:right w:val="none" w:sz="0" w:space="0" w:color="auto"/>
              </w:divBdr>
            </w:div>
          </w:divsChild>
        </w:div>
        <w:div w:id="147405454">
          <w:marLeft w:val="0"/>
          <w:marRight w:val="0"/>
          <w:marTop w:val="0"/>
          <w:marBottom w:val="0"/>
          <w:divBdr>
            <w:top w:val="none" w:sz="0" w:space="0" w:color="auto"/>
            <w:left w:val="none" w:sz="0" w:space="0" w:color="auto"/>
            <w:bottom w:val="none" w:sz="0" w:space="0" w:color="auto"/>
            <w:right w:val="none" w:sz="0" w:space="0" w:color="auto"/>
          </w:divBdr>
          <w:divsChild>
            <w:div w:id="1522888662">
              <w:marLeft w:val="0"/>
              <w:marRight w:val="0"/>
              <w:marTop w:val="0"/>
              <w:marBottom w:val="0"/>
              <w:divBdr>
                <w:top w:val="none" w:sz="0" w:space="0" w:color="auto"/>
                <w:left w:val="none" w:sz="0" w:space="0" w:color="auto"/>
                <w:bottom w:val="none" w:sz="0" w:space="0" w:color="auto"/>
                <w:right w:val="none" w:sz="0" w:space="0" w:color="auto"/>
              </w:divBdr>
            </w:div>
          </w:divsChild>
        </w:div>
        <w:div w:id="152333297">
          <w:marLeft w:val="0"/>
          <w:marRight w:val="0"/>
          <w:marTop w:val="0"/>
          <w:marBottom w:val="0"/>
          <w:divBdr>
            <w:top w:val="none" w:sz="0" w:space="0" w:color="auto"/>
            <w:left w:val="none" w:sz="0" w:space="0" w:color="auto"/>
            <w:bottom w:val="none" w:sz="0" w:space="0" w:color="auto"/>
            <w:right w:val="none" w:sz="0" w:space="0" w:color="auto"/>
          </w:divBdr>
          <w:divsChild>
            <w:div w:id="1190336971">
              <w:marLeft w:val="0"/>
              <w:marRight w:val="0"/>
              <w:marTop w:val="0"/>
              <w:marBottom w:val="0"/>
              <w:divBdr>
                <w:top w:val="none" w:sz="0" w:space="0" w:color="auto"/>
                <w:left w:val="none" w:sz="0" w:space="0" w:color="auto"/>
                <w:bottom w:val="none" w:sz="0" w:space="0" w:color="auto"/>
                <w:right w:val="none" w:sz="0" w:space="0" w:color="auto"/>
              </w:divBdr>
            </w:div>
          </w:divsChild>
        </w:div>
        <w:div w:id="160706884">
          <w:marLeft w:val="0"/>
          <w:marRight w:val="0"/>
          <w:marTop w:val="0"/>
          <w:marBottom w:val="0"/>
          <w:divBdr>
            <w:top w:val="none" w:sz="0" w:space="0" w:color="auto"/>
            <w:left w:val="none" w:sz="0" w:space="0" w:color="auto"/>
            <w:bottom w:val="none" w:sz="0" w:space="0" w:color="auto"/>
            <w:right w:val="none" w:sz="0" w:space="0" w:color="auto"/>
          </w:divBdr>
          <w:divsChild>
            <w:div w:id="73095294">
              <w:marLeft w:val="0"/>
              <w:marRight w:val="0"/>
              <w:marTop w:val="0"/>
              <w:marBottom w:val="0"/>
              <w:divBdr>
                <w:top w:val="none" w:sz="0" w:space="0" w:color="auto"/>
                <w:left w:val="none" w:sz="0" w:space="0" w:color="auto"/>
                <w:bottom w:val="none" w:sz="0" w:space="0" w:color="auto"/>
                <w:right w:val="none" w:sz="0" w:space="0" w:color="auto"/>
              </w:divBdr>
            </w:div>
          </w:divsChild>
        </w:div>
        <w:div w:id="169410674">
          <w:marLeft w:val="0"/>
          <w:marRight w:val="0"/>
          <w:marTop w:val="0"/>
          <w:marBottom w:val="0"/>
          <w:divBdr>
            <w:top w:val="none" w:sz="0" w:space="0" w:color="auto"/>
            <w:left w:val="none" w:sz="0" w:space="0" w:color="auto"/>
            <w:bottom w:val="none" w:sz="0" w:space="0" w:color="auto"/>
            <w:right w:val="none" w:sz="0" w:space="0" w:color="auto"/>
          </w:divBdr>
          <w:divsChild>
            <w:div w:id="348331714">
              <w:marLeft w:val="0"/>
              <w:marRight w:val="0"/>
              <w:marTop w:val="0"/>
              <w:marBottom w:val="0"/>
              <w:divBdr>
                <w:top w:val="none" w:sz="0" w:space="0" w:color="auto"/>
                <w:left w:val="none" w:sz="0" w:space="0" w:color="auto"/>
                <w:bottom w:val="none" w:sz="0" w:space="0" w:color="auto"/>
                <w:right w:val="none" w:sz="0" w:space="0" w:color="auto"/>
              </w:divBdr>
            </w:div>
          </w:divsChild>
        </w:div>
        <w:div w:id="177548572">
          <w:marLeft w:val="0"/>
          <w:marRight w:val="0"/>
          <w:marTop w:val="0"/>
          <w:marBottom w:val="0"/>
          <w:divBdr>
            <w:top w:val="none" w:sz="0" w:space="0" w:color="auto"/>
            <w:left w:val="none" w:sz="0" w:space="0" w:color="auto"/>
            <w:bottom w:val="none" w:sz="0" w:space="0" w:color="auto"/>
            <w:right w:val="none" w:sz="0" w:space="0" w:color="auto"/>
          </w:divBdr>
          <w:divsChild>
            <w:div w:id="1319308025">
              <w:marLeft w:val="0"/>
              <w:marRight w:val="0"/>
              <w:marTop w:val="0"/>
              <w:marBottom w:val="0"/>
              <w:divBdr>
                <w:top w:val="none" w:sz="0" w:space="0" w:color="auto"/>
                <w:left w:val="none" w:sz="0" w:space="0" w:color="auto"/>
                <w:bottom w:val="none" w:sz="0" w:space="0" w:color="auto"/>
                <w:right w:val="none" w:sz="0" w:space="0" w:color="auto"/>
              </w:divBdr>
            </w:div>
          </w:divsChild>
        </w:div>
        <w:div w:id="193227168">
          <w:marLeft w:val="0"/>
          <w:marRight w:val="0"/>
          <w:marTop w:val="0"/>
          <w:marBottom w:val="0"/>
          <w:divBdr>
            <w:top w:val="none" w:sz="0" w:space="0" w:color="auto"/>
            <w:left w:val="none" w:sz="0" w:space="0" w:color="auto"/>
            <w:bottom w:val="none" w:sz="0" w:space="0" w:color="auto"/>
            <w:right w:val="none" w:sz="0" w:space="0" w:color="auto"/>
          </w:divBdr>
          <w:divsChild>
            <w:div w:id="482738600">
              <w:marLeft w:val="0"/>
              <w:marRight w:val="0"/>
              <w:marTop w:val="0"/>
              <w:marBottom w:val="0"/>
              <w:divBdr>
                <w:top w:val="none" w:sz="0" w:space="0" w:color="auto"/>
                <w:left w:val="none" w:sz="0" w:space="0" w:color="auto"/>
                <w:bottom w:val="none" w:sz="0" w:space="0" w:color="auto"/>
                <w:right w:val="none" w:sz="0" w:space="0" w:color="auto"/>
              </w:divBdr>
            </w:div>
          </w:divsChild>
        </w:div>
        <w:div w:id="196509374">
          <w:marLeft w:val="0"/>
          <w:marRight w:val="0"/>
          <w:marTop w:val="0"/>
          <w:marBottom w:val="0"/>
          <w:divBdr>
            <w:top w:val="none" w:sz="0" w:space="0" w:color="auto"/>
            <w:left w:val="none" w:sz="0" w:space="0" w:color="auto"/>
            <w:bottom w:val="none" w:sz="0" w:space="0" w:color="auto"/>
            <w:right w:val="none" w:sz="0" w:space="0" w:color="auto"/>
          </w:divBdr>
          <w:divsChild>
            <w:div w:id="163132069">
              <w:marLeft w:val="0"/>
              <w:marRight w:val="0"/>
              <w:marTop w:val="0"/>
              <w:marBottom w:val="0"/>
              <w:divBdr>
                <w:top w:val="none" w:sz="0" w:space="0" w:color="auto"/>
                <w:left w:val="none" w:sz="0" w:space="0" w:color="auto"/>
                <w:bottom w:val="none" w:sz="0" w:space="0" w:color="auto"/>
                <w:right w:val="none" w:sz="0" w:space="0" w:color="auto"/>
              </w:divBdr>
            </w:div>
          </w:divsChild>
        </w:div>
        <w:div w:id="197937340">
          <w:marLeft w:val="0"/>
          <w:marRight w:val="0"/>
          <w:marTop w:val="0"/>
          <w:marBottom w:val="0"/>
          <w:divBdr>
            <w:top w:val="none" w:sz="0" w:space="0" w:color="auto"/>
            <w:left w:val="none" w:sz="0" w:space="0" w:color="auto"/>
            <w:bottom w:val="none" w:sz="0" w:space="0" w:color="auto"/>
            <w:right w:val="none" w:sz="0" w:space="0" w:color="auto"/>
          </w:divBdr>
          <w:divsChild>
            <w:div w:id="1258946613">
              <w:marLeft w:val="0"/>
              <w:marRight w:val="0"/>
              <w:marTop w:val="0"/>
              <w:marBottom w:val="0"/>
              <w:divBdr>
                <w:top w:val="none" w:sz="0" w:space="0" w:color="auto"/>
                <w:left w:val="none" w:sz="0" w:space="0" w:color="auto"/>
                <w:bottom w:val="none" w:sz="0" w:space="0" w:color="auto"/>
                <w:right w:val="none" w:sz="0" w:space="0" w:color="auto"/>
              </w:divBdr>
            </w:div>
          </w:divsChild>
        </w:div>
        <w:div w:id="210313962">
          <w:marLeft w:val="0"/>
          <w:marRight w:val="0"/>
          <w:marTop w:val="0"/>
          <w:marBottom w:val="0"/>
          <w:divBdr>
            <w:top w:val="none" w:sz="0" w:space="0" w:color="auto"/>
            <w:left w:val="none" w:sz="0" w:space="0" w:color="auto"/>
            <w:bottom w:val="none" w:sz="0" w:space="0" w:color="auto"/>
            <w:right w:val="none" w:sz="0" w:space="0" w:color="auto"/>
          </w:divBdr>
          <w:divsChild>
            <w:div w:id="2082557494">
              <w:marLeft w:val="0"/>
              <w:marRight w:val="0"/>
              <w:marTop w:val="0"/>
              <w:marBottom w:val="0"/>
              <w:divBdr>
                <w:top w:val="none" w:sz="0" w:space="0" w:color="auto"/>
                <w:left w:val="none" w:sz="0" w:space="0" w:color="auto"/>
                <w:bottom w:val="none" w:sz="0" w:space="0" w:color="auto"/>
                <w:right w:val="none" w:sz="0" w:space="0" w:color="auto"/>
              </w:divBdr>
            </w:div>
          </w:divsChild>
        </w:div>
        <w:div w:id="216476624">
          <w:marLeft w:val="0"/>
          <w:marRight w:val="0"/>
          <w:marTop w:val="0"/>
          <w:marBottom w:val="0"/>
          <w:divBdr>
            <w:top w:val="none" w:sz="0" w:space="0" w:color="auto"/>
            <w:left w:val="none" w:sz="0" w:space="0" w:color="auto"/>
            <w:bottom w:val="none" w:sz="0" w:space="0" w:color="auto"/>
            <w:right w:val="none" w:sz="0" w:space="0" w:color="auto"/>
          </w:divBdr>
          <w:divsChild>
            <w:div w:id="2065637579">
              <w:marLeft w:val="0"/>
              <w:marRight w:val="0"/>
              <w:marTop w:val="0"/>
              <w:marBottom w:val="0"/>
              <w:divBdr>
                <w:top w:val="none" w:sz="0" w:space="0" w:color="auto"/>
                <w:left w:val="none" w:sz="0" w:space="0" w:color="auto"/>
                <w:bottom w:val="none" w:sz="0" w:space="0" w:color="auto"/>
                <w:right w:val="none" w:sz="0" w:space="0" w:color="auto"/>
              </w:divBdr>
            </w:div>
          </w:divsChild>
        </w:div>
        <w:div w:id="222958339">
          <w:marLeft w:val="0"/>
          <w:marRight w:val="0"/>
          <w:marTop w:val="0"/>
          <w:marBottom w:val="0"/>
          <w:divBdr>
            <w:top w:val="none" w:sz="0" w:space="0" w:color="auto"/>
            <w:left w:val="none" w:sz="0" w:space="0" w:color="auto"/>
            <w:bottom w:val="none" w:sz="0" w:space="0" w:color="auto"/>
            <w:right w:val="none" w:sz="0" w:space="0" w:color="auto"/>
          </w:divBdr>
          <w:divsChild>
            <w:div w:id="1462190071">
              <w:marLeft w:val="0"/>
              <w:marRight w:val="0"/>
              <w:marTop w:val="0"/>
              <w:marBottom w:val="0"/>
              <w:divBdr>
                <w:top w:val="none" w:sz="0" w:space="0" w:color="auto"/>
                <w:left w:val="none" w:sz="0" w:space="0" w:color="auto"/>
                <w:bottom w:val="none" w:sz="0" w:space="0" w:color="auto"/>
                <w:right w:val="none" w:sz="0" w:space="0" w:color="auto"/>
              </w:divBdr>
            </w:div>
          </w:divsChild>
        </w:div>
        <w:div w:id="226690394">
          <w:marLeft w:val="0"/>
          <w:marRight w:val="0"/>
          <w:marTop w:val="0"/>
          <w:marBottom w:val="0"/>
          <w:divBdr>
            <w:top w:val="none" w:sz="0" w:space="0" w:color="auto"/>
            <w:left w:val="none" w:sz="0" w:space="0" w:color="auto"/>
            <w:bottom w:val="none" w:sz="0" w:space="0" w:color="auto"/>
            <w:right w:val="none" w:sz="0" w:space="0" w:color="auto"/>
          </w:divBdr>
          <w:divsChild>
            <w:div w:id="1242760519">
              <w:marLeft w:val="0"/>
              <w:marRight w:val="0"/>
              <w:marTop w:val="0"/>
              <w:marBottom w:val="0"/>
              <w:divBdr>
                <w:top w:val="none" w:sz="0" w:space="0" w:color="auto"/>
                <w:left w:val="none" w:sz="0" w:space="0" w:color="auto"/>
                <w:bottom w:val="none" w:sz="0" w:space="0" w:color="auto"/>
                <w:right w:val="none" w:sz="0" w:space="0" w:color="auto"/>
              </w:divBdr>
            </w:div>
          </w:divsChild>
        </w:div>
        <w:div w:id="227424834">
          <w:marLeft w:val="0"/>
          <w:marRight w:val="0"/>
          <w:marTop w:val="0"/>
          <w:marBottom w:val="0"/>
          <w:divBdr>
            <w:top w:val="none" w:sz="0" w:space="0" w:color="auto"/>
            <w:left w:val="none" w:sz="0" w:space="0" w:color="auto"/>
            <w:bottom w:val="none" w:sz="0" w:space="0" w:color="auto"/>
            <w:right w:val="none" w:sz="0" w:space="0" w:color="auto"/>
          </w:divBdr>
          <w:divsChild>
            <w:div w:id="1151942624">
              <w:marLeft w:val="0"/>
              <w:marRight w:val="0"/>
              <w:marTop w:val="0"/>
              <w:marBottom w:val="0"/>
              <w:divBdr>
                <w:top w:val="none" w:sz="0" w:space="0" w:color="auto"/>
                <w:left w:val="none" w:sz="0" w:space="0" w:color="auto"/>
                <w:bottom w:val="none" w:sz="0" w:space="0" w:color="auto"/>
                <w:right w:val="none" w:sz="0" w:space="0" w:color="auto"/>
              </w:divBdr>
            </w:div>
          </w:divsChild>
        </w:div>
        <w:div w:id="230118703">
          <w:marLeft w:val="0"/>
          <w:marRight w:val="0"/>
          <w:marTop w:val="0"/>
          <w:marBottom w:val="0"/>
          <w:divBdr>
            <w:top w:val="none" w:sz="0" w:space="0" w:color="auto"/>
            <w:left w:val="none" w:sz="0" w:space="0" w:color="auto"/>
            <w:bottom w:val="none" w:sz="0" w:space="0" w:color="auto"/>
            <w:right w:val="none" w:sz="0" w:space="0" w:color="auto"/>
          </w:divBdr>
          <w:divsChild>
            <w:div w:id="1571386523">
              <w:marLeft w:val="0"/>
              <w:marRight w:val="0"/>
              <w:marTop w:val="0"/>
              <w:marBottom w:val="0"/>
              <w:divBdr>
                <w:top w:val="none" w:sz="0" w:space="0" w:color="auto"/>
                <w:left w:val="none" w:sz="0" w:space="0" w:color="auto"/>
                <w:bottom w:val="none" w:sz="0" w:space="0" w:color="auto"/>
                <w:right w:val="none" w:sz="0" w:space="0" w:color="auto"/>
              </w:divBdr>
            </w:div>
          </w:divsChild>
        </w:div>
        <w:div w:id="235211271">
          <w:marLeft w:val="0"/>
          <w:marRight w:val="0"/>
          <w:marTop w:val="0"/>
          <w:marBottom w:val="0"/>
          <w:divBdr>
            <w:top w:val="none" w:sz="0" w:space="0" w:color="auto"/>
            <w:left w:val="none" w:sz="0" w:space="0" w:color="auto"/>
            <w:bottom w:val="none" w:sz="0" w:space="0" w:color="auto"/>
            <w:right w:val="none" w:sz="0" w:space="0" w:color="auto"/>
          </w:divBdr>
          <w:divsChild>
            <w:div w:id="1333070038">
              <w:marLeft w:val="0"/>
              <w:marRight w:val="0"/>
              <w:marTop w:val="0"/>
              <w:marBottom w:val="0"/>
              <w:divBdr>
                <w:top w:val="none" w:sz="0" w:space="0" w:color="auto"/>
                <w:left w:val="none" w:sz="0" w:space="0" w:color="auto"/>
                <w:bottom w:val="none" w:sz="0" w:space="0" w:color="auto"/>
                <w:right w:val="none" w:sz="0" w:space="0" w:color="auto"/>
              </w:divBdr>
            </w:div>
          </w:divsChild>
        </w:div>
        <w:div w:id="238836057">
          <w:marLeft w:val="0"/>
          <w:marRight w:val="0"/>
          <w:marTop w:val="0"/>
          <w:marBottom w:val="0"/>
          <w:divBdr>
            <w:top w:val="none" w:sz="0" w:space="0" w:color="auto"/>
            <w:left w:val="none" w:sz="0" w:space="0" w:color="auto"/>
            <w:bottom w:val="none" w:sz="0" w:space="0" w:color="auto"/>
            <w:right w:val="none" w:sz="0" w:space="0" w:color="auto"/>
          </w:divBdr>
          <w:divsChild>
            <w:div w:id="999968894">
              <w:marLeft w:val="0"/>
              <w:marRight w:val="0"/>
              <w:marTop w:val="0"/>
              <w:marBottom w:val="0"/>
              <w:divBdr>
                <w:top w:val="none" w:sz="0" w:space="0" w:color="auto"/>
                <w:left w:val="none" w:sz="0" w:space="0" w:color="auto"/>
                <w:bottom w:val="none" w:sz="0" w:space="0" w:color="auto"/>
                <w:right w:val="none" w:sz="0" w:space="0" w:color="auto"/>
              </w:divBdr>
            </w:div>
          </w:divsChild>
        </w:div>
        <w:div w:id="248320424">
          <w:marLeft w:val="0"/>
          <w:marRight w:val="0"/>
          <w:marTop w:val="0"/>
          <w:marBottom w:val="0"/>
          <w:divBdr>
            <w:top w:val="none" w:sz="0" w:space="0" w:color="auto"/>
            <w:left w:val="none" w:sz="0" w:space="0" w:color="auto"/>
            <w:bottom w:val="none" w:sz="0" w:space="0" w:color="auto"/>
            <w:right w:val="none" w:sz="0" w:space="0" w:color="auto"/>
          </w:divBdr>
          <w:divsChild>
            <w:div w:id="1034843972">
              <w:marLeft w:val="0"/>
              <w:marRight w:val="0"/>
              <w:marTop w:val="0"/>
              <w:marBottom w:val="0"/>
              <w:divBdr>
                <w:top w:val="none" w:sz="0" w:space="0" w:color="auto"/>
                <w:left w:val="none" w:sz="0" w:space="0" w:color="auto"/>
                <w:bottom w:val="none" w:sz="0" w:space="0" w:color="auto"/>
                <w:right w:val="none" w:sz="0" w:space="0" w:color="auto"/>
              </w:divBdr>
            </w:div>
          </w:divsChild>
        </w:div>
        <w:div w:id="259022380">
          <w:marLeft w:val="0"/>
          <w:marRight w:val="0"/>
          <w:marTop w:val="0"/>
          <w:marBottom w:val="0"/>
          <w:divBdr>
            <w:top w:val="none" w:sz="0" w:space="0" w:color="auto"/>
            <w:left w:val="none" w:sz="0" w:space="0" w:color="auto"/>
            <w:bottom w:val="none" w:sz="0" w:space="0" w:color="auto"/>
            <w:right w:val="none" w:sz="0" w:space="0" w:color="auto"/>
          </w:divBdr>
          <w:divsChild>
            <w:div w:id="293020815">
              <w:marLeft w:val="0"/>
              <w:marRight w:val="0"/>
              <w:marTop w:val="0"/>
              <w:marBottom w:val="0"/>
              <w:divBdr>
                <w:top w:val="none" w:sz="0" w:space="0" w:color="auto"/>
                <w:left w:val="none" w:sz="0" w:space="0" w:color="auto"/>
                <w:bottom w:val="none" w:sz="0" w:space="0" w:color="auto"/>
                <w:right w:val="none" w:sz="0" w:space="0" w:color="auto"/>
              </w:divBdr>
            </w:div>
          </w:divsChild>
        </w:div>
        <w:div w:id="264726154">
          <w:marLeft w:val="0"/>
          <w:marRight w:val="0"/>
          <w:marTop w:val="0"/>
          <w:marBottom w:val="0"/>
          <w:divBdr>
            <w:top w:val="none" w:sz="0" w:space="0" w:color="auto"/>
            <w:left w:val="none" w:sz="0" w:space="0" w:color="auto"/>
            <w:bottom w:val="none" w:sz="0" w:space="0" w:color="auto"/>
            <w:right w:val="none" w:sz="0" w:space="0" w:color="auto"/>
          </w:divBdr>
          <w:divsChild>
            <w:div w:id="2113935912">
              <w:marLeft w:val="0"/>
              <w:marRight w:val="0"/>
              <w:marTop w:val="0"/>
              <w:marBottom w:val="0"/>
              <w:divBdr>
                <w:top w:val="none" w:sz="0" w:space="0" w:color="auto"/>
                <w:left w:val="none" w:sz="0" w:space="0" w:color="auto"/>
                <w:bottom w:val="none" w:sz="0" w:space="0" w:color="auto"/>
                <w:right w:val="none" w:sz="0" w:space="0" w:color="auto"/>
              </w:divBdr>
            </w:div>
          </w:divsChild>
        </w:div>
        <w:div w:id="267473131">
          <w:marLeft w:val="0"/>
          <w:marRight w:val="0"/>
          <w:marTop w:val="0"/>
          <w:marBottom w:val="0"/>
          <w:divBdr>
            <w:top w:val="none" w:sz="0" w:space="0" w:color="auto"/>
            <w:left w:val="none" w:sz="0" w:space="0" w:color="auto"/>
            <w:bottom w:val="none" w:sz="0" w:space="0" w:color="auto"/>
            <w:right w:val="none" w:sz="0" w:space="0" w:color="auto"/>
          </w:divBdr>
          <w:divsChild>
            <w:div w:id="864094105">
              <w:marLeft w:val="0"/>
              <w:marRight w:val="0"/>
              <w:marTop w:val="0"/>
              <w:marBottom w:val="0"/>
              <w:divBdr>
                <w:top w:val="none" w:sz="0" w:space="0" w:color="auto"/>
                <w:left w:val="none" w:sz="0" w:space="0" w:color="auto"/>
                <w:bottom w:val="none" w:sz="0" w:space="0" w:color="auto"/>
                <w:right w:val="none" w:sz="0" w:space="0" w:color="auto"/>
              </w:divBdr>
            </w:div>
          </w:divsChild>
        </w:div>
        <w:div w:id="267541778">
          <w:marLeft w:val="0"/>
          <w:marRight w:val="0"/>
          <w:marTop w:val="0"/>
          <w:marBottom w:val="0"/>
          <w:divBdr>
            <w:top w:val="none" w:sz="0" w:space="0" w:color="auto"/>
            <w:left w:val="none" w:sz="0" w:space="0" w:color="auto"/>
            <w:bottom w:val="none" w:sz="0" w:space="0" w:color="auto"/>
            <w:right w:val="none" w:sz="0" w:space="0" w:color="auto"/>
          </w:divBdr>
          <w:divsChild>
            <w:div w:id="1201627440">
              <w:marLeft w:val="0"/>
              <w:marRight w:val="0"/>
              <w:marTop w:val="0"/>
              <w:marBottom w:val="0"/>
              <w:divBdr>
                <w:top w:val="none" w:sz="0" w:space="0" w:color="auto"/>
                <w:left w:val="none" w:sz="0" w:space="0" w:color="auto"/>
                <w:bottom w:val="none" w:sz="0" w:space="0" w:color="auto"/>
                <w:right w:val="none" w:sz="0" w:space="0" w:color="auto"/>
              </w:divBdr>
            </w:div>
          </w:divsChild>
        </w:div>
        <w:div w:id="274213136">
          <w:marLeft w:val="0"/>
          <w:marRight w:val="0"/>
          <w:marTop w:val="0"/>
          <w:marBottom w:val="0"/>
          <w:divBdr>
            <w:top w:val="none" w:sz="0" w:space="0" w:color="auto"/>
            <w:left w:val="none" w:sz="0" w:space="0" w:color="auto"/>
            <w:bottom w:val="none" w:sz="0" w:space="0" w:color="auto"/>
            <w:right w:val="none" w:sz="0" w:space="0" w:color="auto"/>
          </w:divBdr>
          <w:divsChild>
            <w:div w:id="1895190220">
              <w:marLeft w:val="0"/>
              <w:marRight w:val="0"/>
              <w:marTop w:val="0"/>
              <w:marBottom w:val="0"/>
              <w:divBdr>
                <w:top w:val="none" w:sz="0" w:space="0" w:color="auto"/>
                <w:left w:val="none" w:sz="0" w:space="0" w:color="auto"/>
                <w:bottom w:val="none" w:sz="0" w:space="0" w:color="auto"/>
                <w:right w:val="none" w:sz="0" w:space="0" w:color="auto"/>
              </w:divBdr>
            </w:div>
          </w:divsChild>
        </w:div>
        <w:div w:id="279461473">
          <w:marLeft w:val="0"/>
          <w:marRight w:val="0"/>
          <w:marTop w:val="0"/>
          <w:marBottom w:val="0"/>
          <w:divBdr>
            <w:top w:val="none" w:sz="0" w:space="0" w:color="auto"/>
            <w:left w:val="none" w:sz="0" w:space="0" w:color="auto"/>
            <w:bottom w:val="none" w:sz="0" w:space="0" w:color="auto"/>
            <w:right w:val="none" w:sz="0" w:space="0" w:color="auto"/>
          </w:divBdr>
          <w:divsChild>
            <w:div w:id="2015649175">
              <w:marLeft w:val="0"/>
              <w:marRight w:val="0"/>
              <w:marTop w:val="0"/>
              <w:marBottom w:val="0"/>
              <w:divBdr>
                <w:top w:val="none" w:sz="0" w:space="0" w:color="auto"/>
                <w:left w:val="none" w:sz="0" w:space="0" w:color="auto"/>
                <w:bottom w:val="none" w:sz="0" w:space="0" w:color="auto"/>
                <w:right w:val="none" w:sz="0" w:space="0" w:color="auto"/>
              </w:divBdr>
            </w:div>
          </w:divsChild>
        </w:div>
        <w:div w:id="281113842">
          <w:marLeft w:val="0"/>
          <w:marRight w:val="0"/>
          <w:marTop w:val="0"/>
          <w:marBottom w:val="0"/>
          <w:divBdr>
            <w:top w:val="none" w:sz="0" w:space="0" w:color="auto"/>
            <w:left w:val="none" w:sz="0" w:space="0" w:color="auto"/>
            <w:bottom w:val="none" w:sz="0" w:space="0" w:color="auto"/>
            <w:right w:val="none" w:sz="0" w:space="0" w:color="auto"/>
          </w:divBdr>
          <w:divsChild>
            <w:div w:id="232468360">
              <w:marLeft w:val="0"/>
              <w:marRight w:val="0"/>
              <w:marTop w:val="0"/>
              <w:marBottom w:val="0"/>
              <w:divBdr>
                <w:top w:val="none" w:sz="0" w:space="0" w:color="auto"/>
                <w:left w:val="none" w:sz="0" w:space="0" w:color="auto"/>
                <w:bottom w:val="none" w:sz="0" w:space="0" w:color="auto"/>
                <w:right w:val="none" w:sz="0" w:space="0" w:color="auto"/>
              </w:divBdr>
            </w:div>
          </w:divsChild>
        </w:div>
        <w:div w:id="288098175">
          <w:marLeft w:val="0"/>
          <w:marRight w:val="0"/>
          <w:marTop w:val="0"/>
          <w:marBottom w:val="0"/>
          <w:divBdr>
            <w:top w:val="none" w:sz="0" w:space="0" w:color="auto"/>
            <w:left w:val="none" w:sz="0" w:space="0" w:color="auto"/>
            <w:bottom w:val="none" w:sz="0" w:space="0" w:color="auto"/>
            <w:right w:val="none" w:sz="0" w:space="0" w:color="auto"/>
          </w:divBdr>
          <w:divsChild>
            <w:div w:id="1958023853">
              <w:marLeft w:val="0"/>
              <w:marRight w:val="0"/>
              <w:marTop w:val="0"/>
              <w:marBottom w:val="0"/>
              <w:divBdr>
                <w:top w:val="none" w:sz="0" w:space="0" w:color="auto"/>
                <w:left w:val="none" w:sz="0" w:space="0" w:color="auto"/>
                <w:bottom w:val="none" w:sz="0" w:space="0" w:color="auto"/>
                <w:right w:val="none" w:sz="0" w:space="0" w:color="auto"/>
              </w:divBdr>
            </w:div>
          </w:divsChild>
        </w:div>
        <w:div w:id="300577984">
          <w:marLeft w:val="0"/>
          <w:marRight w:val="0"/>
          <w:marTop w:val="0"/>
          <w:marBottom w:val="0"/>
          <w:divBdr>
            <w:top w:val="none" w:sz="0" w:space="0" w:color="auto"/>
            <w:left w:val="none" w:sz="0" w:space="0" w:color="auto"/>
            <w:bottom w:val="none" w:sz="0" w:space="0" w:color="auto"/>
            <w:right w:val="none" w:sz="0" w:space="0" w:color="auto"/>
          </w:divBdr>
          <w:divsChild>
            <w:div w:id="932011422">
              <w:marLeft w:val="0"/>
              <w:marRight w:val="0"/>
              <w:marTop w:val="0"/>
              <w:marBottom w:val="0"/>
              <w:divBdr>
                <w:top w:val="none" w:sz="0" w:space="0" w:color="auto"/>
                <w:left w:val="none" w:sz="0" w:space="0" w:color="auto"/>
                <w:bottom w:val="none" w:sz="0" w:space="0" w:color="auto"/>
                <w:right w:val="none" w:sz="0" w:space="0" w:color="auto"/>
              </w:divBdr>
            </w:div>
          </w:divsChild>
        </w:div>
        <w:div w:id="301817179">
          <w:marLeft w:val="0"/>
          <w:marRight w:val="0"/>
          <w:marTop w:val="0"/>
          <w:marBottom w:val="0"/>
          <w:divBdr>
            <w:top w:val="none" w:sz="0" w:space="0" w:color="auto"/>
            <w:left w:val="none" w:sz="0" w:space="0" w:color="auto"/>
            <w:bottom w:val="none" w:sz="0" w:space="0" w:color="auto"/>
            <w:right w:val="none" w:sz="0" w:space="0" w:color="auto"/>
          </w:divBdr>
          <w:divsChild>
            <w:div w:id="1062027075">
              <w:marLeft w:val="0"/>
              <w:marRight w:val="0"/>
              <w:marTop w:val="0"/>
              <w:marBottom w:val="0"/>
              <w:divBdr>
                <w:top w:val="none" w:sz="0" w:space="0" w:color="auto"/>
                <w:left w:val="none" w:sz="0" w:space="0" w:color="auto"/>
                <w:bottom w:val="none" w:sz="0" w:space="0" w:color="auto"/>
                <w:right w:val="none" w:sz="0" w:space="0" w:color="auto"/>
              </w:divBdr>
            </w:div>
          </w:divsChild>
        </w:div>
        <w:div w:id="308949519">
          <w:marLeft w:val="0"/>
          <w:marRight w:val="0"/>
          <w:marTop w:val="0"/>
          <w:marBottom w:val="0"/>
          <w:divBdr>
            <w:top w:val="none" w:sz="0" w:space="0" w:color="auto"/>
            <w:left w:val="none" w:sz="0" w:space="0" w:color="auto"/>
            <w:bottom w:val="none" w:sz="0" w:space="0" w:color="auto"/>
            <w:right w:val="none" w:sz="0" w:space="0" w:color="auto"/>
          </w:divBdr>
          <w:divsChild>
            <w:div w:id="213779523">
              <w:marLeft w:val="0"/>
              <w:marRight w:val="0"/>
              <w:marTop w:val="0"/>
              <w:marBottom w:val="0"/>
              <w:divBdr>
                <w:top w:val="none" w:sz="0" w:space="0" w:color="auto"/>
                <w:left w:val="none" w:sz="0" w:space="0" w:color="auto"/>
                <w:bottom w:val="none" w:sz="0" w:space="0" w:color="auto"/>
                <w:right w:val="none" w:sz="0" w:space="0" w:color="auto"/>
              </w:divBdr>
            </w:div>
          </w:divsChild>
        </w:div>
        <w:div w:id="338234668">
          <w:marLeft w:val="0"/>
          <w:marRight w:val="0"/>
          <w:marTop w:val="0"/>
          <w:marBottom w:val="0"/>
          <w:divBdr>
            <w:top w:val="none" w:sz="0" w:space="0" w:color="auto"/>
            <w:left w:val="none" w:sz="0" w:space="0" w:color="auto"/>
            <w:bottom w:val="none" w:sz="0" w:space="0" w:color="auto"/>
            <w:right w:val="none" w:sz="0" w:space="0" w:color="auto"/>
          </w:divBdr>
          <w:divsChild>
            <w:div w:id="2023437700">
              <w:marLeft w:val="0"/>
              <w:marRight w:val="0"/>
              <w:marTop w:val="0"/>
              <w:marBottom w:val="0"/>
              <w:divBdr>
                <w:top w:val="none" w:sz="0" w:space="0" w:color="auto"/>
                <w:left w:val="none" w:sz="0" w:space="0" w:color="auto"/>
                <w:bottom w:val="none" w:sz="0" w:space="0" w:color="auto"/>
                <w:right w:val="none" w:sz="0" w:space="0" w:color="auto"/>
              </w:divBdr>
            </w:div>
          </w:divsChild>
        </w:div>
        <w:div w:id="341707966">
          <w:marLeft w:val="0"/>
          <w:marRight w:val="0"/>
          <w:marTop w:val="0"/>
          <w:marBottom w:val="0"/>
          <w:divBdr>
            <w:top w:val="none" w:sz="0" w:space="0" w:color="auto"/>
            <w:left w:val="none" w:sz="0" w:space="0" w:color="auto"/>
            <w:bottom w:val="none" w:sz="0" w:space="0" w:color="auto"/>
            <w:right w:val="none" w:sz="0" w:space="0" w:color="auto"/>
          </w:divBdr>
          <w:divsChild>
            <w:div w:id="565997646">
              <w:marLeft w:val="0"/>
              <w:marRight w:val="0"/>
              <w:marTop w:val="0"/>
              <w:marBottom w:val="0"/>
              <w:divBdr>
                <w:top w:val="none" w:sz="0" w:space="0" w:color="auto"/>
                <w:left w:val="none" w:sz="0" w:space="0" w:color="auto"/>
                <w:bottom w:val="none" w:sz="0" w:space="0" w:color="auto"/>
                <w:right w:val="none" w:sz="0" w:space="0" w:color="auto"/>
              </w:divBdr>
            </w:div>
          </w:divsChild>
        </w:div>
        <w:div w:id="344866064">
          <w:marLeft w:val="0"/>
          <w:marRight w:val="0"/>
          <w:marTop w:val="0"/>
          <w:marBottom w:val="0"/>
          <w:divBdr>
            <w:top w:val="none" w:sz="0" w:space="0" w:color="auto"/>
            <w:left w:val="none" w:sz="0" w:space="0" w:color="auto"/>
            <w:bottom w:val="none" w:sz="0" w:space="0" w:color="auto"/>
            <w:right w:val="none" w:sz="0" w:space="0" w:color="auto"/>
          </w:divBdr>
          <w:divsChild>
            <w:div w:id="302737966">
              <w:marLeft w:val="0"/>
              <w:marRight w:val="0"/>
              <w:marTop w:val="0"/>
              <w:marBottom w:val="0"/>
              <w:divBdr>
                <w:top w:val="none" w:sz="0" w:space="0" w:color="auto"/>
                <w:left w:val="none" w:sz="0" w:space="0" w:color="auto"/>
                <w:bottom w:val="none" w:sz="0" w:space="0" w:color="auto"/>
                <w:right w:val="none" w:sz="0" w:space="0" w:color="auto"/>
              </w:divBdr>
            </w:div>
          </w:divsChild>
        </w:div>
        <w:div w:id="351808563">
          <w:marLeft w:val="0"/>
          <w:marRight w:val="0"/>
          <w:marTop w:val="0"/>
          <w:marBottom w:val="0"/>
          <w:divBdr>
            <w:top w:val="none" w:sz="0" w:space="0" w:color="auto"/>
            <w:left w:val="none" w:sz="0" w:space="0" w:color="auto"/>
            <w:bottom w:val="none" w:sz="0" w:space="0" w:color="auto"/>
            <w:right w:val="none" w:sz="0" w:space="0" w:color="auto"/>
          </w:divBdr>
          <w:divsChild>
            <w:div w:id="527178658">
              <w:marLeft w:val="0"/>
              <w:marRight w:val="0"/>
              <w:marTop w:val="0"/>
              <w:marBottom w:val="0"/>
              <w:divBdr>
                <w:top w:val="none" w:sz="0" w:space="0" w:color="auto"/>
                <w:left w:val="none" w:sz="0" w:space="0" w:color="auto"/>
                <w:bottom w:val="none" w:sz="0" w:space="0" w:color="auto"/>
                <w:right w:val="none" w:sz="0" w:space="0" w:color="auto"/>
              </w:divBdr>
            </w:div>
          </w:divsChild>
        </w:div>
        <w:div w:id="357513673">
          <w:marLeft w:val="0"/>
          <w:marRight w:val="0"/>
          <w:marTop w:val="0"/>
          <w:marBottom w:val="0"/>
          <w:divBdr>
            <w:top w:val="none" w:sz="0" w:space="0" w:color="auto"/>
            <w:left w:val="none" w:sz="0" w:space="0" w:color="auto"/>
            <w:bottom w:val="none" w:sz="0" w:space="0" w:color="auto"/>
            <w:right w:val="none" w:sz="0" w:space="0" w:color="auto"/>
          </w:divBdr>
          <w:divsChild>
            <w:div w:id="48767502">
              <w:marLeft w:val="0"/>
              <w:marRight w:val="0"/>
              <w:marTop w:val="0"/>
              <w:marBottom w:val="0"/>
              <w:divBdr>
                <w:top w:val="none" w:sz="0" w:space="0" w:color="auto"/>
                <w:left w:val="none" w:sz="0" w:space="0" w:color="auto"/>
                <w:bottom w:val="none" w:sz="0" w:space="0" w:color="auto"/>
                <w:right w:val="none" w:sz="0" w:space="0" w:color="auto"/>
              </w:divBdr>
            </w:div>
          </w:divsChild>
        </w:div>
        <w:div w:id="360861110">
          <w:marLeft w:val="0"/>
          <w:marRight w:val="0"/>
          <w:marTop w:val="0"/>
          <w:marBottom w:val="0"/>
          <w:divBdr>
            <w:top w:val="none" w:sz="0" w:space="0" w:color="auto"/>
            <w:left w:val="none" w:sz="0" w:space="0" w:color="auto"/>
            <w:bottom w:val="none" w:sz="0" w:space="0" w:color="auto"/>
            <w:right w:val="none" w:sz="0" w:space="0" w:color="auto"/>
          </w:divBdr>
          <w:divsChild>
            <w:div w:id="935097256">
              <w:marLeft w:val="0"/>
              <w:marRight w:val="0"/>
              <w:marTop w:val="0"/>
              <w:marBottom w:val="0"/>
              <w:divBdr>
                <w:top w:val="none" w:sz="0" w:space="0" w:color="auto"/>
                <w:left w:val="none" w:sz="0" w:space="0" w:color="auto"/>
                <w:bottom w:val="none" w:sz="0" w:space="0" w:color="auto"/>
                <w:right w:val="none" w:sz="0" w:space="0" w:color="auto"/>
              </w:divBdr>
            </w:div>
          </w:divsChild>
        </w:div>
        <w:div w:id="366225117">
          <w:marLeft w:val="0"/>
          <w:marRight w:val="0"/>
          <w:marTop w:val="0"/>
          <w:marBottom w:val="0"/>
          <w:divBdr>
            <w:top w:val="none" w:sz="0" w:space="0" w:color="auto"/>
            <w:left w:val="none" w:sz="0" w:space="0" w:color="auto"/>
            <w:bottom w:val="none" w:sz="0" w:space="0" w:color="auto"/>
            <w:right w:val="none" w:sz="0" w:space="0" w:color="auto"/>
          </w:divBdr>
          <w:divsChild>
            <w:div w:id="510031010">
              <w:marLeft w:val="0"/>
              <w:marRight w:val="0"/>
              <w:marTop w:val="0"/>
              <w:marBottom w:val="0"/>
              <w:divBdr>
                <w:top w:val="none" w:sz="0" w:space="0" w:color="auto"/>
                <w:left w:val="none" w:sz="0" w:space="0" w:color="auto"/>
                <w:bottom w:val="none" w:sz="0" w:space="0" w:color="auto"/>
                <w:right w:val="none" w:sz="0" w:space="0" w:color="auto"/>
              </w:divBdr>
            </w:div>
          </w:divsChild>
        </w:div>
        <w:div w:id="370542916">
          <w:marLeft w:val="0"/>
          <w:marRight w:val="0"/>
          <w:marTop w:val="0"/>
          <w:marBottom w:val="0"/>
          <w:divBdr>
            <w:top w:val="none" w:sz="0" w:space="0" w:color="auto"/>
            <w:left w:val="none" w:sz="0" w:space="0" w:color="auto"/>
            <w:bottom w:val="none" w:sz="0" w:space="0" w:color="auto"/>
            <w:right w:val="none" w:sz="0" w:space="0" w:color="auto"/>
          </w:divBdr>
          <w:divsChild>
            <w:div w:id="356464858">
              <w:marLeft w:val="0"/>
              <w:marRight w:val="0"/>
              <w:marTop w:val="0"/>
              <w:marBottom w:val="0"/>
              <w:divBdr>
                <w:top w:val="none" w:sz="0" w:space="0" w:color="auto"/>
                <w:left w:val="none" w:sz="0" w:space="0" w:color="auto"/>
                <w:bottom w:val="none" w:sz="0" w:space="0" w:color="auto"/>
                <w:right w:val="none" w:sz="0" w:space="0" w:color="auto"/>
              </w:divBdr>
            </w:div>
          </w:divsChild>
        </w:div>
        <w:div w:id="381370832">
          <w:marLeft w:val="0"/>
          <w:marRight w:val="0"/>
          <w:marTop w:val="0"/>
          <w:marBottom w:val="0"/>
          <w:divBdr>
            <w:top w:val="none" w:sz="0" w:space="0" w:color="auto"/>
            <w:left w:val="none" w:sz="0" w:space="0" w:color="auto"/>
            <w:bottom w:val="none" w:sz="0" w:space="0" w:color="auto"/>
            <w:right w:val="none" w:sz="0" w:space="0" w:color="auto"/>
          </w:divBdr>
          <w:divsChild>
            <w:div w:id="2780375">
              <w:marLeft w:val="0"/>
              <w:marRight w:val="0"/>
              <w:marTop w:val="0"/>
              <w:marBottom w:val="0"/>
              <w:divBdr>
                <w:top w:val="none" w:sz="0" w:space="0" w:color="auto"/>
                <w:left w:val="none" w:sz="0" w:space="0" w:color="auto"/>
                <w:bottom w:val="none" w:sz="0" w:space="0" w:color="auto"/>
                <w:right w:val="none" w:sz="0" w:space="0" w:color="auto"/>
              </w:divBdr>
            </w:div>
          </w:divsChild>
        </w:div>
        <w:div w:id="384721098">
          <w:marLeft w:val="0"/>
          <w:marRight w:val="0"/>
          <w:marTop w:val="0"/>
          <w:marBottom w:val="0"/>
          <w:divBdr>
            <w:top w:val="none" w:sz="0" w:space="0" w:color="auto"/>
            <w:left w:val="none" w:sz="0" w:space="0" w:color="auto"/>
            <w:bottom w:val="none" w:sz="0" w:space="0" w:color="auto"/>
            <w:right w:val="none" w:sz="0" w:space="0" w:color="auto"/>
          </w:divBdr>
          <w:divsChild>
            <w:div w:id="541786773">
              <w:marLeft w:val="0"/>
              <w:marRight w:val="0"/>
              <w:marTop w:val="0"/>
              <w:marBottom w:val="0"/>
              <w:divBdr>
                <w:top w:val="none" w:sz="0" w:space="0" w:color="auto"/>
                <w:left w:val="none" w:sz="0" w:space="0" w:color="auto"/>
                <w:bottom w:val="none" w:sz="0" w:space="0" w:color="auto"/>
                <w:right w:val="none" w:sz="0" w:space="0" w:color="auto"/>
              </w:divBdr>
            </w:div>
          </w:divsChild>
        </w:div>
        <w:div w:id="394743203">
          <w:marLeft w:val="0"/>
          <w:marRight w:val="0"/>
          <w:marTop w:val="0"/>
          <w:marBottom w:val="0"/>
          <w:divBdr>
            <w:top w:val="none" w:sz="0" w:space="0" w:color="auto"/>
            <w:left w:val="none" w:sz="0" w:space="0" w:color="auto"/>
            <w:bottom w:val="none" w:sz="0" w:space="0" w:color="auto"/>
            <w:right w:val="none" w:sz="0" w:space="0" w:color="auto"/>
          </w:divBdr>
          <w:divsChild>
            <w:div w:id="2005159315">
              <w:marLeft w:val="0"/>
              <w:marRight w:val="0"/>
              <w:marTop w:val="0"/>
              <w:marBottom w:val="0"/>
              <w:divBdr>
                <w:top w:val="none" w:sz="0" w:space="0" w:color="auto"/>
                <w:left w:val="none" w:sz="0" w:space="0" w:color="auto"/>
                <w:bottom w:val="none" w:sz="0" w:space="0" w:color="auto"/>
                <w:right w:val="none" w:sz="0" w:space="0" w:color="auto"/>
              </w:divBdr>
            </w:div>
          </w:divsChild>
        </w:div>
        <w:div w:id="416559786">
          <w:marLeft w:val="0"/>
          <w:marRight w:val="0"/>
          <w:marTop w:val="0"/>
          <w:marBottom w:val="0"/>
          <w:divBdr>
            <w:top w:val="none" w:sz="0" w:space="0" w:color="auto"/>
            <w:left w:val="none" w:sz="0" w:space="0" w:color="auto"/>
            <w:bottom w:val="none" w:sz="0" w:space="0" w:color="auto"/>
            <w:right w:val="none" w:sz="0" w:space="0" w:color="auto"/>
          </w:divBdr>
          <w:divsChild>
            <w:div w:id="1001852503">
              <w:marLeft w:val="0"/>
              <w:marRight w:val="0"/>
              <w:marTop w:val="0"/>
              <w:marBottom w:val="0"/>
              <w:divBdr>
                <w:top w:val="none" w:sz="0" w:space="0" w:color="auto"/>
                <w:left w:val="none" w:sz="0" w:space="0" w:color="auto"/>
                <w:bottom w:val="none" w:sz="0" w:space="0" w:color="auto"/>
                <w:right w:val="none" w:sz="0" w:space="0" w:color="auto"/>
              </w:divBdr>
            </w:div>
          </w:divsChild>
        </w:div>
        <w:div w:id="423305311">
          <w:marLeft w:val="0"/>
          <w:marRight w:val="0"/>
          <w:marTop w:val="0"/>
          <w:marBottom w:val="0"/>
          <w:divBdr>
            <w:top w:val="none" w:sz="0" w:space="0" w:color="auto"/>
            <w:left w:val="none" w:sz="0" w:space="0" w:color="auto"/>
            <w:bottom w:val="none" w:sz="0" w:space="0" w:color="auto"/>
            <w:right w:val="none" w:sz="0" w:space="0" w:color="auto"/>
          </w:divBdr>
          <w:divsChild>
            <w:div w:id="2114473083">
              <w:marLeft w:val="0"/>
              <w:marRight w:val="0"/>
              <w:marTop w:val="0"/>
              <w:marBottom w:val="0"/>
              <w:divBdr>
                <w:top w:val="none" w:sz="0" w:space="0" w:color="auto"/>
                <w:left w:val="none" w:sz="0" w:space="0" w:color="auto"/>
                <w:bottom w:val="none" w:sz="0" w:space="0" w:color="auto"/>
                <w:right w:val="none" w:sz="0" w:space="0" w:color="auto"/>
              </w:divBdr>
            </w:div>
          </w:divsChild>
        </w:div>
        <w:div w:id="428819758">
          <w:marLeft w:val="0"/>
          <w:marRight w:val="0"/>
          <w:marTop w:val="0"/>
          <w:marBottom w:val="0"/>
          <w:divBdr>
            <w:top w:val="none" w:sz="0" w:space="0" w:color="auto"/>
            <w:left w:val="none" w:sz="0" w:space="0" w:color="auto"/>
            <w:bottom w:val="none" w:sz="0" w:space="0" w:color="auto"/>
            <w:right w:val="none" w:sz="0" w:space="0" w:color="auto"/>
          </w:divBdr>
          <w:divsChild>
            <w:div w:id="2006207440">
              <w:marLeft w:val="0"/>
              <w:marRight w:val="0"/>
              <w:marTop w:val="0"/>
              <w:marBottom w:val="0"/>
              <w:divBdr>
                <w:top w:val="none" w:sz="0" w:space="0" w:color="auto"/>
                <w:left w:val="none" w:sz="0" w:space="0" w:color="auto"/>
                <w:bottom w:val="none" w:sz="0" w:space="0" w:color="auto"/>
                <w:right w:val="none" w:sz="0" w:space="0" w:color="auto"/>
              </w:divBdr>
            </w:div>
          </w:divsChild>
        </w:div>
        <w:div w:id="429010475">
          <w:marLeft w:val="0"/>
          <w:marRight w:val="0"/>
          <w:marTop w:val="0"/>
          <w:marBottom w:val="0"/>
          <w:divBdr>
            <w:top w:val="none" w:sz="0" w:space="0" w:color="auto"/>
            <w:left w:val="none" w:sz="0" w:space="0" w:color="auto"/>
            <w:bottom w:val="none" w:sz="0" w:space="0" w:color="auto"/>
            <w:right w:val="none" w:sz="0" w:space="0" w:color="auto"/>
          </w:divBdr>
          <w:divsChild>
            <w:div w:id="595678978">
              <w:marLeft w:val="0"/>
              <w:marRight w:val="0"/>
              <w:marTop w:val="0"/>
              <w:marBottom w:val="0"/>
              <w:divBdr>
                <w:top w:val="none" w:sz="0" w:space="0" w:color="auto"/>
                <w:left w:val="none" w:sz="0" w:space="0" w:color="auto"/>
                <w:bottom w:val="none" w:sz="0" w:space="0" w:color="auto"/>
                <w:right w:val="none" w:sz="0" w:space="0" w:color="auto"/>
              </w:divBdr>
            </w:div>
          </w:divsChild>
        </w:div>
        <w:div w:id="430590191">
          <w:marLeft w:val="0"/>
          <w:marRight w:val="0"/>
          <w:marTop w:val="0"/>
          <w:marBottom w:val="0"/>
          <w:divBdr>
            <w:top w:val="none" w:sz="0" w:space="0" w:color="auto"/>
            <w:left w:val="none" w:sz="0" w:space="0" w:color="auto"/>
            <w:bottom w:val="none" w:sz="0" w:space="0" w:color="auto"/>
            <w:right w:val="none" w:sz="0" w:space="0" w:color="auto"/>
          </w:divBdr>
          <w:divsChild>
            <w:div w:id="645621307">
              <w:marLeft w:val="0"/>
              <w:marRight w:val="0"/>
              <w:marTop w:val="0"/>
              <w:marBottom w:val="0"/>
              <w:divBdr>
                <w:top w:val="none" w:sz="0" w:space="0" w:color="auto"/>
                <w:left w:val="none" w:sz="0" w:space="0" w:color="auto"/>
                <w:bottom w:val="none" w:sz="0" w:space="0" w:color="auto"/>
                <w:right w:val="none" w:sz="0" w:space="0" w:color="auto"/>
              </w:divBdr>
            </w:div>
          </w:divsChild>
        </w:div>
        <w:div w:id="444274389">
          <w:marLeft w:val="0"/>
          <w:marRight w:val="0"/>
          <w:marTop w:val="0"/>
          <w:marBottom w:val="0"/>
          <w:divBdr>
            <w:top w:val="none" w:sz="0" w:space="0" w:color="auto"/>
            <w:left w:val="none" w:sz="0" w:space="0" w:color="auto"/>
            <w:bottom w:val="none" w:sz="0" w:space="0" w:color="auto"/>
            <w:right w:val="none" w:sz="0" w:space="0" w:color="auto"/>
          </w:divBdr>
          <w:divsChild>
            <w:div w:id="724258445">
              <w:marLeft w:val="0"/>
              <w:marRight w:val="0"/>
              <w:marTop w:val="0"/>
              <w:marBottom w:val="0"/>
              <w:divBdr>
                <w:top w:val="none" w:sz="0" w:space="0" w:color="auto"/>
                <w:left w:val="none" w:sz="0" w:space="0" w:color="auto"/>
                <w:bottom w:val="none" w:sz="0" w:space="0" w:color="auto"/>
                <w:right w:val="none" w:sz="0" w:space="0" w:color="auto"/>
              </w:divBdr>
            </w:div>
          </w:divsChild>
        </w:div>
        <w:div w:id="467944061">
          <w:marLeft w:val="0"/>
          <w:marRight w:val="0"/>
          <w:marTop w:val="0"/>
          <w:marBottom w:val="0"/>
          <w:divBdr>
            <w:top w:val="none" w:sz="0" w:space="0" w:color="auto"/>
            <w:left w:val="none" w:sz="0" w:space="0" w:color="auto"/>
            <w:bottom w:val="none" w:sz="0" w:space="0" w:color="auto"/>
            <w:right w:val="none" w:sz="0" w:space="0" w:color="auto"/>
          </w:divBdr>
          <w:divsChild>
            <w:div w:id="287778793">
              <w:marLeft w:val="0"/>
              <w:marRight w:val="0"/>
              <w:marTop w:val="0"/>
              <w:marBottom w:val="0"/>
              <w:divBdr>
                <w:top w:val="none" w:sz="0" w:space="0" w:color="auto"/>
                <w:left w:val="none" w:sz="0" w:space="0" w:color="auto"/>
                <w:bottom w:val="none" w:sz="0" w:space="0" w:color="auto"/>
                <w:right w:val="none" w:sz="0" w:space="0" w:color="auto"/>
              </w:divBdr>
            </w:div>
          </w:divsChild>
        </w:div>
        <w:div w:id="471215985">
          <w:marLeft w:val="0"/>
          <w:marRight w:val="0"/>
          <w:marTop w:val="0"/>
          <w:marBottom w:val="0"/>
          <w:divBdr>
            <w:top w:val="none" w:sz="0" w:space="0" w:color="auto"/>
            <w:left w:val="none" w:sz="0" w:space="0" w:color="auto"/>
            <w:bottom w:val="none" w:sz="0" w:space="0" w:color="auto"/>
            <w:right w:val="none" w:sz="0" w:space="0" w:color="auto"/>
          </w:divBdr>
          <w:divsChild>
            <w:div w:id="1455442223">
              <w:marLeft w:val="0"/>
              <w:marRight w:val="0"/>
              <w:marTop w:val="0"/>
              <w:marBottom w:val="0"/>
              <w:divBdr>
                <w:top w:val="none" w:sz="0" w:space="0" w:color="auto"/>
                <w:left w:val="none" w:sz="0" w:space="0" w:color="auto"/>
                <w:bottom w:val="none" w:sz="0" w:space="0" w:color="auto"/>
                <w:right w:val="none" w:sz="0" w:space="0" w:color="auto"/>
              </w:divBdr>
            </w:div>
          </w:divsChild>
        </w:div>
        <w:div w:id="473790503">
          <w:marLeft w:val="0"/>
          <w:marRight w:val="0"/>
          <w:marTop w:val="0"/>
          <w:marBottom w:val="0"/>
          <w:divBdr>
            <w:top w:val="none" w:sz="0" w:space="0" w:color="auto"/>
            <w:left w:val="none" w:sz="0" w:space="0" w:color="auto"/>
            <w:bottom w:val="none" w:sz="0" w:space="0" w:color="auto"/>
            <w:right w:val="none" w:sz="0" w:space="0" w:color="auto"/>
          </w:divBdr>
          <w:divsChild>
            <w:div w:id="1014451890">
              <w:marLeft w:val="0"/>
              <w:marRight w:val="0"/>
              <w:marTop w:val="0"/>
              <w:marBottom w:val="0"/>
              <w:divBdr>
                <w:top w:val="none" w:sz="0" w:space="0" w:color="auto"/>
                <w:left w:val="none" w:sz="0" w:space="0" w:color="auto"/>
                <w:bottom w:val="none" w:sz="0" w:space="0" w:color="auto"/>
                <w:right w:val="none" w:sz="0" w:space="0" w:color="auto"/>
              </w:divBdr>
            </w:div>
          </w:divsChild>
        </w:div>
        <w:div w:id="474180260">
          <w:marLeft w:val="0"/>
          <w:marRight w:val="0"/>
          <w:marTop w:val="0"/>
          <w:marBottom w:val="0"/>
          <w:divBdr>
            <w:top w:val="none" w:sz="0" w:space="0" w:color="auto"/>
            <w:left w:val="none" w:sz="0" w:space="0" w:color="auto"/>
            <w:bottom w:val="none" w:sz="0" w:space="0" w:color="auto"/>
            <w:right w:val="none" w:sz="0" w:space="0" w:color="auto"/>
          </w:divBdr>
          <w:divsChild>
            <w:div w:id="1652631512">
              <w:marLeft w:val="0"/>
              <w:marRight w:val="0"/>
              <w:marTop w:val="0"/>
              <w:marBottom w:val="0"/>
              <w:divBdr>
                <w:top w:val="none" w:sz="0" w:space="0" w:color="auto"/>
                <w:left w:val="none" w:sz="0" w:space="0" w:color="auto"/>
                <w:bottom w:val="none" w:sz="0" w:space="0" w:color="auto"/>
                <w:right w:val="none" w:sz="0" w:space="0" w:color="auto"/>
              </w:divBdr>
            </w:div>
          </w:divsChild>
        </w:div>
        <w:div w:id="484708237">
          <w:marLeft w:val="0"/>
          <w:marRight w:val="0"/>
          <w:marTop w:val="0"/>
          <w:marBottom w:val="0"/>
          <w:divBdr>
            <w:top w:val="none" w:sz="0" w:space="0" w:color="auto"/>
            <w:left w:val="none" w:sz="0" w:space="0" w:color="auto"/>
            <w:bottom w:val="none" w:sz="0" w:space="0" w:color="auto"/>
            <w:right w:val="none" w:sz="0" w:space="0" w:color="auto"/>
          </w:divBdr>
          <w:divsChild>
            <w:div w:id="53748142">
              <w:marLeft w:val="0"/>
              <w:marRight w:val="0"/>
              <w:marTop w:val="0"/>
              <w:marBottom w:val="0"/>
              <w:divBdr>
                <w:top w:val="none" w:sz="0" w:space="0" w:color="auto"/>
                <w:left w:val="none" w:sz="0" w:space="0" w:color="auto"/>
                <w:bottom w:val="none" w:sz="0" w:space="0" w:color="auto"/>
                <w:right w:val="none" w:sz="0" w:space="0" w:color="auto"/>
              </w:divBdr>
            </w:div>
          </w:divsChild>
        </w:div>
        <w:div w:id="487867824">
          <w:marLeft w:val="0"/>
          <w:marRight w:val="0"/>
          <w:marTop w:val="0"/>
          <w:marBottom w:val="0"/>
          <w:divBdr>
            <w:top w:val="none" w:sz="0" w:space="0" w:color="auto"/>
            <w:left w:val="none" w:sz="0" w:space="0" w:color="auto"/>
            <w:bottom w:val="none" w:sz="0" w:space="0" w:color="auto"/>
            <w:right w:val="none" w:sz="0" w:space="0" w:color="auto"/>
          </w:divBdr>
          <w:divsChild>
            <w:div w:id="2021227389">
              <w:marLeft w:val="0"/>
              <w:marRight w:val="0"/>
              <w:marTop w:val="0"/>
              <w:marBottom w:val="0"/>
              <w:divBdr>
                <w:top w:val="none" w:sz="0" w:space="0" w:color="auto"/>
                <w:left w:val="none" w:sz="0" w:space="0" w:color="auto"/>
                <w:bottom w:val="none" w:sz="0" w:space="0" w:color="auto"/>
                <w:right w:val="none" w:sz="0" w:space="0" w:color="auto"/>
              </w:divBdr>
            </w:div>
          </w:divsChild>
        </w:div>
        <w:div w:id="494076698">
          <w:marLeft w:val="0"/>
          <w:marRight w:val="0"/>
          <w:marTop w:val="0"/>
          <w:marBottom w:val="0"/>
          <w:divBdr>
            <w:top w:val="none" w:sz="0" w:space="0" w:color="auto"/>
            <w:left w:val="none" w:sz="0" w:space="0" w:color="auto"/>
            <w:bottom w:val="none" w:sz="0" w:space="0" w:color="auto"/>
            <w:right w:val="none" w:sz="0" w:space="0" w:color="auto"/>
          </w:divBdr>
          <w:divsChild>
            <w:div w:id="211771713">
              <w:marLeft w:val="0"/>
              <w:marRight w:val="0"/>
              <w:marTop w:val="0"/>
              <w:marBottom w:val="0"/>
              <w:divBdr>
                <w:top w:val="none" w:sz="0" w:space="0" w:color="auto"/>
                <w:left w:val="none" w:sz="0" w:space="0" w:color="auto"/>
                <w:bottom w:val="none" w:sz="0" w:space="0" w:color="auto"/>
                <w:right w:val="none" w:sz="0" w:space="0" w:color="auto"/>
              </w:divBdr>
            </w:div>
          </w:divsChild>
        </w:div>
        <w:div w:id="504587280">
          <w:marLeft w:val="0"/>
          <w:marRight w:val="0"/>
          <w:marTop w:val="0"/>
          <w:marBottom w:val="0"/>
          <w:divBdr>
            <w:top w:val="none" w:sz="0" w:space="0" w:color="auto"/>
            <w:left w:val="none" w:sz="0" w:space="0" w:color="auto"/>
            <w:bottom w:val="none" w:sz="0" w:space="0" w:color="auto"/>
            <w:right w:val="none" w:sz="0" w:space="0" w:color="auto"/>
          </w:divBdr>
          <w:divsChild>
            <w:div w:id="1516848994">
              <w:marLeft w:val="0"/>
              <w:marRight w:val="0"/>
              <w:marTop w:val="0"/>
              <w:marBottom w:val="0"/>
              <w:divBdr>
                <w:top w:val="none" w:sz="0" w:space="0" w:color="auto"/>
                <w:left w:val="none" w:sz="0" w:space="0" w:color="auto"/>
                <w:bottom w:val="none" w:sz="0" w:space="0" w:color="auto"/>
                <w:right w:val="none" w:sz="0" w:space="0" w:color="auto"/>
              </w:divBdr>
            </w:div>
          </w:divsChild>
        </w:div>
        <w:div w:id="506747578">
          <w:marLeft w:val="0"/>
          <w:marRight w:val="0"/>
          <w:marTop w:val="0"/>
          <w:marBottom w:val="0"/>
          <w:divBdr>
            <w:top w:val="none" w:sz="0" w:space="0" w:color="auto"/>
            <w:left w:val="none" w:sz="0" w:space="0" w:color="auto"/>
            <w:bottom w:val="none" w:sz="0" w:space="0" w:color="auto"/>
            <w:right w:val="none" w:sz="0" w:space="0" w:color="auto"/>
          </w:divBdr>
          <w:divsChild>
            <w:div w:id="1363743726">
              <w:marLeft w:val="0"/>
              <w:marRight w:val="0"/>
              <w:marTop w:val="0"/>
              <w:marBottom w:val="0"/>
              <w:divBdr>
                <w:top w:val="none" w:sz="0" w:space="0" w:color="auto"/>
                <w:left w:val="none" w:sz="0" w:space="0" w:color="auto"/>
                <w:bottom w:val="none" w:sz="0" w:space="0" w:color="auto"/>
                <w:right w:val="none" w:sz="0" w:space="0" w:color="auto"/>
              </w:divBdr>
            </w:div>
          </w:divsChild>
        </w:div>
        <w:div w:id="516693094">
          <w:marLeft w:val="0"/>
          <w:marRight w:val="0"/>
          <w:marTop w:val="0"/>
          <w:marBottom w:val="0"/>
          <w:divBdr>
            <w:top w:val="none" w:sz="0" w:space="0" w:color="auto"/>
            <w:left w:val="none" w:sz="0" w:space="0" w:color="auto"/>
            <w:bottom w:val="none" w:sz="0" w:space="0" w:color="auto"/>
            <w:right w:val="none" w:sz="0" w:space="0" w:color="auto"/>
          </w:divBdr>
          <w:divsChild>
            <w:div w:id="472992514">
              <w:marLeft w:val="0"/>
              <w:marRight w:val="0"/>
              <w:marTop w:val="0"/>
              <w:marBottom w:val="0"/>
              <w:divBdr>
                <w:top w:val="none" w:sz="0" w:space="0" w:color="auto"/>
                <w:left w:val="none" w:sz="0" w:space="0" w:color="auto"/>
                <w:bottom w:val="none" w:sz="0" w:space="0" w:color="auto"/>
                <w:right w:val="none" w:sz="0" w:space="0" w:color="auto"/>
              </w:divBdr>
            </w:div>
          </w:divsChild>
        </w:div>
        <w:div w:id="531964692">
          <w:marLeft w:val="0"/>
          <w:marRight w:val="0"/>
          <w:marTop w:val="0"/>
          <w:marBottom w:val="0"/>
          <w:divBdr>
            <w:top w:val="none" w:sz="0" w:space="0" w:color="auto"/>
            <w:left w:val="none" w:sz="0" w:space="0" w:color="auto"/>
            <w:bottom w:val="none" w:sz="0" w:space="0" w:color="auto"/>
            <w:right w:val="none" w:sz="0" w:space="0" w:color="auto"/>
          </w:divBdr>
          <w:divsChild>
            <w:div w:id="1444379918">
              <w:marLeft w:val="0"/>
              <w:marRight w:val="0"/>
              <w:marTop w:val="0"/>
              <w:marBottom w:val="0"/>
              <w:divBdr>
                <w:top w:val="none" w:sz="0" w:space="0" w:color="auto"/>
                <w:left w:val="none" w:sz="0" w:space="0" w:color="auto"/>
                <w:bottom w:val="none" w:sz="0" w:space="0" w:color="auto"/>
                <w:right w:val="none" w:sz="0" w:space="0" w:color="auto"/>
              </w:divBdr>
            </w:div>
          </w:divsChild>
        </w:div>
        <w:div w:id="531965613">
          <w:marLeft w:val="0"/>
          <w:marRight w:val="0"/>
          <w:marTop w:val="0"/>
          <w:marBottom w:val="0"/>
          <w:divBdr>
            <w:top w:val="none" w:sz="0" w:space="0" w:color="auto"/>
            <w:left w:val="none" w:sz="0" w:space="0" w:color="auto"/>
            <w:bottom w:val="none" w:sz="0" w:space="0" w:color="auto"/>
            <w:right w:val="none" w:sz="0" w:space="0" w:color="auto"/>
          </w:divBdr>
          <w:divsChild>
            <w:div w:id="1243101522">
              <w:marLeft w:val="0"/>
              <w:marRight w:val="0"/>
              <w:marTop w:val="0"/>
              <w:marBottom w:val="0"/>
              <w:divBdr>
                <w:top w:val="none" w:sz="0" w:space="0" w:color="auto"/>
                <w:left w:val="none" w:sz="0" w:space="0" w:color="auto"/>
                <w:bottom w:val="none" w:sz="0" w:space="0" w:color="auto"/>
                <w:right w:val="none" w:sz="0" w:space="0" w:color="auto"/>
              </w:divBdr>
            </w:div>
          </w:divsChild>
        </w:div>
        <w:div w:id="535430707">
          <w:marLeft w:val="0"/>
          <w:marRight w:val="0"/>
          <w:marTop w:val="0"/>
          <w:marBottom w:val="0"/>
          <w:divBdr>
            <w:top w:val="none" w:sz="0" w:space="0" w:color="auto"/>
            <w:left w:val="none" w:sz="0" w:space="0" w:color="auto"/>
            <w:bottom w:val="none" w:sz="0" w:space="0" w:color="auto"/>
            <w:right w:val="none" w:sz="0" w:space="0" w:color="auto"/>
          </w:divBdr>
          <w:divsChild>
            <w:div w:id="442968408">
              <w:marLeft w:val="0"/>
              <w:marRight w:val="0"/>
              <w:marTop w:val="0"/>
              <w:marBottom w:val="0"/>
              <w:divBdr>
                <w:top w:val="none" w:sz="0" w:space="0" w:color="auto"/>
                <w:left w:val="none" w:sz="0" w:space="0" w:color="auto"/>
                <w:bottom w:val="none" w:sz="0" w:space="0" w:color="auto"/>
                <w:right w:val="none" w:sz="0" w:space="0" w:color="auto"/>
              </w:divBdr>
            </w:div>
          </w:divsChild>
        </w:div>
        <w:div w:id="539627818">
          <w:marLeft w:val="0"/>
          <w:marRight w:val="0"/>
          <w:marTop w:val="0"/>
          <w:marBottom w:val="0"/>
          <w:divBdr>
            <w:top w:val="none" w:sz="0" w:space="0" w:color="auto"/>
            <w:left w:val="none" w:sz="0" w:space="0" w:color="auto"/>
            <w:bottom w:val="none" w:sz="0" w:space="0" w:color="auto"/>
            <w:right w:val="none" w:sz="0" w:space="0" w:color="auto"/>
          </w:divBdr>
          <w:divsChild>
            <w:div w:id="589966460">
              <w:marLeft w:val="0"/>
              <w:marRight w:val="0"/>
              <w:marTop w:val="0"/>
              <w:marBottom w:val="0"/>
              <w:divBdr>
                <w:top w:val="none" w:sz="0" w:space="0" w:color="auto"/>
                <w:left w:val="none" w:sz="0" w:space="0" w:color="auto"/>
                <w:bottom w:val="none" w:sz="0" w:space="0" w:color="auto"/>
                <w:right w:val="none" w:sz="0" w:space="0" w:color="auto"/>
              </w:divBdr>
            </w:div>
          </w:divsChild>
        </w:div>
        <w:div w:id="540748752">
          <w:marLeft w:val="0"/>
          <w:marRight w:val="0"/>
          <w:marTop w:val="0"/>
          <w:marBottom w:val="0"/>
          <w:divBdr>
            <w:top w:val="none" w:sz="0" w:space="0" w:color="auto"/>
            <w:left w:val="none" w:sz="0" w:space="0" w:color="auto"/>
            <w:bottom w:val="none" w:sz="0" w:space="0" w:color="auto"/>
            <w:right w:val="none" w:sz="0" w:space="0" w:color="auto"/>
          </w:divBdr>
          <w:divsChild>
            <w:div w:id="317614435">
              <w:marLeft w:val="0"/>
              <w:marRight w:val="0"/>
              <w:marTop w:val="0"/>
              <w:marBottom w:val="0"/>
              <w:divBdr>
                <w:top w:val="none" w:sz="0" w:space="0" w:color="auto"/>
                <w:left w:val="none" w:sz="0" w:space="0" w:color="auto"/>
                <w:bottom w:val="none" w:sz="0" w:space="0" w:color="auto"/>
                <w:right w:val="none" w:sz="0" w:space="0" w:color="auto"/>
              </w:divBdr>
            </w:div>
          </w:divsChild>
        </w:div>
        <w:div w:id="543255879">
          <w:marLeft w:val="0"/>
          <w:marRight w:val="0"/>
          <w:marTop w:val="0"/>
          <w:marBottom w:val="0"/>
          <w:divBdr>
            <w:top w:val="none" w:sz="0" w:space="0" w:color="auto"/>
            <w:left w:val="none" w:sz="0" w:space="0" w:color="auto"/>
            <w:bottom w:val="none" w:sz="0" w:space="0" w:color="auto"/>
            <w:right w:val="none" w:sz="0" w:space="0" w:color="auto"/>
          </w:divBdr>
          <w:divsChild>
            <w:div w:id="78717421">
              <w:marLeft w:val="0"/>
              <w:marRight w:val="0"/>
              <w:marTop w:val="0"/>
              <w:marBottom w:val="0"/>
              <w:divBdr>
                <w:top w:val="none" w:sz="0" w:space="0" w:color="auto"/>
                <w:left w:val="none" w:sz="0" w:space="0" w:color="auto"/>
                <w:bottom w:val="none" w:sz="0" w:space="0" w:color="auto"/>
                <w:right w:val="none" w:sz="0" w:space="0" w:color="auto"/>
              </w:divBdr>
            </w:div>
          </w:divsChild>
        </w:div>
        <w:div w:id="557518274">
          <w:marLeft w:val="0"/>
          <w:marRight w:val="0"/>
          <w:marTop w:val="0"/>
          <w:marBottom w:val="0"/>
          <w:divBdr>
            <w:top w:val="none" w:sz="0" w:space="0" w:color="auto"/>
            <w:left w:val="none" w:sz="0" w:space="0" w:color="auto"/>
            <w:bottom w:val="none" w:sz="0" w:space="0" w:color="auto"/>
            <w:right w:val="none" w:sz="0" w:space="0" w:color="auto"/>
          </w:divBdr>
          <w:divsChild>
            <w:div w:id="269319057">
              <w:marLeft w:val="0"/>
              <w:marRight w:val="0"/>
              <w:marTop w:val="0"/>
              <w:marBottom w:val="0"/>
              <w:divBdr>
                <w:top w:val="none" w:sz="0" w:space="0" w:color="auto"/>
                <w:left w:val="none" w:sz="0" w:space="0" w:color="auto"/>
                <w:bottom w:val="none" w:sz="0" w:space="0" w:color="auto"/>
                <w:right w:val="none" w:sz="0" w:space="0" w:color="auto"/>
              </w:divBdr>
            </w:div>
          </w:divsChild>
        </w:div>
        <w:div w:id="565455004">
          <w:marLeft w:val="0"/>
          <w:marRight w:val="0"/>
          <w:marTop w:val="0"/>
          <w:marBottom w:val="0"/>
          <w:divBdr>
            <w:top w:val="none" w:sz="0" w:space="0" w:color="auto"/>
            <w:left w:val="none" w:sz="0" w:space="0" w:color="auto"/>
            <w:bottom w:val="none" w:sz="0" w:space="0" w:color="auto"/>
            <w:right w:val="none" w:sz="0" w:space="0" w:color="auto"/>
          </w:divBdr>
          <w:divsChild>
            <w:div w:id="932056302">
              <w:marLeft w:val="0"/>
              <w:marRight w:val="0"/>
              <w:marTop w:val="0"/>
              <w:marBottom w:val="0"/>
              <w:divBdr>
                <w:top w:val="none" w:sz="0" w:space="0" w:color="auto"/>
                <w:left w:val="none" w:sz="0" w:space="0" w:color="auto"/>
                <w:bottom w:val="none" w:sz="0" w:space="0" w:color="auto"/>
                <w:right w:val="none" w:sz="0" w:space="0" w:color="auto"/>
              </w:divBdr>
            </w:div>
          </w:divsChild>
        </w:div>
        <w:div w:id="566651764">
          <w:marLeft w:val="0"/>
          <w:marRight w:val="0"/>
          <w:marTop w:val="0"/>
          <w:marBottom w:val="0"/>
          <w:divBdr>
            <w:top w:val="none" w:sz="0" w:space="0" w:color="auto"/>
            <w:left w:val="none" w:sz="0" w:space="0" w:color="auto"/>
            <w:bottom w:val="none" w:sz="0" w:space="0" w:color="auto"/>
            <w:right w:val="none" w:sz="0" w:space="0" w:color="auto"/>
          </w:divBdr>
          <w:divsChild>
            <w:div w:id="474298336">
              <w:marLeft w:val="0"/>
              <w:marRight w:val="0"/>
              <w:marTop w:val="0"/>
              <w:marBottom w:val="0"/>
              <w:divBdr>
                <w:top w:val="none" w:sz="0" w:space="0" w:color="auto"/>
                <w:left w:val="none" w:sz="0" w:space="0" w:color="auto"/>
                <w:bottom w:val="none" w:sz="0" w:space="0" w:color="auto"/>
                <w:right w:val="none" w:sz="0" w:space="0" w:color="auto"/>
              </w:divBdr>
            </w:div>
          </w:divsChild>
        </w:div>
        <w:div w:id="567809339">
          <w:marLeft w:val="0"/>
          <w:marRight w:val="0"/>
          <w:marTop w:val="0"/>
          <w:marBottom w:val="0"/>
          <w:divBdr>
            <w:top w:val="none" w:sz="0" w:space="0" w:color="auto"/>
            <w:left w:val="none" w:sz="0" w:space="0" w:color="auto"/>
            <w:bottom w:val="none" w:sz="0" w:space="0" w:color="auto"/>
            <w:right w:val="none" w:sz="0" w:space="0" w:color="auto"/>
          </w:divBdr>
          <w:divsChild>
            <w:div w:id="1067723543">
              <w:marLeft w:val="0"/>
              <w:marRight w:val="0"/>
              <w:marTop w:val="0"/>
              <w:marBottom w:val="0"/>
              <w:divBdr>
                <w:top w:val="none" w:sz="0" w:space="0" w:color="auto"/>
                <w:left w:val="none" w:sz="0" w:space="0" w:color="auto"/>
                <w:bottom w:val="none" w:sz="0" w:space="0" w:color="auto"/>
                <w:right w:val="none" w:sz="0" w:space="0" w:color="auto"/>
              </w:divBdr>
            </w:div>
          </w:divsChild>
        </w:div>
        <w:div w:id="570703211">
          <w:marLeft w:val="0"/>
          <w:marRight w:val="0"/>
          <w:marTop w:val="0"/>
          <w:marBottom w:val="0"/>
          <w:divBdr>
            <w:top w:val="none" w:sz="0" w:space="0" w:color="auto"/>
            <w:left w:val="none" w:sz="0" w:space="0" w:color="auto"/>
            <w:bottom w:val="none" w:sz="0" w:space="0" w:color="auto"/>
            <w:right w:val="none" w:sz="0" w:space="0" w:color="auto"/>
          </w:divBdr>
          <w:divsChild>
            <w:div w:id="458375330">
              <w:marLeft w:val="0"/>
              <w:marRight w:val="0"/>
              <w:marTop w:val="0"/>
              <w:marBottom w:val="0"/>
              <w:divBdr>
                <w:top w:val="none" w:sz="0" w:space="0" w:color="auto"/>
                <w:left w:val="none" w:sz="0" w:space="0" w:color="auto"/>
                <w:bottom w:val="none" w:sz="0" w:space="0" w:color="auto"/>
                <w:right w:val="none" w:sz="0" w:space="0" w:color="auto"/>
              </w:divBdr>
            </w:div>
          </w:divsChild>
        </w:div>
        <w:div w:id="585891946">
          <w:marLeft w:val="0"/>
          <w:marRight w:val="0"/>
          <w:marTop w:val="0"/>
          <w:marBottom w:val="0"/>
          <w:divBdr>
            <w:top w:val="none" w:sz="0" w:space="0" w:color="auto"/>
            <w:left w:val="none" w:sz="0" w:space="0" w:color="auto"/>
            <w:bottom w:val="none" w:sz="0" w:space="0" w:color="auto"/>
            <w:right w:val="none" w:sz="0" w:space="0" w:color="auto"/>
          </w:divBdr>
          <w:divsChild>
            <w:div w:id="840587818">
              <w:marLeft w:val="0"/>
              <w:marRight w:val="0"/>
              <w:marTop w:val="0"/>
              <w:marBottom w:val="0"/>
              <w:divBdr>
                <w:top w:val="none" w:sz="0" w:space="0" w:color="auto"/>
                <w:left w:val="none" w:sz="0" w:space="0" w:color="auto"/>
                <w:bottom w:val="none" w:sz="0" w:space="0" w:color="auto"/>
                <w:right w:val="none" w:sz="0" w:space="0" w:color="auto"/>
              </w:divBdr>
            </w:div>
          </w:divsChild>
        </w:div>
        <w:div w:id="589312131">
          <w:marLeft w:val="0"/>
          <w:marRight w:val="0"/>
          <w:marTop w:val="0"/>
          <w:marBottom w:val="0"/>
          <w:divBdr>
            <w:top w:val="none" w:sz="0" w:space="0" w:color="auto"/>
            <w:left w:val="none" w:sz="0" w:space="0" w:color="auto"/>
            <w:bottom w:val="none" w:sz="0" w:space="0" w:color="auto"/>
            <w:right w:val="none" w:sz="0" w:space="0" w:color="auto"/>
          </w:divBdr>
          <w:divsChild>
            <w:div w:id="1567639915">
              <w:marLeft w:val="0"/>
              <w:marRight w:val="0"/>
              <w:marTop w:val="0"/>
              <w:marBottom w:val="0"/>
              <w:divBdr>
                <w:top w:val="none" w:sz="0" w:space="0" w:color="auto"/>
                <w:left w:val="none" w:sz="0" w:space="0" w:color="auto"/>
                <w:bottom w:val="none" w:sz="0" w:space="0" w:color="auto"/>
                <w:right w:val="none" w:sz="0" w:space="0" w:color="auto"/>
              </w:divBdr>
            </w:div>
          </w:divsChild>
        </w:div>
        <w:div w:id="592397128">
          <w:marLeft w:val="0"/>
          <w:marRight w:val="0"/>
          <w:marTop w:val="0"/>
          <w:marBottom w:val="0"/>
          <w:divBdr>
            <w:top w:val="none" w:sz="0" w:space="0" w:color="auto"/>
            <w:left w:val="none" w:sz="0" w:space="0" w:color="auto"/>
            <w:bottom w:val="none" w:sz="0" w:space="0" w:color="auto"/>
            <w:right w:val="none" w:sz="0" w:space="0" w:color="auto"/>
          </w:divBdr>
          <w:divsChild>
            <w:div w:id="1181116257">
              <w:marLeft w:val="0"/>
              <w:marRight w:val="0"/>
              <w:marTop w:val="0"/>
              <w:marBottom w:val="0"/>
              <w:divBdr>
                <w:top w:val="none" w:sz="0" w:space="0" w:color="auto"/>
                <w:left w:val="none" w:sz="0" w:space="0" w:color="auto"/>
                <w:bottom w:val="none" w:sz="0" w:space="0" w:color="auto"/>
                <w:right w:val="none" w:sz="0" w:space="0" w:color="auto"/>
              </w:divBdr>
            </w:div>
          </w:divsChild>
        </w:div>
        <w:div w:id="602802375">
          <w:marLeft w:val="0"/>
          <w:marRight w:val="0"/>
          <w:marTop w:val="0"/>
          <w:marBottom w:val="0"/>
          <w:divBdr>
            <w:top w:val="none" w:sz="0" w:space="0" w:color="auto"/>
            <w:left w:val="none" w:sz="0" w:space="0" w:color="auto"/>
            <w:bottom w:val="none" w:sz="0" w:space="0" w:color="auto"/>
            <w:right w:val="none" w:sz="0" w:space="0" w:color="auto"/>
          </w:divBdr>
          <w:divsChild>
            <w:div w:id="354964630">
              <w:marLeft w:val="0"/>
              <w:marRight w:val="0"/>
              <w:marTop w:val="0"/>
              <w:marBottom w:val="0"/>
              <w:divBdr>
                <w:top w:val="none" w:sz="0" w:space="0" w:color="auto"/>
                <w:left w:val="none" w:sz="0" w:space="0" w:color="auto"/>
                <w:bottom w:val="none" w:sz="0" w:space="0" w:color="auto"/>
                <w:right w:val="none" w:sz="0" w:space="0" w:color="auto"/>
              </w:divBdr>
            </w:div>
          </w:divsChild>
        </w:div>
        <w:div w:id="611209417">
          <w:marLeft w:val="0"/>
          <w:marRight w:val="0"/>
          <w:marTop w:val="0"/>
          <w:marBottom w:val="0"/>
          <w:divBdr>
            <w:top w:val="none" w:sz="0" w:space="0" w:color="auto"/>
            <w:left w:val="none" w:sz="0" w:space="0" w:color="auto"/>
            <w:bottom w:val="none" w:sz="0" w:space="0" w:color="auto"/>
            <w:right w:val="none" w:sz="0" w:space="0" w:color="auto"/>
          </w:divBdr>
          <w:divsChild>
            <w:div w:id="1813135339">
              <w:marLeft w:val="0"/>
              <w:marRight w:val="0"/>
              <w:marTop w:val="0"/>
              <w:marBottom w:val="0"/>
              <w:divBdr>
                <w:top w:val="none" w:sz="0" w:space="0" w:color="auto"/>
                <w:left w:val="none" w:sz="0" w:space="0" w:color="auto"/>
                <w:bottom w:val="none" w:sz="0" w:space="0" w:color="auto"/>
                <w:right w:val="none" w:sz="0" w:space="0" w:color="auto"/>
              </w:divBdr>
            </w:div>
          </w:divsChild>
        </w:div>
        <w:div w:id="611471308">
          <w:marLeft w:val="0"/>
          <w:marRight w:val="0"/>
          <w:marTop w:val="0"/>
          <w:marBottom w:val="0"/>
          <w:divBdr>
            <w:top w:val="none" w:sz="0" w:space="0" w:color="auto"/>
            <w:left w:val="none" w:sz="0" w:space="0" w:color="auto"/>
            <w:bottom w:val="none" w:sz="0" w:space="0" w:color="auto"/>
            <w:right w:val="none" w:sz="0" w:space="0" w:color="auto"/>
          </w:divBdr>
          <w:divsChild>
            <w:div w:id="1351949635">
              <w:marLeft w:val="0"/>
              <w:marRight w:val="0"/>
              <w:marTop w:val="0"/>
              <w:marBottom w:val="0"/>
              <w:divBdr>
                <w:top w:val="none" w:sz="0" w:space="0" w:color="auto"/>
                <w:left w:val="none" w:sz="0" w:space="0" w:color="auto"/>
                <w:bottom w:val="none" w:sz="0" w:space="0" w:color="auto"/>
                <w:right w:val="none" w:sz="0" w:space="0" w:color="auto"/>
              </w:divBdr>
            </w:div>
          </w:divsChild>
        </w:div>
        <w:div w:id="614100398">
          <w:marLeft w:val="0"/>
          <w:marRight w:val="0"/>
          <w:marTop w:val="0"/>
          <w:marBottom w:val="0"/>
          <w:divBdr>
            <w:top w:val="none" w:sz="0" w:space="0" w:color="auto"/>
            <w:left w:val="none" w:sz="0" w:space="0" w:color="auto"/>
            <w:bottom w:val="none" w:sz="0" w:space="0" w:color="auto"/>
            <w:right w:val="none" w:sz="0" w:space="0" w:color="auto"/>
          </w:divBdr>
          <w:divsChild>
            <w:div w:id="235630458">
              <w:marLeft w:val="0"/>
              <w:marRight w:val="0"/>
              <w:marTop w:val="0"/>
              <w:marBottom w:val="0"/>
              <w:divBdr>
                <w:top w:val="none" w:sz="0" w:space="0" w:color="auto"/>
                <w:left w:val="none" w:sz="0" w:space="0" w:color="auto"/>
                <w:bottom w:val="none" w:sz="0" w:space="0" w:color="auto"/>
                <w:right w:val="none" w:sz="0" w:space="0" w:color="auto"/>
              </w:divBdr>
            </w:div>
            <w:div w:id="270744391">
              <w:marLeft w:val="0"/>
              <w:marRight w:val="0"/>
              <w:marTop w:val="0"/>
              <w:marBottom w:val="0"/>
              <w:divBdr>
                <w:top w:val="none" w:sz="0" w:space="0" w:color="auto"/>
                <w:left w:val="none" w:sz="0" w:space="0" w:color="auto"/>
                <w:bottom w:val="none" w:sz="0" w:space="0" w:color="auto"/>
                <w:right w:val="none" w:sz="0" w:space="0" w:color="auto"/>
              </w:divBdr>
            </w:div>
            <w:div w:id="534779134">
              <w:marLeft w:val="0"/>
              <w:marRight w:val="0"/>
              <w:marTop w:val="0"/>
              <w:marBottom w:val="0"/>
              <w:divBdr>
                <w:top w:val="none" w:sz="0" w:space="0" w:color="auto"/>
                <w:left w:val="none" w:sz="0" w:space="0" w:color="auto"/>
                <w:bottom w:val="none" w:sz="0" w:space="0" w:color="auto"/>
                <w:right w:val="none" w:sz="0" w:space="0" w:color="auto"/>
              </w:divBdr>
            </w:div>
            <w:div w:id="609241373">
              <w:marLeft w:val="0"/>
              <w:marRight w:val="0"/>
              <w:marTop w:val="0"/>
              <w:marBottom w:val="0"/>
              <w:divBdr>
                <w:top w:val="none" w:sz="0" w:space="0" w:color="auto"/>
                <w:left w:val="none" w:sz="0" w:space="0" w:color="auto"/>
                <w:bottom w:val="none" w:sz="0" w:space="0" w:color="auto"/>
                <w:right w:val="none" w:sz="0" w:space="0" w:color="auto"/>
              </w:divBdr>
            </w:div>
            <w:div w:id="960842745">
              <w:marLeft w:val="0"/>
              <w:marRight w:val="0"/>
              <w:marTop w:val="0"/>
              <w:marBottom w:val="0"/>
              <w:divBdr>
                <w:top w:val="none" w:sz="0" w:space="0" w:color="auto"/>
                <w:left w:val="none" w:sz="0" w:space="0" w:color="auto"/>
                <w:bottom w:val="none" w:sz="0" w:space="0" w:color="auto"/>
                <w:right w:val="none" w:sz="0" w:space="0" w:color="auto"/>
              </w:divBdr>
            </w:div>
            <w:div w:id="999233364">
              <w:marLeft w:val="0"/>
              <w:marRight w:val="0"/>
              <w:marTop w:val="0"/>
              <w:marBottom w:val="0"/>
              <w:divBdr>
                <w:top w:val="none" w:sz="0" w:space="0" w:color="auto"/>
                <w:left w:val="none" w:sz="0" w:space="0" w:color="auto"/>
                <w:bottom w:val="none" w:sz="0" w:space="0" w:color="auto"/>
                <w:right w:val="none" w:sz="0" w:space="0" w:color="auto"/>
              </w:divBdr>
            </w:div>
            <w:div w:id="1215432073">
              <w:marLeft w:val="0"/>
              <w:marRight w:val="0"/>
              <w:marTop w:val="0"/>
              <w:marBottom w:val="0"/>
              <w:divBdr>
                <w:top w:val="none" w:sz="0" w:space="0" w:color="auto"/>
                <w:left w:val="none" w:sz="0" w:space="0" w:color="auto"/>
                <w:bottom w:val="none" w:sz="0" w:space="0" w:color="auto"/>
                <w:right w:val="none" w:sz="0" w:space="0" w:color="auto"/>
              </w:divBdr>
            </w:div>
            <w:div w:id="1440642307">
              <w:marLeft w:val="0"/>
              <w:marRight w:val="0"/>
              <w:marTop w:val="0"/>
              <w:marBottom w:val="0"/>
              <w:divBdr>
                <w:top w:val="none" w:sz="0" w:space="0" w:color="auto"/>
                <w:left w:val="none" w:sz="0" w:space="0" w:color="auto"/>
                <w:bottom w:val="none" w:sz="0" w:space="0" w:color="auto"/>
                <w:right w:val="none" w:sz="0" w:space="0" w:color="auto"/>
              </w:divBdr>
            </w:div>
            <w:div w:id="1598638721">
              <w:marLeft w:val="0"/>
              <w:marRight w:val="0"/>
              <w:marTop w:val="0"/>
              <w:marBottom w:val="0"/>
              <w:divBdr>
                <w:top w:val="none" w:sz="0" w:space="0" w:color="auto"/>
                <w:left w:val="none" w:sz="0" w:space="0" w:color="auto"/>
                <w:bottom w:val="none" w:sz="0" w:space="0" w:color="auto"/>
                <w:right w:val="none" w:sz="0" w:space="0" w:color="auto"/>
              </w:divBdr>
            </w:div>
            <w:div w:id="1784884966">
              <w:marLeft w:val="0"/>
              <w:marRight w:val="0"/>
              <w:marTop w:val="0"/>
              <w:marBottom w:val="0"/>
              <w:divBdr>
                <w:top w:val="none" w:sz="0" w:space="0" w:color="auto"/>
                <w:left w:val="none" w:sz="0" w:space="0" w:color="auto"/>
                <w:bottom w:val="none" w:sz="0" w:space="0" w:color="auto"/>
                <w:right w:val="none" w:sz="0" w:space="0" w:color="auto"/>
              </w:divBdr>
            </w:div>
            <w:div w:id="1801411417">
              <w:marLeft w:val="0"/>
              <w:marRight w:val="0"/>
              <w:marTop w:val="0"/>
              <w:marBottom w:val="0"/>
              <w:divBdr>
                <w:top w:val="none" w:sz="0" w:space="0" w:color="auto"/>
                <w:left w:val="none" w:sz="0" w:space="0" w:color="auto"/>
                <w:bottom w:val="none" w:sz="0" w:space="0" w:color="auto"/>
                <w:right w:val="none" w:sz="0" w:space="0" w:color="auto"/>
              </w:divBdr>
            </w:div>
            <w:div w:id="1893495551">
              <w:marLeft w:val="0"/>
              <w:marRight w:val="0"/>
              <w:marTop w:val="0"/>
              <w:marBottom w:val="0"/>
              <w:divBdr>
                <w:top w:val="none" w:sz="0" w:space="0" w:color="auto"/>
                <w:left w:val="none" w:sz="0" w:space="0" w:color="auto"/>
                <w:bottom w:val="none" w:sz="0" w:space="0" w:color="auto"/>
                <w:right w:val="none" w:sz="0" w:space="0" w:color="auto"/>
              </w:divBdr>
            </w:div>
            <w:div w:id="2128430091">
              <w:marLeft w:val="0"/>
              <w:marRight w:val="0"/>
              <w:marTop w:val="0"/>
              <w:marBottom w:val="0"/>
              <w:divBdr>
                <w:top w:val="none" w:sz="0" w:space="0" w:color="auto"/>
                <w:left w:val="none" w:sz="0" w:space="0" w:color="auto"/>
                <w:bottom w:val="none" w:sz="0" w:space="0" w:color="auto"/>
                <w:right w:val="none" w:sz="0" w:space="0" w:color="auto"/>
              </w:divBdr>
            </w:div>
          </w:divsChild>
        </w:div>
        <w:div w:id="614799667">
          <w:marLeft w:val="0"/>
          <w:marRight w:val="0"/>
          <w:marTop w:val="0"/>
          <w:marBottom w:val="0"/>
          <w:divBdr>
            <w:top w:val="none" w:sz="0" w:space="0" w:color="auto"/>
            <w:left w:val="none" w:sz="0" w:space="0" w:color="auto"/>
            <w:bottom w:val="none" w:sz="0" w:space="0" w:color="auto"/>
            <w:right w:val="none" w:sz="0" w:space="0" w:color="auto"/>
          </w:divBdr>
          <w:divsChild>
            <w:div w:id="1144129477">
              <w:marLeft w:val="0"/>
              <w:marRight w:val="0"/>
              <w:marTop w:val="0"/>
              <w:marBottom w:val="0"/>
              <w:divBdr>
                <w:top w:val="none" w:sz="0" w:space="0" w:color="auto"/>
                <w:left w:val="none" w:sz="0" w:space="0" w:color="auto"/>
                <w:bottom w:val="none" w:sz="0" w:space="0" w:color="auto"/>
                <w:right w:val="none" w:sz="0" w:space="0" w:color="auto"/>
              </w:divBdr>
            </w:div>
          </w:divsChild>
        </w:div>
        <w:div w:id="644047995">
          <w:marLeft w:val="0"/>
          <w:marRight w:val="0"/>
          <w:marTop w:val="0"/>
          <w:marBottom w:val="0"/>
          <w:divBdr>
            <w:top w:val="none" w:sz="0" w:space="0" w:color="auto"/>
            <w:left w:val="none" w:sz="0" w:space="0" w:color="auto"/>
            <w:bottom w:val="none" w:sz="0" w:space="0" w:color="auto"/>
            <w:right w:val="none" w:sz="0" w:space="0" w:color="auto"/>
          </w:divBdr>
          <w:divsChild>
            <w:div w:id="1375498139">
              <w:marLeft w:val="0"/>
              <w:marRight w:val="0"/>
              <w:marTop w:val="0"/>
              <w:marBottom w:val="0"/>
              <w:divBdr>
                <w:top w:val="none" w:sz="0" w:space="0" w:color="auto"/>
                <w:left w:val="none" w:sz="0" w:space="0" w:color="auto"/>
                <w:bottom w:val="none" w:sz="0" w:space="0" w:color="auto"/>
                <w:right w:val="none" w:sz="0" w:space="0" w:color="auto"/>
              </w:divBdr>
            </w:div>
          </w:divsChild>
        </w:div>
        <w:div w:id="648249224">
          <w:marLeft w:val="0"/>
          <w:marRight w:val="0"/>
          <w:marTop w:val="0"/>
          <w:marBottom w:val="0"/>
          <w:divBdr>
            <w:top w:val="none" w:sz="0" w:space="0" w:color="auto"/>
            <w:left w:val="none" w:sz="0" w:space="0" w:color="auto"/>
            <w:bottom w:val="none" w:sz="0" w:space="0" w:color="auto"/>
            <w:right w:val="none" w:sz="0" w:space="0" w:color="auto"/>
          </w:divBdr>
          <w:divsChild>
            <w:div w:id="117652158">
              <w:marLeft w:val="0"/>
              <w:marRight w:val="0"/>
              <w:marTop w:val="0"/>
              <w:marBottom w:val="0"/>
              <w:divBdr>
                <w:top w:val="none" w:sz="0" w:space="0" w:color="auto"/>
                <w:left w:val="none" w:sz="0" w:space="0" w:color="auto"/>
                <w:bottom w:val="none" w:sz="0" w:space="0" w:color="auto"/>
                <w:right w:val="none" w:sz="0" w:space="0" w:color="auto"/>
              </w:divBdr>
            </w:div>
            <w:div w:id="264309312">
              <w:marLeft w:val="0"/>
              <w:marRight w:val="0"/>
              <w:marTop w:val="0"/>
              <w:marBottom w:val="0"/>
              <w:divBdr>
                <w:top w:val="none" w:sz="0" w:space="0" w:color="auto"/>
                <w:left w:val="none" w:sz="0" w:space="0" w:color="auto"/>
                <w:bottom w:val="none" w:sz="0" w:space="0" w:color="auto"/>
                <w:right w:val="none" w:sz="0" w:space="0" w:color="auto"/>
              </w:divBdr>
            </w:div>
            <w:div w:id="273752470">
              <w:marLeft w:val="0"/>
              <w:marRight w:val="0"/>
              <w:marTop w:val="0"/>
              <w:marBottom w:val="0"/>
              <w:divBdr>
                <w:top w:val="none" w:sz="0" w:space="0" w:color="auto"/>
                <w:left w:val="none" w:sz="0" w:space="0" w:color="auto"/>
                <w:bottom w:val="none" w:sz="0" w:space="0" w:color="auto"/>
                <w:right w:val="none" w:sz="0" w:space="0" w:color="auto"/>
              </w:divBdr>
            </w:div>
            <w:div w:id="851139887">
              <w:marLeft w:val="0"/>
              <w:marRight w:val="0"/>
              <w:marTop w:val="0"/>
              <w:marBottom w:val="0"/>
              <w:divBdr>
                <w:top w:val="none" w:sz="0" w:space="0" w:color="auto"/>
                <w:left w:val="none" w:sz="0" w:space="0" w:color="auto"/>
                <w:bottom w:val="none" w:sz="0" w:space="0" w:color="auto"/>
                <w:right w:val="none" w:sz="0" w:space="0" w:color="auto"/>
              </w:divBdr>
            </w:div>
            <w:div w:id="1550916974">
              <w:marLeft w:val="0"/>
              <w:marRight w:val="0"/>
              <w:marTop w:val="0"/>
              <w:marBottom w:val="0"/>
              <w:divBdr>
                <w:top w:val="none" w:sz="0" w:space="0" w:color="auto"/>
                <w:left w:val="none" w:sz="0" w:space="0" w:color="auto"/>
                <w:bottom w:val="none" w:sz="0" w:space="0" w:color="auto"/>
                <w:right w:val="none" w:sz="0" w:space="0" w:color="auto"/>
              </w:divBdr>
            </w:div>
            <w:div w:id="1553694398">
              <w:marLeft w:val="0"/>
              <w:marRight w:val="0"/>
              <w:marTop w:val="0"/>
              <w:marBottom w:val="0"/>
              <w:divBdr>
                <w:top w:val="none" w:sz="0" w:space="0" w:color="auto"/>
                <w:left w:val="none" w:sz="0" w:space="0" w:color="auto"/>
                <w:bottom w:val="none" w:sz="0" w:space="0" w:color="auto"/>
                <w:right w:val="none" w:sz="0" w:space="0" w:color="auto"/>
              </w:divBdr>
            </w:div>
            <w:div w:id="1602452521">
              <w:marLeft w:val="0"/>
              <w:marRight w:val="0"/>
              <w:marTop w:val="0"/>
              <w:marBottom w:val="0"/>
              <w:divBdr>
                <w:top w:val="none" w:sz="0" w:space="0" w:color="auto"/>
                <w:left w:val="none" w:sz="0" w:space="0" w:color="auto"/>
                <w:bottom w:val="none" w:sz="0" w:space="0" w:color="auto"/>
                <w:right w:val="none" w:sz="0" w:space="0" w:color="auto"/>
              </w:divBdr>
            </w:div>
          </w:divsChild>
        </w:div>
        <w:div w:id="664816854">
          <w:marLeft w:val="0"/>
          <w:marRight w:val="0"/>
          <w:marTop w:val="0"/>
          <w:marBottom w:val="0"/>
          <w:divBdr>
            <w:top w:val="none" w:sz="0" w:space="0" w:color="auto"/>
            <w:left w:val="none" w:sz="0" w:space="0" w:color="auto"/>
            <w:bottom w:val="none" w:sz="0" w:space="0" w:color="auto"/>
            <w:right w:val="none" w:sz="0" w:space="0" w:color="auto"/>
          </w:divBdr>
          <w:divsChild>
            <w:div w:id="1795900839">
              <w:marLeft w:val="0"/>
              <w:marRight w:val="0"/>
              <w:marTop w:val="0"/>
              <w:marBottom w:val="0"/>
              <w:divBdr>
                <w:top w:val="none" w:sz="0" w:space="0" w:color="auto"/>
                <w:left w:val="none" w:sz="0" w:space="0" w:color="auto"/>
                <w:bottom w:val="none" w:sz="0" w:space="0" w:color="auto"/>
                <w:right w:val="none" w:sz="0" w:space="0" w:color="auto"/>
              </w:divBdr>
            </w:div>
          </w:divsChild>
        </w:div>
        <w:div w:id="667288010">
          <w:marLeft w:val="0"/>
          <w:marRight w:val="0"/>
          <w:marTop w:val="0"/>
          <w:marBottom w:val="0"/>
          <w:divBdr>
            <w:top w:val="none" w:sz="0" w:space="0" w:color="auto"/>
            <w:left w:val="none" w:sz="0" w:space="0" w:color="auto"/>
            <w:bottom w:val="none" w:sz="0" w:space="0" w:color="auto"/>
            <w:right w:val="none" w:sz="0" w:space="0" w:color="auto"/>
          </w:divBdr>
          <w:divsChild>
            <w:div w:id="1080827293">
              <w:marLeft w:val="0"/>
              <w:marRight w:val="0"/>
              <w:marTop w:val="0"/>
              <w:marBottom w:val="0"/>
              <w:divBdr>
                <w:top w:val="none" w:sz="0" w:space="0" w:color="auto"/>
                <w:left w:val="none" w:sz="0" w:space="0" w:color="auto"/>
                <w:bottom w:val="none" w:sz="0" w:space="0" w:color="auto"/>
                <w:right w:val="none" w:sz="0" w:space="0" w:color="auto"/>
              </w:divBdr>
            </w:div>
          </w:divsChild>
        </w:div>
        <w:div w:id="667363000">
          <w:marLeft w:val="0"/>
          <w:marRight w:val="0"/>
          <w:marTop w:val="0"/>
          <w:marBottom w:val="0"/>
          <w:divBdr>
            <w:top w:val="none" w:sz="0" w:space="0" w:color="auto"/>
            <w:left w:val="none" w:sz="0" w:space="0" w:color="auto"/>
            <w:bottom w:val="none" w:sz="0" w:space="0" w:color="auto"/>
            <w:right w:val="none" w:sz="0" w:space="0" w:color="auto"/>
          </w:divBdr>
          <w:divsChild>
            <w:div w:id="4670913">
              <w:marLeft w:val="0"/>
              <w:marRight w:val="0"/>
              <w:marTop w:val="0"/>
              <w:marBottom w:val="0"/>
              <w:divBdr>
                <w:top w:val="none" w:sz="0" w:space="0" w:color="auto"/>
                <w:left w:val="none" w:sz="0" w:space="0" w:color="auto"/>
                <w:bottom w:val="none" w:sz="0" w:space="0" w:color="auto"/>
                <w:right w:val="none" w:sz="0" w:space="0" w:color="auto"/>
              </w:divBdr>
            </w:div>
          </w:divsChild>
        </w:div>
        <w:div w:id="674265101">
          <w:marLeft w:val="0"/>
          <w:marRight w:val="0"/>
          <w:marTop w:val="0"/>
          <w:marBottom w:val="0"/>
          <w:divBdr>
            <w:top w:val="none" w:sz="0" w:space="0" w:color="auto"/>
            <w:left w:val="none" w:sz="0" w:space="0" w:color="auto"/>
            <w:bottom w:val="none" w:sz="0" w:space="0" w:color="auto"/>
            <w:right w:val="none" w:sz="0" w:space="0" w:color="auto"/>
          </w:divBdr>
          <w:divsChild>
            <w:div w:id="1712876376">
              <w:marLeft w:val="0"/>
              <w:marRight w:val="0"/>
              <w:marTop w:val="0"/>
              <w:marBottom w:val="0"/>
              <w:divBdr>
                <w:top w:val="none" w:sz="0" w:space="0" w:color="auto"/>
                <w:left w:val="none" w:sz="0" w:space="0" w:color="auto"/>
                <w:bottom w:val="none" w:sz="0" w:space="0" w:color="auto"/>
                <w:right w:val="none" w:sz="0" w:space="0" w:color="auto"/>
              </w:divBdr>
            </w:div>
          </w:divsChild>
        </w:div>
        <w:div w:id="678703148">
          <w:marLeft w:val="0"/>
          <w:marRight w:val="0"/>
          <w:marTop w:val="0"/>
          <w:marBottom w:val="0"/>
          <w:divBdr>
            <w:top w:val="none" w:sz="0" w:space="0" w:color="auto"/>
            <w:left w:val="none" w:sz="0" w:space="0" w:color="auto"/>
            <w:bottom w:val="none" w:sz="0" w:space="0" w:color="auto"/>
            <w:right w:val="none" w:sz="0" w:space="0" w:color="auto"/>
          </w:divBdr>
          <w:divsChild>
            <w:div w:id="1652060255">
              <w:marLeft w:val="0"/>
              <w:marRight w:val="0"/>
              <w:marTop w:val="0"/>
              <w:marBottom w:val="0"/>
              <w:divBdr>
                <w:top w:val="none" w:sz="0" w:space="0" w:color="auto"/>
                <w:left w:val="none" w:sz="0" w:space="0" w:color="auto"/>
                <w:bottom w:val="none" w:sz="0" w:space="0" w:color="auto"/>
                <w:right w:val="none" w:sz="0" w:space="0" w:color="auto"/>
              </w:divBdr>
            </w:div>
          </w:divsChild>
        </w:div>
        <w:div w:id="680159495">
          <w:marLeft w:val="0"/>
          <w:marRight w:val="0"/>
          <w:marTop w:val="0"/>
          <w:marBottom w:val="0"/>
          <w:divBdr>
            <w:top w:val="none" w:sz="0" w:space="0" w:color="auto"/>
            <w:left w:val="none" w:sz="0" w:space="0" w:color="auto"/>
            <w:bottom w:val="none" w:sz="0" w:space="0" w:color="auto"/>
            <w:right w:val="none" w:sz="0" w:space="0" w:color="auto"/>
          </w:divBdr>
          <w:divsChild>
            <w:div w:id="1143766349">
              <w:marLeft w:val="0"/>
              <w:marRight w:val="0"/>
              <w:marTop w:val="0"/>
              <w:marBottom w:val="0"/>
              <w:divBdr>
                <w:top w:val="none" w:sz="0" w:space="0" w:color="auto"/>
                <w:left w:val="none" w:sz="0" w:space="0" w:color="auto"/>
                <w:bottom w:val="none" w:sz="0" w:space="0" w:color="auto"/>
                <w:right w:val="none" w:sz="0" w:space="0" w:color="auto"/>
              </w:divBdr>
            </w:div>
          </w:divsChild>
        </w:div>
        <w:div w:id="687369324">
          <w:marLeft w:val="0"/>
          <w:marRight w:val="0"/>
          <w:marTop w:val="0"/>
          <w:marBottom w:val="0"/>
          <w:divBdr>
            <w:top w:val="none" w:sz="0" w:space="0" w:color="auto"/>
            <w:left w:val="none" w:sz="0" w:space="0" w:color="auto"/>
            <w:bottom w:val="none" w:sz="0" w:space="0" w:color="auto"/>
            <w:right w:val="none" w:sz="0" w:space="0" w:color="auto"/>
          </w:divBdr>
          <w:divsChild>
            <w:div w:id="2140222809">
              <w:marLeft w:val="0"/>
              <w:marRight w:val="0"/>
              <w:marTop w:val="0"/>
              <w:marBottom w:val="0"/>
              <w:divBdr>
                <w:top w:val="none" w:sz="0" w:space="0" w:color="auto"/>
                <w:left w:val="none" w:sz="0" w:space="0" w:color="auto"/>
                <w:bottom w:val="none" w:sz="0" w:space="0" w:color="auto"/>
                <w:right w:val="none" w:sz="0" w:space="0" w:color="auto"/>
              </w:divBdr>
            </w:div>
          </w:divsChild>
        </w:div>
        <w:div w:id="693648736">
          <w:marLeft w:val="0"/>
          <w:marRight w:val="0"/>
          <w:marTop w:val="0"/>
          <w:marBottom w:val="0"/>
          <w:divBdr>
            <w:top w:val="none" w:sz="0" w:space="0" w:color="auto"/>
            <w:left w:val="none" w:sz="0" w:space="0" w:color="auto"/>
            <w:bottom w:val="none" w:sz="0" w:space="0" w:color="auto"/>
            <w:right w:val="none" w:sz="0" w:space="0" w:color="auto"/>
          </w:divBdr>
          <w:divsChild>
            <w:div w:id="1697653026">
              <w:marLeft w:val="0"/>
              <w:marRight w:val="0"/>
              <w:marTop w:val="0"/>
              <w:marBottom w:val="0"/>
              <w:divBdr>
                <w:top w:val="none" w:sz="0" w:space="0" w:color="auto"/>
                <w:left w:val="none" w:sz="0" w:space="0" w:color="auto"/>
                <w:bottom w:val="none" w:sz="0" w:space="0" w:color="auto"/>
                <w:right w:val="none" w:sz="0" w:space="0" w:color="auto"/>
              </w:divBdr>
            </w:div>
          </w:divsChild>
        </w:div>
        <w:div w:id="699741351">
          <w:marLeft w:val="0"/>
          <w:marRight w:val="0"/>
          <w:marTop w:val="0"/>
          <w:marBottom w:val="0"/>
          <w:divBdr>
            <w:top w:val="none" w:sz="0" w:space="0" w:color="auto"/>
            <w:left w:val="none" w:sz="0" w:space="0" w:color="auto"/>
            <w:bottom w:val="none" w:sz="0" w:space="0" w:color="auto"/>
            <w:right w:val="none" w:sz="0" w:space="0" w:color="auto"/>
          </w:divBdr>
          <w:divsChild>
            <w:div w:id="803692995">
              <w:marLeft w:val="0"/>
              <w:marRight w:val="0"/>
              <w:marTop w:val="0"/>
              <w:marBottom w:val="0"/>
              <w:divBdr>
                <w:top w:val="none" w:sz="0" w:space="0" w:color="auto"/>
                <w:left w:val="none" w:sz="0" w:space="0" w:color="auto"/>
                <w:bottom w:val="none" w:sz="0" w:space="0" w:color="auto"/>
                <w:right w:val="none" w:sz="0" w:space="0" w:color="auto"/>
              </w:divBdr>
            </w:div>
          </w:divsChild>
        </w:div>
        <w:div w:id="701906469">
          <w:marLeft w:val="0"/>
          <w:marRight w:val="0"/>
          <w:marTop w:val="0"/>
          <w:marBottom w:val="0"/>
          <w:divBdr>
            <w:top w:val="none" w:sz="0" w:space="0" w:color="auto"/>
            <w:left w:val="none" w:sz="0" w:space="0" w:color="auto"/>
            <w:bottom w:val="none" w:sz="0" w:space="0" w:color="auto"/>
            <w:right w:val="none" w:sz="0" w:space="0" w:color="auto"/>
          </w:divBdr>
          <w:divsChild>
            <w:div w:id="1217162559">
              <w:marLeft w:val="0"/>
              <w:marRight w:val="0"/>
              <w:marTop w:val="0"/>
              <w:marBottom w:val="0"/>
              <w:divBdr>
                <w:top w:val="none" w:sz="0" w:space="0" w:color="auto"/>
                <w:left w:val="none" w:sz="0" w:space="0" w:color="auto"/>
                <w:bottom w:val="none" w:sz="0" w:space="0" w:color="auto"/>
                <w:right w:val="none" w:sz="0" w:space="0" w:color="auto"/>
              </w:divBdr>
            </w:div>
          </w:divsChild>
        </w:div>
        <w:div w:id="704448154">
          <w:marLeft w:val="0"/>
          <w:marRight w:val="0"/>
          <w:marTop w:val="0"/>
          <w:marBottom w:val="0"/>
          <w:divBdr>
            <w:top w:val="none" w:sz="0" w:space="0" w:color="auto"/>
            <w:left w:val="none" w:sz="0" w:space="0" w:color="auto"/>
            <w:bottom w:val="none" w:sz="0" w:space="0" w:color="auto"/>
            <w:right w:val="none" w:sz="0" w:space="0" w:color="auto"/>
          </w:divBdr>
          <w:divsChild>
            <w:div w:id="1409034841">
              <w:marLeft w:val="0"/>
              <w:marRight w:val="0"/>
              <w:marTop w:val="0"/>
              <w:marBottom w:val="0"/>
              <w:divBdr>
                <w:top w:val="none" w:sz="0" w:space="0" w:color="auto"/>
                <w:left w:val="none" w:sz="0" w:space="0" w:color="auto"/>
                <w:bottom w:val="none" w:sz="0" w:space="0" w:color="auto"/>
                <w:right w:val="none" w:sz="0" w:space="0" w:color="auto"/>
              </w:divBdr>
            </w:div>
          </w:divsChild>
        </w:div>
        <w:div w:id="714504992">
          <w:marLeft w:val="0"/>
          <w:marRight w:val="0"/>
          <w:marTop w:val="0"/>
          <w:marBottom w:val="0"/>
          <w:divBdr>
            <w:top w:val="none" w:sz="0" w:space="0" w:color="auto"/>
            <w:left w:val="none" w:sz="0" w:space="0" w:color="auto"/>
            <w:bottom w:val="none" w:sz="0" w:space="0" w:color="auto"/>
            <w:right w:val="none" w:sz="0" w:space="0" w:color="auto"/>
          </w:divBdr>
          <w:divsChild>
            <w:div w:id="1691253486">
              <w:marLeft w:val="0"/>
              <w:marRight w:val="0"/>
              <w:marTop w:val="0"/>
              <w:marBottom w:val="0"/>
              <w:divBdr>
                <w:top w:val="none" w:sz="0" w:space="0" w:color="auto"/>
                <w:left w:val="none" w:sz="0" w:space="0" w:color="auto"/>
                <w:bottom w:val="none" w:sz="0" w:space="0" w:color="auto"/>
                <w:right w:val="none" w:sz="0" w:space="0" w:color="auto"/>
              </w:divBdr>
            </w:div>
          </w:divsChild>
        </w:div>
        <w:div w:id="715351353">
          <w:marLeft w:val="0"/>
          <w:marRight w:val="0"/>
          <w:marTop w:val="0"/>
          <w:marBottom w:val="0"/>
          <w:divBdr>
            <w:top w:val="none" w:sz="0" w:space="0" w:color="auto"/>
            <w:left w:val="none" w:sz="0" w:space="0" w:color="auto"/>
            <w:bottom w:val="none" w:sz="0" w:space="0" w:color="auto"/>
            <w:right w:val="none" w:sz="0" w:space="0" w:color="auto"/>
          </w:divBdr>
          <w:divsChild>
            <w:div w:id="1399085310">
              <w:marLeft w:val="0"/>
              <w:marRight w:val="0"/>
              <w:marTop w:val="0"/>
              <w:marBottom w:val="0"/>
              <w:divBdr>
                <w:top w:val="none" w:sz="0" w:space="0" w:color="auto"/>
                <w:left w:val="none" w:sz="0" w:space="0" w:color="auto"/>
                <w:bottom w:val="none" w:sz="0" w:space="0" w:color="auto"/>
                <w:right w:val="none" w:sz="0" w:space="0" w:color="auto"/>
              </w:divBdr>
            </w:div>
          </w:divsChild>
        </w:div>
        <w:div w:id="718548847">
          <w:marLeft w:val="0"/>
          <w:marRight w:val="0"/>
          <w:marTop w:val="0"/>
          <w:marBottom w:val="0"/>
          <w:divBdr>
            <w:top w:val="none" w:sz="0" w:space="0" w:color="auto"/>
            <w:left w:val="none" w:sz="0" w:space="0" w:color="auto"/>
            <w:bottom w:val="none" w:sz="0" w:space="0" w:color="auto"/>
            <w:right w:val="none" w:sz="0" w:space="0" w:color="auto"/>
          </w:divBdr>
          <w:divsChild>
            <w:div w:id="1739665419">
              <w:marLeft w:val="0"/>
              <w:marRight w:val="0"/>
              <w:marTop w:val="0"/>
              <w:marBottom w:val="0"/>
              <w:divBdr>
                <w:top w:val="none" w:sz="0" w:space="0" w:color="auto"/>
                <w:left w:val="none" w:sz="0" w:space="0" w:color="auto"/>
                <w:bottom w:val="none" w:sz="0" w:space="0" w:color="auto"/>
                <w:right w:val="none" w:sz="0" w:space="0" w:color="auto"/>
              </w:divBdr>
            </w:div>
          </w:divsChild>
        </w:div>
        <w:div w:id="725179372">
          <w:marLeft w:val="0"/>
          <w:marRight w:val="0"/>
          <w:marTop w:val="0"/>
          <w:marBottom w:val="0"/>
          <w:divBdr>
            <w:top w:val="none" w:sz="0" w:space="0" w:color="auto"/>
            <w:left w:val="none" w:sz="0" w:space="0" w:color="auto"/>
            <w:bottom w:val="none" w:sz="0" w:space="0" w:color="auto"/>
            <w:right w:val="none" w:sz="0" w:space="0" w:color="auto"/>
          </w:divBdr>
          <w:divsChild>
            <w:div w:id="247203675">
              <w:marLeft w:val="0"/>
              <w:marRight w:val="0"/>
              <w:marTop w:val="0"/>
              <w:marBottom w:val="0"/>
              <w:divBdr>
                <w:top w:val="none" w:sz="0" w:space="0" w:color="auto"/>
                <w:left w:val="none" w:sz="0" w:space="0" w:color="auto"/>
                <w:bottom w:val="none" w:sz="0" w:space="0" w:color="auto"/>
                <w:right w:val="none" w:sz="0" w:space="0" w:color="auto"/>
              </w:divBdr>
            </w:div>
          </w:divsChild>
        </w:div>
        <w:div w:id="730688718">
          <w:marLeft w:val="0"/>
          <w:marRight w:val="0"/>
          <w:marTop w:val="0"/>
          <w:marBottom w:val="0"/>
          <w:divBdr>
            <w:top w:val="none" w:sz="0" w:space="0" w:color="auto"/>
            <w:left w:val="none" w:sz="0" w:space="0" w:color="auto"/>
            <w:bottom w:val="none" w:sz="0" w:space="0" w:color="auto"/>
            <w:right w:val="none" w:sz="0" w:space="0" w:color="auto"/>
          </w:divBdr>
          <w:divsChild>
            <w:div w:id="1203591719">
              <w:marLeft w:val="0"/>
              <w:marRight w:val="0"/>
              <w:marTop w:val="0"/>
              <w:marBottom w:val="0"/>
              <w:divBdr>
                <w:top w:val="none" w:sz="0" w:space="0" w:color="auto"/>
                <w:left w:val="none" w:sz="0" w:space="0" w:color="auto"/>
                <w:bottom w:val="none" w:sz="0" w:space="0" w:color="auto"/>
                <w:right w:val="none" w:sz="0" w:space="0" w:color="auto"/>
              </w:divBdr>
            </w:div>
          </w:divsChild>
        </w:div>
        <w:div w:id="731974360">
          <w:marLeft w:val="0"/>
          <w:marRight w:val="0"/>
          <w:marTop w:val="0"/>
          <w:marBottom w:val="0"/>
          <w:divBdr>
            <w:top w:val="none" w:sz="0" w:space="0" w:color="auto"/>
            <w:left w:val="none" w:sz="0" w:space="0" w:color="auto"/>
            <w:bottom w:val="none" w:sz="0" w:space="0" w:color="auto"/>
            <w:right w:val="none" w:sz="0" w:space="0" w:color="auto"/>
          </w:divBdr>
          <w:divsChild>
            <w:div w:id="682053282">
              <w:marLeft w:val="0"/>
              <w:marRight w:val="0"/>
              <w:marTop w:val="0"/>
              <w:marBottom w:val="0"/>
              <w:divBdr>
                <w:top w:val="none" w:sz="0" w:space="0" w:color="auto"/>
                <w:left w:val="none" w:sz="0" w:space="0" w:color="auto"/>
                <w:bottom w:val="none" w:sz="0" w:space="0" w:color="auto"/>
                <w:right w:val="none" w:sz="0" w:space="0" w:color="auto"/>
              </w:divBdr>
            </w:div>
          </w:divsChild>
        </w:div>
        <w:div w:id="736049302">
          <w:marLeft w:val="0"/>
          <w:marRight w:val="0"/>
          <w:marTop w:val="0"/>
          <w:marBottom w:val="0"/>
          <w:divBdr>
            <w:top w:val="none" w:sz="0" w:space="0" w:color="auto"/>
            <w:left w:val="none" w:sz="0" w:space="0" w:color="auto"/>
            <w:bottom w:val="none" w:sz="0" w:space="0" w:color="auto"/>
            <w:right w:val="none" w:sz="0" w:space="0" w:color="auto"/>
          </w:divBdr>
          <w:divsChild>
            <w:div w:id="1683969411">
              <w:marLeft w:val="0"/>
              <w:marRight w:val="0"/>
              <w:marTop w:val="0"/>
              <w:marBottom w:val="0"/>
              <w:divBdr>
                <w:top w:val="none" w:sz="0" w:space="0" w:color="auto"/>
                <w:left w:val="none" w:sz="0" w:space="0" w:color="auto"/>
                <w:bottom w:val="none" w:sz="0" w:space="0" w:color="auto"/>
                <w:right w:val="none" w:sz="0" w:space="0" w:color="auto"/>
              </w:divBdr>
            </w:div>
          </w:divsChild>
        </w:div>
        <w:div w:id="739012855">
          <w:marLeft w:val="0"/>
          <w:marRight w:val="0"/>
          <w:marTop w:val="0"/>
          <w:marBottom w:val="0"/>
          <w:divBdr>
            <w:top w:val="none" w:sz="0" w:space="0" w:color="auto"/>
            <w:left w:val="none" w:sz="0" w:space="0" w:color="auto"/>
            <w:bottom w:val="none" w:sz="0" w:space="0" w:color="auto"/>
            <w:right w:val="none" w:sz="0" w:space="0" w:color="auto"/>
          </w:divBdr>
          <w:divsChild>
            <w:div w:id="2046906048">
              <w:marLeft w:val="0"/>
              <w:marRight w:val="0"/>
              <w:marTop w:val="0"/>
              <w:marBottom w:val="0"/>
              <w:divBdr>
                <w:top w:val="none" w:sz="0" w:space="0" w:color="auto"/>
                <w:left w:val="none" w:sz="0" w:space="0" w:color="auto"/>
                <w:bottom w:val="none" w:sz="0" w:space="0" w:color="auto"/>
                <w:right w:val="none" w:sz="0" w:space="0" w:color="auto"/>
              </w:divBdr>
            </w:div>
          </w:divsChild>
        </w:div>
        <w:div w:id="739056372">
          <w:marLeft w:val="0"/>
          <w:marRight w:val="0"/>
          <w:marTop w:val="0"/>
          <w:marBottom w:val="0"/>
          <w:divBdr>
            <w:top w:val="none" w:sz="0" w:space="0" w:color="auto"/>
            <w:left w:val="none" w:sz="0" w:space="0" w:color="auto"/>
            <w:bottom w:val="none" w:sz="0" w:space="0" w:color="auto"/>
            <w:right w:val="none" w:sz="0" w:space="0" w:color="auto"/>
          </w:divBdr>
          <w:divsChild>
            <w:div w:id="627397882">
              <w:marLeft w:val="0"/>
              <w:marRight w:val="0"/>
              <w:marTop w:val="0"/>
              <w:marBottom w:val="0"/>
              <w:divBdr>
                <w:top w:val="none" w:sz="0" w:space="0" w:color="auto"/>
                <w:left w:val="none" w:sz="0" w:space="0" w:color="auto"/>
                <w:bottom w:val="none" w:sz="0" w:space="0" w:color="auto"/>
                <w:right w:val="none" w:sz="0" w:space="0" w:color="auto"/>
              </w:divBdr>
            </w:div>
          </w:divsChild>
        </w:div>
        <w:div w:id="748159545">
          <w:marLeft w:val="0"/>
          <w:marRight w:val="0"/>
          <w:marTop w:val="0"/>
          <w:marBottom w:val="0"/>
          <w:divBdr>
            <w:top w:val="none" w:sz="0" w:space="0" w:color="auto"/>
            <w:left w:val="none" w:sz="0" w:space="0" w:color="auto"/>
            <w:bottom w:val="none" w:sz="0" w:space="0" w:color="auto"/>
            <w:right w:val="none" w:sz="0" w:space="0" w:color="auto"/>
          </w:divBdr>
          <w:divsChild>
            <w:div w:id="1419869551">
              <w:marLeft w:val="0"/>
              <w:marRight w:val="0"/>
              <w:marTop w:val="0"/>
              <w:marBottom w:val="0"/>
              <w:divBdr>
                <w:top w:val="none" w:sz="0" w:space="0" w:color="auto"/>
                <w:left w:val="none" w:sz="0" w:space="0" w:color="auto"/>
                <w:bottom w:val="none" w:sz="0" w:space="0" w:color="auto"/>
                <w:right w:val="none" w:sz="0" w:space="0" w:color="auto"/>
              </w:divBdr>
            </w:div>
          </w:divsChild>
        </w:div>
        <w:div w:id="754085469">
          <w:marLeft w:val="0"/>
          <w:marRight w:val="0"/>
          <w:marTop w:val="0"/>
          <w:marBottom w:val="0"/>
          <w:divBdr>
            <w:top w:val="none" w:sz="0" w:space="0" w:color="auto"/>
            <w:left w:val="none" w:sz="0" w:space="0" w:color="auto"/>
            <w:bottom w:val="none" w:sz="0" w:space="0" w:color="auto"/>
            <w:right w:val="none" w:sz="0" w:space="0" w:color="auto"/>
          </w:divBdr>
          <w:divsChild>
            <w:div w:id="226916008">
              <w:marLeft w:val="0"/>
              <w:marRight w:val="0"/>
              <w:marTop w:val="0"/>
              <w:marBottom w:val="0"/>
              <w:divBdr>
                <w:top w:val="none" w:sz="0" w:space="0" w:color="auto"/>
                <w:left w:val="none" w:sz="0" w:space="0" w:color="auto"/>
                <w:bottom w:val="none" w:sz="0" w:space="0" w:color="auto"/>
                <w:right w:val="none" w:sz="0" w:space="0" w:color="auto"/>
              </w:divBdr>
            </w:div>
          </w:divsChild>
        </w:div>
        <w:div w:id="758062112">
          <w:marLeft w:val="0"/>
          <w:marRight w:val="0"/>
          <w:marTop w:val="0"/>
          <w:marBottom w:val="0"/>
          <w:divBdr>
            <w:top w:val="none" w:sz="0" w:space="0" w:color="auto"/>
            <w:left w:val="none" w:sz="0" w:space="0" w:color="auto"/>
            <w:bottom w:val="none" w:sz="0" w:space="0" w:color="auto"/>
            <w:right w:val="none" w:sz="0" w:space="0" w:color="auto"/>
          </w:divBdr>
          <w:divsChild>
            <w:div w:id="124204804">
              <w:marLeft w:val="0"/>
              <w:marRight w:val="0"/>
              <w:marTop w:val="0"/>
              <w:marBottom w:val="0"/>
              <w:divBdr>
                <w:top w:val="none" w:sz="0" w:space="0" w:color="auto"/>
                <w:left w:val="none" w:sz="0" w:space="0" w:color="auto"/>
                <w:bottom w:val="none" w:sz="0" w:space="0" w:color="auto"/>
                <w:right w:val="none" w:sz="0" w:space="0" w:color="auto"/>
              </w:divBdr>
            </w:div>
            <w:div w:id="1035807201">
              <w:marLeft w:val="0"/>
              <w:marRight w:val="0"/>
              <w:marTop w:val="0"/>
              <w:marBottom w:val="0"/>
              <w:divBdr>
                <w:top w:val="none" w:sz="0" w:space="0" w:color="auto"/>
                <w:left w:val="none" w:sz="0" w:space="0" w:color="auto"/>
                <w:bottom w:val="none" w:sz="0" w:space="0" w:color="auto"/>
                <w:right w:val="none" w:sz="0" w:space="0" w:color="auto"/>
              </w:divBdr>
            </w:div>
          </w:divsChild>
        </w:div>
        <w:div w:id="760181321">
          <w:marLeft w:val="0"/>
          <w:marRight w:val="0"/>
          <w:marTop w:val="0"/>
          <w:marBottom w:val="0"/>
          <w:divBdr>
            <w:top w:val="none" w:sz="0" w:space="0" w:color="auto"/>
            <w:left w:val="none" w:sz="0" w:space="0" w:color="auto"/>
            <w:bottom w:val="none" w:sz="0" w:space="0" w:color="auto"/>
            <w:right w:val="none" w:sz="0" w:space="0" w:color="auto"/>
          </w:divBdr>
          <w:divsChild>
            <w:div w:id="1244024845">
              <w:marLeft w:val="0"/>
              <w:marRight w:val="0"/>
              <w:marTop w:val="0"/>
              <w:marBottom w:val="0"/>
              <w:divBdr>
                <w:top w:val="none" w:sz="0" w:space="0" w:color="auto"/>
                <w:left w:val="none" w:sz="0" w:space="0" w:color="auto"/>
                <w:bottom w:val="none" w:sz="0" w:space="0" w:color="auto"/>
                <w:right w:val="none" w:sz="0" w:space="0" w:color="auto"/>
              </w:divBdr>
            </w:div>
          </w:divsChild>
        </w:div>
        <w:div w:id="766148516">
          <w:marLeft w:val="0"/>
          <w:marRight w:val="0"/>
          <w:marTop w:val="0"/>
          <w:marBottom w:val="0"/>
          <w:divBdr>
            <w:top w:val="none" w:sz="0" w:space="0" w:color="auto"/>
            <w:left w:val="none" w:sz="0" w:space="0" w:color="auto"/>
            <w:bottom w:val="none" w:sz="0" w:space="0" w:color="auto"/>
            <w:right w:val="none" w:sz="0" w:space="0" w:color="auto"/>
          </w:divBdr>
          <w:divsChild>
            <w:div w:id="564267920">
              <w:marLeft w:val="0"/>
              <w:marRight w:val="0"/>
              <w:marTop w:val="0"/>
              <w:marBottom w:val="0"/>
              <w:divBdr>
                <w:top w:val="none" w:sz="0" w:space="0" w:color="auto"/>
                <w:left w:val="none" w:sz="0" w:space="0" w:color="auto"/>
                <w:bottom w:val="none" w:sz="0" w:space="0" w:color="auto"/>
                <w:right w:val="none" w:sz="0" w:space="0" w:color="auto"/>
              </w:divBdr>
            </w:div>
          </w:divsChild>
        </w:div>
        <w:div w:id="767042142">
          <w:marLeft w:val="0"/>
          <w:marRight w:val="0"/>
          <w:marTop w:val="0"/>
          <w:marBottom w:val="0"/>
          <w:divBdr>
            <w:top w:val="none" w:sz="0" w:space="0" w:color="auto"/>
            <w:left w:val="none" w:sz="0" w:space="0" w:color="auto"/>
            <w:bottom w:val="none" w:sz="0" w:space="0" w:color="auto"/>
            <w:right w:val="none" w:sz="0" w:space="0" w:color="auto"/>
          </w:divBdr>
          <w:divsChild>
            <w:div w:id="34475087">
              <w:marLeft w:val="0"/>
              <w:marRight w:val="0"/>
              <w:marTop w:val="0"/>
              <w:marBottom w:val="0"/>
              <w:divBdr>
                <w:top w:val="none" w:sz="0" w:space="0" w:color="auto"/>
                <w:left w:val="none" w:sz="0" w:space="0" w:color="auto"/>
                <w:bottom w:val="none" w:sz="0" w:space="0" w:color="auto"/>
                <w:right w:val="none" w:sz="0" w:space="0" w:color="auto"/>
              </w:divBdr>
            </w:div>
            <w:div w:id="2048555006">
              <w:marLeft w:val="0"/>
              <w:marRight w:val="0"/>
              <w:marTop w:val="0"/>
              <w:marBottom w:val="0"/>
              <w:divBdr>
                <w:top w:val="none" w:sz="0" w:space="0" w:color="auto"/>
                <w:left w:val="none" w:sz="0" w:space="0" w:color="auto"/>
                <w:bottom w:val="none" w:sz="0" w:space="0" w:color="auto"/>
                <w:right w:val="none" w:sz="0" w:space="0" w:color="auto"/>
              </w:divBdr>
            </w:div>
          </w:divsChild>
        </w:div>
        <w:div w:id="781150420">
          <w:marLeft w:val="0"/>
          <w:marRight w:val="0"/>
          <w:marTop w:val="0"/>
          <w:marBottom w:val="0"/>
          <w:divBdr>
            <w:top w:val="none" w:sz="0" w:space="0" w:color="auto"/>
            <w:left w:val="none" w:sz="0" w:space="0" w:color="auto"/>
            <w:bottom w:val="none" w:sz="0" w:space="0" w:color="auto"/>
            <w:right w:val="none" w:sz="0" w:space="0" w:color="auto"/>
          </w:divBdr>
          <w:divsChild>
            <w:div w:id="42870667">
              <w:marLeft w:val="0"/>
              <w:marRight w:val="0"/>
              <w:marTop w:val="0"/>
              <w:marBottom w:val="0"/>
              <w:divBdr>
                <w:top w:val="none" w:sz="0" w:space="0" w:color="auto"/>
                <w:left w:val="none" w:sz="0" w:space="0" w:color="auto"/>
                <w:bottom w:val="none" w:sz="0" w:space="0" w:color="auto"/>
                <w:right w:val="none" w:sz="0" w:space="0" w:color="auto"/>
              </w:divBdr>
            </w:div>
            <w:div w:id="264194622">
              <w:marLeft w:val="0"/>
              <w:marRight w:val="0"/>
              <w:marTop w:val="0"/>
              <w:marBottom w:val="0"/>
              <w:divBdr>
                <w:top w:val="none" w:sz="0" w:space="0" w:color="auto"/>
                <w:left w:val="none" w:sz="0" w:space="0" w:color="auto"/>
                <w:bottom w:val="none" w:sz="0" w:space="0" w:color="auto"/>
                <w:right w:val="none" w:sz="0" w:space="0" w:color="auto"/>
              </w:divBdr>
            </w:div>
            <w:div w:id="288165204">
              <w:marLeft w:val="0"/>
              <w:marRight w:val="0"/>
              <w:marTop w:val="0"/>
              <w:marBottom w:val="0"/>
              <w:divBdr>
                <w:top w:val="none" w:sz="0" w:space="0" w:color="auto"/>
                <w:left w:val="none" w:sz="0" w:space="0" w:color="auto"/>
                <w:bottom w:val="none" w:sz="0" w:space="0" w:color="auto"/>
                <w:right w:val="none" w:sz="0" w:space="0" w:color="auto"/>
              </w:divBdr>
            </w:div>
            <w:div w:id="677928734">
              <w:marLeft w:val="0"/>
              <w:marRight w:val="0"/>
              <w:marTop w:val="0"/>
              <w:marBottom w:val="0"/>
              <w:divBdr>
                <w:top w:val="none" w:sz="0" w:space="0" w:color="auto"/>
                <w:left w:val="none" w:sz="0" w:space="0" w:color="auto"/>
                <w:bottom w:val="none" w:sz="0" w:space="0" w:color="auto"/>
                <w:right w:val="none" w:sz="0" w:space="0" w:color="auto"/>
              </w:divBdr>
            </w:div>
            <w:div w:id="1126503286">
              <w:marLeft w:val="0"/>
              <w:marRight w:val="0"/>
              <w:marTop w:val="0"/>
              <w:marBottom w:val="0"/>
              <w:divBdr>
                <w:top w:val="none" w:sz="0" w:space="0" w:color="auto"/>
                <w:left w:val="none" w:sz="0" w:space="0" w:color="auto"/>
                <w:bottom w:val="none" w:sz="0" w:space="0" w:color="auto"/>
                <w:right w:val="none" w:sz="0" w:space="0" w:color="auto"/>
              </w:divBdr>
            </w:div>
            <w:div w:id="1126970544">
              <w:marLeft w:val="0"/>
              <w:marRight w:val="0"/>
              <w:marTop w:val="0"/>
              <w:marBottom w:val="0"/>
              <w:divBdr>
                <w:top w:val="none" w:sz="0" w:space="0" w:color="auto"/>
                <w:left w:val="none" w:sz="0" w:space="0" w:color="auto"/>
                <w:bottom w:val="none" w:sz="0" w:space="0" w:color="auto"/>
                <w:right w:val="none" w:sz="0" w:space="0" w:color="auto"/>
              </w:divBdr>
            </w:div>
            <w:div w:id="1188257307">
              <w:marLeft w:val="0"/>
              <w:marRight w:val="0"/>
              <w:marTop w:val="0"/>
              <w:marBottom w:val="0"/>
              <w:divBdr>
                <w:top w:val="none" w:sz="0" w:space="0" w:color="auto"/>
                <w:left w:val="none" w:sz="0" w:space="0" w:color="auto"/>
                <w:bottom w:val="none" w:sz="0" w:space="0" w:color="auto"/>
                <w:right w:val="none" w:sz="0" w:space="0" w:color="auto"/>
              </w:divBdr>
            </w:div>
            <w:div w:id="1339774277">
              <w:marLeft w:val="0"/>
              <w:marRight w:val="0"/>
              <w:marTop w:val="0"/>
              <w:marBottom w:val="0"/>
              <w:divBdr>
                <w:top w:val="none" w:sz="0" w:space="0" w:color="auto"/>
                <w:left w:val="none" w:sz="0" w:space="0" w:color="auto"/>
                <w:bottom w:val="none" w:sz="0" w:space="0" w:color="auto"/>
                <w:right w:val="none" w:sz="0" w:space="0" w:color="auto"/>
              </w:divBdr>
            </w:div>
            <w:div w:id="1456682135">
              <w:marLeft w:val="0"/>
              <w:marRight w:val="0"/>
              <w:marTop w:val="0"/>
              <w:marBottom w:val="0"/>
              <w:divBdr>
                <w:top w:val="none" w:sz="0" w:space="0" w:color="auto"/>
                <w:left w:val="none" w:sz="0" w:space="0" w:color="auto"/>
                <w:bottom w:val="none" w:sz="0" w:space="0" w:color="auto"/>
                <w:right w:val="none" w:sz="0" w:space="0" w:color="auto"/>
              </w:divBdr>
            </w:div>
          </w:divsChild>
        </w:div>
        <w:div w:id="783428144">
          <w:marLeft w:val="0"/>
          <w:marRight w:val="0"/>
          <w:marTop w:val="0"/>
          <w:marBottom w:val="0"/>
          <w:divBdr>
            <w:top w:val="none" w:sz="0" w:space="0" w:color="auto"/>
            <w:left w:val="none" w:sz="0" w:space="0" w:color="auto"/>
            <w:bottom w:val="none" w:sz="0" w:space="0" w:color="auto"/>
            <w:right w:val="none" w:sz="0" w:space="0" w:color="auto"/>
          </w:divBdr>
          <w:divsChild>
            <w:div w:id="430781545">
              <w:marLeft w:val="0"/>
              <w:marRight w:val="0"/>
              <w:marTop w:val="0"/>
              <w:marBottom w:val="0"/>
              <w:divBdr>
                <w:top w:val="none" w:sz="0" w:space="0" w:color="auto"/>
                <w:left w:val="none" w:sz="0" w:space="0" w:color="auto"/>
                <w:bottom w:val="none" w:sz="0" w:space="0" w:color="auto"/>
                <w:right w:val="none" w:sz="0" w:space="0" w:color="auto"/>
              </w:divBdr>
            </w:div>
          </w:divsChild>
        </w:div>
        <w:div w:id="793405713">
          <w:marLeft w:val="0"/>
          <w:marRight w:val="0"/>
          <w:marTop w:val="0"/>
          <w:marBottom w:val="0"/>
          <w:divBdr>
            <w:top w:val="none" w:sz="0" w:space="0" w:color="auto"/>
            <w:left w:val="none" w:sz="0" w:space="0" w:color="auto"/>
            <w:bottom w:val="none" w:sz="0" w:space="0" w:color="auto"/>
            <w:right w:val="none" w:sz="0" w:space="0" w:color="auto"/>
          </w:divBdr>
          <w:divsChild>
            <w:div w:id="1957177988">
              <w:marLeft w:val="0"/>
              <w:marRight w:val="0"/>
              <w:marTop w:val="0"/>
              <w:marBottom w:val="0"/>
              <w:divBdr>
                <w:top w:val="none" w:sz="0" w:space="0" w:color="auto"/>
                <w:left w:val="none" w:sz="0" w:space="0" w:color="auto"/>
                <w:bottom w:val="none" w:sz="0" w:space="0" w:color="auto"/>
                <w:right w:val="none" w:sz="0" w:space="0" w:color="auto"/>
              </w:divBdr>
            </w:div>
          </w:divsChild>
        </w:div>
        <w:div w:id="808592375">
          <w:marLeft w:val="0"/>
          <w:marRight w:val="0"/>
          <w:marTop w:val="0"/>
          <w:marBottom w:val="0"/>
          <w:divBdr>
            <w:top w:val="none" w:sz="0" w:space="0" w:color="auto"/>
            <w:left w:val="none" w:sz="0" w:space="0" w:color="auto"/>
            <w:bottom w:val="none" w:sz="0" w:space="0" w:color="auto"/>
            <w:right w:val="none" w:sz="0" w:space="0" w:color="auto"/>
          </w:divBdr>
          <w:divsChild>
            <w:div w:id="1636527753">
              <w:marLeft w:val="0"/>
              <w:marRight w:val="0"/>
              <w:marTop w:val="0"/>
              <w:marBottom w:val="0"/>
              <w:divBdr>
                <w:top w:val="none" w:sz="0" w:space="0" w:color="auto"/>
                <w:left w:val="none" w:sz="0" w:space="0" w:color="auto"/>
                <w:bottom w:val="none" w:sz="0" w:space="0" w:color="auto"/>
                <w:right w:val="none" w:sz="0" w:space="0" w:color="auto"/>
              </w:divBdr>
            </w:div>
          </w:divsChild>
        </w:div>
        <w:div w:id="812983936">
          <w:marLeft w:val="0"/>
          <w:marRight w:val="0"/>
          <w:marTop w:val="0"/>
          <w:marBottom w:val="0"/>
          <w:divBdr>
            <w:top w:val="none" w:sz="0" w:space="0" w:color="auto"/>
            <w:left w:val="none" w:sz="0" w:space="0" w:color="auto"/>
            <w:bottom w:val="none" w:sz="0" w:space="0" w:color="auto"/>
            <w:right w:val="none" w:sz="0" w:space="0" w:color="auto"/>
          </w:divBdr>
          <w:divsChild>
            <w:div w:id="837234586">
              <w:marLeft w:val="0"/>
              <w:marRight w:val="0"/>
              <w:marTop w:val="0"/>
              <w:marBottom w:val="0"/>
              <w:divBdr>
                <w:top w:val="none" w:sz="0" w:space="0" w:color="auto"/>
                <w:left w:val="none" w:sz="0" w:space="0" w:color="auto"/>
                <w:bottom w:val="none" w:sz="0" w:space="0" w:color="auto"/>
                <w:right w:val="none" w:sz="0" w:space="0" w:color="auto"/>
              </w:divBdr>
            </w:div>
          </w:divsChild>
        </w:div>
        <w:div w:id="817963173">
          <w:marLeft w:val="0"/>
          <w:marRight w:val="0"/>
          <w:marTop w:val="0"/>
          <w:marBottom w:val="0"/>
          <w:divBdr>
            <w:top w:val="none" w:sz="0" w:space="0" w:color="auto"/>
            <w:left w:val="none" w:sz="0" w:space="0" w:color="auto"/>
            <w:bottom w:val="none" w:sz="0" w:space="0" w:color="auto"/>
            <w:right w:val="none" w:sz="0" w:space="0" w:color="auto"/>
          </w:divBdr>
          <w:divsChild>
            <w:div w:id="1036155146">
              <w:marLeft w:val="0"/>
              <w:marRight w:val="0"/>
              <w:marTop w:val="0"/>
              <w:marBottom w:val="0"/>
              <w:divBdr>
                <w:top w:val="none" w:sz="0" w:space="0" w:color="auto"/>
                <w:left w:val="none" w:sz="0" w:space="0" w:color="auto"/>
                <w:bottom w:val="none" w:sz="0" w:space="0" w:color="auto"/>
                <w:right w:val="none" w:sz="0" w:space="0" w:color="auto"/>
              </w:divBdr>
            </w:div>
          </w:divsChild>
        </w:div>
        <w:div w:id="818613260">
          <w:marLeft w:val="0"/>
          <w:marRight w:val="0"/>
          <w:marTop w:val="0"/>
          <w:marBottom w:val="0"/>
          <w:divBdr>
            <w:top w:val="none" w:sz="0" w:space="0" w:color="auto"/>
            <w:left w:val="none" w:sz="0" w:space="0" w:color="auto"/>
            <w:bottom w:val="none" w:sz="0" w:space="0" w:color="auto"/>
            <w:right w:val="none" w:sz="0" w:space="0" w:color="auto"/>
          </w:divBdr>
          <w:divsChild>
            <w:div w:id="227494124">
              <w:marLeft w:val="0"/>
              <w:marRight w:val="0"/>
              <w:marTop w:val="0"/>
              <w:marBottom w:val="0"/>
              <w:divBdr>
                <w:top w:val="none" w:sz="0" w:space="0" w:color="auto"/>
                <w:left w:val="none" w:sz="0" w:space="0" w:color="auto"/>
                <w:bottom w:val="none" w:sz="0" w:space="0" w:color="auto"/>
                <w:right w:val="none" w:sz="0" w:space="0" w:color="auto"/>
              </w:divBdr>
            </w:div>
          </w:divsChild>
        </w:div>
        <w:div w:id="838351482">
          <w:marLeft w:val="0"/>
          <w:marRight w:val="0"/>
          <w:marTop w:val="0"/>
          <w:marBottom w:val="0"/>
          <w:divBdr>
            <w:top w:val="none" w:sz="0" w:space="0" w:color="auto"/>
            <w:left w:val="none" w:sz="0" w:space="0" w:color="auto"/>
            <w:bottom w:val="none" w:sz="0" w:space="0" w:color="auto"/>
            <w:right w:val="none" w:sz="0" w:space="0" w:color="auto"/>
          </w:divBdr>
          <w:divsChild>
            <w:div w:id="1544710840">
              <w:marLeft w:val="0"/>
              <w:marRight w:val="0"/>
              <w:marTop w:val="0"/>
              <w:marBottom w:val="0"/>
              <w:divBdr>
                <w:top w:val="none" w:sz="0" w:space="0" w:color="auto"/>
                <w:left w:val="none" w:sz="0" w:space="0" w:color="auto"/>
                <w:bottom w:val="none" w:sz="0" w:space="0" w:color="auto"/>
                <w:right w:val="none" w:sz="0" w:space="0" w:color="auto"/>
              </w:divBdr>
            </w:div>
          </w:divsChild>
        </w:div>
        <w:div w:id="840970842">
          <w:marLeft w:val="0"/>
          <w:marRight w:val="0"/>
          <w:marTop w:val="0"/>
          <w:marBottom w:val="0"/>
          <w:divBdr>
            <w:top w:val="none" w:sz="0" w:space="0" w:color="auto"/>
            <w:left w:val="none" w:sz="0" w:space="0" w:color="auto"/>
            <w:bottom w:val="none" w:sz="0" w:space="0" w:color="auto"/>
            <w:right w:val="none" w:sz="0" w:space="0" w:color="auto"/>
          </w:divBdr>
          <w:divsChild>
            <w:div w:id="1400053903">
              <w:marLeft w:val="0"/>
              <w:marRight w:val="0"/>
              <w:marTop w:val="0"/>
              <w:marBottom w:val="0"/>
              <w:divBdr>
                <w:top w:val="none" w:sz="0" w:space="0" w:color="auto"/>
                <w:left w:val="none" w:sz="0" w:space="0" w:color="auto"/>
                <w:bottom w:val="none" w:sz="0" w:space="0" w:color="auto"/>
                <w:right w:val="none" w:sz="0" w:space="0" w:color="auto"/>
              </w:divBdr>
            </w:div>
          </w:divsChild>
        </w:div>
        <w:div w:id="845511245">
          <w:marLeft w:val="0"/>
          <w:marRight w:val="0"/>
          <w:marTop w:val="0"/>
          <w:marBottom w:val="0"/>
          <w:divBdr>
            <w:top w:val="none" w:sz="0" w:space="0" w:color="auto"/>
            <w:left w:val="none" w:sz="0" w:space="0" w:color="auto"/>
            <w:bottom w:val="none" w:sz="0" w:space="0" w:color="auto"/>
            <w:right w:val="none" w:sz="0" w:space="0" w:color="auto"/>
          </w:divBdr>
          <w:divsChild>
            <w:div w:id="828789313">
              <w:marLeft w:val="0"/>
              <w:marRight w:val="0"/>
              <w:marTop w:val="0"/>
              <w:marBottom w:val="0"/>
              <w:divBdr>
                <w:top w:val="none" w:sz="0" w:space="0" w:color="auto"/>
                <w:left w:val="none" w:sz="0" w:space="0" w:color="auto"/>
                <w:bottom w:val="none" w:sz="0" w:space="0" w:color="auto"/>
                <w:right w:val="none" w:sz="0" w:space="0" w:color="auto"/>
              </w:divBdr>
            </w:div>
          </w:divsChild>
        </w:div>
        <w:div w:id="852494376">
          <w:marLeft w:val="0"/>
          <w:marRight w:val="0"/>
          <w:marTop w:val="0"/>
          <w:marBottom w:val="0"/>
          <w:divBdr>
            <w:top w:val="none" w:sz="0" w:space="0" w:color="auto"/>
            <w:left w:val="none" w:sz="0" w:space="0" w:color="auto"/>
            <w:bottom w:val="none" w:sz="0" w:space="0" w:color="auto"/>
            <w:right w:val="none" w:sz="0" w:space="0" w:color="auto"/>
          </w:divBdr>
          <w:divsChild>
            <w:div w:id="1989049587">
              <w:marLeft w:val="0"/>
              <w:marRight w:val="0"/>
              <w:marTop w:val="0"/>
              <w:marBottom w:val="0"/>
              <w:divBdr>
                <w:top w:val="none" w:sz="0" w:space="0" w:color="auto"/>
                <w:left w:val="none" w:sz="0" w:space="0" w:color="auto"/>
                <w:bottom w:val="none" w:sz="0" w:space="0" w:color="auto"/>
                <w:right w:val="none" w:sz="0" w:space="0" w:color="auto"/>
              </w:divBdr>
            </w:div>
          </w:divsChild>
        </w:div>
        <w:div w:id="852494732">
          <w:marLeft w:val="0"/>
          <w:marRight w:val="0"/>
          <w:marTop w:val="0"/>
          <w:marBottom w:val="0"/>
          <w:divBdr>
            <w:top w:val="none" w:sz="0" w:space="0" w:color="auto"/>
            <w:left w:val="none" w:sz="0" w:space="0" w:color="auto"/>
            <w:bottom w:val="none" w:sz="0" w:space="0" w:color="auto"/>
            <w:right w:val="none" w:sz="0" w:space="0" w:color="auto"/>
          </w:divBdr>
          <w:divsChild>
            <w:div w:id="2034766413">
              <w:marLeft w:val="0"/>
              <w:marRight w:val="0"/>
              <w:marTop w:val="0"/>
              <w:marBottom w:val="0"/>
              <w:divBdr>
                <w:top w:val="none" w:sz="0" w:space="0" w:color="auto"/>
                <w:left w:val="none" w:sz="0" w:space="0" w:color="auto"/>
                <w:bottom w:val="none" w:sz="0" w:space="0" w:color="auto"/>
                <w:right w:val="none" w:sz="0" w:space="0" w:color="auto"/>
              </w:divBdr>
            </w:div>
          </w:divsChild>
        </w:div>
        <w:div w:id="853112774">
          <w:marLeft w:val="0"/>
          <w:marRight w:val="0"/>
          <w:marTop w:val="0"/>
          <w:marBottom w:val="0"/>
          <w:divBdr>
            <w:top w:val="none" w:sz="0" w:space="0" w:color="auto"/>
            <w:left w:val="none" w:sz="0" w:space="0" w:color="auto"/>
            <w:bottom w:val="none" w:sz="0" w:space="0" w:color="auto"/>
            <w:right w:val="none" w:sz="0" w:space="0" w:color="auto"/>
          </w:divBdr>
          <w:divsChild>
            <w:div w:id="1174801323">
              <w:marLeft w:val="0"/>
              <w:marRight w:val="0"/>
              <w:marTop w:val="0"/>
              <w:marBottom w:val="0"/>
              <w:divBdr>
                <w:top w:val="none" w:sz="0" w:space="0" w:color="auto"/>
                <w:left w:val="none" w:sz="0" w:space="0" w:color="auto"/>
                <w:bottom w:val="none" w:sz="0" w:space="0" w:color="auto"/>
                <w:right w:val="none" w:sz="0" w:space="0" w:color="auto"/>
              </w:divBdr>
            </w:div>
          </w:divsChild>
        </w:div>
        <w:div w:id="861818630">
          <w:marLeft w:val="0"/>
          <w:marRight w:val="0"/>
          <w:marTop w:val="0"/>
          <w:marBottom w:val="0"/>
          <w:divBdr>
            <w:top w:val="none" w:sz="0" w:space="0" w:color="auto"/>
            <w:left w:val="none" w:sz="0" w:space="0" w:color="auto"/>
            <w:bottom w:val="none" w:sz="0" w:space="0" w:color="auto"/>
            <w:right w:val="none" w:sz="0" w:space="0" w:color="auto"/>
          </w:divBdr>
          <w:divsChild>
            <w:div w:id="1274825287">
              <w:marLeft w:val="0"/>
              <w:marRight w:val="0"/>
              <w:marTop w:val="0"/>
              <w:marBottom w:val="0"/>
              <w:divBdr>
                <w:top w:val="none" w:sz="0" w:space="0" w:color="auto"/>
                <w:left w:val="none" w:sz="0" w:space="0" w:color="auto"/>
                <w:bottom w:val="none" w:sz="0" w:space="0" w:color="auto"/>
                <w:right w:val="none" w:sz="0" w:space="0" w:color="auto"/>
              </w:divBdr>
            </w:div>
          </w:divsChild>
        </w:div>
        <w:div w:id="864174330">
          <w:marLeft w:val="0"/>
          <w:marRight w:val="0"/>
          <w:marTop w:val="0"/>
          <w:marBottom w:val="0"/>
          <w:divBdr>
            <w:top w:val="none" w:sz="0" w:space="0" w:color="auto"/>
            <w:left w:val="none" w:sz="0" w:space="0" w:color="auto"/>
            <w:bottom w:val="none" w:sz="0" w:space="0" w:color="auto"/>
            <w:right w:val="none" w:sz="0" w:space="0" w:color="auto"/>
          </w:divBdr>
          <w:divsChild>
            <w:div w:id="831600268">
              <w:marLeft w:val="0"/>
              <w:marRight w:val="0"/>
              <w:marTop w:val="0"/>
              <w:marBottom w:val="0"/>
              <w:divBdr>
                <w:top w:val="none" w:sz="0" w:space="0" w:color="auto"/>
                <w:left w:val="none" w:sz="0" w:space="0" w:color="auto"/>
                <w:bottom w:val="none" w:sz="0" w:space="0" w:color="auto"/>
                <w:right w:val="none" w:sz="0" w:space="0" w:color="auto"/>
              </w:divBdr>
            </w:div>
          </w:divsChild>
        </w:div>
        <w:div w:id="867448851">
          <w:marLeft w:val="0"/>
          <w:marRight w:val="0"/>
          <w:marTop w:val="0"/>
          <w:marBottom w:val="0"/>
          <w:divBdr>
            <w:top w:val="none" w:sz="0" w:space="0" w:color="auto"/>
            <w:left w:val="none" w:sz="0" w:space="0" w:color="auto"/>
            <w:bottom w:val="none" w:sz="0" w:space="0" w:color="auto"/>
            <w:right w:val="none" w:sz="0" w:space="0" w:color="auto"/>
          </w:divBdr>
          <w:divsChild>
            <w:div w:id="1487471981">
              <w:marLeft w:val="0"/>
              <w:marRight w:val="0"/>
              <w:marTop w:val="0"/>
              <w:marBottom w:val="0"/>
              <w:divBdr>
                <w:top w:val="none" w:sz="0" w:space="0" w:color="auto"/>
                <w:left w:val="none" w:sz="0" w:space="0" w:color="auto"/>
                <w:bottom w:val="none" w:sz="0" w:space="0" w:color="auto"/>
                <w:right w:val="none" w:sz="0" w:space="0" w:color="auto"/>
              </w:divBdr>
            </w:div>
          </w:divsChild>
        </w:div>
        <w:div w:id="877399737">
          <w:marLeft w:val="0"/>
          <w:marRight w:val="0"/>
          <w:marTop w:val="0"/>
          <w:marBottom w:val="0"/>
          <w:divBdr>
            <w:top w:val="none" w:sz="0" w:space="0" w:color="auto"/>
            <w:left w:val="none" w:sz="0" w:space="0" w:color="auto"/>
            <w:bottom w:val="none" w:sz="0" w:space="0" w:color="auto"/>
            <w:right w:val="none" w:sz="0" w:space="0" w:color="auto"/>
          </w:divBdr>
          <w:divsChild>
            <w:div w:id="262499347">
              <w:marLeft w:val="0"/>
              <w:marRight w:val="0"/>
              <w:marTop w:val="0"/>
              <w:marBottom w:val="0"/>
              <w:divBdr>
                <w:top w:val="none" w:sz="0" w:space="0" w:color="auto"/>
                <w:left w:val="none" w:sz="0" w:space="0" w:color="auto"/>
                <w:bottom w:val="none" w:sz="0" w:space="0" w:color="auto"/>
                <w:right w:val="none" w:sz="0" w:space="0" w:color="auto"/>
              </w:divBdr>
            </w:div>
          </w:divsChild>
        </w:div>
        <w:div w:id="881555607">
          <w:marLeft w:val="0"/>
          <w:marRight w:val="0"/>
          <w:marTop w:val="0"/>
          <w:marBottom w:val="0"/>
          <w:divBdr>
            <w:top w:val="none" w:sz="0" w:space="0" w:color="auto"/>
            <w:left w:val="none" w:sz="0" w:space="0" w:color="auto"/>
            <w:bottom w:val="none" w:sz="0" w:space="0" w:color="auto"/>
            <w:right w:val="none" w:sz="0" w:space="0" w:color="auto"/>
          </w:divBdr>
          <w:divsChild>
            <w:div w:id="468133822">
              <w:marLeft w:val="0"/>
              <w:marRight w:val="0"/>
              <w:marTop w:val="0"/>
              <w:marBottom w:val="0"/>
              <w:divBdr>
                <w:top w:val="none" w:sz="0" w:space="0" w:color="auto"/>
                <w:left w:val="none" w:sz="0" w:space="0" w:color="auto"/>
                <w:bottom w:val="none" w:sz="0" w:space="0" w:color="auto"/>
                <w:right w:val="none" w:sz="0" w:space="0" w:color="auto"/>
              </w:divBdr>
            </w:div>
          </w:divsChild>
        </w:div>
        <w:div w:id="893353467">
          <w:marLeft w:val="0"/>
          <w:marRight w:val="0"/>
          <w:marTop w:val="0"/>
          <w:marBottom w:val="0"/>
          <w:divBdr>
            <w:top w:val="none" w:sz="0" w:space="0" w:color="auto"/>
            <w:left w:val="none" w:sz="0" w:space="0" w:color="auto"/>
            <w:bottom w:val="none" w:sz="0" w:space="0" w:color="auto"/>
            <w:right w:val="none" w:sz="0" w:space="0" w:color="auto"/>
          </w:divBdr>
          <w:divsChild>
            <w:div w:id="938490098">
              <w:marLeft w:val="0"/>
              <w:marRight w:val="0"/>
              <w:marTop w:val="0"/>
              <w:marBottom w:val="0"/>
              <w:divBdr>
                <w:top w:val="none" w:sz="0" w:space="0" w:color="auto"/>
                <w:left w:val="none" w:sz="0" w:space="0" w:color="auto"/>
                <w:bottom w:val="none" w:sz="0" w:space="0" w:color="auto"/>
                <w:right w:val="none" w:sz="0" w:space="0" w:color="auto"/>
              </w:divBdr>
            </w:div>
          </w:divsChild>
        </w:div>
        <w:div w:id="896669385">
          <w:marLeft w:val="0"/>
          <w:marRight w:val="0"/>
          <w:marTop w:val="0"/>
          <w:marBottom w:val="0"/>
          <w:divBdr>
            <w:top w:val="none" w:sz="0" w:space="0" w:color="auto"/>
            <w:left w:val="none" w:sz="0" w:space="0" w:color="auto"/>
            <w:bottom w:val="none" w:sz="0" w:space="0" w:color="auto"/>
            <w:right w:val="none" w:sz="0" w:space="0" w:color="auto"/>
          </w:divBdr>
          <w:divsChild>
            <w:div w:id="1444106691">
              <w:marLeft w:val="0"/>
              <w:marRight w:val="0"/>
              <w:marTop w:val="0"/>
              <w:marBottom w:val="0"/>
              <w:divBdr>
                <w:top w:val="none" w:sz="0" w:space="0" w:color="auto"/>
                <w:left w:val="none" w:sz="0" w:space="0" w:color="auto"/>
                <w:bottom w:val="none" w:sz="0" w:space="0" w:color="auto"/>
                <w:right w:val="none" w:sz="0" w:space="0" w:color="auto"/>
              </w:divBdr>
            </w:div>
          </w:divsChild>
        </w:div>
        <w:div w:id="902830329">
          <w:marLeft w:val="0"/>
          <w:marRight w:val="0"/>
          <w:marTop w:val="0"/>
          <w:marBottom w:val="0"/>
          <w:divBdr>
            <w:top w:val="none" w:sz="0" w:space="0" w:color="auto"/>
            <w:left w:val="none" w:sz="0" w:space="0" w:color="auto"/>
            <w:bottom w:val="none" w:sz="0" w:space="0" w:color="auto"/>
            <w:right w:val="none" w:sz="0" w:space="0" w:color="auto"/>
          </w:divBdr>
          <w:divsChild>
            <w:div w:id="257716730">
              <w:marLeft w:val="0"/>
              <w:marRight w:val="0"/>
              <w:marTop w:val="0"/>
              <w:marBottom w:val="0"/>
              <w:divBdr>
                <w:top w:val="none" w:sz="0" w:space="0" w:color="auto"/>
                <w:left w:val="none" w:sz="0" w:space="0" w:color="auto"/>
                <w:bottom w:val="none" w:sz="0" w:space="0" w:color="auto"/>
                <w:right w:val="none" w:sz="0" w:space="0" w:color="auto"/>
              </w:divBdr>
            </w:div>
          </w:divsChild>
        </w:div>
        <w:div w:id="903414861">
          <w:marLeft w:val="0"/>
          <w:marRight w:val="0"/>
          <w:marTop w:val="0"/>
          <w:marBottom w:val="0"/>
          <w:divBdr>
            <w:top w:val="none" w:sz="0" w:space="0" w:color="auto"/>
            <w:left w:val="none" w:sz="0" w:space="0" w:color="auto"/>
            <w:bottom w:val="none" w:sz="0" w:space="0" w:color="auto"/>
            <w:right w:val="none" w:sz="0" w:space="0" w:color="auto"/>
          </w:divBdr>
          <w:divsChild>
            <w:div w:id="835344745">
              <w:marLeft w:val="0"/>
              <w:marRight w:val="0"/>
              <w:marTop w:val="0"/>
              <w:marBottom w:val="0"/>
              <w:divBdr>
                <w:top w:val="none" w:sz="0" w:space="0" w:color="auto"/>
                <w:left w:val="none" w:sz="0" w:space="0" w:color="auto"/>
                <w:bottom w:val="none" w:sz="0" w:space="0" w:color="auto"/>
                <w:right w:val="none" w:sz="0" w:space="0" w:color="auto"/>
              </w:divBdr>
            </w:div>
          </w:divsChild>
        </w:div>
        <w:div w:id="929701312">
          <w:marLeft w:val="0"/>
          <w:marRight w:val="0"/>
          <w:marTop w:val="0"/>
          <w:marBottom w:val="0"/>
          <w:divBdr>
            <w:top w:val="none" w:sz="0" w:space="0" w:color="auto"/>
            <w:left w:val="none" w:sz="0" w:space="0" w:color="auto"/>
            <w:bottom w:val="none" w:sz="0" w:space="0" w:color="auto"/>
            <w:right w:val="none" w:sz="0" w:space="0" w:color="auto"/>
          </w:divBdr>
          <w:divsChild>
            <w:div w:id="1691686958">
              <w:marLeft w:val="0"/>
              <w:marRight w:val="0"/>
              <w:marTop w:val="0"/>
              <w:marBottom w:val="0"/>
              <w:divBdr>
                <w:top w:val="none" w:sz="0" w:space="0" w:color="auto"/>
                <w:left w:val="none" w:sz="0" w:space="0" w:color="auto"/>
                <w:bottom w:val="none" w:sz="0" w:space="0" w:color="auto"/>
                <w:right w:val="none" w:sz="0" w:space="0" w:color="auto"/>
              </w:divBdr>
            </w:div>
          </w:divsChild>
        </w:div>
        <w:div w:id="933168520">
          <w:marLeft w:val="0"/>
          <w:marRight w:val="0"/>
          <w:marTop w:val="0"/>
          <w:marBottom w:val="0"/>
          <w:divBdr>
            <w:top w:val="none" w:sz="0" w:space="0" w:color="auto"/>
            <w:left w:val="none" w:sz="0" w:space="0" w:color="auto"/>
            <w:bottom w:val="none" w:sz="0" w:space="0" w:color="auto"/>
            <w:right w:val="none" w:sz="0" w:space="0" w:color="auto"/>
          </w:divBdr>
          <w:divsChild>
            <w:div w:id="1513031862">
              <w:marLeft w:val="0"/>
              <w:marRight w:val="0"/>
              <w:marTop w:val="0"/>
              <w:marBottom w:val="0"/>
              <w:divBdr>
                <w:top w:val="none" w:sz="0" w:space="0" w:color="auto"/>
                <w:left w:val="none" w:sz="0" w:space="0" w:color="auto"/>
                <w:bottom w:val="none" w:sz="0" w:space="0" w:color="auto"/>
                <w:right w:val="none" w:sz="0" w:space="0" w:color="auto"/>
              </w:divBdr>
            </w:div>
          </w:divsChild>
        </w:div>
        <w:div w:id="944265026">
          <w:marLeft w:val="0"/>
          <w:marRight w:val="0"/>
          <w:marTop w:val="0"/>
          <w:marBottom w:val="0"/>
          <w:divBdr>
            <w:top w:val="none" w:sz="0" w:space="0" w:color="auto"/>
            <w:left w:val="none" w:sz="0" w:space="0" w:color="auto"/>
            <w:bottom w:val="none" w:sz="0" w:space="0" w:color="auto"/>
            <w:right w:val="none" w:sz="0" w:space="0" w:color="auto"/>
          </w:divBdr>
          <w:divsChild>
            <w:div w:id="1531797949">
              <w:marLeft w:val="0"/>
              <w:marRight w:val="0"/>
              <w:marTop w:val="0"/>
              <w:marBottom w:val="0"/>
              <w:divBdr>
                <w:top w:val="none" w:sz="0" w:space="0" w:color="auto"/>
                <w:left w:val="none" w:sz="0" w:space="0" w:color="auto"/>
                <w:bottom w:val="none" w:sz="0" w:space="0" w:color="auto"/>
                <w:right w:val="none" w:sz="0" w:space="0" w:color="auto"/>
              </w:divBdr>
            </w:div>
          </w:divsChild>
        </w:div>
        <w:div w:id="948508250">
          <w:marLeft w:val="0"/>
          <w:marRight w:val="0"/>
          <w:marTop w:val="0"/>
          <w:marBottom w:val="0"/>
          <w:divBdr>
            <w:top w:val="none" w:sz="0" w:space="0" w:color="auto"/>
            <w:left w:val="none" w:sz="0" w:space="0" w:color="auto"/>
            <w:bottom w:val="none" w:sz="0" w:space="0" w:color="auto"/>
            <w:right w:val="none" w:sz="0" w:space="0" w:color="auto"/>
          </w:divBdr>
          <w:divsChild>
            <w:div w:id="2053994909">
              <w:marLeft w:val="0"/>
              <w:marRight w:val="0"/>
              <w:marTop w:val="0"/>
              <w:marBottom w:val="0"/>
              <w:divBdr>
                <w:top w:val="none" w:sz="0" w:space="0" w:color="auto"/>
                <w:left w:val="none" w:sz="0" w:space="0" w:color="auto"/>
                <w:bottom w:val="none" w:sz="0" w:space="0" w:color="auto"/>
                <w:right w:val="none" w:sz="0" w:space="0" w:color="auto"/>
              </w:divBdr>
            </w:div>
          </w:divsChild>
        </w:div>
        <w:div w:id="948701204">
          <w:marLeft w:val="0"/>
          <w:marRight w:val="0"/>
          <w:marTop w:val="0"/>
          <w:marBottom w:val="0"/>
          <w:divBdr>
            <w:top w:val="none" w:sz="0" w:space="0" w:color="auto"/>
            <w:left w:val="none" w:sz="0" w:space="0" w:color="auto"/>
            <w:bottom w:val="none" w:sz="0" w:space="0" w:color="auto"/>
            <w:right w:val="none" w:sz="0" w:space="0" w:color="auto"/>
          </w:divBdr>
          <w:divsChild>
            <w:div w:id="1334801778">
              <w:marLeft w:val="0"/>
              <w:marRight w:val="0"/>
              <w:marTop w:val="0"/>
              <w:marBottom w:val="0"/>
              <w:divBdr>
                <w:top w:val="none" w:sz="0" w:space="0" w:color="auto"/>
                <w:left w:val="none" w:sz="0" w:space="0" w:color="auto"/>
                <w:bottom w:val="none" w:sz="0" w:space="0" w:color="auto"/>
                <w:right w:val="none" w:sz="0" w:space="0" w:color="auto"/>
              </w:divBdr>
            </w:div>
          </w:divsChild>
        </w:div>
        <w:div w:id="953903289">
          <w:marLeft w:val="0"/>
          <w:marRight w:val="0"/>
          <w:marTop w:val="0"/>
          <w:marBottom w:val="0"/>
          <w:divBdr>
            <w:top w:val="none" w:sz="0" w:space="0" w:color="auto"/>
            <w:left w:val="none" w:sz="0" w:space="0" w:color="auto"/>
            <w:bottom w:val="none" w:sz="0" w:space="0" w:color="auto"/>
            <w:right w:val="none" w:sz="0" w:space="0" w:color="auto"/>
          </w:divBdr>
          <w:divsChild>
            <w:div w:id="1914076387">
              <w:marLeft w:val="0"/>
              <w:marRight w:val="0"/>
              <w:marTop w:val="0"/>
              <w:marBottom w:val="0"/>
              <w:divBdr>
                <w:top w:val="none" w:sz="0" w:space="0" w:color="auto"/>
                <w:left w:val="none" w:sz="0" w:space="0" w:color="auto"/>
                <w:bottom w:val="none" w:sz="0" w:space="0" w:color="auto"/>
                <w:right w:val="none" w:sz="0" w:space="0" w:color="auto"/>
              </w:divBdr>
            </w:div>
          </w:divsChild>
        </w:div>
        <w:div w:id="955789205">
          <w:marLeft w:val="0"/>
          <w:marRight w:val="0"/>
          <w:marTop w:val="0"/>
          <w:marBottom w:val="0"/>
          <w:divBdr>
            <w:top w:val="none" w:sz="0" w:space="0" w:color="auto"/>
            <w:left w:val="none" w:sz="0" w:space="0" w:color="auto"/>
            <w:bottom w:val="none" w:sz="0" w:space="0" w:color="auto"/>
            <w:right w:val="none" w:sz="0" w:space="0" w:color="auto"/>
          </w:divBdr>
          <w:divsChild>
            <w:div w:id="372583679">
              <w:marLeft w:val="0"/>
              <w:marRight w:val="0"/>
              <w:marTop w:val="0"/>
              <w:marBottom w:val="0"/>
              <w:divBdr>
                <w:top w:val="none" w:sz="0" w:space="0" w:color="auto"/>
                <w:left w:val="none" w:sz="0" w:space="0" w:color="auto"/>
                <w:bottom w:val="none" w:sz="0" w:space="0" w:color="auto"/>
                <w:right w:val="none" w:sz="0" w:space="0" w:color="auto"/>
              </w:divBdr>
            </w:div>
          </w:divsChild>
        </w:div>
        <w:div w:id="957837278">
          <w:marLeft w:val="0"/>
          <w:marRight w:val="0"/>
          <w:marTop w:val="0"/>
          <w:marBottom w:val="0"/>
          <w:divBdr>
            <w:top w:val="none" w:sz="0" w:space="0" w:color="auto"/>
            <w:left w:val="none" w:sz="0" w:space="0" w:color="auto"/>
            <w:bottom w:val="none" w:sz="0" w:space="0" w:color="auto"/>
            <w:right w:val="none" w:sz="0" w:space="0" w:color="auto"/>
          </w:divBdr>
          <w:divsChild>
            <w:div w:id="917714449">
              <w:marLeft w:val="0"/>
              <w:marRight w:val="0"/>
              <w:marTop w:val="0"/>
              <w:marBottom w:val="0"/>
              <w:divBdr>
                <w:top w:val="none" w:sz="0" w:space="0" w:color="auto"/>
                <w:left w:val="none" w:sz="0" w:space="0" w:color="auto"/>
                <w:bottom w:val="none" w:sz="0" w:space="0" w:color="auto"/>
                <w:right w:val="none" w:sz="0" w:space="0" w:color="auto"/>
              </w:divBdr>
            </w:div>
          </w:divsChild>
        </w:div>
        <w:div w:id="962079517">
          <w:marLeft w:val="0"/>
          <w:marRight w:val="0"/>
          <w:marTop w:val="0"/>
          <w:marBottom w:val="0"/>
          <w:divBdr>
            <w:top w:val="none" w:sz="0" w:space="0" w:color="auto"/>
            <w:left w:val="none" w:sz="0" w:space="0" w:color="auto"/>
            <w:bottom w:val="none" w:sz="0" w:space="0" w:color="auto"/>
            <w:right w:val="none" w:sz="0" w:space="0" w:color="auto"/>
          </w:divBdr>
          <w:divsChild>
            <w:div w:id="1587835300">
              <w:marLeft w:val="0"/>
              <w:marRight w:val="0"/>
              <w:marTop w:val="0"/>
              <w:marBottom w:val="0"/>
              <w:divBdr>
                <w:top w:val="none" w:sz="0" w:space="0" w:color="auto"/>
                <w:left w:val="none" w:sz="0" w:space="0" w:color="auto"/>
                <w:bottom w:val="none" w:sz="0" w:space="0" w:color="auto"/>
                <w:right w:val="none" w:sz="0" w:space="0" w:color="auto"/>
              </w:divBdr>
            </w:div>
          </w:divsChild>
        </w:div>
        <w:div w:id="963652955">
          <w:marLeft w:val="0"/>
          <w:marRight w:val="0"/>
          <w:marTop w:val="0"/>
          <w:marBottom w:val="0"/>
          <w:divBdr>
            <w:top w:val="none" w:sz="0" w:space="0" w:color="auto"/>
            <w:left w:val="none" w:sz="0" w:space="0" w:color="auto"/>
            <w:bottom w:val="none" w:sz="0" w:space="0" w:color="auto"/>
            <w:right w:val="none" w:sz="0" w:space="0" w:color="auto"/>
          </w:divBdr>
          <w:divsChild>
            <w:div w:id="125392944">
              <w:marLeft w:val="0"/>
              <w:marRight w:val="0"/>
              <w:marTop w:val="0"/>
              <w:marBottom w:val="0"/>
              <w:divBdr>
                <w:top w:val="none" w:sz="0" w:space="0" w:color="auto"/>
                <w:left w:val="none" w:sz="0" w:space="0" w:color="auto"/>
                <w:bottom w:val="none" w:sz="0" w:space="0" w:color="auto"/>
                <w:right w:val="none" w:sz="0" w:space="0" w:color="auto"/>
              </w:divBdr>
            </w:div>
          </w:divsChild>
        </w:div>
        <w:div w:id="972711504">
          <w:marLeft w:val="0"/>
          <w:marRight w:val="0"/>
          <w:marTop w:val="0"/>
          <w:marBottom w:val="0"/>
          <w:divBdr>
            <w:top w:val="none" w:sz="0" w:space="0" w:color="auto"/>
            <w:left w:val="none" w:sz="0" w:space="0" w:color="auto"/>
            <w:bottom w:val="none" w:sz="0" w:space="0" w:color="auto"/>
            <w:right w:val="none" w:sz="0" w:space="0" w:color="auto"/>
          </w:divBdr>
          <w:divsChild>
            <w:div w:id="1358117213">
              <w:marLeft w:val="0"/>
              <w:marRight w:val="0"/>
              <w:marTop w:val="0"/>
              <w:marBottom w:val="0"/>
              <w:divBdr>
                <w:top w:val="none" w:sz="0" w:space="0" w:color="auto"/>
                <w:left w:val="none" w:sz="0" w:space="0" w:color="auto"/>
                <w:bottom w:val="none" w:sz="0" w:space="0" w:color="auto"/>
                <w:right w:val="none" w:sz="0" w:space="0" w:color="auto"/>
              </w:divBdr>
            </w:div>
          </w:divsChild>
        </w:div>
        <w:div w:id="977881759">
          <w:marLeft w:val="0"/>
          <w:marRight w:val="0"/>
          <w:marTop w:val="0"/>
          <w:marBottom w:val="0"/>
          <w:divBdr>
            <w:top w:val="none" w:sz="0" w:space="0" w:color="auto"/>
            <w:left w:val="none" w:sz="0" w:space="0" w:color="auto"/>
            <w:bottom w:val="none" w:sz="0" w:space="0" w:color="auto"/>
            <w:right w:val="none" w:sz="0" w:space="0" w:color="auto"/>
          </w:divBdr>
          <w:divsChild>
            <w:div w:id="1026754485">
              <w:marLeft w:val="0"/>
              <w:marRight w:val="0"/>
              <w:marTop w:val="0"/>
              <w:marBottom w:val="0"/>
              <w:divBdr>
                <w:top w:val="none" w:sz="0" w:space="0" w:color="auto"/>
                <w:left w:val="none" w:sz="0" w:space="0" w:color="auto"/>
                <w:bottom w:val="none" w:sz="0" w:space="0" w:color="auto"/>
                <w:right w:val="none" w:sz="0" w:space="0" w:color="auto"/>
              </w:divBdr>
            </w:div>
          </w:divsChild>
        </w:div>
        <w:div w:id="1008752458">
          <w:marLeft w:val="0"/>
          <w:marRight w:val="0"/>
          <w:marTop w:val="0"/>
          <w:marBottom w:val="0"/>
          <w:divBdr>
            <w:top w:val="none" w:sz="0" w:space="0" w:color="auto"/>
            <w:left w:val="none" w:sz="0" w:space="0" w:color="auto"/>
            <w:bottom w:val="none" w:sz="0" w:space="0" w:color="auto"/>
            <w:right w:val="none" w:sz="0" w:space="0" w:color="auto"/>
          </w:divBdr>
          <w:divsChild>
            <w:div w:id="1875337885">
              <w:marLeft w:val="0"/>
              <w:marRight w:val="0"/>
              <w:marTop w:val="0"/>
              <w:marBottom w:val="0"/>
              <w:divBdr>
                <w:top w:val="none" w:sz="0" w:space="0" w:color="auto"/>
                <w:left w:val="none" w:sz="0" w:space="0" w:color="auto"/>
                <w:bottom w:val="none" w:sz="0" w:space="0" w:color="auto"/>
                <w:right w:val="none" w:sz="0" w:space="0" w:color="auto"/>
              </w:divBdr>
            </w:div>
          </w:divsChild>
        </w:div>
        <w:div w:id="1010060500">
          <w:marLeft w:val="0"/>
          <w:marRight w:val="0"/>
          <w:marTop w:val="0"/>
          <w:marBottom w:val="0"/>
          <w:divBdr>
            <w:top w:val="none" w:sz="0" w:space="0" w:color="auto"/>
            <w:left w:val="none" w:sz="0" w:space="0" w:color="auto"/>
            <w:bottom w:val="none" w:sz="0" w:space="0" w:color="auto"/>
            <w:right w:val="none" w:sz="0" w:space="0" w:color="auto"/>
          </w:divBdr>
          <w:divsChild>
            <w:div w:id="97529881">
              <w:marLeft w:val="0"/>
              <w:marRight w:val="0"/>
              <w:marTop w:val="0"/>
              <w:marBottom w:val="0"/>
              <w:divBdr>
                <w:top w:val="none" w:sz="0" w:space="0" w:color="auto"/>
                <w:left w:val="none" w:sz="0" w:space="0" w:color="auto"/>
                <w:bottom w:val="none" w:sz="0" w:space="0" w:color="auto"/>
                <w:right w:val="none" w:sz="0" w:space="0" w:color="auto"/>
              </w:divBdr>
            </w:div>
          </w:divsChild>
        </w:div>
        <w:div w:id="1016351743">
          <w:marLeft w:val="0"/>
          <w:marRight w:val="0"/>
          <w:marTop w:val="0"/>
          <w:marBottom w:val="0"/>
          <w:divBdr>
            <w:top w:val="none" w:sz="0" w:space="0" w:color="auto"/>
            <w:left w:val="none" w:sz="0" w:space="0" w:color="auto"/>
            <w:bottom w:val="none" w:sz="0" w:space="0" w:color="auto"/>
            <w:right w:val="none" w:sz="0" w:space="0" w:color="auto"/>
          </w:divBdr>
          <w:divsChild>
            <w:div w:id="98720817">
              <w:marLeft w:val="0"/>
              <w:marRight w:val="0"/>
              <w:marTop w:val="0"/>
              <w:marBottom w:val="0"/>
              <w:divBdr>
                <w:top w:val="none" w:sz="0" w:space="0" w:color="auto"/>
                <w:left w:val="none" w:sz="0" w:space="0" w:color="auto"/>
                <w:bottom w:val="none" w:sz="0" w:space="0" w:color="auto"/>
                <w:right w:val="none" w:sz="0" w:space="0" w:color="auto"/>
              </w:divBdr>
            </w:div>
            <w:div w:id="720056338">
              <w:marLeft w:val="0"/>
              <w:marRight w:val="0"/>
              <w:marTop w:val="0"/>
              <w:marBottom w:val="0"/>
              <w:divBdr>
                <w:top w:val="none" w:sz="0" w:space="0" w:color="auto"/>
                <w:left w:val="none" w:sz="0" w:space="0" w:color="auto"/>
                <w:bottom w:val="none" w:sz="0" w:space="0" w:color="auto"/>
                <w:right w:val="none" w:sz="0" w:space="0" w:color="auto"/>
              </w:divBdr>
            </w:div>
            <w:div w:id="1613777526">
              <w:marLeft w:val="0"/>
              <w:marRight w:val="0"/>
              <w:marTop w:val="0"/>
              <w:marBottom w:val="0"/>
              <w:divBdr>
                <w:top w:val="none" w:sz="0" w:space="0" w:color="auto"/>
                <w:left w:val="none" w:sz="0" w:space="0" w:color="auto"/>
                <w:bottom w:val="none" w:sz="0" w:space="0" w:color="auto"/>
                <w:right w:val="none" w:sz="0" w:space="0" w:color="auto"/>
              </w:divBdr>
            </w:div>
          </w:divsChild>
        </w:div>
        <w:div w:id="1016929170">
          <w:marLeft w:val="0"/>
          <w:marRight w:val="0"/>
          <w:marTop w:val="0"/>
          <w:marBottom w:val="0"/>
          <w:divBdr>
            <w:top w:val="none" w:sz="0" w:space="0" w:color="auto"/>
            <w:left w:val="none" w:sz="0" w:space="0" w:color="auto"/>
            <w:bottom w:val="none" w:sz="0" w:space="0" w:color="auto"/>
            <w:right w:val="none" w:sz="0" w:space="0" w:color="auto"/>
          </w:divBdr>
          <w:divsChild>
            <w:div w:id="725950111">
              <w:marLeft w:val="0"/>
              <w:marRight w:val="0"/>
              <w:marTop w:val="0"/>
              <w:marBottom w:val="0"/>
              <w:divBdr>
                <w:top w:val="none" w:sz="0" w:space="0" w:color="auto"/>
                <w:left w:val="none" w:sz="0" w:space="0" w:color="auto"/>
                <w:bottom w:val="none" w:sz="0" w:space="0" w:color="auto"/>
                <w:right w:val="none" w:sz="0" w:space="0" w:color="auto"/>
              </w:divBdr>
            </w:div>
          </w:divsChild>
        </w:div>
        <w:div w:id="1019892807">
          <w:marLeft w:val="0"/>
          <w:marRight w:val="0"/>
          <w:marTop w:val="0"/>
          <w:marBottom w:val="0"/>
          <w:divBdr>
            <w:top w:val="none" w:sz="0" w:space="0" w:color="auto"/>
            <w:left w:val="none" w:sz="0" w:space="0" w:color="auto"/>
            <w:bottom w:val="none" w:sz="0" w:space="0" w:color="auto"/>
            <w:right w:val="none" w:sz="0" w:space="0" w:color="auto"/>
          </w:divBdr>
          <w:divsChild>
            <w:div w:id="698702619">
              <w:marLeft w:val="0"/>
              <w:marRight w:val="0"/>
              <w:marTop w:val="0"/>
              <w:marBottom w:val="0"/>
              <w:divBdr>
                <w:top w:val="none" w:sz="0" w:space="0" w:color="auto"/>
                <w:left w:val="none" w:sz="0" w:space="0" w:color="auto"/>
                <w:bottom w:val="none" w:sz="0" w:space="0" w:color="auto"/>
                <w:right w:val="none" w:sz="0" w:space="0" w:color="auto"/>
              </w:divBdr>
            </w:div>
          </w:divsChild>
        </w:div>
        <w:div w:id="1021971044">
          <w:marLeft w:val="0"/>
          <w:marRight w:val="0"/>
          <w:marTop w:val="0"/>
          <w:marBottom w:val="0"/>
          <w:divBdr>
            <w:top w:val="none" w:sz="0" w:space="0" w:color="auto"/>
            <w:left w:val="none" w:sz="0" w:space="0" w:color="auto"/>
            <w:bottom w:val="none" w:sz="0" w:space="0" w:color="auto"/>
            <w:right w:val="none" w:sz="0" w:space="0" w:color="auto"/>
          </w:divBdr>
          <w:divsChild>
            <w:div w:id="2116511726">
              <w:marLeft w:val="0"/>
              <w:marRight w:val="0"/>
              <w:marTop w:val="0"/>
              <w:marBottom w:val="0"/>
              <w:divBdr>
                <w:top w:val="none" w:sz="0" w:space="0" w:color="auto"/>
                <w:left w:val="none" w:sz="0" w:space="0" w:color="auto"/>
                <w:bottom w:val="none" w:sz="0" w:space="0" w:color="auto"/>
                <w:right w:val="none" w:sz="0" w:space="0" w:color="auto"/>
              </w:divBdr>
            </w:div>
          </w:divsChild>
        </w:div>
        <w:div w:id="1025597779">
          <w:marLeft w:val="0"/>
          <w:marRight w:val="0"/>
          <w:marTop w:val="0"/>
          <w:marBottom w:val="0"/>
          <w:divBdr>
            <w:top w:val="none" w:sz="0" w:space="0" w:color="auto"/>
            <w:left w:val="none" w:sz="0" w:space="0" w:color="auto"/>
            <w:bottom w:val="none" w:sz="0" w:space="0" w:color="auto"/>
            <w:right w:val="none" w:sz="0" w:space="0" w:color="auto"/>
          </w:divBdr>
          <w:divsChild>
            <w:div w:id="1059019600">
              <w:marLeft w:val="0"/>
              <w:marRight w:val="0"/>
              <w:marTop w:val="0"/>
              <w:marBottom w:val="0"/>
              <w:divBdr>
                <w:top w:val="none" w:sz="0" w:space="0" w:color="auto"/>
                <w:left w:val="none" w:sz="0" w:space="0" w:color="auto"/>
                <w:bottom w:val="none" w:sz="0" w:space="0" w:color="auto"/>
                <w:right w:val="none" w:sz="0" w:space="0" w:color="auto"/>
              </w:divBdr>
            </w:div>
          </w:divsChild>
        </w:div>
        <w:div w:id="1036471734">
          <w:marLeft w:val="0"/>
          <w:marRight w:val="0"/>
          <w:marTop w:val="0"/>
          <w:marBottom w:val="0"/>
          <w:divBdr>
            <w:top w:val="none" w:sz="0" w:space="0" w:color="auto"/>
            <w:left w:val="none" w:sz="0" w:space="0" w:color="auto"/>
            <w:bottom w:val="none" w:sz="0" w:space="0" w:color="auto"/>
            <w:right w:val="none" w:sz="0" w:space="0" w:color="auto"/>
          </w:divBdr>
          <w:divsChild>
            <w:div w:id="392121131">
              <w:marLeft w:val="0"/>
              <w:marRight w:val="0"/>
              <w:marTop w:val="0"/>
              <w:marBottom w:val="0"/>
              <w:divBdr>
                <w:top w:val="none" w:sz="0" w:space="0" w:color="auto"/>
                <w:left w:val="none" w:sz="0" w:space="0" w:color="auto"/>
                <w:bottom w:val="none" w:sz="0" w:space="0" w:color="auto"/>
                <w:right w:val="none" w:sz="0" w:space="0" w:color="auto"/>
              </w:divBdr>
            </w:div>
          </w:divsChild>
        </w:div>
        <w:div w:id="1037000457">
          <w:marLeft w:val="0"/>
          <w:marRight w:val="0"/>
          <w:marTop w:val="0"/>
          <w:marBottom w:val="0"/>
          <w:divBdr>
            <w:top w:val="none" w:sz="0" w:space="0" w:color="auto"/>
            <w:left w:val="none" w:sz="0" w:space="0" w:color="auto"/>
            <w:bottom w:val="none" w:sz="0" w:space="0" w:color="auto"/>
            <w:right w:val="none" w:sz="0" w:space="0" w:color="auto"/>
          </w:divBdr>
          <w:divsChild>
            <w:div w:id="63114696">
              <w:marLeft w:val="0"/>
              <w:marRight w:val="0"/>
              <w:marTop w:val="0"/>
              <w:marBottom w:val="0"/>
              <w:divBdr>
                <w:top w:val="none" w:sz="0" w:space="0" w:color="auto"/>
                <w:left w:val="none" w:sz="0" w:space="0" w:color="auto"/>
                <w:bottom w:val="none" w:sz="0" w:space="0" w:color="auto"/>
                <w:right w:val="none" w:sz="0" w:space="0" w:color="auto"/>
              </w:divBdr>
            </w:div>
          </w:divsChild>
        </w:div>
        <w:div w:id="1047677664">
          <w:marLeft w:val="0"/>
          <w:marRight w:val="0"/>
          <w:marTop w:val="0"/>
          <w:marBottom w:val="0"/>
          <w:divBdr>
            <w:top w:val="none" w:sz="0" w:space="0" w:color="auto"/>
            <w:left w:val="none" w:sz="0" w:space="0" w:color="auto"/>
            <w:bottom w:val="none" w:sz="0" w:space="0" w:color="auto"/>
            <w:right w:val="none" w:sz="0" w:space="0" w:color="auto"/>
          </w:divBdr>
          <w:divsChild>
            <w:div w:id="1026324543">
              <w:marLeft w:val="0"/>
              <w:marRight w:val="0"/>
              <w:marTop w:val="0"/>
              <w:marBottom w:val="0"/>
              <w:divBdr>
                <w:top w:val="none" w:sz="0" w:space="0" w:color="auto"/>
                <w:left w:val="none" w:sz="0" w:space="0" w:color="auto"/>
                <w:bottom w:val="none" w:sz="0" w:space="0" w:color="auto"/>
                <w:right w:val="none" w:sz="0" w:space="0" w:color="auto"/>
              </w:divBdr>
            </w:div>
          </w:divsChild>
        </w:div>
        <w:div w:id="1052388044">
          <w:marLeft w:val="0"/>
          <w:marRight w:val="0"/>
          <w:marTop w:val="0"/>
          <w:marBottom w:val="0"/>
          <w:divBdr>
            <w:top w:val="none" w:sz="0" w:space="0" w:color="auto"/>
            <w:left w:val="none" w:sz="0" w:space="0" w:color="auto"/>
            <w:bottom w:val="none" w:sz="0" w:space="0" w:color="auto"/>
            <w:right w:val="none" w:sz="0" w:space="0" w:color="auto"/>
          </w:divBdr>
          <w:divsChild>
            <w:div w:id="1918519743">
              <w:marLeft w:val="0"/>
              <w:marRight w:val="0"/>
              <w:marTop w:val="0"/>
              <w:marBottom w:val="0"/>
              <w:divBdr>
                <w:top w:val="none" w:sz="0" w:space="0" w:color="auto"/>
                <w:left w:val="none" w:sz="0" w:space="0" w:color="auto"/>
                <w:bottom w:val="none" w:sz="0" w:space="0" w:color="auto"/>
                <w:right w:val="none" w:sz="0" w:space="0" w:color="auto"/>
              </w:divBdr>
            </w:div>
          </w:divsChild>
        </w:div>
        <w:div w:id="1062603732">
          <w:marLeft w:val="0"/>
          <w:marRight w:val="0"/>
          <w:marTop w:val="0"/>
          <w:marBottom w:val="0"/>
          <w:divBdr>
            <w:top w:val="none" w:sz="0" w:space="0" w:color="auto"/>
            <w:left w:val="none" w:sz="0" w:space="0" w:color="auto"/>
            <w:bottom w:val="none" w:sz="0" w:space="0" w:color="auto"/>
            <w:right w:val="none" w:sz="0" w:space="0" w:color="auto"/>
          </w:divBdr>
          <w:divsChild>
            <w:div w:id="1707563603">
              <w:marLeft w:val="0"/>
              <w:marRight w:val="0"/>
              <w:marTop w:val="0"/>
              <w:marBottom w:val="0"/>
              <w:divBdr>
                <w:top w:val="none" w:sz="0" w:space="0" w:color="auto"/>
                <w:left w:val="none" w:sz="0" w:space="0" w:color="auto"/>
                <w:bottom w:val="none" w:sz="0" w:space="0" w:color="auto"/>
                <w:right w:val="none" w:sz="0" w:space="0" w:color="auto"/>
              </w:divBdr>
            </w:div>
          </w:divsChild>
        </w:div>
        <w:div w:id="1065181626">
          <w:marLeft w:val="0"/>
          <w:marRight w:val="0"/>
          <w:marTop w:val="0"/>
          <w:marBottom w:val="0"/>
          <w:divBdr>
            <w:top w:val="none" w:sz="0" w:space="0" w:color="auto"/>
            <w:left w:val="none" w:sz="0" w:space="0" w:color="auto"/>
            <w:bottom w:val="none" w:sz="0" w:space="0" w:color="auto"/>
            <w:right w:val="none" w:sz="0" w:space="0" w:color="auto"/>
          </w:divBdr>
          <w:divsChild>
            <w:div w:id="1367178631">
              <w:marLeft w:val="0"/>
              <w:marRight w:val="0"/>
              <w:marTop w:val="0"/>
              <w:marBottom w:val="0"/>
              <w:divBdr>
                <w:top w:val="none" w:sz="0" w:space="0" w:color="auto"/>
                <w:left w:val="none" w:sz="0" w:space="0" w:color="auto"/>
                <w:bottom w:val="none" w:sz="0" w:space="0" w:color="auto"/>
                <w:right w:val="none" w:sz="0" w:space="0" w:color="auto"/>
              </w:divBdr>
            </w:div>
          </w:divsChild>
        </w:div>
        <w:div w:id="1065224258">
          <w:marLeft w:val="0"/>
          <w:marRight w:val="0"/>
          <w:marTop w:val="0"/>
          <w:marBottom w:val="0"/>
          <w:divBdr>
            <w:top w:val="none" w:sz="0" w:space="0" w:color="auto"/>
            <w:left w:val="none" w:sz="0" w:space="0" w:color="auto"/>
            <w:bottom w:val="none" w:sz="0" w:space="0" w:color="auto"/>
            <w:right w:val="none" w:sz="0" w:space="0" w:color="auto"/>
          </w:divBdr>
          <w:divsChild>
            <w:div w:id="2106148877">
              <w:marLeft w:val="0"/>
              <w:marRight w:val="0"/>
              <w:marTop w:val="0"/>
              <w:marBottom w:val="0"/>
              <w:divBdr>
                <w:top w:val="none" w:sz="0" w:space="0" w:color="auto"/>
                <w:left w:val="none" w:sz="0" w:space="0" w:color="auto"/>
                <w:bottom w:val="none" w:sz="0" w:space="0" w:color="auto"/>
                <w:right w:val="none" w:sz="0" w:space="0" w:color="auto"/>
              </w:divBdr>
            </w:div>
          </w:divsChild>
        </w:div>
        <w:div w:id="1068697860">
          <w:marLeft w:val="0"/>
          <w:marRight w:val="0"/>
          <w:marTop w:val="0"/>
          <w:marBottom w:val="0"/>
          <w:divBdr>
            <w:top w:val="none" w:sz="0" w:space="0" w:color="auto"/>
            <w:left w:val="none" w:sz="0" w:space="0" w:color="auto"/>
            <w:bottom w:val="none" w:sz="0" w:space="0" w:color="auto"/>
            <w:right w:val="none" w:sz="0" w:space="0" w:color="auto"/>
          </w:divBdr>
          <w:divsChild>
            <w:div w:id="134373995">
              <w:marLeft w:val="0"/>
              <w:marRight w:val="0"/>
              <w:marTop w:val="0"/>
              <w:marBottom w:val="0"/>
              <w:divBdr>
                <w:top w:val="none" w:sz="0" w:space="0" w:color="auto"/>
                <w:left w:val="none" w:sz="0" w:space="0" w:color="auto"/>
                <w:bottom w:val="none" w:sz="0" w:space="0" w:color="auto"/>
                <w:right w:val="none" w:sz="0" w:space="0" w:color="auto"/>
              </w:divBdr>
            </w:div>
          </w:divsChild>
        </w:div>
        <w:div w:id="1069302495">
          <w:marLeft w:val="0"/>
          <w:marRight w:val="0"/>
          <w:marTop w:val="0"/>
          <w:marBottom w:val="0"/>
          <w:divBdr>
            <w:top w:val="none" w:sz="0" w:space="0" w:color="auto"/>
            <w:left w:val="none" w:sz="0" w:space="0" w:color="auto"/>
            <w:bottom w:val="none" w:sz="0" w:space="0" w:color="auto"/>
            <w:right w:val="none" w:sz="0" w:space="0" w:color="auto"/>
          </w:divBdr>
          <w:divsChild>
            <w:div w:id="1016617088">
              <w:marLeft w:val="0"/>
              <w:marRight w:val="0"/>
              <w:marTop w:val="0"/>
              <w:marBottom w:val="0"/>
              <w:divBdr>
                <w:top w:val="none" w:sz="0" w:space="0" w:color="auto"/>
                <w:left w:val="none" w:sz="0" w:space="0" w:color="auto"/>
                <w:bottom w:val="none" w:sz="0" w:space="0" w:color="auto"/>
                <w:right w:val="none" w:sz="0" w:space="0" w:color="auto"/>
              </w:divBdr>
            </w:div>
            <w:div w:id="1400245157">
              <w:marLeft w:val="0"/>
              <w:marRight w:val="0"/>
              <w:marTop w:val="0"/>
              <w:marBottom w:val="0"/>
              <w:divBdr>
                <w:top w:val="none" w:sz="0" w:space="0" w:color="auto"/>
                <w:left w:val="none" w:sz="0" w:space="0" w:color="auto"/>
                <w:bottom w:val="none" w:sz="0" w:space="0" w:color="auto"/>
                <w:right w:val="none" w:sz="0" w:space="0" w:color="auto"/>
              </w:divBdr>
            </w:div>
            <w:div w:id="1423530188">
              <w:marLeft w:val="0"/>
              <w:marRight w:val="0"/>
              <w:marTop w:val="0"/>
              <w:marBottom w:val="0"/>
              <w:divBdr>
                <w:top w:val="none" w:sz="0" w:space="0" w:color="auto"/>
                <w:left w:val="none" w:sz="0" w:space="0" w:color="auto"/>
                <w:bottom w:val="none" w:sz="0" w:space="0" w:color="auto"/>
                <w:right w:val="none" w:sz="0" w:space="0" w:color="auto"/>
              </w:divBdr>
            </w:div>
          </w:divsChild>
        </w:div>
        <w:div w:id="1070033550">
          <w:marLeft w:val="0"/>
          <w:marRight w:val="0"/>
          <w:marTop w:val="0"/>
          <w:marBottom w:val="0"/>
          <w:divBdr>
            <w:top w:val="none" w:sz="0" w:space="0" w:color="auto"/>
            <w:left w:val="none" w:sz="0" w:space="0" w:color="auto"/>
            <w:bottom w:val="none" w:sz="0" w:space="0" w:color="auto"/>
            <w:right w:val="none" w:sz="0" w:space="0" w:color="auto"/>
          </w:divBdr>
          <w:divsChild>
            <w:div w:id="1241215553">
              <w:marLeft w:val="0"/>
              <w:marRight w:val="0"/>
              <w:marTop w:val="0"/>
              <w:marBottom w:val="0"/>
              <w:divBdr>
                <w:top w:val="none" w:sz="0" w:space="0" w:color="auto"/>
                <w:left w:val="none" w:sz="0" w:space="0" w:color="auto"/>
                <w:bottom w:val="none" w:sz="0" w:space="0" w:color="auto"/>
                <w:right w:val="none" w:sz="0" w:space="0" w:color="auto"/>
              </w:divBdr>
            </w:div>
          </w:divsChild>
        </w:div>
        <w:div w:id="1072703266">
          <w:marLeft w:val="0"/>
          <w:marRight w:val="0"/>
          <w:marTop w:val="0"/>
          <w:marBottom w:val="0"/>
          <w:divBdr>
            <w:top w:val="none" w:sz="0" w:space="0" w:color="auto"/>
            <w:left w:val="none" w:sz="0" w:space="0" w:color="auto"/>
            <w:bottom w:val="none" w:sz="0" w:space="0" w:color="auto"/>
            <w:right w:val="none" w:sz="0" w:space="0" w:color="auto"/>
          </w:divBdr>
          <w:divsChild>
            <w:div w:id="39213563">
              <w:marLeft w:val="0"/>
              <w:marRight w:val="0"/>
              <w:marTop w:val="0"/>
              <w:marBottom w:val="0"/>
              <w:divBdr>
                <w:top w:val="none" w:sz="0" w:space="0" w:color="auto"/>
                <w:left w:val="none" w:sz="0" w:space="0" w:color="auto"/>
                <w:bottom w:val="none" w:sz="0" w:space="0" w:color="auto"/>
                <w:right w:val="none" w:sz="0" w:space="0" w:color="auto"/>
              </w:divBdr>
            </w:div>
            <w:div w:id="437917182">
              <w:marLeft w:val="0"/>
              <w:marRight w:val="0"/>
              <w:marTop w:val="0"/>
              <w:marBottom w:val="0"/>
              <w:divBdr>
                <w:top w:val="none" w:sz="0" w:space="0" w:color="auto"/>
                <w:left w:val="none" w:sz="0" w:space="0" w:color="auto"/>
                <w:bottom w:val="none" w:sz="0" w:space="0" w:color="auto"/>
                <w:right w:val="none" w:sz="0" w:space="0" w:color="auto"/>
              </w:divBdr>
            </w:div>
          </w:divsChild>
        </w:div>
        <w:div w:id="1078862069">
          <w:marLeft w:val="0"/>
          <w:marRight w:val="0"/>
          <w:marTop w:val="0"/>
          <w:marBottom w:val="0"/>
          <w:divBdr>
            <w:top w:val="none" w:sz="0" w:space="0" w:color="auto"/>
            <w:left w:val="none" w:sz="0" w:space="0" w:color="auto"/>
            <w:bottom w:val="none" w:sz="0" w:space="0" w:color="auto"/>
            <w:right w:val="none" w:sz="0" w:space="0" w:color="auto"/>
          </w:divBdr>
          <w:divsChild>
            <w:div w:id="1967854942">
              <w:marLeft w:val="0"/>
              <w:marRight w:val="0"/>
              <w:marTop w:val="0"/>
              <w:marBottom w:val="0"/>
              <w:divBdr>
                <w:top w:val="none" w:sz="0" w:space="0" w:color="auto"/>
                <w:left w:val="none" w:sz="0" w:space="0" w:color="auto"/>
                <w:bottom w:val="none" w:sz="0" w:space="0" w:color="auto"/>
                <w:right w:val="none" w:sz="0" w:space="0" w:color="auto"/>
              </w:divBdr>
            </w:div>
          </w:divsChild>
        </w:div>
        <w:div w:id="1081369238">
          <w:marLeft w:val="0"/>
          <w:marRight w:val="0"/>
          <w:marTop w:val="0"/>
          <w:marBottom w:val="0"/>
          <w:divBdr>
            <w:top w:val="none" w:sz="0" w:space="0" w:color="auto"/>
            <w:left w:val="none" w:sz="0" w:space="0" w:color="auto"/>
            <w:bottom w:val="none" w:sz="0" w:space="0" w:color="auto"/>
            <w:right w:val="none" w:sz="0" w:space="0" w:color="auto"/>
          </w:divBdr>
          <w:divsChild>
            <w:div w:id="1498569342">
              <w:marLeft w:val="0"/>
              <w:marRight w:val="0"/>
              <w:marTop w:val="0"/>
              <w:marBottom w:val="0"/>
              <w:divBdr>
                <w:top w:val="none" w:sz="0" w:space="0" w:color="auto"/>
                <w:left w:val="none" w:sz="0" w:space="0" w:color="auto"/>
                <w:bottom w:val="none" w:sz="0" w:space="0" w:color="auto"/>
                <w:right w:val="none" w:sz="0" w:space="0" w:color="auto"/>
              </w:divBdr>
            </w:div>
          </w:divsChild>
        </w:div>
        <w:div w:id="1081684712">
          <w:marLeft w:val="0"/>
          <w:marRight w:val="0"/>
          <w:marTop w:val="0"/>
          <w:marBottom w:val="0"/>
          <w:divBdr>
            <w:top w:val="none" w:sz="0" w:space="0" w:color="auto"/>
            <w:left w:val="none" w:sz="0" w:space="0" w:color="auto"/>
            <w:bottom w:val="none" w:sz="0" w:space="0" w:color="auto"/>
            <w:right w:val="none" w:sz="0" w:space="0" w:color="auto"/>
          </w:divBdr>
          <w:divsChild>
            <w:div w:id="61296947">
              <w:marLeft w:val="0"/>
              <w:marRight w:val="0"/>
              <w:marTop w:val="0"/>
              <w:marBottom w:val="0"/>
              <w:divBdr>
                <w:top w:val="none" w:sz="0" w:space="0" w:color="auto"/>
                <w:left w:val="none" w:sz="0" w:space="0" w:color="auto"/>
                <w:bottom w:val="none" w:sz="0" w:space="0" w:color="auto"/>
                <w:right w:val="none" w:sz="0" w:space="0" w:color="auto"/>
              </w:divBdr>
            </w:div>
          </w:divsChild>
        </w:div>
        <w:div w:id="1082097540">
          <w:marLeft w:val="0"/>
          <w:marRight w:val="0"/>
          <w:marTop w:val="0"/>
          <w:marBottom w:val="0"/>
          <w:divBdr>
            <w:top w:val="none" w:sz="0" w:space="0" w:color="auto"/>
            <w:left w:val="none" w:sz="0" w:space="0" w:color="auto"/>
            <w:bottom w:val="none" w:sz="0" w:space="0" w:color="auto"/>
            <w:right w:val="none" w:sz="0" w:space="0" w:color="auto"/>
          </w:divBdr>
          <w:divsChild>
            <w:div w:id="573399452">
              <w:marLeft w:val="0"/>
              <w:marRight w:val="0"/>
              <w:marTop w:val="0"/>
              <w:marBottom w:val="0"/>
              <w:divBdr>
                <w:top w:val="none" w:sz="0" w:space="0" w:color="auto"/>
                <w:left w:val="none" w:sz="0" w:space="0" w:color="auto"/>
                <w:bottom w:val="none" w:sz="0" w:space="0" w:color="auto"/>
                <w:right w:val="none" w:sz="0" w:space="0" w:color="auto"/>
              </w:divBdr>
            </w:div>
          </w:divsChild>
        </w:div>
        <w:div w:id="1084297989">
          <w:marLeft w:val="0"/>
          <w:marRight w:val="0"/>
          <w:marTop w:val="0"/>
          <w:marBottom w:val="0"/>
          <w:divBdr>
            <w:top w:val="none" w:sz="0" w:space="0" w:color="auto"/>
            <w:left w:val="none" w:sz="0" w:space="0" w:color="auto"/>
            <w:bottom w:val="none" w:sz="0" w:space="0" w:color="auto"/>
            <w:right w:val="none" w:sz="0" w:space="0" w:color="auto"/>
          </w:divBdr>
          <w:divsChild>
            <w:div w:id="240648360">
              <w:marLeft w:val="0"/>
              <w:marRight w:val="0"/>
              <w:marTop w:val="0"/>
              <w:marBottom w:val="0"/>
              <w:divBdr>
                <w:top w:val="none" w:sz="0" w:space="0" w:color="auto"/>
                <w:left w:val="none" w:sz="0" w:space="0" w:color="auto"/>
                <w:bottom w:val="none" w:sz="0" w:space="0" w:color="auto"/>
                <w:right w:val="none" w:sz="0" w:space="0" w:color="auto"/>
              </w:divBdr>
            </w:div>
          </w:divsChild>
        </w:div>
        <w:div w:id="1087654937">
          <w:marLeft w:val="0"/>
          <w:marRight w:val="0"/>
          <w:marTop w:val="0"/>
          <w:marBottom w:val="0"/>
          <w:divBdr>
            <w:top w:val="none" w:sz="0" w:space="0" w:color="auto"/>
            <w:left w:val="none" w:sz="0" w:space="0" w:color="auto"/>
            <w:bottom w:val="none" w:sz="0" w:space="0" w:color="auto"/>
            <w:right w:val="none" w:sz="0" w:space="0" w:color="auto"/>
          </w:divBdr>
          <w:divsChild>
            <w:div w:id="240876144">
              <w:marLeft w:val="0"/>
              <w:marRight w:val="0"/>
              <w:marTop w:val="0"/>
              <w:marBottom w:val="0"/>
              <w:divBdr>
                <w:top w:val="none" w:sz="0" w:space="0" w:color="auto"/>
                <w:left w:val="none" w:sz="0" w:space="0" w:color="auto"/>
                <w:bottom w:val="none" w:sz="0" w:space="0" w:color="auto"/>
                <w:right w:val="none" w:sz="0" w:space="0" w:color="auto"/>
              </w:divBdr>
            </w:div>
          </w:divsChild>
        </w:div>
        <w:div w:id="1091925044">
          <w:marLeft w:val="0"/>
          <w:marRight w:val="0"/>
          <w:marTop w:val="0"/>
          <w:marBottom w:val="0"/>
          <w:divBdr>
            <w:top w:val="none" w:sz="0" w:space="0" w:color="auto"/>
            <w:left w:val="none" w:sz="0" w:space="0" w:color="auto"/>
            <w:bottom w:val="none" w:sz="0" w:space="0" w:color="auto"/>
            <w:right w:val="none" w:sz="0" w:space="0" w:color="auto"/>
          </w:divBdr>
          <w:divsChild>
            <w:div w:id="1840805981">
              <w:marLeft w:val="0"/>
              <w:marRight w:val="0"/>
              <w:marTop w:val="0"/>
              <w:marBottom w:val="0"/>
              <w:divBdr>
                <w:top w:val="none" w:sz="0" w:space="0" w:color="auto"/>
                <w:left w:val="none" w:sz="0" w:space="0" w:color="auto"/>
                <w:bottom w:val="none" w:sz="0" w:space="0" w:color="auto"/>
                <w:right w:val="none" w:sz="0" w:space="0" w:color="auto"/>
              </w:divBdr>
            </w:div>
          </w:divsChild>
        </w:div>
        <w:div w:id="1102654288">
          <w:marLeft w:val="0"/>
          <w:marRight w:val="0"/>
          <w:marTop w:val="0"/>
          <w:marBottom w:val="0"/>
          <w:divBdr>
            <w:top w:val="none" w:sz="0" w:space="0" w:color="auto"/>
            <w:left w:val="none" w:sz="0" w:space="0" w:color="auto"/>
            <w:bottom w:val="none" w:sz="0" w:space="0" w:color="auto"/>
            <w:right w:val="none" w:sz="0" w:space="0" w:color="auto"/>
          </w:divBdr>
          <w:divsChild>
            <w:div w:id="1481338536">
              <w:marLeft w:val="0"/>
              <w:marRight w:val="0"/>
              <w:marTop w:val="0"/>
              <w:marBottom w:val="0"/>
              <w:divBdr>
                <w:top w:val="none" w:sz="0" w:space="0" w:color="auto"/>
                <w:left w:val="none" w:sz="0" w:space="0" w:color="auto"/>
                <w:bottom w:val="none" w:sz="0" w:space="0" w:color="auto"/>
                <w:right w:val="none" w:sz="0" w:space="0" w:color="auto"/>
              </w:divBdr>
            </w:div>
          </w:divsChild>
        </w:div>
        <w:div w:id="1112749629">
          <w:marLeft w:val="0"/>
          <w:marRight w:val="0"/>
          <w:marTop w:val="0"/>
          <w:marBottom w:val="0"/>
          <w:divBdr>
            <w:top w:val="none" w:sz="0" w:space="0" w:color="auto"/>
            <w:left w:val="none" w:sz="0" w:space="0" w:color="auto"/>
            <w:bottom w:val="none" w:sz="0" w:space="0" w:color="auto"/>
            <w:right w:val="none" w:sz="0" w:space="0" w:color="auto"/>
          </w:divBdr>
          <w:divsChild>
            <w:div w:id="280187985">
              <w:marLeft w:val="0"/>
              <w:marRight w:val="0"/>
              <w:marTop w:val="0"/>
              <w:marBottom w:val="0"/>
              <w:divBdr>
                <w:top w:val="none" w:sz="0" w:space="0" w:color="auto"/>
                <w:left w:val="none" w:sz="0" w:space="0" w:color="auto"/>
                <w:bottom w:val="none" w:sz="0" w:space="0" w:color="auto"/>
                <w:right w:val="none" w:sz="0" w:space="0" w:color="auto"/>
              </w:divBdr>
            </w:div>
          </w:divsChild>
        </w:div>
        <w:div w:id="1114013218">
          <w:marLeft w:val="0"/>
          <w:marRight w:val="0"/>
          <w:marTop w:val="0"/>
          <w:marBottom w:val="0"/>
          <w:divBdr>
            <w:top w:val="none" w:sz="0" w:space="0" w:color="auto"/>
            <w:left w:val="none" w:sz="0" w:space="0" w:color="auto"/>
            <w:bottom w:val="none" w:sz="0" w:space="0" w:color="auto"/>
            <w:right w:val="none" w:sz="0" w:space="0" w:color="auto"/>
          </w:divBdr>
          <w:divsChild>
            <w:div w:id="1553419291">
              <w:marLeft w:val="0"/>
              <w:marRight w:val="0"/>
              <w:marTop w:val="0"/>
              <w:marBottom w:val="0"/>
              <w:divBdr>
                <w:top w:val="none" w:sz="0" w:space="0" w:color="auto"/>
                <w:left w:val="none" w:sz="0" w:space="0" w:color="auto"/>
                <w:bottom w:val="none" w:sz="0" w:space="0" w:color="auto"/>
                <w:right w:val="none" w:sz="0" w:space="0" w:color="auto"/>
              </w:divBdr>
            </w:div>
          </w:divsChild>
        </w:div>
        <w:div w:id="1128862516">
          <w:marLeft w:val="0"/>
          <w:marRight w:val="0"/>
          <w:marTop w:val="0"/>
          <w:marBottom w:val="0"/>
          <w:divBdr>
            <w:top w:val="none" w:sz="0" w:space="0" w:color="auto"/>
            <w:left w:val="none" w:sz="0" w:space="0" w:color="auto"/>
            <w:bottom w:val="none" w:sz="0" w:space="0" w:color="auto"/>
            <w:right w:val="none" w:sz="0" w:space="0" w:color="auto"/>
          </w:divBdr>
          <w:divsChild>
            <w:div w:id="1747848385">
              <w:marLeft w:val="0"/>
              <w:marRight w:val="0"/>
              <w:marTop w:val="0"/>
              <w:marBottom w:val="0"/>
              <w:divBdr>
                <w:top w:val="none" w:sz="0" w:space="0" w:color="auto"/>
                <w:left w:val="none" w:sz="0" w:space="0" w:color="auto"/>
                <w:bottom w:val="none" w:sz="0" w:space="0" w:color="auto"/>
                <w:right w:val="none" w:sz="0" w:space="0" w:color="auto"/>
              </w:divBdr>
            </w:div>
          </w:divsChild>
        </w:div>
        <w:div w:id="1141656401">
          <w:marLeft w:val="0"/>
          <w:marRight w:val="0"/>
          <w:marTop w:val="0"/>
          <w:marBottom w:val="0"/>
          <w:divBdr>
            <w:top w:val="none" w:sz="0" w:space="0" w:color="auto"/>
            <w:left w:val="none" w:sz="0" w:space="0" w:color="auto"/>
            <w:bottom w:val="none" w:sz="0" w:space="0" w:color="auto"/>
            <w:right w:val="none" w:sz="0" w:space="0" w:color="auto"/>
          </w:divBdr>
          <w:divsChild>
            <w:div w:id="1830293934">
              <w:marLeft w:val="0"/>
              <w:marRight w:val="0"/>
              <w:marTop w:val="0"/>
              <w:marBottom w:val="0"/>
              <w:divBdr>
                <w:top w:val="none" w:sz="0" w:space="0" w:color="auto"/>
                <w:left w:val="none" w:sz="0" w:space="0" w:color="auto"/>
                <w:bottom w:val="none" w:sz="0" w:space="0" w:color="auto"/>
                <w:right w:val="none" w:sz="0" w:space="0" w:color="auto"/>
              </w:divBdr>
            </w:div>
          </w:divsChild>
        </w:div>
        <w:div w:id="1155487830">
          <w:marLeft w:val="0"/>
          <w:marRight w:val="0"/>
          <w:marTop w:val="0"/>
          <w:marBottom w:val="0"/>
          <w:divBdr>
            <w:top w:val="none" w:sz="0" w:space="0" w:color="auto"/>
            <w:left w:val="none" w:sz="0" w:space="0" w:color="auto"/>
            <w:bottom w:val="none" w:sz="0" w:space="0" w:color="auto"/>
            <w:right w:val="none" w:sz="0" w:space="0" w:color="auto"/>
          </w:divBdr>
          <w:divsChild>
            <w:div w:id="2010478542">
              <w:marLeft w:val="0"/>
              <w:marRight w:val="0"/>
              <w:marTop w:val="0"/>
              <w:marBottom w:val="0"/>
              <w:divBdr>
                <w:top w:val="none" w:sz="0" w:space="0" w:color="auto"/>
                <w:left w:val="none" w:sz="0" w:space="0" w:color="auto"/>
                <w:bottom w:val="none" w:sz="0" w:space="0" w:color="auto"/>
                <w:right w:val="none" w:sz="0" w:space="0" w:color="auto"/>
              </w:divBdr>
            </w:div>
          </w:divsChild>
        </w:div>
        <w:div w:id="1160737044">
          <w:marLeft w:val="0"/>
          <w:marRight w:val="0"/>
          <w:marTop w:val="0"/>
          <w:marBottom w:val="0"/>
          <w:divBdr>
            <w:top w:val="none" w:sz="0" w:space="0" w:color="auto"/>
            <w:left w:val="none" w:sz="0" w:space="0" w:color="auto"/>
            <w:bottom w:val="none" w:sz="0" w:space="0" w:color="auto"/>
            <w:right w:val="none" w:sz="0" w:space="0" w:color="auto"/>
          </w:divBdr>
          <w:divsChild>
            <w:div w:id="1237784956">
              <w:marLeft w:val="0"/>
              <w:marRight w:val="0"/>
              <w:marTop w:val="0"/>
              <w:marBottom w:val="0"/>
              <w:divBdr>
                <w:top w:val="none" w:sz="0" w:space="0" w:color="auto"/>
                <w:left w:val="none" w:sz="0" w:space="0" w:color="auto"/>
                <w:bottom w:val="none" w:sz="0" w:space="0" w:color="auto"/>
                <w:right w:val="none" w:sz="0" w:space="0" w:color="auto"/>
              </w:divBdr>
            </w:div>
          </w:divsChild>
        </w:div>
        <w:div w:id="1161195756">
          <w:marLeft w:val="0"/>
          <w:marRight w:val="0"/>
          <w:marTop w:val="0"/>
          <w:marBottom w:val="0"/>
          <w:divBdr>
            <w:top w:val="none" w:sz="0" w:space="0" w:color="auto"/>
            <w:left w:val="none" w:sz="0" w:space="0" w:color="auto"/>
            <w:bottom w:val="none" w:sz="0" w:space="0" w:color="auto"/>
            <w:right w:val="none" w:sz="0" w:space="0" w:color="auto"/>
          </w:divBdr>
          <w:divsChild>
            <w:div w:id="1093742310">
              <w:marLeft w:val="0"/>
              <w:marRight w:val="0"/>
              <w:marTop w:val="0"/>
              <w:marBottom w:val="0"/>
              <w:divBdr>
                <w:top w:val="none" w:sz="0" w:space="0" w:color="auto"/>
                <w:left w:val="none" w:sz="0" w:space="0" w:color="auto"/>
                <w:bottom w:val="none" w:sz="0" w:space="0" w:color="auto"/>
                <w:right w:val="none" w:sz="0" w:space="0" w:color="auto"/>
              </w:divBdr>
            </w:div>
          </w:divsChild>
        </w:div>
        <w:div w:id="1163861595">
          <w:marLeft w:val="0"/>
          <w:marRight w:val="0"/>
          <w:marTop w:val="0"/>
          <w:marBottom w:val="0"/>
          <w:divBdr>
            <w:top w:val="none" w:sz="0" w:space="0" w:color="auto"/>
            <w:left w:val="none" w:sz="0" w:space="0" w:color="auto"/>
            <w:bottom w:val="none" w:sz="0" w:space="0" w:color="auto"/>
            <w:right w:val="none" w:sz="0" w:space="0" w:color="auto"/>
          </w:divBdr>
          <w:divsChild>
            <w:div w:id="234553362">
              <w:marLeft w:val="0"/>
              <w:marRight w:val="0"/>
              <w:marTop w:val="0"/>
              <w:marBottom w:val="0"/>
              <w:divBdr>
                <w:top w:val="none" w:sz="0" w:space="0" w:color="auto"/>
                <w:left w:val="none" w:sz="0" w:space="0" w:color="auto"/>
                <w:bottom w:val="none" w:sz="0" w:space="0" w:color="auto"/>
                <w:right w:val="none" w:sz="0" w:space="0" w:color="auto"/>
              </w:divBdr>
            </w:div>
          </w:divsChild>
        </w:div>
        <w:div w:id="1168908132">
          <w:marLeft w:val="0"/>
          <w:marRight w:val="0"/>
          <w:marTop w:val="0"/>
          <w:marBottom w:val="0"/>
          <w:divBdr>
            <w:top w:val="none" w:sz="0" w:space="0" w:color="auto"/>
            <w:left w:val="none" w:sz="0" w:space="0" w:color="auto"/>
            <w:bottom w:val="none" w:sz="0" w:space="0" w:color="auto"/>
            <w:right w:val="none" w:sz="0" w:space="0" w:color="auto"/>
          </w:divBdr>
          <w:divsChild>
            <w:div w:id="1716345644">
              <w:marLeft w:val="0"/>
              <w:marRight w:val="0"/>
              <w:marTop w:val="0"/>
              <w:marBottom w:val="0"/>
              <w:divBdr>
                <w:top w:val="none" w:sz="0" w:space="0" w:color="auto"/>
                <w:left w:val="none" w:sz="0" w:space="0" w:color="auto"/>
                <w:bottom w:val="none" w:sz="0" w:space="0" w:color="auto"/>
                <w:right w:val="none" w:sz="0" w:space="0" w:color="auto"/>
              </w:divBdr>
            </w:div>
          </w:divsChild>
        </w:div>
        <w:div w:id="1174109019">
          <w:marLeft w:val="0"/>
          <w:marRight w:val="0"/>
          <w:marTop w:val="0"/>
          <w:marBottom w:val="0"/>
          <w:divBdr>
            <w:top w:val="none" w:sz="0" w:space="0" w:color="auto"/>
            <w:left w:val="none" w:sz="0" w:space="0" w:color="auto"/>
            <w:bottom w:val="none" w:sz="0" w:space="0" w:color="auto"/>
            <w:right w:val="none" w:sz="0" w:space="0" w:color="auto"/>
          </w:divBdr>
          <w:divsChild>
            <w:div w:id="1242910190">
              <w:marLeft w:val="0"/>
              <w:marRight w:val="0"/>
              <w:marTop w:val="0"/>
              <w:marBottom w:val="0"/>
              <w:divBdr>
                <w:top w:val="none" w:sz="0" w:space="0" w:color="auto"/>
                <w:left w:val="none" w:sz="0" w:space="0" w:color="auto"/>
                <w:bottom w:val="none" w:sz="0" w:space="0" w:color="auto"/>
                <w:right w:val="none" w:sz="0" w:space="0" w:color="auto"/>
              </w:divBdr>
            </w:div>
          </w:divsChild>
        </w:div>
        <w:div w:id="1175651391">
          <w:marLeft w:val="0"/>
          <w:marRight w:val="0"/>
          <w:marTop w:val="0"/>
          <w:marBottom w:val="0"/>
          <w:divBdr>
            <w:top w:val="none" w:sz="0" w:space="0" w:color="auto"/>
            <w:left w:val="none" w:sz="0" w:space="0" w:color="auto"/>
            <w:bottom w:val="none" w:sz="0" w:space="0" w:color="auto"/>
            <w:right w:val="none" w:sz="0" w:space="0" w:color="auto"/>
          </w:divBdr>
          <w:divsChild>
            <w:div w:id="1542398851">
              <w:marLeft w:val="0"/>
              <w:marRight w:val="0"/>
              <w:marTop w:val="0"/>
              <w:marBottom w:val="0"/>
              <w:divBdr>
                <w:top w:val="none" w:sz="0" w:space="0" w:color="auto"/>
                <w:left w:val="none" w:sz="0" w:space="0" w:color="auto"/>
                <w:bottom w:val="none" w:sz="0" w:space="0" w:color="auto"/>
                <w:right w:val="none" w:sz="0" w:space="0" w:color="auto"/>
              </w:divBdr>
            </w:div>
            <w:div w:id="1805807282">
              <w:marLeft w:val="0"/>
              <w:marRight w:val="0"/>
              <w:marTop w:val="0"/>
              <w:marBottom w:val="0"/>
              <w:divBdr>
                <w:top w:val="none" w:sz="0" w:space="0" w:color="auto"/>
                <w:left w:val="none" w:sz="0" w:space="0" w:color="auto"/>
                <w:bottom w:val="none" w:sz="0" w:space="0" w:color="auto"/>
                <w:right w:val="none" w:sz="0" w:space="0" w:color="auto"/>
              </w:divBdr>
            </w:div>
          </w:divsChild>
        </w:div>
        <w:div w:id="1195921103">
          <w:marLeft w:val="0"/>
          <w:marRight w:val="0"/>
          <w:marTop w:val="0"/>
          <w:marBottom w:val="0"/>
          <w:divBdr>
            <w:top w:val="none" w:sz="0" w:space="0" w:color="auto"/>
            <w:left w:val="none" w:sz="0" w:space="0" w:color="auto"/>
            <w:bottom w:val="none" w:sz="0" w:space="0" w:color="auto"/>
            <w:right w:val="none" w:sz="0" w:space="0" w:color="auto"/>
          </w:divBdr>
          <w:divsChild>
            <w:div w:id="1786195546">
              <w:marLeft w:val="0"/>
              <w:marRight w:val="0"/>
              <w:marTop w:val="0"/>
              <w:marBottom w:val="0"/>
              <w:divBdr>
                <w:top w:val="none" w:sz="0" w:space="0" w:color="auto"/>
                <w:left w:val="none" w:sz="0" w:space="0" w:color="auto"/>
                <w:bottom w:val="none" w:sz="0" w:space="0" w:color="auto"/>
                <w:right w:val="none" w:sz="0" w:space="0" w:color="auto"/>
              </w:divBdr>
            </w:div>
          </w:divsChild>
        </w:div>
        <w:div w:id="1197306786">
          <w:marLeft w:val="0"/>
          <w:marRight w:val="0"/>
          <w:marTop w:val="0"/>
          <w:marBottom w:val="0"/>
          <w:divBdr>
            <w:top w:val="none" w:sz="0" w:space="0" w:color="auto"/>
            <w:left w:val="none" w:sz="0" w:space="0" w:color="auto"/>
            <w:bottom w:val="none" w:sz="0" w:space="0" w:color="auto"/>
            <w:right w:val="none" w:sz="0" w:space="0" w:color="auto"/>
          </w:divBdr>
          <w:divsChild>
            <w:div w:id="560025501">
              <w:marLeft w:val="0"/>
              <w:marRight w:val="0"/>
              <w:marTop w:val="0"/>
              <w:marBottom w:val="0"/>
              <w:divBdr>
                <w:top w:val="none" w:sz="0" w:space="0" w:color="auto"/>
                <w:left w:val="none" w:sz="0" w:space="0" w:color="auto"/>
                <w:bottom w:val="none" w:sz="0" w:space="0" w:color="auto"/>
                <w:right w:val="none" w:sz="0" w:space="0" w:color="auto"/>
              </w:divBdr>
            </w:div>
          </w:divsChild>
        </w:div>
        <w:div w:id="1209688771">
          <w:marLeft w:val="0"/>
          <w:marRight w:val="0"/>
          <w:marTop w:val="0"/>
          <w:marBottom w:val="0"/>
          <w:divBdr>
            <w:top w:val="none" w:sz="0" w:space="0" w:color="auto"/>
            <w:left w:val="none" w:sz="0" w:space="0" w:color="auto"/>
            <w:bottom w:val="none" w:sz="0" w:space="0" w:color="auto"/>
            <w:right w:val="none" w:sz="0" w:space="0" w:color="auto"/>
          </w:divBdr>
          <w:divsChild>
            <w:div w:id="845631228">
              <w:marLeft w:val="0"/>
              <w:marRight w:val="0"/>
              <w:marTop w:val="0"/>
              <w:marBottom w:val="0"/>
              <w:divBdr>
                <w:top w:val="none" w:sz="0" w:space="0" w:color="auto"/>
                <w:left w:val="none" w:sz="0" w:space="0" w:color="auto"/>
                <w:bottom w:val="none" w:sz="0" w:space="0" w:color="auto"/>
                <w:right w:val="none" w:sz="0" w:space="0" w:color="auto"/>
              </w:divBdr>
            </w:div>
          </w:divsChild>
        </w:div>
        <w:div w:id="1214851061">
          <w:marLeft w:val="0"/>
          <w:marRight w:val="0"/>
          <w:marTop w:val="0"/>
          <w:marBottom w:val="0"/>
          <w:divBdr>
            <w:top w:val="none" w:sz="0" w:space="0" w:color="auto"/>
            <w:left w:val="none" w:sz="0" w:space="0" w:color="auto"/>
            <w:bottom w:val="none" w:sz="0" w:space="0" w:color="auto"/>
            <w:right w:val="none" w:sz="0" w:space="0" w:color="auto"/>
          </w:divBdr>
          <w:divsChild>
            <w:div w:id="1929652105">
              <w:marLeft w:val="0"/>
              <w:marRight w:val="0"/>
              <w:marTop w:val="0"/>
              <w:marBottom w:val="0"/>
              <w:divBdr>
                <w:top w:val="none" w:sz="0" w:space="0" w:color="auto"/>
                <w:left w:val="none" w:sz="0" w:space="0" w:color="auto"/>
                <w:bottom w:val="none" w:sz="0" w:space="0" w:color="auto"/>
                <w:right w:val="none" w:sz="0" w:space="0" w:color="auto"/>
              </w:divBdr>
            </w:div>
          </w:divsChild>
        </w:div>
        <w:div w:id="1219055011">
          <w:marLeft w:val="0"/>
          <w:marRight w:val="0"/>
          <w:marTop w:val="0"/>
          <w:marBottom w:val="0"/>
          <w:divBdr>
            <w:top w:val="none" w:sz="0" w:space="0" w:color="auto"/>
            <w:left w:val="none" w:sz="0" w:space="0" w:color="auto"/>
            <w:bottom w:val="none" w:sz="0" w:space="0" w:color="auto"/>
            <w:right w:val="none" w:sz="0" w:space="0" w:color="auto"/>
          </w:divBdr>
          <w:divsChild>
            <w:div w:id="1620800155">
              <w:marLeft w:val="0"/>
              <w:marRight w:val="0"/>
              <w:marTop w:val="0"/>
              <w:marBottom w:val="0"/>
              <w:divBdr>
                <w:top w:val="none" w:sz="0" w:space="0" w:color="auto"/>
                <w:left w:val="none" w:sz="0" w:space="0" w:color="auto"/>
                <w:bottom w:val="none" w:sz="0" w:space="0" w:color="auto"/>
                <w:right w:val="none" w:sz="0" w:space="0" w:color="auto"/>
              </w:divBdr>
            </w:div>
          </w:divsChild>
        </w:div>
        <w:div w:id="1245148198">
          <w:marLeft w:val="0"/>
          <w:marRight w:val="0"/>
          <w:marTop w:val="0"/>
          <w:marBottom w:val="0"/>
          <w:divBdr>
            <w:top w:val="none" w:sz="0" w:space="0" w:color="auto"/>
            <w:left w:val="none" w:sz="0" w:space="0" w:color="auto"/>
            <w:bottom w:val="none" w:sz="0" w:space="0" w:color="auto"/>
            <w:right w:val="none" w:sz="0" w:space="0" w:color="auto"/>
          </w:divBdr>
          <w:divsChild>
            <w:div w:id="289744263">
              <w:marLeft w:val="0"/>
              <w:marRight w:val="0"/>
              <w:marTop w:val="0"/>
              <w:marBottom w:val="0"/>
              <w:divBdr>
                <w:top w:val="none" w:sz="0" w:space="0" w:color="auto"/>
                <w:left w:val="none" w:sz="0" w:space="0" w:color="auto"/>
                <w:bottom w:val="none" w:sz="0" w:space="0" w:color="auto"/>
                <w:right w:val="none" w:sz="0" w:space="0" w:color="auto"/>
              </w:divBdr>
            </w:div>
          </w:divsChild>
        </w:div>
        <w:div w:id="1251158891">
          <w:marLeft w:val="0"/>
          <w:marRight w:val="0"/>
          <w:marTop w:val="0"/>
          <w:marBottom w:val="0"/>
          <w:divBdr>
            <w:top w:val="none" w:sz="0" w:space="0" w:color="auto"/>
            <w:left w:val="none" w:sz="0" w:space="0" w:color="auto"/>
            <w:bottom w:val="none" w:sz="0" w:space="0" w:color="auto"/>
            <w:right w:val="none" w:sz="0" w:space="0" w:color="auto"/>
          </w:divBdr>
          <w:divsChild>
            <w:div w:id="1757509012">
              <w:marLeft w:val="0"/>
              <w:marRight w:val="0"/>
              <w:marTop w:val="0"/>
              <w:marBottom w:val="0"/>
              <w:divBdr>
                <w:top w:val="none" w:sz="0" w:space="0" w:color="auto"/>
                <w:left w:val="none" w:sz="0" w:space="0" w:color="auto"/>
                <w:bottom w:val="none" w:sz="0" w:space="0" w:color="auto"/>
                <w:right w:val="none" w:sz="0" w:space="0" w:color="auto"/>
              </w:divBdr>
            </w:div>
          </w:divsChild>
        </w:div>
        <w:div w:id="1259211881">
          <w:marLeft w:val="0"/>
          <w:marRight w:val="0"/>
          <w:marTop w:val="0"/>
          <w:marBottom w:val="0"/>
          <w:divBdr>
            <w:top w:val="none" w:sz="0" w:space="0" w:color="auto"/>
            <w:left w:val="none" w:sz="0" w:space="0" w:color="auto"/>
            <w:bottom w:val="none" w:sz="0" w:space="0" w:color="auto"/>
            <w:right w:val="none" w:sz="0" w:space="0" w:color="auto"/>
          </w:divBdr>
          <w:divsChild>
            <w:div w:id="228465214">
              <w:marLeft w:val="0"/>
              <w:marRight w:val="0"/>
              <w:marTop w:val="0"/>
              <w:marBottom w:val="0"/>
              <w:divBdr>
                <w:top w:val="none" w:sz="0" w:space="0" w:color="auto"/>
                <w:left w:val="none" w:sz="0" w:space="0" w:color="auto"/>
                <w:bottom w:val="none" w:sz="0" w:space="0" w:color="auto"/>
                <w:right w:val="none" w:sz="0" w:space="0" w:color="auto"/>
              </w:divBdr>
            </w:div>
          </w:divsChild>
        </w:div>
        <w:div w:id="1275362095">
          <w:marLeft w:val="0"/>
          <w:marRight w:val="0"/>
          <w:marTop w:val="0"/>
          <w:marBottom w:val="0"/>
          <w:divBdr>
            <w:top w:val="none" w:sz="0" w:space="0" w:color="auto"/>
            <w:left w:val="none" w:sz="0" w:space="0" w:color="auto"/>
            <w:bottom w:val="none" w:sz="0" w:space="0" w:color="auto"/>
            <w:right w:val="none" w:sz="0" w:space="0" w:color="auto"/>
          </w:divBdr>
          <w:divsChild>
            <w:div w:id="1378316011">
              <w:marLeft w:val="0"/>
              <w:marRight w:val="0"/>
              <w:marTop w:val="0"/>
              <w:marBottom w:val="0"/>
              <w:divBdr>
                <w:top w:val="none" w:sz="0" w:space="0" w:color="auto"/>
                <w:left w:val="none" w:sz="0" w:space="0" w:color="auto"/>
                <w:bottom w:val="none" w:sz="0" w:space="0" w:color="auto"/>
                <w:right w:val="none" w:sz="0" w:space="0" w:color="auto"/>
              </w:divBdr>
            </w:div>
          </w:divsChild>
        </w:div>
        <w:div w:id="1278484161">
          <w:marLeft w:val="0"/>
          <w:marRight w:val="0"/>
          <w:marTop w:val="0"/>
          <w:marBottom w:val="0"/>
          <w:divBdr>
            <w:top w:val="none" w:sz="0" w:space="0" w:color="auto"/>
            <w:left w:val="none" w:sz="0" w:space="0" w:color="auto"/>
            <w:bottom w:val="none" w:sz="0" w:space="0" w:color="auto"/>
            <w:right w:val="none" w:sz="0" w:space="0" w:color="auto"/>
          </w:divBdr>
          <w:divsChild>
            <w:div w:id="14700301">
              <w:marLeft w:val="0"/>
              <w:marRight w:val="0"/>
              <w:marTop w:val="0"/>
              <w:marBottom w:val="0"/>
              <w:divBdr>
                <w:top w:val="none" w:sz="0" w:space="0" w:color="auto"/>
                <w:left w:val="none" w:sz="0" w:space="0" w:color="auto"/>
                <w:bottom w:val="none" w:sz="0" w:space="0" w:color="auto"/>
                <w:right w:val="none" w:sz="0" w:space="0" w:color="auto"/>
              </w:divBdr>
            </w:div>
          </w:divsChild>
        </w:div>
        <w:div w:id="1280793017">
          <w:marLeft w:val="0"/>
          <w:marRight w:val="0"/>
          <w:marTop w:val="0"/>
          <w:marBottom w:val="0"/>
          <w:divBdr>
            <w:top w:val="none" w:sz="0" w:space="0" w:color="auto"/>
            <w:left w:val="none" w:sz="0" w:space="0" w:color="auto"/>
            <w:bottom w:val="none" w:sz="0" w:space="0" w:color="auto"/>
            <w:right w:val="none" w:sz="0" w:space="0" w:color="auto"/>
          </w:divBdr>
          <w:divsChild>
            <w:div w:id="514002573">
              <w:marLeft w:val="0"/>
              <w:marRight w:val="0"/>
              <w:marTop w:val="0"/>
              <w:marBottom w:val="0"/>
              <w:divBdr>
                <w:top w:val="none" w:sz="0" w:space="0" w:color="auto"/>
                <w:left w:val="none" w:sz="0" w:space="0" w:color="auto"/>
                <w:bottom w:val="none" w:sz="0" w:space="0" w:color="auto"/>
                <w:right w:val="none" w:sz="0" w:space="0" w:color="auto"/>
              </w:divBdr>
            </w:div>
          </w:divsChild>
        </w:div>
        <w:div w:id="1290630459">
          <w:marLeft w:val="0"/>
          <w:marRight w:val="0"/>
          <w:marTop w:val="0"/>
          <w:marBottom w:val="0"/>
          <w:divBdr>
            <w:top w:val="none" w:sz="0" w:space="0" w:color="auto"/>
            <w:left w:val="none" w:sz="0" w:space="0" w:color="auto"/>
            <w:bottom w:val="none" w:sz="0" w:space="0" w:color="auto"/>
            <w:right w:val="none" w:sz="0" w:space="0" w:color="auto"/>
          </w:divBdr>
          <w:divsChild>
            <w:div w:id="823741410">
              <w:marLeft w:val="0"/>
              <w:marRight w:val="0"/>
              <w:marTop w:val="0"/>
              <w:marBottom w:val="0"/>
              <w:divBdr>
                <w:top w:val="none" w:sz="0" w:space="0" w:color="auto"/>
                <w:left w:val="none" w:sz="0" w:space="0" w:color="auto"/>
                <w:bottom w:val="none" w:sz="0" w:space="0" w:color="auto"/>
                <w:right w:val="none" w:sz="0" w:space="0" w:color="auto"/>
              </w:divBdr>
            </w:div>
          </w:divsChild>
        </w:div>
        <w:div w:id="1292245493">
          <w:marLeft w:val="0"/>
          <w:marRight w:val="0"/>
          <w:marTop w:val="0"/>
          <w:marBottom w:val="0"/>
          <w:divBdr>
            <w:top w:val="none" w:sz="0" w:space="0" w:color="auto"/>
            <w:left w:val="none" w:sz="0" w:space="0" w:color="auto"/>
            <w:bottom w:val="none" w:sz="0" w:space="0" w:color="auto"/>
            <w:right w:val="none" w:sz="0" w:space="0" w:color="auto"/>
          </w:divBdr>
          <w:divsChild>
            <w:div w:id="2112357395">
              <w:marLeft w:val="0"/>
              <w:marRight w:val="0"/>
              <w:marTop w:val="0"/>
              <w:marBottom w:val="0"/>
              <w:divBdr>
                <w:top w:val="none" w:sz="0" w:space="0" w:color="auto"/>
                <w:left w:val="none" w:sz="0" w:space="0" w:color="auto"/>
                <w:bottom w:val="none" w:sz="0" w:space="0" w:color="auto"/>
                <w:right w:val="none" w:sz="0" w:space="0" w:color="auto"/>
              </w:divBdr>
            </w:div>
          </w:divsChild>
        </w:div>
        <w:div w:id="1294141499">
          <w:marLeft w:val="0"/>
          <w:marRight w:val="0"/>
          <w:marTop w:val="0"/>
          <w:marBottom w:val="0"/>
          <w:divBdr>
            <w:top w:val="none" w:sz="0" w:space="0" w:color="auto"/>
            <w:left w:val="none" w:sz="0" w:space="0" w:color="auto"/>
            <w:bottom w:val="none" w:sz="0" w:space="0" w:color="auto"/>
            <w:right w:val="none" w:sz="0" w:space="0" w:color="auto"/>
          </w:divBdr>
          <w:divsChild>
            <w:div w:id="1675568373">
              <w:marLeft w:val="0"/>
              <w:marRight w:val="0"/>
              <w:marTop w:val="0"/>
              <w:marBottom w:val="0"/>
              <w:divBdr>
                <w:top w:val="none" w:sz="0" w:space="0" w:color="auto"/>
                <w:left w:val="none" w:sz="0" w:space="0" w:color="auto"/>
                <w:bottom w:val="none" w:sz="0" w:space="0" w:color="auto"/>
                <w:right w:val="none" w:sz="0" w:space="0" w:color="auto"/>
              </w:divBdr>
            </w:div>
          </w:divsChild>
        </w:div>
        <w:div w:id="1299140474">
          <w:marLeft w:val="0"/>
          <w:marRight w:val="0"/>
          <w:marTop w:val="0"/>
          <w:marBottom w:val="0"/>
          <w:divBdr>
            <w:top w:val="none" w:sz="0" w:space="0" w:color="auto"/>
            <w:left w:val="none" w:sz="0" w:space="0" w:color="auto"/>
            <w:bottom w:val="none" w:sz="0" w:space="0" w:color="auto"/>
            <w:right w:val="none" w:sz="0" w:space="0" w:color="auto"/>
          </w:divBdr>
          <w:divsChild>
            <w:div w:id="628829189">
              <w:marLeft w:val="0"/>
              <w:marRight w:val="0"/>
              <w:marTop w:val="0"/>
              <w:marBottom w:val="0"/>
              <w:divBdr>
                <w:top w:val="none" w:sz="0" w:space="0" w:color="auto"/>
                <w:left w:val="none" w:sz="0" w:space="0" w:color="auto"/>
                <w:bottom w:val="none" w:sz="0" w:space="0" w:color="auto"/>
                <w:right w:val="none" w:sz="0" w:space="0" w:color="auto"/>
              </w:divBdr>
            </w:div>
          </w:divsChild>
        </w:div>
        <w:div w:id="1299451882">
          <w:marLeft w:val="0"/>
          <w:marRight w:val="0"/>
          <w:marTop w:val="0"/>
          <w:marBottom w:val="0"/>
          <w:divBdr>
            <w:top w:val="none" w:sz="0" w:space="0" w:color="auto"/>
            <w:left w:val="none" w:sz="0" w:space="0" w:color="auto"/>
            <w:bottom w:val="none" w:sz="0" w:space="0" w:color="auto"/>
            <w:right w:val="none" w:sz="0" w:space="0" w:color="auto"/>
          </w:divBdr>
          <w:divsChild>
            <w:div w:id="233010626">
              <w:marLeft w:val="0"/>
              <w:marRight w:val="0"/>
              <w:marTop w:val="0"/>
              <w:marBottom w:val="0"/>
              <w:divBdr>
                <w:top w:val="none" w:sz="0" w:space="0" w:color="auto"/>
                <w:left w:val="none" w:sz="0" w:space="0" w:color="auto"/>
                <w:bottom w:val="none" w:sz="0" w:space="0" w:color="auto"/>
                <w:right w:val="none" w:sz="0" w:space="0" w:color="auto"/>
              </w:divBdr>
            </w:div>
          </w:divsChild>
        </w:div>
        <w:div w:id="1306739364">
          <w:marLeft w:val="0"/>
          <w:marRight w:val="0"/>
          <w:marTop w:val="0"/>
          <w:marBottom w:val="0"/>
          <w:divBdr>
            <w:top w:val="none" w:sz="0" w:space="0" w:color="auto"/>
            <w:left w:val="none" w:sz="0" w:space="0" w:color="auto"/>
            <w:bottom w:val="none" w:sz="0" w:space="0" w:color="auto"/>
            <w:right w:val="none" w:sz="0" w:space="0" w:color="auto"/>
          </w:divBdr>
          <w:divsChild>
            <w:div w:id="1064064688">
              <w:marLeft w:val="0"/>
              <w:marRight w:val="0"/>
              <w:marTop w:val="0"/>
              <w:marBottom w:val="0"/>
              <w:divBdr>
                <w:top w:val="none" w:sz="0" w:space="0" w:color="auto"/>
                <w:left w:val="none" w:sz="0" w:space="0" w:color="auto"/>
                <w:bottom w:val="none" w:sz="0" w:space="0" w:color="auto"/>
                <w:right w:val="none" w:sz="0" w:space="0" w:color="auto"/>
              </w:divBdr>
            </w:div>
          </w:divsChild>
        </w:div>
        <w:div w:id="1311135528">
          <w:marLeft w:val="0"/>
          <w:marRight w:val="0"/>
          <w:marTop w:val="0"/>
          <w:marBottom w:val="0"/>
          <w:divBdr>
            <w:top w:val="none" w:sz="0" w:space="0" w:color="auto"/>
            <w:left w:val="none" w:sz="0" w:space="0" w:color="auto"/>
            <w:bottom w:val="none" w:sz="0" w:space="0" w:color="auto"/>
            <w:right w:val="none" w:sz="0" w:space="0" w:color="auto"/>
          </w:divBdr>
          <w:divsChild>
            <w:div w:id="1864587038">
              <w:marLeft w:val="0"/>
              <w:marRight w:val="0"/>
              <w:marTop w:val="0"/>
              <w:marBottom w:val="0"/>
              <w:divBdr>
                <w:top w:val="none" w:sz="0" w:space="0" w:color="auto"/>
                <w:left w:val="none" w:sz="0" w:space="0" w:color="auto"/>
                <w:bottom w:val="none" w:sz="0" w:space="0" w:color="auto"/>
                <w:right w:val="none" w:sz="0" w:space="0" w:color="auto"/>
              </w:divBdr>
            </w:div>
          </w:divsChild>
        </w:div>
        <w:div w:id="1318411590">
          <w:marLeft w:val="0"/>
          <w:marRight w:val="0"/>
          <w:marTop w:val="0"/>
          <w:marBottom w:val="0"/>
          <w:divBdr>
            <w:top w:val="none" w:sz="0" w:space="0" w:color="auto"/>
            <w:left w:val="none" w:sz="0" w:space="0" w:color="auto"/>
            <w:bottom w:val="none" w:sz="0" w:space="0" w:color="auto"/>
            <w:right w:val="none" w:sz="0" w:space="0" w:color="auto"/>
          </w:divBdr>
          <w:divsChild>
            <w:div w:id="1003818410">
              <w:marLeft w:val="0"/>
              <w:marRight w:val="0"/>
              <w:marTop w:val="0"/>
              <w:marBottom w:val="0"/>
              <w:divBdr>
                <w:top w:val="none" w:sz="0" w:space="0" w:color="auto"/>
                <w:left w:val="none" w:sz="0" w:space="0" w:color="auto"/>
                <w:bottom w:val="none" w:sz="0" w:space="0" w:color="auto"/>
                <w:right w:val="none" w:sz="0" w:space="0" w:color="auto"/>
              </w:divBdr>
            </w:div>
          </w:divsChild>
        </w:div>
        <w:div w:id="1318878368">
          <w:marLeft w:val="0"/>
          <w:marRight w:val="0"/>
          <w:marTop w:val="0"/>
          <w:marBottom w:val="0"/>
          <w:divBdr>
            <w:top w:val="none" w:sz="0" w:space="0" w:color="auto"/>
            <w:left w:val="none" w:sz="0" w:space="0" w:color="auto"/>
            <w:bottom w:val="none" w:sz="0" w:space="0" w:color="auto"/>
            <w:right w:val="none" w:sz="0" w:space="0" w:color="auto"/>
          </w:divBdr>
          <w:divsChild>
            <w:div w:id="409696653">
              <w:marLeft w:val="0"/>
              <w:marRight w:val="0"/>
              <w:marTop w:val="0"/>
              <w:marBottom w:val="0"/>
              <w:divBdr>
                <w:top w:val="none" w:sz="0" w:space="0" w:color="auto"/>
                <w:left w:val="none" w:sz="0" w:space="0" w:color="auto"/>
                <w:bottom w:val="none" w:sz="0" w:space="0" w:color="auto"/>
                <w:right w:val="none" w:sz="0" w:space="0" w:color="auto"/>
              </w:divBdr>
            </w:div>
          </w:divsChild>
        </w:div>
        <w:div w:id="1323696931">
          <w:marLeft w:val="0"/>
          <w:marRight w:val="0"/>
          <w:marTop w:val="0"/>
          <w:marBottom w:val="0"/>
          <w:divBdr>
            <w:top w:val="none" w:sz="0" w:space="0" w:color="auto"/>
            <w:left w:val="none" w:sz="0" w:space="0" w:color="auto"/>
            <w:bottom w:val="none" w:sz="0" w:space="0" w:color="auto"/>
            <w:right w:val="none" w:sz="0" w:space="0" w:color="auto"/>
          </w:divBdr>
          <w:divsChild>
            <w:div w:id="1610578174">
              <w:marLeft w:val="0"/>
              <w:marRight w:val="0"/>
              <w:marTop w:val="0"/>
              <w:marBottom w:val="0"/>
              <w:divBdr>
                <w:top w:val="none" w:sz="0" w:space="0" w:color="auto"/>
                <w:left w:val="none" w:sz="0" w:space="0" w:color="auto"/>
                <w:bottom w:val="none" w:sz="0" w:space="0" w:color="auto"/>
                <w:right w:val="none" w:sz="0" w:space="0" w:color="auto"/>
              </w:divBdr>
            </w:div>
          </w:divsChild>
        </w:div>
        <w:div w:id="1332757431">
          <w:marLeft w:val="0"/>
          <w:marRight w:val="0"/>
          <w:marTop w:val="0"/>
          <w:marBottom w:val="0"/>
          <w:divBdr>
            <w:top w:val="none" w:sz="0" w:space="0" w:color="auto"/>
            <w:left w:val="none" w:sz="0" w:space="0" w:color="auto"/>
            <w:bottom w:val="none" w:sz="0" w:space="0" w:color="auto"/>
            <w:right w:val="none" w:sz="0" w:space="0" w:color="auto"/>
          </w:divBdr>
          <w:divsChild>
            <w:div w:id="1294562344">
              <w:marLeft w:val="0"/>
              <w:marRight w:val="0"/>
              <w:marTop w:val="0"/>
              <w:marBottom w:val="0"/>
              <w:divBdr>
                <w:top w:val="none" w:sz="0" w:space="0" w:color="auto"/>
                <w:left w:val="none" w:sz="0" w:space="0" w:color="auto"/>
                <w:bottom w:val="none" w:sz="0" w:space="0" w:color="auto"/>
                <w:right w:val="none" w:sz="0" w:space="0" w:color="auto"/>
              </w:divBdr>
            </w:div>
          </w:divsChild>
        </w:div>
        <w:div w:id="1335717545">
          <w:marLeft w:val="0"/>
          <w:marRight w:val="0"/>
          <w:marTop w:val="0"/>
          <w:marBottom w:val="0"/>
          <w:divBdr>
            <w:top w:val="none" w:sz="0" w:space="0" w:color="auto"/>
            <w:left w:val="none" w:sz="0" w:space="0" w:color="auto"/>
            <w:bottom w:val="none" w:sz="0" w:space="0" w:color="auto"/>
            <w:right w:val="none" w:sz="0" w:space="0" w:color="auto"/>
          </w:divBdr>
          <w:divsChild>
            <w:div w:id="1745763971">
              <w:marLeft w:val="0"/>
              <w:marRight w:val="0"/>
              <w:marTop w:val="0"/>
              <w:marBottom w:val="0"/>
              <w:divBdr>
                <w:top w:val="none" w:sz="0" w:space="0" w:color="auto"/>
                <w:left w:val="none" w:sz="0" w:space="0" w:color="auto"/>
                <w:bottom w:val="none" w:sz="0" w:space="0" w:color="auto"/>
                <w:right w:val="none" w:sz="0" w:space="0" w:color="auto"/>
              </w:divBdr>
            </w:div>
          </w:divsChild>
        </w:div>
        <w:div w:id="1342510372">
          <w:marLeft w:val="0"/>
          <w:marRight w:val="0"/>
          <w:marTop w:val="0"/>
          <w:marBottom w:val="0"/>
          <w:divBdr>
            <w:top w:val="none" w:sz="0" w:space="0" w:color="auto"/>
            <w:left w:val="none" w:sz="0" w:space="0" w:color="auto"/>
            <w:bottom w:val="none" w:sz="0" w:space="0" w:color="auto"/>
            <w:right w:val="none" w:sz="0" w:space="0" w:color="auto"/>
          </w:divBdr>
          <w:divsChild>
            <w:div w:id="1742757063">
              <w:marLeft w:val="0"/>
              <w:marRight w:val="0"/>
              <w:marTop w:val="0"/>
              <w:marBottom w:val="0"/>
              <w:divBdr>
                <w:top w:val="none" w:sz="0" w:space="0" w:color="auto"/>
                <w:left w:val="none" w:sz="0" w:space="0" w:color="auto"/>
                <w:bottom w:val="none" w:sz="0" w:space="0" w:color="auto"/>
                <w:right w:val="none" w:sz="0" w:space="0" w:color="auto"/>
              </w:divBdr>
            </w:div>
          </w:divsChild>
        </w:div>
        <w:div w:id="1344086976">
          <w:marLeft w:val="0"/>
          <w:marRight w:val="0"/>
          <w:marTop w:val="0"/>
          <w:marBottom w:val="0"/>
          <w:divBdr>
            <w:top w:val="none" w:sz="0" w:space="0" w:color="auto"/>
            <w:left w:val="none" w:sz="0" w:space="0" w:color="auto"/>
            <w:bottom w:val="none" w:sz="0" w:space="0" w:color="auto"/>
            <w:right w:val="none" w:sz="0" w:space="0" w:color="auto"/>
          </w:divBdr>
          <w:divsChild>
            <w:div w:id="552160223">
              <w:marLeft w:val="0"/>
              <w:marRight w:val="0"/>
              <w:marTop w:val="0"/>
              <w:marBottom w:val="0"/>
              <w:divBdr>
                <w:top w:val="none" w:sz="0" w:space="0" w:color="auto"/>
                <w:left w:val="none" w:sz="0" w:space="0" w:color="auto"/>
                <w:bottom w:val="none" w:sz="0" w:space="0" w:color="auto"/>
                <w:right w:val="none" w:sz="0" w:space="0" w:color="auto"/>
              </w:divBdr>
            </w:div>
          </w:divsChild>
        </w:div>
        <w:div w:id="1347248430">
          <w:marLeft w:val="0"/>
          <w:marRight w:val="0"/>
          <w:marTop w:val="0"/>
          <w:marBottom w:val="0"/>
          <w:divBdr>
            <w:top w:val="none" w:sz="0" w:space="0" w:color="auto"/>
            <w:left w:val="none" w:sz="0" w:space="0" w:color="auto"/>
            <w:bottom w:val="none" w:sz="0" w:space="0" w:color="auto"/>
            <w:right w:val="none" w:sz="0" w:space="0" w:color="auto"/>
          </w:divBdr>
          <w:divsChild>
            <w:div w:id="1622568966">
              <w:marLeft w:val="0"/>
              <w:marRight w:val="0"/>
              <w:marTop w:val="0"/>
              <w:marBottom w:val="0"/>
              <w:divBdr>
                <w:top w:val="none" w:sz="0" w:space="0" w:color="auto"/>
                <w:left w:val="none" w:sz="0" w:space="0" w:color="auto"/>
                <w:bottom w:val="none" w:sz="0" w:space="0" w:color="auto"/>
                <w:right w:val="none" w:sz="0" w:space="0" w:color="auto"/>
              </w:divBdr>
            </w:div>
          </w:divsChild>
        </w:div>
        <w:div w:id="1351760057">
          <w:marLeft w:val="0"/>
          <w:marRight w:val="0"/>
          <w:marTop w:val="0"/>
          <w:marBottom w:val="0"/>
          <w:divBdr>
            <w:top w:val="none" w:sz="0" w:space="0" w:color="auto"/>
            <w:left w:val="none" w:sz="0" w:space="0" w:color="auto"/>
            <w:bottom w:val="none" w:sz="0" w:space="0" w:color="auto"/>
            <w:right w:val="none" w:sz="0" w:space="0" w:color="auto"/>
          </w:divBdr>
          <w:divsChild>
            <w:div w:id="541022038">
              <w:marLeft w:val="0"/>
              <w:marRight w:val="0"/>
              <w:marTop w:val="0"/>
              <w:marBottom w:val="0"/>
              <w:divBdr>
                <w:top w:val="none" w:sz="0" w:space="0" w:color="auto"/>
                <w:left w:val="none" w:sz="0" w:space="0" w:color="auto"/>
                <w:bottom w:val="none" w:sz="0" w:space="0" w:color="auto"/>
                <w:right w:val="none" w:sz="0" w:space="0" w:color="auto"/>
              </w:divBdr>
            </w:div>
            <w:div w:id="570624806">
              <w:marLeft w:val="0"/>
              <w:marRight w:val="0"/>
              <w:marTop w:val="0"/>
              <w:marBottom w:val="0"/>
              <w:divBdr>
                <w:top w:val="none" w:sz="0" w:space="0" w:color="auto"/>
                <w:left w:val="none" w:sz="0" w:space="0" w:color="auto"/>
                <w:bottom w:val="none" w:sz="0" w:space="0" w:color="auto"/>
                <w:right w:val="none" w:sz="0" w:space="0" w:color="auto"/>
              </w:divBdr>
            </w:div>
            <w:div w:id="646518811">
              <w:marLeft w:val="0"/>
              <w:marRight w:val="0"/>
              <w:marTop w:val="0"/>
              <w:marBottom w:val="0"/>
              <w:divBdr>
                <w:top w:val="none" w:sz="0" w:space="0" w:color="auto"/>
                <w:left w:val="none" w:sz="0" w:space="0" w:color="auto"/>
                <w:bottom w:val="none" w:sz="0" w:space="0" w:color="auto"/>
                <w:right w:val="none" w:sz="0" w:space="0" w:color="auto"/>
              </w:divBdr>
            </w:div>
            <w:div w:id="710037722">
              <w:marLeft w:val="0"/>
              <w:marRight w:val="0"/>
              <w:marTop w:val="0"/>
              <w:marBottom w:val="0"/>
              <w:divBdr>
                <w:top w:val="none" w:sz="0" w:space="0" w:color="auto"/>
                <w:left w:val="none" w:sz="0" w:space="0" w:color="auto"/>
                <w:bottom w:val="none" w:sz="0" w:space="0" w:color="auto"/>
                <w:right w:val="none" w:sz="0" w:space="0" w:color="auto"/>
              </w:divBdr>
            </w:div>
            <w:div w:id="895240787">
              <w:marLeft w:val="0"/>
              <w:marRight w:val="0"/>
              <w:marTop w:val="0"/>
              <w:marBottom w:val="0"/>
              <w:divBdr>
                <w:top w:val="none" w:sz="0" w:space="0" w:color="auto"/>
                <w:left w:val="none" w:sz="0" w:space="0" w:color="auto"/>
                <w:bottom w:val="none" w:sz="0" w:space="0" w:color="auto"/>
                <w:right w:val="none" w:sz="0" w:space="0" w:color="auto"/>
              </w:divBdr>
            </w:div>
            <w:div w:id="1056318386">
              <w:marLeft w:val="0"/>
              <w:marRight w:val="0"/>
              <w:marTop w:val="0"/>
              <w:marBottom w:val="0"/>
              <w:divBdr>
                <w:top w:val="none" w:sz="0" w:space="0" w:color="auto"/>
                <w:left w:val="none" w:sz="0" w:space="0" w:color="auto"/>
                <w:bottom w:val="none" w:sz="0" w:space="0" w:color="auto"/>
                <w:right w:val="none" w:sz="0" w:space="0" w:color="auto"/>
              </w:divBdr>
            </w:div>
            <w:div w:id="1106118284">
              <w:marLeft w:val="0"/>
              <w:marRight w:val="0"/>
              <w:marTop w:val="0"/>
              <w:marBottom w:val="0"/>
              <w:divBdr>
                <w:top w:val="none" w:sz="0" w:space="0" w:color="auto"/>
                <w:left w:val="none" w:sz="0" w:space="0" w:color="auto"/>
                <w:bottom w:val="none" w:sz="0" w:space="0" w:color="auto"/>
                <w:right w:val="none" w:sz="0" w:space="0" w:color="auto"/>
              </w:divBdr>
            </w:div>
            <w:div w:id="1161503147">
              <w:marLeft w:val="0"/>
              <w:marRight w:val="0"/>
              <w:marTop w:val="0"/>
              <w:marBottom w:val="0"/>
              <w:divBdr>
                <w:top w:val="none" w:sz="0" w:space="0" w:color="auto"/>
                <w:left w:val="none" w:sz="0" w:space="0" w:color="auto"/>
                <w:bottom w:val="none" w:sz="0" w:space="0" w:color="auto"/>
                <w:right w:val="none" w:sz="0" w:space="0" w:color="auto"/>
              </w:divBdr>
            </w:div>
            <w:div w:id="1263803631">
              <w:marLeft w:val="0"/>
              <w:marRight w:val="0"/>
              <w:marTop w:val="0"/>
              <w:marBottom w:val="0"/>
              <w:divBdr>
                <w:top w:val="none" w:sz="0" w:space="0" w:color="auto"/>
                <w:left w:val="none" w:sz="0" w:space="0" w:color="auto"/>
                <w:bottom w:val="none" w:sz="0" w:space="0" w:color="auto"/>
                <w:right w:val="none" w:sz="0" w:space="0" w:color="auto"/>
              </w:divBdr>
            </w:div>
            <w:div w:id="1775710390">
              <w:marLeft w:val="0"/>
              <w:marRight w:val="0"/>
              <w:marTop w:val="0"/>
              <w:marBottom w:val="0"/>
              <w:divBdr>
                <w:top w:val="none" w:sz="0" w:space="0" w:color="auto"/>
                <w:left w:val="none" w:sz="0" w:space="0" w:color="auto"/>
                <w:bottom w:val="none" w:sz="0" w:space="0" w:color="auto"/>
                <w:right w:val="none" w:sz="0" w:space="0" w:color="auto"/>
              </w:divBdr>
            </w:div>
            <w:div w:id="1798180290">
              <w:marLeft w:val="0"/>
              <w:marRight w:val="0"/>
              <w:marTop w:val="0"/>
              <w:marBottom w:val="0"/>
              <w:divBdr>
                <w:top w:val="none" w:sz="0" w:space="0" w:color="auto"/>
                <w:left w:val="none" w:sz="0" w:space="0" w:color="auto"/>
                <w:bottom w:val="none" w:sz="0" w:space="0" w:color="auto"/>
                <w:right w:val="none" w:sz="0" w:space="0" w:color="auto"/>
              </w:divBdr>
            </w:div>
            <w:div w:id="2077512923">
              <w:marLeft w:val="0"/>
              <w:marRight w:val="0"/>
              <w:marTop w:val="0"/>
              <w:marBottom w:val="0"/>
              <w:divBdr>
                <w:top w:val="none" w:sz="0" w:space="0" w:color="auto"/>
                <w:left w:val="none" w:sz="0" w:space="0" w:color="auto"/>
                <w:bottom w:val="none" w:sz="0" w:space="0" w:color="auto"/>
                <w:right w:val="none" w:sz="0" w:space="0" w:color="auto"/>
              </w:divBdr>
            </w:div>
          </w:divsChild>
        </w:div>
        <w:div w:id="1358894796">
          <w:marLeft w:val="0"/>
          <w:marRight w:val="0"/>
          <w:marTop w:val="0"/>
          <w:marBottom w:val="0"/>
          <w:divBdr>
            <w:top w:val="none" w:sz="0" w:space="0" w:color="auto"/>
            <w:left w:val="none" w:sz="0" w:space="0" w:color="auto"/>
            <w:bottom w:val="none" w:sz="0" w:space="0" w:color="auto"/>
            <w:right w:val="none" w:sz="0" w:space="0" w:color="auto"/>
          </w:divBdr>
          <w:divsChild>
            <w:div w:id="1028065643">
              <w:marLeft w:val="0"/>
              <w:marRight w:val="0"/>
              <w:marTop w:val="0"/>
              <w:marBottom w:val="0"/>
              <w:divBdr>
                <w:top w:val="none" w:sz="0" w:space="0" w:color="auto"/>
                <w:left w:val="none" w:sz="0" w:space="0" w:color="auto"/>
                <w:bottom w:val="none" w:sz="0" w:space="0" w:color="auto"/>
                <w:right w:val="none" w:sz="0" w:space="0" w:color="auto"/>
              </w:divBdr>
            </w:div>
          </w:divsChild>
        </w:div>
        <w:div w:id="1361127337">
          <w:marLeft w:val="0"/>
          <w:marRight w:val="0"/>
          <w:marTop w:val="0"/>
          <w:marBottom w:val="0"/>
          <w:divBdr>
            <w:top w:val="none" w:sz="0" w:space="0" w:color="auto"/>
            <w:left w:val="none" w:sz="0" w:space="0" w:color="auto"/>
            <w:bottom w:val="none" w:sz="0" w:space="0" w:color="auto"/>
            <w:right w:val="none" w:sz="0" w:space="0" w:color="auto"/>
          </w:divBdr>
          <w:divsChild>
            <w:div w:id="1876574688">
              <w:marLeft w:val="0"/>
              <w:marRight w:val="0"/>
              <w:marTop w:val="0"/>
              <w:marBottom w:val="0"/>
              <w:divBdr>
                <w:top w:val="none" w:sz="0" w:space="0" w:color="auto"/>
                <w:left w:val="none" w:sz="0" w:space="0" w:color="auto"/>
                <w:bottom w:val="none" w:sz="0" w:space="0" w:color="auto"/>
                <w:right w:val="none" w:sz="0" w:space="0" w:color="auto"/>
              </w:divBdr>
            </w:div>
          </w:divsChild>
        </w:div>
        <w:div w:id="1361783226">
          <w:marLeft w:val="0"/>
          <w:marRight w:val="0"/>
          <w:marTop w:val="0"/>
          <w:marBottom w:val="0"/>
          <w:divBdr>
            <w:top w:val="none" w:sz="0" w:space="0" w:color="auto"/>
            <w:left w:val="none" w:sz="0" w:space="0" w:color="auto"/>
            <w:bottom w:val="none" w:sz="0" w:space="0" w:color="auto"/>
            <w:right w:val="none" w:sz="0" w:space="0" w:color="auto"/>
          </w:divBdr>
          <w:divsChild>
            <w:div w:id="1706103915">
              <w:marLeft w:val="0"/>
              <w:marRight w:val="0"/>
              <w:marTop w:val="0"/>
              <w:marBottom w:val="0"/>
              <w:divBdr>
                <w:top w:val="none" w:sz="0" w:space="0" w:color="auto"/>
                <w:left w:val="none" w:sz="0" w:space="0" w:color="auto"/>
                <w:bottom w:val="none" w:sz="0" w:space="0" w:color="auto"/>
                <w:right w:val="none" w:sz="0" w:space="0" w:color="auto"/>
              </w:divBdr>
            </w:div>
          </w:divsChild>
        </w:div>
        <w:div w:id="1372999335">
          <w:marLeft w:val="0"/>
          <w:marRight w:val="0"/>
          <w:marTop w:val="0"/>
          <w:marBottom w:val="0"/>
          <w:divBdr>
            <w:top w:val="none" w:sz="0" w:space="0" w:color="auto"/>
            <w:left w:val="none" w:sz="0" w:space="0" w:color="auto"/>
            <w:bottom w:val="none" w:sz="0" w:space="0" w:color="auto"/>
            <w:right w:val="none" w:sz="0" w:space="0" w:color="auto"/>
          </w:divBdr>
          <w:divsChild>
            <w:div w:id="692919143">
              <w:marLeft w:val="0"/>
              <w:marRight w:val="0"/>
              <w:marTop w:val="0"/>
              <w:marBottom w:val="0"/>
              <w:divBdr>
                <w:top w:val="none" w:sz="0" w:space="0" w:color="auto"/>
                <w:left w:val="none" w:sz="0" w:space="0" w:color="auto"/>
                <w:bottom w:val="none" w:sz="0" w:space="0" w:color="auto"/>
                <w:right w:val="none" w:sz="0" w:space="0" w:color="auto"/>
              </w:divBdr>
            </w:div>
          </w:divsChild>
        </w:div>
        <w:div w:id="1380325340">
          <w:marLeft w:val="0"/>
          <w:marRight w:val="0"/>
          <w:marTop w:val="0"/>
          <w:marBottom w:val="0"/>
          <w:divBdr>
            <w:top w:val="none" w:sz="0" w:space="0" w:color="auto"/>
            <w:left w:val="none" w:sz="0" w:space="0" w:color="auto"/>
            <w:bottom w:val="none" w:sz="0" w:space="0" w:color="auto"/>
            <w:right w:val="none" w:sz="0" w:space="0" w:color="auto"/>
          </w:divBdr>
          <w:divsChild>
            <w:div w:id="536698181">
              <w:marLeft w:val="0"/>
              <w:marRight w:val="0"/>
              <w:marTop w:val="0"/>
              <w:marBottom w:val="0"/>
              <w:divBdr>
                <w:top w:val="none" w:sz="0" w:space="0" w:color="auto"/>
                <w:left w:val="none" w:sz="0" w:space="0" w:color="auto"/>
                <w:bottom w:val="none" w:sz="0" w:space="0" w:color="auto"/>
                <w:right w:val="none" w:sz="0" w:space="0" w:color="auto"/>
              </w:divBdr>
            </w:div>
          </w:divsChild>
        </w:div>
        <w:div w:id="1381590881">
          <w:marLeft w:val="0"/>
          <w:marRight w:val="0"/>
          <w:marTop w:val="0"/>
          <w:marBottom w:val="0"/>
          <w:divBdr>
            <w:top w:val="none" w:sz="0" w:space="0" w:color="auto"/>
            <w:left w:val="none" w:sz="0" w:space="0" w:color="auto"/>
            <w:bottom w:val="none" w:sz="0" w:space="0" w:color="auto"/>
            <w:right w:val="none" w:sz="0" w:space="0" w:color="auto"/>
          </w:divBdr>
          <w:divsChild>
            <w:div w:id="826869285">
              <w:marLeft w:val="0"/>
              <w:marRight w:val="0"/>
              <w:marTop w:val="0"/>
              <w:marBottom w:val="0"/>
              <w:divBdr>
                <w:top w:val="none" w:sz="0" w:space="0" w:color="auto"/>
                <w:left w:val="none" w:sz="0" w:space="0" w:color="auto"/>
                <w:bottom w:val="none" w:sz="0" w:space="0" w:color="auto"/>
                <w:right w:val="none" w:sz="0" w:space="0" w:color="auto"/>
              </w:divBdr>
            </w:div>
          </w:divsChild>
        </w:div>
        <w:div w:id="1381905014">
          <w:marLeft w:val="0"/>
          <w:marRight w:val="0"/>
          <w:marTop w:val="0"/>
          <w:marBottom w:val="0"/>
          <w:divBdr>
            <w:top w:val="none" w:sz="0" w:space="0" w:color="auto"/>
            <w:left w:val="none" w:sz="0" w:space="0" w:color="auto"/>
            <w:bottom w:val="none" w:sz="0" w:space="0" w:color="auto"/>
            <w:right w:val="none" w:sz="0" w:space="0" w:color="auto"/>
          </w:divBdr>
          <w:divsChild>
            <w:div w:id="621686869">
              <w:marLeft w:val="0"/>
              <w:marRight w:val="0"/>
              <w:marTop w:val="0"/>
              <w:marBottom w:val="0"/>
              <w:divBdr>
                <w:top w:val="none" w:sz="0" w:space="0" w:color="auto"/>
                <w:left w:val="none" w:sz="0" w:space="0" w:color="auto"/>
                <w:bottom w:val="none" w:sz="0" w:space="0" w:color="auto"/>
                <w:right w:val="none" w:sz="0" w:space="0" w:color="auto"/>
              </w:divBdr>
            </w:div>
          </w:divsChild>
        </w:div>
        <w:div w:id="1384406488">
          <w:marLeft w:val="0"/>
          <w:marRight w:val="0"/>
          <w:marTop w:val="0"/>
          <w:marBottom w:val="0"/>
          <w:divBdr>
            <w:top w:val="none" w:sz="0" w:space="0" w:color="auto"/>
            <w:left w:val="none" w:sz="0" w:space="0" w:color="auto"/>
            <w:bottom w:val="none" w:sz="0" w:space="0" w:color="auto"/>
            <w:right w:val="none" w:sz="0" w:space="0" w:color="auto"/>
          </w:divBdr>
          <w:divsChild>
            <w:div w:id="1014764180">
              <w:marLeft w:val="0"/>
              <w:marRight w:val="0"/>
              <w:marTop w:val="0"/>
              <w:marBottom w:val="0"/>
              <w:divBdr>
                <w:top w:val="none" w:sz="0" w:space="0" w:color="auto"/>
                <w:left w:val="none" w:sz="0" w:space="0" w:color="auto"/>
                <w:bottom w:val="none" w:sz="0" w:space="0" w:color="auto"/>
                <w:right w:val="none" w:sz="0" w:space="0" w:color="auto"/>
              </w:divBdr>
            </w:div>
          </w:divsChild>
        </w:div>
        <w:div w:id="1385519406">
          <w:marLeft w:val="0"/>
          <w:marRight w:val="0"/>
          <w:marTop w:val="0"/>
          <w:marBottom w:val="0"/>
          <w:divBdr>
            <w:top w:val="none" w:sz="0" w:space="0" w:color="auto"/>
            <w:left w:val="none" w:sz="0" w:space="0" w:color="auto"/>
            <w:bottom w:val="none" w:sz="0" w:space="0" w:color="auto"/>
            <w:right w:val="none" w:sz="0" w:space="0" w:color="auto"/>
          </w:divBdr>
          <w:divsChild>
            <w:div w:id="1809740590">
              <w:marLeft w:val="0"/>
              <w:marRight w:val="0"/>
              <w:marTop w:val="0"/>
              <w:marBottom w:val="0"/>
              <w:divBdr>
                <w:top w:val="none" w:sz="0" w:space="0" w:color="auto"/>
                <w:left w:val="none" w:sz="0" w:space="0" w:color="auto"/>
                <w:bottom w:val="none" w:sz="0" w:space="0" w:color="auto"/>
                <w:right w:val="none" w:sz="0" w:space="0" w:color="auto"/>
              </w:divBdr>
            </w:div>
          </w:divsChild>
        </w:div>
        <w:div w:id="1392188506">
          <w:marLeft w:val="0"/>
          <w:marRight w:val="0"/>
          <w:marTop w:val="0"/>
          <w:marBottom w:val="0"/>
          <w:divBdr>
            <w:top w:val="none" w:sz="0" w:space="0" w:color="auto"/>
            <w:left w:val="none" w:sz="0" w:space="0" w:color="auto"/>
            <w:bottom w:val="none" w:sz="0" w:space="0" w:color="auto"/>
            <w:right w:val="none" w:sz="0" w:space="0" w:color="auto"/>
          </w:divBdr>
          <w:divsChild>
            <w:div w:id="1737707267">
              <w:marLeft w:val="0"/>
              <w:marRight w:val="0"/>
              <w:marTop w:val="0"/>
              <w:marBottom w:val="0"/>
              <w:divBdr>
                <w:top w:val="none" w:sz="0" w:space="0" w:color="auto"/>
                <w:left w:val="none" w:sz="0" w:space="0" w:color="auto"/>
                <w:bottom w:val="none" w:sz="0" w:space="0" w:color="auto"/>
                <w:right w:val="none" w:sz="0" w:space="0" w:color="auto"/>
              </w:divBdr>
            </w:div>
          </w:divsChild>
        </w:div>
        <w:div w:id="1398168141">
          <w:marLeft w:val="0"/>
          <w:marRight w:val="0"/>
          <w:marTop w:val="0"/>
          <w:marBottom w:val="0"/>
          <w:divBdr>
            <w:top w:val="none" w:sz="0" w:space="0" w:color="auto"/>
            <w:left w:val="none" w:sz="0" w:space="0" w:color="auto"/>
            <w:bottom w:val="none" w:sz="0" w:space="0" w:color="auto"/>
            <w:right w:val="none" w:sz="0" w:space="0" w:color="auto"/>
          </w:divBdr>
          <w:divsChild>
            <w:div w:id="203832987">
              <w:marLeft w:val="0"/>
              <w:marRight w:val="0"/>
              <w:marTop w:val="0"/>
              <w:marBottom w:val="0"/>
              <w:divBdr>
                <w:top w:val="none" w:sz="0" w:space="0" w:color="auto"/>
                <w:left w:val="none" w:sz="0" w:space="0" w:color="auto"/>
                <w:bottom w:val="none" w:sz="0" w:space="0" w:color="auto"/>
                <w:right w:val="none" w:sz="0" w:space="0" w:color="auto"/>
              </w:divBdr>
            </w:div>
          </w:divsChild>
        </w:div>
        <w:div w:id="1402874575">
          <w:marLeft w:val="0"/>
          <w:marRight w:val="0"/>
          <w:marTop w:val="0"/>
          <w:marBottom w:val="0"/>
          <w:divBdr>
            <w:top w:val="none" w:sz="0" w:space="0" w:color="auto"/>
            <w:left w:val="none" w:sz="0" w:space="0" w:color="auto"/>
            <w:bottom w:val="none" w:sz="0" w:space="0" w:color="auto"/>
            <w:right w:val="none" w:sz="0" w:space="0" w:color="auto"/>
          </w:divBdr>
          <w:divsChild>
            <w:div w:id="174274656">
              <w:marLeft w:val="0"/>
              <w:marRight w:val="0"/>
              <w:marTop w:val="0"/>
              <w:marBottom w:val="0"/>
              <w:divBdr>
                <w:top w:val="none" w:sz="0" w:space="0" w:color="auto"/>
                <w:left w:val="none" w:sz="0" w:space="0" w:color="auto"/>
                <w:bottom w:val="none" w:sz="0" w:space="0" w:color="auto"/>
                <w:right w:val="none" w:sz="0" w:space="0" w:color="auto"/>
              </w:divBdr>
            </w:div>
          </w:divsChild>
        </w:div>
        <w:div w:id="1404521844">
          <w:marLeft w:val="0"/>
          <w:marRight w:val="0"/>
          <w:marTop w:val="0"/>
          <w:marBottom w:val="0"/>
          <w:divBdr>
            <w:top w:val="none" w:sz="0" w:space="0" w:color="auto"/>
            <w:left w:val="none" w:sz="0" w:space="0" w:color="auto"/>
            <w:bottom w:val="none" w:sz="0" w:space="0" w:color="auto"/>
            <w:right w:val="none" w:sz="0" w:space="0" w:color="auto"/>
          </w:divBdr>
          <w:divsChild>
            <w:div w:id="933784445">
              <w:marLeft w:val="0"/>
              <w:marRight w:val="0"/>
              <w:marTop w:val="0"/>
              <w:marBottom w:val="0"/>
              <w:divBdr>
                <w:top w:val="none" w:sz="0" w:space="0" w:color="auto"/>
                <w:left w:val="none" w:sz="0" w:space="0" w:color="auto"/>
                <w:bottom w:val="none" w:sz="0" w:space="0" w:color="auto"/>
                <w:right w:val="none" w:sz="0" w:space="0" w:color="auto"/>
              </w:divBdr>
            </w:div>
          </w:divsChild>
        </w:div>
        <w:div w:id="1405906270">
          <w:marLeft w:val="0"/>
          <w:marRight w:val="0"/>
          <w:marTop w:val="0"/>
          <w:marBottom w:val="0"/>
          <w:divBdr>
            <w:top w:val="none" w:sz="0" w:space="0" w:color="auto"/>
            <w:left w:val="none" w:sz="0" w:space="0" w:color="auto"/>
            <w:bottom w:val="none" w:sz="0" w:space="0" w:color="auto"/>
            <w:right w:val="none" w:sz="0" w:space="0" w:color="auto"/>
          </w:divBdr>
          <w:divsChild>
            <w:div w:id="1002972972">
              <w:marLeft w:val="0"/>
              <w:marRight w:val="0"/>
              <w:marTop w:val="0"/>
              <w:marBottom w:val="0"/>
              <w:divBdr>
                <w:top w:val="none" w:sz="0" w:space="0" w:color="auto"/>
                <w:left w:val="none" w:sz="0" w:space="0" w:color="auto"/>
                <w:bottom w:val="none" w:sz="0" w:space="0" w:color="auto"/>
                <w:right w:val="none" w:sz="0" w:space="0" w:color="auto"/>
              </w:divBdr>
            </w:div>
          </w:divsChild>
        </w:div>
        <w:div w:id="1415590159">
          <w:marLeft w:val="0"/>
          <w:marRight w:val="0"/>
          <w:marTop w:val="0"/>
          <w:marBottom w:val="0"/>
          <w:divBdr>
            <w:top w:val="none" w:sz="0" w:space="0" w:color="auto"/>
            <w:left w:val="none" w:sz="0" w:space="0" w:color="auto"/>
            <w:bottom w:val="none" w:sz="0" w:space="0" w:color="auto"/>
            <w:right w:val="none" w:sz="0" w:space="0" w:color="auto"/>
          </w:divBdr>
          <w:divsChild>
            <w:div w:id="1511404953">
              <w:marLeft w:val="0"/>
              <w:marRight w:val="0"/>
              <w:marTop w:val="0"/>
              <w:marBottom w:val="0"/>
              <w:divBdr>
                <w:top w:val="none" w:sz="0" w:space="0" w:color="auto"/>
                <w:left w:val="none" w:sz="0" w:space="0" w:color="auto"/>
                <w:bottom w:val="none" w:sz="0" w:space="0" w:color="auto"/>
                <w:right w:val="none" w:sz="0" w:space="0" w:color="auto"/>
              </w:divBdr>
            </w:div>
          </w:divsChild>
        </w:div>
        <w:div w:id="1421488697">
          <w:marLeft w:val="0"/>
          <w:marRight w:val="0"/>
          <w:marTop w:val="0"/>
          <w:marBottom w:val="0"/>
          <w:divBdr>
            <w:top w:val="none" w:sz="0" w:space="0" w:color="auto"/>
            <w:left w:val="none" w:sz="0" w:space="0" w:color="auto"/>
            <w:bottom w:val="none" w:sz="0" w:space="0" w:color="auto"/>
            <w:right w:val="none" w:sz="0" w:space="0" w:color="auto"/>
          </w:divBdr>
          <w:divsChild>
            <w:div w:id="470559903">
              <w:marLeft w:val="0"/>
              <w:marRight w:val="0"/>
              <w:marTop w:val="0"/>
              <w:marBottom w:val="0"/>
              <w:divBdr>
                <w:top w:val="none" w:sz="0" w:space="0" w:color="auto"/>
                <w:left w:val="none" w:sz="0" w:space="0" w:color="auto"/>
                <w:bottom w:val="none" w:sz="0" w:space="0" w:color="auto"/>
                <w:right w:val="none" w:sz="0" w:space="0" w:color="auto"/>
              </w:divBdr>
            </w:div>
          </w:divsChild>
        </w:div>
        <w:div w:id="1422681202">
          <w:marLeft w:val="0"/>
          <w:marRight w:val="0"/>
          <w:marTop w:val="0"/>
          <w:marBottom w:val="0"/>
          <w:divBdr>
            <w:top w:val="none" w:sz="0" w:space="0" w:color="auto"/>
            <w:left w:val="none" w:sz="0" w:space="0" w:color="auto"/>
            <w:bottom w:val="none" w:sz="0" w:space="0" w:color="auto"/>
            <w:right w:val="none" w:sz="0" w:space="0" w:color="auto"/>
          </w:divBdr>
          <w:divsChild>
            <w:div w:id="727069351">
              <w:marLeft w:val="0"/>
              <w:marRight w:val="0"/>
              <w:marTop w:val="0"/>
              <w:marBottom w:val="0"/>
              <w:divBdr>
                <w:top w:val="none" w:sz="0" w:space="0" w:color="auto"/>
                <w:left w:val="none" w:sz="0" w:space="0" w:color="auto"/>
                <w:bottom w:val="none" w:sz="0" w:space="0" w:color="auto"/>
                <w:right w:val="none" w:sz="0" w:space="0" w:color="auto"/>
              </w:divBdr>
            </w:div>
          </w:divsChild>
        </w:div>
        <w:div w:id="1424180329">
          <w:marLeft w:val="0"/>
          <w:marRight w:val="0"/>
          <w:marTop w:val="0"/>
          <w:marBottom w:val="0"/>
          <w:divBdr>
            <w:top w:val="none" w:sz="0" w:space="0" w:color="auto"/>
            <w:left w:val="none" w:sz="0" w:space="0" w:color="auto"/>
            <w:bottom w:val="none" w:sz="0" w:space="0" w:color="auto"/>
            <w:right w:val="none" w:sz="0" w:space="0" w:color="auto"/>
          </w:divBdr>
          <w:divsChild>
            <w:div w:id="985471093">
              <w:marLeft w:val="0"/>
              <w:marRight w:val="0"/>
              <w:marTop w:val="0"/>
              <w:marBottom w:val="0"/>
              <w:divBdr>
                <w:top w:val="none" w:sz="0" w:space="0" w:color="auto"/>
                <w:left w:val="none" w:sz="0" w:space="0" w:color="auto"/>
                <w:bottom w:val="none" w:sz="0" w:space="0" w:color="auto"/>
                <w:right w:val="none" w:sz="0" w:space="0" w:color="auto"/>
              </w:divBdr>
            </w:div>
          </w:divsChild>
        </w:div>
        <w:div w:id="1432816658">
          <w:marLeft w:val="0"/>
          <w:marRight w:val="0"/>
          <w:marTop w:val="0"/>
          <w:marBottom w:val="0"/>
          <w:divBdr>
            <w:top w:val="none" w:sz="0" w:space="0" w:color="auto"/>
            <w:left w:val="none" w:sz="0" w:space="0" w:color="auto"/>
            <w:bottom w:val="none" w:sz="0" w:space="0" w:color="auto"/>
            <w:right w:val="none" w:sz="0" w:space="0" w:color="auto"/>
          </w:divBdr>
          <w:divsChild>
            <w:div w:id="1561399009">
              <w:marLeft w:val="0"/>
              <w:marRight w:val="0"/>
              <w:marTop w:val="0"/>
              <w:marBottom w:val="0"/>
              <w:divBdr>
                <w:top w:val="none" w:sz="0" w:space="0" w:color="auto"/>
                <w:left w:val="none" w:sz="0" w:space="0" w:color="auto"/>
                <w:bottom w:val="none" w:sz="0" w:space="0" w:color="auto"/>
                <w:right w:val="none" w:sz="0" w:space="0" w:color="auto"/>
              </w:divBdr>
            </w:div>
          </w:divsChild>
        </w:div>
        <w:div w:id="1433741024">
          <w:marLeft w:val="0"/>
          <w:marRight w:val="0"/>
          <w:marTop w:val="0"/>
          <w:marBottom w:val="0"/>
          <w:divBdr>
            <w:top w:val="none" w:sz="0" w:space="0" w:color="auto"/>
            <w:left w:val="none" w:sz="0" w:space="0" w:color="auto"/>
            <w:bottom w:val="none" w:sz="0" w:space="0" w:color="auto"/>
            <w:right w:val="none" w:sz="0" w:space="0" w:color="auto"/>
          </w:divBdr>
          <w:divsChild>
            <w:div w:id="883712392">
              <w:marLeft w:val="0"/>
              <w:marRight w:val="0"/>
              <w:marTop w:val="0"/>
              <w:marBottom w:val="0"/>
              <w:divBdr>
                <w:top w:val="none" w:sz="0" w:space="0" w:color="auto"/>
                <w:left w:val="none" w:sz="0" w:space="0" w:color="auto"/>
                <w:bottom w:val="none" w:sz="0" w:space="0" w:color="auto"/>
                <w:right w:val="none" w:sz="0" w:space="0" w:color="auto"/>
              </w:divBdr>
            </w:div>
            <w:div w:id="904416573">
              <w:marLeft w:val="0"/>
              <w:marRight w:val="0"/>
              <w:marTop w:val="0"/>
              <w:marBottom w:val="0"/>
              <w:divBdr>
                <w:top w:val="none" w:sz="0" w:space="0" w:color="auto"/>
                <w:left w:val="none" w:sz="0" w:space="0" w:color="auto"/>
                <w:bottom w:val="none" w:sz="0" w:space="0" w:color="auto"/>
                <w:right w:val="none" w:sz="0" w:space="0" w:color="auto"/>
              </w:divBdr>
            </w:div>
          </w:divsChild>
        </w:div>
        <w:div w:id="1435980804">
          <w:marLeft w:val="0"/>
          <w:marRight w:val="0"/>
          <w:marTop w:val="0"/>
          <w:marBottom w:val="0"/>
          <w:divBdr>
            <w:top w:val="none" w:sz="0" w:space="0" w:color="auto"/>
            <w:left w:val="none" w:sz="0" w:space="0" w:color="auto"/>
            <w:bottom w:val="none" w:sz="0" w:space="0" w:color="auto"/>
            <w:right w:val="none" w:sz="0" w:space="0" w:color="auto"/>
          </w:divBdr>
          <w:divsChild>
            <w:div w:id="794642649">
              <w:marLeft w:val="0"/>
              <w:marRight w:val="0"/>
              <w:marTop w:val="0"/>
              <w:marBottom w:val="0"/>
              <w:divBdr>
                <w:top w:val="none" w:sz="0" w:space="0" w:color="auto"/>
                <w:left w:val="none" w:sz="0" w:space="0" w:color="auto"/>
                <w:bottom w:val="none" w:sz="0" w:space="0" w:color="auto"/>
                <w:right w:val="none" w:sz="0" w:space="0" w:color="auto"/>
              </w:divBdr>
            </w:div>
          </w:divsChild>
        </w:div>
        <w:div w:id="1441728299">
          <w:marLeft w:val="0"/>
          <w:marRight w:val="0"/>
          <w:marTop w:val="0"/>
          <w:marBottom w:val="0"/>
          <w:divBdr>
            <w:top w:val="none" w:sz="0" w:space="0" w:color="auto"/>
            <w:left w:val="none" w:sz="0" w:space="0" w:color="auto"/>
            <w:bottom w:val="none" w:sz="0" w:space="0" w:color="auto"/>
            <w:right w:val="none" w:sz="0" w:space="0" w:color="auto"/>
          </w:divBdr>
          <w:divsChild>
            <w:div w:id="884678997">
              <w:marLeft w:val="0"/>
              <w:marRight w:val="0"/>
              <w:marTop w:val="0"/>
              <w:marBottom w:val="0"/>
              <w:divBdr>
                <w:top w:val="none" w:sz="0" w:space="0" w:color="auto"/>
                <w:left w:val="none" w:sz="0" w:space="0" w:color="auto"/>
                <w:bottom w:val="none" w:sz="0" w:space="0" w:color="auto"/>
                <w:right w:val="none" w:sz="0" w:space="0" w:color="auto"/>
              </w:divBdr>
            </w:div>
          </w:divsChild>
        </w:div>
        <w:div w:id="1443302555">
          <w:marLeft w:val="0"/>
          <w:marRight w:val="0"/>
          <w:marTop w:val="0"/>
          <w:marBottom w:val="0"/>
          <w:divBdr>
            <w:top w:val="none" w:sz="0" w:space="0" w:color="auto"/>
            <w:left w:val="none" w:sz="0" w:space="0" w:color="auto"/>
            <w:bottom w:val="none" w:sz="0" w:space="0" w:color="auto"/>
            <w:right w:val="none" w:sz="0" w:space="0" w:color="auto"/>
          </w:divBdr>
          <w:divsChild>
            <w:div w:id="1504663437">
              <w:marLeft w:val="0"/>
              <w:marRight w:val="0"/>
              <w:marTop w:val="0"/>
              <w:marBottom w:val="0"/>
              <w:divBdr>
                <w:top w:val="none" w:sz="0" w:space="0" w:color="auto"/>
                <w:left w:val="none" w:sz="0" w:space="0" w:color="auto"/>
                <w:bottom w:val="none" w:sz="0" w:space="0" w:color="auto"/>
                <w:right w:val="none" w:sz="0" w:space="0" w:color="auto"/>
              </w:divBdr>
            </w:div>
          </w:divsChild>
        </w:div>
        <w:div w:id="1469129981">
          <w:marLeft w:val="0"/>
          <w:marRight w:val="0"/>
          <w:marTop w:val="0"/>
          <w:marBottom w:val="0"/>
          <w:divBdr>
            <w:top w:val="none" w:sz="0" w:space="0" w:color="auto"/>
            <w:left w:val="none" w:sz="0" w:space="0" w:color="auto"/>
            <w:bottom w:val="none" w:sz="0" w:space="0" w:color="auto"/>
            <w:right w:val="none" w:sz="0" w:space="0" w:color="auto"/>
          </w:divBdr>
          <w:divsChild>
            <w:div w:id="2018800654">
              <w:marLeft w:val="0"/>
              <w:marRight w:val="0"/>
              <w:marTop w:val="0"/>
              <w:marBottom w:val="0"/>
              <w:divBdr>
                <w:top w:val="none" w:sz="0" w:space="0" w:color="auto"/>
                <w:left w:val="none" w:sz="0" w:space="0" w:color="auto"/>
                <w:bottom w:val="none" w:sz="0" w:space="0" w:color="auto"/>
                <w:right w:val="none" w:sz="0" w:space="0" w:color="auto"/>
              </w:divBdr>
            </w:div>
          </w:divsChild>
        </w:div>
        <w:div w:id="1473987210">
          <w:marLeft w:val="0"/>
          <w:marRight w:val="0"/>
          <w:marTop w:val="0"/>
          <w:marBottom w:val="0"/>
          <w:divBdr>
            <w:top w:val="none" w:sz="0" w:space="0" w:color="auto"/>
            <w:left w:val="none" w:sz="0" w:space="0" w:color="auto"/>
            <w:bottom w:val="none" w:sz="0" w:space="0" w:color="auto"/>
            <w:right w:val="none" w:sz="0" w:space="0" w:color="auto"/>
          </w:divBdr>
          <w:divsChild>
            <w:div w:id="1209956002">
              <w:marLeft w:val="0"/>
              <w:marRight w:val="0"/>
              <w:marTop w:val="0"/>
              <w:marBottom w:val="0"/>
              <w:divBdr>
                <w:top w:val="none" w:sz="0" w:space="0" w:color="auto"/>
                <w:left w:val="none" w:sz="0" w:space="0" w:color="auto"/>
                <w:bottom w:val="none" w:sz="0" w:space="0" w:color="auto"/>
                <w:right w:val="none" w:sz="0" w:space="0" w:color="auto"/>
              </w:divBdr>
            </w:div>
          </w:divsChild>
        </w:div>
        <w:div w:id="1476217372">
          <w:marLeft w:val="0"/>
          <w:marRight w:val="0"/>
          <w:marTop w:val="0"/>
          <w:marBottom w:val="0"/>
          <w:divBdr>
            <w:top w:val="none" w:sz="0" w:space="0" w:color="auto"/>
            <w:left w:val="none" w:sz="0" w:space="0" w:color="auto"/>
            <w:bottom w:val="none" w:sz="0" w:space="0" w:color="auto"/>
            <w:right w:val="none" w:sz="0" w:space="0" w:color="auto"/>
          </w:divBdr>
          <w:divsChild>
            <w:div w:id="246698759">
              <w:marLeft w:val="0"/>
              <w:marRight w:val="0"/>
              <w:marTop w:val="0"/>
              <w:marBottom w:val="0"/>
              <w:divBdr>
                <w:top w:val="none" w:sz="0" w:space="0" w:color="auto"/>
                <w:left w:val="none" w:sz="0" w:space="0" w:color="auto"/>
                <w:bottom w:val="none" w:sz="0" w:space="0" w:color="auto"/>
                <w:right w:val="none" w:sz="0" w:space="0" w:color="auto"/>
              </w:divBdr>
            </w:div>
            <w:div w:id="1216427365">
              <w:marLeft w:val="0"/>
              <w:marRight w:val="0"/>
              <w:marTop w:val="0"/>
              <w:marBottom w:val="0"/>
              <w:divBdr>
                <w:top w:val="none" w:sz="0" w:space="0" w:color="auto"/>
                <w:left w:val="none" w:sz="0" w:space="0" w:color="auto"/>
                <w:bottom w:val="none" w:sz="0" w:space="0" w:color="auto"/>
                <w:right w:val="none" w:sz="0" w:space="0" w:color="auto"/>
              </w:divBdr>
            </w:div>
            <w:div w:id="1664308899">
              <w:marLeft w:val="0"/>
              <w:marRight w:val="0"/>
              <w:marTop w:val="0"/>
              <w:marBottom w:val="0"/>
              <w:divBdr>
                <w:top w:val="none" w:sz="0" w:space="0" w:color="auto"/>
                <w:left w:val="none" w:sz="0" w:space="0" w:color="auto"/>
                <w:bottom w:val="none" w:sz="0" w:space="0" w:color="auto"/>
                <w:right w:val="none" w:sz="0" w:space="0" w:color="auto"/>
              </w:divBdr>
            </w:div>
            <w:div w:id="2008903407">
              <w:marLeft w:val="0"/>
              <w:marRight w:val="0"/>
              <w:marTop w:val="0"/>
              <w:marBottom w:val="0"/>
              <w:divBdr>
                <w:top w:val="none" w:sz="0" w:space="0" w:color="auto"/>
                <w:left w:val="none" w:sz="0" w:space="0" w:color="auto"/>
                <w:bottom w:val="none" w:sz="0" w:space="0" w:color="auto"/>
                <w:right w:val="none" w:sz="0" w:space="0" w:color="auto"/>
              </w:divBdr>
            </w:div>
          </w:divsChild>
        </w:div>
        <w:div w:id="1479877266">
          <w:marLeft w:val="0"/>
          <w:marRight w:val="0"/>
          <w:marTop w:val="0"/>
          <w:marBottom w:val="0"/>
          <w:divBdr>
            <w:top w:val="none" w:sz="0" w:space="0" w:color="auto"/>
            <w:left w:val="none" w:sz="0" w:space="0" w:color="auto"/>
            <w:bottom w:val="none" w:sz="0" w:space="0" w:color="auto"/>
            <w:right w:val="none" w:sz="0" w:space="0" w:color="auto"/>
          </w:divBdr>
          <w:divsChild>
            <w:div w:id="1304114295">
              <w:marLeft w:val="0"/>
              <w:marRight w:val="0"/>
              <w:marTop w:val="0"/>
              <w:marBottom w:val="0"/>
              <w:divBdr>
                <w:top w:val="none" w:sz="0" w:space="0" w:color="auto"/>
                <w:left w:val="none" w:sz="0" w:space="0" w:color="auto"/>
                <w:bottom w:val="none" w:sz="0" w:space="0" w:color="auto"/>
                <w:right w:val="none" w:sz="0" w:space="0" w:color="auto"/>
              </w:divBdr>
            </w:div>
          </w:divsChild>
        </w:div>
        <w:div w:id="1483697705">
          <w:marLeft w:val="0"/>
          <w:marRight w:val="0"/>
          <w:marTop w:val="0"/>
          <w:marBottom w:val="0"/>
          <w:divBdr>
            <w:top w:val="none" w:sz="0" w:space="0" w:color="auto"/>
            <w:left w:val="none" w:sz="0" w:space="0" w:color="auto"/>
            <w:bottom w:val="none" w:sz="0" w:space="0" w:color="auto"/>
            <w:right w:val="none" w:sz="0" w:space="0" w:color="auto"/>
          </w:divBdr>
          <w:divsChild>
            <w:div w:id="788283332">
              <w:marLeft w:val="0"/>
              <w:marRight w:val="0"/>
              <w:marTop w:val="0"/>
              <w:marBottom w:val="0"/>
              <w:divBdr>
                <w:top w:val="none" w:sz="0" w:space="0" w:color="auto"/>
                <w:left w:val="none" w:sz="0" w:space="0" w:color="auto"/>
                <w:bottom w:val="none" w:sz="0" w:space="0" w:color="auto"/>
                <w:right w:val="none" w:sz="0" w:space="0" w:color="auto"/>
              </w:divBdr>
            </w:div>
          </w:divsChild>
        </w:div>
        <w:div w:id="1490829601">
          <w:marLeft w:val="0"/>
          <w:marRight w:val="0"/>
          <w:marTop w:val="0"/>
          <w:marBottom w:val="0"/>
          <w:divBdr>
            <w:top w:val="none" w:sz="0" w:space="0" w:color="auto"/>
            <w:left w:val="none" w:sz="0" w:space="0" w:color="auto"/>
            <w:bottom w:val="none" w:sz="0" w:space="0" w:color="auto"/>
            <w:right w:val="none" w:sz="0" w:space="0" w:color="auto"/>
          </w:divBdr>
          <w:divsChild>
            <w:div w:id="1310132450">
              <w:marLeft w:val="0"/>
              <w:marRight w:val="0"/>
              <w:marTop w:val="0"/>
              <w:marBottom w:val="0"/>
              <w:divBdr>
                <w:top w:val="none" w:sz="0" w:space="0" w:color="auto"/>
                <w:left w:val="none" w:sz="0" w:space="0" w:color="auto"/>
                <w:bottom w:val="none" w:sz="0" w:space="0" w:color="auto"/>
                <w:right w:val="none" w:sz="0" w:space="0" w:color="auto"/>
              </w:divBdr>
            </w:div>
          </w:divsChild>
        </w:div>
        <w:div w:id="1499154996">
          <w:marLeft w:val="0"/>
          <w:marRight w:val="0"/>
          <w:marTop w:val="0"/>
          <w:marBottom w:val="0"/>
          <w:divBdr>
            <w:top w:val="none" w:sz="0" w:space="0" w:color="auto"/>
            <w:left w:val="none" w:sz="0" w:space="0" w:color="auto"/>
            <w:bottom w:val="none" w:sz="0" w:space="0" w:color="auto"/>
            <w:right w:val="none" w:sz="0" w:space="0" w:color="auto"/>
          </w:divBdr>
          <w:divsChild>
            <w:div w:id="680084460">
              <w:marLeft w:val="0"/>
              <w:marRight w:val="0"/>
              <w:marTop w:val="0"/>
              <w:marBottom w:val="0"/>
              <w:divBdr>
                <w:top w:val="none" w:sz="0" w:space="0" w:color="auto"/>
                <w:left w:val="none" w:sz="0" w:space="0" w:color="auto"/>
                <w:bottom w:val="none" w:sz="0" w:space="0" w:color="auto"/>
                <w:right w:val="none" w:sz="0" w:space="0" w:color="auto"/>
              </w:divBdr>
            </w:div>
          </w:divsChild>
        </w:div>
        <w:div w:id="1506289722">
          <w:marLeft w:val="0"/>
          <w:marRight w:val="0"/>
          <w:marTop w:val="0"/>
          <w:marBottom w:val="0"/>
          <w:divBdr>
            <w:top w:val="none" w:sz="0" w:space="0" w:color="auto"/>
            <w:left w:val="none" w:sz="0" w:space="0" w:color="auto"/>
            <w:bottom w:val="none" w:sz="0" w:space="0" w:color="auto"/>
            <w:right w:val="none" w:sz="0" w:space="0" w:color="auto"/>
          </w:divBdr>
          <w:divsChild>
            <w:div w:id="1336374219">
              <w:marLeft w:val="0"/>
              <w:marRight w:val="0"/>
              <w:marTop w:val="0"/>
              <w:marBottom w:val="0"/>
              <w:divBdr>
                <w:top w:val="none" w:sz="0" w:space="0" w:color="auto"/>
                <w:left w:val="none" w:sz="0" w:space="0" w:color="auto"/>
                <w:bottom w:val="none" w:sz="0" w:space="0" w:color="auto"/>
                <w:right w:val="none" w:sz="0" w:space="0" w:color="auto"/>
              </w:divBdr>
            </w:div>
            <w:div w:id="1808086332">
              <w:marLeft w:val="0"/>
              <w:marRight w:val="0"/>
              <w:marTop w:val="0"/>
              <w:marBottom w:val="0"/>
              <w:divBdr>
                <w:top w:val="none" w:sz="0" w:space="0" w:color="auto"/>
                <w:left w:val="none" w:sz="0" w:space="0" w:color="auto"/>
                <w:bottom w:val="none" w:sz="0" w:space="0" w:color="auto"/>
                <w:right w:val="none" w:sz="0" w:space="0" w:color="auto"/>
              </w:divBdr>
            </w:div>
          </w:divsChild>
        </w:div>
        <w:div w:id="1506893299">
          <w:marLeft w:val="0"/>
          <w:marRight w:val="0"/>
          <w:marTop w:val="0"/>
          <w:marBottom w:val="0"/>
          <w:divBdr>
            <w:top w:val="none" w:sz="0" w:space="0" w:color="auto"/>
            <w:left w:val="none" w:sz="0" w:space="0" w:color="auto"/>
            <w:bottom w:val="none" w:sz="0" w:space="0" w:color="auto"/>
            <w:right w:val="none" w:sz="0" w:space="0" w:color="auto"/>
          </w:divBdr>
          <w:divsChild>
            <w:div w:id="1655839495">
              <w:marLeft w:val="0"/>
              <w:marRight w:val="0"/>
              <w:marTop w:val="0"/>
              <w:marBottom w:val="0"/>
              <w:divBdr>
                <w:top w:val="none" w:sz="0" w:space="0" w:color="auto"/>
                <w:left w:val="none" w:sz="0" w:space="0" w:color="auto"/>
                <w:bottom w:val="none" w:sz="0" w:space="0" w:color="auto"/>
                <w:right w:val="none" w:sz="0" w:space="0" w:color="auto"/>
              </w:divBdr>
            </w:div>
          </w:divsChild>
        </w:div>
        <w:div w:id="1510171394">
          <w:marLeft w:val="0"/>
          <w:marRight w:val="0"/>
          <w:marTop w:val="0"/>
          <w:marBottom w:val="0"/>
          <w:divBdr>
            <w:top w:val="none" w:sz="0" w:space="0" w:color="auto"/>
            <w:left w:val="none" w:sz="0" w:space="0" w:color="auto"/>
            <w:bottom w:val="none" w:sz="0" w:space="0" w:color="auto"/>
            <w:right w:val="none" w:sz="0" w:space="0" w:color="auto"/>
          </w:divBdr>
          <w:divsChild>
            <w:div w:id="717583100">
              <w:marLeft w:val="0"/>
              <w:marRight w:val="0"/>
              <w:marTop w:val="0"/>
              <w:marBottom w:val="0"/>
              <w:divBdr>
                <w:top w:val="none" w:sz="0" w:space="0" w:color="auto"/>
                <w:left w:val="none" w:sz="0" w:space="0" w:color="auto"/>
                <w:bottom w:val="none" w:sz="0" w:space="0" w:color="auto"/>
                <w:right w:val="none" w:sz="0" w:space="0" w:color="auto"/>
              </w:divBdr>
            </w:div>
          </w:divsChild>
        </w:div>
        <w:div w:id="1515412964">
          <w:marLeft w:val="0"/>
          <w:marRight w:val="0"/>
          <w:marTop w:val="0"/>
          <w:marBottom w:val="0"/>
          <w:divBdr>
            <w:top w:val="none" w:sz="0" w:space="0" w:color="auto"/>
            <w:left w:val="none" w:sz="0" w:space="0" w:color="auto"/>
            <w:bottom w:val="none" w:sz="0" w:space="0" w:color="auto"/>
            <w:right w:val="none" w:sz="0" w:space="0" w:color="auto"/>
          </w:divBdr>
          <w:divsChild>
            <w:div w:id="410664917">
              <w:marLeft w:val="0"/>
              <w:marRight w:val="0"/>
              <w:marTop w:val="0"/>
              <w:marBottom w:val="0"/>
              <w:divBdr>
                <w:top w:val="none" w:sz="0" w:space="0" w:color="auto"/>
                <w:left w:val="none" w:sz="0" w:space="0" w:color="auto"/>
                <w:bottom w:val="none" w:sz="0" w:space="0" w:color="auto"/>
                <w:right w:val="none" w:sz="0" w:space="0" w:color="auto"/>
              </w:divBdr>
            </w:div>
          </w:divsChild>
        </w:div>
        <w:div w:id="1517303889">
          <w:marLeft w:val="0"/>
          <w:marRight w:val="0"/>
          <w:marTop w:val="0"/>
          <w:marBottom w:val="0"/>
          <w:divBdr>
            <w:top w:val="none" w:sz="0" w:space="0" w:color="auto"/>
            <w:left w:val="none" w:sz="0" w:space="0" w:color="auto"/>
            <w:bottom w:val="none" w:sz="0" w:space="0" w:color="auto"/>
            <w:right w:val="none" w:sz="0" w:space="0" w:color="auto"/>
          </w:divBdr>
          <w:divsChild>
            <w:div w:id="1133642804">
              <w:marLeft w:val="0"/>
              <w:marRight w:val="0"/>
              <w:marTop w:val="0"/>
              <w:marBottom w:val="0"/>
              <w:divBdr>
                <w:top w:val="none" w:sz="0" w:space="0" w:color="auto"/>
                <w:left w:val="none" w:sz="0" w:space="0" w:color="auto"/>
                <w:bottom w:val="none" w:sz="0" w:space="0" w:color="auto"/>
                <w:right w:val="none" w:sz="0" w:space="0" w:color="auto"/>
              </w:divBdr>
            </w:div>
          </w:divsChild>
        </w:div>
        <w:div w:id="1522545358">
          <w:marLeft w:val="0"/>
          <w:marRight w:val="0"/>
          <w:marTop w:val="0"/>
          <w:marBottom w:val="0"/>
          <w:divBdr>
            <w:top w:val="none" w:sz="0" w:space="0" w:color="auto"/>
            <w:left w:val="none" w:sz="0" w:space="0" w:color="auto"/>
            <w:bottom w:val="none" w:sz="0" w:space="0" w:color="auto"/>
            <w:right w:val="none" w:sz="0" w:space="0" w:color="auto"/>
          </w:divBdr>
          <w:divsChild>
            <w:div w:id="1951622243">
              <w:marLeft w:val="0"/>
              <w:marRight w:val="0"/>
              <w:marTop w:val="0"/>
              <w:marBottom w:val="0"/>
              <w:divBdr>
                <w:top w:val="none" w:sz="0" w:space="0" w:color="auto"/>
                <w:left w:val="none" w:sz="0" w:space="0" w:color="auto"/>
                <w:bottom w:val="none" w:sz="0" w:space="0" w:color="auto"/>
                <w:right w:val="none" w:sz="0" w:space="0" w:color="auto"/>
              </w:divBdr>
            </w:div>
          </w:divsChild>
        </w:div>
        <w:div w:id="1524830119">
          <w:marLeft w:val="0"/>
          <w:marRight w:val="0"/>
          <w:marTop w:val="0"/>
          <w:marBottom w:val="0"/>
          <w:divBdr>
            <w:top w:val="none" w:sz="0" w:space="0" w:color="auto"/>
            <w:left w:val="none" w:sz="0" w:space="0" w:color="auto"/>
            <w:bottom w:val="none" w:sz="0" w:space="0" w:color="auto"/>
            <w:right w:val="none" w:sz="0" w:space="0" w:color="auto"/>
          </w:divBdr>
          <w:divsChild>
            <w:div w:id="2071151293">
              <w:marLeft w:val="0"/>
              <w:marRight w:val="0"/>
              <w:marTop w:val="0"/>
              <w:marBottom w:val="0"/>
              <w:divBdr>
                <w:top w:val="none" w:sz="0" w:space="0" w:color="auto"/>
                <w:left w:val="none" w:sz="0" w:space="0" w:color="auto"/>
                <w:bottom w:val="none" w:sz="0" w:space="0" w:color="auto"/>
                <w:right w:val="none" w:sz="0" w:space="0" w:color="auto"/>
              </w:divBdr>
            </w:div>
          </w:divsChild>
        </w:div>
        <w:div w:id="1526866660">
          <w:marLeft w:val="0"/>
          <w:marRight w:val="0"/>
          <w:marTop w:val="0"/>
          <w:marBottom w:val="0"/>
          <w:divBdr>
            <w:top w:val="none" w:sz="0" w:space="0" w:color="auto"/>
            <w:left w:val="none" w:sz="0" w:space="0" w:color="auto"/>
            <w:bottom w:val="none" w:sz="0" w:space="0" w:color="auto"/>
            <w:right w:val="none" w:sz="0" w:space="0" w:color="auto"/>
          </w:divBdr>
          <w:divsChild>
            <w:div w:id="1007445165">
              <w:marLeft w:val="0"/>
              <w:marRight w:val="0"/>
              <w:marTop w:val="0"/>
              <w:marBottom w:val="0"/>
              <w:divBdr>
                <w:top w:val="none" w:sz="0" w:space="0" w:color="auto"/>
                <w:left w:val="none" w:sz="0" w:space="0" w:color="auto"/>
                <w:bottom w:val="none" w:sz="0" w:space="0" w:color="auto"/>
                <w:right w:val="none" w:sz="0" w:space="0" w:color="auto"/>
              </w:divBdr>
            </w:div>
          </w:divsChild>
        </w:div>
        <w:div w:id="1526945777">
          <w:marLeft w:val="0"/>
          <w:marRight w:val="0"/>
          <w:marTop w:val="0"/>
          <w:marBottom w:val="0"/>
          <w:divBdr>
            <w:top w:val="none" w:sz="0" w:space="0" w:color="auto"/>
            <w:left w:val="none" w:sz="0" w:space="0" w:color="auto"/>
            <w:bottom w:val="none" w:sz="0" w:space="0" w:color="auto"/>
            <w:right w:val="none" w:sz="0" w:space="0" w:color="auto"/>
          </w:divBdr>
          <w:divsChild>
            <w:div w:id="2103648667">
              <w:marLeft w:val="0"/>
              <w:marRight w:val="0"/>
              <w:marTop w:val="0"/>
              <w:marBottom w:val="0"/>
              <w:divBdr>
                <w:top w:val="none" w:sz="0" w:space="0" w:color="auto"/>
                <w:left w:val="none" w:sz="0" w:space="0" w:color="auto"/>
                <w:bottom w:val="none" w:sz="0" w:space="0" w:color="auto"/>
                <w:right w:val="none" w:sz="0" w:space="0" w:color="auto"/>
              </w:divBdr>
            </w:div>
          </w:divsChild>
        </w:div>
        <w:div w:id="1527402509">
          <w:marLeft w:val="0"/>
          <w:marRight w:val="0"/>
          <w:marTop w:val="0"/>
          <w:marBottom w:val="0"/>
          <w:divBdr>
            <w:top w:val="none" w:sz="0" w:space="0" w:color="auto"/>
            <w:left w:val="none" w:sz="0" w:space="0" w:color="auto"/>
            <w:bottom w:val="none" w:sz="0" w:space="0" w:color="auto"/>
            <w:right w:val="none" w:sz="0" w:space="0" w:color="auto"/>
          </w:divBdr>
          <w:divsChild>
            <w:div w:id="1525049714">
              <w:marLeft w:val="0"/>
              <w:marRight w:val="0"/>
              <w:marTop w:val="0"/>
              <w:marBottom w:val="0"/>
              <w:divBdr>
                <w:top w:val="none" w:sz="0" w:space="0" w:color="auto"/>
                <w:left w:val="none" w:sz="0" w:space="0" w:color="auto"/>
                <w:bottom w:val="none" w:sz="0" w:space="0" w:color="auto"/>
                <w:right w:val="none" w:sz="0" w:space="0" w:color="auto"/>
              </w:divBdr>
            </w:div>
          </w:divsChild>
        </w:div>
        <w:div w:id="1528517927">
          <w:marLeft w:val="0"/>
          <w:marRight w:val="0"/>
          <w:marTop w:val="0"/>
          <w:marBottom w:val="0"/>
          <w:divBdr>
            <w:top w:val="none" w:sz="0" w:space="0" w:color="auto"/>
            <w:left w:val="none" w:sz="0" w:space="0" w:color="auto"/>
            <w:bottom w:val="none" w:sz="0" w:space="0" w:color="auto"/>
            <w:right w:val="none" w:sz="0" w:space="0" w:color="auto"/>
          </w:divBdr>
          <w:divsChild>
            <w:div w:id="605040626">
              <w:marLeft w:val="0"/>
              <w:marRight w:val="0"/>
              <w:marTop w:val="0"/>
              <w:marBottom w:val="0"/>
              <w:divBdr>
                <w:top w:val="none" w:sz="0" w:space="0" w:color="auto"/>
                <w:left w:val="none" w:sz="0" w:space="0" w:color="auto"/>
                <w:bottom w:val="none" w:sz="0" w:space="0" w:color="auto"/>
                <w:right w:val="none" w:sz="0" w:space="0" w:color="auto"/>
              </w:divBdr>
            </w:div>
          </w:divsChild>
        </w:div>
        <w:div w:id="1529563059">
          <w:marLeft w:val="0"/>
          <w:marRight w:val="0"/>
          <w:marTop w:val="0"/>
          <w:marBottom w:val="0"/>
          <w:divBdr>
            <w:top w:val="none" w:sz="0" w:space="0" w:color="auto"/>
            <w:left w:val="none" w:sz="0" w:space="0" w:color="auto"/>
            <w:bottom w:val="none" w:sz="0" w:space="0" w:color="auto"/>
            <w:right w:val="none" w:sz="0" w:space="0" w:color="auto"/>
          </w:divBdr>
          <w:divsChild>
            <w:div w:id="1459298892">
              <w:marLeft w:val="0"/>
              <w:marRight w:val="0"/>
              <w:marTop w:val="0"/>
              <w:marBottom w:val="0"/>
              <w:divBdr>
                <w:top w:val="none" w:sz="0" w:space="0" w:color="auto"/>
                <w:left w:val="none" w:sz="0" w:space="0" w:color="auto"/>
                <w:bottom w:val="none" w:sz="0" w:space="0" w:color="auto"/>
                <w:right w:val="none" w:sz="0" w:space="0" w:color="auto"/>
              </w:divBdr>
            </w:div>
          </w:divsChild>
        </w:div>
        <w:div w:id="1534923053">
          <w:marLeft w:val="0"/>
          <w:marRight w:val="0"/>
          <w:marTop w:val="0"/>
          <w:marBottom w:val="0"/>
          <w:divBdr>
            <w:top w:val="none" w:sz="0" w:space="0" w:color="auto"/>
            <w:left w:val="none" w:sz="0" w:space="0" w:color="auto"/>
            <w:bottom w:val="none" w:sz="0" w:space="0" w:color="auto"/>
            <w:right w:val="none" w:sz="0" w:space="0" w:color="auto"/>
          </w:divBdr>
          <w:divsChild>
            <w:div w:id="599414572">
              <w:marLeft w:val="0"/>
              <w:marRight w:val="0"/>
              <w:marTop w:val="0"/>
              <w:marBottom w:val="0"/>
              <w:divBdr>
                <w:top w:val="none" w:sz="0" w:space="0" w:color="auto"/>
                <w:left w:val="none" w:sz="0" w:space="0" w:color="auto"/>
                <w:bottom w:val="none" w:sz="0" w:space="0" w:color="auto"/>
                <w:right w:val="none" w:sz="0" w:space="0" w:color="auto"/>
              </w:divBdr>
            </w:div>
          </w:divsChild>
        </w:div>
        <w:div w:id="1546524421">
          <w:marLeft w:val="0"/>
          <w:marRight w:val="0"/>
          <w:marTop w:val="0"/>
          <w:marBottom w:val="0"/>
          <w:divBdr>
            <w:top w:val="none" w:sz="0" w:space="0" w:color="auto"/>
            <w:left w:val="none" w:sz="0" w:space="0" w:color="auto"/>
            <w:bottom w:val="none" w:sz="0" w:space="0" w:color="auto"/>
            <w:right w:val="none" w:sz="0" w:space="0" w:color="auto"/>
          </w:divBdr>
          <w:divsChild>
            <w:div w:id="939796485">
              <w:marLeft w:val="0"/>
              <w:marRight w:val="0"/>
              <w:marTop w:val="0"/>
              <w:marBottom w:val="0"/>
              <w:divBdr>
                <w:top w:val="none" w:sz="0" w:space="0" w:color="auto"/>
                <w:left w:val="none" w:sz="0" w:space="0" w:color="auto"/>
                <w:bottom w:val="none" w:sz="0" w:space="0" w:color="auto"/>
                <w:right w:val="none" w:sz="0" w:space="0" w:color="auto"/>
              </w:divBdr>
            </w:div>
          </w:divsChild>
        </w:div>
        <w:div w:id="1563368153">
          <w:marLeft w:val="0"/>
          <w:marRight w:val="0"/>
          <w:marTop w:val="0"/>
          <w:marBottom w:val="0"/>
          <w:divBdr>
            <w:top w:val="none" w:sz="0" w:space="0" w:color="auto"/>
            <w:left w:val="none" w:sz="0" w:space="0" w:color="auto"/>
            <w:bottom w:val="none" w:sz="0" w:space="0" w:color="auto"/>
            <w:right w:val="none" w:sz="0" w:space="0" w:color="auto"/>
          </w:divBdr>
          <w:divsChild>
            <w:div w:id="56903300">
              <w:marLeft w:val="0"/>
              <w:marRight w:val="0"/>
              <w:marTop w:val="0"/>
              <w:marBottom w:val="0"/>
              <w:divBdr>
                <w:top w:val="none" w:sz="0" w:space="0" w:color="auto"/>
                <w:left w:val="none" w:sz="0" w:space="0" w:color="auto"/>
                <w:bottom w:val="none" w:sz="0" w:space="0" w:color="auto"/>
                <w:right w:val="none" w:sz="0" w:space="0" w:color="auto"/>
              </w:divBdr>
            </w:div>
          </w:divsChild>
        </w:div>
        <w:div w:id="1568999834">
          <w:marLeft w:val="0"/>
          <w:marRight w:val="0"/>
          <w:marTop w:val="0"/>
          <w:marBottom w:val="0"/>
          <w:divBdr>
            <w:top w:val="none" w:sz="0" w:space="0" w:color="auto"/>
            <w:left w:val="none" w:sz="0" w:space="0" w:color="auto"/>
            <w:bottom w:val="none" w:sz="0" w:space="0" w:color="auto"/>
            <w:right w:val="none" w:sz="0" w:space="0" w:color="auto"/>
          </w:divBdr>
          <w:divsChild>
            <w:div w:id="1687245595">
              <w:marLeft w:val="0"/>
              <w:marRight w:val="0"/>
              <w:marTop w:val="0"/>
              <w:marBottom w:val="0"/>
              <w:divBdr>
                <w:top w:val="none" w:sz="0" w:space="0" w:color="auto"/>
                <w:left w:val="none" w:sz="0" w:space="0" w:color="auto"/>
                <w:bottom w:val="none" w:sz="0" w:space="0" w:color="auto"/>
                <w:right w:val="none" w:sz="0" w:space="0" w:color="auto"/>
              </w:divBdr>
            </w:div>
          </w:divsChild>
        </w:div>
        <w:div w:id="1572885557">
          <w:marLeft w:val="0"/>
          <w:marRight w:val="0"/>
          <w:marTop w:val="0"/>
          <w:marBottom w:val="0"/>
          <w:divBdr>
            <w:top w:val="none" w:sz="0" w:space="0" w:color="auto"/>
            <w:left w:val="none" w:sz="0" w:space="0" w:color="auto"/>
            <w:bottom w:val="none" w:sz="0" w:space="0" w:color="auto"/>
            <w:right w:val="none" w:sz="0" w:space="0" w:color="auto"/>
          </w:divBdr>
          <w:divsChild>
            <w:div w:id="1944222985">
              <w:marLeft w:val="0"/>
              <w:marRight w:val="0"/>
              <w:marTop w:val="0"/>
              <w:marBottom w:val="0"/>
              <w:divBdr>
                <w:top w:val="none" w:sz="0" w:space="0" w:color="auto"/>
                <w:left w:val="none" w:sz="0" w:space="0" w:color="auto"/>
                <w:bottom w:val="none" w:sz="0" w:space="0" w:color="auto"/>
                <w:right w:val="none" w:sz="0" w:space="0" w:color="auto"/>
              </w:divBdr>
            </w:div>
          </w:divsChild>
        </w:div>
        <w:div w:id="1573738707">
          <w:marLeft w:val="0"/>
          <w:marRight w:val="0"/>
          <w:marTop w:val="0"/>
          <w:marBottom w:val="0"/>
          <w:divBdr>
            <w:top w:val="none" w:sz="0" w:space="0" w:color="auto"/>
            <w:left w:val="none" w:sz="0" w:space="0" w:color="auto"/>
            <w:bottom w:val="none" w:sz="0" w:space="0" w:color="auto"/>
            <w:right w:val="none" w:sz="0" w:space="0" w:color="auto"/>
          </w:divBdr>
          <w:divsChild>
            <w:div w:id="1495950949">
              <w:marLeft w:val="0"/>
              <w:marRight w:val="0"/>
              <w:marTop w:val="0"/>
              <w:marBottom w:val="0"/>
              <w:divBdr>
                <w:top w:val="none" w:sz="0" w:space="0" w:color="auto"/>
                <w:left w:val="none" w:sz="0" w:space="0" w:color="auto"/>
                <w:bottom w:val="none" w:sz="0" w:space="0" w:color="auto"/>
                <w:right w:val="none" w:sz="0" w:space="0" w:color="auto"/>
              </w:divBdr>
            </w:div>
          </w:divsChild>
        </w:div>
        <w:div w:id="1574587268">
          <w:marLeft w:val="0"/>
          <w:marRight w:val="0"/>
          <w:marTop w:val="0"/>
          <w:marBottom w:val="0"/>
          <w:divBdr>
            <w:top w:val="none" w:sz="0" w:space="0" w:color="auto"/>
            <w:left w:val="none" w:sz="0" w:space="0" w:color="auto"/>
            <w:bottom w:val="none" w:sz="0" w:space="0" w:color="auto"/>
            <w:right w:val="none" w:sz="0" w:space="0" w:color="auto"/>
          </w:divBdr>
          <w:divsChild>
            <w:div w:id="1107504544">
              <w:marLeft w:val="0"/>
              <w:marRight w:val="0"/>
              <w:marTop w:val="0"/>
              <w:marBottom w:val="0"/>
              <w:divBdr>
                <w:top w:val="none" w:sz="0" w:space="0" w:color="auto"/>
                <w:left w:val="none" w:sz="0" w:space="0" w:color="auto"/>
                <w:bottom w:val="none" w:sz="0" w:space="0" w:color="auto"/>
                <w:right w:val="none" w:sz="0" w:space="0" w:color="auto"/>
              </w:divBdr>
            </w:div>
          </w:divsChild>
        </w:div>
        <w:div w:id="1581208610">
          <w:marLeft w:val="0"/>
          <w:marRight w:val="0"/>
          <w:marTop w:val="0"/>
          <w:marBottom w:val="0"/>
          <w:divBdr>
            <w:top w:val="none" w:sz="0" w:space="0" w:color="auto"/>
            <w:left w:val="none" w:sz="0" w:space="0" w:color="auto"/>
            <w:bottom w:val="none" w:sz="0" w:space="0" w:color="auto"/>
            <w:right w:val="none" w:sz="0" w:space="0" w:color="auto"/>
          </w:divBdr>
          <w:divsChild>
            <w:div w:id="2040546164">
              <w:marLeft w:val="0"/>
              <w:marRight w:val="0"/>
              <w:marTop w:val="0"/>
              <w:marBottom w:val="0"/>
              <w:divBdr>
                <w:top w:val="none" w:sz="0" w:space="0" w:color="auto"/>
                <w:left w:val="none" w:sz="0" w:space="0" w:color="auto"/>
                <w:bottom w:val="none" w:sz="0" w:space="0" w:color="auto"/>
                <w:right w:val="none" w:sz="0" w:space="0" w:color="auto"/>
              </w:divBdr>
            </w:div>
          </w:divsChild>
        </w:div>
        <w:div w:id="1596939017">
          <w:marLeft w:val="0"/>
          <w:marRight w:val="0"/>
          <w:marTop w:val="0"/>
          <w:marBottom w:val="0"/>
          <w:divBdr>
            <w:top w:val="none" w:sz="0" w:space="0" w:color="auto"/>
            <w:left w:val="none" w:sz="0" w:space="0" w:color="auto"/>
            <w:bottom w:val="none" w:sz="0" w:space="0" w:color="auto"/>
            <w:right w:val="none" w:sz="0" w:space="0" w:color="auto"/>
          </w:divBdr>
          <w:divsChild>
            <w:div w:id="170881334">
              <w:marLeft w:val="0"/>
              <w:marRight w:val="0"/>
              <w:marTop w:val="0"/>
              <w:marBottom w:val="0"/>
              <w:divBdr>
                <w:top w:val="none" w:sz="0" w:space="0" w:color="auto"/>
                <w:left w:val="none" w:sz="0" w:space="0" w:color="auto"/>
                <w:bottom w:val="none" w:sz="0" w:space="0" w:color="auto"/>
                <w:right w:val="none" w:sz="0" w:space="0" w:color="auto"/>
              </w:divBdr>
            </w:div>
          </w:divsChild>
        </w:div>
        <w:div w:id="1597440722">
          <w:marLeft w:val="0"/>
          <w:marRight w:val="0"/>
          <w:marTop w:val="0"/>
          <w:marBottom w:val="0"/>
          <w:divBdr>
            <w:top w:val="none" w:sz="0" w:space="0" w:color="auto"/>
            <w:left w:val="none" w:sz="0" w:space="0" w:color="auto"/>
            <w:bottom w:val="none" w:sz="0" w:space="0" w:color="auto"/>
            <w:right w:val="none" w:sz="0" w:space="0" w:color="auto"/>
          </w:divBdr>
          <w:divsChild>
            <w:div w:id="175731299">
              <w:marLeft w:val="0"/>
              <w:marRight w:val="0"/>
              <w:marTop w:val="0"/>
              <w:marBottom w:val="0"/>
              <w:divBdr>
                <w:top w:val="none" w:sz="0" w:space="0" w:color="auto"/>
                <w:left w:val="none" w:sz="0" w:space="0" w:color="auto"/>
                <w:bottom w:val="none" w:sz="0" w:space="0" w:color="auto"/>
                <w:right w:val="none" w:sz="0" w:space="0" w:color="auto"/>
              </w:divBdr>
            </w:div>
          </w:divsChild>
        </w:div>
        <w:div w:id="1603150661">
          <w:marLeft w:val="0"/>
          <w:marRight w:val="0"/>
          <w:marTop w:val="0"/>
          <w:marBottom w:val="0"/>
          <w:divBdr>
            <w:top w:val="none" w:sz="0" w:space="0" w:color="auto"/>
            <w:left w:val="none" w:sz="0" w:space="0" w:color="auto"/>
            <w:bottom w:val="none" w:sz="0" w:space="0" w:color="auto"/>
            <w:right w:val="none" w:sz="0" w:space="0" w:color="auto"/>
          </w:divBdr>
          <w:divsChild>
            <w:div w:id="1817332987">
              <w:marLeft w:val="0"/>
              <w:marRight w:val="0"/>
              <w:marTop w:val="0"/>
              <w:marBottom w:val="0"/>
              <w:divBdr>
                <w:top w:val="none" w:sz="0" w:space="0" w:color="auto"/>
                <w:left w:val="none" w:sz="0" w:space="0" w:color="auto"/>
                <w:bottom w:val="none" w:sz="0" w:space="0" w:color="auto"/>
                <w:right w:val="none" w:sz="0" w:space="0" w:color="auto"/>
              </w:divBdr>
            </w:div>
          </w:divsChild>
        </w:div>
        <w:div w:id="1606960081">
          <w:marLeft w:val="0"/>
          <w:marRight w:val="0"/>
          <w:marTop w:val="0"/>
          <w:marBottom w:val="0"/>
          <w:divBdr>
            <w:top w:val="none" w:sz="0" w:space="0" w:color="auto"/>
            <w:left w:val="none" w:sz="0" w:space="0" w:color="auto"/>
            <w:bottom w:val="none" w:sz="0" w:space="0" w:color="auto"/>
            <w:right w:val="none" w:sz="0" w:space="0" w:color="auto"/>
          </w:divBdr>
          <w:divsChild>
            <w:div w:id="1574124020">
              <w:marLeft w:val="0"/>
              <w:marRight w:val="0"/>
              <w:marTop w:val="0"/>
              <w:marBottom w:val="0"/>
              <w:divBdr>
                <w:top w:val="none" w:sz="0" w:space="0" w:color="auto"/>
                <w:left w:val="none" w:sz="0" w:space="0" w:color="auto"/>
                <w:bottom w:val="none" w:sz="0" w:space="0" w:color="auto"/>
                <w:right w:val="none" w:sz="0" w:space="0" w:color="auto"/>
              </w:divBdr>
            </w:div>
          </w:divsChild>
        </w:div>
        <w:div w:id="1609120254">
          <w:marLeft w:val="0"/>
          <w:marRight w:val="0"/>
          <w:marTop w:val="0"/>
          <w:marBottom w:val="0"/>
          <w:divBdr>
            <w:top w:val="none" w:sz="0" w:space="0" w:color="auto"/>
            <w:left w:val="none" w:sz="0" w:space="0" w:color="auto"/>
            <w:bottom w:val="none" w:sz="0" w:space="0" w:color="auto"/>
            <w:right w:val="none" w:sz="0" w:space="0" w:color="auto"/>
          </w:divBdr>
          <w:divsChild>
            <w:div w:id="1751653027">
              <w:marLeft w:val="0"/>
              <w:marRight w:val="0"/>
              <w:marTop w:val="0"/>
              <w:marBottom w:val="0"/>
              <w:divBdr>
                <w:top w:val="none" w:sz="0" w:space="0" w:color="auto"/>
                <w:left w:val="none" w:sz="0" w:space="0" w:color="auto"/>
                <w:bottom w:val="none" w:sz="0" w:space="0" w:color="auto"/>
                <w:right w:val="none" w:sz="0" w:space="0" w:color="auto"/>
              </w:divBdr>
            </w:div>
          </w:divsChild>
        </w:div>
        <w:div w:id="1609779829">
          <w:marLeft w:val="0"/>
          <w:marRight w:val="0"/>
          <w:marTop w:val="0"/>
          <w:marBottom w:val="0"/>
          <w:divBdr>
            <w:top w:val="none" w:sz="0" w:space="0" w:color="auto"/>
            <w:left w:val="none" w:sz="0" w:space="0" w:color="auto"/>
            <w:bottom w:val="none" w:sz="0" w:space="0" w:color="auto"/>
            <w:right w:val="none" w:sz="0" w:space="0" w:color="auto"/>
          </w:divBdr>
          <w:divsChild>
            <w:div w:id="840968234">
              <w:marLeft w:val="0"/>
              <w:marRight w:val="0"/>
              <w:marTop w:val="0"/>
              <w:marBottom w:val="0"/>
              <w:divBdr>
                <w:top w:val="none" w:sz="0" w:space="0" w:color="auto"/>
                <w:left w:val="none" w:sz="0" w:space="0" w:color="auto"/>
                <w:bottom w:val="none" w:sz="0" w:space="0" w:color="auto"/>
                <w:right w:val="none" w:sz="0" w:space="0" w:color="auto"/>
              </w:divBdr>
            </w:div>
          </w:divsChild>
        </w:div>
        <w:div w:id="1612978967">
          <w:marLeft w:val="0"/>
          <w:marRight w:val="0"/>
          <w:marTop w:val="0"/>
          <w:marBottom w:val="0"/>
          <w:divBdr>
            <w:top w:val="none" w:sz="0" w:space="0" w:color="auto"/>
            <w:left w:val="none" w:sz="0" w:space="0" w:color="auto"/>
            <w:bottom w:val="none" w:sz="0" w:space="0" w:color="auto"/>
            <w:right w:val="none" w:sz="0" w:space="0" w:color="auto"/>
          </w:divBdr>
          <w:divsChild>
            <w:div w:id="920914153">
              <w:marLeft w:val="0"/>
              <w:marRight w:val="0"/>
              <w:marTop w:val="0"/>
              <w:marBottom w:val="0"/>
              <w:divBdr>
                <w:top w:val="none" w:sz="0" w:space="0" w:color="auto"/>
                <w:left w:val="none" w:sz="0" w:space="0" w:color="auto"/>
                <w:bottom w:val="none" w:sz="0" w:space="0" w:color="auto"/>
                <w:right w:val="none" w:sz="0" w:space="0" w:color="auto"/>
              </w:divBdr>
            </w:div>
          </w:divsChild>
        </w:div>
        <w:div w:id="1621103995">
          <w:marLeft w:val="0"/>
          <w:marRight w:val="0"/>
          <w:marTop w:val="0"/>
          <w:marBottom w:val="0"/>
          <w:divBdr>
            <w:top w:val="none" w:sz="0" w:space="0" w:color="auto"/>
            <w:left w:val="none" w:sz="0" w:space="0" w:color="auto"/>
            <w:bottom w:val="none" w:sz="0" w:space="0" w:color="auto"/>
            <w:right w:val="none" w:sz="0" w:space="0" w:color="auto"/>
          </w:divBdr>
          <w:divsChild>
            <w:div w:id="1905944355">
              <w:marLeft w:val="0"/>
              <w:marRight w:val="0"/>
              <w:marTop w:val="0"/>
              <w:marBottom w:val="0"/>
              <w:divBdr>
                <w:top w:val="none" w:sz="0" w:space="0" w:color="auto"/>
                <w:left w:val="none" w:sz="0" w:space="0" w:color="auto"/>
                <w:bottom w:val="none" w:sz="0" w:space="0" w:color="auto"/>
                <w:right w:val="none" w:sz="0" w:space="0" w:color="auto"/>
              </w:divBdr>
            </w:div>
          </w:divsChild>
        </w:div>
        <w:div w:id="1626279503">
          <w:marLeft w:val="0"/>
          <w:marRight w:val="0"/>
          <w:marTop w:val="0"/>
          <w:marBottom w:val="0"/>
          <w:divBdr>
            <w:top w:val="none" w:sz="0" w:space="0" w:color="auto"/>
            <w:left w:val="none" w:sz="0" w:space="0" w:color="auto"/>
            <w:bottom w:val="none" w:sz="0" w:space="0" w:color="auto"/>
            <w:right w:val="none" w:sz="0" w:space="0" w:color="auto"/>
          </w:divBdr>
          <w:divsChild>
            <w:div w:id="1342513413">
              <w:marLeft w:val="0"/>
              <w:marRight w:val="0"/>
              <w:marTop w:val="0"/>
              <w:marBottom w:val="0"/>
              <w:divBdr>
                <w:top w:val="none" w:sz="0" w:space="0" w:color="auto"/>
                <w:left w:val="none" w:sz="0" w:space="0" w:color="auto"/>
                <w:bottom w:val="none" w:sz="0" w:space="0" w:color="auto"/>
                <w:right w:val="none" w:sz="0" w:space="0" w:color="auto"/>
              </w:divBdr>
            </w:div>
          </w:divsChild>
        </w:div>
        <w:div w:id="1640764841">
          <w:marLeft w:val="0"/>
          <w:marRight w:val="0"/>
          <w:marTop w:val="0"/>
          <w:marBottom w:val="0"/>
          <w:divBdr>
            <w:top w:val="none" w:sz="0" w:space="0" w:color="auto"/>
            <w:left w:val="none" w:sz="0" w:space="0" w:color="auto"/>
            <w:bottom w:val="none" w:sz="0" w:space="0" w:color="auto"/>
            <w:right w:val="none" w:sz="0" w:space="0" w:color="auto"/>
          </w:divBdr>
          <w:divsChild>
            <w:div w:id="1385176065">
              <w:marLeft w:val="0"/>
              <w:marRight w:val="0"/>
              <w:marTop w:val="0"/>
              <w:marBottom w:val="0"/>
              <w:divBdr>
                <w:top w:val="none" w:sz="0" w:space="0" w:color="auto"/>
                <w:left w:val="none" w:sz="0" w:space="0" w:color="auto"/>
                <w:bottom w:val="none" w:sz="0" w:space="0" w:color="auto"/>
                <w:right w:val="none" w:sz="0" w:space="0" w:color="auto"/>
              </w:divBdr>
            </w:div>
          </w:divsChild>
        </w:div>
        <w:div w:id="1644692869">
          <w:marLeft w:val="0"/>
          <w:marRight w:val="0"/>
          <w:marTop w:val="0"/>
          <w:marBottom w:val="0"/>
          <w:divBdr>
            <w:top w:val="none" w:sz="0" w:space="0" w:color="auto"/>
            <w:left w:val="none" w:sz="0" w:space="0" w:color="auto"/>
            <w:bottom w:val="none" w:sz="0" w:space="0" w:color="auto"/>
            <w:right w:val="none" w:sz="0" w:space="0" w:color="auto"/>
          </w:divBdr>
          <w:divsChild>
            <w:div w:id="233199034">
              <w:marLeft w:val="0"/>
              <w:marRight w:val="0"/>
              <w:marTop w:val="0"/>
              <w:marBottom w:val="0"/>
              <w:divBdr>
                <w:top w:val="none" w:sz="0" w:space="0" w:color="auto"/>
                <w:left w:val="none" w:sz="0" w:space="0" w:color="auto"/>
                <w:bottom w:val="none" w:sz="0" w:space="0" w:color="auto"/>
                <w:right w:val="none" w:sz="0" w:space="0" w:color="auto"/>
              </w:divBdr>
            </w:div>
          </w:divsChild>
        </w:div>
        <w:div w:id="1648822282">
          <w:marLeft w:val="0"/>
          <w:marRight w:val="0"/>
          <w:marTop w:val="0"/>
          <w:marBottom w:val="0"/>
          <w:divBdr>
            <w:top w:val="none" w:sz="0" w:space="0" w:color="auto"/>
            <w:left w:val="none" w:sz="0" w:space="0" w:color="auto"/>
            <w:bottom w:val="none" w:sz="0" w:space="0" w:color="auto"/>
            <w:right w:val="none" w:sz="0" w:space="0" w:color="auto"/>
          </w:divBdr>
          <w:divsChild>
            <w:div w:id="1830292577">
              <w:marLeft w:val="0"/>
              <w:marRight w:val="0"/>
              <w:marTop w:val="0"/>
              <w:marBottom w:val="0"/>
              <w:divBdr>
                <w:top w:val="none" w:sz="0" w:space="0" w:color="auto"/>
                <w:left w:val="none" w:sz="0" w:space="0" w:color="auto"/>
                <w:bottom w:val="none" w:sz="0" w:space="0" w:color="auto"/>
                <w:right w:val="none" w:sz="0" w:space="0" w:color="auto"/>
              </w:divBdr>
            </w:div>
          </w:divsChild>
        </w:div>
        <w:div w:id="1654484875">
          <w:marLeft w:val="0"/>
          <w:marRight w:val="0"/>
          <w:marTop w:val="0"/>
          <w:marBottom w:val="0"/>
          <w:divBdr>
            <w:top w:val="none" w:sz="0" w:space="0" w:color="auto"/>
            <w:left w:val="none" w:sz="0" w:space="0" w:color="auto"/>
            <w:bottom w:val="none" w:sz="0" w:space="0" w:color="auto"/>
            <w:right w:val="none" w:sz="0" w:space="0" w:color="auto"/>
          </w:divBdr>
          <w:divsChild>
            <w:div w:id="1822574706">
              <w:marLeft w:val="0"/>
              <w:marRight w:val="0"/>
              <w:marTop w:val="0"/>
              <w:marBottom w:val="0"/>
              <w:divBdr>
                <w:top w:val="none" w:sz="0" w:space="0" w:color="auto"/>
                <w:left w:val="none" w:sz="0" w:space="0" w:color="auto"/>
                <w:bottom w:val="none" w:sz="0" w:space="0" w:color="auto"/>
                <w:right w:val="none" w:sz="0" w:space="0" w:color="auto"/>
              </w:divBdr>
            </w:div>
          </w:divsChild>
        </w:div>
        <w:div w:id="1654718913">
          <w:marLeft w:val="0"/>
          <w:marRight w:val="0"/>
          <w:marTop w:val="0"/>
          <w:marBottom w:val="0"/>
          <w:divBdr>
            <w:top w:val="none" w:sz="0" w:space="0" w:color="auto"/>
            <w:left w:val="none" w:sz="0" w:space="0" w:color="auto"/>
            <w:bottom w:val="none" w:sz="0" w:space="0" w:color="auto"/>
            <w:right w:val="none" w:sz="0" w:space="0" w:color="auto"/>
          </w:divBdr>
          <w:divsChild>
            <w:div w:id="1360664040">
              <w:marLeft w:val="0"/>
              <w:marRight w:val="0"/>
              <w:marTop w:val="0"/>
              <w:marBottom w:val="0"/>
              <w:divBdr>
                <w:top w:val="none" w:sz="0" w:space="0" w:color="auto"/>
                <w:left w:val="none" w:sz="0" w:space="0" w:color="auto"/>
                <w:bottom w:val="none" w:sz="0" w:space="0" w:color="auto"/>
                <w:right w:val="none" w:sz="0" w:space="0" w:color="auto"/>
              </w:divBdr>
            </w:div>
          </w:divsChild>
        </w:div>
        <w:div w:id="1654942423">
          <w:marLeft w:val="0"/>
          <w:marRight w:val="0"/>
          <w:marTop w:val="0"/>
          <w:marBottom w:val="0"/>
          <w:divBdr>
            <w:top w:val="none" w:sz="0" w:space="0" w:color="auto"/>
            <w:left w:val="none" w:sz="0" w:space="0" w:color="auto"/>
            <w:bottom w:val="none" w:sz="0" w:space="0" w:color="auto"/>
            <w:right w:val="none" w:sz="0" w:space="0" w:color="auto"/>
          </w:divBdr>
          <w:divsChild>
            <w:div w:id="1216619335">
              <w:marLeft w:val="0"/>
              <w:marRight w:val="0"/>
              <w:marTop w:val="0"/>
              <w:marBottom w:val="0"/>
              <w:divBdr>
                <w:top w:val="none" w:sz="0" w:space="0" w:color="auto"/>
                <w:left w:val="none" w:sz="0" w:space="0" w:color="auto"/>
                <w:bottom w:val="none" w:sz="0" w:space="0" w:color="auto"/>
                <w:right w:val="none" w:sz="0" w:space="0" w:color="auto"/>
              </w:divBdr>
            </w:div>
          </w:divsChild>
        </w:div>
        <w:div w:id="1655521544">
          <w:marLeft w:val="0"/>
          <w:marRight w:val="0"/>
          <w:marTop w:val="0"/>
          <w:marBottom w:val="0"/>
          <w:divBdr>
            <w:top w:val="none" w:sz="0" w:space="0" w:color="auto"/>
            <w:left w:val="none" w:sz="0" w:space="0" w:color="auto"/>
            <w:bottom w:val="none" w:sz="0" w:space="0" w:color="auto"/>
            <w:right w:val="none" w:sz="0" w:space="0" w:color="auto"/>
          </w:divBdr>
          <w:divsChild>
            <w:div w:id="1647122583">
              <w:marLeft w:val="0"/>
              <w:marRight w:val="0"/>
              <w:marTop w:val="0"/>
              <w:marBottom w:val="0"/>
              <w:divBdr>
                <w:top w:val="none" w:sz="0" w:space="0" w:color="auto"/>
                <w:left w:val="none" w:sz="0" w:space="0" w:color="auto"/>
                <w:bottom w:val="none" w:sz="0" w:space="0" w:color="auto"/>
                <w:right w:val="none" w:sz="0" w:space="0" w:color="auto"/>
              </w:divBdr>
            </w:div>
          </w:divsChild>
        </w:div>
        <w:div w:id="1657105995">
          <w:marLeft w:val="0"/>
          <w:marRight w:val="0"/>
          <w:marTop w:val="0"/>
          <w:marBottom w:val="0"/>
          <w:divBdr>
            <w:top w:val="none" w:sz="0" w:space="0" w:color="auto"/>
            <w:left w:val="none" w:sz="0" w:space="0" w:color="auto"/>
            <w:bottom w:val="none" w:sz="0" w:space="0" w:color="auto"/>
            <w:right w:val="none" w:sz="0" w:space="0" w:color="auto"/>
          </w:divBdr>
          <w:divsChild>
            <w:div w:id="219750515">
              <w:marLeft w:val="0"/>
              <w:marRight w:val="0"/>
              <w:marTop w:val="0"/>
              <w:marBottom w:val="0"/>
              <w:divBdr>
                <w:top w:val="none" w:sz="0" w:space="0" w:color="auto"/>
                <w:left w:val="none" w:sz="0" w:space="0" w:color="auto"/>
                <w:bottom w:val="none" w:sz="0" w:space="0" w:color="auto"/>
                <w:right w:val="none" w:sz="0" w:space="0" w:color="auto"/>
              </w:divBdr>
            </w:div>
          </w:divsChild>
        </w:div>
        <w:div w:id="1680112813">
          <w:marLeft w:val="0"/>
          <w:marRight w:val="0"/>
          <w:marTop w:val="0"/>
          <w:marBottom w:val="0"/>
          <w:divBdr>
            <w:top w:val="none" w:sz="0" w:space="0" w:color="auto"/>
            <w:left w:val="none" w:sz="0" w:space="0" w:color="auto"/>
            <w:bottom w:val="none" w:sz="0" w:space="0" w:color="auto"/>
            <w:right w:val="none" w:sz="0" w:space="0" w:color="auto"/>
          </w:divBdr>
          <w:divsChild>
            <w:div w:id="356203723">
              <w:marLeft w:val="0"/>
              <w:marRight w:val="0"/>
              <w:marTop w:val="0"/>
              <w:marBottom w:val="0"/>
              <w:divBdr>
                <w:top w:val="none" w:sz="0" w:space="0" w:color="auto"/>
                <w:left w:val="none" w:sz="0" w:space="0" w:color="auto"/>
                <w:bottom w:val="none" w:sz="0" w:space="0" w:color="auto"/>
                <w:right w:val="none" w:sz="0" w:space="0" w:color="auto"/>
              </w:divBdr>
            </w:div>
          </w:divsChild>
        </w:div>
        <w:div w:id="1701013052">
          <w:marLeft w:val="0"/>
          <w:marRight w:val="0"/>
          <w:marTop w:val="0"/>
          <w:marBottom w:val="0"/>
          <w:divBdr>
            <w:top w:val="none" w:sz="0" w:space="0" w:color="auto"/>
            <w:left w:val="none" w:sz="0" w:space="0" w:color="auto"/>
            <w:bottom w:val="none" w:sz="0" w:space="0" w:color="auto"/>
            <w:right w:val="none" w:sz="0" w:space="0" w:color="auto"/>
          </w:divBdr>
          <w:divsChild>
            <w:div w:id="1652254052">
              <w:marLeft w:val="0"/>
              <w:marRight w:val="0"/>
              <w:marTop w:val="0"/>
              <w:marBottom w:val="0"/>
              <w:divBdr>
                <w:top w:val="none" w:sz="0" w:space="0" w:color="auto"/>
                <w:left w:val="none" w:sz="0" w:space="0" w:color="auto"/>
                <w:bottom w:val="none" w:sz="0" w:space="0" w:color="auto"/>
                <w:right w:val="none" w:sz="0" w:space="0" w:color="auto"/>
              </w:divBdr>
            </w:div>
          </w:divsChild>
        </w:div>
        <w:div w:id="1704793098">
          <w:marLeft w:val="0"/>
          <w:marRight w:val="0"/>
          <w:marTop w:val="0"/>
          <w:marBottom w:val="0"/>
          <w:divBdr>
            <w:top w:val="none" w:sz="0" w:space="0" w:color="auto"/>
            <w:left w:val="none" w:sz="0" w:space="0" w:color="auto"/>
            <w:bottom w:val="none" w:sz="0" w:space="0" w:color="auto"/>
            <w:right w:val="none" w:sz="0" w:space="0" w:color="auto"/>
          </w:divBdr>
          <w:divsChild>
            <w:div w:id="53286135">
              <w:marLeft w:val="0"/>
              <w:marRight w:val="0"/>
              <w:marTop w:val="0"/>
              <w:marBottom w:val="0"/>
              <w:divBdr>
                <w:top w:val="none" w:sz="0" w:space="0" w:color="auto"/>
                <w:left w:val="none" w:sz="0" w:space="0" w:color="auto"/>
                <w:bottom w:val="none" w:sz="0" w:space="0" w:color="auto"/>
                <w:right w:val="none" w:sz="0" w:space="0" w:color="auto"/>
              </w:divBdr>
            </w:div>
          </w:divsChild>
        </w:div>
        <w:div w:id="1707755092">
          <w:marLeft w:val="0"/>
          <w:marRight w:val="0"/>
          <w:marTop w:val="0"/>
          <w:marBottom w:val="0"/>
          <w:divBdr>
            <w:top w:val="none" w:sz="0" w:space="0" w:color="auto"/>
            <w:left w:val="none" w:sz="0" w:space="0" w:color="auto"/>
            <w:bottom w:val="none" w:sz="0" w:space="0" w:color="auto"/>
            <w:right w:val="none" w:sz="0" w:space="0" w:color="auto"/>
          </w:divBdr>
          <w:divsChild>
            <w:div w:id="50230623">
              <w:marLeft w:val="0"/>
              <w:marRight w:val="0"/>
              <w:marTop w:val="0"/>
              <w:marBottom w:val="0"/>
              <w:divBdr>
                <w:top w:val="none" w:sz="0" w:space="0" w:color="auto"/>
                <w:left w:val="none" w:sz="0" w:space="0" w:color="auto"/>
                <w:bottom w:val="none" w:sz="0" w:space="0" w:color="auto"/>
                <w:right w:val="none" w:sz="0" w:space="0" w:color="auto"/>
              </w:divBdr>
            </w:div>
          </w:divsChild>
        </w:div>
        <w:div w:id="1711028737">
          <w:marLeft w:val="0"/>
          <w:marRight w:val="0"/>
          <w:marTop w:val="0"/>
          <w:marBottom w:val="0"/>
          <w:divBdr>
            <w:top w:val="none" w:sz="0" w:space="0" w:color="auto"/>
            <w:left w:val="none" w:sz="0" w:space="0" w:color="auto"/>
            <w:bottom w:val="none" w:sz="0" w:space="0" w:color="auto"/>
            <w:right w:val="none" w:sz="0" w:space="0" w:color="auto"/>
          </w:divBdr>
          <w:divsChild>
            <w:div w:id="1248463825">
              <w:marLeft w:val="0"/>
              <w:marRight w:val="0"/>
              <w:marTop w:val="0"/>
              <w:marBottom w:val="0"/>
              <w:divBdr>
                <w:top w:val="none" w:sz="0" w:space="0" w:color="auto"/>
                <w:left w:val="none" w:sz="0" w:space="0" w:color="auto"/>
                <w:bottom w:val="none" w:sz="0" w:space="0" w:color="auto"/>
                <w:right w:val="none" w:sz="0" w:space="0" w:color="auto"/>
              </w:divBdr>
            </w:div>
          </w:divsChild>
        </w:div>
        <w:div w:id="1724406324">
          <w:marLeft w:val="0"/>
          <w:marRight w:val="0"/>
          <w:marTop w:val="0"/>
          <w:marBottom w:val="0"/>
          <w:divBdr>
            <w:top w:val="none" w:sz="0" w:space="0" w:color="auto"/>
            <w:left w:val="none" w:sz="0" w:space="0" w:color="auto"/>
            <w:bottom w:val="none" w:sz="0" w:space="0" w:color="auto"/>
            <w:right w:val="none" w:sz="0" w:space="0" w:color="auto"/>
          </w:divBdr>
          <w:divsChild>
            <w:div w:id="988024769">
              <w:marLeft w:val="0"/>
              <w:marRight w:val="0"/>
              <w:marTop w:val="0"/>
              <w:marBottom w:val="0"/>
              <w:divBdr>
                <w:top w:val="none" w:sz="0" w:space="0" w:color="auto"/>
                <w:left w:val="none" w:sz="0" w:space="0" w:color="auto"/>
                <w:bottom w:val="none" w:sz="0" w:space="0" w:color="auto"/>
                <w:right w:val="none" w:sz="0" w:space="0" w:color="auto"/>
              </w:divBdr>
            </w:div>
          </w:divsChild>
        </w:div>
        <w:div w:id="1724479423">
          <w:marLeft w:val="0"/>
          <w:marRight w:val="0"/>
          <w:marTop w:val="0"/>
          <w:marBottom w:val="0"/>
          <w:divBdr>
            <w:top w:val="none" w:sz="0" w:space="0" w:color="auto"/>
            <w:left w:val="none" w:sz="0" w:space="0" w:color="auto"/>
            <w:bottom w:val="none" w:sz="0" w:space="0" w:color="auto"/>
            <w:right w:val="none" w:sz="0" w:space="0" w:color="auto"/>
          </w:divBdr>
          <w:divsChild>
            <w:div w:id="1875725133">
              <w:marLeft w:val="0"/>
              <w:marRight w:val="0"/>
              <w:marTop w:val="0"/>
              <w:marBottom w:val="0"/>
              <w:divBdr>
                <w:top w:val="none" w:sz="0" w:space="0" w:color="auto"/>
                <w:left w:val="none" w:sz="0" w:space="0" w:color="auto"/>
                <w:bottom w:val="none" w:sz="0" w:space="0" w:color="auto"/>
                <w:right w:val="none" w:sz="0" w:space="0" w:color="auto"/>
              </w:divBdr>
            </w:div>
          </w:divsChild>
        </w:div>
        <w:div w:id="1726365980">
          <w:marLeft w:val="0"/>
          <w:marRight w:val="0"/>
          <w:marTop w:val="0"/>
          <w:marBottom w:val="0"/>
          <w:divBdr>
            <w:top w:val="none" w:sz="0" w:space="0" w:color="auto"/>
            <w:left w:val="none" w:sz="0" w:space="0" w:color="auto"/>
            <w:bottom w:val="none" w:sz="0" w:space="0" w:color="auto"/>
            <w:right w:val="none" w:sz="0" w:space="0" w:color="auto"/>
          </w:divBdr>
          <w:divsChild>
            <w:div w:id="1399211886">
              <w:marLeft w:val="0"/>
              <w:marRight w:val="0"/>
              <w:marTop w:val="0"/>
              <w:marBottom w:val="0"/>
              <w:divBdr>
                <w:top w:val="none" w:sz="0" w:space="0" w:color="auto"/>
                <w:left w:val="none" w:sz="0" w:space="0" w:color="auto"/>
                <w:bottom w:val="none" w:sz="0" w:space="0" w:color="auto"/>
                <w:right w:val="none" w:sz="0" w:space="0" w:color="auto"/>
              </w:divBdr>
            </w:div>
          </w:divsChild>
        </w:div>
        <w:div w:id="1727142315">
          <w:marLeft w:val="0"/>
          <w:marRight w:val="0"/>
          <w:marTop w:val="0"/>
          <w:marBottom w:val="0"/>
          <w:divBdr>
            <w:top w:val="none" w:sz="0" w:space="0" w:color="auto"/>
            <w:left w:val="none" w:sz="0" w:space="0" w:color="auto"/>
            <w:bottom w:val="none" w:sz="0" w:space="0" w:color="auto"/>
            <w:right w:val="none" w:sz="0" w:space="0" w:color="auto"/>
          </w:divBdr>
          <w:divsChild>
            <w:div w:id="1319844397">
              <w:marLeft w:val="0"/>
              <w:marRight w:val="0"/>
              <w:marTop w:val="0"/>
              <w:marBottom w:val="0"/>
              <w:divBdr>
                <w:top w:val="none" w:sz="0" w:space="0" w:color="auto"/>
                <w:left w:val="none" w:sz="0" w:space="0" w:color="auto"/>
                <w:bottom w:val="none" w:sz="0" w:space="0" w:color="auto"/>
                <w:right w:val="none" w:sz="0" w:space="0" w:color="auto"/>
              </w:divBdr>
            </w:div>
          </w:divsChild>
        </w:div>
        <w:div w:id="1728914851">
          <w:marLeft w:val="0"/>
          <w:marRight w:val="0"/>
          <w:marTop w:val="0"/>
          <w:marBottom w:val="0"/>
          <w:divBdr>
            <w:top w:val="none" w:sz="0" w:space="0" w:color="auto"/>
            <w:left w:val="none" w:sz="0" w:space="0" w:color="auto"/>
            <w:bottom w:val="none" w:sz="0" w:space="0" w:color="auto"/>
            <w:right w:val="none" w:sz="0" w:space="0" w:color="auto"/>
          </w:divBdr>
          <w:divsChild>
            <w:div w:id="1307013027">
              <w:marLeft w:val="0"/>
              <w:marRight w:val="0"/>
              <w:marTop w:val="0"/>
              <w:marBottom w:val="0"/>
              <w:divBdr>
                <w:top w:val="none" w:sz="0" w:space="0" w:color="auto"/>
                <w:left w:val="none" w:sz="0" w:space="0" w:color="auto"/>
                <w:bottom w:val="none" w:sz="0" w:space="0" w:color="auto"/>
                <w:right w:val="none" w:sz="0" w:space="0" w:color="auto"/>
              </w:divBdr>
            </w:div>
          </w:divsChild>
        </w:div>
        <w:div w:id="1732921443">
          <w:marLeft w:val="0"/>
          <w:marRight w:val="0"/>
          <w:marTop w:val="0"/>
          <w:marBottom w:val="0"/>
          <w:divBdr>
            <w:top w:val="none" w:sz="0" w:space="0" w:color="auto"/>
            <w:left w:val="none" w:sz="0" w:space="0" w:color="auto"/>
            <w:bottom w:val="none" w:sz="0" w:space="0" w:color="auto"/>
            <w:right w:val="none" w:sz="0" w:space="0" w:color="auto"/>
          </w:divBdr>
          <w:divsChild>
            <w:div w:id="799960611">
              <w:marLeft w:val="0"/>
              <w:marRight w:val="0"/>
              <w:marTop w:val="0"/>
              <w:marBottom w:val="0"/>
              <w:divBdr>
                <w:top w:val="none" w:sz="0" w:space="0" w:color="auto"/>
                <w:left w:val="none" w:sz="0" w:space="0" w:color="auto"/>
                <w:bottom w:val="none" w:sz="0" w:space="0" w:color="auto"/>
                <w:right w:val="none" w:sz="0" w:space="0" w:color="auto"/>
              </w:divBdr>
            </w:div>
          </w:divsChild>
        </w:div>
        <w:div w:id="1738358345">
          <w:marLeft w:val="0"/>
          <w:marRight w:val="0"/>
          <w:marTop w:val="0"/>
          <w:marBottom w:val="0"/>
          <w:divBdr>
            <w:top w:val="none" w:sz="0" w:space="0" w:color="auto"/>
            <w:left w:val="none" w:sz="0" w:space="0" w:color="auto"/>
            <w:bottom w:val="none" w:sz="0" w:space="0" w:color="auto"/>
            <w:right w:val="none" w:sz="0" w:space="0" w:color="auto"/>
          </w:divBdr>
          <w:divsChild>
            <w:div w:id="331765382">
              <w:marLeft w:val="0"/>
              <w:marRight w:val="0"/>
              <w:marTop w:val="0"/>
              <w:marBottom w:val="0"/>
              <w:divBdr>
                <w:top w:val="none" w:sz="0" w:space="0" w:color="auto"/>
                <w:left w:val="none" w:sz="0" w:space="0" w:color="auto"/>
                <w:bottom w:val="none" w:sz="0" w:space="0" w:color="auto"/>
                <w:right w:val="none" w:sz="0" w:space="0" w:color="auto"/>
              </w:divBdr>
            </w:div>
          </w:divsChild>
        </w:div>
        <w:div w:id="1744597375">
          <w:marLeft w:val="0"/>
          <w:marRight w:val="0"/>
          <w:marTop w:val="0"/>
          <w:marBottom w:val="0"/>
          <w:divBdr>
            <w:top w:val="none" w:sz="0" w:space="0" w:color="auto"/>
            <w:left w:val="none" w:sz="0" w:space="0" w:color="auto"/>
            <w:bottom w:val="none" w:sz="0" w:space="0" w:color="auto"/>
            <w:right w:val="none" w:sz="0" w:space="0" w:color="auto"/>
          </w:divBdr>
          <w:divsChild>
            <w:div w:id="1760953584">
              <w:marLeft w:val="0"/>
              <w:marRight w:val="0"/>
              <w:marTop w:val="0"/>
              <w:marBottom w:val="0"/>
              <w:divBdr>
                <w:top w:val="none" w:sz="0" w:space="0" w:color="auto"/>
                <w:left w:val="none" w:sz="0" w:space="0" w:color="auto"/>
                <w:bottom w:val="none" w:sz="0" w:space="0" w:color="auto"/>
                <w:right w:val="none" w:sz="0" w:space="0" w:color="auto"/>
              </w:divBdr>
            </w:div>
          </w:divsChild>
        </w:div>
        <w:div w:id="1745762731">
          <w:marLeft w:val="0"/>
          <w:marRight w:val="0"/>
          <w:marTop w:val="0"/>
          <w:marBottom w:val="0"/>
          <w:divBdr>
            <w:top w:val="none" w:sz="0" w:space="0" w:color="auto"/>
            <w:left w:val="none" w:sz="0" w:space="0" w:color="auto"/>
            <w:bottom w:val="none" w:sz="0" w:space="0" w:color="auto"/>
            <w:right w:val="none" w:sz="0" w:space="0" w:color="auto"/>
          </w:divBdr>
          <w:divsChild>
            <w:div w:id="2050451956">
              <w:marLeft w:val="0"/>
              <w:marRight w:val="0"/>
              <w:marTop w:val="0"/>
              <w:marBottom w:val="0"/>
              <w:divBdr>
                <w:top w:val="none" w:sz="0" w:space="0" w:color="auto"/>
                <w:left w:val="none" w:sz="0" w:space="0" w:color="auto"/>
                <w:bottom w:val="none" w:sz="0" w:space="0" w:color="auto"/>
                <w:right w:val="none" w:sz="0" w:space="0" w:color="auto"/>
              </w:divBdr>
            </w:div>
          </w:divsChild>
        </w:div>
        <w:div w:id="1746806183">
          <w:marLeft w:val="0"/>
          <w:marRight w:val="0"/>
          <w:marTop w:val="0"/>
          <w:marBottom w:val="0"/>
          <w:divBdr>
            <w:top w:val="none" w:sz="0" w:space="0" w:color="auto"/>
            <w:left w:val="none" w:sz="0" w:space="0" w:color="auto"/>
            <w:bottom w:val="none" w:sz="0" w:space="0" w:color="auto"/>
            <w:right w:val="none" w:sz="0" w:space="0" w:color="auto"/>
          </w:divBdr>
          <w:divsChild>
            <w:div w:id="1300375380">
              <w:marLeft w:val="0"/>
              <w:marRight w:val="0"/>
              <w:marTop w:val="0"/>
              <w:marBottom w:val="0"/>
              <w:divBdr>
                <w:top w:val="none" w:sz="0" w:space="0" w:color="auto"/>
                <w:left w:val="none" w:sz="0" w:space="0" w:color="auto"/>
                <w:bottom w:val="none" w:sz="0" w:space="0" w:color="auto"/>
                <w:right w:val="none" w:sz="0" w:space="0" w:color="auto"/>
              </w:divBdr>
            </w:div>
          </w:divsChild>
        </w:div>
        <w:div w:id="1753888104">
          <w:marLeft w:val="0"/>
          <w:marRight w:val="0"/>
          <w:marTop w:val="0"/>
          <w:marBottom w:val="0"/>
          <w:divBdr>
            <w:top w:val="none" w:sz="0" w:space="0" w:color="auto"/>
            <w:left w:val="none" w:sz="0" w:space="0" w:color="auto"/>
            <w:bottom w:val="none" w:sz="0" w:space="0" w:color="auto"/>
            <w:right w:val="none" w:sz="0" w:space="0" w:color="auto"/>
          </w:divBdr>
          <w:divsChild>
            <w:div w:id="1280647857">
              <w:marLeft w:val="0"/>
              <w:marRight w:val="0"/>
              <w:marTop w:val="0"/>
              <w:marBottom w:val="0"/>
              <w:divBdr>
                <w:top w:val="none" w:sz="0" w:space="0" w:color="auto"/>
                <w:left w:val="none" w:sz="0" w:space="0" w:color="auto"/>
                <w:bottom w:val="none" w:sz="0" w:space="0" w:color="auto"/>
                <w:right w:val="none" w:sz="0" w:space="0" w:color="auto"/>
              </w:divBdr>
            </w:div>
          </w:divsChild>
        </w:div>
        <w:div w:id="1754815570">
          <w:marLeft w:val="0"/>
          <w:marRight w:val="0"/>
          <w:marTop w:val="0"/>
          <w:marBottom w:val="0"/>
          <w:divBdr>
            <w:top w:val="none" w:sz="0" w:space="0" w:color="auto"/>
            <w:left w:val="none" w:sz="0" w:space="0" w:color="auto"/>
            <w:bottom w:val="none" w:sz="0" w:space="0" w:color="auto"/>
            <w:right w:val="none" w:sz="0" w:space="0" w:color="auto"/>
          </w:divBdr>
          <w:divsChild>
            <w:div w:id="1028143758">
              <w:marLeft w:val="0"/>
              <w:marRight w:val="0"/>
              <w:marTop w:val="0"/>
              <w:marBottom w:val="0"/>
              <w:divBdr>
                <w:top w:val="none" w:sz="0" w:space="0" w:color="auto"/>
                <w:left w:val="none" w:sz="0" w:space="0" w:color="auto"/>
                <w:bottom w:val="none" w:sz="0" w:space="0" w:color="auto"/>
                <w:right w:val="none" w:sz="0" w:space="0" w:color="auto"/>
              </w:divBdr>
            </w:div>
          </w:divsChild>
        </w:div>
        <w:div w:id="1758937695">
          <w:marLeft w:val="0"/>
          <w:marRight w:val="0"/>
          <w:marTop w:val="0"/>
          <w:marBottom w:val="0"/>
          <w:divBdr>
            <w:top w:val="none" w:sz="0" w:space="0" w:color="auto"/>
            <w:left w:val="none" w:sz="0" w:space="0" w:color="auto"/>
            <w:bottom w:val="none" w:sz="0" w:space="0" w:color="auto"/>
            <w:right w:val="none" w:sz="0" w:space="0" w:color="auto"/>
          </w:divBdr>
          <w:divsChild>
            <w:div w:id="488599502">
              <w:marLeft w:val="0"/>
              <w:marRight w:val="0"/>
              <w:marTop w:val="0"/>
              <w:marBottom w:val="0"/>
              <w:divBdr>
                <w:top w:val="none" w:sz="0" w:space="0" w:color="auto"/>
                <w:left w:val="none" w:sz="0" w:space="0" w:color="auto"/>
                <w:bottom w:val="none" w:sz="0" w:space="0" w:color="auto"/>
                <w:right w:val="none" w:sz="0" w:space="0" w:color="auto"/>
              </w:divBdr>
            </w:div>
          </w:divsChild>
        </w:div>
        <w:div w:id="1759710855">
          <w:marLeft w:val="0"/>
          <w:marRight w:val="0"/>
          <w:marTop w:val="0"/>
          <w:marBottom w:val="0"/>
          <w:divBdr>
            <w:top w:val="none" w:sz="0" w:space="0" w:color="auto"/>
            <w:left w:val="none" w:sz="0" w:space="0" w:color="auto"/>
            <w:bottom w:val="none" w:sz="0" w:space="0" w:color="auto"/>
            <w:right w:val="none" w:sz="0" w:space="0" w:color="auto"/>
          </w:divBdr>
          <w:divsChild>
            <w:div w:id="1766268629">
              <w:marLeft w:val="0"/>
              <w:marRight w:val="0"/>
              <w:marTop w:val="0"/>
              <w:marBottom w:val="0"/>
              <w:divBdr>
                <w:top w:val="none" w:sz="0" w:space="0" w:color="auto"/>
                <w:left w:val="none" w:sz="0" w:space="0" w:color="auto"/>
                <w:bottom w:val="none" w:sz="0" w:space="0" w:color="auto"/>
                <w:right w:val="none" w:sz="0" w:space="0" w:color="auto"/>
              </w:divBdr>
            </w:div>
          </w:divsChild>
        </w:div>
        <w:div w:id="1761021634">
          <w:marLeft w:val="0"/>
          <w:marRight w:val="0"/>
          <w:marTop w:val="0"/>
          <w:marBottom w:val="0"/>
          <w:divBdr>
            <w:top w:val="none" w:sz="0" w:space="0" w:color="auto"/>
            <w:left w:val="none" w:sz="0" w:space="0" w:color="auto"/>
            <w:bottom w:val="none" w:sz="0" w:space="0" w:color="auto"/>
            <w:right w:val="none" w:sz="0" w:space="0" w:color="auto"/>
          </w:divBdr>
          <w:divsChild>
            <w:div w:id="1644776963">
              <w:marLeft w:val="0"/>
              <w:marRight w:val="0"/>
              <w:marTop w:val="0"/>
              <w:marBottom w:val="0"/>
              <w:divBdr>
                <w:top w:val="none" w:sz="0" w:space="0" w:color="auto"/>
                <w:left w:val="none" w:sz="0" w:space="0" w:color="auto"/>
                <w:bottom w:val="none" w:sz="0" w:space="0" w:color="auto"/>
                <w:right w:val="none" w:sz="0" w:space="0" w:color="auto"/>
              </w:divBdr>
            </w:div>
          </w:divsChild>
        </w:div>
        <w:div w:id="1773357994">
          <w:marLeft w:val="0"/>
          <w:marRight w:val="0"/>
          <w:marTop w:val="0"/>
          <w:marBottom w:val="0"/>
          <w:divBdr>
            <w:top w:val="none" w:sz="0" w:space="0" w:color="auto"/>
            <w:left w:val="none" w:sz="0" w:space="0" w:color="auto"/>
            <w:bottom w:val="none" w:sz="0" w:space="0" w:color="auto"/>
            <w:right w:val="none" w:sz="0" w:space="0" w:color="auto"/>
          </w:divBdr>
          <w:divsChild>
            <w:div w:id="1643462423">
              <w:marLeft w:val="0"/>
              <w:marRight w:val="0"/>
              <w:marTop w:val="0"/>
              <w:marBottom w:val="0"/>
              <w:divBdr>
                <w:top w:val="none" w:sz="0" w:space="0" w:color="auto"/>
                <w:left w:val="none" w:sz="0" w:space="0" w:color="auto"/>
                <w:bottom w:val="none" w:sz="0" w:space="0" w:color="auto"/>
                <w:right w:val="none" w:sz="0" w:space="0" w:color="auto"/>
              </w:divBdr>
            </w:div>
          </w:divsChild>
        </w:div>
        <w:div w:id="1777477610">
          <w:marLeft w:val="0"/>
          <w:marRight w:val="0"/>
          <w:marTop w:val="0"/>
          <w:marBottom w:val="0"/>
          <w:divBdr>
            <w:top w:val="none" w:sz="0" w:space="0" w:color="auto"/>
            <w:left w:val="none" w:sz="0" w:space="0" w:color="auto"/>
            <w:bottom w:val="none" w:sz="0" w:space="0" w:color="auto"/>
            <w:right w:val="none" w:sz="0" w:space="0" w:color="auto"/>
          </w:divBdr>
          <w:divsChild>
            <w:div w:id="2139061903">
              <w:marLeft w:val="0"/>
              <w:marRight w:val="0"/>
              <w:marTop w:val="0"/>
              <w:marBottom w:val="0"/>
              <w:divBdr>
                <w:top w:val="none" w:sz="0" w:space="0" w:color="auto"/>
                <w:left w:val="none" w:sz="0" w:space="0" w:color="auto"/>
                <w:bottom w:val="none" w:sz="0" w:space="0" w:color="auto"/>
                <w:right w:val="none" w:sz="0" w:space="0" w:color="auto"/>
              </w:divBdr>
            </w:div>
          </w:divsChild>
        </w:div>
        <w:div w:id="1788084519">
          <w:marLeft w:val="0"/>
          <w:marRight w:val="0"/>
          <w:marTop w:val="0"/>
          <w:marBottom w:val="0"/>
          <w:divBdr>
            <w:top w:val="none" w:sz="0" w:space="0" w:color="auto"/>
            <w:left w:val="none" w:sz="0" w:space="0" w:color="auto"/>
            <w:bottom w:val="none" w:sz="0" w:space="0" w:color="auto"/>
            <w:right w:val="none" w:sz="0" w:space="0" w:color="auto"/>
          </w:divBdr>
          <w:divsChild>
            <w:div w:id="1976911246">
              <w:marLeft w:val="0"/>
              <w:marRight w:val="0"/>
              <w:marTop w:val="0"/>
              <w:marBottom w:val="0"/>
              <w:divBdr>
                <w:top w:val="none" w:sz="0" w:space="0" w:color="auto"/>
                <w:left w:val="none" w:sz="0" w:space="0" w:color="auto"/>
                <w:bottom w:val="none" w:sz="0" w:space="0" w:color="auto"/>
                <w:right w:val="none" w:sz="0" w:space="0" w:color="auto"/>
              </w:divBdr>
            </w:div>
          </w:divsChild>
        </w:div>
        <w:div w:id="1789355771">
          <w:marLeft w:val="0"/>
          <w:marRight w:val="0"/>
          <w:marTop w:val="0"/>
          <w:marBottom w:val="0"/>
          <w:divBdr>
            <w:top w:val="none" w:sz="0" w:space="0" w:color="auto"/>
            <w:left w:val="none" w:sz="0" w:space="0" w:color="auto"/>
            <w:bottom w:val="none" w:sz="0" w:space="0" w:color="auto"/>
            <w:right w:val="none" w:sz="0" w:space="0" w:color="auto"/>
          </w:divBdr>
          <w:divsChild>
            <w:div w:id="1241135981">
              <w:marLeft w:val="0"/>
              <w:marRight w:val="0"/>
              <w:marTop w:val="0"/>
              <w:marBottom w:val="0"/>
              <w:divBdr>
                <w:top w:val="none" w:sz="0" w:space="0" w:color="auto"/>
                <w:left w:val="none" w:sz="0" w:space="0" w:color="auto"/>
                <w:bottom w:val="none" w:sz="0" w:space="0" w:color="auto"/>
                <w:right w:val="none" w:sz="0" w:space="0" w:color="auto"/>
              </w:divBdr>
            </w:div>
          </w:divsChild>
        </w:div>
        <w:div w:id="1801268812">
          <w:marLeft w:val="0"/>
          <w:marRight w:val="0"/>
          <w:marTop w:val="0"/>
          <w:marBottom w:val="0"/>
          <w:divBdr>
            <w:top w:val="none" w:sz="0" w:space="0" w:color="auto"/>
            <w:left w:val="none" w:sz="0" w:space="0" w:color="auto"/>
            <w:bottom w:val="none" w:sz="0" w:space="0" w:color="auto"/>
            <w:right w:val="none" w:sz="0" w:space="0" w:color="auto"/>
          </w:divBdr>
          <w:divsChild>
            <w:div w:id="1585260643">
              <w:marLeft w:val="0"/>
              <w:marRight w:val="0"/>
              <w:marTop w:val="0"/>
              <w:marBottom w:val="0"/>
              <w:divBdr>
                <w:top w:val="none" w:sz="0" w:space="0" w:color="auto"/>
                <w:left w:val="none" w:sz="0" w:space="0" w:color="auto"/>
                <w:bottom w:val="none" w:sz="0" w:space="0" w:color="auto"/>
                <w:right w:val="none" w:sz="0" w:space="0" w:color="auto"/>
              </w:divBdr>
            </w:div>
          </w:divsChild>
        </w:div>
        <w:div w:id="1802336364">
          <w:marLeft w:val="0"/>
          <w:marRight w:val="0"/>
          <w:marTop w:val="0"/>
          <w:marBottom w:val="0"/>
          <w:divBdr>
            <w:top w:val="none" w:sz="0" w:space="0" w:color="auto"/>
            <w:left w:val="none" w:sz="0" w:space="0" w:color="auto"/>
            <w:bottom w:val="none" w:sz="0" w:space="0" w:color="auto"/>
            <w:right w:val="none" w:sz="0" w:space="0" w:color="auto"/>
          </w:divBdr>
          <w:divsChild>
            <w:div w:id="39911557">
              <w:marLeft w:val="0"/>
              <w:marRight w:val="0"/>
              <w:marTop w:val="0"/>
              <w:marBottom w:val="0"/>
              <w:divBdr>
                <w:top w:val="none" w:sz="0" w:space="0" w:color="auto"/>
                <w:left w:val="none" w:sz="0" w:space="0" w:color="auto"/>
                <w:bottom w:val="none" w:sz="0" w:space="0" w:color="auto"/>
                <w:right w:val="none" w:sz="0" w:space="0" w:color="auto"/>
              </w:divBdr>
            </w:div>
          </w:divsChild>
        </w:div>
        <w:div w:id="1805734662">
          <w:marLeft w:val="0"/>
          <w:marRight w:val="0"/>
          <w:marTop w:val="0"/>
          <w:marBottom w:val="0"/>
          <w:divBdr>
            <w:top w:val="none" w:sz="0" w:space="0" w:color="auto"/>
            <w:left w:val="none" w:sz="0" w:space="0" w:color="auto"/>
            <w:bottom w:val="none" w:sz="0" w:space="0" w:color="auto"/>
            <w:right w:val="none" w:sz="0" w:space="0" w:color="auto"/>
          </w:divBdr>
          <w:divsChild>
            <w:div w:id="327944901">
              <w:marLeft w:val="0"/>
              <w:marRight w:val="0"/>
              <w:marTop w:val="0"/>
              <w:marBottom w:val="0"/>
              <w:divBdr>
                <w:top w:val="none" w:sz="0" w:space="0" w:color="auto"/>
                <w:left w:val="none" w:sz="0" w:space="0" w:color="auto"/>
                <w:bottom w:val="none" w:sz="0" w:space="0" w:color="auto"/>
                <w:right w:val="none" w:sz="0" w:space="0" w:color="auto"/>
              </w:divBdr>
            </w:div>
            <w:div w:id="549993969">
              <w:marLeft w:val="0"/>
              <w:marRight w:val="0"/>
              <w:marTop w:val="0"/>
              <w:marBottom w:val="0"/>
              <w:divBdr>
                <w:top w:val="none" w:sz="0" w:space="0" w:color="auto"/>
                <w:left w:val="none" w:sz="0" w:space="0" w:color="auto"/>
                <w:bottom w:val="none" w:sz="0" w:space="0" w:color="auto"/>
                <w:right w:val="none" w:sz="0" w:space="0" w:color="auto"/>
              </w:divBdr>
            </w:div>
            <w:div w:id="1112438548">
              <w:marLeft w:val="0"/>
              <w:marRight w:val="0"/>
              <w:marTop w:val="0"/>
              <w:marBottom w:val="0"/>
              <w:divBdr>
                <w:top w:val="none" w:sz="0" w:space="0" w:color="auto"/>
                <w:left w:val="none" w:sz="0" w:space="0" w:color="auto"/>
                <w:bottom w:val="none" w:sz="0" w:space="0" w:color="auto"/>
                <w:right w:val="none" w:sz="0" w:space="0" w:color="auto"/>
              </w:divBdr>
            </w:div>
            <w:div w:id="1386610772">
              <w:marLeft w:val="0"/>
              <w:marRight w:val="0"/>
              <w:marTop w:val="0"/>
              <w:marBottom w:val="0"/>
              <w:divBdr>
                <w:top w:val="none" w:sz="0" w:space="0" w:color="auto"/>
                <w:left w:val="none" w:sz="0" w:space="0" w:color="auto"/>
                <w:bottom w:val="none" w:sz="0" w:space="0" w:color="auto"/>
                <w:right w:val="none" w:sz="0" w:space="0" w:color="auto"/>
              </w:divBdr>
            </w:div>
            <w:div w:id="1398896989">
              <w:marLeft w:val="0"/>
              <w:marRight w:val="0"/>
              <w:marTop w:val="0"/>
              <w:marBottom w:val="0"/>
              <w:divBdr>
                <w:top w:val="none" w:sz="0" w:space="0" w:color="auto"/>
                <w:left w:val="none" w:sz="0" w:space="0" w:color="auto"/>
                <w:bottom w:val="none" w:sz="0" w:space="0" w:color="auto"/>
                <w:right w:val="none" w:sz="0" w:space="0" w:color="auto"/>
              </w:divBdr>
            </w:div>
          </w:divsChild>
        </w:div>
        <w:div w:id="1807770020">
          <w:marLeft w:val="0"/>
          <w:marRight w:val="0"/>
          <w:marTop w:val="0"/>
          <w:marBottom w:val="0"/>
          <w:divBdr>
            <w:top w:val="none" w:sz="0" w:space="0" w:color="auto"/>
            <w:left w:val="none" w:sz="0" w:space="0" w:color="auto"/>
            <w:bottom w:val="none" w:sz="0" w:space="0" w:color="auto"/>
            <w:right w:val="none" w:sz="0" w:space="0" w:color="auto"/>
          </w:divBdr>
          <w:divsChild>
            <w:div w:id="1578713626">
              <w:marLeft w:val="0"/>
              <w:marRight w:val="0"/>
              <w:marTop w:val="0"/>
              <w:marBottom w:val="0"/>
              <w:divBdr>
                <w:top w:val="none" w:sz="0" w:space="0" w:color="auto"/>
                <w:left w:val="none" w:sz="0" w:space="0" w:color="auto"/>
                <w:bottom w:val="none" w:sz="0" w:space="0" w:color="auto"/>
                <w:right w:val="none" w:sz="0" w:space="0" w:color="auto"/>
              </w:divBdr>
            </w:div>
          </w:divsChild>
        </w:div>
        <w:div w:id="1811438311">
          <w:marLeft w:val="0"/>
          <w:marRight w:val="0"/>
          <w:marTop w:val="0"/>
          <w:marBottom w:val="0"/>
          <w:divBdr>
            <w:top w:val="none" w:sz="0" w:space="0" w:color="auto"/>
            <w:left w:val="none" w:sz="0" w:space="0" w:color="auto"/>
            <w:bottom w:val="none" w:sz="0" w:space="0" w:color="auto"/>
            <w:right w:val="none" w:sz="0" w:space="0" w:color="auto"/>
          </w:divBdr>
          <w:divsChild>
            <w:div w:id="1738165850">
              <w:marLeft w:val="0"/>
              <w:marRight w:val="0"/>
              <w:marTop w:val="0"/>
              <w:marBottom w:val="0"/>
              <w:divBdr>
                <w:top w:val="none" w:sz="0" w:space="0" w:color="auto"/>
                <w:left w:val="none" w:sz="0" w:space="0" w:color="auto"/>
                <w:bottom w:val="none" w:sz="0" w:space="0" w:color="auto"/>
                <w:right w:val="none" w:sz="0" w:space="0" w:color="auto"/>
              </w:divBdr>
            </w:div>
          </w:divsChild>
        </w:div>
        <w:div w:id="1813479396">
          <w:marLeft w:val="0"/>
          <w:marRight w:val="0"/>
          <w:marTop w:val="0"/>
          <w:marBottom w:val="0"/>
          <w:divBdr>
            <w:top w:val="none" w:sz="0" w:space="0" w:color="auto"/>
            <w:left w:val="none" w:sz="0" w:space="0" w:color="auto"/>
            <w:bottom w:val="none" w:sz="0" w:space="0" w:color="auto"/>
            <w:right w:val="none" w:sz="0" w:space="0" w:color="auto"/>
          </w:divBdr>
          <w:divsChild>
            <w:div w:id="532964939">
              <w:marLeft w:val="0"/>
              <w:marRight w:val="0"/>
              <w:marTop w:val="0"/>
              <w:marBottom w:val="0"/>
              <w:divBdr>
                <w:top w:val="none" w:sz="0" w:space="0" w:color="auto"/>
                <w:left w:val="none" w:sz="0" w:space="0" w:color="auto"/>
                <w:bottom w:val="none" w:sz="0" w:space="0" w:color="auto"/>
                <w:right w:val="none" w:sz="0" w:space="0" w:color="auto"/>
              </w:divBdr>
            </w:div>
          </w:divsChild>
        </w:div>
        <w:div w:id="1813980346">
          <w:marLeft w:val="0"/>
          <w:marRight w:val="0"/>
          <w:marTop w:val="0"/>
          <w:marBottom w:val="0"/>
          <w:divBdr>
            <w:top w:val="none" w:sz="0" w:space="0" w:color="auto"/>
            <w:left w:val="none" w:sz="0" w:space="0" w:color="auto"/>
            <w:bottom w:val="none" w:sz="0" w:space="0" w:color="auto"/>
            <w:right w:val="none" w:sz="0" w:space="0" w:color="auto"/>
          </w:divBdr>
          <w:divsChild>
            <w:div w:id="212927624">
              <w:marLeft w:val="0"/>
              <w:marRight w:val="0"/>
              <w:marTop w:val="0"/>
              <w:marBottom w:val="0"/>
              <w:divBdr>
                <w:top w:val="none" w:sz="0" w:space="0" w:color="auto"/>
                <w:left w:val="none" w:sz="0" w:space="0" w:color="auto"/>
                <w:bottom w:val="none" w:sz="0" w:space="0" w:color="auto"/>
                <w:right w:val="none" w:sz="0" w:space="0" w:color="auto"/>
              </w:divBdr>
            </w:div>
            <w:div w:id="851378314">
              <w:marLeft w:val="0"/>
              <w:marRight w:val="0"/>
              <w:marTop w:val="0"/>
              <w:marBottom w:val="0"/>
              <w:divBdr>
                <w:top w:val="none" w:sz="0" w:space="0" w:color="auto"/>
                <w:left w:val="none" w:sz="0" w:space="0" w:color="auto"/>
                <w:bottom w:val="none" w:sz="0" w:space="0" w:color="auto"/>
                <w:right w:val="none" w:sz="0" w:space="0" w:color="auto"/>
              </w:divBdr>
            </w:div>
            <w:div w:id="863978303">
              <w:marLeft w:val="0"/>
              <w:marRight w:val="0"/>
              <w:marTop w:val="0"/>
              <w:marBottom w:val="0"/>
              <w:divBdr>
                <w:top w:val="none" w:sz="0" w:space="0" w:color="auto"/>
                <w:left w:val="none" w:sz="0" w:space="0" w:color="auto"/>
                <w:bottom w:val="none" w:sz="0" w:space="0" w:color="auto"/>
                <w:right w:val="none" w:sz="0" w:space="0" w:color="auto"/>
              </w:divBdr>
            </w:div>
            <w:div w:id="1795907494">
              <w:marLeft w:val="0"/>
              <w:marRight w:val="0"/>
              <w:marTop w:val="0"/>
              <w:marBottom w:val="0"/>
              <w:divBdr>
                <w:top w:val="none" w:sz="0" w:space="0" w:color="auto"/>
                <w:left w:val="none" w:sz="0" w:space="0" w:color="auto"/>
                <w:bottom w:val="none" w:sz="0" w:space="0" w:color="auto"/>
                <w:right w:val="none" w:sz="0" w:space="0" w:color="auto"/>
              </w:divBdr>
            </w:div>
            <w:div w:id="2115444145">
              <w:marLeft w:val="0"/>
              <w:marRight w:val="0"/>
              <w:marTop w:val="0"/>
              <w:marBottom w:val="0"/>
              <w:divBdr>
                <w:top w:val="none" w:sz="0" w:space="0" w:color="auto"/>
                <w:left w:val="none" w:sz="0" w:space="0" w:color="auto"/>
                <w:bottom w:val="none" w:sz="0" w:space="0" w:color="auto"/>
                <w:right w:val="none" w:sz="0" w:space="0" w:color="auto"/>
              </w:divBdr>
            </w:div>
          </w:divsChild>
        </w:div>
        <w:div w:id="1818304458">
          <w:marLeft w:val="0"/>
          <w:marRight w:val="0"/>
          <w:marTop w:val="0"/>
          <w:marBottom w:val="0"/>
          <w:divBdr>
            <w:top w:val="none" w:sz="0" w:space="0" w:color="auto"/>
            <w:left w:val="none" w:sz="0" w:space="0" w:color="auto"/>
            <w:bottom w:val="none" w:sz="0" w:space="0" w:color="auto"/>
            <w:right w:val="none" w:sz="0" w:space="0" w:color="auto"/>
          </w:divBdr>
          <w:divsChild>
            <w:div w:id="602151190">
              <w:marLeft w:val="0"/>
              <w:marRight w:val="0"/>
              <w:marTop w:val="0"/>
              <w:marBottom w:val="0"/>
              <w:divBdr>
                <w:top w:val="none" w:sz="0" w:space="0" w:color="auto"/>
                <w:left w:val="none" w:sz="0" w:space="0" w:color="auto"/>
                <w:bottom w:val="none" w:sz="0" w:space="0" w:color="auto"/>
                <w:right w:val="none" w:sz="0" w:space="0" w:color="auto"/>
              </w:divBdr>
            </w:div>
          </w:divsChild>
        </w:div>
        <w:div w:id="1835491870">
          <w:marLeft w:val="0"/>
          <w:marRight w:val="0"/>
          <w:marTop w:val="0"/>
          <w:marBottom w:val="0"/>
          <w:divBdr>
            <w:top w:val="none" w:sz="0" w:space="0" w:color="auto"/>
            <w:left w:val="none" w:sz="0" w:space="0" w:color="auto"/>
            <w:bottom w:val="none" w:sz="0" w:space="0" w:color="auto"/>
            <w:right w:val="none" w:sz="0" w:space="0" w:color="auto"/>
          </w:divBdr>
          <w:divsChild>
            <w:div w:id="193618373">
              <w:marLeft w:val="0"/>
              <w:marRight w:val="0"/>
              <w:marTop w:val="0"/>
              <w:marBottom w:val="0"/>
              <w:divBdr>
                <w:top w:val="none" w:sz="0" w:space="0" w:color="auto"/>
                <w:left w:val="none" w:sz="0" w:space="0" w:color="auto"/>
                <w:bottom w:val="none" w:sz="0" w:space="0" w:color="auto"/>
                <w:right w:val="none" w:sz="0" w:space="0" w:color="auto"/>
              </w:divBdr>
            </w:div>
          </w:divsChild>
        </w:div>
        <w:div w:id="1841382685">
          <w:marLeft w:val="0"/>
          <w:marRight w:val="0"/>
          <w:marTop w:val="0"/>
          <w:marBottom w:val="0"/>
          <w:divBdr>
            <w:top w:val="none" w:sz="0" w:space="0" w:color="auto"/>
            <w:left w:val="none" w:sz="0" w:space="0" w:color="auto"/>
            <w:bottom w:val="none" w:sz="0" w:space="0" w:color="auto"/>
            <w:right w:val="none" w:sz="0" w:space="0" w:color="auto"/>
          </w:divBdr>
          <w:divsChild>
            <w:div w:id="132218565">
              <w:marLeft w:val="0"/>
              <w:marRight w:val="0"/>
              <w:marTop w:val="0"/>
              <w:marBottom w:val="0"/>
              <w:divBdr>
                <w:top w:val="none" w:sz="0" w:space="0" w:color="auto"/>
                <w:left w:val="none" w:sz="0" w:space="0" w:color="auto"/>
                <w:bottom w:val="none" w:sz="0" w:space="0" w:color="auto"/>
                <w:right w:val="none" w:sz="0" w:space="0" w:color="auto"/>
              </w:divBdr>
            </w:div>
          </w:divsChild>
        </w:div>
        <w:div w:id="1843934523">
          <w:marLeft w:val="0"/>
          <w:marRight w:val="0"/>
          <w:marTop w:val="0"/>
          <w:marBottom w:val="0"/>
          <w:divBdr>
            <w:top w:val="none" w:sz="0" w:space="0" w:color="auto"/>
            <w:left w:val="none" w:sz="0" w:space="0" w:color="auto"/>
            <w:bottom w:val="none" w:sz="0" w:space="0" w:color="auto"/>
            <w:right w:val="none" w:sz="0" w:space="0" w:color="auto"/>
          </w:divBdr>
          <w:divsChild>
            <w:div w:id="753286825">
              <w:marLeft w:val="0"/>
              <w:marRight w:val="0"/>
              <w:marTop w:val="0"/>
              <w:marBottom w:val="0"/>
              <w:divBdr>
                <w:top w:val="none" w:sz="0" w:space="0" w:color="auto"/>
                <w:left w:val="none" w:sz="0" w:space="0" w:color="auto"/>
                <w:bottom w:val="none" w:sz="0" w:space="0" w:color="auto"/>
                <w:right w:val="none" w:sz="0" w:space="0" w:color="auto"/>
              </w:divBdr>
            </w:div>
          </w:divsChild>
        </w:div>
        <w:div w:id="1847357357">
          <w:marLeft w:val="0"/>
          <w:marRight w:val="0"/>
          <w:marTop w:val="0"/>
          <w:marBottom w:val="0"/>
          <w:divBdr>
            <w:top w:val="none" w:sz="0" w:space="0" w:color="auto"/>
            <w:left w:val="none" w:sz="0" w:space="0" w:color="auto"/>
            <w:bottom w:val="none" w:sz="0" w:space="0" w:color="auto"/>
            <w:right w:val="none" w:sz="0" w:space="0" w:color="auto"/>
          </w:divBdr>
          <w:divsChild>
            <w:div w:id="529732776">
              <w:marLeft w:val="0"/>
              <w:marRight w:val="0"/>
              <w:marTop w:val="0"/>
              <w:marBottom w:val="0"/>
              <w:divBdr>
                <w:top w:val="none" w:sz="0" w:space="0" w:color="auto"/>
                <w:left w:val="none" w:sz="0" w:space="0" w:color="auto"/>
                <w:bottom w:val="none" w:sz="0" w:space="0" w:color="auto"/>
                <w:right w:val="none" w:sz="0" w:space="0" w:color="auto"/>
              </w:divBdr>
            </w:div>
          </w:divsChild>
        </w:div>
        <w:div w:id="1854686357">
          <w:marLeft w:val="0"/>
          <w:marRight w:val="0"/>
          <w:marTop w:val="0"/>
          <w:marBottom w:val="0"/>
          <w:divBdr>
            <w:top w:val="none" w:sz="0" w:space="0" w:color="auto"/>
            <w:left w:val="none" w:sz="0" w:space="0" w:color="auto"/>
            <w:bottom w:val="none" w:sz="0" w:space="0" w:color="auto"/>
            <w:right w:val="none" w:sz="0" w:space="0" w:color="auto"/>
          </w:divBdr>
          <w:divsChild>
            <w:div w:id="844173873">
              <w:marLeft w:val="0"/>
              <w:marRight w:val="0"/>
              <w:marTop w:val="0"/>
              <w:marBottom w:val="0"/>
              <w:divBdr>
                <w:top w:val="none" w:sz="0" w:space="0" w:color="auto"/>
                <w:left w:val="none" w:sz="0" w:space="0" w:color="auto"/>
                <w:bottom w:val="none" w:sz="0" w:space="0" w:color="auto"/>
                <w:right w:val="none" w:sz="0" w:space="0" w:color="auto"/>
              </w:divBdr>
            </w:div>
          </w:divsChild>
        </w:div>
        <w:div w:id="1855879883">
          <w:marLeft w:val="0"/>
          <w:marRight w:val="0"/>
          <w:marTop w:val="0"/>
          <w:marBottom w:val="0"/>
          <w:divBdr>
            <w:top w:val="none" w:sz="0" w:space="0" w:color="auto"/>
            <w:left w:val="none" w:sz="0" w:space="0" w:color="auto"/>
            <w:bottom w:val="none" w:sz="0" w:space="0" w:color="auto"/>
            <w:right w:val="none" w:sz="0" w:space="0" w:color="auto"/>
          </w:divBdr>
          <w:divsChild>
            <w:div w:id="853304987">
              <w:marLeft w:val="0"/>
              <w:marRight w:val="0"/>
              <w:marTop w:val="0"/>
              <w:marBottom w:val="0"/>
              <w:divBdr>
                <w:top w:val="none" w:sz="0" w:space="0" w:color="auto"/>
                <w:left w:val="none" w:sz="0" w:space="0" w:color="auto"/>
                <w:bottom w:val="none" w:sz="0" w:space="0" w:color="auto"/>
                <w:right w:val="none" w:sz="0" w:space="0" w:color="auto"/>
              </w:divBdr>
            </w:div>
          </w:divsChild>
        </w:div>
        <w:div w:id="1863282579">
          <w:marLeft w:val="0"/>
          <w:marRight w:val="0"/>
          <w:marTop w:val="0"/>
          <w:marBottom w:val="0"/>
          <w:divBdr>
            <w:top w:val="none" w:sz="0" w:space="0" w:color="auto"/>
            <w:left w:val="none" w:sz="0" w:space="0" w:color="auto"/>
            <w:bottom w:val="none" w:sz="0" w:space="0" w:color="auto"/>
            <w:right w:val="none" w:sz="0" w:space="0" w:color="auto"/>
          </w:divBdr>
          <w:divsChild>
            <w:div w:id="714426566">
              <w:marLeft w:val="0"/>
              <w:marRight w:val="0"/>
              <w:marTop w:val="0"/>
              <w:marBottom w:val="0"/>
              <w:divBdr>
                <w:top w:val="none" w:sz="0" w:space="0" w:color="auto"/>
                <w:left w:val="none" w:sz="0" w:space="0" w:color="auto"/>
                <w:bottom w:val="none" w:sz="0" w:space="0" w:color="auto"/>
                <w:right w:val="none" w:sz="0" w:space="0" w:color="auto"/>
              </w:divBdr>
            </w:div>
          </w:divsChild>
        </w:div>
        <w:div w:id="1867331122">
          <w:marLeft w:val="0"/>
          <w:marRight w:val="0"/>
          <w:marTop w:val="0"/>
          <w:marBottom w:val="0"/>
          <w:divBdr>
            <w:top w:val="none" w:sz="0" w:space="0" w:color="auto"/>
            <w:left w:val="none" w:sz="0" w:space="0" w:color="auto"/>
            <w:bottom w:val="none" w:sz="0" w:space="0" w:color="auto"/>
            <w:right w:val="none" w:sz="0" w:space="0" w:color="auto"/>
          </w:divBdr>
          <w:divsChild>
            <w:div w:id="7489397">
              <w:marLeft w:val="0"/>
              <w:marRight w:val="0"/>
              <w:marTop w:val="0"/>
              <w:marBottom w:val="0"/>
              <w:divBdr>
                <w:top w:val="none" w:sz="0" w:space="0" w:color="auto"/>
                <w:left w:val="none" w:sz="0" w:space="0" w:color="auto"/>
                <w:bottom w:val="none" w:sz="0" w:space="0" w:color="auto"/>
                <w:right w:val="none" w:sz="0" w:space="0" w:color="auto"/>
              </w:divBdr>
            </w:div>
          </w:divsChild>
        </w:div>
        <w:div w:id="1870945890">
          <w:marLeft w:val="0"/>
          <w:marRight w:val="0"/>
          <w:marTop w:val="0"/>
          <w:marBottom w:val="0"/>
          <w:divBdr>
            <w:top w:val="none" w:sz="0" w:space="0" w:color="auto"/>
            <w:left w:val="none" w:sz="0" w:space="0" w:color="auto"/>
            <w:bottom w:val="none" w:sz="0" w:space="0" w:color="auto"/>
            <w:right w:val="none" w:sz="0" w:space="0" w:color="auto"/>
          </w:divBdr>
          <w:divsChild>
            <w:div w:id="1588732836">
              <w:marLeft w:val="0"/>
              <w:marRight w:val="0"/>
              <w:marTop w:val="0"/>
              <w:marBottom w:val="0"/>
              <w:divBdr>
                <w:top w:val="none" w:sz="0" w:space="0" w:color="auto"/>
                <w:left w:val="none" w:sz="0" w:space="0" w:color="auto"/>
                <w:bottom w:val="none" w:sz="0" w:space="0" w:color="auto"/>
                <w:right w:val="none" w:sz="0" w:space="0" w:color="auto"/>
              </w:divBdr>
            </w:div>
          </w:divsChild>
        </w:div>
        <w:div w:id="1871070217">
          <w:marLeft w:val="0"/>
          <w:marRight w:val="0"/>
          <w:marTop w:val="0"/>
          <w:marBottom w:val="0"/>
          <w:divBdr>
            <w:top w:val="none" w:sz="0" w:space="0" w:color="auto"/>
            <w:left w:val="none" w:sz="0" w:space="0" w:color="auto"/>
            <w:bottom w:val="none" w:sz="0" w:space="0" w:color="auto"/>
            <w:right w:val="none" w:sz="0" w:space="0" w:color="auto"/>
          </w:divBdr>
          <w:divsChild>
            <w:div w:id="1411541839">
              <w:marLeft w:val="0"/>
              <w:marRight w:val="0"/>
              <w:marTop w:val="0"/>
              <w:marBottom w:val="0"/>
              <w:divBdr>
                <w:top w:val="none" w:sz="0" w:space="0" w:color="auto"/>
                <w:left w:val="none" w:sz="0" w:space="0" w:color="auto"/>
                <w:bottom w:val="none" w:sz="0" w:space="0" w:color="auto"/>
                <w:right w:val="none" w:sz="0" w:space="0" w:color="auto"/>
              </w:divBdr>
            </w:div>
          </w:divsChild>
        </w:div>
        <w:div w:id="1873612083">
          <w:marLeft w:val="0"/>
          <w:marRight w:val="0"/>
          <w:marTop w:val="0"/>
          <w:marBottom w:val="0"/>
          <w:divBdr>
            <w:top w:val="none" w:sz="0" w:space="0" w:color="auto"/>
            <w:left w:val="none" w:sz="0" w:space="0" w:color="auto"/>
            <w:bottom w:val="none" w:sz="0" w:space="0" w:color="auto"/>
            <w:right w:val="none" w:sz="0" w:space="0" w:color="auto"/>
          </w:divBdr>
          <w:divsChild>
            <w:div w:id="745226524">
              <w:marLeft w:val="0"/>
              <w:marRight w:val="0"/>
              <w:marTop w:val="0"/>
              <w:marBottom w:val="0"/>
              <w:divBdr>
                <w:top w:val="none" w:sz="0" w:space="0" w:color="auto"/>
                <w:left w:val="none" w:sz="0" w:space="0" w:color="auto"/>
                <w:bottom w:val="none" w:sz="0" w:space="0" w:color="auto"/>
                <w:right w:val="none" w:sz="0" w:space="0" w:color="auto"/>
              </w:divBdr>
            </w:div>
          </w:divsChild>
        </w:div>
        <w:div w:id="1877280009">
          <w:marLeft w:val="0"/>
          <w:marRight w:val="0"/>
          <w:marTop w:val="0"/>
          <w:marBottom w:val="0"/>
          <w:divBdr>
            <w:top w:val="none" w:sz="0" w:space="0" w:color="auto"/>
            <w:left w:val="none" w:sz="0" w:space="0" w:color="auto"/>
            <w:bottom w:val="none" w:sz="0" w:space="0" w:color="auto"/>
            <w:right w:val="none" w:sz="0" w:space="0" w:color="auto"/>
          </w:divBdr>
          <w:divsChild>
            <w:div w:id="877545106">
              <w:marLeft w:val="0"/>
              <w:marRight w:val="0"/>
              <w:marTop w:val="0"/>
              <w:marBottom w:val="0"/>
              <w:divBdr>
                <w:top w:val="none" w:sz="0" w:space="0" w:color="auto"/>
                <w:left w:val="none" w:sz="0" w:space="0" w:color="auto"/>
                <w:bottom w:val="none" w:sz="0" w:space="0" w:color="auto"/>
                <w:right w:val="none" w:sz="0" w:space="0" w:color="auto"/>
              </w:divBdr>
            </w:div>
          </w:divsChild>
        </w:div>
        <w:div w:id="1879930456">
          <w:marLeft w:val="0"/>
          <w:marRight w:val="0"/>
          <w:marTop w:val="0"/>
          <w:marBottom w:val="0"/>
          <w:divBdr>
            <w:top w:val="none" w:sz="0" w:space="0" w:color="auto"/>
            <w:left w:val="none" w:sz="0" w:space="0" w:color="auto"/>
            <w:bottom w:val="none" w:sz="0" w:space="0" w:color="auto"/>
            <w:right w:val="none" w:sz="0" w:space="0" w:color="auto"/>
          </w:divBdr>
          <w:divsChild>
            <w:div w:id="1130423">
              <w:marLeft w:val="0"/>
              <w:marRight w:val="0"/>
              <w:marTop w:val="0"/>
              <w:marBottom w:val="0"/>
              <w:divBdr>
                <w:top w:val="none" w:sz="0" w:space="0" w:color="auto"/>
                <w:left w:val="none" w:sz="0" w:space="0" w:color="auto"/>
                <w:bottom w:val="none" w:sz="0" w:space="0" w:color="auto"/>
                <w:right w:val="none" w:sz="0" w:space="0" w:color="auto"/>
              </w:divBdr>
            </w:div>
          </w:divsChild>
        </w:div>
        <w:div w:id="1887909485">
          <w:marLeft w:val="0"/>
          <w:marRight w:val="0"/>
          <w:marTop w:val="0"/>
          <w:marBottom w:val="0"/>
          <w:divBdr>
            <w:top w:val="none" w:sz="0" w:space="0" w:color="auto"/>
            <w:left w:val="none" w:sz="0" w:space="0" w:color="auto"/>
            <w:bottom w:val="none" w:sz="0" w:space="0" w:color="auto"/>
            <w:right w:val="none" w:sz="0" w:space="0" w:color="auto"/>
          </w:divBdr>
          <w:divsChild>
            <w:div w:id="125048800">
              <w:marLeft w:val="0"/>
              <w:marRight w:val="0"/>
              <w:marTop w:val="0"/>
              <w:marBottom w:val="0"/>
              <w:divBdr>
                <w:top w:val="none" w:sz="0" w:space="0" w:color="auto"/>
                <w:left w:val="none" w:sz="0" w:space="0" w:color="auto"/>
                <w:bottom w:val="none" w:sz="0" w:space="0" w:color="auto"/>
                <w:right w:val="none" w:sz="0" w:space="0" w:color="auto"/>
              </w:divBdr>
            </w:div>
            <w:div w:id="756168430">
              <w:marLeft w:val="0"/>
              <w:marRight w:val="0"/>
              <w:marTop w:val="0"/>
              <w:marBottom w:val="0"/>
              <w:divBdr>
                <w:top w:val="none" w:sz="0" w:space="0" w:color="auto"/>
                <w:left w:val="none" w:sz="0" w:space="0" w:color="auto"/>
                <w:bottom w:val="none" w:sz="0" w:space="0" w:color="auto"/>
                <w:right w:val="none" w:sz="0" w:space="0" w:color="auto"/>
              </w:divBdr>
            </w:div>
            <w:div w:id="803429021">
              <w:marLeft w:val="0"/>
              <w:marRight w:val="0"/>
              <w:marTop w:val="0"/>
              <w:marBottom w:val="0"/>
              <w:divBdr>
                <w:top w:val="none" w:sz="0" w:space="0" w:color="auto"/>
                <w:left w:val="none" w:sz="0" w:space="0" w:color="auto"/>
                <w:bottom w:val="none" w:sz="0" w:space="0" w:color="auto"/>
                <w:right w:val="none" w:sz="0" w:space="0" w:color="auto"/>
              </w:divBdr>
            </w:div>
            <w:div w:id="843276149">
              <w:marLeft w:val="0"/>
              <w:marRight w:val="0"/>
              <w:marTop w:val="0"/>
              <w:marBottom w:val="0"/>
              <w:divBdr>
                <w:top w:val="none" w:sz="0" w:space="0" w:color="auto"/>
                <w:left w:val="none" w:sz="0" w:space="0" w:color="auto"/>
                <w:bottom w:val="none" w:sz="0" w:space="0" w:color="auto"/>
                <w:right w:val="none" w:sz="0" w:space="0" w:color="auto"/>
              </w:divBdr>
            </w:div>
            <w:div w:id="1020358399">
              <w:marLeft w:val="0"/>
              <w:marRight w:val="0"/>
              <w:marTop w:val="0"/>
              <w:marBottom w:val="0"/>
              <w:divBdr>
                <w:top w:val="none" w:sz="0" w:space="0" w:color="auto"/>
                <w:left w:val="none" w:sz="0" w:space="0" w:color="auto"/>
                <w:bottom w:val="none" w:sz="0" w:space="0" w:color="auto"/>
                <w:right w:val="none" w:sz="0" w:space="0" w:color="auto"/>
              </w:divBdr>
            </w:div>
            <w:div w:id="1233465240">
              <w:marLeft w:val="0"/>
              <w:marRight w:val="0"/>
              <w:marTop w:val="0"/>
              <w:marBottom w:val="0"/>
              <w:divBdr>
                <w:top w:val="none" w:sz="0" w:space="0" w:color="auto"/>
                <w:left w:val="none" w:sz="0" w:space="0" w:color="auto"/>
                <w:bottom w:val="none" w:sz="0" w:space="0" w:color="auto"/>
                <w:right w:val="none" w:sz="0" w:space="0" w:color="auto"/>
              </w:divBdr>
            </w:div>
            <w:div w:id="1430850782">
              <w:marLeft w:val="0"/>
              <w:marRight w:val="0"/>
              <w:marTop w:val="0"/>
              <w:marBottom w:val="0"/>
              <w:divBdr>
                <w:top w:val="none" w:sz="0" w:space="0" w:color="auto"/>
                <w:left w:val="none" w:sz="0" w:space="0" w:color="auto"/>
                <w:bottom w:val="none" w:sz="0" w:space="0" w:color="auto"/>
                <w:right w:val="none" w:sz="0" w:space="0" w:color="auto"/>
              </w:divBdr>
            </w:div>
            <w:div w:id="1777288464">
              <w:marLeft w:val="0"/>
              <w:marRight w:val="0"/>
              <w:marTop w:val="0"/>
              <w:marBottom w:val="0"/>
              <w:divBdr>
                <w:top w:val="none" w:sz="0" w:space="0" w:color="auto"/>
                <w:left w:val="none" w:sz="0" w:space="0" w:color="auto"/>
                <w:bottom w:val="none" w:sz="0" w:space="0" w:color="auto"/>
                <w:right w:val="none" w:sz="0" w:space="0" w:color="auto"/>
              </w:divBdr>
            </w:div>
            <w:div w:id="1908296440">
              <w:marLeft w:val="0"/>
              <w:marRight w:val="0"/>
              <w:marTop w:val="0"/>
              <w:marBottom w:val="0"/>
              <w:divBdr>
                <w:top w:val="none" w:sz="0" w:space="0" w:color="auto"/>
                <w:left w:val="none" w:sz="0" w:space="0" w:color="auto"/>
                <w:bottom w:val="none" w:sz="0" w:space="0" w:color="auto"/>
                <w:right w:val="none" w:sz="0" w:space="0" w:color="auto"/>
              </w:divBdr>
            </w:div>
          </w:divsChild>
        </w:div>
        <w:div w:id="1896698620">
          <w:marLeft w:val="0"/>
          <w:marRight w:val="0"/>
          <w:marTop w:val="0"/>
          <w:marBottom w:val="0"/>
          <w:divBdr>
            <w:top w:val="none" w:sz="0" w:space="0" w:color="auto"/>
            <w:left w:val="none" w:sz="0" w:space="0" w:color="auto"/>
            <w:bottom w:val="none" w:sz="0" w:space="0" w:color="auto"/>
            <w:right w:val="none" w:sz="0" w:space="0" w:color="auto"/>
          </w:divBdr>
          <w:divsChild>
            <w:div w:id="141629041">
              <w:marLeft w:val="0"/>
              <w:marRight w:val="0"/>
              <w:marTop w:val="0"/>
              <w:marBottom w:val="0"/>
              <w:divBdr>
                <w:top w:val="none" w:sz="0" w:space="0" w:color="auto"/>
                <w:left w:val="none" w:sz="0" w:space="0" w:color="auto"/>
                <w:bottom w:val="none" w:sz="0" w:space="0" w:color="auto"/>
                <w:right w:val="none" w:sz="0" w:space="0" w:color="auto"/>
              </w:divBdr>
            </w:div>
          </w:divsChild>
        </w:div>
        <w:div w:id="1915239889">
          <w:marLeft w:val="0"/>
          <w:marRight w:val="0"/>
          <w:marTop w:val="0"/>
          <w:marBottom w:val="0"/>
          <w:divBdr>
            <w:top w:val="none" w:sz="0" w:space="0" w:color="auto"/>
            <w:left w:val="none" w:sz="0" w:space="0" w:color="auto"/>
            <w:bottom w:val="none" w:sz="0" w:space="0" w:color="auto"/>
            <w:right w:val="none" w:sz="0" w:space="0" w:color="auto"/>
          </w:divBdr>
          <w:divsChild>
            <w:div w:id="23604513">
              <w:marLeft w:val="0"/>
              <w:marRight w:val="0"/>
              <w:marTop w:val="0"/>
              <w:marBottom w:val="0"/>
              <w:divBdr>
                <w:top w:val="none" w:sz="0" w:space="0" w:color="auto"/>
                <w:left w:val="none" w:sz="0" w:space="0" w:color="auto"/>
                <w:bottom w:val="none" w:sz="0" w:space="0" w:color="auto"/>
                <w:right w:val="none" w:sz="0" w:space="0" w:color="auto"/>
              </w:divBdr>
            </w:div>
          </w:divsChild>
        </w:div>
        <w:div w:id="1918900232">
          <w:marLeft w:val="0"/>
          <w:marRight w:val="0"/>
          <w:marTop w:val="0"/>
          <w:marBottom w:val="0"/>
          <w:divBdr>
            <w:top w:val="none" w:sz="0" w:space="0" w:color="auto"/>
            <w:left w:val="none" w:sz="0" w:space="0" w:color="auto"/>
            <w:bottom w:val="none" w:sz="0" w:space="0" w:color="auto"/>
            <w:right w:val="none" w:sz="0" w:space="0" w:color="auto"/>
          </w:divBdr>
          <w:divsChild>
            <w:div w:id="1804496777">
              <w:marLeft w:val="0"/>
              <w:marRight w:val="0"/>
              <w:marTop w:val="0"/>
              <w:marBottom w:val="0"/>
              <w:divBdr>
                <w:top w:val="none" w:sz="0" w:space="0" w:color="auto"/>
                <w:left w:val="none" w:sz="0" w:space="0" w:color="auto"/>
                <w:bottom w:val="none" w:sz="0" w:space="0" w:color="auto"/>
                <w:right w:val="none" w:sz="0" w:space="0" w:color="auto"/>
              </w:divBdr>
            </w:div>
          </w:divsChild>
        </w:div>
        <w:div w:id="1926449875">
          <w:marLeft w:val="0"/>
          <w:marRight w:val="0"/>
          <w:marTop w:val="0"/>
          <w:marBottom w:val="0"/>
          <w:divBdr>
            <w:top w:val="none" w:sz="0" w:space="0" w:color="auto"/>
            <w:left w:val="none" w:sz="0" w:space="0" w:color="auto"/>
            <w:bottom w:val="none" w:sz="0" w:space="0" w:color="auto"/>
            <w:right w:val="none" w:sz="0" w:space="0" w:color="auto"/>
          </w:divBdr>
          <w:divsChild>
            <w:div w:id="518617973">
              <w:marLeft w:val="0"/>
              <w:marRight w:val="0"/>
              <w:marTop w:val="0"/>
              <w:marBottom w:val="0"/>
              <w:divBdr>
                <w:top w:val="none" w:sz="0" w:space="0" w:color="auto"/>
                <w:left w:val="none" w:sz="0" w:space="0" w:color="auto"/>
                <w:bottom w:val="none" w:sz="0" w:space="0" w:color="auto"/>
                <w:right w:val="none" w:sz="0" w:space="0" w:color="auto"/>
              </w:divBdr>
            </w:div>
          </w:divsChild>
        </w:div>
        <w:div w:id="1928924987">
          <w:marLeft w:val="0"/>
          <w:marRight w:val="0"/>
          <w:marTop w:val="0"/>
          <w:marBottom w:val="0"/>
          <w:divBdr>
            <w:top w:val="none" w:sz="0" w:space="0" w:color="auto"/>
            <w:left w:val="none" w:sz="0" w:space="0" w:color="auto"/>
            <w:bottom w:val="none" w:sz="0" w:space="0" w:color="auto"/>
            <w:right w:val="none" w:sz="0" w:space="0" w:color="auto"/>
          </w:divBdr>
          <w:divsChild>
            <w:div w:id="1636905180">
              <w:marLeft w:val="0"/>
              <w:marRight w:val="0"/>
              <w:marTop w:val="0"/>
              <w:marBottom w:val="0"/>
              <w:divBdr>
                <w:top w:val="none" w:sz="0" w:space="0" w:color="auto"/>
                <w:left w:val="none" w:sz="0" w:space="0" w:color="auto"/>
                <w:bottom w:val="none" w:sz="0" w:space="0" w:color="auto"/>
                <w:right w:val="none" w:sz="0" w:space="0" w:color="auto"/>
              </w:divBdr>
            </w:div>
          </w:divsChild>
        </w:div>
        <w:div w:id="1936134964">
          <w:marLeft w:val="0"/>
          <w:marRight w:val="0"/>
          <w:marTop w:val="0"/>
          <w:marBottom w:val="0"/>
          <w:divBdr>
            <w:top w:val="none" w:sz="0" w:space="0" w:color="auto"/>
            <w:left w:val="none" w:sz="0" w:space="0" w:color="auto"/>
            <w:bottom w:val="none" w:sz="0" w:space="0" w:color="auto"/>
            <w:right w:val="none" w:sz="0" w:space="0" w:color="auto"/>
          </w:divBdr>
          <w:divsChild>
            <w:div w:id="481508749">
              <w:marLeft w:val="0"/>
              <w:marRight w:val="0"/>
              <w:marTop w:val="0"/>
              <w:marBottom w:val="0"/>
              <w:divBdr>
                <w:top w:val="none" w:sz="0" w:space="0" w:color="auto"/>
                <w:left w:val="none" w:sz="0" w:space="0" w:color="auto"/>
                <w:bottom w:val="none" w:sz="0" w:space="0" w:color="auto"/>
                <w:right w:val="none" w:sz="0" w:space="0" w:color="auto"/>
              </w:divBdr>
            </w:div>
          </w:divsChild>
        </w:div>
        <w:div w:id="1944192682">
          <w:marLeft w:val="0"/>
          <w:marRight w:val="0"/>
          <w:marTop w:val="0"/>
          <w:marBottom w:val="0"/>
          <w:divBdr>
            <w:top w:val="none" w:sz="0" w:space="0" w:color="auto"/>
            <w:left w:val="none" w:sz="0" w:space="0" w:color="auto"/>
            <w:bottom w:val="none" w:sz="0" w:space="0" w:color="auto"/>
            <w:right w:val="none" w:sz="0" w:space="0" w:color="auto"/>
          </w:divBdr>
          <w:divsChild>
            <w:div w:id="1253583898">
              <w:marLeft w:val="0"/>
              <w:marRight w:val="0"/>
              <w:marTop w:val="0"/>
              <w:marBottom w:val="0"/>
              <w:divBdr>
                <w:top w:val="none" w:sz="0" w:space="0" w:color="auto"/>
                <w:left w:val="none" w:sz="0" w:space="0" w:color="auto"/>
                <w:bottom w:val="none" w:sz="0" w:space="0" w:color="auto"/>
                <w:right w:val="none" w:sz="0" w:space="0" w:color="auto"/>
              </w:divBdr>
            </w:div>
          </w:divsChild>
        </w:div>
        <w:div w:id="1944220473">
          <w:marLeft w:val="0"/>
          <w:marRight w:val="0"/>
          <w:marTop w:val="0"/>
          <w:marBottom w:val="0"/>
          <w:divBdr>
            <w:top w:val="none" w:sz="0" w:space="0" w:color="auto"/>
            <w:left w:val="none" w:sz="0" w:space="0" w:color="auto"/>
            <w:bottom w:val="none" w:sz="0" w:space="0" w:color="auto"/>
            <w:right w:val="none" w:sz="0" w:space="0" w:color="auto"/>
          </w:divBdr>
          <w:divsChild>
            <w:div w:id="740255127">
              <w:marLeft w:val="0"/>
              <w:marRight w:val="0"/>
              <w:marTop w:val="0"/>
              <w:marBottom w:val="0"/>
              <w:divBdr>
                <w:top w:val="none" w:sz="0" w:space="0" w:color="auto"/>
                <w:left w:val="none" w:sz="0" w:space="0" w:color="auto"/>
                <w:bottom w:val="none" w:sz="0" w:space="0" w:color="auto"/>
                <w:right w:val="none" w:sz="0" w:space="0" w:color="auto"/>
              </w:divBdr>
            </w:div>
          </w:divsChild>
        </w:div>
        <w:div w:id="1944461362">
          <w:marLeft w:val="0"/>
          <w:marRight w:val="0"/>
          <w:marTop w:val="0"/>
          <w:marBottom w:val="0"/>
          <w:divBdr>
            <w:top w:val="none" w:sz="0" w:space="0" w:color="auto"/>
            <w:left w:val="none" w:sz="0" w:space="0" w:color="auto"/>
            <w:bottom w:val="none" w:sz="0" w:space="0" w:color="auto"/>
            <w:right w:val="none" w:sz="0" w:space="0" w:color="auto"/>
          </w:divBdr>
          <w:divsChild>
            <w:div w:id="11763490">
              <w:marLeft w:val="0"/>
              <w:marRight w:val="0"/>
              <w:marTop w:val="0"/>
              <w:marBottom w:val="0"/>
              <w:divBdr>
                <w:top w:val="none" w:sz="0" w:space="0" w:color="auto"/>
                <w:left w:val="none" w:sz="0" w:space="0" w:color="auto"/>
                <w:bottom w:val="none" w:sz="0" w:space="0" w:color="auto"/>
                <w:right w:val="none" w:sz="0" w:space="0" w:color="auto"/>
              </w:divBdr>
            </w:div>
          </w:divsChild>
        </w:div>
        <w:div w:id="1960068877">
          <w:marLeft w:val="0"/>
          <w:marRight w:val="0"/>
          <w:marTop w:val="0"/>
          <w:marBottom w:val="0"/>
          <w:divBdr>
            <w:top w:val="none" w:sz="0" w:space="0" w:color="auto"/>
            <w:left w:val="none" w:sz="0" w:space="0" w:color="auto"/>
            <w:bottom w:val="none" w:sz="0" w:space="0" w:color="auto"/>
            <w:right w:val="none" w:sz="0" w:space="0" w:color="auto"/>
          </w:divBdr>
          <w:divsChild>
            <w:div w:id="1884436897">
              <w:marLeft w:val="0"/>
              <w:marRight w:val="0"/>
              <w:marTop w:val="0"/>
              <w:marBottom w:val="0"/>
              <w:divBdr>
                <w:top w:val="none" w:sz="0" w:space="0" w:color="auto"/>
                <w:left w:val="none" w:sz="0" w:space="0" w:color="auto"/>
                <w:bottom w:val="none" w:sz="0" w:space="0" w:color="auto"/>
                <w:right w:val="none" w:sz="0" w:space="0" w:color="auto"/>
              </w:divBdr>
            </w:div>
          </w:divsChild>
        </w:div>
        <w:div w:id="1961645469">
          <w:marLeft w:val="0"/>
          <w:marRight w:val="0"/>
          <w:marTop w:val="0"/>
          <w:marBottom w:val="0"/>
          <w:divBdr>
            <w:top w:val="none" w:sz="0" w:space="0" w:color="auto"/>
            <w:left w:val="none" w:sz="0" w:space="0" w:color="auto"/>
            <w:bottom w:val="none" w:sz="0" w:space="0" w:color="auto"/>
            <w:right w:val="none" w:sz="0" w:space="0" w:color="auto"/>
          </w:divBdr>
          <w:divsChild>
            <w:div w:id="1486243791">
              <w:marLeft w:val="0"/>
              <w:marRight w:val="0"/>
              <w:marTop w:val="0"/>
              <w:marBottom w:val="0"/>
              <w:divBdr>
                <w:top w:val="none" w:sz="0" w:space="0" w:color="auto"/>
                <w:left w:val="none" w:sz="0" w:space="0" w:color="auto"/>
                <w:bottom w:val="none" w:sz="0" w:space="0" w:color="auto"/>
                <w:right w:val="none" w:sz="0" w:space="0" w:color="auto"/>
              </w:divBdr>
            </w:div>
          </w:divsChild>
        </w:div>
        <w:div w:id="1968929612">
          <w:marLeft w:val="0"/>
          <w:marRight w:val="0"/>
          <w:marTop w:val="0"/>
          <w:marBottom w:val="0"/>
          <w:divBdr>
            <w:top w:val="none" w:sz="0" w:space="0" w:color="auto"/>
            <w:left w:val="none" w:sz="0" w:space="0" w:color="auto"/>
            <w:bottom w:val="none" w:sz="0" w:space="0" w:color="auto"/>
            <w:right w:val="none" w:sz="0" w:space="0" w:color="auto"/>
          </w:divBdr>
          <w:divsChild>
            <w:div w:id="1798446031">
              <w:marLeft w:val="0"/>
              <w:marRight w:val="0"/>
              <w:marTop w:val="0"/>
              <w:marBottom w:val="0"/>
              <w:divBdr>
                <w:top w:val="none" w:sz="0" w:space="0" w:color="auto"/>
                <w:left w:val="none" w:sz="0" w:space="0" w:color="auto"/>
                <w:bottom w:val="none" w:sz="0" w:space="0" w:color="auto"/>
                <w:right w:val="none" w:sz="0" w:space="0" w:color="auto"/>
              </w:divBdr>
            </w:div>
          </w:divsChild>
        </w:div>
        <w:div w:id="1990593164">
          <w:marLeft w:val="0"/>
          <w:marRight w:val="0"/>
          <w:marTop w:val="0"/>
          <w:marBottom w:val="0"/>
          <w:divBdr>
            <w:top w:val="none" w:sz="0" w:space="0" w:color="auto"/>
            <w:left w:val="none" w:sz="0" w:space="0" w:color="auto"/>
            <w:bottom w:val="none" w:sz="0" w:space="0" w:color="auto"/>
            <w:right w:val="none" w:sz="0" w:space="0" w:color="auto"/>
          </w:divBdr>
          <w:divsChild>
            <w:div w:id="1480340944">
              <w:marLeft w:val="0"/>
              <w:marRight w:val="0"/>
              <w:marTop w:val="0"/>
              <w:marBottom w:val="0"/>
              <w:divBdr>
                <w:top w:val="none" w:sz="0" w:space="0" w:color="auto"/>
                <w:left w:val="none" w:sz="0" w:space="0" w:color="auto"/>
                <w:bottom w:val="none" w:sz="0" w:space="0" w:color="auto"/>
                <w:right w:val="none" w:sz="0" w:space="0" w:color="auto"/>
              </w:divBdr>
            </w:div>
          </w:divsChild>
        </w:div>
        <w:div w:id="1990669938">
          <w:marLeft w:val="0"/>
          <w:marRight w:val="0"/>
          <w:marTop w:val="0"/>
          <w:marBottom w:val="0"/>
          <w:divBdr>
            <w:top w:val="none" w:sz="0" w:space="0" w:color="auto"/>
            <w:left w:val="none" w:sz="0" w:space="0" w:color="auto"/>
            <w:bottom w:val="none" w:sz="0" w:space="0" w:color="auto"/>
            <w:right w:val="none" w:sz="0" w:space="0" w:color="auto"/>
          </w:divBdr>
          <w:divsChild>
            <w:div w:id="2130775784">
              <w:marLeft w:val="0"/>
              <w:marRight w:val="0"/>
              <w:marTop w:val="0"/>
              <w:marBottom w:val="0"/>
              <w:divBdr>
                <w:top w:val="none" w:sz="0" w:space="0" w:color="auto"/>
                <w:left w:val="none" w:sz="0" w:space="0" w:color="auto"/>
                <w:bottom w:val="none" w:sz="0" w:space="0" w:color="auto"/>
                <w:right w:val="none" w:sz="0" w:space="0" w:color="auto"/>
              </w:divBdr>
            </w:div>
          </w:divsChild>
        </w:div>
        <w:div w:id="2001539155">
          <w:marLeft w:val="0"/>
          <w:marRight w:val="0"/>
          <w:marTop w:val="0"/>
          <w:marBottom w:val="0"/>
          <w:divBdr>
            <w:top w:val="none" w:sz="0" w:space="0" w:color="auto"/>
            <w:left w:val="none" w:sz="0" w:space="0" w:color="auto"/>
            <w:bottom w:val="none" w:sz="0" w:space="0" w:color="auto"/>
            <w:right w:val="none" w:sz="0" w:space="0" w:color="auto"/>
          </w:divBdr>
          <w:divsChild>
            <w:div w:id="338312463">
              <w:marLeft w:val="0"/>
              <w:marRight w:val="0"/>
              <w:marTop w:val="0"/>
              <w:marBottom w:val="0"/>
              <w:divBdr>
                <w:top w:val="none" w:sz="0" w:space="0" w:color="auto"/>
                <w:left w:val="none" w:sz="0" w:space="0" w:color="auto"/>
                <w:bottom w:val="none" w:sz="0" w:space="0" w:color="auto"/>
                <w:right w:val="none" w:sz="0" w:space="0" w:color="auto"/>
              </w:divBdr>
            </w:div>
          </w:divsChild>
        </w:div>
        <w:div w:id="2001620653">
          <w:marLeft w:val="0"/>
          <w:marRight w:val="0"/>
          <w:marTop w:val="0"/>
          <w:marBottom w:val="0"/>
          <w:divBdr>
            <w:top w:val="none" w:sz="0" w:space="0" w:color="auto"/>
            <w:left w:val="none" w:sz="0" w:space="0" w:color="auto"/>
            <w:bottom w:val="none" w:sz="0" w:space="0" w:color="auto"/>
            <w:right w:val="none" w:sz="0" w:space="0" w:color="auto"/>
          </w:divBdr>
          <w:divsChild>
            <w:div w:id="1039669129">
              <w:marLeft w:val="0"/>
              <w:marRight w:val="0"/>
              <w:marTop w:val="0"/>
              <w:marBottom w:val="0"/>
              <w:divBdr>
                <w:top w:val="none" w:sz="0" w:space="0" w:color="auto"/>
                <w:left w:val="none" w:sz="0" w:space="0" w:color="auto"/>
                <w:bottom w:val="none" w:sz="0" w:space="0" w:color="auto"/>
                <w:right w:val="none" w:sz="0" w:space="0" w:color="auto"/>
              </w:divBdr>
            </w:div>
          </w:divsChild>
        </w:div>
        <w:div w:id="2005738023">
          <w:marLeft w:val="0"/>
          <w:marRight w:val="0"/>
          <w:marTop w:val="0"/>
          <w:marBottom w:val="0"/>
          <w:divBdr>
            <w:top w:val="none" w:sz="0" w:space="0" w:color="auto"/>
            <w:left w:val="none" w:sz="0" w:space="0" w:color="auto"/>
            <w:bottom w:val="none" w:sz="0" w:space="0" w:color="auto"/>
            <w:right w:val="none" w:sz="0" w:space="0" w:color="auto"/>
          </w:divBdr>
          <w:divsChild>
            <w:div w:id="1483964278">
              <w:marLeft w:val="0"/>
              <w:marRight w:val="0"/>
              <w:marTop w:val="0"/>
              <w:marBottom w:val="0"/>
              <w:divBdr>
                <w:top w:val="none" w:sz="0" w:space="0" w:color="auto"/>
                <w:left w:val="none" w:sz="0" w:space="0" w:color="auto"/>
                <w:bottom w:val="none" w:sz="0" w:space="0" w:color="auto"/>
                <w:right w:val="none" w:sz="0" w:space="0" w:color="auto"/>
              </w:divBdr>
            </w:div>
          </w:divsChild>
        </w:div>
        <w:div w:id="2009016613">
          <w:marLeft w:val="0"/>
          <w:marRight w:val="0"/>
          <w:marTop w:val="0"/>
          <w:marBottom w:val="0"/>
          <w:divBdr>
            <w:top w:val="none" w:sz="0" w:space="0" w:color="auto"/>
            <w:left w:val="none" w:sz="0" w:space="0" w:color="auto"/>
            <w:bottom w:val="none" w:sz="0" w:space="0" w:color="auto"/>
            <w:right w:val="none" w:sz="0" w:space="0" w:color="auto"/>
          </w:divBdr>
          <w:divsChild>
            <w:div w:id="808790669">
              <w:marLeft w:val="0"/>
              <w:marRight w:val="0"/>
              <w:marTop w:val="0"/>
              <w:marBottom w:val="0"/>
              <w:divBdr>
                <w:top w:val="none" w:sz="0" w:space="0" w:color="auto"/>
                <w:left w:val="none" w:sz="0" w:space="0" w:color="auto"/>
                <w:bottom w:val="none" w:sz="0" w:space="0" w:color="auto"/>
                <w:right w:val="none" w:sz="0" w:space="0" w:color="auto"/>
              </w:divBdr>
            </w:div>
          </w:divsChild>
        </w:div>
        <w:div w:id="2010479034">
          <w:marLeft w:val="0"/>
          <w:marRight w:val="0"/>
          <w:marTop w:val="0"/>
          <w:marBottom w:val="0"/>
          <w:divBdr>
            <w:top w:val="none" w:sz="0" w:space="0" w:color="auto"/>
            <w:left w:val="none" w:sz="0" w:space="0" w:color="auto"/>
            <w:bottom w:val="none" w:sz="0" w:space="0" w:color="auto"/>
            <w:right w:val="none" w:sz="0" w:space="0" w:color="auto"/>
          </w:divBdr>
          <w:divsChild>
            <w:div w:id="426003334">
              <w:marLeft w:val="0"/>
              <w:marRight w:val="0"/>
              <w:marTop w:val="0"/>
              <w:marBottom w:val="0"/>
              <w:divBdr>
                <w:top w:val="none" w:sz="0" w:space="0" w:color="auto"/>
                <w:left w:val="none" w:sz="0" w:space="0" w:color="auto"/>
                <w:bottom w:val="none" w:sz="0" w:space="0" w:color="auto"/>
                <w:right w:val="none" w:sz="0" w:space="0" w:color="auto"/>
              </w:divBdr>
            </w:div>
          </w:divsChild>
        </w:div>
        <w:div w:id="2013413282">
          <w:marLeft w:val="0"/>
          <w:marRight w:val="0"/>
          <w:marTop w:val="0"/>
          <w:marBottom w:val="0"/>
          <w:divBdr>
            <w:top w:val="none" w:sz="0" w:space="0" w:color="auto"/>
            <w:left w:val="none" w:sz="0" w:space="0" w:color="auto"/>
            <w:bottom w:val="none" w:sz="0" w:space="0" w:color="auto"/>
            <w:right w:val="none" w:sz="0" w:space="0" w:color="auto"/>
          </w:divBdr>
          <w:divsChild>
            <w:div w:id="312686776">
              <w:marLeft w:val="0"/>
              <w:marRight w:val="0"/>
              <w:marTop w:val="0"/>
              <w:marBottom w:val="0"/>
              <w:divBdr>
                <w:top w:val="none" w:sz="0" w:space="0" w:color="auto"/>
                <w:left w:val="none" w:sz="0" w:space="0" w:color="auto"/>
                <w:bottom w:val="none" w:sz="0" w:space="0" w:color="auto"/>
                <w:right w:val="none" w:sz="0" w:space="0" w:color="auto"/>
              </w:divBdr>
            </w:div>
          </w:divsChild>
        </w:div>
        <w:div w:id="2013557022">
          <w:marLeft w:val="0"/>
          <w:marRight w:val="0"/>
          <w:marTop w:val="0"/>
          <w:marBottom w:val="0"/>
          <w:divBdr>
            <w:top w:val="none" w:sz="0" w:space="0" w:color="auto"/>
            <w:left w:val="none" w:sz="0" w:space="0" w:color="auto"/>
            <w:bottom w:val="none" w:sz="0" w:space="0" w:color="auto"/>
            <w:right w:val="none" w:sz="0" w:space="0" w:color="auto"/>
          </w:divBdr>
          <w:divsChild>
            <w:div w:id="1309819048">
              <w:marLeft w:val="0"/>
              <w:marRight w:val="0"/>
              <w:marTop w:val="0"/>
              <w:marBottom w:val="0"/>
              <w:divBdr>
                <w:top w:val="none" w:sz="0" w:space="0" w:color="auto"/>
                <w:left w:val="none" w:sz="0" w:space="0" w:color="auto"/>
                <w:bottom w:val="none" w:sz="0" w:space="0" w:color="auto"/>
                <w:right w:val="none" w:sz="0" w:space="0" w:color="auto"/>
              </w:divBdr>
            </w:div>
          </w:divsChild>
        </w:div>
        <w:div w:id="2016954757">
          <w:marLeft w:val="0"/>
          <w:marRight w:val="0"/>
          <w:marTop w:val="0"/>
          <w:marBottom w:val="0"/>
          <w:divBdr>
            <w:top w:val="none" w:sz="0" w:space="0" w:color="auto"/>
            <w:left w:val="none" w:sz="0" w:space="0" w:color="auto"/>
            <w:bottom w:val="none" w:sz="0" w:space="0" w:color="auto"/>
            <w:right w:val="none" w:sz="0" w:space="0" w:color="auto"/>
          </w:divBdr>
          <w:divsChild>
            <w:div w:id="2083679253">
              <w:marLeft w:val="0"/>
              <w:marRight w:val="0"/>
              <w:marTop w:val="0"/>
              <w:marBottom w:val="0"/>
              <w:divBdr>
                <w:top w:val="none" w:sz="0" w:space="0" w:color="auto"/>
                <w:left w:val="none" w:sz="0" w:space="0" w:color="auto"/>
                <w:bottom w:val="none" w:sz="0" w:space="0" w:color="auto"/>
                <w:right w:val="none" w:sz="0" w:space="0" w:color="auto"/>
              </w:divBdr>
            </w:div>
          </w:divsChild>
        </w:div>
        <w:div w:id="2029603733">
          <w:marLeft w:val="0"/>
          <w:marRight w:val="0"/>
          <w:marTop w:val="0"/>
          <w:marBottom w:val="0"/>
          <w:divBdr>
            <w:top w:val="none" w:sz="0" w:space="0" w:color="auto"/>
            <w:left w:val="none" w:sz="0" w:space="0" w:color="auto"/>
            <w:bottom w:val="none" w:sz="0" w:space="0" w:color="auto"/>
            <w:right w:val="none" w:sz="0" w:space="0" w:color="auto"/>
          </w:divBdr>
          <w:divsChild>
            <w:div w:id="952398709">
              <w:marLeft w:val="0"/>
              <w:marRight w:val="0"/>
              <w:marTop w:val="0"/>
              <w:marBottom w:val="0"/>
              <w:divBdr>
                <w:top w:val="none" w:sz="0" w:space="0" w:color="auto"/>
                <w:left w:val="none" w:sz="0" w:space="0" w:color="auto"/>
                <w:bottom w:val="none" w:sz="0" w:space="0" w:color="auto"/>
                <w:right w:val="none" w:sz="0" w:space="0" w:color="auto"/>
              </w:divBdr>
            </w:div>
          </w:divsChild>
        </w:div>
        <w:div w:id="2033415726">
          <w:marLeft w:val="0"/>
          <w:marRight w:val="0"/>
          <w:marTop w:val="0"/>
          <w:marBottom w:val="0"/>
          <w:divBdr>
            <w:top w:val="none" w:sz="0" w:space="0" w:color="auto"/>
            <w:left w:val="none" w:sz="0" w:space="0" w:color="auto"/>
            <w:bottom w:val="none" w:sz="0" w:space="0" w:color="auto"/>
            <w:right w:val="none" w:sz="0" w:space="0" w:color="auto"/>
          </w:divBdr>
          <w:divsChild>
            <w:div w:id="2080400948">
              <w:marLeft w:val="0"/>
              <w:marRight w:val="0"/>
              <w:marTop w:val="0"/>
              <w:marBottom w:val="0"/>
              <w:divBdr>
                <w:top w:val="none" w:sz="0" w:space="0" w:color="auto"/>
                <w:left w:val="none" w:sz="0" w:space="0" w:color="auto"/>
                <w:bottom w:val="none" w:sz="0" w:space="0" w:color="auto"/>
                <w:right w:val="none" w:sz="0" w:space="0" w:color="auto"/>
              </w:divBdr>
            </w:div>
          </w:divsChild>
        </w:div>
        <w:div w:id="2033916717">
          <w:marLeft w:val="0"/>
          <w:marRight w:val="0"/>
          <w:marTop w:val="0"/>
          <w:marBottom w:val="0"/>
          <w:divBdr>
            <w:top w:val="none" w:sz="0" w:space="0" w:color="auto"/>
            <w:left w:val="none" w:sz="0" w:space="0" w:color="auto"/>
            <w:bottom w:val="none" w:sz="0" w:space="0" w:color="auto"/>
            <w:right w:val="none" w:sz="0" w:space="0" w:color="auto"/>
          </w:divBdr>
          <w:divsChild>
            <w:div w:id="1014457821">
              <w:marLeft w:val="0"/>
              <w:marRight w:val="0"/>
              <w:marTop w:val="0"/>
              <w:marBottom w:val="0"/>
              <w:divBdr>
                <w:top w:val="none" w:sz="0" w:space="0" w:color="auto"/>
                <w:left w:val="none" w:sz="0" w:space="0" w:color="auto"/>
                <w:bottom w:val="none" w:sz="0" w:space="0" w:color="auto"/>
                <w:right w:val="none" w:sz="0" w:space="0" w:color="auto"/>
              </w:divBdr>
            </w:div>
          </w:divsChild>
        </w:div>
        <w:div w:id="2039163107">
          <w:marLeft w:val="0"/>
          <w:marRight w:val="0"/>
          <w:marTop w:val="0"/>
          <w:marBottom w:val="0"/>
          <w:divBdr>
            <w:top w:val="none" w:sz="0" w:space="0" w:color="auto"/>
            <w:left w:val="none" w:sz="0" w:space="0" w:color="auto"/>
            <w:bottom w:val="none" w:sz="0" w:space="0" w:color="auto"/>
            <w:right w:val="none" w:sz="0" w:space="0" w:color="auto"/>
          </w:divBdr>
          <w:divsChild>
            <w:div w:id="1591891473">
              <w:marLeft w:val="0"/>
              <w:marRight w:val="0"/>
              <w:marTop w:val="0"/>
              <w:marBottom w:val="0"/>
              <w:divBdr>
                <w:top w:val="none" w:sz="0" w:space="0" w:color="auto"/>
                <w:left w:val="none" w:sz="0" w:space="0" w:color="auto"/>
                <w:bottom w:val="none" w:sz="0" w:space="0" w:color="auto"/>
                <w:right w:val="none" w:sz="0" w:space="0" w:color="auto"/>
              </w:divBdr>
            </w:div>
          </w:divsChild>
        </w:div>
        <w:div w:id="2041474352">
          <w:marLeft w:val="0"/>
          <w:marRight w:val="0"/>
          <w:marTop w:val="0"/>
          <w:marBottom w:val="0"/>
          <w:divBdr>
            <w:top w:val="none" w:sz="0" w:space="0" w:color="auto"/>
            <w:left w:val="none" w:sz="0" w:space="0" w:color="auto"/>
            <w:bottom w:val="none" w:sz="0" w:space="0" w:color="auto"/>
            <w:right w:val="none" w:sz="0" w:space="0" w:color="auto"/>
          </w:divBdr>
          <w:divsChild>
            <w:div w:id="1851988476">
              <w:marLeft w:val="0"/>
              <w:marRight w:val="0"/>
              <w:marTop w:val="0"/>
              <w:marBottom w:val="0"/>
              <w:divBdr>
                <w:top w:val="none" w:sz="0" w:space="0" w:color="auto"/>
                <w:left w:val="none" w:sz="0" w:space="0" w:color="auto"/>
                <w:bottom w:val="none" w:sz="0" w:space="0" w:color="auto"/>
                <w:right w:val="none" w:sz="0" w:space="0" w:color="auto"/>
              </w:divBdr>
            </w:div>
          </w:divsChild>
        </w:div>
        <w:div w:id="2041853308">
          <w:marLeft w:val="0"/>
          <w:marRight w:val="0"/>
          <w:marTop w:val="0"/>
          <w:marBottom w:val="0"/>
          <w:divBdr>
            <w:top w:val="none" w:sz="0" w:space="0" w:color="auto"/>
            <w:left w:val="none" w:sz="0" w:space="0" w:color="auto"/>
            <w:bottom w:val="none" w:sz="0" w:space="0" w:color="auto"/>
            <w:right w:val="none" w:sz="0" w:space="0" w:color="auto"/>
          </w:divBdr>
          <w:divsChild>
            <w:div w:id="924455407">
              <w:marLeft w:val="0"/>
              <w:marRight w:val="0"/>
              <w:marTop w:val="0"/>
              <w:marBottom w:val="0"/>
              <w:divBdr>
                <w:top w:val="none" w:sz="0" w:space="0" w:color="auto"/>
                <w:left w:val="none" w:sz="0" w:space="0" w:color="auto"/>
                <w:bottom w:val="none" w:sz="0" w:space="0" w:color="auto"/>
                <w:right w:val="none" w:sz="0" w:space="0" w:color="auto"/>
              </w:divBdr>
            </w:div>
          </w:divsChild>
        </w:div>
        <w:div w:id="2043165189">
          <w:marLeft w:val="0"/>
          <w:marRight w:val="0"/>
          <w:marTop w:val="0"/>
          <w:marBottom w:val="0"/>
          <w:divBdr>
            <w:top w:val="none" w:sz="0" w:space="0" w:color="auto"/>
            <w:left w:val="none" w:sz="0" w:space="0" w:color="auto"/>
            <w:bottom w:val="none" w:sz="0" w:space="0" w:color="auto"/>
            <w:right w:val="none" w:sz="0" w:space="0" w:color="auto"/>
          </w:divBdr>
          <w:divsChild>
            <w:div w:id="971600220">
              <w:marLeft w:val="0"/>
              <w:marRight w:val="0"/>
              <w:marTop w:val="0"/>
              <w:marBottom w:val="0"/>
              <w:divBdr>
                <w:top w:val="none" w:sz="0" w:space="0" w:color="auto"/>
                <w:left w:val="none" w:sz="0" w:space="0" w:color="auto"/>
                <w:bottom w:val="none" w:sz="0" w:space="0" w:color="auto"/>
                <w:right w:val="none" w:sz="0" w:space="0" w:color="auto"/>
              </w:divBdr>
            </w:div>
          </w:divsChild>
        </w:div>
        <w:div w:id="2047437832">
          <w:marLeft w:val="0"/>
          <w:marRight w:val="0"/>
          <w:marTop w:val="0"/>
          <w:marBottom w:val="0"/>
          <w:divBdr>
            <w:top w:val="none" w:sz="0" w:space="0" w:color="auto"/>
            <w:left w:val="none" w:sz="0" w:space="0" w:color="auto"/>
            <w:bottom w:val="none" w:sz="0" w:space="0" w:color="auto"/>
            <w:right w:val="none" w:sz="0" w:space="0" w:color="auto"/>
          </w:divBdr>
          <w:divsChild>
            <w:div w:id="136337097">
              <w:marLeft w:val="0"/>
              <w:marRight w:val="0"/>
              <w:marTop w:val="0"/>
              <w:marBottom w:val="0"/>
              <w:divBdr>
                <w:top w:val="none" w:sz="0" w:space="0" w:color="auto"/>
                <w:left w:val="none" w:sz="0" w:space="0" w:color="auto"/>
                <w:bottom w:val="none" w:sz="0" w:space="0" w:color="auto"/>
                <w:right w:val="none" w:sz="0" w:space="0" w:color="auto"/>
              </w:divBdr>
            </w:div>
            <w:div w:id="645210852">
              <w:marLeft w:val="0"/>
              <w:marRight w:val="0"/>
              <w:marTop w:val="0"/>
              <w:marBottom w:val="0"/>
              <w:divBdr>
                <w:top w:val="none" w:sz="0" w:space="0" w:color="auto"/>
                <w:left w:val="none" w:sz="0" w:space="0" w:color="auto"/>
                <w:bottom w:val="none" w:sz="0" w:space="0" w:color="auto"/>
                <w:right w:val="none" w:sz="0" w:space="0" w:color="auto"/>
              </w:divBdr>
            </w:div>
            <w:div w:id="681591920">
              <w:marLeft w:val="0"/>
              <w:marRight w:val="0"/>
              <w:marTop w:val="0"/>
              <w:marBottom w:val="0"/>
              <w:divBdr>
                <w:top w:val="none" w:sz="0" w:space="0" w:color="auto"/>
                <w:left w:val="none" w:sz="0" w:space="0" w:color="auto"/>
                <w:bottom w:val="none" w:sz="0" w:space="0" w:color="auto"/>
                <w:right w:val="none" w:sz="0" w:space="0" w:color="auto"/>
              </w:divBdr>
            </w:div>
          </w:divsChild>
        </w:div>
        <w:div w:id="2050910946">
          <w:marLeft w:val="0"/>
          <w:marRight w:val="0"/>
          <w:marTop w:val="0"/>
          <w:marBottom w:val="0"/>
          <w:divBdr>
            <w:top w:val="none" w:sz="0" w:space="0" w:color="auto"/>
            <w:left w:val="none" w:sz="0" w:space="0" w:color="auto"/>
            <w:bottom w:val="none" w:sz="0" w:space="0" w:color="auto"/>
            <w:right w:val="none" w:sz="0" w:space="0" w:color="auto"/>
          </w:divBdr>
          <w:divsChild>
            <w:div w:id="1277173719">
              <w:marLeft w:val="0"/>
              <w:marRight w:val="0"/>
              <w:marTop w:val="0"/>
              <w:marBottom w:val="0"/>
              <w:divBdr>
                <w:top w:val="none" w:sz="0" w:space="0" w:color="auto"/>
                <w:left w:val="none" w:sz="0" w:space="0" w:color="auto"/>
                <w:bottom w:val="none" w:sz="0" w:space="0" w:color="auto"/>
                <w:right w:val="none" w:sz="0" w:space="0" w:color="auto"/>
              </w:divBdr>
            </w:div>
          </w:divsChild>
        </w:div>
        <w:div w:id="2056851348">
          <w:marLeft w:val="0"/>
          <w:marRight w:val="0"/>
          <w:marTop w:val="0"/>
          <w:marBottom w:val="0"/>
          <w:divBdr>
            <w:top w:val="none" w:sz="0" w:space="0" w:color="auto"/>
            <w:left w:val="none" w:sz="0" w:space="0" w:color="auto"/>
            <w:bottom w:val="none" w:sz="0" w:space="0" w:color="auto"/>
            <w:right w:val="none" w:sz="0" w:space="0" w:color="auto"/>
          </w:divBdr>
          <w:divsChild>
            <w:div w:id="1329594468">
              <w:marLeft w:val="0"/>
              <w:marRight w:val="0"/>
              <w:marTop w:val="0"/>
              <w:marBottom w:val="0"/>
              <w:divBdr>
                <w:top w:val="none" w:sz="0" w:space="0" w:color="auto"/>
                <w:left w:val="none" w:sz="0" w:space="0" w:color="auto"/>
                <w:bottom w:val="none" w:sz="0" w:space="0" w:color="auto"/>
                <w:right w:val="none" w:sz="0" w:space="0" w:color="auto"/>
              </w:divBdr>
            </w:div>
          </w:divsChild>
        </w:div>
        <w:div w:id="2057119939">
          <w:marLeft w:val="0"/>
          <w:marRight w:val="0"/>
          <w:marTop w:val="0"/>
          <w:marBottom w:val="0"/>
          <w:divBdr>
            <w:top w:val="none" w:sz="0" w:space="0" w:color="auto"/>
            <w:left w:val="none" w:sz="0" w:space="0" w:color="auto"/>
            <w:bottom w:val="none" w:sz="0" w:space="0" w:color="auto"/>
            <w:right w:val="none" w:sz="0" w:space="0" w:color="auto"/>
          </w:divBdr>
          <w:divsChild>
            <w:div w:id="1063673569">
              <w:marLeft w:val="0"/>
              <w:marRight w:val="0"/>
              <w:marTop w:val="0"/>
              <w:marBottom w:val="0"/>
              <w:divBdr>
                <w:top w:val="none" w:sz="0" w:space="0" w:color="auto"/>
                <w:left w:val="none" w:sz="0" w:space="0" w:color="auto"/>
                <w:bottom w:val="none" w:sz="0" w:space="0" w:color="auto"/>
                <w:right w:val="none" w:sz="0" w:space="0" w:color="auto"/>
              </w:divBdr>
            </w:div>
          </w:divsChild>
        </w:div>
        <w:div w:id="2057318015">
          <w:marLeft w:val="0"/>
          <w:marRight w:val="0"/>
          <w:marTop w:val="0"/>
          <w:marBottom w:val="0"/>
          <w:divBdr>
            <w:top w:val="none" w:sz="0" w:space="0" w:color="auto"/>
            <w:left w:val="none" w:sz="0" w:space="0" w:color="auto"/>
            <w:bottom w:val="none" w:sz="0" w:space="0" w:color="auto"/>
            <w:right w:val="none" w:sz="0" w:space="0" w:color="auto"/>
          </w:divBdr>
          <w:divsChild>
            <w:div w:id="1181240522">
              <w:marLeft w:val="0"/>
              <w:marRight w:val="0"/>
              <w:marTop w:val="0"/>
              <w:marBottom w:val="0"/>
              <w:divBdr>
                <w:top w:val="none" w:sz="0" w:space="0" w:color="auto"/>
                <w:left w:val="none" w:sz="0" w:space="0" w:color="auto"/>
                <w:bottom w:val="none" w:sz="0" w:space="0" w:color="auto"/>
                <w:right w:val="none" w:sz="0" w:space="0" w:color="auto"/>
              </w:divBdr>
            </w:div>
          </w:divsChild>
        </w:div>
        <w:div w:id="2059741804">
          <w:marLeft w:val="0"/>
          <w:marRight w:val="0"/>
          <w:marTop w:val="0"/>
          <w:marBottom w:val="0"/>
          <w:divBdr>
            <w:top w:val="none" w:sz="0" w:space="0" w:color="auto"/>
            <w:left w:val="none" w:sz="0" w:space="0" w:color="auto"/>
            <w:bottom w:val="none" w:sz="0" w:space="0" w:color="auto"/>
            <w:right w:val="none" w:sz="0" w:space="0" w:color="auto"/>
          </w:divBdr>
          <w:divsChild>
            <w:div w:id="2030445103">
              <w:marLeft w:val="0"/>
              <w:marRight w:val="0"/>
              <w:marTop w:val="0"/>
              <w:marBottom w:val="0"/>
              <w:divBdr>
                <w:top w:val="none" w:sz="0" w:space="0" w:color="auto"/>
                <w:left w:val="none" w:sz="0" w:space="0" w:color="auto"/>
                <w:bottom w:val="none" w:sz="0" w:space="0" w:color="auto"/>
                <w:right w:val="none" w:sz="0" w:space="0" w:color="auto"/>
              </w:divBdr>
            </w:div>
          </w:divsChild>
        </w:div>
        <w:div w:id="2063630130">
          <w:marLeft w:val="0"/>
          <w:marRight w:val="0"/>
          <w:marTop w:val="0"/>
          <w:marBottom w:val="0"/>
          <w:divBdr>
            <w:top w:val="none" w:sz="0" w:space="0" w:color="auto"/>
            <w:left w:val="none" w:sz="0" w:space="0" w:color="auto"/>
            <w:bottom w:val="none" w:sz="0" w:space="0" w:color="auto"/>
            <w:right w:val="none" w:sz="0" w:space="0" w:color="auto"/>
          </w:divBdr>
          <w:divsChild>
            <w:div w:id="464742604">
              <w:marLeft w:val="0"/>
              <w:marRight w:val="0"/>
              <w:marTop w:val="0"/>
              <w:marBottom w:val="0"/>
              <w:divBdr>
                <w:top w:val="none" w:sz="0" w:space="0" w:color="auto"/>
                <w:left w:val="none" w:sz="0" w:space="0" w:color="auto"/>
                <w:bottom w:val="none" w:sz="0" w:space="0" w:color="auto"/>
                <w:right w:val="none" w:sz="0" w:space="0" w:color="auto"/>
              </w:divBdr>
            </w:div>
          </w:divsChild>
        </w:div>
        <w:div w:id="2065130598">
          <w:marLeft w:val="0"/>
          <w:marRight w:val="0"/>
          <w:marTop w:val="0"/>
          <w:marBottom w:val="0"/>
          <w:divBdr>
            <w:top w:val="none" w:sz="0" w:space="0" w:color="auto"/>
            <w:left w:val="none" w:sz="0" w:space="0" w:color="auto"/>
            <w:bottom w:val="none" w:sz="0" w:space="0" w:color="auto"/>
            <w:right w:val="none" w:sz="0" w:space="0" w:color="auto"/>
          </w:divBdr>
          <w:divsChild>
            <w:div w:id="1625235638">
              <w:marLeft w:val="0"/>
              <w:marRight w:val="0"/>
              <w:marTop w:val="0"/>
              <w:marBottom w:val="0"/>
              <w:divBdr>
                <w:top w:val="none" w:sz="0" w:space="0" w:color="auto"/>
                <w:left w:val="none" w:sz="0" w:space="0" w:color="auto"/>
                <w:bottom w:val="none" w:sz="0" w:space="0" w:color="auto"/>
                <w:right w:val="none" w:sz="0" w:space="0" w:color="auto"/>
              </w:divBdr>
            </w:div>
          </w:divsChild>
        </w:div>
        <w:div w:id="2065332205">
          <w:marLeft w:val="0"/>
          <w:marRight w:val="0"/>
          <w:marTop w:val="0"/>
          <w:marBottom w:val="0"/>
          <w:divBdr>
            <w:top w:val="none" w:sz="0" w:space="0" w:color="auto"/>
            <w:left w:val="none" w:sz="0" w:space="0" w:color="auto"/>
            <w:bottom w:val="none" w:sz="0" w:space="0" w:color="auto"/>
            <w:right w:val="none" w:sz="0" w:space="0" w:color="auto"/>
          </w:divBdr>
          <w:divsChild>
            <w:div w:id="977225516">
              <w:marLeft w:val="0"/>
              <w:marRight w:val="0"/>
              <w:marTop w:val="0"/>
              <w:marBottom w:val="0"/>
              <w:divBdr>
                <w:top w:val="none" w:sz="0" w:space="0" w:color="auto"/>
                <w:left w:val="none" w:sz="0" w:space="0" w:color="auto"/>
                <w:bottom w:val="none" w:sz="0" w:space="0" w:color="auto"/>
                <w:right w:val="none" w:sz="0" w:space="0" w:color="auto"/>
              </w:divBdr>
            </w:div>
          </w:divsChild>
        </w:div>
        <w:div w:id="2066223349">
          <w:marLeft w:val="0"/>
          <w:marRight w:val="0"/>
          <w:marTop w:val="0"/>
          <w:marBottom w:val="0"/>
          <w:divBdr>
            <w:top w:val="none" w:sz="0" w:space="0" w:color="auto"/>
            <w:left w:val="none" w:sz="0" w:space="0" w:color="auto"/>
            <w:bottom w:val="none" w:sz="0" w:space="0" w:color="auto"/>
            <w:right w:val="none" w:sz="0" w:space="0" w:color="auto"/>
          </w:divBdr>
          <w:divsChild>
            <w:div w:id="1837066714">
              <w:marLeft w:val="0"/>
              <w:marRight w:val="0"/>
              <w:marTop w:val="0"/>
              <w:marBottom w:val="0"/>
              <w:divBdr>
                <w:top w:val="none" w:sz="0" w:space="0" w:color="auto"/>
                <w:left w:val="none" w:sz="0" w:space="0" w:color="auto"/>
                <w:bottom w:val="none" w:sz="0" w:space="0" w:color="auto"/>
                <w:right w:val="none" w:sz="0" w:space="0" w:color="auto"/>
              </w:divBdr>
            </w:div>
          </w:divsChild>
        </w:div>
        <w:div w:id="2067025367">
          <w:marLeft w:val="0"/>
          <w:marRight w:val="0"/>
          <w:marTop w:val="0"/>
          <w:marBottom w:val="0"/>
          <w:divBdr>
            <w:top w:val="none" w:sz="0" w:space="0" w:color="auto"/>
            <w:left w:val="none" w:sz="0" w:space="0" w:color="auto"/>
            <w:bottom w:val="none" w:sz="0" w:space="0" w:color="auto"/>
            <w:right w:val="none" w:sz="0" w:space="0" w:color="auto"/>
          </w:divBdr>
          <w:divsChild>
            <w:div w:id="199827049">
              <w:marLeft w:val="0"/>
              <w:marRight w:val="0"/>
              <w:marTop w:val="0"/>
              <w:marBottom w:val="0"/>
              <w:divBdr>
                <w:top w:val="none" w:sz="0" w:space="0" w:color="auto"/>
                <w:left w:val="none" w:sz="0" w:space="0" w:color="auto"/>
                <w:bottom w:val="none" w:sz="0" w:space="0" w:color="auto"/>
                <w:right w:val="none" w:sz="0" w:space="0" w:color="auto"/>
              </w:divBdr>
            </w:div>
            <w:div w:id="620452266">
              <w:marLeft w:val="0"/>
              <w:marRight w:val="0"/>
              <w:marTop w:val="0"/>
              <w:marBottom w:val="0"/>
              <w:divBdr>
                <w:top w:val="none" w:sz="0" w:space="0" w:color="auto"/>
                <w:left w:val="none" w:sz="0" w:space="0" w:color="auto"/>
                <w:bottom w:val="none" w:sz="0" w:space="0" w:color="auto"/>
                <w:right w:val="none" w:sz="0" w:space="0" w:color="auto"/>
              </w:divBdr>
            </w:div>
            <w:div w:id="1351487596">
              <w:marLeft w:val="0"/>
              <w:marRight w:val="0"/>
              <w:marTop w:val="0"/>
              <w:marBottom w:val="0"/>
              <w:divBdr>
                <w:top w:val="none" w:sz="0" w:space="0" w:color="auto"/>
                <w:left w:val="none" w:sz="0" w:space="0" w:color="auto"/>
                <w:bottom w:val="none" w:sz="0" w:space="0" w:color="auto"/>
                <w:right w:val="none" w:sz="0" w:space="0" w:color="auto"/>
              </w:divBdr>
            </w:div>
          </w:divsChild>
        </w:div>
        <w:div w:id="2067797821">
          <w:marLeft w:val="0"/>
          <w:marRight w:val="0"/>
          <w:marTop w:val="0"/>
          <w:marBottom w:val="0"/>
          <w:divBdr>
            <w:top w:val="none" w:sz="0" w:space="0" w:color="auto"/>
            <w:left w:val="none" w:sz="0" w:space="0" w:color="auto"/>
            <w:bottom w:val="none" w:sz="0" w:space="0" w:color="auto"/>
            <w:right w:val="none" w:sz="0" w:space="0" w:color="auto"/>
          </w:divBdr>
          <w:divsChild>
            <w:div w:id="738287786">
              <w:marLeft w:val="0"/>
              <w:marRight w:val="0"/>
              <w:marTop w:val="0"/>
              <w:marBottom w:val="0"/>
              <w:divBdr>
                <w:top w:val="none" w:sz="0" w:space="0" w:color="auto"/>
                <w:left w:val="none" w:sz="0" w:space="0" w:color="auto"/>
                <w:bottom w:val="none" w:sz="0" w:space="0" w:color="auto"/>
                <w:right w:val="none" w:sz="0" w:space="0" w:color="auto"/>
              </w:divBdr>
            </w:div>
          </w:divsChild>
        </w:div>
        <w:div w:id="2068139542">
          <w:marLeft w:val="0"/>
          <w:marRight w:val="0"/>
          <w:marTop w:val="0"/>
          <w:marBottom w:val="0"/>
          <w:divBdr>
            <w:top w:val="none" w:sz="0" w:space="0" w:color="auto"/>
            <w:left w:val="none" w:sz="0" w:space="0" w:color="auto"/>
            <w:bottom w:val="none" w:sz="0" w:space="0" w:color="auto"/>
            <w:right w:val="none" w:sz="0" w:space="0" w:color="auto"/>
          </w:divBdr>
          <w:divsChild>
            <w:div w:id="296491877">
              <w:marLeft w:val="0"/>
              <w:marRight w:val="0"/>
              <w:marTop w:val="0"/>
              <w:marBottom w:val="0"/>
              <w:divBdr>
                <w:top w:val="none" w:sz="0" w:space="0" w:color="auto"/>
                <w:left w:val="none" w:sz="0" w:space="0" w:color="auto"/>
                <w:bottom w:val="none" w:sz="0" w:space="0" w:color="auto"/>
                <w:right w:val="none" w:sz="0" w:space="0" w:color="auto"/>
              </w:divBdr>
            </w:div>
          </w:divsChild>
        </w:div>
        <w:div w:id="2071608454">
          <w:marLeft w:val="0"/>
          <w:marRight w:val="0"/>
          <w:marTop w:val="0"/>
          <w:marBottom w:val="0"/>
          <w:divBdr>
            <w:top w:val="none" w:sz="0" w:space="0" w:color="auto"/>
            <w:left w:val="none" w:sz="0" w:space="0" w:color="auto"/>
            <w:bottom w:val="none" w:sz="0" w:space="0" w:color="auto"/>
            <w:right w:val="none" w:sz="0" w:space="0" w:color="auto"/>
          </w:divBdr>
          <w:divsChild>
            <w:div w:id="57829603">
              <w:marLeft w:val="0"/>
              <w:marRight w:val="0"/>
              <w:marTop w:val="0"/>
              <w:marBottom w:val="0"/>
              <w:divBdr>
                <w:top w:val="none" w:sz="0" w:space="0" w:color="auto"/>
                <w:left w:val="none" w:sz="0" w:space="0" w:color="auto"/>
                <w:bottom w:val="none" w:sz="0" w:space="0" w:color="auto"/>
                <w:right w:val="none" w:sz="0" w:space="0" w:color="auto"/>
              </w:divBdr>
            </w:div>
          </w:divsChild>
        </w:div>
        <w:div w:id="2071802499">
          <w:marLeft w:val="0"/>
          <w:marRight w:val="0"/>
          <w:marTop w:val="0"/>
          <w:marBottom w:val="0"/>
          <w:divBdr>
            <w:top w:val="none" w:sz="0" w:space="0" w:color="auto"/>
            <w:left w:val="none" w:sz="0" w:space="0" w:color="auto"/>
            <w:bottom w:val="none" w:sz="0" w:space="0" w:color="auto"/>
            <w:right w:val="none" w:sz="0" w:space="0" w:color="auto"/>
          </w:divBdr>
          <w:divsChild>
            <w:div w:id="878202311">
              <w:marLeft w:val="0"/>
              <w:marRight w:val="0"/>
              <w:marTop w:val="0"/>
              <w:marBottom w:val="0"/>
              <w:divBdr>
                <w:top w:val="none" w:sz="0" w:space="0" w:color="auto"/>
                <w:left w:val="none" w:sz="0" w:space="0" w:color="auto"/>
                <w:bottom w:val="none" w:sz="0" w:space="0" w:color="auto"/>
                <w:right w:val="none" w:sz="0" w:space="0" w:color="auto"/>
              </w:divBdr>
            </w:div>
          </w:divsChild>
        </w:div>
        <w:div w:id="2074504814">
          <w:marLeft w:val="0"/>
          <w:marRight w:val="0"/>
          <w:marTop w:val="0"/>
          <w:marBottom w:val="0"/>
          <w:divBdr>
            <w:top w:val="none" w:sz="0" w:space="0" w:color="auto"/>
            <w:left w:val="none" w:sz="0" w:space="0" w:color="auto"/>
            <w:bottom w:val="none" w:sz="0" w:space="0" w:color="auto"/>
            <w:right w:val="none" w:sz="0" w:space="0" w:color="auto"/>
          </w:divBdr>
          <w:divsChild>
            <w:div w:id="527645613">
              <w:marLeft w:val="0"/>
              <w:marRight w:val="0"/>
              <w:marTop w:val="0"/>
              <w:marBottom w:val="0"/>
              <w:divBdr>
                <w:top w:val="none" w:sz="0" w:space="0" w:color="auto"/>
                <w:left w:val="none" w:sz="0" w:space="0" w:color="auto"/>
                <w:bottom w:val="none" w:sz="0" w:space="0" w:color="auto"/>
                <w:right w:val="none" w:sz="0" w:space="0" w:color="auto"/>
              </w:divBdr>
            </w:div>
          </w:divsChild>
        </w:div>
        <w:div w:id="2080857045">
          <w:marLeft w:val="0"/>
          <w:marRight w:val="0"/>
          <w:marTop w:val="0"/>
          <w:marBottom w:val="0"/>
          <w:divBdr>
            <w:top w:val="none" w:sz="0" w:space="0" w:color="auto"/>
            <w:left w:val="none" w:sz="0" w:space="0" w:color="auto"/>
            <w:bottom w:val="none" w:sz="0" w:space="0" w:color="auto"/>
            <w:right w:val="none" w:sz="0" w:space="0" w:color="auto"/>
          </w:divBdr>
          <w:divsChild>
            <w:div w:id="2128965633">
              <w:marLeft w:val="0"/>
              <w:marRight w:val="0"/>
              <w:marTop w:val="0"/>
              <w:marBottom w:val="0"/>
              <w:divBdr>
                <w:top w:val="none" w:sz="0" w:space="0" w:color="auto"/>
                <w:left w:val="none" w:sz="0" w:space="0" w:color="auto"/>
                <w:bottom w:val="none" w:sz="0" w:space="0" w:color="auto"/>
                <w:right w:val="none" w:sz="0" w:space="0" w:color="auto"/>
              </w:divBdr>
            </w:div>
          </w:divsChild>
        </w:div>
        <w:div w:id="2084063092">
          <w:marLeft w:val="0"/>
          <w:marRight w:val="0"/>
          <w:marTop w:val="0"/>
          <w:marBottom w:val="0"/>
          <w:divBdr>
            <w:top w:val="none" w:sz="0" w:space="0" w:color="auto"/>
            <w:left w:val="none" w:sz="0" w:space="0" w:color="auto"/>
            <w:bottom w:val="none" w:sz="0" w:space="0" w:color="auto"/>
            <w:right w:val="none" w:sz="0" w:space="0" w:color="auto"/>
          </w:divBdr>
          <w:divsChild>
            <w:div w:id="1451583091">
              <w:marLeft w:val="0"/>
              <w:marRight w:val="0"/>
              <w:marTop w:val="0"/>
              <w:marBottom w:val="0"/>
              <w:divBdr>
                <w:top w:val="none" w:sz="0" w:space="0" w:color="auto"/>
                <w:left w:val="none" w:sz="0" w:space="0" w:color="auto"/>
                <w:bottom w:val="none" w:sz="0" w:space="0" w:color="auto"/>
                <w:right w:val="none" w:sz="0" w:space="0" w:color="auto"/>
              </w:divBdr>
            </w:div>
          </w:divsChild>
        </w:div>
        <w:div w:id="2084328666">
          <w:marLeft w:val="0"/>
          <w:marRight w:val="0"/>
          <w:marTop w:val="0"/>
          <w:marBottom w:val="0"/>
          <w:divBdr>
            <w:top w:val="none" w:sz="0" w:space="0" w:color="auto"/>
            <w:left w:val="none" w:sz="0" w:space="0" w:color="auto"/>
            <w:bottom w:val="none" w:sz="0" w:space="0" w:color="auto"/>
            <w:right w:val="none" w:sz="0" w:space="0" w:color="auto"/>
          </w:divBdr>
          <w:divsChild>
            <w:div w:id="1196307349">
              <w:marLeft w:val="0"/>
              <w:marRight w:val="0"/>
              <w:marTop w:val="0"/>
              <w:marBottom w:val="0"/>
              <w:divBdr>
                <w:top w:val="none" w:sz="0" w:space="0" w:color="auto"/>
                <w:left w:val="none" w:sz="0" w:space="0" w:color="auto"/>
                <w:bottom w:val="none" w:sz="0" w:space="0" w:color="auto"/>
                <w:right w:val="none" w:sz="0" w:space="0" w:color="auto"/>
              </w:divBdr>
            </w:div>
          </w:divsChild>
        </w:div>
        <w:div w:id="2087913721">
          <w:marLeft w:val="0"/>
          <w:marRight w:val="0"/>
          <w:marTop w:val="0"/>
          <w:marBottom w:val="0"/>
          <w:divBdr>
            <w:top w:val="none" w:sz="0" w:space="0" w:color="auto"/>
            <w:left w:val="none" w:sz="0" w:space="0" w:color="auto"/>
            <w:bottom w:val="none" w:sz="0" w:space="0" w:color="auto"/>
            <w:right w:val="none" w:sz="0" w:space="0" w:color="auto"/>
          </w:divBdr>
          <w:divsChild>
            <w:div w:id="1227761390">
              <w:marLeft w:val="0"/>
              <w:marRight w:val="0"/>
              <w:marTop w:val="0"/>
              <w:marBottom w:val="0"/>
              <w:divBdr>
                <w:top w:val="none" w:sz="0" w:space="0" w:color="auto"/>
                <w:left w:val="none" w:sz="0" w:space="0" w:color="auto"/>
                <w:bottom w:val="none" w:sz="0" w:space="0" w:color="auto"/>
                <w:right w:val="none" w:sz="0" w:space="0" w:color="auto"/>
              </w:divBdr>
            </w:div>
          </w:divsChild>
        </w:div>
        <w:div w:id="2089842298">
          <w:marLeft w:val="0"/>
          <w:marRight w:val="0"/>
          <w:marTop w:val="0"/>
          <w:marBottom w:val="0"/>
          <w:divBdr>
            <w:top w:val="none" w:sz="0" w:space="0" w:color="auto"/>
            <w:left w:val="none" w:sz="0" w:space="0" w:color="auto"/>
            <w:bottom w:val="none" w:sz="0" w:space="0" w:color="auto"/>
            <w:right w:val="none" w:sz="0" w:space="0" w:color="auto"/>
          </w:divBdr>
          <w:divsChild>
            <w:div w:id="250436908">
              <w:marLeft w:val="0"/>
              <w:marRight w:val="0"/>
              <w:marTop w:val="0"/>
              <w:marBottom w:val="0"/>
              <w:divBdr>
                <w:top w:val="none" w:sz="0" w:space="0" w:color="auto"/>
                <w:left w:val="none" w:sz="0" w:space="0" w:color="auto"/>
                <w:bottom w:val="none" w:sz="0" w:space="0" w:color="auto"/>
                <w:right w:val="none" w:sz="0" w:space="0" w:color="auto"/>
              </w:divBdr>
            </w:div>
          </w:divsChild>
        </w:div>
        <w:div w:id="2095586748">
          <w:marLeft w:val="0"/>
          <w:marRight w:val="0"/>
          <w:marTop w:val="0"/>
          <w:marBottom w:val="0"/>
          <w:divBdr>
            <w:top w:val="none" w:sz="0" w:space="0" w:color="auto"/>
            <w:left w:val="none" w:sz="0" w:space="0" w:color="auto"/>
            <w:bottom w:val="none" w:sz="0" w:space="0" w:color="auto"/>
            <w:right w:val="none" w:sz="0" w:space="0" w:color="auto"/>
          </w:divBdr>
          <w:divsChild>
            <w:div w:id="2055764874">
              <w:marLeft w:val="0"/>
              <w:marRight w:val="0"/>
              <w:marTop w:val="0"/>
              <w:marBottom w:val="0"/>
              <w:divBdr>
                <w:top w:val="none" w:sz="0" w:space="0" w:color="auto"/>
                <w:left w:val="none" w:sz="0" w:space="0" w:color="auto"/>
                <w:bottom w:val="none" w:sz="0" w:space="0" w:color="auto"/>
                <w:right w:val="none" w:sz="0" w:space="0" w:color="auto"/>
              </w:divBdr>
            </w:div>
          </w:divsChild>
        </w:div>
        <w:div w:id="2099985580">
          <w:marLeft w:val="0"/>
          <w:marRight w:val="0"/>
          <w:marTop w:val="0"/>
          <w:marBottom w:val="0"/>
          <w:divBdr>
            <w:top w:val="none" w:sz="0" w:space="0" w:color="auto"/>
            <w:left w:val="none" w:sz="0" w:space="0" w:color="auto"/>
            <w:bottom w:val="none" w:sz="0" w:space="0" w:color="auto"/>
            <w:right w:val="none" w:sz="0" w:space="0" w:color="auto"/>
          </w:divBdr>
          <w:divsChild>
            <w:div w:id="123086938">
              <w:marLeft w:val="0"/>
              <w:marRight w:val="0"/>
              <w:marTop w:val="0"/>
              <w:marBottom w:val="0"/>
              <w:divBdr>
                <w:top w:val="none" w:sz="0" w:space="0" w:color="auto"/>
                <w:left w:val="none" w:sz="0" w:space="0" w:color="auto"/>
                <w:bottom w:val="none" w:sz="0" w:space="0" w:color="auto"/>
                <w:right w:val="none" w:sz="0" w:space="0" w:color="auto"/>
              </w:divBdr>
            </w:div>
            <w:div w:id="160898157">
              <w:marLeft w:val="0"/>
              <w:marRight w:val="0"/>
              <w:marTop w:val="0"/>
              <w:marBottom w:val="0"/>
              <w:divBdr>
                <w:top w:val="none" w:sz="0" w:space="0" w:color="auto"/>
                <w:left w:val="none" w:sz="0" w:space="0" w:color="auto"/>
                <w:bottom w:val="none" w:sz="0" w:space="0" w:color="auto"/>
                <w:right w:val="none" w:sz="0" w:space="0" w:color="auto"/>
              </w:divBdr>
            </w:div>
            <w:div w:id="188882192">
              <w:marLeft w:val="0"/>
              <w:marRight w:val="0"/>
              <w:marTop w:val="0"/>
              <w:marBottom w:val="0"/>
              <w:divBdr>
                <w:top w:val="none" w:sz="0" w:space="0" w:color="auto"/>
                <w:left w:val="none" w:sz="0" w:space="0" w:color="auto"/>
                <w:bottom w:val="none" w:sz="0" w:space="0" w:color="auto"/>
                <w:right w:val="none" w:sz="0" w:space="0" w:color="auto"/>
              </w:divBdr>
            </w:div>
            <w:div w:id="473914771">
              <w:marLeft w:val="0"/>
              <w:marRight w:val="0"/>
              <w:marTop w:val="0"/>
              <w:marBottom w:val="0"/>
              <w:divBdr>
                <w:top w:val="none" w:sz="0" w:space="0" w:color="auto"/>
                <w:left w:val="none" w:sz="0" w:space="0" w:color="auto"/>
                <w:bottom w:val="none" w:sz="0" w:space="0" w:color="auto"/>
                <w:right w:val="none" w:sz="0" w:space="0" w:color="auto"/>
              </w:divBdr>
            </w:div>
            <w:div w:id="690910477">
              <w:marLeft w:val="0"/>
              <w:marRight w:val="0"/>
              <w:marTop w:val="0"/>
              <w:marBottom w:val="0"/>
              <w:divBdr>
                <w:top w:val="none" w:sz="0" w:space="0" w:color="auto"/>
                <w:left w:val="none" w:sz="0" w:space="0" w:color="auto"/>
                <w:bottom w:val="none" w:sz="0" w:space="0" w:color="auto"/>
                <w:right w:val="none" w:sz="0" w:space="0" w:color="auto"/>
              </w:divBdr>
            </w:div>
          </w:divsChild>
        </w:div>
        <w:div w:id="2108387341">
          <w:marLeft w:val="0"/>
          <w:marRight w:val="0"/>
          <w:marTop w:val="0"/>
          <w:marBottom w:val="0"/>
          <w:divBdr>
            <w:top w:val="none" w:sz="0" w:space="0" w:color="auto"/>
            <w:left w:val="none" w:sz="0" w:space="0" w:color="auto"/>
            <w:bottom w:val="none" w:sz="0" w:space="0" w:color="auto"/>
            <w:right w:val="none" w:sz="0" w:space="0" w:color="auto"/>
          </w:divBdr>
          <w:divsChild>
            <w:div w:id="353768916">
              <w:marLeft w:val="0"/>
              <w:marRight w:val="0"/>
              <w:marTop w:val="0"/>
              <w:marBottom w:val="0"/>
              <w:divBdr>
                <w:top w:val="none" w:sz="0" w:space="0" w:color="auto"/>
                <w:left w:val="none" w:sz="0" w:space="0" w:color="auto"/>
                <w:bottom w:val="none" w:sz="0" w:space="0" w:color="auto"/>
                <w:right w:val="none" w:sz="0" w:space="0" w:color="auto"/>
              </w:divBdr>
            </w:div>
          </w:divsChild>
        </w:div>
        <w:div w:id="2109689261">
          <w:marLeft w:val="0"/>
          <w:marRight w:val="0"/>
          <w:marTop w:val="0"/>
          <w:marBottom w:val="0"/>
          <w:divBdr>
            <w:top w:val="none" w:sz="0" w:space="0" w:color="auto"/>
            <w:left w:val="none" w:sz="0" w:space="0" w:color="auto"/>
            <w:bottom w:val="none" w:sz="0" w:space="0" w:color="auto"/>
            <w:right w:val="none" w:sz="0" w:space="0" w:color="auto"/>
          </w:divBdr>
          <w:divsChild>
            <w:div w:id="530997538">
              <w:marLeft w:val="0"/>
              <w:marRight w:val="0"/>
              <w:marTop w:val="0"/>
              <w:marBottom w:val="0"/>
              <w:divBdr>
                <w:top w:val="none" w:sz="0" w:space="0" w:color="auto"/>
                <w:left w:val="none" w:sz="0" w:space="0" w:color="auto"/>
                <w:bottom w:val="none" w:sz="0" w:space="0" w:color="auto"/>
                <w:right w:val="none" w:sz="0" w:space="0" w:color="auto"/>
              </w:divBdr>
            </w:div>
          </w:divsChild>
        </w:div>
        <w:div w:id="2118215934">
          <w:marLeft w:val="0"/>
          <w:marRight w:val="0"/>
          <w:marTop w:val="0"/>
          <w:marBottom w:val="0"/>
          <w:divBdr>
            <w:top w:val="none" w:sz="0" w:space="0" w:color="auto"/>
            <w:left w:val="none" w:sz="0" w:space="0" w:color="auto"/>
            <w:bottom w:val="none" w:sz="0" w:space="0" w:color="auto"/>
            <w:right w:val="none" w:sz="0" w:space="0" w:color="auto"/>
          </w:divBdr>
          <w:divsChild>
            <w:div w:id="1137382017">
              <w:marLeft w:val="0"/>
              <w:marRight w:val="0"/>
              <w:marTop w:val="0"/>
              <w:marBottom w:val="0"/>
              <w:divBdr>
                <w:top w:val="none" w:sz="0" w:space="0" w:color="auto"/>
                <w:left w:val="none" w:sz="0" w:space="0" w:color="auto"/>
                <w:bottom w:val="none" w:sz="0" w:space="0" w:color="auto"/>
                <w:right w:val="none" w:sz="0" w:space="0" w:color="auto"/>
              </w:divBdr>
            </w:div>
          </w:divsChild>
        </w:div>
        <w:div w:id="2119787677">
          <w:marLeft w:val="0"/>
          <w:marRight w:val="0"/>
          <w:marTop w:val="0"/>
          <w:marBottom w:val="0"/>
          <w:divBdr>
            <w:top w:val="none" w:sz="0" w:space="0" w:color="auto"/>
            <w:left w:val="none" w:sz="0" w:space="0" w:color="auto"/>
            <w:bottom w:val="none" w:sz="0" w:space="0" w:color="auto"/>
            <w:right w:val="none" w:sz="0" w:space="0" w:color="auto"/>
          </w:divBdr>
          <w:divsChild>
            <w:div w:id="1771512521">
              <w:marLeft w:val="0"/>
              <w:marRight w:val="0"/>
              <w:marTop w:val="0"/>
              <w:marBottom w:val="0"/>
              <w:divBdr>
                <w:top w:val="none" w:sz="0" w:space="0" w:color="auto"/>
                <w:left w:val="none" w:sz="0" w:space="0" w:color="auto"/>
                <w:bottom w:val="none" w:sz="0" w:space="0" w:color="auto"/>
                <w:right w:val="none" w:sz="0" w:space="0" w:color="auto"/>
              </w:divBdr>
            </w:div>
          </w:divsChild>
        </w:div>
        <w:div w:id="2124180913">
          <w:marLeft w:val="0"/>
          <w:marRight w:val="0"/>
          <w:marTop w:val="0"/>
          <w:marBottom w:val="0"/>
          <w:divBdr>
            <w:top w:val="none" w:sz="0" w:space="0" w:color="auto"/>
            <w:left w:val="none" w:sz="0" w:space="0" w:color="auto"/>
            <w:bottom w:val="none" w:sz="0" w:space="0" w:color="auto"/>
            <w:right w:val="none" w:sz="0" w:space="0" w:color="auto"/>
          </w:divBdr>
          <w:divsChild>
            <w:div w:id="1053966603">
              <w:marLeft w:val="0"/>
              <w:marRight w:val="0"/>
              <w:marTop w:val="0"/>
              <w:marBottom w:val="0"/>
              <w:divBdr>
                <w:top w:val="none" w:sz="0" w:space="0" w:color="auto"/>
                <w:left w:val="none" w:sz="0" w:space="0" w:color="auto"/>
                <w:bottom w:val="none" w:sz="0" w:space="0" w:color="auto"/>
                <w:right w:val="none" w:sz="0" w:space="0" w:color="auto"/>
              </w:divBdr>
            </w:div>
            <w:div w:id="1745567391">
              <w:marLeft w:val="0"/>
              <w:marRight w:val="0"/>
              <w:marTop w:val="0"/>
              <w:marBottom w:val="0"/>
              <w:divBdr>
                <w:top w:val="none" w:sz="0" w:space="0" w:color="auto"/>
                <w:left w:val="none" w:sz="0" w:space="0" w:color="auto"/>
                <w:bottom w:val="none" w:sz="0" w:space="0" w:color="auto"/>
                <w:right w:val="none" w:sz="0" w:space="0" w:color="auto"/>
              </w:divBdr>
            </w:div>
          </w:divsChild>
        </w:div>
        <w:div w:id="2124642251">
          <w:marLeft w:val="0"/>
          <w:marRight w:val="0"/>
          <w:marTop w:val="0"/>
          <w:marBottom w:val="0"/>
          <w:divBdr>
            <w:top w:val="none" w:sz="0" w:space="0" w:color="auto"/>
            <w:left w:val="none" w:sz="0" w:space="0" w:color="auto"/>
            <w:bottom w:val="none" w:sz="0" w:space="0" w:color="auto"/>
            <w:right w:val="none" w:sz="0" w:space="0" w:color="auto"/>
          </w:divBdr>
          <w:divsChild>
            <w:div w:id="1022515416">
              <w:marLeft w:val="0"/>
              <w:marRight w:val="0"/>
              <w:marTop w:val="0"/>
              <w:marBottom w:val="0"/>
              <w:divBdr>
                <w:top w:val="none" w:sz="0" w:space="0" w:color="auto"/>
                <w:left w:val="none" w:sz="0" w:space="0" w:color="auto"/>
                <w:bottom w:val="none" w:sz="0" w:space="0" w:color="auto"/>
                <w:right w:val="none" w:sz="0" w:space="0" w:color="auto"/>
              </w:divBdr>
            </w:div>
          </w:divsChild>
        </w:div>
        <w:div w:id="2126924722">
          <w:marLeft w:val="0"/>
          <w:marRight w:val="0"/>
          <w:marTop w:val="0"/>
          <w:marBottom w:val="0"/>
          <w:divBdr>
            <w:top w:val="none" w:sz="0" w:space="0" w:color="auto"/>
            <w:left w:val="none" w:sz="0" w:space="0" w:color="auto"/>
            <w:bottom w:val="none" w:sz="0" w:space="0" w:color="auto"/>
            <w:right w:val="none" w:sz="0" w:space="0" w:color="auto"/>
          </w:divBdr>
          <w:divsChild>
            <w:div w:id="884022330">
              <w:marLeft w:val="0"/>
              <w:marRight w:val="0"/>
              <w:marTop w:val="0"/>
              <w:marBottom w:val="0"/>
              <w:divBdr>
                <w:top w:val="none" w:sz="0" w:space="0" w:color="auto"/>
                <w:left w:val="none" w:sz="0" w:space="0" w:color="auto"/>
                <w:bottom w:val="none" w:sz="0" w:space="0" w:color="auto"/>
                <w:right w:val="none" w:sz="0" w:space="0" w:color="auto"/>
              </w:divBdr>
            </w:div>
          </w:divsChild>
        </w:div>
        <w:div w:id="2127649053">
          <w:marLeft w:val="0"/>
          <w:marRight w:val="0"/>
          <w:marTop w:val="0"/>
          <w:marBottom w:val="0"/>
          <w:divBdr>
            <w:top w:val="none" w:sz="0" w:space="0" w:color="auto"/>
            <w:left w:val="none" w:sz="0" w:space="0" w:color="auto"/>
            <w:bottom w:val="none" w:sz="0" w:space="0" w:color="auto"/>
            <w:right w:val="none" w:sz="0" w:space="0" w:color="auto"/>
          </w:divBdr>
          <w:divsChild>
            <w:div w:id="1466239437">
              <w:marLeft w:val="0"/>
              <w:marRight w:val="0"/>
              <w:marTop w:val="0"/>
              <w:marBottom w:val="0"/>
              <w:divBdr>
                <w:top w:val="none" w:sz="0" w:space="0" w:color="auto"/>
                <w:left w:val="none" w:sz="0" w:space="0" w:color="auto"/>
                <w:bottom w:val="none" w:sz="0" w:space="0" w:color="auto"/>
                <w:right w:val="none" w:sz="0" w:space="0" w:color="auto"/>
              </w:divBdr>
            </w:div>
          </w:divsChild>
        </w:div>
        <w:div w:id="2127845654">
          <w:marLeft w:val="0"/>
          <w:marRight w:val="0"/>
          <w:marTop w:val="0"/>
          <w:marBottom w:val="0"/>
          <w:divBdr>
            <w:top w:val="none" w:sz="0" w:space="0" w:color="auto"/>
            <w:left w:val="none" w:sz="0" w:space="0" w:color="auto"/>
            <w:bottom w:val="none" w:sz="0" w:space="0" w:color="auto"/>
            <w:right w:val="none" w:sz="0" w:space="0" w:color="auto"/>
          </w:divBdr>
          <w:divsChild>
            <w:div w:id="650060545">
              <w:marLeft w:val="0"/>
              <w:marRight w:val="0"/>
              <w:marTop w:val="0"/>
              <w:marBottom w:val="0"/>
              <w:divBdr>
                <w:top w:val="none" w:sz="0" w:space="0" w:color="auto"/>
                <w:left w:val="none" w:sz="0" w:space="0" w:color="auto"/>
                <w:bottom w:val="none" w:sz="0" w:space="0" w:color="auto"/>
                <w:right w:val="none" w:sz="0" w:space="0" w:color="auto"/>
              </w:divBdr>
            </w:div>
          </w:divsChild>
        </w:div>
        <w:div w:id="2127962051">
          <w:marLeft w:val="0"/>
          <w:marRight w:val="0"/>
          <w:marTop w:val="0"/>
          <w:marBottom w:val="0"/>
          <w:divBdr>
            <w:top w:val="none" w:sz="0" w:space="0" w:color="auto"/>
            <w:left w:val="none" w:sz="0" w:space="0" w:color="auto"/>
            <w:bottom w:val="none" w:sz="0" w:space="0" w:color="auto"/>
            <w:right w:val="none" w:sz="0" w:space="0" w:color="auto"/>
          </w:divBdr>
          <w:divsChild>
            <w:div w:id="1782336707">
              <w:marLeft w:val="0"/>
              <w:marRight w:val="0"/>
              <w:marTop w:val="0"/>
              <w:marBottom w:val="0"/>
              <w:divBdr>
                <w:top w:val="none" w:sz="0" w:space="0" w:color="auto"/>
                <w:left w:val="none" w:sz="0" w:space="0" w:color="auto"/>
                <w:bottom w:val="none" w:sz="0" w:space="0" w:color="auto"/>
                <w:right w:val="none" w:sz="0" w:space="0" w:color="auto"/>
              </w:divBdr>
            </w:div>
          </w:divsChild>
        </w:div>
        <w:div w:id="2140607779">
          <w:marLeft w:val="0"/>
          <w:marRight w:val="0"/>
          <w:marTop w:val="0"/>
          <w:marBottom w:val="0"/>
          <w:divBdr>
            <w:top w:val="none" w:sz="0" w:space="0" w:color="auto"/>
            <w:left w:val="none" w:sz="0" w:space="0" w:color="auto"/>
            <w:bottom w:val="none" w:sz="0" w:space="0" w:color="auto"/>
            <w:right w:val="none" w:sz="0" w:space="0" w:color="auto"/>
          </w:divBdr>
          <w:divsChild>
            <w:div w:id="142340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733791">
      <w:bodyDiv w:val="1"/>
      <w:marLeft w:val="0"/>
      <w:marRight w:val="0"/>
      <w:marTop w:val="0"/>
      <w:marBottom w:val="0"/>
      <w:divBdr>
        <w:top w:val="none" w:sz="0" w:space="0" w:color="auto"/>
        <w:left w:val="none" w:sz="0" w:space="0" w:color="auto"/>
        <w:bottom w:val="none" w:sz="0" w:space="0" w:color="auto"/>
        <w:right w:val="none" w:sz="0" w:space="0" w:color="auto"/>
      </w:divBdr>
      <w:divsChild>
        <w:div w:id="144661167">
          <w:marLeft w:val="0"/>
          <w:marRight w:val="0"/>
          <w:marTop w:val="0"/>
          <w:marBottom w:val="0"/>
          <w:divBdr>
            <w:top w:val="none" w:sz="0" w:space="0" w:color="auto"/>
            <w:left w:val="none" w:sz="0" w:space="0" w:color="auto"/>
            <w:bottom w:val="none" w:sz="0" w:space="0" w:color="auto"/>
            <w:right w:val="none" w:sz="0" w:space="0" w:color="auto"/>
          </w:divBdr>
        </w:div>
        <w:div w:id="238633688">
          <w:marLeft w:val="0"/>
          <w:marRight w:val="0"/>
          <w:marTop w:val="0"/>
          <w:marBottom w:val="0"/>
          <w:divBdr>
            <w:top w:val="none" w:sz="0" w:space="0" w:color="auto"/>
            <w:left w:val="none" w:sz="0" w:space="0" w:color="auto"/>
            <w:bottom w:val="none" w:sz="0" w:space="0" w:color="auto"/>
            <w:right w:val="none" w:sz="0" w:space="0" w:color="auto"/>
          </w:divBdr>
        </w:div>
        <w:div w:id="292710652">
          <w:marLeft w:val="0"/>
          <w:marRight w:val="0"/>
          <w:marTop w:val="0"/>
          <w:marBottom w:val="0"/>
          <w:divBdr>
            <w:top w:val="none" w:sz="0" w:space="0" w:color="auto"/>
            <w:left w:val="none" w:sz="0" w:space="0" w:color="auto"/>
            <w:bottom w:val="none" w:sz="0" w:space="0" w:color="auto"/>
            <w:right w:val="none" w:sz="0" w:space="0" w:color="auto"/>
          </w:divBdr>
        </w:div>
        <w:div w:id="451872810">
          <w:marLeft w:val="0"/>
          <w:marRight w:val="0"/>
          <w:marTop w:val="0"/>
          <w:marBottom w:val="0"/>
          <w:divBdr>
            <w:top w:val="none" w:sz="0" w:space="0" w:color="auto"/>
            <w:left w:val="none" w:sz="0" w:space="0" w:color="auto"/>
            <w:bottom w:val="none" w:sz="0" w:space="0" w:color="auto"/>
            <w:right w:val="none" w:sz="0" w:space="0" w:color="auto"/>
          </w:divBdr>
        </w:div>
        <w:div w:id="550925457">
          <w:marLeft w:val="0"/>
          <w:marRight w:val="0"/>
          <w:marTop w:val="0"/>
          <w:marBottom w:val="0"/>
          <w:divBdr>
            <w:top w:val="none" w:sz="0" w:space="0" w:color="auto"/>
            <w:left w:val="none" w:sz="0" w:space="0" w:color="auto"/>
            <w:bottom w:val="none" w:sz="0" w:space="0" w:color="auto"/>
            <w:right w:val="none" w:sz="0" w:space="0" w:color="auto"/>
          </w:divBdr>
        </w:div>
        <w:div w:id="1044526393">
          <w:marLeft w:val="0"/>
          <w:marRight w:val="0"/>
          <w:marTop w:val="0"/>
          <w:marBottom w:val="0"/>
          <w:divBdr>
            <w:top w:val="none" w:sz="0" w:space="0" w:color="auto"/>
            <w:left w:val="none" w:sz="0" w:space="0" w:color="auto"/>
            <w:bottom w:val="none" w:sz="0" w:space="0" w:color="auto"/>
            <w:right w:val="none" w:sz="0" w:space="0" w:color="auto"/>
          </w:divBdr>
        </w:div>
        <w:div w:id="1129276934">
          <w:marLeft w:val="0"/>
          <w:marRight w:val="0"/>
          <w:marTop w:val="0"/>
          <w:marBottom w:val="0"/>
          <w:divBdr>
            <w:top w:val="none" w:sz="0" w:space="0" w:color="auto"/>
            <w:left w:val="none" w:sz="0" w:space="0" w:color="auto"/>
            <w:bottom w:val="none" w:sz="0" w:space="0" w:color="auto"/>
            <w:right w:val="none" w:sz="0" w:space="0" w:color="auto"/>
          </w:divBdr>
        </w:div>
        <w:div w:id="1192912843">
          <w:marLeft w:val="0"/>
          <w:marRight w:val="0"/>
          <w:marTop w:val="0"/>
          <w:marBottom w:val="0"/>
          <w:divBdr>
            <w:top w:val="none" w:sz="0" w:space="0" w:color="auto"/>
            <w:left w:val="none" w:sz="0" w:space="0" w:color="auto"/>
            <w:bottom w:val="none" w:sz="0" w:space="0" w:color="auto"/>
            <w:right w:val="none" w:sz="0" w:space="0" w:color="auto"/>
          </w:divBdr>
        </w:div>
        <w:div w:id="1206287537">
          <w:marLeft w:val="0"/>
          <w:marRight w:val="0"/>
          <w:marTop w:val="0"/>
          <w:marBottom w:val="0"/>
          <w:divBdr>
            <w:top w:val="none" w:sz="0" w:space="0" w:color="auto"/>
            <w:left w:val="none" w:sz="0" w:space="0" w:color="auto"/>
            <w:bottom w:val="none" w:sz="0" w:space="0" w:color="auto"/>
            <w:right w:val="none" w:sz="0" w:space="0" w:color="auto"/>
          </w:divBdr>
        </w:div>
        <w:div w:id="1510095716">
          <w:marLeft w:val="0"/>
          <w:marRight w:val="0"/>
          <w:marTop w:val="0"/>
          <w:marBottom w:val="0"/>
          <w:divBdr>
            <w:top w:val="none" w:sz="0" w:space="0" w:color="auto"/>
            <w:left w:val="none" w:sz="0" w:space="0" w:color="auto"/>
            <w:bottom w:val="none" w:sz="0" w:space="0" w:color="auto"/>
            <w:right w:val="none" w:sz="0" w:space="0" w:color="auto"/>
          </w:divBdr>
        </w:div>
        <w:div w:id="1766341091">
          <w:marLeft w:val="0"/>
          <w:marRight w:val="0"/>
          <w:marTop w:val="0"/>
          <w:marBottom w:val="0"/>
          <w:divBdr>
            <w:top w:val="none" w:sz="0" w:space="0" w:color="auto"/>
            <w:left w:val="none" w:sz="0" w:space="0" w:color="auto"/>
            <w:bottom w:val="none" w:sz="0" w:space="0" w:color="auto"/>
            <w:right w:val="none" w:sz="0" w:space="0" w:color="auto"/>
          </w:divBdr>
        </w:div>
        <w:div w:id="1940867506">
          <w:marLeft w:val="0"/>
          <w:marRight w:val="0"/>
          <w:marTop w:val="0"/>
          <w:marBottom w:val="0"/>
          <w:divBdr>
            <w:top w:val="none" w:sz="0" w:space="0" w:color="auto"/>
            <w:left w:val="none" w:sz="0" w:space="0" w:color="auto"/>
            <w:bottom w:val="none" w:sz="0" w:space="0" w:color="auto"/>
            <w:right w:val="none" w:sz="0" w:space="0" w:color="auto"/>
          </w:divBdr>
        </w:div>
        <w:div w:id="1988436669">
          <w:marLeft w:val="0"/>
          <w:marRight w:val="0"/>
          <w:marTop w:val="0"/>
          <w:marBottom w:val="0"/>
          <w:divBdr>
            <w:top w:val="none" w:sz="0" w:space="0" w:color="auto"/>
            <w:left w:val="none" w:sz="0" w:space="0" w:color="auto"/>
            <w:bottom w:val="none" w:sz="0" w:space="0" w:color="auto"/>
            <w:right w:val="none" w:sz="0" w:space="0" w:color="auto"/>
          </w:divBdr>
        </w:div>
      </w:divsChild>
    </w:div>
    <w:div w:id="915549582">
      <w:bodyDiv w:val="1"/>
      <w:marLeft w:val="0"/>
      <w:marRight w:val="0"/>
      <w:marTop w:val="0"/>
      <w:marBottom w:val="0"/>
      <w:divBdr>
        <w:top w:val="none" w:sz="0" w:space="0" w:color="auto"/>
        <w:left w:val="none" w:sz="0" w:space="0" w:color="auto"/>
        <w:bottom w:val="none" w:sz="0" w:space="0" w:color="auto"/>
        <w:right w:val="none" w:sz="0" w:space="0" w:color="auto"/>
      </w:divBdr>
    </w:div>
    <w:div w:id="952126348">
      <w:bodyDiv w:val="1"/>
      <w:marLeft w:val="0"/>
      <w:marRight w:val="0"/>
      <w:marTop w:val="0"/>
      <w:marBottom w:val="0"/>
      <w:divBdr>
        <w:top w:val="none" w:sz="0" w:space="0" w:color="auto"/>
        <w:left w:val="none" w:sz="0" w:space="0" w:color="auto"/>
        <w:bottom w:val="none" w:sz="0" w:space="0" w:color="auto"/>
        <w:right w:val="none" w:sz="0" w:space="0" w:color="auto"/>
      </w:divBdr>
    </w:div>
    <w:div w:id="1000043245">
      <w:bodyDiv w:val="1"/>
      <w:marLeft w:val="0"/>
      <w:marRight w:val="0"/>
      <w:marTop w:val="0"/>
      <w:marBottom w:val="0"/>
      <w:divBdr>
        <w:top w:val="none" w:sz="0" w:space="0" w:color="auto"/>
        <w:left w:val="none" w:sz="0" w:space="0" w:color="auto"/>
        <w:bottom w:val="none" w:sz="0" w:space="0" w:color="auto"/>
        <w:right w:val="none" w:sz="0" w:space="0" w:color="auto"/>
      </w:divBdr>
    </w:div>
    <w:div w:id="1001081285">
      <w:bodyDiv w:val="1"/>
      <w:marLeft w:val="0"/>
      <w:marRight w:val="0"/>
      <w:marTop w:val="0"/>
      <w:marBottom w:val="0"/>
      <w:divBdr>
        <w:top w:val="none" w:sz="0" w:space="0" w:color="auto"/>
        <w:left w:val="none" w:sz="0" w:space="0" w:color="auto"/>
        <w:bottom w:val="none" w:sz="0" w:space="0" w:color="auto"/>
        <w:right w:val="none" w:sz="0" w:space="0" w:color="auto"/>
      </w:divBdr>
    </w:div>
    <w:div w:id="1019238424">
      <w:bodyDiv w:val="1"/>
      <w:marLeft w:val="0"/>
      <w:marRight w:val="0"/>
      <w:marTop w:val="0"/>
      <w:marBottom w:val="0"/>
      <w:divBdr>
        <w:top w:val="none" w:sz="0" w:space="0" w:color="auto"/>
        <w:left w:val="none" w:sz="0" w:space="0" w:color="auto"/>
        <w:bottom w:val="none" w:sz="0" w:space="0" w:color="auto"/>
        <w:right w:val="none" w:sz="0" w:space="0" w:color="auto"/>
      </w:divBdr>
      <w:divsChild>
        <w:div w:id="114181820">
          <w:marLeft w:val="-75"/>
          <w:marRight w:val="0"/>
          <w:marTop w:val="30"/>
          <w:marBottom w:val="30"/>
          <w:divBdr>
            <w:top w:val="none" w:sz="0" w:space="0" w:color="auto"/>
            <w:left w:val="none" w:sz="0" w:space="0" w:color="auto"/>
            <w:bottom w:val="none" w:sz="0" w:space="0" w:color="auto"/>
            <w:right w:val="none" w:sz="0" w:space="0" w:color="auto"/>
          </w:divBdr>
          <w:divsChild>
            <w:div w:id="371852505">
              <w:marLeft w:val="0"/>
              <w:marRight w:val="0"/>
              <w:marTop w:val="0"/>
              <w:marBottom w:val="0"/>
              <w:divBdr>
                <w:top w:val="none" w:sz="0" w:space="0" w:color="auto"/>
                <w:left w:val="none" w:sz="0" w:space="0" w:color="auto"/>
                <w:bottom w:val="none" w:sz="0" w:space="0" w:color="auto"/>
                <w:right w:val="none" w:sz="0" w:space="0" w:color="auto"/>
              </w:divBdr>
              <w:divsChild>
                <w:div w:id="1495341992">
                  <w:marLeft w:val="0"/>
                  <w:marRight w:val="0"/>
                  <w:marTop w:val="0"/>
                  <w:marBottom w:val="0"/>
                  <w:divBdr>
                    <w:top w:val="none" w:sz="0" w:space="0" w:color="auto"/>
                    <w:left w:val="none" w:sz="0" w:space="0" w:color="auto"/>
                    <w:bottom w:val="none" w:sz="0" w:space="0" w:color="auto"/>
                    <w:right w:val="none" w:sz="0" w:space="0" w:color="auto"/>
                  </w:divBdr>
                </w:div>
              </w:divsChild>
            </w:div>
            <w:div w:id="376245232">
              <w:marLeft w:val="0"/>
              <w:marRight w:val="0"/>
              <w:marTop w:val="0"/>
              <w:marBottom w:val="0"/>
              <w:divBdr>
                <w:top w:val="none" w:sz="0" w:space="0" w:color="auto"/>
                <w:left w:val="none" w:sz="0" w:space="0" w:color="auto"/>
                <w:bottom w:val="none" w:sz="0" w:space="0" w:color="auto"/>
                <w:right w:val="none" w:sz="0" w:space="0" w:color="auto"/>
              </w:divBdr>
              <w:divsChild>
                <w:div w:id="1144279456">
                  <w:marLeft w:val="0"/>
                  <w:marRight w:val="0"/>
                  <w:marTop w:val="0"/>
                  <w:marBottom w:val="0"/>
                  <w:divBdr>
                    <w:top w:val="none" w:sz="0" w:space="0" w:color="auto"/>
                    <w:left w:val="none" w:sz="0" w:space="0" w:color="auto"/>
                    <w:bottom w:val="none" w:sz="0" w:space="0" w:color="auto"/>
                    <w:right w:val="none" w:sz="0" w:space="0" w:color="auto"/>
                  </w:divBdr>
                </w:div>
              </w:divsChild>
            </w:div>
            <w:div w:id="551304842">
              <w:marLeft w:val="0"/>
              <w:marRight w:val="0"/>
              <w:marTop w:val="0"/>
              <w:marBottom w:val="0"/>
              <w:divBdr>
                <w:top w:val="none" w:sz="0" w:space="0" w:color="auto"/>
                <w:left w:val="none" w:sz="0" w:space="0" w:color="auto"/>
                <w:bottom w:val="none" w:sz="0" w:space="0" w:color="auto"/>
                <w:right w:val="none" w:sz="0" w:space="0" w:color="auto"/>
              </w:divBdr>
              <w:divsChild>
                <w:div w:id="992955281">
                  <w:marLeft w:val="0"/>
                  <w:marRight w:val="0"/>
                  <w:marTop w:val="0"/>
                  <w:marBottom w:val="0"/>
                  <w:divBdr>
                    <w:top w:val="none" w:sz="0" w:space="0" w:color="auto"/>
                    <w:left w:val="none" w:sz="0" w:space="0" w:color="auto"/>
                    <w:bottom w:val="none" w:sz="0" w:space="0" w:color="auto"/>
                    <w:right w:val="none" w:sz="0" w:space="0" w:color="auto"/>
                  </w:divBdr>
                </w:div>
              </w:divsChild>
            </w:div>
            <w:div w:id="627586144">
              <w:marLeft w:val="0"/>
              <w:marRight w:val="0"/>
              <w:marTop w:val="0"/>
              <w:marBottom w:val="0"/>
              <w:divBdr>
                <w:top w:val="none" w:sz="0" w:space="0" w:color="auto"/>
                <w:left w:val="none" w:sz="0" w:space="0" w:color="auto"/>
                <w:bottom w:val="none" w:sz="0" w:space="0" w:color="auto"/>
                <w:right w:val="none" w:sz="0" w:space="0" w:color="auto"/>
              </w:divBdr>
              <w:divsChild>
                <w:div w:id="1103913928">
                  <w:marLeft w:val="0"/>
                  <w:marRight w:val="0"/>
                  <w:marTop w:val="0"/>
                  <w:marBottom w:val="0"/>
                  <w:divBdr>
                    <w:top w:val="none" w:sz="0" w:space="0" w:color="auto"/>
                    <w:left w:val="none" w:sz="0" w:space="0" w:color="auto"/>
                    <w:bottom w:val="none" w:sz="0" w:space="0" w:color="auto"/>
                    <w:right w:val="none" w:sz="0" w:space="0" w:color="auto"/>
                  </w:divBdr>
                </w:div>
              </w:divsChild>
            </w:div>
            <w:div w:id="827326502">
              <w:marLeft w:val="0"/>
              <w:marRight w:val="0"/>
              <w:marTop w:val="0"/>
              <w:marBottom w:val="0"/>
              <w:divBdr>
                <w:top w:val="none" w:sz="0" w:space="0" w:color="auto"/>
                <w:left w:val="none" w:sz="0" w:space="0" w:color="auto"/>
                <w:bottom w:val="none" w:sz="0" w:space="0" w:color="auto"/>
                <w:right w:val="none" w:sz="0" w:space="0" w:color="auto"/>
              </w:divBdr>
              <w:divsChild>
                <w:div w:id="1018771508">
                  <w:marLeft w:val="0"/>
                  <w:marRight w:val="0"/>
                  <w:marTop w:val="0"/>
                  <w:marBottom w:val="0"/>
                  <w:divBdr>
                    <w:top w:val="none" w:sz="0" w:space="0" w:color="auto"/>
                    <w:left w:val="none" w:sz="0" w:space="0" w:color="auto"/>
                    <w:bottom w:val="none" w:sz="0" w:space="0" w:color="auto"/>
                    <w:right w:val="none" w:sz="0" w:space="0" w:color="auto"/>
                  </w:divBdr>
                </w:div>
              </w:divsChild>
            </w:div>
            <w:div w:id="867449739">
              <w:marLeft w:val="0"/>
              <w:marRight w:val="0"/>
              <w:marTop w:val="0"/>
              <w:marBottom w:val="0"/>
              <w:divBdr>
                <w:top w:val="none" w:sz="0" w:space="0" w:color="auto"/>
                <w:left w:val="none" w:sz="0" w:space="0" w:color="auto"/>
                <w:bottom w:val="none" w:sz="0" w:space="0" w:color="auto"/>
                <w:right w:val="none" w:sz="0" w:space="0" w:color="auto"/>
              </w:divBdr>
              <w:divsChild>
                <w:div w:id="842671908">
                  <w:marLeft w:val="0"/>
                  <w:marRight w:val="0"/>
                  <w:marTop w:val="0"/>
                  <w:marBottom w:val="0"/>
                  <w:divBdr>
                    <w:top w:val="none" w:sz="0" w:space="0" w:color="auto"/>
                    <w:left w:val="none" w:sz="0" w:space="0" w:color="auto"/>
                    <w:bottom w:val="none" w:sz="0" w:space="0" w:color="auto"/>
                    <w:right w:val="none" w:sz="0" w:space="0" w:color="auto"/>
                  </w:divBdr>
                </w:div>
              </w:divsChild>
            </w:div>
            <w:div w:id="882328514">
              <w:marLeft w:val="0"/>
              <w:marRight w:val="0"/>
              <w:marTop w:val="0"/>
              <w:marBottom w:val="0"/>
              <w:divBdr>
                <w:top w:val="none" w:sz="0" w:space="0" w:color="auto"/>
                <w:left w:val="none" w:sz="0" w:space="0" w:color="auto"/>
                <w:bottom w:val="none" w:sz="0" w:space="0" w:color="auto"/>
                <w:right w:val="none" w:sz="0" w:space="0" w:color="auto"/>
              </w:divBdr>
              <w:divsChild>
                <w:div w:id="27337391">
                  <w:marLeft w:val="0"/>
                  <w:marRight w:val="0"/>
                  <w:marTop w:val="0"/>
                  <w:marBottom w:val="0"/>
                  <w:divBdr>
                    <w:top w:val="none" w:sz="0" w:space="0" w:color="auto"/>
                    <w:left w:val="none" w:sz="0" w:space="0" w:color="auto"/>
                    <w:bottom w:val="none" w:sz="0" w:space="0" w:color="auto"/>
                    <w:right w:val="none" w:sz="0" w:space="0" w:color="auto"/>
                  </w:divBdr>
                </w:div>
              </w:divsChild>
            </w:div>
            <w:div w:id="1028069873">
              <w:marLeft w:val="0"/>
              <w:marRight w:val="0"/>
              <w:marTop w:val="0"/>
              <w:marBottom w:val="0"/>
              <w:divBdr>
                <w:top w:val="none" w:sz="0" w:space="0" w:color="auto"/>
                <w:left w:val="none" w:sz="0" w:space="0" w:color="auto"/>
                <w:bottom w:val="none" w:sz="0" w:space="0" w:color="auto"/>
                <w:right w:val="none" w:sz="0" w:space="0" w:color="auto"/>
              </w:divBdr>
              <w:divsChild>
                <w:div w:id="378280803">
                  <w:marLeft w:val="0"/>
                  <w:marRight w:val="0"/>
                  <w:marTop w:val="0"/>
                  <w:marBottom w:val="0"/>
                  <w:divBdr>
                    <w:top w:val="none" w:sz="0" w:space="0" w:color="auto"/>
                    <w:left w:val="none" w:sz="0" w:space="0" w:color="auto"/>
                    <w:bottom w:val="none" w:sz="0" w:space="0" w:color="auto"/>
                    <w:right w:val="none" w:sz="0" w:space="0" w:color="auto"/>
                  </w:divBdr>
                </w:div>
              </w:divsChild>
            </w:div>
            <w:div w:id="1154949137">
              <w:marLeft w:val="0"/>
              <w:marRight w:val="0"/>
              <w:marTop w:val="0"/>
              <w:marBottom w:val="0"/>
              <w:divBdr>
                <w:top w:val="none" w:sz="0" w:space="0" w:color="auto"/>
                <w:left w:val="none" w:sz="0" w:space="0" w:color="auto"/>
                <w:bottom w:val="none" w:sz="0" w:space="0" w:color="auto"/>
                <w:right w:val="none" w:sz="0" w:space="0" w:color="auto"/>
              </w:divBdr>
              <w:divsChild>
                <w:div w:id="1000474329">
                  <w:marLeft w:val="0"/>
                  <w:marRight w:val="0"/>
                  <w:marTop w:val="0"/>
                  <w:marBottom w:val="0"/>
                  <w:divBdr>
                    <w:top w:val="none" w:sz="0" w:space="0" w:color="auto"/>
                    <w:left w:val="none" w:sz="0" w:space="0" w:color="auto"/>
                    <w:bottom w:val="none" w:sz="0" w:space="0" w:color="auto"/>
                    <w:right w:val="none" w:sz="0" w:space="0" w:color="auto"/>
                  </w:divBdr>
                </w:div>
              </w:divsChild>
            </w:div>
            <w:div w:id="1423139555">
              <w:marLeft w:val="0"/>
              <w:marRight w:val="0"/>
              <w:marTop w:val="0"/>
              <w:marBottom w:val="0"/>
              <w:divBdr>
                <w:top w:val="none" w:sz="0" w:space="0" w:color="auto"/>
                <w:left w:val="none" w:sz="0" w:space="0" w:color="auto"/>
                <w:bottom w:val="none" w:sz="0" w:space="0" w:color="auto"/>
                <w:right w:val="none" w:sz="0" w:space="0" w:color="auto"/>
              </w:divBdr>
              <w:divsChild>
                <w:div w:id="955600640">
                  <w:marLeft w:val="0"/>
                  <w:marRight w:val="0"/>
                  <w:marTop w:val="0"/>
                  <w:marBottom w:val="0"/>
                  <w:divBdr>
                    <w:top w:val="none" w:sz="0" w:space="0" w:color="auto"/>
                    <w:left w:val="none" w:sz="0" w:space="0" w:color="auto"/>
                    <w:bottom w:val="none" w:sz="0" w:space="0" w:color="auto"/>
                    <w:right w:val="none" w:sz="0" w:space="0" w:color="auto"/>
                  </w:divBdr>
                </w:div>
              </w:divsChild>
            </w:div>
            <w:div w:id="1440220943">
              <w:marLeft w:val="0"/>
              <w:marRight w:val="0"/>
              <w:marTop w:val="0"/>
              <w:marBottom w:val="0"/>
              <w:divBdr>
                <w:top w:val="none" w:sz="0" w:space="0" w:color="auto"/>
                <w:left w:val="none" w:sz="0" w:space="0" w:color="auto"/>
                <w:bottom w:val="none" w:sz="0" w:space="0" w:color="auto"/>
                <w:right w:val="none" w:sz="0" w:space="0" w:color="auto"/>
              </w:divBdr>
              <w:divsChild>
                <w:div w:id="1777864434">
                  <w:marLeft w:val="0"/>
                  <w:marRight w:val="0"/>
                  <w:marTop w:val="0"/>
                  <w:marBottom w:val="0"/>
                  <w:divBdr>
                    <w:top w:val="none" w:sz="0" w:space="0" w:color="auto"/>
                    <w:left w:val="none" w:sz="0" w:space="0" w:color="auto"/>
                    <w:bottom w:val="none" w:sz="0" w:space="0" w:color="auto"/>
                    <w:right w:val="none" w:sz="0" w:space="0" w:color="auto"/>
                  </w:divBdr>
                </w:div>
              </w:divsChild>
            </w:div>
            <w:div w:id="1570336485">
              <w:marLeft w:val="0"/>
              <w:marRight w:val="0"/>
              <w:marTop w:val="0"/>
              <w:marBottom w:val="0"/>
              <w:divBdr>
                <w:top w:val="none" w:sz="0" w:space="0" w:color="auto"/>
                <w:left w:val="none" w:sz="0" w:space="0" w:color="auto"/>
                <w:bottom w:val="none" w:sz="0" w:space="0" w:color="auto"/>
                <w:right w:val="none" w:sz="0" w:space="0" w:color="auto"/>
              </w:divBdr>
              <w:divsChild>
                <w:div w:id="1385838445">
                  <w:marLeft w:val="0"/>
                  <w:marRight w:val="0"/>
                  <w:marTop w:val="0"/>
                  <w:marBottom w:val="0"/>
                  <w:divBdr>
                    <w:top w:val="none" w:sz="0" w:space="0" w:color="auto"/>
                    <w:left w:val="none" w:sz="0" w:space="0" w:color="auto"/>
                    <w:bottom w:val="none" w:sz="0" w:space="0" w:color="auto"/>
                    <w:right w:val="none" w:sz="0" w:space="0" w:color="auto"/>
                  </w:divBdr>
                </w:div>
              </w:divsChild>
            </w:div>
            <w:div w:id="1598324267">
              <w:marLeft w:val="0"/>
              <w:marRight w:val="0"/>
              <w:marTop w:val="0"/>
              <w:marBottom w:val="0"/>
              <w:divBdr>
                <w:top w:val="none" w:sz="0" w:space="0" w:color="auto"/>
                <w:left w:val="none" w:sz="0" w:space="0" w:color="auto"/>
                <w:bottom w:val="none" w:sz="0" w:space="0" w:color="auto"/>
                <w:right w:val="none" w:sz="0" w:space="0" w:color="auto"/>
              </w:divBdr>
              <w:divsChild>
                <w:div w:id="16853448">
                  <w:marLeft w:val="0"/>
                  <w:marRight w:val="0"/>
                  <w:marTop w:val="0"/>
                  <w:marBottom w:val="0"/>
                  <w:divBdr>
                    <w:top w:val="none" w:sz="0" w:space="0" w:color="auto"/>
                    <w:left w:val="none" w:sz="0" w:space="0" w:color="auto"/>
                    <w:bottom w:val="none" w:sz="0" w:space="0" w:color="auto"/>
                    <w:right w:val="none" w:sz="0" w:space="0" w:color="auto"/>
                  </w:divBdr>
                </w:div>
              </w:divsChild>
            </w:div>
            <w:div w:id="1737505244">
              <w:marLeft w:val="0"/>
              <w:marRight w:val="0"/>
              <w:marTop w:val="0"/>
              <w:marBottom w:val="0"/>
              <w:divBdr>
                <w:top w:val="none" w:sz="0" w:space="0" w:color="auto"/>
                <w:left w:val="none" w:sz="0" w:space="0" w:color="auto"/>
                <w:bottom w:val="none" w:sz="0" w:space="0" w:color="auto"/>
                <w:right w:val="none" w:sz="0" w:space="0" w:color="auto"/>
              </w:divBdr>
              <w:divsChild>
                <w:div w:id="634407754">
                  <w:marLeft w:val="0"/>
                  <w:marRight w:val="0"/>
                  <w:marTop w:val="0"/>
                  <w:marBottom w:val="0"/>
                  <w:divBdr>
                    <w:top w:val="none" w:sz="0" w:space="0" w:color="auto"/>
                    <w:left w:val="none" w:sz="0" w:space="0" w:color="auto"/>
                    <w:bottom w:val="none" w:sz="0" w:space="0" w:color="auto"/>
                    <w:right w:val="none" w:sz="0" w:space="0" w:color="auto"/>
                  </w:divBdr>
                </w:div>
              </w:divsChild>
            </w:div>
            <w:div w:id="1766223389">
              <w:marLeft w:val="0"/>
              <w:marRight w:val="0"/>
              <w:marTop w:val="0"/>
              <w:marBottom w:val="0"/>
              <w:divBdr>
                <w:top w:val="none" w:sz="0" w:space="0" w:color="auto"/>
                <w:left w:val="none" w:sz="0" w:space="0" w:color="auto"/>
                <w:bottom w:val="none" w:sz="0" w:space="0" w:color="auto"/>
                <w:right w:val="none" w:sz="0" w:space="0" w:color="auto"/>
              </w:divBdr>
              <w:divsChild>
                <w:div w:id="1167017958">
                  <w:marLeft w:val="0"/>
                  <w:marRight w:val="0"/>
                  <w:marTop w:val="0"/>
                  <w:marBottom w:val="0"/>
                  <w:divBdr>
                    <w:top w:val="none" w:sz="0" w:space="0" w:color="auto"/>
                    <w:left w:val="none" w:sz="0" w:space="0" w:color="auto"/>
                    <w:bottom w:val="none" w:sz="0" w:space="0" w:color="auto"/>
                    <w:right w:val="none" w:sz="0" w:space="0" w:color="auto"/>
                  </w:divBdr>
                </w:div>
              </w:divsChild>
            </w:div>
            <w:div w:id="1942638025">
              <w:marLeft w:val="0"/>
              <w:marRight w:val="0"/>
              <w:marTop w:val="0"/>
              <w:marBottom w:val="0"/>
              <w:divBdr>
                <w:top w:val="none" w:sz="0" w:space="0" w:color="auto"/>
                <w:left w:val="none" w:sz="0" w:space="0" w:color="auto"/>
                <w:bottom w:val="none" w:sz="0" w:space="0" w:color="auto"/>
                <w:right w:val="none" w:sz="0" w:space="0" w:color="auto"/>
              </w:divBdr>
              <w:divsChild>
                <w:div w:id="1110854297">
                  <w:marLeft w:val="0"/>
                  <w:marRight w:val="0"/>
                  <w:marTop w:val="0"/>
                  <w:marBottom w:val="0"/>
                  <w:divBdr>
                    <w:top w:val="none" w:sz="0" w:space="0" w:color="auto"/>
                    <w:left w:val="none" w:sz="0" w:space="0" w:color="auto"/>
                    <w:bottom w:val="none" w:sz="0" w:space="0" w:color="auto"/>
                    <w:right w:val="none" w:sz="0" w:space="0" w:color="auto"/>
                  </w:divBdr>
                </w:div>
              </w:divsChild>
            </w:div>
            <w:div w:id="1967274253">
              <w:marLeft w:val="0"/>
              <w:marRight w:val="0"/>
              <w:marTop w:val="0"/>
              <w:marBottom w:val="0"/>
              <w:divBdr>
                <w:top w:val="none" w:sz="0" w:space="0" w:color="auto"/>
                <w:left w:val="none" w:sz="0" w:space="0" w:color="auto"/>
                <w:bottom w:val="none" w:sz="0" w:space="0" w:color="auto"/>
                <w:right w:val="none" w:sz="0" w:space="0" w:color="auto"/>
              </w:divBdr>
              <w:divsChild>
                <w:div w:id="1695573255">
                  <w:marLeft w:val="0"/>
                  <w:marRight w:val="0"/>
                  <w:marTop w:val="0"/>
                  <w:marBottom w:val="0"/>
                  <w:divBdr>
                    <w:top w:val="none" w:sz="0" w:space="0" w:color="auto"/>
                    <w:left w:val="none" w:sz="0" w:space="0" w:color="auto"/>
                    <w:bottom w:val="none" w:sz="0" w:space="0" w:color="auto"/>
                    <w:right w:val="none" w:sz="0" w:space="0" w:color="auto"/>
                  </w:divBdr>
                </w:div>
              </w:divsChild>
            </w:div>
            <w:div w:id="2018463458">
              <w:marLeft w:val="0"/>
              <w:marRight w:val="0"/>
              <w:marTop w:val="0"/>
              <w:marBottom w:val="0"/>
              <w:divBdr>
                <w:top w:val="none" w:sz="0" w:space="0" w:color="auto"/>
                <w:left w:val="none" w:sz="0" w:space="0" w:color="auto"/>
                <w:bottom w:val="none" w:sz="0" w:space="0" w:color="auto"/>
                <w:right w:val="none" w:sz="0" w:space="0" w:color="auto"/>
              </w:divBdr>
              <w:divsChild>
                <w:div w:id="1504127666">
                  <w:marLeft w:val="0"/>
                  <w:marRight w:val="0"/>
                  <w:marTop w:val="0"/>
                  <w:marBottom w:val="0"/>
                  <w:divBdr>
                    <w:top w:val="none" w:sz="0" w:space="0" w:color="auto"/>
                    <w:left w:val="none" w:sz="0" w:space="0" w:color="auto"/>
                    <w:bottom w:val="none" w:sz="0" w:space="0" w:color="auto"/>
                    <w:right w:val="none" w:sz="0" w:space="0" w:color="auto"/>
                  </w:divBdr>
                </w:div>
              </w:divsChild>
            </w:div>
            <w:div w:id="2031760795">
              <w:marLeft w:val="0"/>
              <w:marRight w:val="0"/>
              <w:marTop w:val="0"/>
              <w:marBottom w:val="0"/>
              <w:divBdr>
                <w:top w:val="none" w:sz="0" w:space="0" w:color="auto"/>
                <w:left w:val="none" w:sz="0" w:space="0" w:color="auto"/>
                <w:bottom w:val="none" w:sz="0" w:space="0" w:color="auto"/>
                <w:right w:val="none" w:sz="0" w:space="0" w:color="auto"/>
              </w:divBdr>
              <w:divsChild>
                <w:div w:id="124199761">
                  <w:marLeft w:val="0"/>
                  <w:marRight w:val="0"/>
                  <w:marTop w:val="0"/>
                  <w:marBottom w:val="0"/>
                  <w:divBdr>
                    <w:top w:val="none" w:sz="0" w:space="0" w:color="auto"/>
                    <w:left w:val="none" w:sz="0" w:space="0" w:color="auto"/>
                    <w:bottom w:val="none" w:sz="0" w:space="0" w:color="auto"/>
                    <w:right w:val="none" w:sz="0" w:space="0" w:color="auto"/>
                  </w:divBdr>
                </w:div>
              </w:divsChild>
            </w:div>
            <w:div w:id="2145272208">
              <w:marLeft w:val="0"/>
              <w:marRight w:val="0"/>
              <w:marTop w:val="0"/>
              <w:marBottom w:val="0"/>
              <w:divBdr>
                <w:top w:val="none" w:sz="0" w:space="0" w:color="auto"/>
                <w:left w:val="none" w:sz="0" w:space="0" w:color="auto"/>
                <w:bottom w:val="none" w:sz="0" w:space="0" w:color="auto"/>
                <w:right w:val="none" w:sz="0" w:space="0" w:color="auto"/>
              </w:divBdr>
              <w:divsChild>
                <w:div w:id="97186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32491">
          <w:marLeft w:val="0"/>
          <w:marRight w:val="0"/>
          <w:marTop w:val="0"/>
          <w:marBottom w:val="0"/>
          <w:divBdr>
            <w:top w:val="none" w:sz="0" w:space="0" w:color="auto"/>
            <w:left w:val="none" w:sz="0" w:space="0" w:color="auto"/>
            <w:bottom w:val="none" w:sz="0" w:space="0" w:color="auto"/>
            <w:right w:val="none" w:sz="0" w:space="0" w:color="auto"/>
          </w:divBdr>
        </w:div>
        <w:div w:id="216744706">
          <w:marLeft w:val="-75"/>
          <w:marRight w:val="0"/>
          <w:marTop w:val="30"/>
          <w:marBottom w:val="30"/>
          <w:divBdr>
            <w:top w:val="none" w:sz="0" w:space="0" w:color="auto"/>
            <w:left w:val="none" w:sz="0" w:space="0" w:color="auto"/>
            <w:bottom w:val="none" w:sz="0" w:space="0" w:color="auto"/>
            <w:right w:val="none" w:sz="0" w:space="0" w:color="auto"/>
          </w:divBdr>
          <w:divsChild>
            <w:div w:id="262693847">
              <w:marLeft w:val="0"/>
              <w:marRight w:val="0"/>
              <w:marTop w:val="0"/>
              <w:marBottom w:val="0"/>
              <w:divBdr>
                <w:top w:val="none" w:sz="0" w:space="0" w:color="auto"/>
                <w:left w:val="none" w:sz="0" w:space="0" w:color="auto"/>
                <w:bottom w:val="none" w:sz="0" w:space="0" w:color="auto"/>
                <w:right w:val="none" w:sz="0" w:space="0" w:color="auto"/>
              </w:divBdr>
              <w:divsChild>
                <w:div w:id="1604916683">
                  <w:marLeft w:val="0"/>
                  <w:marRight w:val="0"/>
                  <w:marTop w:val="0"/>
                  <w:marBottom w:val="0"/>
                  <w:divBdr>
                    <w:top w:val="none" w:sz="0" w:space="0" w:color="auto"/>
                    <w:left w:val="none" w:sz="0" w:space="0" w:color="auto"/>
                    <w:bottom w:val="none" w:sz="0" w:space="0" w:color="auto"/>
                    <w:right w:val="none" w:sz="0" w:space="0" w:color="auto"/>
                  </w:divBdr>
                </w:div>
              </w:divsChild>
            </w:div>
            <w:div w:id="263341157">
              <w:marLeft w:val="0"/>
              <w:marRight w:val="0"/>
              <w:marTop w:val="0"/>
              <w:marBottom w:val="0"/>
              <w:divBdr>
                <w:top w:val="none" w:sz="0" w:space="0" w:color="auto"/>
                <w:left w:val="none" w:sz="0" w:space="0" w:color="auto"/>
                <w:bottom w:val="none" w:sz="0" w:space="0" w:color="auto"/>
                <w:right w:val="none" w:sz="0" w:space="0" w:color="auto"/>
              </w:divBdr>
              <w:divsChild>
                <w:div w:id="962737029">
                  <w:marLeft w:val="0"/>
                  <w:marRight w:val="0"/>
                  <w:marTop w:val="0"/>
                  <w:marBottom w:val="0"/>
                  <w:divBdr>
                    <w:top w:val="none" w:sz="0" w:space="0" w:color="auto"/>
                    <w:left w:val="none" w:sz="0" w:space="0" w:color="auto"/>
                    <w:bottom w:val="none" w:sz="0" w:space="0" w:color="auto"/>
                    <w:right w:val="none" w:sz="0" w:space="0" w:color="auto"/>
                  </w:divBdr>
                </w:div>
              </w:divsChild>
            </w:div>
            <w:div w:id="263727283">
              <w:marLeft w:val="0"/>
              <w:marRight w:val="0"/>
              <w:marTop w:val="0"/>
              <w:marBottom w:val="0"/>
              <w:divBdr>
                <w:top w:val="none" w:sz="0" w:space="0" w:color="auto"/>
                <w:left w:val="none" w:sz="0" w:space="0" w:color="auto"/>
                <w:bottom w:val="none" w:sz="0" w:space="0" w:color="auto"/>
                <w:right w:val="none" w:sz="0" w:space="0" w:color="auto"/>
              </w:divBdr>
              <w:divsChild>
                <w:div w:id="344206786">
                  <w:marLeft w:val="0"/>
                  <w:marRight w:val="0"/>
                  <w:marTop w:val="0"/>
                  <w:marBottom w:val="0"/>
                  <w:divBdr>
                    <w:top w:val="none" w:sz="0" w:space="0" w:color="auto"/>
                    <w:left w:val="none" w:sz="0" w:space="0" w:color="auto"/>
                    <w:bottom w:val="none" w:sz="0" w:space="0" w:color="auto"/>
                    <w:right w:val="none" w:sz="0" w:space="0" w:color="auto"/>
                  </w:divBdr>
                </w:div>
              </w:divsChild>
            </w:div>
            <w:div w:id="359018739">
              <w:marLeft w:val="0"/>
              <w:marRight w:val="0"/>
              <w:marTop w:val="0"/>
              <w:marBottom w:val="0"/>
              <w:divBdr>
                <w:top w:val="none" w:sz="0" w:space="0" w:color="auto"/>
                <w:left w:val="none" w:sz="0" w:space="0" w:color="auto"/>
                <w:bottom w:val="none" w:sz="0" w:space="0" w:color="auto"/>
                <w:right w:val="none" w:sz="0" w:space="0" w:color="auto"/>
              </w:divBdr>
              <w:divsChild>
                <w:div w:id="1541093911">
                  <w:marLeft w:val="0"/>
                  <w:marRight w:val="0"/>
                  <w:marTop w:val="0"/>
                  <w:marBottom w:val="0"/>
                  <w:divBdr>
                    <w:top w:val="none" w:sz="0" w:space="0" w:color="auto"/>
                    <w:left w:val="none" w:sz="0" w:space="0" w:color="auto"/>
                    <w:bottom w:val="none" w:sz="0" w:space="0" w:color="auto"/>
                    <w:right w:val="none" w:sz="0" w:space="0" w:color="auto"/>
                  </w:divBdr>
                </w:div>
              </w:divsChild>
            </w:div>
            <w:div w:id="395324929">
              <w:marLeft w:val="0"/>
              <w:marRight w:val="0"/>
              <w:marTop w:val="0"/>
              <w:marBottom w:val="0"/>
              <w:divBdr>
                <w:top w:val="none" w:sz="0" w:space="0" w:color="auto"/>
                <w:left w:val="none" w:sz="0" w:space="0" w:color="auto"/>
                <w:bottom w:val="none" w:sz="0" w:space="0" w:color="auto"/>
                <w:right w:val="none" w:sz="0" w:space="0" w:color="auto"/>
              </w:divBdr>
              <w:divsChild>
                <w:div w:id="189531377">
                  <w:marLeft w:val="0"/>
                  <w:marRight w:val="0"/>
                  <w:marTop w:val="0"/>
                  <w:marBottom w:val="0"/>
                  <w:divBdr>
                    <w:top w:val="none" w:sz="0" w:space="0" w:color="auto"/>
                    <w:left w:val="none" w:sz="0" w:space="0" w:color="auto"/>
                    <w:bottom w:val="none" w:sz="0" w:space="0" w:color="auto"/>
                    <w:right w:val="none" w:sz="0" w:space="0" w:color="auto"/>
                  </w:divBdr>
                </w:div>
              </w:divsChild>
            </w:div>
            <w:div w:id="461653086">
              <w:marLeft w:val="0"/>
              <w:marRight w:val="0"/>
              <w:marTop w:val="0"/>
              <w:marBottom w:val="0"/>
              <w:divBdr>
                <w:top w:val="none" w:sz="0" w:space="0" w:color="auto"/>
                <w:left w:val="none" w:sz="0" w:space="0" w:color="auto"/>
                <w:bottom w:val="none" w:sz="0" w:space="0" w:color="auto"/>
                <w:right w:val="none" w:sz="0" w:space="0" w:color="auto"/>
              </w:divBdr>
              <w:divsChild>
                <w:div w:id="1380518289">
                  <w:marLeft w:val="0"/>
                  <w:marRight w:val="0"/>
                  <w:marTop w:val="0"/>
                  <w:marBottom w:val="0"/>
                  <w:divBdr>
                    <w:top w:val="none" w:sz="0" w:space="0" w:color="auto"/>
                    <w:left w:val="none" w:sz="0" w:space="0" w:color="auto"/>
                    <w:bottom w:val="none" w:sz="0" w:space="0" w:color="auto"/>
                    <w:right w:val="none" w:sz="0" w:space="0" w:color="auto"/>
                  </w:divBdr>
                </w:div>
              </w:divsChild>
            </w:div>
            <w:div w:id="600335175">
              <w:marLeft w:val="0"/>
              <w:marRight w:val="0"/>
              <w:marTop w:val="0"/>
              <w:marBottom w:val="0"/>
              <w:divBdr>
                <w:top w:val="none" w:sz="0" w:space="0" w:color="auto"/>
                <w:left w:val="none" w:sz="0" w:space="0" w:color="auto"/>
                <w:bottom w:val="none" w:sz="0" w:space="0" w:color="auto"/>
                <w:right w:val="none" w:sz="0" w:space="0" w:color="auto"/>
              </w:divBdr>
              <w:divsChild>
                <w:div w:id="1617716185">
                  <w:marLeft w:val="0"/>
                  <w:marRight w:val="0"/>
                  <w:marTop w:val="0"/>
                  <w:marBottom w:val="0"/>
                  <w:divBdr>
                    <w:top w:val="none" w:sz="0" w:space="0" w:color="auto"/>
                    <w:left w:val="none" w:sz="0" w:space="0" w:color="auto"/>
                    <w:bottom w:val="none" w:sz="0" w:space="0" w:color="auto"/>
                    <w:right w:val="none" w:sz="0" w:space="0" w:color="auto"/>
                  </w:divBdr>
                </w:div>
              </w:divsChild>
            </w:div>
            <w:div w:id="726994823">
              <w:marLeft w:val="0"/>
              <w:marRight w:val="0"/>
              <w:marTop w:val="0"/>
              <w:marBottom w:val="0"/>
              <w:divBdr>
                <w:top w:val="none" w:sz="0" w:space="0" w:color="auto"/>
                <w:left w:val="none" w:sz="0" w:space="0" w:color="auto"/>
                <w:bottom w:val="none" w:sz="0" w:space="0" w:color="auto"/>
                <w:right w:val="none" w:sz="0" w:space="0" w:color="auto"/>
              </w:divBdr>
              <w:divsChild>
                <w:div w:id="2058629188">
                  <w:marLeft w:val="0"/>
                  <w:marRight w:val="0"/>
                  <w:marTop w:val="0"/>
                  <w:marBottom w:val="0"/>
                  <w:divBdr>
                    <w:top w:val="none" w:sz="0" w:space="0" w:color="auto"/>
                    <w:left w:val="none" w:sz="0" w:space="0" w:color="auto"/>
                    <w:bottom w:val="none" w:sz="0" w:space="0" w:color="auto"/>
                    <w:right w:val="none" w:sz="0" w:space="0" w:color="auto"/>
                  </w:divBdr>
                </w:div>
              </w:divsChild>
            </w:div>
            <w:div w:id="741676723">
              <w:marLeft w:val="0"/>
              <w:marRight w:val="0"/>
              <w:marTop w:val="0"/>
              <w:marBottom w:val="0"/>
              <w:divBdr>
                <w:top w:val="none" w:sz="0" w:space="0" w:color="auto"/>
                <w:left w:val="none" w:sz="0" w:space="0" w:color="auto"/>
                <w:bottom w:val="none" w:sz="0" w:space="0" w:color="auto"/>
                <w:right w:val="none" w:sz="0" w:space="0" w:color="auto"/>
              </w:divBdr>
              <w:divsChild>
                <w:div w:id="1897158950">
                  <w:marLeft w:val="0"/>
                  <w:marRight w:val="0"/>
                  <w:marTop w:val="0"/>
                  <w:marBottom w:val="0"/>
                  <w:divBdr>
                    <w:top w:val="none" w:sz="0" w:space="0" w:color="auto"/>
                    <w:left w:val="none" w:sz="0" w:space="0" w:color="auto"/>
                    <w:bottom w:val="none" w:sz="0" w:space="0" w:color="auto"/>
                    <w:right w:val="none" w:sz="0" w:space="0" w:color="auto"/>
                  </w:divBdr>
                </w:div>
              </w:divsChild>
            </w:div>
            <w:div w:id="821966014">
              <w:marLeft w:val="0"/>
              <w:marRight w:val="0"/>
              <w:marTop w:val="0"/>
              <w:marBottom w:val="0"/>
              <w:divBdr>
                <w:top w:val="none" w:sz="0" w:space="0" w:color="auto"/>
                <w:left w:val="none" w:sz="0" w:space="0" w:color="auto"/>
                <w:bottom w:val="none" w:sz="0" w:space="0" w:color="auto"/>
                <w:right w:val="none" w:sz="0" w:space="0" w:color="auto"/>
              </w:divBdr>
              <w:divsChild>
                <w:div w:id="1984189017">
                  <w:marLeft w:val="0"/>
                  <w:marRight w:val="0"/>
                  <w:marTop w:val="0"/>
                  <w:marBottom w:val="0"/>
                  <w:divBdr>
                    <w:top w:val="none" w:sz="0" w:space="0" w:color="auto"/>
                    <w:left w:val="none" w:sz="0" w:space="0" w:color="auto"/>
                    <w:bottom w:val="none" w:sz="0" w:space="0" w:color="auto"/>
                    <w:right w:val="none" w:sz="0" w:space="0" w:color="auto"/>
                  </w:divBdr>
                </w:div>
              </w:divsChild>
            </w:div>
            <w:div w:id="897518682">
              <w:marLeft w:val="0"/>
              <w:marRight w:val="0"/>
              <w:marTop w:val="0"/>
              <w:marBottom w:val="0"/>
              <w:divBdr>
                <w:top w:val="none" w:sz="0" w:space="0" w:color="auto"/>
                <w:left w:val="none" w:sz="0" w:space="0" w:color="auto"/>
                <w:bottom w:val="none" w:sz="0" w:space="0" w:color="auto"/>
                <w:right w:val="none" w:sz="0" w:space="0" w:color="auto"/>
              </w:divBdr>
              <w:divsChild>
                <w:div w:id="1154681598">
                  <w:marLeft w:val="0"/>
                  <w:marRight w:val="0"/>
                  <w:marTop w:val="0"/>
                  <w:marBottom w:val="0"/>
                  <w:divBdr>
                    <w:top w:val="none" w:sz="0" w:space="0" w:color="auto"/>
                    <w:left w:val="none" w:sz="0" w:space="0" w:color="auto"/>
                    <w:bottom w:val="none" w:sz="0" w:space="0" w:color="auto"/>
                    <w:right w:val="none" w:sz="0" w:space="0" w:color="auto"/>
                  </w:divBdr>
                </w:div>
              </w:divsChild>
            </w:div>
            <w:div w:id="1159492421">
              <w:marLeft w:val="0"/>
              <w:marRight w:val="0"/>
              <w:marTop w:val="0"/>
              <w:marBottom w:val="0"/>
              <w:divBdr>
                <w:top w:val="none" w:sz="0" w:space="0" w:color="auto"/>
                <w:left w:val="none" w:sz="0" w:space="0" w:color="auto"/>
                <w:bottom w:val="none" w:sz="0" w:space="0" w:color="auto"/>
                <w:right w:val="none" w:sz="0" w:space="0" w:color="auto"/>
              </w:divBdr>
              <w:divsChild>
                <w:div w:id="1795252833">
                  <w:marLeft w:val="0"/>
                  <w:marRight w:val="0"/>
                  <w:marTop w:val="0"/>
                  <w:marBottom w:val="0"/>
                  <w:divBdr>
                    <w:top w:val="none" w:sz="0" w:space="0" w:color="auto"/>
                    <w:left w:val="none" w:sz="0" w:space="0" w:color="auto"/>
                    <w:bottom w:val="none" w:sz="0" w:space="0" w:color="auto"/>
                    <w:right w:val="none" w:sz="0" w:space="0" w:color="auto"/>
                  </w:divBdr>
                </w:div>
              </w:divsChild>
            </w:div>
            <w:div w:id="1173187022">
              <w:marLeft w:val="0"/>
              <w:marRight w:val="0"/>
              <w:marTop w:val="0"/>
              <w:marBottom w:val="0"/>
              <w:divBdr>
                <w:top w:val="none" w:sz="0" w:space="0" w:color="auto"/>
                <w:left w:val="none" w:sz="0" w:space="0" w:color="auto"/>
                <w:bottom w:val="none" w:sz="0" w:space="0" w:color="auto"/>
                <w:right w:val="none" w:sz="0" w:space="0" w:color="auto"/>
              </w:divBdr>
              <w:divsChild>
                <w:div w:id="800198222">
                  <w:marLeft w:val="0"/>
                  <w:marRight w:val="0"/>
                  <w:marTop w:val="0"/>
                  <w:marBottom w:val="0"/>
                  <w:divBdr>
                    <w:top w:val="none" w:sz="0" w:space="0" w:color="auto"/>
                    <w:left w:val="none" w:sz="0" w:space="0" w:color="auto"/>
                    <w:bottom w:val="none" w:sz="0" w:space="0" w:color="auto"/>
                    <w:right w:val="none" w:sz="0" w:space="0" w:color="auto"/>
                  </w:divBdr>
                </w:div>
              </w:divsChild>
            </w:div>
            <w:div w:id="1217742106">
              <w:marLeft w:val="0"/>
              <w:marRight w:val="0"/>
              <w:marTop w:val="0"/>
              <w:marBottom w:val="0"/>
              <w:divBdr>
                <w:top w:val="none" w:sz="0" w:space="0" w:color="auto"/>
                <w:left w:val="none" w:sz="0" w:space="0" w:color="auto"/>
                <w:bottom w:val="none" w:sz="0" w:space="0" w:color="auto"/>
                <w:right w:val="none" w:sz="0" w:space="0" w:color="auto"/>
              </w:divBdr>
              <w:divsChild>
                <w:div w:id="1523738850">
                  <w:marLeft w:val="0"/>
                  <w:marRight w:val="0"/>
                  <w:marTop w:val="0"/>
                  <w:marBottom w:val="0"/>
                  <w:divBdr>
                    <w:top w:val="none" w:sz="0" w:space="0" w:color="auto"/>
                    <w:left w:val="none" w:sz="0" w:space="0" w:color="auto"/>
                    <w:bottom w:val="none" w:sz="0" w:space="0" w:color="auto"/>
                    <w:right w:val="none" w:sz="0" w:space="0" w:color="auto"/>
                  </w:divBdr>
                </w:div>
              </w:divsChild>
            </w:div>
            <w:div w:id="1416122057">
              <w:marLeft w:val="0"/>
              <w:marRight w:val="0"/>
              <w:marTop w:val="0"/>
              <w:marBottom w:val="0"/>
              <w:divBdr>
                <w:top w:val="none" w:sz="0" w:space="0" w:color="auto"/>
                <w:left w:val="none" w:sz="0" w:space="0" w:color="auto"/>
                <w:bottom w:val="none" w:sz="0" w:space="0" w:color="auto"/>
                <w:right w:val="none" w:sz="0" w:space="0" w:color="auto"/>
              </w:divBdr>
              <w:divsChild>
                <w:div w:id="1624191335">
                  <w:marLeft w:val="0"/>
                  <w:marRight w:val="0"/>
                  <w:marTop w:val="0"/>
                  <w:marBottom w:val="0"/>
                  <w:divBdr>
                    <w:top w:val="none" w:sz="0" w:space="0" w:color="auto"/>
                    <w:left w:val="none" w:sz="0" w:space="0" w:color="auto"/>
                    <w:bottom w:val="none" w:sz="0" w:space="0" w:color="auto"/>
                    <w:right w:val="none" w:sz="0" w:space="0" w:color="auto"/>
                  </w:divBdr>
                </w:div>
              </w:divsChild>
            </w:div>
            <w:div w:id="1420372937">
              <w:marLeft w:val="0"/>
              <w:marRight w:val="0"/>
              <w:marTop w:val="0"/>
              <w:marBottom w:val="0"/>
              <w:divBdr>
                <w:top w:val="none" w:sz="0" w:space="0" w:color="auto"/>
                <w:left w:val="none" w:sz="0" w:space="0" w:color="auto"/>
                <w:bottom w:val="none" w:sz="0" w:space="0" w:color="auto"/>
                <w:right w:val="none" w:sz="0" w:space="0" w:color="auto"/>
              </w:divBdr>
              <w:divsChild>
                <w:div w:id="1011032165">
                  <w:marLeft w:val="0"/>
                  <w:marRight w:val="0"/>
                  <w:marTop w:val="0"/>
                  <w:marBottom w:val="0"/>
                  <w:divBdr>
                    <w:top w:val="none" w:sz="0" w:space="0" w:color="auto"/>
                    <w:left w:val="none" w:sz="0" w:space="0" w:color="auto"/>
                    <w:bottom w:val="none" w:sz="0" w:space="0" w:color="auto"/>
                    <w:right w:val="none" w:sz="0" w:space="0" w:color="auto"/>
                  </w:divBdr>
                </w:div>
              </w:divsChild>
            </w:div>
            <w:div w:id="1451632305">
              <w:marLeft w:val="0"/>
              <w:marRight w:val="0"/>
              <w:marTop w:val="0"/>
              <w:marBottom w:val="0"/>
              <w:divBdr>
                <w:top w:val="none" w:sz="0" w:space="0" w:color="auto"/>
                <w:left w:val="none" w:sz="0" w:space="0" w:color="auto"/>
                <w:bottom w:val="none" w:sz="0" w:space="0" w:color="auto"/>
                <w:right w:val="none" w:sz="0" w:space="0" w:color="auto"/>
              </w:divBdr>
              <w:divsChild>
                <w:div w:id="579675167">
                  <w:marLeft w:val="0"/>
                  <w:marRight w:val="0"/>
                  <w:marTop w:val="0"/>
                  <w:marBottom w:val="0"/>
                  <w:divBdr>
                    <w:top w:val="none" w:sz="0" w:space="0" w:color="auto"/>
                    <w:left w:val="none" w:sz="0" w:space="0" w:color="auto"/>
                    <w:bottom w:val="none" w:sz="0" w:space="0" w:color="auto"/>
                    <w:right w:val="none" w:sz="0" w:space="0" w:color="auto"/>
                  </w:divBdr>
                </w:div>
              </w:divsChild>
            </w:div>
            <w:div w:id="1513449727">
              <w:marLeft w:val="0"/>
              <w:marRight w:val="0"/>
              <w:marTop w:val="0"/>
              <w:marBottom w:val="0"/>
              <w:divBdr>
                <w:top w:val="none" w:sz="0" w:space="0" w:color="auto"/>
                <w:left w:val="none" w:sz="0" w:space="0" w:color="auto"/>
                <w:bottom w:val="none" w:sz="0" w:space="0" w:color="auto"/>
                <w:right w:val="none" w:sz="0" w:space="0" w:color="auto"/>
              </w:divBdr>
              <w:divsChild>
                <w:div w:id="1767916401">
                  <w:marLeft w:val="0"/>
                  <w:marRight w:val="0"/>
                  <w:marTop w:val="0"/>
                  <w:marBottom w:val="0"/>
                  <w:divBdr>
                    <w:top w:val="none" w:sz="0" w:space="0" w:color="auto"/>
                    <w:left w:val="none" w:sz="0" w:space="0" w:color="auto"/>
                    <w:bottom w:val="none" w:sz="0" w:space="0" w:color="auto"/>
                    <w:right w:val="none" w:sz="0" w:space="0" w:color="auto"/>
                  </w:divBdr>
                </w:div>
              </w:divsChild>
            </w:div>
            <w:div w:id="1784224829">
              <w:marLeft w:val="0"/>
              <w:marRight w:val="0"/>
              <w:marTop w:val="0"/>
              <w:marBottom w:val="0"/>
              <w:divBdr>
                <w:top w:val="none" w:sz="0" w:space="0" w:color="auto"/>
                <w:left w:val="none" w:sz="0" w:space="0" w:color="auto"/>
                <w:bottom w:val="none" w:sz="0" w:space="0" w:color="auto"/>
                <w:right w:val="none" w:sz="0" w:space="0" w:color="auto"/>
              </w:divBdr>
              <w:divsChild>
                <w:div w:id="1008488570">
                  <w:marLeft w:val="0"/>
                  <w:marRight w:val="0"/>
                  <w:marTop w:val="0"/>
                  <w:marBottom w:val="0"/>
                  <w:divBdr>
                    <w:top w:val="none" w:sz="0" w:space="0" w:color="auto"/>
                    <w:left w:val="none" w:sz="0" w:space="0" w:color="auto"/>
                    <w:bottom w:val="none" w:sz="0" w:space="0" w:color="auto"/>
                    <w:right w:val="none" w:sz="0" w:space="0" w:color="auto"/>
                  </w:divBdr>
                </w:div>
              </w:divsChild>
            </w:div>
            <w:div w:id="2114399463">
              <w:marLeft w:val="0"/>
              <w:marRight w:val="0"/>
              <w:marTop w:val="0"/>
              <w:marBottom w:val="0"/>
              <w:divBdr>
                <w:top w:val="none" w:sz="0" w:space="0" w:color="auto"/>
                <w:left w:val="none" w:sz="0" w:space="0" w:color="auto"/>
                <w:bottom w:val="none" w:sz="0" w:space="0" w:color="auto"/>
                <w:right w:val="none" w:sz="0" w:space="0" w:color="auto"/>
              </w:divBdr>
              <w:divsChild>
                <w:div w:id="1077633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649282">
          <w:marLeft w:val="0"/>
          <w:marRight w:val="0"/>
          <w:marTop w:val="0"/>
          <w:marBottom w:val="0"/>
          <w:divBdr>
            <w:top w:val="none" w:sz="0" w:space="0" w:color="auto"/>
            <w:left w:val="none" w:sz="0" w:space="0" w:color="auto"/>
            <w:bottom w:val="none" w:sz="0" w:space="0" w:color="auto"/>
            <w:right w:val="none" w:sz="0" w:space="0" w:color="auto"/>
          </w:divBdr>
        </w:div>
        <w:div w:id="467016190">
          <w:marLeft w:val="0"/>
          <w:marRight w:val="0"/>
          <w:marTop w:val="0"/>
          <w:marBottom w:val="0"/>
          <w:divBdr>
            <w:top w:val="none" w:sz="0" w:space="0" w:color="auto"/>
            <w:left w:val="none" w:sz="0" w:space="0" w:color="auto"/>
            <w:bottom w:val="none" w:sz="0" w:space="0" w:color="auto"/>
            <w:right w:val="none" w:sz="0" w:space="0" w:color="auto"/>
          </w:divBdr>
        </w:div>
        <w:div w:id="769621124">
          <w:marLeft w:val="0"/>
          <w:marRight w:val="0"/>
          <w:marTop w:val="0"/>
          <w:marBottom w:val="0"/>
          <w:divBdr>
            <w:top w:val="none" w:sz="0" w:space="0" w:color="auto"/>
            <w:left w:val="none" w:sz="0" w:space="0" w:color="auto"/>
            <w:bottom w:val="none" w:sz="0" w:space="0" w:color="auto"/>
            <w:right w:val="none" w:sz="0" w:space="0" w:color="auto"/>
          </w:divBdr>
        </w:div>
        <w:div w:id="788092133">
          <w:marLeft w:val="0"/>
          <w:marRight w:val="0"/>
          <w:marTop w:val="0"/>
          <w:marBottom w:val="0"/>
          <w:divBdr>
            <w:top w:val="none" w:sz="0" w:space="0" w:color="auto"/>
            <w:left w:val="none" w:sz="0" w:space="0" w:color="auto"/>
            <w:bottom w:val="none" w:sz="0" w:space="0" w:color="auto"/>
            <w:right w:val="none" w:sz="0" w:space="0" w:color="auto"/>
          </w:divBdr>
        </w:div>
        <w:div w:id="1361130268">
          <w:marLeft w:val="0"/>
          <w:marRight w:val="0"/>
          <w:marTop w:val="0"/>
          <w:marBottom w:val="0"/>
          <w:divBdr>
            <w:top w:val="none" w:sz="0" w:space="0" w:color="auto"/>
            <w:left w:val="none" w:sz="0" w:space="0" w:color="auto"/>
            <w:bottom w:val="none" w:sz="0" w:space="0" w:color="auto"/>
            <w:right w:val="none" w:sz="0" w:space="0" w:color="auto"/>
          </w:divBdr>
        </w:div>
        <w:div w:id="1383868798">
          <w:marLeft w:val="0"/>
          <w:marRight w:val="0"/>
          <w:marTop w:val="0"/>
          <w:marBottom w:val="0"/>
          <w:divBdr>
            <w:top w:val="none" w:sz="0" w:space="0" w:color="auto"/>
            <w:left w:val="none" w:sz="0" w:space="0" w:color="auto"/>
            <w:bottom w:val="none" w:sz="0" w:space="0" w:color="auto"/>
            <w:right w:val="none" w:sz="0" w:space="0" w:color="auto"/>
          </w:divBdr>
        </w:div>
        <w:div w:id="1527135572">
          <w:marLeft w:val="0"/>
          <w:marRight w:val="0"/>
          <w:marTop w:val="0"/>
          <w:marBottom w:val="0"/>
          <w:divBdr>
            <w:top w:val="none" w:sz="0" w:space="0" w:color="auto"/>
            <w:left w:val="none" w:sz="0" w:space="0" w:color="auto"/>
            <w:bottom w:val="none" w:sz="0" w:space="0" w:color="auto"/>
            <w:right w:val="none" w:sz="0" w:space="0" w:color="auto"/>
          </w:divBdr>
        </w:div>
        <w:div w:id="1907568828">
          <w:marLeft w:val="-75"/>
          <w:marRight w:val="0"/>
          <w:marTop w:val="30"/>
          <w:marBottom w:val="30"/>
          <w:divBdr>
            <w:top w:val="none" w:sz="0" w:space="0" w:color="auto"/>
            <w:left w:val="none" w:sz="0" w:space="0" w:color="auto"/>
            <w:bottom w:val="none" w:sz="0" w:space="0" w:color="auto"/>
            <w:right w:val="none" w:sz="0" w:space="0" w:color="auto"/>
          </w:divBdr>
          <w:divsChild>
            <w:div w:id="12155176">
              <w:marLeft w:val="0"/>
              <w:marRight w:val="0"/>
              <w:marTop w:val="0"/>
              <w:marBottom w:val="0"/>
              <w:divBdr>
                <w:top w:val="none" w:sz="0" w:space="0" w:color="auto"/>
                <w:left w:val="none" w:sz="0" w:space="0" w:color="auto"/>
                <w:bottom w:val="none" w:sz="0" w:space="0" w:color="auto"/>
                <w:right w:val="none" w:sz="0" w:space="0" w:color="auto"/>
              </w:divBdr>
              <w:divsChild>
                <w:div w:id="1403797382">
                  <w:marLeft w:val="0"/>
                  <w:marRight w:val="0"/>
                  <w:marTop w:val="0"/>
                  <w:marBottom w:val="0"/>
                  <w:divBdr>
                    <w:top w:val="none" w:sz="0" w:space="0" w:color="auto"/>
                    <w:left w:val="none" w:sz="0" w:space="0" w:color="auto"/>
                    <w:bottom w:val="none" w:sz="0" w:space="0" w:color="auto"/>
                    <w:right w:val="none" w:sz="0" w:space="0" w:color="auto"/>
                  </w:divBdr>
                </w:div>
              </w:divsChild>
            </w:div>
            <w:div w:id="33621623">
              <w:marLeft w:val="0"/>
              <w:marRight w:val="0"/>
              <w:marTop w:val="0"/>
              <w:marBottom w:val="0"/>
              <w:divBdr>
                <w:top w:val="none" w:sz="0" w:space="0" w:color="auto"/>
                <w:left w:val="none" w:sz="0" w:space="0" w:color="auto"/>
                <w:bottom w:val="none" w:sz="0" w:space="0" w:color="auto"/>
                <w:right w:val="none" w:sz="0" w:space="0" w:color="auto"/>
              </w:divBdr>
              <w:divsChild>
                <w:div w:id="74329651">
                  <w:marLeft w:val="0"/>
                  <w:marRight w:val="0"/>
                  <w:marTop w:val="0"/>
                  <w:marBottom w:val="0"/>
                  <w:divBdr>
                    <w:top w:val="none" w:sz="0" w:space="0" w:color="auto"/>
                    <w:left w:val="none" w:sz="0" w:space="0" w:color="auto"/>
                    <w:bottom w:val="none" w:sz="0" w:space="0" w:color="auto"/>
                    <w:right w:val="none" w:sz="0" w:space="0" w:color="auto"/>
                  </w:divBdr>
                </w:div>
              </w:divsChild>
            </w:div>
            <w:div w:id="42945346">
              <w:marLeft w:val="0"/>
              <w:marRight w:val="0"/>
              <w:marTop w:val="0"/>
              <w:marBottom w:val="0"/>
              <w:divBdr>
                <w:top w:val="none" w:sz="0" w:space="0" w:color="auto"/>
                <w:left w:val="none" w:sz="0" w:space="0" w:color="auto"/>
                <w:bottom w:val="none" w:sz="0" w:space="0" w:color="auto"/>
                <w:right w:val="none" w:sz="0" w:space="0" w:color="auto"/>
              </w:divBdr>
              <w:divsChild>
                <w:div w:id="1203446736">
                  <w:marLeft w:val="0"/>
                  <w:marRight w:val="0"/>
                  <w:marTop w:val="0"/>
                  <w:marBottom w:val="0"/>
                  <w:divBdr>
                    <w:top w:val="none" w:sz="0" w:space="0" w:color="auto"/>
                    <w:left w:val="none" w:sz="0" w:space="0" w:color="auto"/>
                    <w:bottom w:val="none" w:sz="0" w:space="0" w:color="auto"/>
                    <w:right w:val="none" w:sz="0" w:space="0" w:color="auto"/>
                  </w:divBdr>
                </w:div>
              </w:divsChild>
            </w:div>
            <w:div w:id="287245194">
              <w:marLeft w:val="0"/>
              <w:marRight w:val="0"/>
              <w:marTop w:val="0"/>
              <w:marBottom w:val="0"/>
              <w:divBdr>
                <w:top w:val="none" w:sz="0" w:space="0" w:color="auto"/>
                <w:left w:val="none" w:sz="0" w:space="0" w:color="auto"/>
                <w:bottom w:val="none" w:sz="0" w:space="0" w:color="auto"/>
                <w:right w:val="none" w:sz="0" w:space="0" w:color="auto"/>
              </w:divBdr>
              <w:divsChild>
                <w:div w:id="432015451">
                  <w:marLeft w:val="0"/>
                  <w:marRight w:val="0"/>
                  <w:marTop w:val="0"/>
                  <w:marBottom w:val="0"/>
                  <w:divBdr>
                    <w:top w:val="none" w:sz="0" w:space="0" w:color="auto"/>
                    <w:left w:val="none" w:sz="0" w:space="0" w:color="auto"/>
                    <w:bottom w:val="none" w:sz="0" w:space="0" w:color="auto"/>
                    <w:right w:val="none" w:sz="0" w:space="0" w:color="auto"/>
                  </w:divBdr>
                </w:div>
              </w:divsChild>
            </w:div>
            <w:div w:id="432242432">
              <w:marLeft w:val="0"/>
              <w:marRight w:val="0"/>
              <w:marTop w:val="0"/>
              <w:marBottom w:val="0"/>
              <w:divBdr>
                <w:top w:val="none" w:sz="0" w:space="0" w:color="auto"/>
                <w:left w:val="none" w:sz="0" w:space="0" w:color="auto"/>
                <w:bottom w:val="none" w:sz="0" w:space="0" w:color="auto"/>
                <w:right w:val="none" w:sz="0" w:space="0" w:color="auto"/>
              </w:divBdr>
              <w:divsChild>
                <w:div w:id="496119125">
                  <w:marLeft w:val="0"/>
                  <w:marRight w:val="0"/>
                  <w:marTop w:val="0"/>
                  <w:marBottom w:val="0"/>
                  <w:divBdr>
                    <w:top w:val="none" w:sz="0" w:space="0" w:color="auto"/>
                    <w:left w:val="none" w:sz="0" w:space="0" w:color="auto"/>
                    <w:bottom w:val="none" w:sz="0" w:space="0" w:color="auto"/>
                    <w:right w:val="none" w:sz="0" w:space="0" w:color="auto"/>
                  </w:divBdr>
                </w:div>
              </w:divsChild>
            </w:div>
            <w:div w:id="451634093">
              <w:marLeft w:val="0"/>
              <w:marRight w:val="0"/>
              <w:marTop w:val="0"/>
              <w:marBottom w:val="0"/>
              <w:divBdr>
                <w:top w:val="none" w:sz="0" w:space="0" w:color="auto"/>
                <w:left w:val="none" w:sz="0" w:space="0" w:color="auto"/>
                <w:bottom w:val="none" w:sz="0" w:space="0" w:color="auto"/>
                <w:right w:val="none" w:sz="0" w:space="0" w:color="auto"/>
              </w:divBdr>
              <w:divsChild>
                <w:div w:id="734163396">
                  <w:marLeft w:val="0"/>
                  <w:marRight w:val="0"/>
                  <w:marTop w:val="0"/>
                  <w:marBottom w:val="0"/>
                  <w:divBdr>
                    <w:top w:val="none" w:sz="0" w:space="0" w:color="auto"/>
                    <w:left w:val="none" w:sz="0" w:space="0" w:color="auto"/>
                    <w:bottom w:val="none" w:sz="0" w:space="0" w:color="auto"/>
                    <w:right w:val="none" w:sz="0" w:space="0" w:color="auto"/>
                  </w:divBdr>
                </w:div>
              </w:divsChild>
            </w:div>
            <w:div w:id="531723188">
              <w:marLeft w:val="0"/>
              <w:marRight w:val="0"/>
              <w:marTop w:val="0"/>
              <w:marBottom w:val="0"/>
              <w:divBdr>
                <w:top w:val="none" w:sz="0" w:space="0" w:color="auto"/>
                <w:left w:val="none" w:sz="0" w:space="0" w:color="auto"/>
                <w:bottom w:val="none" w:sz="0" w:space="0" w:color="auto"/>
                <w:right w:val="none" w:sz="0" w:space="0" w:color="auto"/>
              </w:divBdr>
              <w:divsChild>
                <w:div w:id="92164793">
                  <w:marLeft w:val="0"/>
                  <w:marRight w:val="0"/>
                  <w:marTop w:val="0"/>
                  <w:marBottom w:val="0"/>
                  <w:divBdr>
                    <w:top w:val="none" w:sz="0" w:space="0" w:color="auto"/>
                    <w:left w:val="none" w:sz="0" w:space="0" w:color="auto"/>
                    <w:bottom w:val="none" w:sz="0" w:space="0" w:color="auto"/>
                    <w:right w:val="none" w:sz="0" w:space="0" w:color="auto"/>
                  </w:divBdr>
                </w:div>
              </w:divsChild>
            </w:div>
            <w:div w:id="580795649">
              <w:marLeft w:val="0"/>
              <w:marRight w:val="0"/>
              <w:marTop w:val="0"/>
              <w:marBottom w:val="0"/>
              <w:divBdr>
                <w:top w:val="none" w:sz="0" w:space="0" w:color="auto"/>
                <w:left w:val="none" w:sz="0" w:space="0" w:color="auto"/>
                <w:bottom w:val="none" w:sz="0" w:space="0" w:color="auto"/>
                <w:right w:val="none" w:sz="0" w:space="0" w:color="auto"/>
              </w:divBdr>
              <w:divsChild>
                <w:div w:id="1788887826">
                  <w:marLeft w:val="0"/>
                  <w:marRight w:val="0"/>
                  <w:marTop w:val="0"/>
                  <w:marBottom w:val="0"/>
                  <w:divBdr>
                    <w:top w:val="none" w:sz="0" w:space="0" w:color="auto"/>
                    <w:left w:val="none" w:sz="0" w:space="0" w:color="auto"/>
                    <w:bottom w:val="none" w:sz="0" w:space="0" w:color="auto"/>
                    <w:right w:val="none" w:sz="0" w:space="0" w:color="auto"/>
                  </w:divBdr>
                </w:div>
              </w:divsChild>
            </w:div>
            <w:div w:id="600798256">
              <w:marLeft w:val="0"/>
              <w:marRight w:val="0"/>
              <w:marTop w:val="0"/>
              <w:marBottom w:val="0"/>
              <w:divBdr>
                <w:top w:val="none" w:sz="0" w:space="0" w:color="auto"/>
                <w:left w:val="none" w:sz="0" w:space="0" w:color="auto"/>
                <w:bottom w:val="none" w:sz="0" w:space="0" w:color="auto"/>
                <w:right w:val="none" w:sz="0" w:space="0" w:color="auto"/>
              </w:divBdr>
              <w:divsChild>
                <w:div w:id="283316233">
                  <w:marLeft w:val="0"/>
                  <w:marRight w:val="0"/>
                  <w:marTop w:val="0"/>
                  <w:marBottom w:val="0"/>
                  <w:divBdr>
                    <w:top w:val="none" w:sz="0" w:space="0" w:color="auto"/>
                    <w:left w:val="none" w:sz="0" w:space="0" w:color="auto"/>
                    <w:bottom w:val="none" w:sz="0" w:space="0" w:color="auto"/>
                    <w:right w:val="none" w:sz="0" w:space="0" w:color="auto"/>
                  </w:divBdr>
                </w:div>
              </w:divsChild>
            </w:div>
            <w:div w:id="764232569">
              <w:marLeft w:val="0"/>
              <w:marRight w:val="0"/>
              <w:marTop w:val="0"/>
              <w:marBottom w:val="0"/>
              <w:divBdr>
                <w:top w:val="none" w:sz="0" w:space="0" w:color="auto"/>
                <w:left w:val="none" w:sz="0" w:space="0" w:color="auto"/>
                <w:bottom w:val="none" w:sz="0" w:space="0" w:color="auto"/>
                <w:right w:val="none" w:sz="0" w:space="0" w:color="auto"/>
              </w:divBdr>
              <w:divsChild>
                <w:div w:id="1763791382">
                  <w:marLeft w:val="0"/>
                  <w:marRight w:val="0"/>
                  <w:marTop w:val="0"/>
                  <w:marBottom w:val="0"/>
                  <w:divBdr>
                    <w:top w:val="none" w:sz="0" w:space="0" w:color="auto"/>
                    <w:left w:val="none" w:sz="0" w:space="0" w:color="auto"/>
                    <w:bottom w:val="none" w:sz="0" w:space="0" w:color="auto"/>
                    <w:right w:val="none" w:sz="0" w:space="0" w:color="auto"/>
                  </w:divBdr>
                </w:div>
              </w:divsChild>
            </w:div>
            <w:div w:id="770593043">
              <w:marLeft w:val="0"/>
              <w:marRight w:val="0"/>
              <w:marTop w:val="0"/>
              <w:marBottom w:val="0"/>
              <w:divBdr>
                <w:top w:val="none" w:sz="0" w:space="0" w:color="auto"/>
                <w:left w:val="none" w:sz="0" w:space="0" w:color="auto"/>
                <w:bottom w:val="none" w:sz="0" w:space="0" w:color="auto"/>
                <w:right w:val="none" w:sz="0" w:space="0" w:color="auto"/>
              </w:divBdr>
              <w:divsChild>
                <w:div w:id="1521312462">
                  <w:marLeft w:val="0"/>
                  <w:marRight w:val="0"/>
                  <w:marTop w:val="0"/>
                  <w:marBottom w:val="0"/>
                  <w:divBdr>
                    <w:top w:val="none" w:sz="0" w:space="0" w:color="auto"/>
                    <w:left w:val="none" w:sz="0" w:space="0" w:color="auto"/>
                    <w:bottom w:val="none" w:sz="0" w:space="0" w:color="auto"/>
                    <w:right w:val="none" w:sz="0" w:space="0" w:color="auto"/>
                  </w:divBdr>
                </w:div>
              </w:divsChild>
            </w:div>
            <w:div w:id="1019166058">
              <w:marLeft w:val="0"/>
              <w:marRight w:val="0"/>
              <w:marTop w:val="0"/>
              <w:marBottom w:val="0"/>
              <w:divBdr>
                <w:top w:val="none" w:sz="0" w:space="0" w:color="auto"/>
                <w:left w:val="none" w:sz="0" w:space="0" w:color="auto"/>
                <w:bottom w:val="none" w:sz="0" w:space="0" w:color="auto"/>
                <w:right w:val="none" w:sz="0" w:space="0" w:color="auto"/>
              </w:divBdr>
              <w:divsChild>
                <w:div w:id="1573395112">
                  <w:marLeft w:val="0"/>
                  <w:marRight w:val="0"/>
                  <w:marTop w:val="0"/>
                  <w:marBottom w:val="0"/>
                  <w:divBdr>
                    <w:top w:val="none" w:sz="0" w:space="0" w:color="auto"/>
                    <w:left w:val="none" w:sz="0" w:space="0" w:color="auto"/>
                    <w:bottom w:val="none" w:sz="0" w:space="0" w:color="auto"/>
                    <w:right w:val="none" w:sz="0" w:space="0" w:color="auto"/>
                  </w:divBdr>
                </w:div>
              </w:divsChild>
            </w:div>
            <w:div w:id="1108310133">
              <w:marLeft w:val="0"/>
              <w:marRight w:val="0"/>
              <w:marTop w:val="0"/>
              <w:marBottom w:val="0"/>
              <w:divBdr>
                <w:top w:val="none" w:sz="0" w:space="0" w:color="auto"/>
                <w:left w:val="none" w:sz="0" w:space="0" w:color="auto"/>
                <w:bottom w:val="none" w:sz="0" w:space="0" w:color="auto"/>
                <w:right w:val="none" w:sz="0" w:space="0" w:color="auto"/>
              </w:divBdr>
              <w:divsChild>
                <w:div w:id="142016514">
                  <w:marLeft w:val="0"/>
                  <w:marRight w:val="0"/>
                  <w:marTop w:val="0"/>
                  <w:marBottom w:val="0"/>
                  <w:divBdr>
                    <w:top w:val="none" w:sz="0" w:space="0" w:color="auto"/>
                    <w:left w:val="none" w:sz="0" w:space="0" w:color="auto"/>
                    <w:bottom w:val="none" w:sz="0" w:space="0" w:color="auto"/>
                    <w:right w:val="none" w:sz="0" w:space="0" w:color="auto"/>
                  </w:divBdr>
                </w:div>
              </w:divsChild>
            </w:div>
            <w:div w:id="1128858384">
              <w:marLeft w:val="0"/>
              <w:marRight w:val="0"/>
              <w:marTop w:val="0"/>
              <w:marBottom w:val="0"/>
              <w:divBdr>
                <w:top w:val="none" w:sz="0" w:space="0" w:color="auto"/>
                <w:left w:val="none" w:sz="0" w:space="0" w:color="auto"/>
                <w:bottom w:val="none" w:sz="0" w:space="0" w:color="auto"/>
                <w:right w:val="none" w:sz="0" w:space="0" w:color="auto"/>
              </w:divBdr>
              <w:divsChild>
                <w:div w:id="1298797828">
                  <w:marLeft w:val="0"/>
                  <w:marRight w:val="0"/>
                  <w:marTop w:val="0"/>
                  <w:marBottom w:val="0"/>
                  <w:divBdr>
                    <w:top w:val="none" w:sz="0" w:space="0" w:color="auto"/>
                    <w:left w:val="none" w:sz="0" w:space="0" w:color="auto"/>
                    <w:bottom w:val="none" w:sz="0" w:space="0" w:color="auto"/>
                    <w:right w:val="none" w:sz="0" w:space="0" w:color="auto"/>
                  </w:divBdr>
                </w:div>
              </w:divsChild>
            </w:div>
            <w:div w:id="1174152734">
              <w:marLeft w:val="0"/>
              <w:marRight w:val="0"/>
              <w:marTop w:val="0"/>
              <w:marBottom w:val="0"/>
              <w:divBdr>
                <w:top w:val="none" w:sz="0" w:space="0" w:color="auto"/>
                <w:left w:val="none" w:sz="0" w:space="0" w:color="auto"/>
                <w:bottom w:val="none" w:sz="0" w:space="0" w:color="auto"/>
                <w:right w:val="none" w:sz="0" w:space="0" w:color="auto"/>
              </w:divBdr>
              <w:divsChild>
                <w:div w:id="55130171">
                  <w:marLeft w:val="0"/>
                  <w:marRight w:val="0"/>
                  <w:marTop w:val="0"/>
                  <w:marBottom w:val="0"/>
                  <w:divBdr>
                    <w:top w:val="none" w:sz="0" w:space="0" w:color="auto"/>
                    <w:left w:val="none" w:sz="0" w:space="0" w:color="auto"/>
                    <w:bottom w:val="none" w:sz="0" w:space="0" w:color="auto"/>
                    <w:right w:val="none" w:sz="0" w:space="0" w:color="auto"/>
                  </w:divBdr>
                </w:div>
              </w:divsChild>
            </w:div>
            <w:div w:id="1310132278">
              <w:marLeft w:val="0"/>
              <w:marRight w:val="0"/>
              <w:marTop w:val="0"/>
              <w:marBottom w:val="0"/>
              <w:divBdr>
                <w:top w:val="none" w:sz="0" w:space="0" w:color="auto"/>
                <w:left w:val="none" w:sz="0" w:space="0" w:color="auto"/>
                <w:bottom w:val="none" w:sz="0" w:space="0" w:color="auto"/>
                <w:right w:val="none" w:sz="0" w:space="0" w:color="auto"/>
              </w:divBdr>
              <w:divsChild>
                <w:div w:id="324093455">
                  <w:marLeft w:val="0"/>
                  <w:marRight w:val="0"/>
                  <w:marTop w:val="0"/>
                  <w:marBottom w:val="0"/>
                  <w:divBdr>
                    <w:top w:val="none" w:sz="0" w:space="0" w:color="auto"/>
                    <w:left w:val="none" w:sz="0" w:space="0" w:color="auto"/>
                    <w:bottom w:val="none" w:sz="0" w:space="0" w:color="auto"/>
                    <w:right w:val="none" w:sz="0" w:space="0" w:color="auto"/>
                  </w:divBdr>
                </w:div>
              </w:divsChild>
            </w:div>
            <w:div w:id="1543591339">
              <w:marLeft w:val="0"/>
              <w:marRight w:val="0"/>
              <w:marTop w:val="0"/>
              <w:marBottom w:val="0"/>
              <w:divBdr>
                <w:top w:val="none" w:sz="0" w:space="0" w:color="auto"/>
                <w:left w:val="none" w:sz="0" w:space="0" w:color="auto"/>
                <w:bottom w:val="none" w:sz="0" w:space="0" w:color="auto"/>
                <w:right w:val="none" w:sz="0" w:space="0" w:color="auto"/>
              </w:divBdr>
              <w:divsChild>
                <w:div w:id="1900850">
                  <w:marLeft w:val="0"/>
                  <w:marRight w:val="0"/>
                  <w:marTop w:val="0"/>
                  <w:marBottom w:val="0"/>
                  <w:divBdr>
                    <w:top w:val="none" w:sz="0" w:space="0" w:color="auto"/>
                    <w:left w:val="none" w:sz="0" w:space="0" w:color="auto"/>
                    <w:bottom w:val="none" w:sz="0" w:space="0" w:color="auto"/>
                    <w:right w:val="none" w:sz="0" w:space="0" w:color="auto"/>
                  </w:divBdr>
                </w:div>
              </w:divsChild>
            </w:div>
            <w:div w:id="1629774770">
              <w:marLeft w:val="0"/>
              <w:marRight w:val="0"/>
              <w:marTop w:val="0"/>
              <w:marBottom w:val="0"/>
              <w:divBdr>
                <w:top w:val="none" w:sz="0" w:space="0" w:color="auto"/>
                <w:left w:val="none" w:sz="0" w:space="0" w:color="auto"/>
                <w:bottom w:val="none" w:sz="0" w:space="0" w:color="auto"/>
                <w:right w:val="none" w:sz="0" w:space="0" w:color="auto"/>
              </w:divBdr>
              <w:divsChild>
                <w:div w:id="89473448">
                  <w:marLeft w:val="0"/>
                  <w:marRight w:val="0"/>
                  <w:marTop w:val="0"/>
                  <w:marBottom w:val="0"/>
                  <w:divBdr>
                    <w:top w:val="none" w:sz="0" w:space="0" w:color="auto"/>
                    <w:left w:val="none" w:sz="0" w:space="0" w:color="auto"/>
                    <w:bottom w:val="none" w:sz="0" w:space="0" w:color="auto"/>
                    <w:right w:val="none" w:sz="0" w:space="0" w:color="auto"/>
                  </w:divBdr>
                </w:div>
              </w:divsChild>
            </w:div>
            <w:div w:id="1720477247">
              <w:marLeft w:val="0"/>
              <w:marRight w:val="0"/>
              <w:marTop w:val="0"/>
              <w:marBottom w:val="0"/>
              <w:divBdr>
                <w:top w:val="none" w:sz="0" w:space="0" w:color="auto"/>
                <w:left w:val="none" w:sz="0" w:space="0" w:color="auto"/>
                <w:bottom w:val="none" w:sz="0" w:space="0" w:color="auto"/>
                <w:right w:val="none" w:sz="0" w:space="0" w:color="auto"/>
              </w:divBdr>
              <w:divsChild>
                <w:div w:id="1366372371">
                  <w:marLeft w:val="0"/>
                  <w:marRight w:val="0"/>
                  <w:marTop w:val="0"/>
                  <w:marBottom w:val="0"/>
                  <w:divBdr>
                    <w:top w:val="none" w:sz="0" w:space="0" w:color="auto"/>
                    <w:left w:val="none" w:sz="0" w:space="0" w:color="auto"/>
                    <w:bottom w:val="none" w:sz="0" w:space="0" w:color="auto"/>
                    <w:right w:val="none" w:sz="0" w:space="0" w:color="auto"/>
                  </w:divBdr>
                </w:div>
              </w:divsChild>
            </w:div>
            <w:div w:id="1767188726">
              <w:marLeft w:val="0"/>
              <w:marRight w:val="0"/>
              <w:marTop w:val="0"/>
              <w:marBottom w:val="0"/>
              <w:divBdr>
                <w:top w:val="none" w:sz="0" w:space="0" w:color="auto"/>
                <w:left w:val="none" w:sz="0" w:space="0" w:color="auto"/>
                <w:bottom w:val="none" w:sz="0" w:space="0" w:color="auto"/>
                <w:right w:val="none" w:sz="0" w:space="0" w:color="auto"/>
              </w:divBdr>
              <w:divsChild>
                <w:div w:id="153380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346194">
      <w:bodyDiv w:val="1"/>
      <w:marLeft w:val="0"/>
      <w:marRight w:val="0"/>
      <w:marTop w:val="0"/>
      <w:marBottom w:val="0"/>
      <w:divBdr>
        <w:top w:val="none" w:sz="0" w:space="0" w:color="auto"/>
        <w:left w:val="none" w:sz="0" w:space="0" w:color="auto"/>
        <w:bottom w:val="none" w:sz="0" w:space="0" w:color="auto"/>
        <w:right w:val="none" w:sz="0" w:space="0" w:color="auto"/>
      </w:divBdr>
    </w:div>
    <w:div w:id="1083406201">
      <w:bodyDiv w:val="1"/>
      <w:marLeft w:val="0"/>
      <w:marRight w:val="0"/>
      <w:marTop w:val="0"/>
      <w:marBottom w:val="0"/>
      <w:divBdr>
        <w:top w:val="none" w:sz="0" w:space="0" w:color="auto"/>
        <w:left w:val="none" w:sz="0" w:space="0" w:color="auto"/>
        <w:bottom w:val="none" w:sz="0" w:space="0" w:color="auto"/>
        <w:right w:val="none" w:sz="0" w:space="0" w:color="auto"/>
      </w:divBdr>
    </w:div>
    <w:div w:id="1100837469">
      <w:bodyDiv w:val="1"/>
      <w:marLeft w:val="0"/>
      <w:marRight w:val="0"/>
      <w:marTop w:val="0"/>
      <w:marBottom w:val="0"/>
      <w:divBdr>
        <w:top w:val="none" w:sz="0" w:space="0" w:color="auto"/>
        <w:left w:val="none" w:sz="0" w:space="0" w:color="auto"/>
        <w:bottom w:val="none" w:sz="0" w:space="0" w:color="auto"/>
        <w:right w:val="none" w:sz="0" w:space="0" w:color="auto"/>
      </w:divBdr>
    </w:div>
    <w:div w:id="1129318859">
      <w:bodyDiv w:val="1"/>
      <w:marLeft w:val="0"/>
      <w:marRight w:val="0"/>
      <w:marTop w:val="0"/>
      <w:marBottom w:val="0"/>
      <w:divBdr>
        <w:top w:val="none" w:sz="0" w:space="0" w:color="auto"/>
        <w:left w:val="none" w:sz="0" w:space="0" w:color="auto"/>
        <w:bottom w:val="none" w:sz="0" w:space="0" w:color="auto"/>
        <w:right w:val="none" w:sz="0" w:space="0" w:color="auto"/>
      </w:divBdr>
    </w:div>
    <w:div w:id="1141194144">
      <w:bodyDiv w:val="1"/>
      <w:marLeft w:val="0"/>
      <w:marRight w:val="0"/>
      <w:marTop w:val="0"/>
      <w:marBottom w:val="0"/>
      <w:divBdr>
        <w:top w:val="none" w:sz="0" w:space="0" w:color="auto"/>
        <w:left w:val="none" w:sz="0" w:space="0" w:color="auto"/>
        <w:bottom w:val="none" w:sz="0" w:space="0" w:color="auto"/>
        <w:right w:val="none" w:sz="0" w:space="0" w:color="auto"/>
      </w:divBdr>
    </w:div>
    <w:div w:id="1166284116">
      <w:bodyDiv w:val="1"/>
      <w:marLeft w:val="0"/>
      <w:marRight w:val="0"/>
      <w:marTop w:val="0"/>
      <w:marBottom w:val="0"/>
      <w:divBdr>
        <w:top w:val="none" w:sz="0" w:space="0" w:color="auto"/>
        <w:left w:val="none" w:sz="0" w:space="0" w:color="auto"/>
        <w:bottom w:val="none" w:sz="0" w:space="0" w:color="auto"/>
        <w:right w:val="none" w:sz="0" w:space="0" w:color="auto"/>
      </w:divBdr>
    </w:div>
    <w:div w:id="1186335140">
      <w:bodyDiv w:val="1"/>
      <w:marLeft w:val="0"/>
      <w:marRight w:val="0"/>
      <w:marTop w:val="0"/>
      <w:marBottom w:val="0"/>
      <w:divBdr>
        <w:top w:val="none" w:sz="0" w:space="0" w:color="auto"/>
        <w:left w:val="none" w:sz="0" w:space="0" w:color="auto"/>
        <w:bottom w:val="none" w:sz="0" w:space="0" w:color="auto"/>
        <w:right w:val="none" w:sz="0" w:space="0" w:color="auto"/>
      </w:divBdr>
    </w:div>
    <w:div w:id="1251357567">
      <w:bodyDiv w:val="1"/>
      <w:marLeft w:val="0"/>
      <w:marRight w:val="0"/>
      <w:marTop w:val="0"/>
      <w:marBottom w:val="0"/>
      <w:divBdr>
        <w:top w:val="none" w:sz="0" w:space="0" w:color="auto"/>
        <w:left w:val="none" w:sz="0" w:space="0" w:color="auto"/>
        <w:bottom w:val="none" w:sz="0" w:space="0" w:color="auto"/>
        <w:right w:val="none" w:sz="0" w:space="0" w:color="auto"/>
      </w:divBdr>
    </w:div>
    <w:div w:id="1253927373">
      <w:bodyDiv w:val="1"/>
      <w:marLeft w:val="0"/>
      <w:marRight w:val="0"/>
      <w:marTop w:val="0"/>
      <w:marBottom w:val="0"/>
      <w:divBdr>
        <w:top w:val="none" w:sz="0" w:space="0" w:color="auto"/>
        <w:left w:val="none" w:sz="0" w:space="0" w:color="auto"/>
        <w:bottom w:val="none" w:sz="0" w:space="0" w:color="auto"/>
        <w:right w:val="none" w:sz="0" w:space="0" w:color="auto"/>
      </w:divBdr>
    </w:div>
    <w:div w:id="1261640231">
      <w:bodyDiv w:val="1"/>
      <w:marLeft w:val="0"/>
      <w:marRight w:val="0"/>
      <w:marTop w:val="0"/>
      <w:marBottom w:val="0"/>
      <w:divBdr>
        <w:top w:val="none" w:sz="0" w:space="0" w:color="auto"/>
        <w:left w:val="none" w:sz="0" w:space="0" w:color="auto"/>
        <w:bottom w:val="none" w:sz="0" w:space="0" w:color="auto"/>
        <w:right w:val="none" w:sz="0" w:space="0" w:color="auto"/>
      </w:divBdr>
    </w:div>
    <w:div w:id="1275987866">
      <w:bodyDiv w:val="1"/>
      <w:marLeft w:val="0"/>
      <w:marRight w:val="0"/>
      <w:marTop w:val="0"/>
      <w:marBottom w:val="0"/>
      <w:divBdr>
        <w:top w:val="none" w:sz="0" w:space="0" w:color="auto"/>
        <w:left w:val="none" w:sz="0" w:space="0" w:color="auto"/>
        <w:bottom w:val="none" w:sz="0" w:space="0" w:color="auto"/>
        <w:right w:val="none" w:sz="0" w:space="0" w:color="auto"/>
      </w:divBdr>
      <w:divsChild>
        <w:div w:id="45110914">
          <w:marLeft w:val="0"/>
          <w:marRight w:val="0"/>
          <w:marTop w:val="0"/>
          <w:marBottom w:val="0"/>
          <w:divBdr>
            <w:top w:val="none" w:sz="0" w:space="0" w:color="auto"/>
            <w:left w:val="none" w:sz="0" w:space="0" w:color="auto"/>
            <w:bottom w:val="none" w:sz="0" w:space="0" w:color="auto"/>
            <w:right w:val="none" w:sz="0" w:space="0" w:color="auto"/>
          </w:divBdr>
        </w:div>
        <w:div w:id="92559869">
          <w:marLeft w:val="0"/>
          <w:marRight w:val="0"/>
          <w:marTop w:val="0"/>
          <w:marBottom w:val="0"/>
          <w:divBdr>
            <w:top w:val="none" w:sz="0" w:space="0" w:color="auto"/>
            <w:left w:val="none" w:sz="0" w:space="0" w:color="auto"/>
            <w:bottom w:val="none" w:sz="0" w:space="0" w:color="auto"/>
            <w:right w:val="none" w:sz="0" w:space="0" w:color="auto"/>
          </w:divBdr>
        </w:div>
        <w:div w:id="659163191">
          <w:marLeft w:val="0"/>
          <w:marRight w:val="0"/>
          <w:marTop w:val="0"/>
          <w:marBottom w:val="0"/>
          <w:divBdr>
            <w:top w:val="none" w:sz="0" w:space="0" w:color="auto"/>
            <w:left w:val="none" w:sz="0" w:space="0" w:color="auto"/>
            <w:bottom w:val="none" w:sz="0" w:space="0" w:color="auto"/>
            <w:right w:val="none" w:sz="0" w:space="0" w:color="auto"/>
          </w:divBdr>
        </w:div>
        <w:div w:id="1085111221">
          <w:marLeft w:val="0"/>
          <w:marRight w:val="0"/>
          <w:marTop w:val="0"/>
          <w:marBottom w:val="0"/>
          <w:divBdr>
            <w:top w:val="none" w:sz="0" w:space="0" w:color="auto"/>
            <w:left w:val="none" w:sz="0" w:space="0" w:color="auto"/>
            <w:bottom w:val="none" w:sz="0" w:space="0" w:color="auto"/>
            <w:right w:val="none" w:sz="0" w:space="0" w:color="auto"/>
          </w:divBdr>
        </w:div>
        <w:div w:id="1290160295">
          <w:marLeft w:val="0"/>
          <w:marRight w:val="0"/>
          <w:marTop w:val="0"/>
          <w:marBottom w:val="0"/>
          <w:divBdr>
            <w:top w:val="none" w:sz="0" w:space="0" w:color="auto"/>
            <w:left w:val="none" w:sz="0" w:space="0" w:color="auto"/>
            <w:bottom w:val="none" w:sz="0" w:space="0" w:color="auto"/>
            <w:right w:val="none" w:sz="0" w:space="0" w:color="auto"/>
          </w:divBdr>
        </w:div>
        <w:div w:id="1392581657">
          <w:marLeft w:val="0"/>
          <w:marRight w:val="0"/>
          <w:marTop w:val="0"/>
          <w:marBottom w:val="0"/>
          <w:divBdr>
            <w:top w:val="none" w:sz="0" w:space="0" w:color="auto"/>
            <w:left w:val="none" w:sz="0" w:space="0" w:color="auto"/>
            <w:bottom w:val="none" w:sz="0" w:space="0" w:color="auto"/>
            <w:right w:val="none" w:sz="0" w:space="0" w:color="auto"/>
          </w:divBdr>
        </w:div>
      </w:divsChild>
    </w:div>
    <w:div w:id="1330065043">
      <w:bodyDiv w:val="1"/>
      <w:marLeft w:val="0"/>
      <w:marRight w:val="0"/>
      <w:marTop w:val="0"/>
      <w:marBottom w:val="0"/>
      <w:divBdr>
        <w:top w:val="none" w:sz="0" w:space="0" w:color="auto"/>
        <w:left w:val="none" w:sz="0" w:space="0" w:color="auto"/>
        <w:bottom w:val="none" w:sz="0" w:space="0" w:color="auto"/>
        <w:right w:val="none" w:sz="0" w:space="0" w:color="auto"/>
      </w:divBdr>
    </w:div>
    <w:div w:id="1386102771">
      <w:bodyDiv w:val="1"/>
      <w:marLeft w:val="0"/>
      <w:marRight w:val="0"/>
      <w:marTop w:val="0"/>
      <w:marBottom w:val="0"/>
      <w:divBdr>
        <w:top w:val="none" w:sz="0" w:space="0" w:color="auto"/>
        <w:left w:val="none" w:sz="0" w:space="0" w:color="auto"/>
        <w:bottom w:val="none" w:sz="0" w:space="0" w:color="auto"/>
        <w:right w:val="none" w:sz="0" w:space="0" w:color="auto"/>
      </w:divBdr>
    </w:div>
    <w:div w:id="1457915813">
      <w:bodyDiv w:val="1"/>
      <w:marLeft w:val="0"/>
      <w:marRight w:val="0"/>
      <w:marTop w:val="0"/>
      <w:marBottom w:val="0"/>
      <w:divBdr>
        <w:top w:val="none" w:sz="0" w:space="0" w:color="auto"/>
        <w:left w:val="none" w:sz="0" w:space="0" w:color="auto"/>
        <w:bottom w:val="none" w:sz="0" w:space="0" w:color="auto"/>
        <w:right w:val="none" w:sz="0" w:space="0" w:color="auto"/>
      </w:divBdr>
    </w:div>
    <w:div w:id="1465003811">
      <w:bodyDiv w:val="1"/>
      <w:marLeft w:val="0"/>
      <w:marRight w:val="0"/>
      <w:marTop w:val="0"/>
      <w:marBottom w:val="0"/>
      <w:divBdr>
        <w:top w:val="none" w:sz="0" w:space="0" w:color="auto"/>
        <w:left w:val="none" w:sz="0" w:space="0" w:color="auto"/>
        <w:bottom w:val="none" w:sz="0" w:space="0" w:color="auto"/>
        <w:right w:val="none" w:sz="0" w:space="0" w:color="auto"/>
      </w:divBdr>
    </w:div>
    <w:div w:id="1512989980">
      <w:bodyDiv w:val="1"/>
      <w:marLeft w:val="0"/>
      <w:marRight w:val="0"/>
      <w:marTop w:val="0"/>
      <w:marBottom w:val="0"/>
      <w:divBdr>
        <w:top w:val="none" w:sz="0" w:space="0" w:color="auto"/>
        <w:left w:val="none" w:sz="0" w:space="0" w:color="auto"/>
        <w:bottom w:val="none" w:sz="0" w:space="0" w:color="auto"/>
        <w:right w:val="none" w:sz="0" w:space="0" w:color="auto"/>
      </w:divBdr>
    </w:div>
    <w:div w:id="1544245630">
      <w:bodyDiv w:val="1"/>
      <w:marLeft w:val="0"/>
      <w:marRight w:val="0"/>
      <w:marTop w:val="0"/>
      <w:marBottom w:val="0"/>
      <w:divBdr>
        <w:top w:val="none" w:sz="0" w:space="0" w:color="auto"/>
        <w:left w:val="none" w:sz="0" w:space="0" w:color="auto"/>
        <w:bottom w:val="none" w:sz="0" w:space="0" w:color="auto"/>
        <w:right w:val="none" w:sz="0" w:space="0" w:color="auto"/>
      </w:divBdr>
    </w:div>
    <w:div w:id="1577665442">
      <w:bodyDiv w:val="1"/>
      <w:marLeft w:val="0"/>
      <w:marRight w:val="0"/>
      <w:marTop w:val="0"/>
      <w:marBottom w:val="0"/>
      <w:divBdr>
        <w:top w:val="none" w:sz="0" w:space="0" w:color="auto"/>
        <w:left w:val="none" w:sz="0" w:space="0" w:color="auto"/>
        <w:bottom w:val="none" w:sz="0" w:space="0" w:color="auto"/>
        <w:right w:val="none" w:sz="0" w:space="0" w:color="auto"/>
      </w:divBdr>
    </w:div>
    <w:div w:id="1579902580">
      <w:bodyDiv w:val="1"/>
      <w:marLeft w:val="0"/>
      <w:marRight w:val="0"/>
      <w:marTop w:val="0"/>
      <w:marBottom w:val="0"/>
      <w:divBdr>
        <w:top w:val="none" w:sz="0" w:space="0" w:color="auto"/>
        <w:left w:val="none" w:sz="0" w:space="0" w:color="auto"/>
        <w:bottom w:val="none" w:sz="0" w:space="0" w:color="auto"/>
        <w:right w:val="none" w:sz="0" w:space="0" w:color="auto"/>
      </w:divBdr>
    </w:div>
    <w:div w:id="1660036075">
      <w:bodyDiv w:val="1"/>
      <w:marLeft w:val="0"/>
      <w:marRight w:val="0"/>
      <w:marTop w:val="0"/>
      <w:marBottom w:val="0"/>
      <w:divBdr>
        <w:top w:val="none" w:sz="0" w:space="0" w:color="auto"/>
        <w:left w:val="none" w:sz="0" w:space="0" w:color="auto"/>
        <w:bottom w:val="none" w:sz="0" w:space="0" w:color="auto"/>
        <w:right w:val="none" w:sz="0" w:space="0" w:color="auto"/>
      </w:divBdr>
    </w:div>
    <w:div w:id="1687319856">
      <w:bodyDiv w:val="1"/>
      <w:marLeft w:val="0"/>
      <w:marRight w:val="0"/>
      <w:marTop w:val="0"/>
      <w:marBottom w:val="0"/>
      <w:divBdr>
        <w:top w:val="none" w:sz="0" w:space="0" w:color="auto"/>
        <w:left w:val="none" w:sz="0" w:space="0" w:color="auto"/>
        <w:bottom w:val="none" w:sz="0" w:space="0" w:color="auto"/>
        <w:right w:val="none" w:sz="0" w:space="0" w:color="auto"/>
      </w:divBdr>
    </w:div>
    <w:div w:id="1692100073">
      <w:bodyDiv w:val="1"/>
      <w:marLeft w:val="0"/>
      <w:marRight w:val="0"/>
      <w:marTop w:val="0"/>
      <w:marBottom w:val="0"/>
      <w:divBdr>
        <w:top w:val="none" w:sz="0" w:space="0" w:color="auto"/>
        <w:left w:val="none" w:sz="0" w:space="0" w:color="auto"/>
        <w:bottom w:val="none" w:sz="0" w:space="0" w:color="auto"/>
        <w:right w:val="none" w:sz="0" w:space="0" w:color="auto"/>
      </w:divBdr>
      <w:divsChild>
        <w:div w:id="942686611">
          <w:marLeft w:val="0"/>
          <w:marRight w:val="0"/>
          <w:marTop w:val="0"/>
          <w:marBottom w:val="0"/>
          <w:divBdr>
            <w:top w:val="none" w:sz="0" w:space="0" w:color="auto"/>
            <w:left w:val="none" w:sz="0" w:space="0" w:color="auto"/>
            <w:bottom w:val="none" w:sz="0" w:space="0" w:color="auto"/>
            <w:right w:val="none" w:sz="0" w:space="0" w:color="auto"/>
          </w:divBdr>
        </w:div>
        <w:div w:id="1378433608">
          <w:marLeft w:val="0"/>
          <w:marRight w:val="0"/>
          <w:marTop w:val="0"/>
          <w:marBottom w:val="0"/>
          <w:divBdr>
            <w:top w:val="none" w:sz="0" w:space="0" w:color="auto"/>
            <w:left w:val="none" w:sz="0" w:space="0" w:color="auto"/>
            <w:bottom w:val="none" w:sz="0" w:space="0" w:color="auto"/>
            <w:right w:val="none" w:sz="0" w:space="0" w:color="auto"/>
          </w:divBdr>
        </w:div>
      </w:divsChild>
    </w:div>
    <w:div w:id="1712923827">
      <w:bodyDiv w:val="1"/>
      <w:marLeft w:val="0"/>
      <w:marRight w:val="0"/>
      <w:marTop w:val="0"/>
      <w:marBottom w:val="0"/>
      <w:divBdr>
        <w:top w:val="none" w:sz="0" w:space="0" w:color="auto"/>
        <w:left w:val="none" w:sz="0" w:space="0" w:color="auto"/>
        <w:bottom w:val="none" w:sz="0" w:space="0" w:color="auto"/>
        <w:right w:val="none" w:sz="0" w:space="0" w:color="auto"/>
      </w:divBdr>
      <w:divsChild>
        <w:div w:id="349572383">
          <w:marLeft w:val="0"/>
          <w:marRight w:val="0"/>
          <w:marTop w:val="0"/>
          <w:marBottom w:val="0"/>
          <w:divBdr>
            <w:top w:val="none" w:sz="0" w:space="0" w:color="auto"/>
            <w:left w:val="none" w:sz="0" w:space="0" w:color="auto"/>
            <w:bottom w:val="none" w:sz="0" w:space="0" w:color="auto"/>
            <w:right w:val="none" w:sz="0" w:space="0" w:color="auto"/>
          </w:divBdr>
        </w:div>
        <w:div w:id="556624462">
          <w:marLeft w:val="0"/>
          <w:marRight w:val="0"/>
          <w:marTop w:val="0"/>
          <w:marBottom w:val="0"/>
          <w:divBdr>
            <w:top w:val="none" w:sz="0" w:space="0" w:color="auto"/>
            <w:left w:val="none" w:sz="0" w:space="0" w:color="auto"/>
            <w:bottom w:val="none" w:sz="0" w:space="0" w:color="auto"/>
            <w:right w:val="none" w:sz="0" w:space="0" w:color="auto"/>
          </w:divBdr>
        </w:div>
        <w:div w:id="1060327013">
          <w:marLeft w:val="0"/>
          <w:marRight w:val="0"/>
          <w:marTop w:val="0"/>
          <w:marBottom w:val="0"/>
          <w:divBdr>
            <w:top w:val="none" w:sz="0" w:space="0" w:color="auto"/>
            <w:left w:val="none" w:sz="0" w:space="0" w:color="auto"/>
            <w:bottom w:val="none" w:sz="0" w:space="0" w:color="auto"/>
            <w:right w:val="none" w:sz="0" w:space="0" w:color="auto"/>
          </w:divBdr>
        </w:div>
        <w:div w:id="1540127581">
          <w:marLeft w:val="0"/>
          <w:marRight w:val="0"/>
          <w:marTop w:val="0"/>
          <w:marBottom w:val="0"/>
          <w:divBdr>
            <w:top w:val="none" w:sz="0" w:space="0" w:color="auto"/>
            <w:left w:val="none" w:sz="0" w:space="0" w:color="auto"/>
            <w:bottom w:val="none" w:sz="0" w:space="0" w:color="auto"/>
            <w:right w:val="none" w:sz="0" w:space="0" w:color="auto"/>
          </w:divBdr>
        </w:div>
        <w:div w:id="1963001363">
          <w:marLeft w:val="0"/>
          <w:marRight w:val="0"/>
          <w:marTop w:val="0"/>
          <w:marBottom w:val="0"/>
          <w:divBdr>
            <w:top w:val="none" w:sz="0" w:space="0" w:color="auto"/>
            <w:left w:val="none" w:sz="0" w:space="0" w:color="auto"/>
            <w:bottom w:val="none" w:sz="0" w:space="0" w:color="auto"/>
            <w:right w:val="none" w:sz="0" w:space="0" w:color="auto"/>
          </w:divBdr>
        </w:div>
      </w:divsChild>
    </w:div>
    <w:div w:id="1713379193">
      <w:bodyDiv w:val="1"/>
      <w:marLeft w:val="0"/>
      <w:marRight w:val="0"/>
      <w:marTop w:val="0"/>
      <w:marBottom w:val="0"/>
      <w:divBdr>
        <w:top w:val="none" w:sz="0" w:space="0" w:color="auto"/>
        <w:left w:val="none" w:sz="0" w:space="0" w:color="auto"/>
        <w:bottom w:val="none" w:sz="0" w:space="0" w:color="auto"/>
        <w:right w:val="none" w:sz="0" w:space="0" w:color="auto"/>
      </w:divBdr>
    </w:div>
    <w:div w:id="1724675450">
      <w:bodyDiv w:val="1"/>
      <w:marLeft w:val="0"/>
      <w:marRight w:val="0"/>
      <w:marTop w:val="0"/>
      <w:marBottom w:val="0"/>
      <w:divBdr>
        <w:top w:val="none" w:sz="0" w:space="0" w:color="auto"/>
        <w:left w:val="none" w:sz="0" w:space="0" w:color="auto"/>
        <w:bottom w:val="none" w:sz="0" w:space="0" w:color="auto"/>
        <w:right w:val="none" w:sz="0" w:space="0" w:color="auto"/>
      </w:divBdr>
    </w:div>
    <w:div w:id="1726296189">
      <w:bodyDiv w:val="1"/>
      <w:marLeft w:val="0"/>
      <w:marRight w:val="0"/>
      <w:marTop w:val="0"/>
      <w:marBottom w:val="0"/>
      <w:divBdr>
        <w:top w:val="none" w:sz="0" w:space="0" w:color="auto"/>
        <w:left w:val="none" w:sz="0" w:space="0" w:color="auto"/>
        <w:bottom w:val="none" w:sz="0" w:space="0" w:color="auto"/>
        <w:right w:val="none" w:sz="0" w:space="0" w:color="auto"/>
      </w:divBdr>
    </w:div>
    <w:div w:id="1743332980">
      <w:bodyDiv w:val="1"/>
      <w:marLeft w:val="0"/>
      <w:marRight w:val="0"/>
      <w:marTop w:val="0"/>
      <w:marBottom w:val="0"/>
      <w:divBdr>
        <w:top w:val="none" w:sz="0" w:space="0" w:color="auto"/>
        <w:left w:val="none" w:sz="0" w:space="0" w:color="auto"/>
        <w:bottom w:val="none" w:sz="0" w:space="0" w:color="auto"/>
        <w:right w:val="none" w:sz="0" w:space="0" w:color="auto"/>
      </w:divBdr>
    </w:div>
    <w:div w:id="1744911402">
      <w:bodyDiv w:val="1"/>
      <w:marLeft w:val="0"/>
      <w:marRight w:val="0"/>
      <w:marTop w:val="0"/>
      <w:marBottom w:val="0"/>
      <w:divBdr>
        <w:top w:val="none" w:sz="0" w:space="0" w:color="auto"/>
        <w:left w:val="none" w:sz="0" w:space="0" w:color="auto"/>
        <w:bottom w:val="none" w:sz="0" w:space="0" w:color="auto"/>
        <w:right w:val="none" w:sz="0" w:space="0" w:color="auto"/>
      </w:divBdr>
    </w:div>
    <w:div w:id="1745057425">
      <w:bodyDiv w:val="1"/>
      <w:marLeft w:val="0"/>
      <w:marRight w:val="0"/>
      <w:marTop w:val="0"/>
      <w:marBottom w:val="0"/>
      <w:divBdr>
        <w:top w:val="none" w:sz="0" w:space="0" w:color="auto"/>
        <w:left w:val="none" w:sz="0" w:space="0" w:color="auto"/>
        <w:bottom w:val="none" w:sz="0" w:space="0" w:color="auto"/>
        <w:right w:val="none" w:sz="0" w:space="0" w:color="auto"/>
      </w:divBdr>
    </w:div>
    <w:div w:id="1746148783">
      <w:bodyDiv w:val="1"/>
      <w:marLeft w:val="0"/>
      <w:marRight w:val="0"/>
      <w:marTop w:val="0"/>
      <w:marBottom w:val="0"/>
      <w:divBdr>
        <w:top w:val="none" w:sz="0" w:space="0" w:color="auto"/>
        <w:left w:val="none" w:sz="0" w:space="0" w:color="auto"/>
        <w:bottom w:val="none" w:sz="0" w:space="0" w:color="auto"/>
        <w:right w:val="none" w:sz="0" w:space="0" w:color="auto"/>
      </w:divBdr>
    </w:div>
    <w:div w:id="1767189034">
      <w:bodyDiv w:val="1"/>
      <w:marLeft w:val="0"/>
      <w:marRight w:val="0"/>
      <w:marTop w:val="0"/>
      <w:marBottom w:val="0"/>
      <w:divBdr>
        <w:top w:val="none" w:sz="0" w:space="0" w:color="auto"/>
        <w:left w:val="none" w:sz="0" w:space="0" w:color="auto"/>
        <w:bottom w:val="none" w:sz="0" w:space="0" w:color="auto"/>
        <w:right w:val="none" w:sz="0" w:space="0" w:color="auto"/>
      </w:divBdr>
    </w:div>
    <w:div w:id="1840002483">
      <w:bodyDiv w:val="1"/>
      <w:marLeft w:val="0"/>
      <w:marRight w:val="0"/>
      <w:marTop w:val="0"/>
      <w:marBottom w:val="0"/>
      <w:divBdr>
        <w:top w:val="none" w:sz="0" w:space="0" w:color="auto"/>
        <w:left w:val="none" w:sz="0" w:space="0" w:color="auto"/>
        <w:bottom w:val="none" w:sz="0" w:space="0" w:color="auto"/>
        <w:right w:val="none" w:sz="0" w:space="0" w:color="auto"/>
      </w:divBdr>
    </w:div>
    <w:div w:id="1884058880">
      <w:bodyDiv w:val="1"/>
      <w:marLeft w:val="0"/>
      <w:marRight w:val="0"/>
      <w:marTop w:val="0"/>
      <w:marBottom w:val="0"/>
      <w:divBdr>
        <w:top w:val="none" w:sz="0" w:space="0" w:color="auto"/>
        <w:left w:val="none" w:sz="0" w:space="0" w:color="auto"/>
        <w:bottom w:val="none" w:sz="0" w:space="0" w:color="auto"/>
        <w:right w:val="none" w:sz="0" w:space="0" w:color="auto"/>
      </w:divBdr>
    </w:div>
    <w:div w:id="1955746262">
      <w:bodyDiv w:val="1"/>
      <w:marLeft w:val="0"/>
      <w:marRight w:val="0"/>
      <w:marTop w:val="0"/>
      <w:marBottom w:val="0"/>
      <w:divBdr>
        <w:top w:val="none" w:sz="0" w:space="0" w:color="auto"/>
        <w:left w:val="none" w:sz="0" w:space="0" w:color="auto"/>
        <w:bottom w:val="none" w:sz="0" w:space="0" w:color="auto"/>
        <w:right w:val="none" w:sz="0" w:space="0" w:color="auto"/>
      </w:divBdr>
    </w:div>
    <w:div w:id="1970041290">
      <w:bodyDiv w:val="1"/>
      <w:marLeft w:val="0"/>
      <w:marRight w:val="0"/>
      <w:marTop w:val="0"/>
      <w:marBottom w:val="0"/>
      <w:divBdr>
        <w:top w:val="none" w:sz="0" w:space="0" w:color="auto"/>
        <w:left w:val="none" w:sz="0" w:space="0" w:color="auto"/>
        <w:bottom w:val="none" w:sz="0" w:space="0" w:color="auto"/>
        <w:right w:val="none" w:sz="0" w:space="0" w:color="auto"/>
      </w:divBdr>
    </w:div>
    <w:div w:id="2085179956">
      <w:bodyDiv w:val="1"/>
      <w:marLeft w:val="0"/>
      <w:marRight w:val="0"/>
      <w:marTop w:val="0"/>
      <w:marBottom w:val="0"/>
      <w:divBdr>
        <w:top w:val="none" w:sz="0" w:space="0" w:color="auto"/>
        <w:left w:val="none" w:sz="0" w:space="0" w:color="auto"/>
        <w:bottom w:val="none" w:sz="0" w:space="0" w:color="auto"/>
        <w:right w:val="none" w:sz="0" w:space="0" w:color="auto"/>
      </w:divBdr>
    </w:div>
    <w:div w:id="2087922178">
      <w:bodyDiv w:val="1"/>
      <w:marLeft w:val="0"/>
      <w:marRight w:val="0"/>
      <w:marTop w:val="0"/>
      <w:marBottom w:val="0"/>
      <w:divBdr>
        <w:top w:val="none" w:sz="0" w:space="0" w:color="auto"/>
        <w:left w:val="none" w:sz="0" w:space="0" w:color="auto"/>
        <w:bottom w:val="none" w:sz="0" w:space="0" w:color="auto"/>
        <w:right w:val="none" w:sz="0" w:space="0" w:color="auto"/>
      </w:divBdr>
      <w:divsChild>
        <w:div w:id="402337618">
          <w:marLeft w:val="0"/>
          <w:marRight w:val="0"/>
          <w:marTop w:val="0"/>
          <w:marBottom w:val="0"/>
          <w:divBdr>
            <w:top w:val="none" w:sz="0" w:space="0" w:color="auto"/>
            <w:left w:val="none" w:sz="0" w:space="0" w:color="auto"/>
            <w:bottom w:val="none" w:sz="0" w:space="0" w:color="auto"/>
            <w:right w:val="none" w:sz="0" w:space="0" w:color="auto"/>
          </w:divBdr>
          <w:divsChild>
            <w:div w:id="859050092">
              <w:marLeft w:val="0"/>
              <w:marRight w:val="0"/>
              <w:marTop w:val="0"/>
              <w:marBottom w:val="0"/>
              <w:divBdr>
                <w:top w:val="none" w:sz="0" w:space="0" w:color="auto"/>
                <w:left w:val="none" w:sz="0" w:space="0" w:color="auto"/>
                <w:bottom w:val="none" w:sz="0" w:space="0" w:color="auto"/>
                <w:right w:val="none" w:sz="0" w:space="0" w:color="auto"/>
              </w:divBdr>
            </w:div>
            <w:div w:id="2108887772">
              <w:marLeft w:val="0"/>
              <w:marRight w:val="0"/>
              <w:marTop w:val="0"/>
              <w:marBottom w:val="0"/>
              <w:divBdr>
                <w:top w:val="none" w:sz="0" w:space="0" w:color="auto"/>
                <w:left w:val="none" w:sz="0" w:space="0" w:color="auto"/>
                <w:bottom w:val="none" w:sz="0" w:space="0" w:color="auto"/>
                <w:right w:val="none" w:sz="0" w:space="0" w:color="auto"/>
              </w:divBdr>
            </w:div>
          </w:divsChild>
        </w:div>
        <w:div w:id="1633100945">
          <w:marLeft w:val="0"/>
          <w:marRight w:val="0"/>
          <w:marTop w:val="0"/>
          <w:marBottom w:val="0"/>
          <w:divBdr>
            <w:top w:val="none" w:sz="0" w:space="0" w:color="auto"/>
            <w:left w:val="none" w:sz="0" w:space="0" w:color="auto"/>
            <w:bottom w:val="none" w:sz="0" w:space="0" w:color="auto"/>
            <w:right w:val="none" w:sz="0" w:space="0" w:color="auto"/>
          </w:divBdr>
          <w:divsChild>
            <w:div w:id="72241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771971">
      <w:bodyDiv w:val="1"/>
      <w:marLeft w:val="0"/>
      <w:marRight w:val="0"/>
      <w:marTop w:val="0"/>
      <w:marBottom w:val="0"/>
      <w:divBdr>
        <w:top w:val="none" w:sz="0" w:space="0" w:color="auto"/>
        <w:left w:val="none" w:sz="0" w:space="0" w:color="auto"/>
        <w:bottom w:val="none" w:sz="0" w:space="0" w:color="auto"/>
        <w:right w:val="none" w:sz="0" w:space="0" w:color="auto"/>
      </w:divBdr>
    </w:div>
    <w:div w:id="2119137302">
      <w:bodyDiv w:val="1"/>
      <w:marLeft w:val="0"/>
      <w:marRight w:val="0"/>
      <w:marTop w:val="0"/>
      <w:marBottom w:val="0"/>
      <w:divBdr>
        <w:top w:val="none" w:sz="0" w:space="0" w:color="auto"/>
        <w:left w:val="none" w:sz="0" w:space="0" w:color="auto"/>
        <w:bottom w:val="none" w:sz="0" w:space="0" w:color="auto"/>
        <w:right w:val="none" w:sz="0" w:space="0" w:color="auto"/>
      </w:divBdr>
    </w:div>
    <w:div w:id="2137143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117" Type="http://schemas.openxmlformats.org/officeDocument/2006/relationships/footer" Target="footer53.xml"/><Relationship Id="rId21" Type="http://schemas.openxmlformats.org/officeDocument/2006/relationships/footer" Target="footer5.xml"/><Relationship Id="rId42" Type="http://schemas.openxmlformats.org/officeDocument/2006/relationships/header" Target="header16.xml"/><Relationship Id="rId47" Type="http://schemas.openxmlformats.org/officeDocument/2006/relationships/footer" Target="footer18.xml"/><Relationship Id="rId63" Type="http://schemas.openxmlformats.org/officeDocument/2006/relationships/footer" Target="footer26.xml"/><Relationship Id="rId68" Type="http://schemas.openxmlformats.org/officeDocument/2006/relationships/footer" Target="footer28.xml"/><Relationship Id="rId84" Type="http://schemas.openxmlformats.org/officeDocument/2006/relationships/header" Target="header37.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header" Target="header62.xml"/><Relationship Id="rId138" Type="http://schemas.openxmlformats.org/officeDocument/2006/relationships/header" Target="header64.xml"/><Relationship Id="rId154" Type="http://schemas.openxmlformats.org/officeDocument/2006/relationships/header" Target="header72.xml"/><Relationship Id="rId159" Type="http://schemas.openxmlformats.org/officeDocument/2006/relationships/footer" Target="footer74.xml"/><Relationship Id="rId175" Type="http://schemas.openxmlformats.org/officeDocument/2006/relationships/header" Target="header83.xml"/><Relationship Id="rId170" Type="http://schemas.openxmlformats.org/officeDocument/2006/relationships/footer" Target="footer79.xml"/><Relationship Id="rId16" Type="http://schemas.openxmlformats.org/officeDocument/2006/relationships/header" Target="header3.xml"/><Relationship Id="rId107" Type="http://schemas.openxmlformats.org/officeDocument/2006/relationships/footer" Target="footer48.xml"/><Relationship Id="rId11" Type="http://schemas.openxmlformats.org/officeDocument/2006/relationships/image" Target="media/image1.emf"/><Relationship Id="rId32" Type="http://schemas.openxmlformats.org/officeDocument/2006/relationships/footer" Target="footer10.xml"/><Relationship Id="rId37" Type="http://schemas.openxmlformats.org/officeDocument/2006/relationships/header" Target="header14.xml"/><Relationship Id="rId53" Type="http://schemas.openxmlformats.org/officeDocument/2006/relationships/footer" Target="footer21.xml"/><Relationship Id="rId58" Type="http://schemas.openxmlformats.org/officeDocument/2006/relationships/header" Target="header24.xml"/><Relationship Id="rId74" Type="http://schemas.openxmlformats.org/officeDocument/2006/relationships/footer" Target="footer31.xml"/><Relationship Id="rId79" Type="http://schemas.openxmlformats.org/officeDocument/2006/relationships/header" Target="header35.xml"/><Relationship Id="rId102" Type="http://schemas.openxmlformats.org/officeDocument/2006/relationships/header" Target="header46.xml"/><Relationship Id="rId123" Type="http://schemas.openxmlformats.org/officeDocument/2006/relationships/footer" Target="footer56.xml"/><Relationship Id="rId128" Type="http://schemas.openxmlformats.org/officeDocument/2006/relationships/footer" Target="footer58.xml"/><Relationship Id="rId144" Type="http://schemas.openxmlformats.org/officeDocument/2006/relationships/header" Target="header67.xml"/><Relationship Id="rId149" Type="http://schemas.openxmlformats.org/officeDocument/2006/relationships/footer" Target="footer69.xml"/><Relationship Id="rId5" Type="http://schemas.openxmlformats.org/officeDocument/2006/relationships/numbering" Target="numbering.xml"/><Relationship Id="rId90" Type="http://schemas.openxmlformats.org/officeDocument/2006/relationships/header" Target="header40.xml"/><Relationship Id="rId95" Type="http://schemas.openxmlformats.org/officeDocument/2006/relationships/footer" Target="footer42.xml"/><Relationship Id="rId160" Type="http://schemas.openxmlformats.org/officeDocument/2006/relationships/header" Target="header75.xml"/><Relationship Id="rId165" Type="http://schemas.openxmlformats.org/officeDocument/2006/relationships/footer" Target="footer77.xml"/><Relationship Id="rId181" Type="http://schemas.openxmlformats.org/officeDocument/2006/relationships/theme" Target="theme/theme1.xml"/><Relationship Id="rId22" Type="http://schemas.openxmlformats.org/officeDocument/2006/relationships/header" Target="header6.xml"/><Relationship Id="rId27" Type="http://schemas.openxmlformats.org/officeDocument/2006/relationships/footer" Target="footer8.xml"/><Relationship Id="rId43" Type="http://schemas.openxmlformats.org/officeDocument/2006/relationships/header" Target="header17.xml"/><Relationship Id="rId48" Type="http://schemas.openxmlformats.org/officeDocument/2006/relationships/header" Target="header19.xml"/><Relationship Id="rId64" Type="http://schemas.openxmlformats.org/officeDocument/2006/relationships/header" Target="header27.xml"/><Relationship Id="rId69" Type="http://schemas.openxmlformats.org/officeDocument/2006/relationships/footer" Target="footer29.xml"/><Relationship Id="rId113" Type="http://schemas.openxmlformats.org/officeDocument/2006/relationships/footer" Target="footer51.xml"/><Relationship Id="rId118" Type="http://schemas.openxmlformats.org/officeDocument/2006/relationships/header" Target="header54.xml"/><Relationship Id="rId134" Type="http://schemas.openxmlformats.org/officeDocument/2006/relationships/footer" Target="footer61.xml"/><Relationship Id="rId139" Type="http://schemas.openxmlformats.org/officeDocument/2006/relationships/header" Target="header65.xml"/><Relationship Id="rId80" Type="http://schemas.openxmlformats.org/officeDocument/2006/relationships/footer" Target="footer34.xml"/><Relationship Id="rId85" Type="http://schemas.openxmlformats.org/officeDocument/2006/relationships/header" Target="header38.xml"/><Relationship Id="rId150" Type="http://schemas.openxmlformats.org/officeDocument/2006/relationships/header" Target="header70.xml"/><Relationship Id="rId155" Type="http://schemas.openxmlformats.org/officeDocument/2006/relationships/footer" Target="footer72.xml"/><Relationship Id="rId171" Type="http://schemas.openxmlformats.org/officeDocument/2006/relationships/footer" Target="footer80.xml"/><Relationship Id="rId176" Type="http://schemas.openxmlformats.org/officeDocument/2006/relationships/footer" Target="footer82.xml"/><Relationship Id="rId12" Type="http://schemas.openxmlformats.org/officeDocument/2006/relationships/header" Target="header1.xml"/><Relationship Id="rId17" Type="http://schemas.openxmlformats.org/officeDocument/2006/relationships/footer" Target="footer3.xml"/><Relationship Id="rId33" Type="http://schemas.openxmlformats.org/officeDocument/2006/relationships/footer" Target="footer11.xml"/><Relationship Id="rId38" Type="http://schemas.openxmlformats.org/officeDocument/2006/relationships/footer" Target="footer13.xml"/><Relationship Id="rId59" Type="http://schemas.openxmlformats.org/officeDocument/2006/relationships/footer" Target="footer24.xml"/><Relationship Id="rId103" Type="http://schemas.openxmlformats.org/officeDocument/2006/relationships/header" Target="header47.xml"/><Relationship Id="rId108" Type="http://schemas.openxmlformats.org/officeDocument/2006/relationships/header" Target="header49.xml"/><Relationship Id="rId124" Type="http://schemas.openxmlformats.org/officeDocument/2006/relationships/header" Target="header57.xml"/><Relationship Id="rId129" Type="http://schemas.openxmlformats.org/officeDocument/2006/relationships/footer" Target="footer59.xml"/><Relationship Id="rId54" Type="http://schemas.openxmlformats.org/officeDocument/2006/relationships/header" Target="header22.xml"/><Relationship Id="rId70" Type="http://schemas.openxmlformats.org/officeDocument/2006/relationships/header" Target="header30.xml"/><Relationship Id="rId75" Type="http://schemas.openxmlformats.org/officeDocument/2006/relationships/footer" Target="footer32.xml"/><Relationship Id="rId91" Type="http://schemas.openxmlformats.org/officeDocument/2006/relationships/header" Target="header41.xml"/><Relationship Id="rId96" Type="http://schemas.openxmlformats.org/officeDocument/2006/relationships/header" Target="header43.xml"/><Relationship Id="rId140" Type="http://schemas.openxmlformats.org/officeDocument/2006/relationships/footer" Target="footer64.xml"/><Relationship Id="rId145" Type="http://schemas.openxmlformats.org/officeDocument/2006/relationships/header" Target="header68.xml"/><Relationship Id="rId161" Type="http://schemas.openxmlformats.org/officeDocument/2006/relationships/footer" Target="footer75.xml"/><Relationship Id="rId166" Type="http://schemas.openxmlformats.org/officeDocument/2006/relationships/header" Target="header78.xml"/><Relationship Id="rId182"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footer" Target="footer6.xml"/><Relationship Id="rId28" Type="http://schemas.openxmlformats.org/officeDocument/2006/relationships/header" Target="header9.xml"/><Relationship Id="rId49" Type="http://schemas.openxmlformats.org/officeDocument/2006/relationships/header" Target="header20.xml"/><Relationship Id="rId114" Type="http://schemas.openxmlformats.org/officeDocument/2006/relationships/header" Target="header52.xml"/><Relationship Id="rId119" Type="http://schemas.openxmlformats.org/officeDocument/2006/relationships/footer" Target="footer54.xml"/><Relationship Id="rId44" Type="http://schemas.openxmlformats.org/officeDocument/2006/relationships/footer" Target="footer16.xml"/><Relationship Id="rId60" Type="http://schemas.openxmlformats.org/officeDocument/2006/relationships/header" Target="header25.xml"/><Relationship Id="rId65" Type="http://schemas.openxmlformats.org/officeDocument/2006/relationships/footer" Target="footer27.xml"/><Relationship Id="rId81" Type="http://schemas.openxmlformats.org/officeDocument/2006/relationships/footer" Target="footer35.xml"/><Relationship Id="rId86" Type="http://schemas.openxmlformats.org/officeDocument/2006/relationships/footer" Target="footer37.xml"/><Relationship Id="rId130" Type="http://schemas.openxmlformats.org/officeDocument/2006/relationships/header" Target="header60.xml"/><Relationship Id="rId135" Type="http://schemas.openxmlformats.org/officeDocument/2006/relationships/footer" Target="footer62.xml"/><Relationship Id="rId151" Type="http://schemas.openxmlformats.org/officeDocument/2006/relationships/header" Target="header71.xml"/><Relationship Id="rId156" Type="http://schemas.openxmlformats.org/officeDocument/2006/relationships/header" Target="header73.xml"/><Relationship Id="rId177" Type="http://schemas.openxmlformats.org/officeDocument/2006/relationships/footer" Target="footer83.xml"/><Relationship Id="rId4" Type="http://schemas.openxmlformats.org/officeDocument/2006/relationships/customXml" Target="../customXml/item4.xml"/><Relationship Id="rId9" Type="http://schemas.openxmlformats.org/officeDocument/2006/relationships/footnotes" Target="footnotes.xml"/><Relationship Id="rId172" Type="http://schemas.openxmlformats.org/officeDocument/2006/relationships/header" Target="header81.xml"/><Relationship Id="rId180" Type="http://schemas.openxmlformats.org/officeDocument/2006/relationships/fontTable" Target="fontTable.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footer" Target="footer14.xml"/><Relationship Id="rId109" Type="http://schemas.openxmlformats.org/officeDocument/2006/relationships/header" Target="header50.xml"/><Relationship Id="rId34" Type="http://schemas.openxmlformats.org/officeDocument/2006/relationships/header" Target="header12.xml"/><Relationship Id="rId50" Type="http://schemas.openxmlformats.org/officeDocument/2006/relationships/footer" Target="footer19.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header" Target="header44.xml"/><Relationship Id="rId104" Type="http://schemas.openxmlformats.org/officeDocument/2006/relationships/footer" Target="footer46.xml"/><Relationship Id="rId120" Type="http://schemas.openxmlformats.org/officeDocument/2006/relationships/header" Target="header55.xml"/><Relationship Id="rId125" Type="http://schemas.openxmlformats.org/officeDocument/2006/relationships/footer" Target="footer57.xml"/><Relationship Id="rId141" Type="http://schemas.openxmlformats.org/officeDocument/2006/relationships/footer" Target="footer65.xml"/><Relationship Id="rId146" Type="http://schemas.openxmlformats.org/officeDocument/2006/relationships/footer" Target="footer67.xml"/><Relationship Id="rId167" Type="http://schemas.openxmlformats.org/officeDocument/2006/relationships/footer" Target="footer78.xml"/><Relationship Id="rId7" Type="http://schemas.openxmlformats.org/officeDocument/2006/relationships/settings" Target="settings.xml"/><Relationship Id="rId71" Type="http://schemas.openxmlformats.org/officeDocument/2006/relationships/footer" Target="footer30.xml"/><Relationship Id="rId92" Type="http://schemas.openxmlformats.org/officeDocument/2006/relationships/footer" Target="footer40.xml"/><Relationship Id="rId162" Type="http://schemas.openxmlformats.org/officeDocument/2006/relationships/header" Target="header76.xml"/><Relationship Id="rId183" Type="http://schemas.microsoft.com/office/2020/10/relationships/intelligence" Target="intelligence2.xml"/><Relationship Id="rId2" Type="http://schemas.openxmlformats.org/officeDocument/2006/relationships/customXml" Target="../customXml/item2.xml"/><Relationship Id="rId29" Type="http://schemas.openxmlformats.org/officeDocument/2006/relationships/footer" Target="footer9.xml"/><Relationship Id="rId24" Type="http://schemas.openxmlformats.org/officeDocument/2006/relationships/header" Target="header7.xml"/><Relationship Id="rId40" Type="http://schemas.openxmlformats.org/officeDocument/2006/relationships/header" Target="header15.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footer" Target="footer49.xml"/><Relationship Id="rId115" Type="http://schemas.openxmlformats.org/officeDocument/2006/relationships/header" Target="header53.xml"/><Relationship Id="rId131" Type="http://schemas.openxmlformats.org/officeDocument/2006/relationships/footer" Target="footer60.xml"/><Relationship Id="rId136" Type="http://schemas.openxmlformats.org/officeDocument/2006/relationships/header" Target="header63.xml"/><Relationship Id="rId157" Type="http://schemas.openxmlformats.org/officeDocument/2006/relationships/header" Target="header74.xml"/><Relationship Id="rId178" Type="http://schemas.openxmlformats.org/officeDocument/2006/relationships/header" Target="header84.xml"/><Relationship Id="rId61" Type="http://schemas.openxmlformats.org/officeDocument/2006/relationships/header" Target="header26.xml"/><Relationship Id="rId82" Type="http://schemas.openxmlformats.org/officeDocument/2006/relationships/header" Target="header36.xml"/><Relationship Id="rId152" Type="http://schemas.openxmlformats.org/officeDocument/2006/relationships/footer" Target="footer70.xml"/><Relationship Id="rId173" Type="http://schemas.openxmlformats.org/officeDocument/2006/relationships/footer" Target="footer81.xml"/><Relationship Id="rId19" Type="http://schemas.openxmlformats.org/officeDocument/2006/relationships/header" Target="header5.xml"/><Relationship Id="rId14" Type="http://schemas.openxmlformats.org/officeDocument/2006/relationships/footer" Target="footer1.xml"/><Relationship Id="rId30" Type="http://schemas.openxmlformats.org/officeDocument/2006/relationships/header" Target="header10.xml"/><Relationship Id="rId35" Type="http://schemas.openxmlformats.org/officeDocument/2006/relationships/footer" Target="footer12.xml"/><Relationship Id="rId56" Type="http://schemas.openxmlformats.org/officeDocument/2006/relationships/footer" Target="footer22.xml"/><Relationship Id="rId77" Type="http://schemas.openxmlformats.org/officeDocument/2006/relationships/footer" Target="footer33.xml"/><Relationship Id="rId100" Type="http://schemas.openxmlformats.org/officeDocument/2006/relationships/header" Target="header45.xml"/><Relationship Id="rId105" Type="http://schemas.openxmlformats.org/officeDocument/2006/relationships/footer" Target="footer47.xml"/><Relationship Id="rId126" Type="http://schemas.openxmlformats.org/officeDocument/2006/relationships/header" Target="header58.xml"/><Relationship Id="rId147" Type="http://schemas.openxmlformats.org/officeDocument/2006/relationships/footer" Target="footer68.xml"/><Relationship Id="rId168" Type="http://schemas.openxmlformats.org/officeDocument/2006/relationships/header" Target="header79.xml"/><Relationship Id="rId8" Type="http://schemas.openxmlformats.org/officeDocument/2006/relationships/webSettings" Target="webSettings.xm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98" Type="http://schemas.openxmlformats.org/officeDocument/2006/relationships/footer" Target="footer43.xml"/><Relationship Id="rId121" Type="http://schemas.openxmlformats.org/officeDocument/2006/relationships/header" Target="header56.xml"/><Relationship Id="rId142" Type="http://schemas.openxmlformats.org/officeDocument/2006/relationships/header" Target="header66.xml"/><Relationship Id="rId163" Type="http://schemas.openxmlformats.org/officeDocument/2006/relationships/header" Target="header77.xml"/><Relationship Id="rId3" Type="http://schemas.openxmlformats.org/officeDocument/2006/relationships/customXml" Target="../customXml/item3.xml"/><Relationship Id="rId25" Type="http://schemas.openxmlformats.org/officeDocument/2006/relationships/header" Target="header8.xml"/><Relationship Id="rId46" Type="http://schemas.openxmlformats.org/officeDocument/2006/relationships/header" Target="header18.xml"/><Relationship Id="rId67" Type="http://schemas.openxmlformats.org/officeDocument/2006/relationships/header" Target="header29.xml"/><Relationship Id="rId116" Type="http://schemas.openxmlformats.org/officeDocument/2006/relationships/footer" Target="footer52.xml"/><Relationship Id="rId137" Type="http://schemas.openxmlformats.org/officeDocument/2006/relationships/footer" Target="footer63.xml"/><Relationship Id="rId158" Type="http://schemas.openxmlformats.org/officeDocument/2006/relationships/footer" Target="footer73.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footer" Target="footer25.xml"/><Relationship Id="rId83" Type="http://schemas.openxmlformats.org/officeDocument/2006/relationships/footer" Target="footer36.xml"/><Relationship Id="rId88" Type="http://schemas.openxmlformats.org/officeDocument/2006/relationships/header" Target="header39.xml"/><Relationship Id="rId111" Type="http://schemas.openxmlformats.org/officeDocument/2006/relationships/footer" Target="footer50.xml"/><Relationship Id="rId132" Type="http://schemas.openxmlformats.org/officeDocument/2006/relationships/header" Target="header61.xml"/><Relationship Id="rId153" Type="http://schemas.openxmlformats.org/officeDocument/2006/relationships/footer" Target="footer71.xml"/><Relationship Id="rId174" Type="http://schemas.openxmlformats.org/officeDocument/2006/relationships/header" Target="header82.xml"/><Relationship Id="rId179" Type="http://schemas.openxmlformats.org/officeDocument/2006/relationships/footer" Target="footer84.xml"/><Relationship Id="rId15" Type="http://schemas.openxmlformats.org/officeDocument/2006/relationships/footer" Target="footer2.xml"/><Relationship Id="rId36" Type="http://schemas.openxmlformats.org/officeDocument/2006/relationships/header" Target="header13.xml"/><Relationship Id="rId57" Type="http://schemas.openxmlformats.org/officeDocument/2006/relationships/footer" Target="footer23.xml"/><Relationship Id="rId106" Type="http://schemas.openxmlformats.org/officeDocument/2006/relationships/header" Target="header48.xml"/><Relationship Id="rId127" Type="http://schemas.openxmlformats.org/officeDocument/2006/relationships/header" Target="header59.xml"/><Relationship Id="rId10" Type="http://schemas.openxmlformats.org/officeDocument/2006/relationships/endnotes" Target="endnotes.xml"/><Relationship Id="rId31" Type="http://schemas.openxmlformats.org/officeDocument/2006/relationships/header" Target="header11.xml"/><Relationship Id="rId52" Type="http://schemas.openxmlformats.org/officeDocument/2006/relationships/header" Target="header21.xml"/><Relationship Id="rId73" Type="http://schemas.openxmlformats.org/officeDocument/2006/relationships/header" Target="header32.xml"/><Relationship Id="rId78" Type="http://schemas.openxmlformats.org/officeDocument/2006/relationships/header" Target="header34.xml"/><Relationship Id="rId94" Type="http://schemas.openxmlformats.org/officeDocument/2006/relationships/header" Target="header42.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footer" Target="footer55.xml"/><Relationship Id="rId143" Type="http://schemas.openxmlformats.org/officeDocument/2006/relationships/footer" Target="footer66.xml"/><Relationship Id="rId148" Type="http://schemas.openxmlformats.org/officeDocument/2006/relationships/header" Target="header69.xml"/><Relationship Id="rId164" Type="http://schemas.openxmlformats.org/officeDocument/2006/relationships/footer" Target="footer76.xml"/><Relationship Id="rId169" Type="http://schemas.openxmlformats.org/officeDocument/2006/relationships/header" Target="header80.xml"/></Relationships>
</file>

<file path=word/documenttasks/documenttasks1.xml><?xml version="1.0" encoding="utf-8"?>
<t:Tasks xmlns:t="http://schemas.microsoft.com/office/tasks/2019/documenttasks" xmlns:oel="http://schemas.microsoft.com/office/2019/extlst">
  <t:Task id="{A07F40B7-3BC2-4A27-A3B2-A09BE3ED66A2}">
    <t:Anchor>
      <t:Comment id="679940691"/>
    </t:Anchor>
    <t:History>
      <t:Event time="2023-08-16T13:54:51.095Z" id="{20BD9EAC-CE36-43E9-BE94-5B8EB3D1F055}">
        <t:Attribution userId="S::javier.pozas-delgado-brackenbury@ec.europa.eu::0664c899-7ce2-4951-8b2e-e1ca48917eab" userName="POZAS DELGADO-BRACKENBURY Javier (ECFIN)" userProvider="AD"/>
        <t:Anchor>
          <t:Comment id="787775745"/>
        </t:Anchor>
        <t:Create/>
      </t:Event>
      <t:Event time="2023-08-16T13:54:51.095Z" id="{8824241E-3052-48B0-93E1-DB17E8437228}">
        <t:Attribution userId="S::javier.pozas-delgado-brackenbury@ec.europa.eu::0664c899-7ce2-4951-8b2e-e1ca48917eab" userName="POZAS DELGADO-BRACKENBURY Javier (ECFIN)" userProvider="AD"/>
        <t:Anchor>
          <t:Comment id="787775745"/>
        </t:Anchor>
        <t:Assign userId="S::Michel.KLAJA@ec.europa.eu::5196fcfd-aea1-493e-ac47-088b087421e8" userName="KLAJA Michel (ECFIN)" userProvider="AD"/>
      </t:Event>
      <t:Event time="2023-08-16T13:54:51.095Z" id="{FECE3E25-AA76-4404-83E5-C297C127B4BC}">
        <t:Attribution userId="S::javier.pozas-delgado-brackenbury@ec.europa.eu::0664c899-7ce2-4951-8b2e-e1ca48917eab" userName="POZAS DELGADO-BRACKENBURY Javier (ECFIN)" userProvider="AD"/>
        <t:Anchor>
          <t:Comment id="787775745"/>
        </t:Anchor>
        <t:SetTitle title="@KLAJA Michel (ECFIN)"/>
      </t:Event>
      <t:Event time="2023-08-16T16:19:11.492Z" id="{D5B9544F-A432-46DD-A806-6F9B5950447E}">
        <t:Attribution userId="S::michel.klaja@ec.europa.eu::5196fcfd-aea1-493e-ac47-088b087421e8" userName="KLAJA Michel (ECFIN)" userProvider="AD"/>
        <t:Progress percentComplete="100"/>
      </t:Event>
    </t:History>
  </t:Task>
  <t:Task id="{22F7C390-FA26-42CF-94C2-D238F8B20D51}">
    <t:Anchor>
      <t:Comment id="449345125"/>
    </t:Anchor>
    <t:History>
      <t:Event time="2025-04-11T11:37:31.488Z" id="{44036E13-083C-47DF-B00A-1D18F6617585}">
        <t:Attribution userId="S::javier.pozas-delgado-brackenbury@ec.europa.eu::0664c899-7ce2-4951-8b2e-e1ca48917eab" userName="POZAS DELGADO-BRACKENBURY Javier (ECFIN)" userProvider="AD"/>
        <t:Anchor>
          <t:Comment id="449345125"/>
        </t:Anchor>
        <t:Create/>
      </t:Event>
      <t:Event time="2025-04-11T11:37:31.488Z" id="{FA6B3AC1-C7D7-4732-9536-E376440B774D}">
        <t:Attribution userId="S::javier.pozas-delgado-brackenbury@ec.europa.eu::0664c899-7ce2-4951-8b2e-e1ca48917eab" userName="POZAS DELGADO-BRACKENBURY Javier (ECFIN)" userProvider="AD"/>
        <t:Anchor>
          <t:Comment id="449345125"/>
        </t:Anchor>
        <t:Assign userId="S::Jurga.RIBACIAUSKAITE@ec.europa.eu::bad9bbe7-6b61-4132-8622-443f1b1e97b6" userName="RIBACIAUSKAITE Jurga (ECFIN)" userProvider="AD"/>
      </t:Event>
      <t:Event time="2025-04-11T11:37:31.488Z" id="{96E0B00A-A2AD-448D-9ED1-1576B0AFD76A}">
        <t:Attribution userId="S::javier.pozas-delgado-brackenbury@ec.europa.eu::0664c899-7ce2-4951-8b2e-e1ca48917eab" userName="POZAS DELGADO-BRACKENBURY Javier (ECFIN)" userProvider="AD"/>
        <t:Anchor>
          <t:Comment id="449345125"/>
        </t:Anchor>
        <t:SetTitle title="Should it be 4000 or 4900 pupils? To be double checked. @RIBACIAUSKAITE Jurga (ECFIN)"/>
      </t:Event>
    </t:History>
  </t:Task>
  <t:Task id="{19935E59-DC71-435C-819E-DA53196D3F73}">
    <t:Anchor>
      <t:Comment id="1553078971"/>
    </t:Anchor>
    <t:History>
      <t:Event time="2025-05-07T11:48:08.151Z" id="{BD5C4D8D-440B-4DC1-AFA6-9AA9E39DB7F0}">
        <t:Attribution userId="S::elodie.durand@ec.europa.eu::c1a07f26-dcc6-416a-b23f-9b6e69bfa2fb" userName="DURAND Elodie (SG REFORM)" userProvider="AD"/>
        <t:Anchor>
          <t:Comment id="1553078971"/>
        </t:Anchor>
        <t:Create/>
      </t:Event>
      <t:Event time="2025-05-07T11:48:08.151Z" id="{07AF60F6-68E7-4DB1-9C8B-5CB9A1B51D70}">
        <t:Attribution userId="S::elodie.durand@ec.europa.eu::c1a07f26-dcc6-416a-b23f-9b6e69bfa2fb" userName="DURAND Elodie (SG REFORM)" userProvider="AD"/>
        <t:Anchor>
          <t:Comment id="1553078971"/>
        </t:Anchor>
        <t:Assign userId="S::Michel.KLAJA@ec.europa.eu::5196fcfd-aea1-493e-ac47-088b087421e8" userName="KLAJA Michel (ECFIN)" userProvider="AD"/>
      </t:Event>
      <t:Event time="2025-05-07T11:48:08.151Z" id="{61C643B7-39D2-482D-A5A7-4A26FF8FF35D}">
        <t:Attribution userId="S::elodie.durand@ec.europa.eu::c1a07f26-dcc6-416a-b23f-9b6e69bfa2fb" userName="DURAND Elodie (SG REFORM)" userProvider="AD"/>
        <t:Anchor>
          <t:Comment id="1553078971"/>
        </t:Anchor>
        <t:SetTitle title="@KLAJA Michel (ECFIN) @GRIESSE Joern (ECFIN) if this was already assessed as part of an earlier milestone, I would NOT make any changes here (for this particular point 1) or for the title)"/>
      </t:Event>
    </t:History>
  </t:Task>
  <t:Task id="{16325B89-D2AC-474B-957B-4B4EB8C870D4}">
    <t:Anchor>
      <t:Comment id="1511039028"/>
    </t:Anchor>
    <t:History>
      <t:Event time="2025-04-11T15:23:04.617Z" id="{4DB73878-31B2-4A0E-9970-5FB9459633E8}">
        <t:Attribution userId="S::elodie.durand@ec.europa.eu::c1a07f26-dcc6-416a-b23f-9b6e69bfa2fb" userName="DURAND Elodie (SG REFORM)" userProvider="AD"/>
        <t:Anchor>
          <t:Comment id="1511039028"/>
        </t:Anchor>
        <t:Create/>
      </t:Event>
      <t:Event time="2025-04-11T15:23:04.617Z" id="{A4AF7E2D-B1A2-4D9B-9162-94ED0742127E}">
        <t:Attribution userId="S::elodie.durand@ec.europa.eu::c1a07f26-dcc6-416a-b23f-9b6e69bfa2fb" userName="DURAND Elodie (SG REFORM)" userProvider="AD"/>
        <t:Anchor>
          <t:Comment id="1511039028"/>
        </t:Anchor>
        <t:Assign userId="S::Michel.KLAJA@ec.europa.eu::5196fcfd-aea1-493e-ac47-088b087421e8" userName="KLAJA Michel (ECFIN)" userProvider="AD"/>
      </t:Event>
      <t:Event time="2025-04-11T15:23:04.617Z" id="{06106052-DBAB-4A5E-8552-B1DDE449BD46}">
        <t:Attribution userId="S::elodie.durand@ec.europa.eu::c1a07f26-dcc6-416a-b23f-9b6e69bfa2fb" userName="DURAND Elodie (SG REFORM)" userProvider="AD"/>
        <t:Anchor>
          <t:Comment id="1511039028"/>
        </t:Anchor>
        <t:SetTitle title="@KLAJA Michel (ECFIN) this should be 4650 I think? It looks like one zero was missed out for deletion? I updated the baseline, please check it is correct"/>
      </t:Event>
      <t:Event time="2025-04-15T13:47:42.265Z" id="{90BAA567-4A62-41B0-9559-5002F959F338}">
        <t:Attribution userId="S::javier.pozas-delgado-brackenbury@ec.europa.eu::0664c899-7ce2-4951-8b2e-e1ca48917eab" userName="POZAS DELGADO-BRACKENBURY Javier (ECFIN)" userProvider="AD"/>
        <t:Progress percentComplete="100"/>
      </t:Event>
    </t:History>
  </t:Task>
  <t:Task id="{FB157493-0B40-4C05-8E0B-644256490288}">
    <t:Anchor>
      <t:Comment id="585497537"/>
    </t:Anchor>
    <t:History>
      <t:Event time="2025-04-11T15:32:59.164Z" id="{759A9E41-D3B6-4A4D-9C1A-9F0C36ADE713}">
        <t:Attribution userId="S::elodie.durand@ec.europa.eu::c1a07f26-dcc6-416a-b23f-9b6e69bfa2fb" userName="DURAND Elodie (SG REFORM)" userProvider="AD"/>
        <t:Anchor>
          <t:Comment id="585497537"/>
        </t:Anchor>
        <t:Create/>
      </t:Event>
      <t:Event time="2025-04-11T15:32:59.164Z" id="{183A652D-82AF-4E3B-A2F9-BA8A94B2D7C4}">
        <t:Attribution userId="S::elodie.durand@ec.europa.eu::c1a07f26-dcc6-416a-b23f-9b6e69bfa2fb" userName="DURAND Elodie (SG REFORM)" userProvider="AD"/>
        <t:Anchor>
          <t:Comment id="585497537"/>
        </t:Anchor>
        <t:Assign userId="S::Michel.KLAJA@ec.europa.eu::5196fcfd-aea1-493e-ac47-088b087421e8" userName="KLAJA Michel (ECFIN)" userProvider="AD"/>
      </t:Event>
      <t:Event time="2025-04-11T15:32:59.164Z" id="{F13DD936-A02A-4B94-AD5E-64255FBBCB10}">
        <t:Attribution userId="S::elodie.durand@ec.europa.eu::c1a07f26-dcc6-416a-b23f-9b6e69bfa2fb" userName="DURAND Elodie (SG REFORM)" userProvider="AD"/>
        <t:Anchor>
          <t:Comment id="585497537"/>
        </t:Anchor>
        <t:SetTitle title="@KLAJA Michel (ECFIN) are these technical legal terms defined in the regulation / will we be able to check/do we need to specify this if we will check that the power requirements are in line with the alternative fuels infrastructure reg?"/>
      </t:Event>
    </t:History>
  </t:Task>
  <t:Task id="{340DDC2E-1DB5-4D9B-9CCD-36909FEE1299}">
    <t:Anchor>
      <t:Comment id="158963905"/>
    </t:Anchor>
    <t:History>
      <t:Event time="2025-04-11T16:15:36.128Z" id="{3ED061C0-6D1D-4EF0-8CD7-2997B2722C1B}">
        <t:Attribution userId="S::elodie.durand@ec.europa.eu::c1a07f26-dcc6-416a-b23f-9b6e69bfa2fb" userName="DURAND Elodie (SG REFORM)" userProvider="AD"/>
        <t:Anchor>
          <t:Comment id="158963905"/>
        </t:Anchor>
        <t:Create/>
      </t:Event>
      <t:Event time="2025-04-11T16:15:36.128Z" id="{C9F9CBB1-83ED-45F5-B61D-471AC6CAFFCD}">
        <t:Attribution userId="S::elodie.durand@ec.europa.eu::c1a07f26-dcc6-416a-b23f-9b6e69bfa2fb" userName="DURAND Elodie (SG REFORM)" userProvider="AD"/>
        <t:Anchor>
          <t:Comment id="158963905"/>
        </t:Anchor>
        <t:Assign userId="S::Javier.POZAS-DELGADO-BRACKENBURY@ec.europa.eu::0664c899-7ce2-4951-8b2e-e1ca48917eab" userName="POZAS DELGADO-BRACKENBURY Javier (ECFIN)" userProvider="AD"/>
      </t:Event>
      <t:Event time="2025-04-11T16:15:36.128Z" id="{490E5416-B9CA-405F-AC59-365F1754BE13}">
        <t:Attribution userId="S::elodie.durand@ec.europa.eu::c1a07f26-dcc6-416a-b23f-9b6e69bfa2fb" userName="DURAND Elodie (SG REFORM)" userProvider="AD"/>
        <t:Anchor>
          <t:Comment id="158963905"/>
        </t:Anchor>
        <t:SetTitle title="@POZAS DELGADO-BRACKENBURY Javier (ECFIN) @SIMEONOVA Detelina (SG REFORM) @GRIESSE Joern (ECFIN) since the measure will be open under art21, I would consider deleting this part which doesn't add anything on substance to the target as it is about the …"/>
      </t:Event>
      <t:Event time="2025-04-15T14:06:44.882Z" id="{107B64D6-51F2-4146-8B15-968B20826BF0}">
        <t:Attribution userId="S::javier.pozas-delgado-brackenbury@ec.europa.eu::0664c899-7ce2-4951-8b2e-e1ca48917eab" userName="POZAS DELGADO-BRACKENBURY Javier (ECFIN)" userProvider="AD"/>
        <t:Progress percentComplete="100"/>
      </t:Event>
    </t:History>
  </t:Task>
  <t:Task id="{98E6E803-579B-470B-A48E-64FDD91FF28C}">
    <t:Anchor>
      <t:Comment id="71852608"/>
    </t:Anchor>
    <t:History>
      <t:Event time="2026-01-12T14:04:07.496Z" id="{F6845C86-9A6E-4189-849E-F43CBEEF1E44}">
        <t:Attribution userId="S::elodie.durand@ec.europa.eu::c1a07f26-dcc6-416a-b23f-9b6e69bfa2fb" userName="DURAND Elodie (SG REFORM)" userProvider="AD"/>
        <t:Anchor>
          <t:Comment id="71852608"/>
        </t:Anchor>
        <t:Create/>
      </t:Event>
      <t:Event time="2026-01-12T14:04:07.496Z" id="{06564386-0ACC-415E-AD65-5833BE6A01AA}">
        <t:Attribution userId="S::elodie.durand@ec.europa.eu::c1a07f26-dcc6-416a-b23f-9b6e69bfa2fb" userName="DURAND Elodie (SG REFORM)" userProvider="AD"/>
        <t:Anchor>
          <t:Comment id="71852608"/>
        </t:Anchor>
        <t:Assign userId="S::Ingrida.PUCINSKAITE@ec.europa.eu::8e1e8bc8-c6c5-4d6f-b3b9-0bdb2487aed4" userName="PUCINSKAITE Ingrida (SG REFORM)" userProvider="AD"/>
      </t:Event>
      <t:Event time="2026-01-12T14:04:07.496Z" id="{487E8411-FC8B-4412-BBCB-BCFBBB2218B2}">
        <t:Attribution userId="S::elodie.durand@ec.europa.eu::c1a07f26-dcc6-416a-b23f-9b6e69bfa2fb" userName="DURAND Elodie (SG REFORM)" userProvider="AD"/>
        <t:Anchor>
          <t:Comment id="71852608"/>
        </t:Anchor>
        <t:SetTitle title="to be updated as per comments in A2/B4 version @PUCINSKAITE Ingrida (SG REFORM) @PANELLA GOMEZ Clara (SG REFORM) , including in MTs table and in section 2 of the CID annex (instalments tables)"/>
      </t:Event>
    </t:History>
  </t:Task>
  <t:Task id="{3ED927DD-8180-4F04-AFA0-DC8C7072B8A2}">
    <t:Anchor>
      <t:Comment id="634572875"/>
    </t:Anchor>
    <t:History>
      <t:Event time="2025-05-08T10:51:50.105Z" id="{01099A78-8160-4B55-8C4C-54900F04F375}">
        <t:Attribution userId="S::elodie.durand@ec.europa.eu::c1a07f26-dcc6-416a-b23f-9b6e69bfa2fb" userName="DURAND Elodie (SG REFORM)" userProvider="AD"/>
        <t:Anchor>
          <t:Comment id="1696802159"/>
        </t:Anchor>
        <t:Create/>
      </t:Event>
      <t:Event time="2025-05-08T10:51:50.105Z" id="{58E5D0DB-9171-4BEE-9EBB-4C1BF15FB4A2}">
        <t:Attribution userId="S::elodie.durand@ec.europa.eu::c1a07f26-dcc6-416a-b23f-9b6e69bfa2fb" userName="DURAND Elodie (SG REFORM)" userProvider="AD"/>
        <t:Anchor>
          <t:Comment id="1696802159"/>
        </t:Anchor>
        <t:Assign userId="S::Joern.GRIESSE@ec.europa.eu::041c68d6-9490-49af-bd13-b6b74f9aed8f" userName="GRIESSE Joern (ECFIN)" userProvider="AD"/>
      </t:Event>
      <t:Event time="2025-05-08T10:51:50.105Z" id="{1081F000-D6C9-45E3-9D91-F704E88F385E}">
        <t:Attribution userId="S::elodie.durand@ec.europa.eu::c1a07f26-dcc6-416a-b23f-9b6e69bfa2fb" userName="DURAND Elodie (SG REFORM)" userProvider="AD"/>
        <t:Anchor>
          <t:Comment id="1696802159"/>
        </t:Anchor>
        <t:SetTitle title="LT indicated they don't mind if the timeline remains as is so for consistency with other measures, if @GRIESSE Joern (ECFIN) agrees let's not change it"/>
      </t:Event>
      <t:Event time="2025-05-08T12:20:43.709Z" id="{2F448CCA-B703-42C4-A67F-73F8DD7F641E}">
        <t:Attribution userId="S::joern.griesse@ec.europa.eu::041c68d6-9490-49af-bd13-b6b74f9aed8f" userName="GRIESSE Joern (ECFIN)" userProvider="AD"/>
        <t:Progress percentComplete="100"/>
      </t:Event>
    </t:History>
  </t:Task>
  <t:Task id="{07BAE4D3-1F23-40B0-9115-D82E7D710250}">
    <t:Anchor>
      <t:Comment id="2130598793"/>
    </t:Anchor>
    <t:History>
      <t:Event time="2026-01-12T14:09:52.217Z" id="{8231B849-DAD4-4B8F-B551-1B4653C2EB2D}">
        <t:Attribution userId="S::elodie.durand@ec.europa.eu::c1a07f26-dcc6-416a-b23f-9b6e69bfa2fb" userName="DURAND Elodie (SG REFORM)" userProvider="AD"/>
        <t:Anchor>
          <t:Comment id="2130598793"/>
        </t:Anchor>
        <t:Create/>
      </t:Event>
      <t:Event time="2026-01-12T14:09:52.217Z" id="{6A1AA7C0-8C44-4A6D-A717-B86F3E6A2FA4}">
        <t:Attribution userId="S::elodie.durand@ec.europa.eu::c1a07f26-dcc6-416a-b23f-9b6e69bfa2fb" userName="DURAND Elodie (SG REFORM)" userProvider="AD"/>
        <t:Anchor>
          <t:Comment id="2130598793"/>
        </t:Anchor>
        <t:Assign userId="S::Julia.ZIEMANN@ec.europa.eu::215d765f-67d7-4650-95d8-e1cfe224d724" userName="ZIEMANN Julia (SG REFORM)" userProvider="AD"/>
      </t:Event>
      <t:Event time="2026-01-12T14:09:52.217Z" id="{D054F5F0-31CF-4670-A8FE-087273422356}">
        <t:Attribution userId="S::elodie.durand@ec.europa.eu::c1a07f26-dcc6-416a-b23f-9b6e69bfa2fb" userName="DURAND Elodie (SG REFORM)" userProvider="AD"/>
        <t:Anchor>
          <t:Comment id="2130598793"/>
        </t:Anchor>
        <t:SetTitle title="@ZIEMANN Julia (SG REFORM) @KLAJA Michel (ECFIN) see suggestion from Valerie in A2/B4 version to consider deleting these points here as they are included in the milestone description itself"/>
      </t:Event>
    </t:History>
  </t:Task>
  <t:Task id="{66F4F410-0933-49C0-8A9B-1CF5C46DEBC5}">
    <t:Anchor>
      <t:Comment id="1231020894"/>
    </t:Anchor>
    <t:History>
      <t:Event time="2026-01-12T14:15:05.241Z" id="{B0174E0E-05EE-44B9-8025-4D49C9B90861}">
        <t:Attribution userId="S::elodie.durand@ec.europa.eu::c1a07f26-dcc6-416a-b23f-9b6e69bfa2fb" userName="DURAND Elodie (SG REFORM)" userProvider="AD"/>
        <t:Anchor>
          <t:Comment id="1231020894"/>
        </t:Anchor>
        <t:Create/>
      </t:Event>
      <t:Event time="2026-01-12T14:15:05.241Z" id="{CCDDB61C-944A-4DAB-B136-44D56870B9CA}">
        <t:Attribution userId="S::elodie.durand@ec.europa.eu::c1a07f26-dcc6-416a-b23f-9b6e69bfa2fb" userName="DURAND Elodie (SG REFORM)" userProvider="AD"/>
        <t:Anchor>
          <t:Comment id="1231020894"/>
        </t:Anchor>
        <t:Assign userId="S::Detelina.SIMEONOVA@ec.europa.eu::2e61108b-771f-4a5f-83a4-3f78174ea226" userName="SIMEONOVA Detelina (SG REFORM)" userProvider="AD"/>
      </t:Event>
      <t:Event time="2026-01-12T14:15:05.241Z" id="{22C7BEBA-BBE2-41D2-8BB8-CFA64657DCCD}">
        <t:Attribution userId="S::elodie.durand@ec.europa.eu::c1a07f26-dcc6-416a-b23f-9b6e69bfa2fb" userName="DURAND Elodie (SG REFORM)" userProvider="AD"/>
        <t:Anchor>
          <t:Comment id="1231020894"/>
        </t:Anchor>
        <t:SetTitle title="@SIMEONOVA Detelina (SG REFORM) @POZAS DELGADO-BRACKENBURY Javier (ECFIN) should this not be &quot;c.1.1a&quot; rather than just &quot;c.1.1&quot;? If so, please delete &quot;transformation of public information technology governance&quot; to reflect the update to the sub-measure …"/>
      </t:Event>
    </t:History>
  </t:Task>
  <t:Task id="{CFF9DA06-2CAC-4410-B1DF-3FFF17017BCB}">
    <t:Anchor>
      <t:Comment id="298926466"/>
    </t:Anchor>
    <t:History>
      <t:Event time="2026-01-12T14:18:59.566Z" id="{3E5CB74D-DA96-4ADE-9F6E-18BBB72FE660}">
        <t:Attribution userId="S::elodie.durand@ec.europa.eu::c1a07f26-dcc6-416a-b23f-9b6e69bfa2fb" userName="DURAND Elodie (SG REFORM)" userProvider="AD"/>
        <t:Anchor>
          <t:Comment id="298926466"/>
        </t:Anchor>
        <t:Create/>
      </t:Event>
      <t:Event time="2026-01-12T14:18:59.566Z" id="{3CE647CD-5614-49F5-8037-165896016986}">
        <t:Attribution userId="S::elodie.durand@ec.europa.eu::c1a07f26-dcc6-416a-b23f-9b6e69bfa2fb" userName="DURAND Elodie (SG REFORM)" userProvider="AD"/>
        <t:Anchor>
          <t:Comment id="298926466"/>
        </t:Anchor>
        <t:Assign userId="S::Detelina.SIMEONOVA@ec.europa.eu::2e61108b-771f-4a5f-83a4-3f78174ea226" userName="SIMEONOVA Detelina (SG REFORM)" userProvider="AD"/>
      </t:Event>
      <t:Event time="2026-01-12T14:18:59.566Z" id="{35650D99-C5F2-4B75-B4AA-9411BEEB2EDA}">
        <t:Attribution userId="S::elodie.durand@ec.europa.eu::c1a07f26-dcc6-416a-b23f-9b6e69bfa2fb" userName="DURAND Elodie (SG REFORM)" userProvider="AD"/>
        <t:Anchor>
          <t:Comment id="298926466"/>
        </t:Anchor>
        <t:SetTitle title="To be decided what to do about the horizontal comment on blacklisted terms @SIMEONOVA Detelina (SG REFORM) @POZAS DELGADO-BRACKENBURY Javier (ECFIN) and if we can go to TLR levels or not"/>
      </t:Event>
    </t:History>
  </t:Task>
  <t:Task id="{85ACF4B8-76FE-4D70-ABE4-F85FB8440E10}">
    <t:Anchor>
      <t:Comment id="499882454"/>
    </t:Anchor>
    <t:History>
      <t:Event time="2026-01-12T14:44:38.562Z" id="{AA36DD3E-412E-44F7-867F-2F4B390D501A}">
        <t:Attribution userId="S::elodie.durand@ec.europa.eu::c1a07f26-dcc6-416a-b23f-9b6e69bfa2fb" userName="DURAND Elodie (SG REFORM)" userProvider="AD"/>
        <t:Anchor>
          <t:Comment id="499882454"/>
        </t:Anchor>
        <t:Create/>
      </t:Event>
      <t:Event time="2026-01-12T14:44:38.562Z" id="{57213960-170C-41D5-ACE6-442758175D07}">
        <t:Attribution userId="S::elodie.durand@ec.europa.eu::c1a07f26-dcc6-416a-b23f-9b6e69bfa2fb" userName="DURAND Elodie (SG REFORM)" userProvider="AD"/>
        <t:Anchor>
          <t:Comment id="499882454"/>
        </t:Anchor>
        <t:Assign userId="S::Maximilian.JUMPERTZ@ec.europa.eu::38f4b130-4c4f-439e-a3c6-f33ceb3105ef" userName="JUMPERTZ Maximilian (SG REFORM)" userProvider="AD"/>
      </t:Event>
      <t:Event time="2026-01-12T14:44:38.562Z" id="{DBB6847A-DF03-468A-B089-88C31F0D5A3A}">
        <t:Attribution userId="S::elodie.durand@ec.europa.eu::c1a07f26-dcc6-416a-b23f-9b6e69bfa2fb" userName="DURAND Elodie (SG REFORM)" userProvider="AD"/>
        <t:Anchor>
          <t:Comment id="499882454"/>
        </t:Anchor>
        <t:SetTitle title="@JUMPERTZ Maximilian (SG REFORM) to be updated once the new milestone is defined (and depending on where it fits - note that horizontals commented on &quot;reliable&quot; which should not be used."/>
      </t:Event>
    </t:History>
  </t:Task>
  <t:Task id="{CB658A5C-EBF5-4D8C-A637-E1D08115B848}">
    <t:Anchor>
      <t:Comment id="1449483436"/>
    </t:Anchor>
    <t:History>
      <t:Event time="2026-05-05T18:16:04.762Z" id="{AEAC9A69-9B5B-47E0-975E-9119FF84C4EF}">
        <t:Attribution userId="S::Elodie.DURAND@ec.europa.eu::c1a07f26-dcc6-416a-b23f-9b6e69bfa2fb" userName="DURAND Elodie (SG REFORM)" userProvider="AD"/>
        <t:Anchor>
          <t:Comment id="1498005547"/>
        </t:Anchor>
        <t:Create/>
      </t:Event>
      <t:Event time="2026-05-05T18:16:04.762Z" id="{DA1BAF57-A378-40B1-ABF2-DFCA02A6095E}">
        <t:Attribution userId="S::Elodie.DURAND@ec.europa.eu::c1a07f26-dcc6-416a-b23f-9b6e69bfa2fb" userName="DURAND Elodie (SG REFORM)" userProvider="AD"/>
        <t:Anchor>
          <t:Comment id="1498005547"/>
        </t:Anchor>
        <t:Assign userId="S::Lina.VATENAITE@ec.europa.eu::5e87fbc2-f69a-412d-b44c-14157d019002" userName="VATENAITE Lina (SG REFORM-VILNIUS)" userProvider="AD"/>
      </t:Event>
      <t:Event time="2026-05-05T18:16:04.762Z" id="{B3FC8467-AAEE-4BDC-AFD7-AE45518DC7D5}">
        <t:Attribution userId="S::Elodie.DURAND@ec.europa.eu::c1a07f26-dcc6-416a-b23f-9b6e69bfa2fb" userName="DURAND Elodie (SG REFORM)" userProvider="AD"/>
        <t:Anchor>
          <t:Comment id="1498005547"/>
        </t:Anchor>
        <t:SetTitle title="@VATENAITE Lina (SG REFORM-VILNIUS) I propose to keep the text as is for now (to not imply we agree already) and to ask the question above. If not quite right, please delete my comment and rephrase better!"/>
      </t:Event>
      <t:Event time="2026-05-05T18:36:21.233Z" id="{47110159-951E-4252-92C3-92D15D66F6A7}">
        <t:Attribution userId="S::lina.vatenaite@ec.europa.eu::5e87fbc2-f69a-412d-b44c-14157d019002" userName="VATENAITE Lina (SG REFORM-VILNIUS)" userProvider="AD"/>
        <t:Progress percentComplete="100"/>
      </t:Event>
    </t:History>
  </t:Task>
  <t:Task id="{939CB62D-900E-429B-AFFA-4C3DFAD0C97A}">
    <t:Anchor>
      <t:Comment id="1549636807"/>
    </t:Anchor>
    <t:History>
      <t:Event time="2026-01-12T14:45:29.66Z" id="{9AEB6F75-E870-40BA-8BE5-91856B3BA9B3}">
        <t:Attribution userId="S::elodie.durand@ec.europa.eu::c1a07f26-dcc6-416a-b23f-9b6e69bfa2fb" userName="DURAND Elodie (SG REFORM)" userProvider="AD"/>
        <t:Anchor>
          <t:Comment id="1549636807"/>
        </t:Anchor>
        <t:Create/>
      </t:Event>
      <t:Event time="2026-01-12T14:45:29.66Z" id="{72922A4D-CACA-431F-B0DD-678449810726}">
        <t:Attribution userId="S::elodie.durand@ec.europa.eu::c1a07f26-dcc6-416a-b23f-9b6e69bfa2fb" userName="DURAND Elodie (SG REFORM)" userProvider="AD"/>
        <t:Anchor>
          <t:Comment id="1549636807"/>
        </t:Anchor>
        <t:Assign userId="S::Michel.KLAJA@ec.europa.eu::5196fcfd-aea1-493e-ac47-088b087421e8" userName="KLAJA Michel (ECFIN)" userProvider="AD"/>
      </t:Event>
      <t:Event time="2026-01-12T14:45:29.66Z" id="{E52BD599-FE39-4CF2-9188-2043F7C0A4B4}">
        <t:Attribution userId="S::elodie.durand@ec.europa.eu::c1a07f26-dcc6-416a-b23f-9b6e69bfa2fb" userName="DURAND Elodie (SG REFORM)" userProvider="AD"/>
        <t:Anchor>
          <t:Comment id="1549636807"/>
        </t:Anchor>
        <t:SetTitle title="@KLAJA Michel (ECFIN) no strong views from my side but Valerie indicated that she would rather stick to the HR example so if this &quot;execution&quot; was changed today, can you revert back to the HR wording? THanks"/>
      </t:Event>
    </t:History>
  </t:Task>
  <t:Task id="{250F492E-EA0B-4824-9A28-AFB0057814C7}">
    <t:Anchor>
      <t:Comment id="1533465227"/>
    </t:Anchor>
    <t:History>
      <t:Event time="2026-06-05T09:59:02.327Z" id="{338039D2-87C6-4174-BB19-5D6D6DC8C668}">
        <t:Attribution userId="S::javier.pozas-delgado-brackenbury@ec.europa.eu::0664c899-7ce2-4951-8b2e-e1ca48917eab" userName="POZAS DELGADO-BRACKENBURY Javier (ECFIN)" userProvider="AD"/>
        <t:Anchor>
          <t:Comment id="1533465227"/>
        </t:Anchor>
        <t:Create/>
      </t:Event>
      <t:Event time="2026-06-05T09:59:02.327Z" id="{1F16ECC7-69B3-46F4-8A8D-71B84D08A9C1}">
        <t:Attribution userId="S::javier.pozas-delgado-brackenbury@ec.europa.eu::0664c899-7ce2-4951-8b2e-e1ca48917eab" userName="POZAS DELGADO-BRACKENBURY Javier (ECFIN)" userProvider="AD"/>
        <t:Anchor>
          <t:Comment id="1533465227"/>
        </t:Anchor>
        <t:Assign userId="S::Krisjanis.KIRSIS@ec.europa.eu::6565114d-5e22-4679-8d0d-2c7cf3d5fbfe" userName="KIRSIS Krisjanis (SG REFORM)" userProvider="AD"/>
      </t:Event>
      <t:Event time="2026-06-05T09:59:02.327Z" id="{CD898F0C-8007-4DEA-8605-2CC016E0639F}">
        <t:Attribution userId="S::javier.pozas-delgado-brackenbury@ec.europa.eu::0664c899-7ce2-4951-8b2e-e1ca48917eab" userName="POZAS DELGADO-BRACKENBURY Javier (ECFIN)" userProvider="AD"/>
        <t:Anchor>
          <t:Comment id="1533465227"/>
        </t:Anchor>
        <t:SetTitle title="@KIRSIS Krisjanis (SG REFORM)"/>
      </t:Event>
      <t:Event time="2026-06-05T10:36:53.309Z" id="{17563B88-9541-45C4-94C4-BBA8193D3232}">
        <t:Attribution userId="S::krisjanis.kirsis@ec.europa.eu::6565114d-5e22-4679-8d0d-2c7cf3d5fbfe" userName="KIRSIS Krisjanis (SG REFORM)"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9" ma:contentTypeDescription="Create a new document." ma:contentTypeScope="" ma:versionID="9aea641c16440c18c59a49c72e2cbd34">
  <xsd:schema xmlns:xsd="http://www.w3.org/2001/XMLSchema" xmlns:xs="http://www.w3.org/2001/XMLSchema" xmlns:p="http://schemas.microsoft.com/office/2006/metadata/properties" xmlns:ns1="http://schemas.microsoft.com/sharepoint/v3" xmlns:ns2="1700ab43-7395-48ff-866c-657c86ba7f4e" xmlns:ns3="e6c3bc29-9e11-4027-900b-c73633d7928a" targetNamespace="http://schemas.microsoft.com/office/2006/metadata/properties" ma:root="true" ma:fieldsID="56d268a5be1654cb60403f0aeb864cf7" ns1:_="" ns2:_="" ns3:_="">
    <xsd:import namespace="http://schemas.microsoft.com/sharepoint/v3"/>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Loans" minOccurs="0"/>
                <xsd:element ref="ns2:MediaServiceDateTake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oans" ma:index="23" nillable="true" ma:displayName="Loans" ma:format="Dropdown" ma:internalName="Loans">
      <xsd:simpleType>
        <xsd:restriction base="dms:Text">
          <xsd:maxLength value="255"/>
        </xsd:restrictio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f2fb1bd8-6bc9-493f-926f-dc4f2dd75951}"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e6c3bc29-9e11-4027-900b-c73633d7928a">
      <UserInfo>
        <DisplayName/>
        <AccountId xsi:nil="true"/>
        <AccountType/>
      </UserInfo>
    </SharedWithUsers>
    <TaxCatchAll xmlns="e6c3bc29-9e11-4027-900b-c73633d7928a" xsi:nil="true"/>
    <lcf76f155ced4ddcb4097134ff3c332f xmlns="1700ab43-7395-48ff-866c-657c86ba7f4e">
      <Terms xmlns="http://schemas.microsoft.com/office/infopath/2007/PartnerControls"/>
    </lcf76f155ced4ddcb4097134ff3c332f>
    <_ip_UnifiedCompliancePolicyUIAction xmlns="http://schemas.microsoft.com/sharepoint/v3" xsi:nil="true"/>
    <Loans xmlns="1700ab43-7395-48ff-866c-657c86ba7f4e"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462E46-7983-4A28-BEDB-AD9E2A58E0A6}">
  <ds:schemaRefs>
    <ds:schemaRef ds:uri="http://schemas.microsoft.com/sharepoint/v3/contenttype/forms"/>
  </ds:schemaRefs>
</ds:datastoreItem>
</file>

<file path=customXml/itemProps2.xml><?xml version="1.0" encoding="utf-8"?>
<ds:datastoreItem xmlns:ds="http://schemas.openxmlformats.org/officeDocument/2006/customXml" ds:itemID="{A8827CF4-A068-4F4C-8CB7-6375134EC6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0F6E64-F52A-4034-8E8C-344452453D9B}">
  <ds:schemaRefs>
    <ds:schemaRef ds:uri="http://schemas.microsoft.com/office/2006/metadata/properties"/>
    <ds:schemaRef ds:uri="http://schemas.microsoft.com/office/infopath/2007/PartnerControls"/>
    <ds:schemaRef ds:uri="e6c3bc29-9e11-4027-900b-c73633d7928a"/>
    <ds:schemaRef ds:uri="1700ab43-7395-48ff-866c-657c86ba7f4e"/>
    <ds:schemaRef ds:uri="http://schemas.microsoft.com/sharepoint/v3"/>
  </ds:schemaRefs>
</ds:datastoreItem>
</file>

<file path=customXml/itemProps4.xml><?xml version="1.0" encoding="utf-8"?>
<ds:datastoreItem xmlns:ds="http://schemas.openxmlformats.org/officeDocument/2006/customXml" ds:itemID="{91508A78-2E28-46A8-B3CE-C591FC43177D}">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Privilege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Normal.dotm</Template>
  <TotalTime>61</TotalTime>
  <Pages>7</Pages>
  <Words>47198</Words>
  <Characters>269034</Characters>
  <Application>Microsoft Office Word</Application>
  <DocSecurity>0</DocSecurity>
  <Lines>2241</Lines>
  <Paragraphs>631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315601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10</cp:revision>
  <dcterms:created xsi:type="dcterms:W3CDTF">2026-06-24T06:03:00Z</dcterms:created>
  <dcterms:modified xsi:type="dcterms:W3CDTF">2026-06-25T10:44:00Z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First annex">
    <vt:lpwstr>1</vt:lpwstr>
  </property>
  <property fmtid="{D5CDD505-2E9C-101B-9397-08002B2CF9AE}" pid="4" name="Last annex">
    <vt:lpwstr>1</vt:lpwstr>
  </property>
  <property fmtid="{D5CDD505-2E9C-101B-9397-08002B2CF9AE}" pid="5" name="Unique annex">
    <vt:lpwstr>1</vt:lpwstr>
  </property>
  <property fmtid="{D5CDD505-2E9C-101B-9397-08002B2CF9AE}" pid="6" name="Part">
    <vt:lpwstr>1</vt:lpwstr>
  </property>
  <property fmtid="{D5CDD505-2E9C-101B-9397-08002B2CF9AE}" pid="7" name="Total parts">
    <vt:lpwstr>1</vt:lpwstr>
  </property>
  <property fmtid="{D5CDD505-2E9C-101B-9397-08002B2CF9AE}" pid="8" name="CPTemplateID">
    <vt:lpwstr>CP-036</vt:lpwstr>
  </property>
  <property fmtid="{D5CDD505-2E9C-101B-9397-08002B2CF9AE}" pid="9" name="Created using">
    <vt:lpwstr>DocuWrite 4.8.5, Build 20230921</vt:lpwstr>
  </property>
  <property fmtid="{D5CDD505-2E9C-101B-9397-08002B2CF9AE}" pid="10" name="ContentTypeId">
    <vt:lpwstr>0x01010062094E9F29D6C04F85860C631ABC812A</vt:lpwstr>
  </property>
  <property fmtid="{D5CDD505-2E9C-101B-9397-08002B2CF9AE}" pid="11" name="MSIP_Label_6bd9ddd1-4d20-43f6-abfa-fc3c07406f94_Enabled">
    <vt:lpwstr>true</vt:lpwstr>
  </property>
  <property fmtid="{D5CDD505-2E9C-101B-9397-08002B2CF9AE}" pid="12" name="MSIP_Label_6bd9ddd1-4d20-43f6-abfa-fc3c07406f94_SetDate">
    <vt:lpwstr>2023-06-26T08:38:30Z</vt:lpwstr>
  </property>
  <property fmtid="{D5CDD505-2E9C-101B-9397-08002B2CF9AE}" pid="13" name="MSIP_Label_6bd9ddd1-4d20-43f6-abfa-fc3c07406f94_Method">
    <vt:lpwstr>Privileged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a8efe8b4-07ad-4475-bb73-0e356594b8dd</vt:lpwstr>
  </property>
  <property fmtid="{D5CDD505-2E9C-101B-9397-08002B2CF9AE}" pid="17" name="MSIP_Label_6bd9ddd1-4d20-43f6-abfa-fc3c07406f94_ContentBits">
    <vt:lpwstr>0</vt:lpwstr>
  </property>
  <property fmtid="{D5CDD505-2E9C-101B-9397-08002B2CF9AE}" pid="18" name="MediaServiceImageTags">
    <vt:lpwstr/>
  </property>
  <property fmtid="{D5CDD505-2E9C-101B-9397-08002B2CF9AE}" pid="19" name="MSIP_Label_b1df41d6-74a9-4a97-809c-213cd32520cc_Enabled">
    <vt:lpwstr>true</vt:lpwstr>
  </property>
  <property fmtid="{D5CDD505-2E9C-101B-9397-08002B2CF9AE}" pid="20" name="MSIP_Label_b1df41d6-74a9-4a97-809c-213cd32520cc_SetDate">
    <vt:lpwstr>2023-10-24T10:41:59Z</vt:lpwstr>
  </property>
  <property fmtid="{D5CDD505-2E9C-101B-9397-08002B2CF9AE}" pid="21" name="MSIP_Label_b1df41d6-74a9-4a97-809c-213cd32520cc_Method">
    <vt:lpwstr>Privileged</vt:lpwstr>
  </property>
  <property fmtid="{D5CDD505-2E9C-101B-9397-08002B2CF9AE}" pid="22" name="MSIP_Label_b1df41d6-74a9-4a97-809c-213cd32520cc_Name">
    <vt:lpwstr>GSCEU - NON PUBLIC Label</vt:lpwstr>
  </property>
  <property fmtid="{D5CDD505-2E9C-101B-9397-08002B2CF9AE}" pid="23" name="MSIP_Label_b1df41d6-74a9-4a97-809c-213cd32520cc_SiteId">
    <vt:lpwstr>03ad1c97-0a4d-4e82-8f93-27291a6a0767</vt:lpwstr>
  </property>
  <property fmtid="{D5CDD505-2E9C-101B-9397-08002B2CF9AE}" pid="24" name="MSIP_Label_b1df41d6-74a9-4a97-809c-213cd32520cc_ActionId">
    <vt:lpwstr>1a96be80-4f0f-4c1a-9473-01328cd6e5d6</vt:lpwstr>
  </property>
  <property fmtid="{D5CDD505-2E9C-101B-9397-08002B2CF9AE}" pid="25" name="MSIP_Label_b1df41d6-74a9-4a97-809c-213cd32520cc_ContentBits">
    <vt:lpwstr>0</vt:lpwstr>
  </property>
  <property fmtid="{D5CDD505-2E9C-101B-9397-08002B2CF9AE}" pid="26" name="Last edited using">
    <vt:lpwstr>LW 9.2, Build 20250828</vt:lpwstr>
  </property>
  <property fmtid="{D5CDD505-2E9C-101B-9397-08002B2CF9AE}" pid="27" name="DocStatus">
    <vt:lpwstr>Green</vt:lpwstr>
  </property>
</Properties>
</file>