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53D88C" w14:textId="22E832AE" w:rsidR="008E6885" w:rsidRDefault="00BB4340" w:rsidP="00BB4340">
      <w:pPr>
        <w:pStyle w:val="Pagedecouverture"/>
        <w:rPr>
          <w:noProof/>
        </w:rPr>
      </w:pPr>
      <w:bookmarkStart w:id="0" w:name="LW_BM_COVERPAGE"/>
      <w:r>
        <w:rPr>
          <w:noProof/>
        </w:rPr>
        <w:pict w14:anchorId="5354F7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967E2F7-FCE1-438C-8E09-D7D79E3552E2" style="width:455.25pt;height:372.75pt">
            <v:imagedata r:id="rId8" o:title=""/>
          </v:shape>
        </w:pict>
      </w:r>
    </w:p>
    <w:bookmarkEnd w:id="0"/>
    <w:p w14:paraId="0DDCC603" w14:textId="77777777" w:rsidR="008E6885" w:rsidRDefault="008E6885">
      <w:pPr>
        <w:rPr>
          <w:noProof/>
        </w:rPr>
        <w:sectPr w:rsidR="008E6885" w:rsidSect="00BB434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D693ADD" w14:textId="512778D8" w:rsidR="008E6885" w:rsidRDefault="00EA24E7">
      <w:pPr>
        <w:pStyle w:val="P68B1DB1-Normal1"/>
        <w:spacing w:after="200" w:line="276" w:lineRule="auto"/>
        <w:jc w:val="center"/>
        <w:rPr>
          <w:rFonts w:cs="Times New Roman"/>
          <w:bCs/>
          <w:noProof/>
        </w:rPr>
      </w:pPr>
      <w:bookmarkStart w:id="1" w:name="_GoBack"/>
      <w:bookmarkEnd w:id="1"/>
      <w:r>
        <w:rPr>
          <w:noProof/>
        </w:rPr>
        <w:lastRenderedPageBreak/>
        <w:t>ANNEXE</w:t>
      </w:r>
    </w:p>
    <w:p w14:paraId="090404BC" w14:textId="77777777" w:rsidR="008E6885" w:rsidRDefault="00EA24E7">
      <w:pPr>
        <w:pStyle w:val="P68B1DB1-Normal2"/>
        <w:spacing w:after="200" w:line="276" w:lineRule="auto"/>
        <w:rPr>
          <w:rFonts w:cs="Times New Roman"/>
          <w:noProof/>
        </w:rPr>
      </w:pPr>
      <w:r>
        <w:rPr>
          <w:noProof/>
        </w:rPr>
        <w:t>SECTION 1 : RÉFORMES ET INVESTISSEMENTS DANS LE CADRE DU PLAN DE RÉCUPÉRATION ET DE RESILIENCE</w:t>
      </w:r>
    </w:p>
    <w:p w14:paraId="7A36489B" w14:textId="394CCA8E" w:rsidR="008E6885" w:rsidRDefault="00EA24E7">
      <w:pPr>
        <w:pStyle w:val="P68B1DB1-Normal2"/>
        <w:numPr>
          <w:ilvl w:val="6"/>
          <w:numId w:val="0"/>
        </w:numPr>
        <w:spacing w:after="0" w:line="240" w:lineRule="auto"/>
        <w:ind w:left="567" w:hanging="567"/>
        <w:jc w:val="both"/>
        <w:rPr>
          <w:rFonts w:cs="Times New Roman"/>
          <w:noProof/>
        </w:rPr>
      </w:pPr>
      <w:r>
        <w:rPr>
          <w:noProof/>
        </w:rPr>
        <w:t xml:space="preserve">1. Description des réformes et des investissements </w:t>
      </w:r>
    </w:p>
    <w:p w14:paraId="0F8C57E0" w14:textId="77777777" w:rsidR="008E6885" w:rsidRDefault="00EA24E7">
      <w:pPr>
        <w:pStyle w:val="P68B1DB1-Normal3"/>
        <w:keepNext/>
        <w:spacing w:before="480" w:after="360" w:line="240" w:lineRule="auto"/>
        <w:outlineLvl w:val="0"/>
        <w:rPr>
          <w:rFonts w:eastAsia="MS Gothic" w:cs="Times New Roman"/>
          <w:bCs/>
          <w:noProof/>
        </w:rPr>
      </w:pPr>
      <w:r>
        <w:rPr>
          <w:noProof/>
        </w:rPr>
        <w:t>A. Élément 1: CHANGEMENT CLIMATIQUE ET DURABILITÉ ENVIRONNEMENTALE</w:t>
      </w:r>
    </w:p>
    <w:p w14:paraId="1613DFB4" w14:textId="77777777" w:rsidR="008E6885" w:rsidRDefault="00EA24E7">
      <w:pPr>
        <w:pStyle w:val="P68B1DB1-Normal4"/>
        <w:spacing w:after="120" w:line="240" w:lineRule="auto"/>
        <w:jc w:val="both"/>
        <w:rPr>
          <w:rFonts w:cs="Times New Roman"/>
          <w:noProof/>
        </w:rPr>
      </w:pPr>
      <w:r>
        <w:rPr>
          <w:noProof/>
        </w:rPr>
        <w:t>L’objectif général de ce volet du plan letton pour la reprise et la résilience est de contribuer à la transition écologique et notamment aux objectifs environnementaux d’atténuation du changement climatique et d’adaptation à celui-ci. Chaque sous-composante se concentre sur certains des défis de la transition écologique. La sous-composante 1.1 est axée sur la mobilité durable en vue de réduire les émissions dans le secteur des transports, en particulier à Riga et dans sa périphérie, en investissant dans des infrastructures de transports publics propres (notamment ferroviaires). La sous-composante 1.2 vise principalement à accroître l’efficacité énergétique en soutenant divers programmes de rénovation énergétique dans les bâtiments publics et privés et en soutenant les réseaux énergétiques durables. Enfin, la sous-composante 1.3 contribue à l’adaptation au changement climatique en prévenant les risques liés au changement climatique tels que les incendies et les inondations.</w:t>
      </w:r>
    </w:p>
    <w:p w14:paraId="1379C021" w14:textId="77777777" w:rsidR="008E6885" w:rsidRDefault="00EA24E7">
      <w:pPr>
        <w:pStyle w:val="P68B1DB1-Normal4"/>
        <w:spacing w:after="120" w:line="240" w:lineRule="auto"/>
        <w:jc w:val="both"/>
        <w:rPr>
          <w:rFonts w:cs="Times New Roman"/>
          <w:noProof/>
        </w:rPr>
      </w:pPr>
      <w:r>
        <w:rPr>
          <w:noProof/>
        </w:rPr>
        <w:t>Le volet soutient la mise en œuvre des recommandations par pays relatives aux transports, notamment en ce qui concerne leur durabilité, leur efficacité énergétique et leurs interconnexions énergétiques (recommandation par pays no 3, 2019). Elle contribue également à concentrer en amont les projets d’investissement public parvenus à maturité et à mettre l’accent sur la transition écologique et numérique, en particulier la production et l’utilisation propres et efficaces de l’énergie et les infrastructures de transport durables (recommandation par pays no 3, 2020).</w:t>
      </w:r>
    </w:p>
    <w:p w14:paraId="40CC6D42" w14:textId="77777777" w:rsidR="008E6885" w:rsidRDefault="00EA24E7">
      <w:pPr>
        <w:pStyle w:val="P68B1DB1-Normal5"/>
        <w:spacing w:before="120" w:after="120" w:line="240" w:lineRule="auto"/>
        <w:jc w:val="both"/>
        <w:rPr>
          <w:rFonts w:eastAsia="Times New Roman"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7D884A73" w14:textId="77777777" w:rsidR="008E6885" w:rsidRDefault="00EA24E7">
      <w:pPr>
        <w:pStyle w:val="P68B1DB1-Normal6"/>
        <w:keepNext/>
        <w:keepLines/>
        <w:spacing w:after="240" w:line="240" w:lineRule="auto"/>
        <w:jc w:val="both"/>
        <w:outlineLvl w:val="1"/>
        <w:rPr>
          <w:rFonts w:cs="Times New Roman"/>
          <w:noProof/>
        </w:rPr>
      </w:pPr>
      <w:r>
        <w:rPr>
          <w:noProof/>
        </w:rPr>
        <w:t>A.1. Description des réformes et des investissements pour le soutien financier non remboursable</w:t>
      </w:r>
    </w:p>
    <w:p w14:paraId="709D16EF" w14:textId="77777777" w:rsidR="008E6885" w:rsidRDefault="00EA24E7">
      <w:pPr>
        <w:pStyle w:val="P68B1DB1-Normal7"/>
        <w:keepNext/>
        <w:keepLines/>
        <w:shd w:val="clear" w:color="auto" w:fill="FFFFFF"/>
        <w:spacing w:after="120" w:line="240" w:lineRule="auto"/>
        <w:jc w:val="both"/>
        <w:rPr>
          <w:rFonts w:cs="Times New Roman"/>
          <w:noProof/>
        </w:rPr>
      </w:pPr>
      <w:r>
        <w:rPr>
          <w:noProof/>
        </w:rPr>
        <w:t>Réforme: 1.1.1.r. Un système de transport durable</w:t>
      </w:r>
    </w:p>
    <w:p w14:paraId="5585C416" w14:textId="77777777" w:rsidR="008E6885" w:rsidRDefault="00EA24E7">
      <w:pPr>
        <w:pStyle w:val="P68B1DB1-Normal4"/>
        <w:spacing w:after="120" w:line="240" w:lineRule="auto"/>
        <w:jc w:val="both"/>
        <w:rPr>
          <w:noProof/>
        </w:rPr>
      </w:pPr>
      <w:r>
        <w:rPr>
          <w:noProof/>
        </w:rPr>
        <w:t>L’objectif de la mesure est de contribuer à réduire les émissions de gaz à effet de serre (GES) de la Lettonie, en mettant l’accent sur les transports.</w:t>
      </w:r>
    </w:p>
    <w:p w14:paraId="07C0642D" w14:textId="77777777" w:rsidR="008E6885" w:rsidRDefault="00EA24E7">
      <w:pPr>
        <w:pStyle w:val="P68B1DB1-Normal4"/>
        <w:spacing w:after="240" w:line="240" w:lineRule="auto"/>
        <w:jc w:val="both"/>
        <w:rPr>
          <w:rFonts w:eastAsia="Times New Roman" w:cs="Times New Roman"/>
          <w:noProof/>
        </w:rPr>
      </w:pPr>
      <w:r>
        <w:rPr>
          <w:noProof/>
        </w:rPr>
        <w:t>La mesure consiste en l’entrée en vigueur d’un ou de plusieurs actes juridiques et d’un ou de plusieurs rapports relatifs au réseau de transport public.</w:t>
      </w:r>
    </w:p>
    <w:p w14:paraId="7ACFC033" w14:textId="77777777" w:rsidR="008E6885" w:rsidRDefault="00EA24E7">
      <w:pPr>
        <w:pStyle w:val="P68B1DB1-Normal7"/>
        <w:keepNext/>
        <w:keepLines/>
        <w:shd w:val="clear" w:color="auto" w:fill="FFFFFF"/>
        <w:spacing w:after="0" w:line="240" w:lineRule="auto"/>
        <w:jc w:val="both"/>
        <w:rPr>
          <w:rFonts w:cs="Times New Roman"/>
          <w:noProof/>
        </w:rPr>
      </w:pPr>
      <w:r>
        <w:rPr>
          <w:noProof/>
        </w:rPr>
        <w:t>Investissement: 1.1.1.i. Amélioration de l'infrastructure des transports métropolitains de Riga</w:t>
      </w:r>
    </w:p>
    <w:p w14:paraId="0F0D6B07" w14:textId="77777777" w:rsidR="008E6885" w:rsidRDefault="00EA24E7">
      <w:pPr>
        <w:pStyle w:val="P68B1DB1-Normal4"/>
        <w:spacing w:after="120" w:line="240" w:lineRule="auto"/>
        <w:jc w:val="both"/>
        <w:rPr>
          <w:noProof/>
        </w:rPr>
      </w:pPr>
      <w:r>
        <w:rPr>
          <w:noProof/>
        </w:rPr>
        <w:t>L’objectif de la mesure est de soutenir les infrastructures de transport multimodal métropolitain de Riga.</w:t>
      </w:r>
    </w:p>
    <w:p w14:paraId="10CFA0D2" w14:textId="77777777" w:rsidR="008E6885" w:rsidRDefault="00EA24E7">
      <w:pPr>
        <w:pStyle w:val="P68B1DB1-Normal4"/>
        <w:spacing w:after="240" w:line="240" w:lineRule="auto"/>
        <w:jc w:val="both"/>
        <w:rPr>
          <w:rFonts w:eastAsia="Times New Roman" w:cs="Times New Roman"/>
          <w:noProof/>
        </w:rPr>
      </w:pPr>
      <w:r>
        <w:rPr>
          <w:noProof/>
        </w:rPr>
        <w:t>La mesure consiste en des investissements dans la mobilité propre et les infrastructures.</w:t>
      </w:r>
    </w:p>
    <w:p w14:paraId="08595163" w14:textId="77777777" w:rsidR="008E6885" w:rsidRDefault="00EA24E7">
      <w:pPr>
        <w:pStyle w:val="P68B1DB1-Normal7"/>
        <w:keepNext/>
        <w:keepLines/>
        <w:spacing w:before="360" w:after="120" w:line="240" w:lineRule="auto"/>
        <w:jc w:val="both"/>
        <w:rPr>
          <w:rFonts w:cs="Times New Roman"/>
          <w:noProof/>
        </w:rPr>
      </w:pPr>
      <w:r>
        <w:rPr>
          <w:noProof/>
        </w:rPr>
        <w:lastRenderedPageBreak/>
        <w:t>Investissement: 1.2.1.1.i. Améliorer l'efficacité énergétique des immeubles comprenant plusieurs appartements</w:t>
      </w:r>
    </w:p>
    <w:p w14:paraId="6594062C" w14:textId="77777777" w:rsidR="008E6885" w:rsidRDefault="00EA24E7">
      <w:pPr>
        <w:pStyle w:val="P68B1DB1-Normal4"/>
        <w:spacing w:after="120" w:line="240" w:lineRule="auto"/>
        <w:jc w:val="both"/>
        <w:rPr>
          <w:rFonts w:eastAsia="Times New Roman" w:cs="Times New Roman"/>
          <w:noProof/>
        </w:rPr>
      </w:pPr>
      <w:r>
        <w:rPr>
          <w:noProof/>
        </w:rPr>
        <w:t>L’objectif de la mesure est d’accroître l’efficacité énergétique des bâtiments.</w:t>
      </w:r>
    </w:p>
    <w:p w14:paraId="7ABDC390" w14:textId="77777777" w:rsidR="008E6885" w:rsidRDefault="00EA24E7">
      <w:pPr>
        <w:pStyle w:val="P68B1DB1-Normal4"/>
        <w:spacing w:after="240" w:line="240" w:lineRule="auto"/>
        <w:jc w:val="both"/>
        <w:rPr>
          <w:rFonts w:eastAsia="Times New Roman" w:cs="Times New Roman"/>
          <w:noProof/>
        </w:rPr>
      </w:pPr>
      <w:r>
        <w:rPr>
          <w:noProof/>
        </w:rPr>
        <w:t>La mesure consiste en un programme de soutien à la rénovation énergétique des bâtiments comprenant plusieurs appartements.</w:t>
      </w:r>
    </w:p>
    <w:p w14:paraId="5D0455A2" w14:textId="77777777" w:rsidR="008E6885" w:rsidRDefault="00EA24E7">
      <w:pPr>
        <w:pStyle w:val="P68B1DB1-Normal7"/>
        <w:keepNext/>
        <w:keepLines/>
        <w:spacing w:after="120" w:line="240" w:lineRule="auto"/>
        <w:jc w:val="both"/>
        <w:rPr>
          <w:rFonts w:cs="Times New Roman"/>
          <w:noProof/>
        </w:rPr>
      </w:pPr>
      <w:r>
        <w:rPr>
          <w:noProof/>
        </w:rPr>
        <w:t>Investissement: 1.2.1.2.i. Accroître l'efficacité énergétique des entreprises sous la forme d'un instrument financier combiné</w:t>
      </w:r>
    </w:p>
    <w:p w14:paraId="0A561E77" w14:textId="77777777" w:rsidR="008E6885" w:rsidRDefault="00EA24E7">
      <w:pPr>
        <w:pStyle w:val="P68B1DB1-Normal4"/>
        <w:spacing w:after="120" w:line="240" w:lineRule="auto"/>
        <w:jc w:val="both"/>
        <w:rPr>
          <w:rFonts w:cs="Times New Roman"/>
          <w:noProof/>
        </w:rPr>
      </w:pPr>
      <w:r>
        <w:rPr>
          <w:noProof/>
        </w:rPr>
        <w:t>L’objectif de la mesure est d’accroître l’efficacité énergétique des entreprises lettones.</w:t>
      </w:r>
    </w:p>
    <w:p w14:paraId="24DB8350" w14:textId="77777777" w:rsidR="008E6885" w:rsidRDefault="00EA24E7">
      <w:pPr>
        <w:pStyle w:val="P68B1DB1-Normal4"/>
        <w:spacing w:after="240" w:line="240" w:lineRule="auto"/>
        <w:jc w:val="both"/>
        <w:rPr>
          <w:rFonts w:eastAsia="Times New Roman" w:cs="Times New Roman"/>
          <w:noProof/>
        </w:rPr>
      </w:pPr>
      <w:r>
        <w:rPr>
          <w:noProof/>
        </w:rPr>
        <w:t>La mesure consiste à soutenir les activités d’entités telles que l’amélioration de l’efficacité énergétique, l’introduction de technologies liées aux énergies renouvelables, l’investissement dans les transports durables, l’introduction de nouvelles technologies économes en énergie dans la production ou la recherche de nouveaux produits et technologies liés à l’économie à faible intensité de carbone, à la résilience au changement climatique et à l’adaptation à celui-ci.</w:t>
      </w:r>
    </w:p>
    <w:p w14:paraId="144963DD" w14:textId="77777777" w:rsidR="008E6885" w:rsidRDefault="00EA24E7">
      <w:pPr>
        <w:pStyle w:val="P68B1DB1-Normal7"/>
        <w:keepNext/>
        <w:keepLines/>
        <w:spacing w:after="120" w:line="240" w:lineRule="auto"/>
        <w:jc w:val="both"/>
        <w:rPr>
          <w:rFonts w:cs="Times New Roman"/>
          <w:noProof/>
        </w:rPr>
      </w:pPr>
      <w:r>
        <w:rPr>
          <w:noProof/>
        </w:rPr>
        <w:t>Investissement: 1.2.1.3.i. Améliorer l'efficacité énergétique des bâtiments municipaux</w:t>
      </w:r>
    </w:p>
    <w:p w14:paraId="5E88D9EB" w14:textId="77777777" w:rsidR="008E6885" w:rsidRDefault="00EA24E7">
      <w:pPr>
        <w:pStyle w:val="P68B1DB1-Normal4"/>
        <w:spacing w:after="120" w:line="240" w:lineRule="auto"/>
        <w:jc w:val="both"/>
        <w:rPr>
          <w:rFonts w:cs="Times New Roman"/>
          <w:noProof/>
        </w:rPr>
      </w:pPr>
      <w:r>
        <w:rPr>
          <w:noProof/>
        </w:rPr>
        <w:t xml:space="preserve">L’objectif de la mesure est d’accroître l’efficacité énergétique des bâtiments municipaux lettons. </w:t>
      </w:r>
    </w:p>
    <w:p w14:paraId="431CF4E5" w14:textId="77777777" w:rsidR="008E6885" w:rsidRDefault="00EA24E7">
      <w:pPr>
        <w:pStyle w:val="P68B1DB1-Normal4"/>
        <w:spacing w:after="240" w:line="240" w:lineRule="auto"/>
        <w:jc w:val="both"/>
        <w:rPr>
          <w:rFonts w:eastAsia="MS Mincho" w:cs="Times New Roman"/>
          <w:noProof/>
        </w:rPr>
      </w:pPr>
      <w:r>
        <w:rPr>
          <w:noProof/>
        </w:rPr>
        <w:t>La mesure consiste en des investissements dans l’efficacité énergétique des bâtiments municipaux.</w:t>
      </w:r>
    </w:p>
    <w:p w14:paraId="48EBDDF1" w14:textId="77777777" w:rsidR="008E6885" w:rsidRDefault="00EA24E7">
      <w:pPr>
        <w:pStyle w:val="P68B1DB1-Normal7"/>
        <w:keepNext/>
        <w:keepLines/>
        <w:spacing w:after="0" w:line="240" w:lineRule="auto"/>
        <w:jc w:val="both"/>
        <w:rPr>
          <w:rFonts w:cs="Times New Roman"/>
          <w:noProof/>
        </w:rPr>
      </w:pPr>
      <w:r>
        <w:rPr>
          <w:noProof/>
        </w:rPr>
        <w:t>Investissement: 1.2.1.4.i. Améliorer l'efficacité énergétique des bâtiments du secteur public</w:t>
      </w:r>
    </w:p>
    <w:p w14:paraId="1BAE3DD8" w14:textId="77777777" w:rsidR="008E6885" w:rsidRDefault="00EA24E7">
      <w:pPr>
        <w:pStyle w:val="P68B1DB1-Normal4"/>
        <w:spacing w:before="120" w:after="0" w:line="240" w:lineRule="auto"/>
        <w:jc w:val="both"/>
        <w:rPr>
          <w:rFonts w:eastAsia="Times New Roman" w:cs="Times New Roman"/>
          <w:noProof/>
        </w:rPr>
      </w:pPr>
      <w:r>
        <w:rPr>
          <w:noProof/>
        </w:rPr>
        <w:t xml:space="preserve">L’objectif de la mesure est d’accroître l’efficacité énergétique du parc immobilier public letton. </w:t>
      </w:r>
    </w:p>
    <w:p w14:paraId="06875267" w14:textId="77777777" w:rsidR="008E6885" w:rsidRDefault="00EA24E7">
      <w:pPr>
        <w:pStyle w:val="P68B1DB1-Normal4"/>
        <w:spacing w:after="240" w:line="240" w:lineRule="auto"/>
        <w:jc w:val="both"/>
        <w:rPr>
          <w:rFonts w:eastAsia="MS Mincho" w:cs="Times New Roman"/>
          <w:noProof/>
        </w:rPr>
      </w:pPr>
      <w:r>
        <w:rPr>
          <w:noProof/>
        </w:rPr>
        <w:t>La mesure consiste en des améliorations de l’efficacité énergétique dans les bâtiments publics.</w:t>
      </w:r>
    </w:p>
    <w:p w14:paraId="1070DF1C" w14:textId="77777777" w:rsidR="008E6885" w:rsidRDefault="00EA24E7">
      <w:pPr>
        <w:pStyle w:val="P68B1DB1-Normal7"/>
        <w:keepNext/>
        <w:keepLines/>
        <w:spacing w:after="120" w:line="240" w:lineRule="auto"/>
        <w:jc w:val="both"/>
        <w:rPr>
          <w:noProof/>
        </w:rPr>
      </w:pPr>
      <w:r>
        <w:rPr>
          <w:noProof/>
        </w:rPr>
        <w:t>Investissement: 1.2.1.5.i. Modernisation des réseaux de transport et de distribution d'électricité</w:t>
      </w:r>
    </w:p>
    <w:p w14:paraId="552BF6A9" w14:textId="77777777" w:rsidR="008E6885" w:rsidRDefault="00EA24E7">
      <w:pPr>
        <w:pStyle w:val="P68B1DB1-Normal4"/>
        <w:spacing w:after="120" w:line="240" w:lineRule="auto"/>
        <w:jc w:val="both"/>
        <w:rPr>
          <w:noProof/>
        </w:rPr>
      </w:pPr>
      <w:r>
        <w:rPr>
          <w:noProof/>
        </w:rPr>
        <w:t>L’objectif de la mesure est de contribuer à la réalisation des objectifs de neutralité climatique.</w:t>
      </w:r>
    </w:p>
    <w:p w14:paraId="12A281CC" w14:textId="77777777" w:rsidR="008E6885" w:rsidRDefault="00EA24E7">
      <w:pPr>
        <w:pStyle w:val="P68B1DB1-Normal4"/>
        <w:spacing w:after="240" w:line="240" w:lineRule="auto"/>
        <w:jc w:val="both"/>
        <w:rPr>
          <w:noProof/>
        </w:rPr>
      </w:pPr>
      <w:r>
        <w:rPr>
          <w:noProof/>
        </w:rPr>
        <w:t>La mesure consiste en un soutien aux infrastructures pour les installations d’électromobilité et de microgénération et en l’entrée en vigueur d’un ou de plusieurs actes juridiques visant à faciliter l’énergie éolienne terrestre sur les terres publiques.</w:t>
      </w:r>
    </w:p>
    <w:p w14:paraId="7F5A1EC3" w14:textId="77777777" w:rsidR="008E6885" w:rsidRDefault="00EA24E7">
      <w:pPr>
        <w:pStyle w:val="P68B1DB1-Normal7"/>
        <w:keepNext/>
        <w:keepLines/>
        <w:spacing w:after="120" w:line="240" w:lineRule="auto"/>
        <w:jc w:val="both"/>
        <w:rPr>
          <w:rFonts w:cs="Times New Roman"/>
          <w:noProof/>
        </w:rPr>
      </w:pPr>
      <w:r>
        <w:rPr>
          <w:noProof/>
        </w:rPr>
        <w:t>Réforme: 1.3.1.r. Adaptation du système de gestion des catastrophes aux changements climatiques, services de secours et d'intervention rapide</w:t>
      </w:r>
    </w:p>
    <w:p w14:paraId="3F5B0CC3" w14:textId="77777777" w:rsidR="008E6885" w:rsidRDefault="00EA24E7">
      <w:pPr>
        <w:pStyle w:val="P68B1DB1-Normal4"/>
        <w:spacing w:after="120" w:line="240" w:lineRule="auto"/>
        <w:jc w:val="both"/>
        <w:rPr>
          <w:rFonts w:cs="Times New Roman"/>
          <w:noProof/>
        </w:rPr>
      </w:pPr>
      <w:r>
        <w:rPr>
          <w:noProof/>
        </w:rPr>
        <w:t>L’objectif de la mesure est de raccourcir le temps d’intervention des services de secours en cas d’incendie.</w:t>
      </w:r>
    </w:p>
    <w:p w14:paraId="23055A4D" w14:textId="77777777" w:rsidR="008E6885" w:rsidRDefault="00EA24E7">
      <w:pPr>
        <w:pStyle w:val="P68B1DB1-Normal4"/>
        <w:spacing w:after="240" w:line="240" w:lineRule="auto"/>
        <w:jc w:val="both"/>
        <w:rPr>
          <w:rFonts w:eastAsia="MS Mincho" w:cs="Times New Roman"/>
          <w:noProof/>
        </w:rPr>
      </w:pPr>
      <w:r>
        <w:rPr>
          <w:noProof/>
        </w:rPr>
        <w:t>La mesure consiste en l’entrée en vigueur d’un acte juridique relatif au système national d’alerte précoce.</w:t>
      </w:r>
    </w:p>
    <w:p w14:paraId="1F65FE10" w14:textId="77777777" w:rsidR="008E6885" w:rsidRDefault="00EA24E7">
      <w:pPr>
        <w:pStyle w:val="P68B1DB1-Normal7"/>
        <w:keepNext/>
        <w:keepLines/>
        <w:spacing w:after="120" w:line="240" w:lineRule="auto"/>
        <w:jc w:val="both"/>
        <w:rPr>
          <w:noProof/>
        </w:rPr>
      </w:pPr>
      <w:r>
        <w:rPr>
          <w:noProof/>
        </w:rPr>
        <w:t>Investissement: 1.3.1.1.i. Accroître la capacité des services de secours</w:t>
      </w:r>
    </w:p>
    <w:p w14:paraId="26D0673C" w14:textId="77777777" w:rsidR="008E6885" w:rsidRDefault="00EA24E7">
      <w:pPr>
        <w:pStyle w:val="P68B1DB1-Normal4"/>
        <w:spacing w:after="120" w:line="240" w:lineRule="auto"/>
        <w:jc w:val="both"/>
        <w:rPr>
          <w:noProof/>
        </w:rPr>
      </w:pPr>
      <w:r>
        <w:rPr>
          <w:noProof/>
        </w:rPr>
        <w:t>L’objectif de la mesure est de contribuer à l’adaptation au changement climatique.</w:t>
      </w:r>
    </w:p>
    <w:p w14:paraId="24151DD9" w14:textId="77777777" w:rsidR="008E6885" w:rsidRDefault="00EA24E7">
      <w:pPr>
        <w:pStyle w:val="P68B1DB1-Normal4"/>
        <w:spacing w:after="240" w:line="240" w:lineRule="auto"/>
        <w:jc w:val="both"/>
        <w:rPr>
          <w:rFonts w:eastAsia="MS Mincho" w:cs="Times New Roman"/>
          <w:noProof/>
        </w:rPr>
      </w:pPr>
      <w:r>
        <w:rPr>
          <w:noProof/>
        </w:rPr>
        <w:t>La mesure consiste en la construction de huit centres de gestion des catastrophes.</w:t>
      </w:r>
    </w:p>
    <w:p w14:paraId="5926D862" w14:textId="77777777" w:rsidR="008E6885" w:rsidRDefault="00EA24E7">
      <w:pPr>
        <w:pStyle w:val="P68B1DB1-Normal7"/>
        <w:keepNext/>
        <w:keepLines/>
        <w:spacing w:after="120" w:line="240" w:lineRule="auto"/>
        <w:jc w:val="both"/>
        <w:rPr>
          <w:rFonts w:cs="Times New Roman"/>
          <w:noProof/>
        </w:rPr>
      </w:pPr>
      <w:bookmarkStart w:id="2" w:name="_Hlk150175889"/>
      <w:r>
        <w:rPr>
          <w:noProof/>
        </w:rPr>
        <w:t>Investissement: 1.3.1.2.i. Investissements dans les infrastructures de réduction des risques d'inondation</w:t>
      </w:r>
    </w:p>
    <w:p w14:paraId="42481D8A" w14:textId="77777777" w:rsidR="008E6885" w:rsidRDefault="00EA24E7">
      <w:pPr>
        <w:pStyle w:val="P68B1DB1-Normal4"/>
        <w:spacing w:after="120" w:line="240" w:lineRule="auto"/>
        <w:jc w:val="both"/>
        <w:rPr>
          <w:rFonts w:eastAsia="Times New Roman" w:cs="Times New Roman"/>
          <w:noProof/>
        </w:rPr>
      </w:pPr>
      <w:r>
        <w:rPr>
          <w:noProof/>
        </w:rPr>
        <w:t>L’objectif de la mesure est de contribuer à l’adaptation au changement climatique.</w:t>
      </w:r>
    </w:p>
    <w:p w14:paraId="2FC6BBA9" w14:textId="77777777" w:rsidR="008E6885" w:rsidRDefault="00EA24E7">
      <w:pPr>
        <w:pStyle w:val="P68B1DB1-Normal4"/>
        <w:spacing w:after="0" w:line="240" w:lineRule="auto"/>
        <w:jc w:val="both"/>
        <w:rPr>
          <w:noProof/>
        </w:rPr>
        <w:sectPr w:rsidR="008E6885" w:rsidSect="00EC74E8">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pPr>
      <w:r>
        <w:rPr>
          <w:noProof/>
        </w:rPr>
        <w:t>La mesure consiste à soutenir des projets de protection contre les risques d’inondation.</w:t>
      </w:r>
    </w:p>
    <w:p w14:paraId="63A20D39" w14:textId="5E9DEACD" w:rsidR="008E6885" w:rsidRDefault="00EA24E7">
      <w:pPr>
        <w:pStyle w:val="P68B1DB1-Normal1"/>
        <w:spacing w:before="120" w:after="120" w:line="240" w:lineRule="auto"/>
        <w:jc w:val="center"/>
        <w:rPr>
          <w:noProof/>
        </w:rPr>
      </w:pPr>
      <w:r>
        <w:rPr>
          <w:noProof/>
        </w:rPr>
        <w:t>A.2. Étapes, cibles, indicateurs et calendrier pour le suivi et la mise en œuvre du soutien financier non remboursable</w:t>
      </w:r>
    </w:p>
    <w:tbl>
      <w:tblPr>
        <w:tblW w:w="151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1134"/>
        <w:gridCol w:w="1559"/>
        <w:gridCol w:w="1540"/>
        <w:gridCol w:w="1153"/>
        <w:gridCol w:w="993"/>
        <w:gridCol w:w="1275"/>
        <w:gridCol w:w="993"/>
        <w:gridCol w:w="708"/>
        <w:gridCol w:w="3544"/>
      </w:tblGrid>
      <w:tr w:rsidR="008E6885" w14:paraId="334898C1" w14:textId="77777777">
        <w:trPr>
          <w:tblHeader/>
        </w:trPr>
        <w:tc>
          <w:tcPr>
            <w:tcW w:w="56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577CD4D7" w14:textId="77777777" w:rsidR="008E6885" w:rsidRDefault="00EA24E7">
            <w:pPr>
              <w:pStyle w:val="P68B1DB1-Normal8"/>
              <w:spacing w:before="120" w:after="120" w:line="240" w:lineRule="auto"/>
              <w:jc w:val="center"/>
              <w:rPr>
                <w:noProof/>
              </w:rPr>
            </w:pPr>
            <w:r>
              <w:rPr>
                <w:noProof/>
              </w:rPr>
              <w:t>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AFE2FF1" w14:textId="77777777" w:rsidR="008E6885" w:rsidRDefault="00EA24E7">
            <w:pPr>
              <w:pStyle w:val="P68B1DB1-Normal8"/>
              <w:spacing w:before="120" w:after="120" w:line="240" w:lineRule="auto"/>
              <w:jc w:val="center"/>
              <w:rPr>
                <w:noProof/>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348229B6" w14:textId="77777777" w:rsidR="008E6885" w:rsidRDefault="00EA24E7">
            <w:pPr>
              <w:pStyle w:val="P68B1DB1-Normal8"/>
              <w:spacing w:before="120" w:after="120" w:line="240" w:lineRule="auto"/>
              <w:jc w:val="center"/>
              <w:rPr>
                <w:noProof/>
              </w:rPr>
            </w:pPr>
            <w:r>
              <w:rPr>
                <w:noProof/>
              </w:rPr>
              <w:t>Étape/cible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0086FA05" w14:textId="77777777" w:rsidR="008E6885" w:rsidRDefault="00EA24E7">
            <w:pPr>
              <w:pStyle w:val="P68B1DB1-Normal8"/>
              <w:spacing w:before="120" w:after="120" w:line="240" w:lineRule="auto"/>
              <w:jc w:val="center"/>
              <w:rPr>
                <w:noProof/>
              </w:rPr>
            </w:pPr>
            <w:r>
              <w:rPr>
                <w:noProof/>
              </w:rPr>
              <w:t>Nom</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55324F8E" w14:textId="77777777" w:rsidR="008E6885" w:rsidRDefault="00EA24E7">
            <w:pPr>
              <w:pStyle w:val="P68B1DB1-Normal9"/>
              <w:spacing w:before="120" w:after="120" w:line="240" w:lineRule="auto"/>
              <w:jc w:val="center"/>
              <w:rPr>
                <w:noProof/>
              </w:rPr>
            </w:pPr>
            <w:r>
              <w:rPr>
                <w:b/>
                <w:noProof/>
              </w:rPr>
              <w:t>Indicateurs qualitatifs</w:t>
            </w:r>
            <w:r>
              <w:rPr>
                <w:noProof/>
              </w:rPr>
              <w:t xml:space="preserve"> </w:t>
            </w:r>
            <w:r>
              <w:rPr>
                <w:noProof/>
              </w:rPr>
              <w:br/>
            </w:r>
            <w:r>
              <w:rPr>
                <w:b/>
                <w:noProof/>
              </w:rPr>
              <w:t>(pour les jalons)</w:t>
            </w:r>
          </w:p>
        </w:tc>
        <w:tc>
          <w:tcPr>
            <w:tcW w:w="3421"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0622EE35" w14:textId="77777777" w:rsidR="008E6885" w:rsidRDefault="00EA24E7">
            <w:pPr>
              <w:pStyle w:val="P68B1DB1-Normal9"/>
              <w:spacing w:before="120" w:after="120" w:line="240" w:lineRule="auto"/>
              <w:jc w:val="center"/>
              <w:rPr>
                <w:noProof/>
              </w:rPr>
            </w:pPr>
            <w:r>
              <w:rPr>
                <w:b/>
                <w:noProof/>
              </w:rPr>
              <w:t>Indicateurs quantitatifs</w:t>
            </w:r>
            <w:r>
              <w:rPr>
                <w:noProof/>
              </w:rPr>
              <w:t xml:space="preserve"> </w:t>
            </w:r>
            <w:r>
              <w:rPr>
                <w:noProof/>
              </w:rPr>
              <w:br/>
            </w:r>
            <w:r>
              <w:rPr>
                <w:b/>
                <w:noProof/>
              </w:rPr>
              <w:t>(pour les objectifs)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05190A40" w14:textId="77777777" w:rsidR="008E6885" w:rsidRDefault="00EA24E7">
            <w:pPr>
              <w:pStyle w:val="P68B1DB1-Normal8"/>
              <w:spacing w:before="120" w:after="120" w:line="240" w:lineRule="auto"/>
              <w:jc w:val="center"/>
              <w:rPr>
                <w:noProof/>
              </w:rPr>
            </w:pPr>
            <w:r>
              <w:rPr>
                <w:noProof/>
              </w:rPr>
              <w:t>Calendrier indicatif d'achèvement</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CAAE60F" w14:textId="77777777" w:rsidR="008E6885" w:rsidRDefault="00EA24E7">
            <w:pPr>
              <w:pStyle w:val="P68B1DB1-Normal8"/>
              <w:spacing w:before="120" w:after="120" w:line="240" w:lineRule="auto"/>
              <w:jc w:val="center"/>
              <w:rPr>
                <w:noProof/>
              </w:rPr>
            </w:pPr>
            <w:r>
              <w:rPr>
                <w:noProof/>
              </w:rPr>
              <w:t>Description de chaque jalon et cible</w:t>
            </w:r>
          </w:p>
        </w:tc>
      </w:tr>
      <w:tr w:rsidR="008E6885" w14:paraId="6192514B" w14:textId="77777777">
        <w:trPr>
          <w:tblHeader/>
        </w:trPr>
        <w:tc>
          <w:tcPr>
            <w:tcW w:w="568" w:type="dxa"/>
            <w:vMerge/>
            <w:tcBorders>
              <w:top w:val="single" w:sz="4" w:space="0" w:color="auto"/>
              <w:left w:val="single" w:sz="4" w:space="0" w:color="auto"/>
              <w:bottom w:val="single" w:sz="4" w:space="0" w:color="auto"/>
              <w:right w:val="single" w:sz="4" w:space="0" w:color="auto"/>
            </w:tcBorders>
            <w:vAlign w:val="center"/>
          </w:tcPr>
          <w:p w14:paraId="0318ECA6" w14:textId="77777777" w:rsidR="008E6885" w:rsidRDefault="008E6885">
            <w:pPr>
              <w:spacing w:before="120" w:after="120" w:line="240" w:lineRule="auto"/>
              <w:jc w:val="center"/>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6E3B492F" w14:textId="77777777" w:rsidR="008E6885" w:rsidRDefault="008E6885">
            <w:pPr>
              <w:spacing w:before="120" w:after="120" w:line="240" w:lineRule="auto"/>
              <w:jc w:val="center"/>
              <w:rPr>
                <w:rFonts w:ascii="Times New Roman" w:eastAsia="Calibri" w:hAnsi="Times New Roman" w:cs="Times New Roman"/>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37388B5" w14:textId="77777777" w:rsidR="008E6885" w:rsidRDefault="008E6885">
            <w:pPr>
              <w:spacing w:before="120" w:after="120" w:line="240" w:lineRule="auto"/>
              <w:jc w:val="center"/>
              <w:rPr>
                <w:rFonts w:ascii="Times New Roman" w:eastAsia="Calibri" w:hAnsi="Times New Roman" w:cs="Times New Roman"/>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250899B" w14:textId="77777777" w:rsidR="008E6885" w:rsidRDefault="008E6885">
            <w:pPr>
              <w:spacing w:before="120" w:after="120" w:line="240" w:lineRule="auto"/>
              <w:jc w:val="center"/>
              <w:rPr>
                <w:rFonts w:ascii="Times New Roman" w:eastAsia="Calibri" w:hAnsi="Times New Roman" w:cs="Times New Roman"/>
                <w:noProof/>
                <w:kern w:val="0"/>
                <w:sz w:val="18"/>
                <w:szCs w:val="18"/>
                <w14:ligatures w14:val="none"/>
              </w:rPr>
            </w:pPr>
          </w:p>
        </w:tc>
        <w:tc>
          <w:tcPr>
            <w:tcW w:w="1540" w:type="dxa"/>
            <w:vMerge/>
            <w:tcBorders>
              <w:top w:val="single" w:sz="4" w:space="0" w:color="auto"/>
              <w:left w:val="single" w:sz="4" w:space="0" w:color="auto"/>
              <w:bottom w:val="single" w:sz="4" w:space="0" w:color="auto"/>
              <w:right w:val="single" w:sz="4" w:space="0" w:color="auto"/>
            </w:tcBorders>
            <w:vAlign w:val="center"/>
          </w:tcPr>
          <w:p w14:paraId="56BBD0E8" w14:textId="77777777" w:rsidR="008E6885" w:rsidRDefault="008E6885">
            <w:pPr>
              <w:spacing w:before="120" w:after="120" w:line="240" w:lineRule="auto"/>
              <w:jc w:val="center"/>
              <w:rPr>
                <w:rFonts w:ascii="Times New Roman" w:eastAsia="Calibri" w:hAnsi="Times New Roman" w:cs="Times New Roman"/>
                <w:noProof/>
                <w:kern w:val="0"/>
                <w:sz w:val="18"/>
                <w:szCs w:val="18"/>
                <w14:ligatures w14:val="none"/>
              </w:rPr>
            </w:pPr>
          </w:p>
        </w:tc>
        <w:tc>
          <w:tcPr>
            <w:tcW w:w="1153" w:type="dxa"/>
            <w:tcBorders>
              <w:top w:val="single" w:sz="4" w:space="0" w:color="auto"/>
              <w:left w:val="single" w:sz="4" w:space="0" w:color="auto"/>
              <w:bottom w:val="single" w:sz="4" w:space="0" w:color="auto"/>
              <w:right w:val="single" w:sz="4" w:space="0" w:color="auto"/>
            </w:tcBorders>
            <w:shd w:val="clear" w:color="auto" w:fill="BDD7EE"/>
            <w:vAlign w:val="center"/>
          </w:tcPr>
          <w:p w14:paraId="7E4A26B3" w14:textId="77777777" w:rsidR="008E6885" w:rsidRDefault="00EA24E7">
            <w:pPr>
              <w:pStyle w:val="P68B1DB1-Normal8"/>
              <w:spacing w:before="120" w:after="120" w:line="240" w:lineRule="auto"/>
              <w:jc w:val="center"/>
              <w:rPr>
                <w:noProof/>
              </w:rPr>
            </w:pPr>
            <w:r>
              <w:rPr>
                <w:noProof/>
              </w:rPr>
              <w:t>Unité de mesure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7DBB99BC" w14:textId="77777777" w:rsidR="008E6885" w:rsidRDefault="00EA24E7">
            <w:pPr>
              <w:pStyle w:val="P68B1DB1-Normal8"/>
              <w:spacing w:before="120" w:after="120" w:line="240" w:lineRule="auto"/>
              <w:jc w:val="center"/>
              <w:rPr>
                <w:noProof/>
              </w:rPr>
            </w:pPr>
            <w:r>
              <w:rPr>
                <w:noProof/>
              </w:rPr>
              <w:t>Données de référence</w:t>
            </w:r>
          </w:p>
        </w:tc>
        <w:tc>
          <w:tcPr>
            <w:tcW w:w="1275" w:type="dxa"/>
            <w:tcBorders>
              <w:top w:val="single" w:sz="4" w:space="0" w:color="auto"/>
              <w:left w:val="single" w:sz="4" w:space="0" w:color="auto"/>
              <w:bottom w:val="single" w:sz="4" w:space="0" w:color="auto"/>
              <w:right w:val="single" w:sz="4" w:space="0" w:color="auto"/>
            </w:tcBorders>
            <w:shd w:val="clear" w:color="auto" w:fill="BDD7EE"/>
            <w:vAlign w:val="center"/>
          </w:tcPr>
          <w:p w14:paraId="2105B31D" w14:textId="77777777" w:rsidR="008E6885" w:rsidRDefault="00EA24E7">
            <w:pPr>
              <w:pStyle w:val="P68B1DB1-Normal8"/>
              <w:spacing w:before="120" w:after="120" w:line="240" w:lineRule="auto"/>
              <w:jc w:val="center"/>
              <w:rPr>
                <w:noProof/>
              </w:rPr>
            </w:pPr>
            <w:r>
              <w:rPr>
                <w:noProof/>
              </w:rPr>
              <w:t>Objectif</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72B53613" w14:textId="77777777" w:rsidR="008E6885" w:rsidRDefault="00EA24E7">
            <w:pPr>
              <w:pStyle w:val="P68B1DB1-Normal8"/>
              <w:spacing w:before="120" w:after="120" w:line="240" w:lineRule="auto"/>
              <w:jc w:val="center"/>
              <w:rPr>
                <w:noProof/>
              </w:rPr>
            </w:pPr>
            <w:r>
              <w:rPr>
                <w:noProof/>
              </w:rPr>
              <w:t>Trimestre</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tcPr>
          <w:p w14:paraId="2CE86F3D" w14:textId="77777777" w:rsidR="008E6885" w:rsidRDefault="00EA24E7">
            <w:pPr>
              <w:pStyle w:val="P68B1DB1-Normal8"/>
              <w:spacing w:before="120" w:after="120" w:line="240" w:lineRule="auto"/>
              <w:jc w:val="center"/>
              <w:rPr>
                <w:noProof/>
              </w:rPr>
            </w:pPr>
            <w:r>
              <w:rPr>
                <w:noProof/>
              </w:rPr>
              <w:t>Année</w:t>
            </w:r>
          </w:p>
        </w:tc>
        <w:tc>
          <w:tcPr>
            <w:tcW w:w="3544" w:type="dxa"/>
            <w:vMerge/>
            <w:tcBorders>
              <w:top w:val="single" w:sz="4" w:space="0" w:color="auto"/>
              <w:left w:val="single" w:sz="4" w:space="0" w:color="auto"/>
              <w:bottom w:val="single" w:sz="4" w:space="0" w:color="auto"/>
              <w:right w:val="single" w:sz="4" w:space="0" w:color="auto"/>
            </w:tcBorders>
            <w:vAlign w:val="center"/>
          </w:tcPr>
          <w:p w14:paraId="6C004635" w14:textId="77777777" w:rsidR="008E6885" w:rsidRDefault="008E6885">
            <w:pPr>
              <w:spacing w:before="120" w:after="120" w:line="240" w:lineRule="auto"/>
              <w:jc w:val="center"/>
              <w:rPr>
                <w:rFonts w:ascii="Times New Roman" w:eastAsia="Calibri" w:hAnsi="Times New Roman" w:cs="Times New Roman"/>
                <w:noProof/>
                <w:kern w:val="0"/>
                <w:sz w:val="18"/>
                <w:szCs w:val="18"/>
                <w14:ligatures w14:val="none"/>
              </w:rPr>
            </w:pPr>
          </w:p>
        </w:tc>
      </w:tr>
      <w:tr w:rsidR="008E6885" w14:paraId="330449B7"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454595C5" w14:textId="77777777" w:rsidR="008E6885" w:rsidRDefault="00EA24E7">
            <w:pPr>
              <w:pStyle w:val="P68B1DB1-Normal9"/>
              <w:spacing w:before="120" w:after="120" w:line="240" w:lineRule="auto"/>
              <w:jc w:val="center"/>
              <w:rPr>
                <w:rFonts w:eastAsia="MS Mincho"/>
                <w:noProof/>
              </w:rPr>
            </w:pPr>
            <w:r>
              <w:rPr>
                <w:noProof/>
              </w:rPr>
              <w:t>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98F7325" w14:textId="77777777" w:rsidR="008E6885" w:rsidRDefault="00EA24E7">
            <w:pPr>
              <w:pStyle w:val="P68B1DB1-Normal8"/>
              <w:spacing w:before="120" w:after="120" w:line="240" w:lineRule="auto"/>
              <w:rPr>
                <w:rFonts w:eastAsia="MS Mincho"/>
                <w:noProof/>
              </w:rPr>
            </w:pPr>
            <w:r>
              <w:rPr>
                <w:noProof/>
              </w:rPr>
              <w:t>1.1.1.r. Un système de transport durable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F411E58" w14:textId="77777777" w:rsidR="008E6885" w:rsidRDefault="00EA24E7">
            <w:pPr>
              <w:pStyle w:val="P68B1DB1-Normal9"/>
              <w:spacing w:before="120" w:after="120" w:line="240" w:lineRule="auto"/>
              <w:jc w:val="center"/>
              <w:rPr>
                <w:rFonts w:eastAsia="MS Mincho"/>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7035EFE1" w14:textId="77777777" w:rsidR="008E6885" w:rsidRDefault="00EA24E7">
            <w:pPr>
              <w:pStyle w:val="P68B1DB1-Normal9"/>
              <w:spacing w:before="120" w:after="120" w:line="240" w:lineRule="auto"/>
              <w:rPr>
                <w:rFonts w:eastAsia="MS Mincho"/>
                <w:noProof/>
              </w:rPr>
            </w:pPr>
            <w:r>
              <w:rPr>
                <w:noProof/>
              </w:rPr>
              <w:t>Approche coordonnée pour la planification, la commande et l'organisation du transport de passagers dans la région métropolitaine de Riga</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604089BD" w14:textId="77777777" w:rsidR="008E6885" w:rsidRDefault="00EA24E7">
            <w:pPr>
              <w:pStyle w:val="P68B1DB1-Normal9"/>
              <w:spacing w:before="120" w:after="120" w:line="240" w:lineRule="auto"/>
              <w:rPr>
                <w:rFonts w:eastAsia="MS Mincho"/>
                <w:noProof/>
              </w:rPr>
            </w:pPr>
            <w:r>
              <w:rPr>
                <w:noProof/>
              </w:rPr>
              <w:t>Une approche coordonnée a été mise en œuvre pour la planification, la commande et l'organisation du transport de passagers dans la région métropolitaine de Riga.</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26F1135E"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980D2B8" w14:textId="77777777" w:rsidR="008E6885" w:rsidRDefault="00EA24E7">
            <w:pPr>
              <w:pStyle w:val="P68B1DB1-Normal9"/>
              <w:spacing w:before="120" w:after="120" w:line="240" w:lineRule="auto"/>
              <w:jc w:val="center"/>
              <w:rPr>
                <w:rFonts w:eastAsia="MS Mincho"/>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E20A0F4"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4CB8EC0" w14:textId="77777777" w:rsidR="008E6885" w:rsidRDefault="00EA24E7">
            <w:pPr>
              <w:pStyle w:val="P68B1DB1-Normal9"/>
              <w:spacing w:before="120" w:after="120" w:line="240" w:lineRule="auto"/>
              <w:jc w:val="center"/>
              <w:rPr>
                <w:rFonts w:eastAsia="MS Mincho"/>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00303AFD" w14:textId="77777777" w:rsidR="008E6885" w:rsidRDefault="00EA24E7">
            <w:pPr>
              <w:pStyle w:val="P68B1DB1-Normal9"/>
              <w:spacing w:before="120" w:after="120" w:line="240" w:lineRule="auto"/>
              <w:jc w:val="center"/>
              <w:rPr>
                <w:rFonts w:eastAsia="MS Mincho"/>
                <w:noProof/>
              </w:rPr>
            </w:pPr>
            <w:r>
              <w:rPr>
                <w:noProof/>
              </w:rPr>
              <w:t>2023</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553AA37" w14:textId="77777777" w:rsidR="008E6885" w:rsidRDefault="00EA24E7">
            <w:pPr>
              <w:pStyle w:val="P68B1DB1-Normal9"/>
              <w:spacing w:before="120" w:after="120" w:line="240" w:lineRule="auto"/>
              <w:jc w:val="both"/>
              <w:rPr>
                <w:rFonts w:eastAsia="MS Mincho"/>
                <w:noProof/>
              </w:rPr>
            </w:pPr>
            <w:r>
              <w:rPr>
                <w:noProof/>
              </w:rPr>
              <w:t>Achèvement des étapes nécessaires à la mise en œuvre d'une approche coordonnée. Cela comprend, entre autres:</w:t>
            </w:r>
          </w:p>
          <w:p w14:paraId="05B5E391" w14:textId="77777777" w:rsidR="008E6885" w:rsidRDefault="00EA24E7">
            <w:pPr>
              <w:pStyle w:val="P68B1DB1-Normal9"/>
              <w:spacing w:before="120" w:after="120" w:line="240" w:lineRule="auto"/>
              <w:jc w:val="both"/>
              <w:rPr>
                <w:rFonts w:eastAsia="MS Mincho"/>
                <w:noProof/>
              </w:rPr>
            </w:pPr>
            <w:r>
              <w:rPr>
                <w:noProof/>
              </w:rPr>
              <w:t>- la mise en place d'un groupe de travail pour la coordination de la planification des transports publics de la zone métropolitaine de Riga;</w:t>
            </w:r>
          </w:p>
          <w:p w14:paraId="2DE7DC89" w14:textId="77777777" w:rsidR="008E6885" w:rsidRDefault="00EA24E7">
            <w:pPr>
              <w:pStyle w:val="P68B1DB1-Normal9"/>
              <w:spacing w:before="120" w:after="120" w:line="240" w:lineRule="auto"/>
              <w:jc w:val="both"/>
              <w:rPr>
                <w:rFonts w:eastAsia="MS Mincho"/>
                <w:noProof/>
              </w:rPr>
            </w:pPr>
            <w:r>
              <w:rPr>
                <w:noProof/>
              </w:rPr>
              <w:t>- Le plan de transport public de la région métropolitaine de Riga a été adopté conformément au développement du transport ferroviaire de voyageurs en Lettonie.</w:t>
            </w:r>
          </w:p>
        </w:tc>
      </w:tr>
      <w:tr w:rsidR="008E6885" w14:paraId="1F8C691D"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468CB212" w14:textId="77777777" w:rsidR="008E6885" w:rsidRDefault="00EA24E7">
            <w:pPr>
              <w:pStyle w:val="P68B1DB1-Normal9"/>
              <w:spacing w:before="120" w:after="120" w:line="240" w:lineRule="auto"/>
              <w:jc w:val="center"/>
              <w:rPr>
                <w:rFonts w:eastAsia="MS Mincho"/>
                <w:noProof/>
              </w:rPr>
            </w:pPr>
            <w:r>
              <w:rPr>
                <w:noProof/>
              </w:rPr>
              <w:t>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98260C" w14:textId="77777777" w:rsidR="008E6885" w:rsidRDefault="00EA24E7">
            <w:pPr>
              <w:pStyle w:val="P68B1DB1-Normal8"/>
              <w:spacing w:before="120" w:after="120" w:line="240" w:lineRule="auto"/>
              <w:rPr>
                <w:rFonts w:eastAsia="MS Mincho"/>
                <w:noProof/>
              </w:rPr>
            </w:pPr>
            <w:r>
              <w:rPr>
                <w:noProof/>
              </w:rPr>
              <w:t>1.1.1.r. Un système de transport durable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DF8551A" w14:textId="77777777" w:rsidR="008E6885" w:rsidRDefault="00EA24E7">
            <w:pPr>
              <w:pStyle w:val="P68B1DB1-Normal9"/>
              <w:spacing w:before="120" w:after="120" w:line="240" w:lineRule="auto"/>
              <w:jc w:val="center"/>
              <w:rPr>
                <w:rFonts w:eastAsia="MS Mincho"/>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4AE5AFDE" w14:textId="77777777" w:rsidR="008E6885" w:rsidRDefault="00EA24E7">
            <w:pPr>
              <w:pStyle w:val="P68B1DB1-Normal9"/>
              <w:spacing w:before="120" w:after="120" w:line="240" w:lineRule="auto"/>
              <w:rPr>
                <w:rFonts w:eastAsia="MS Mincho"/>
                <w:noProof/>
              </w:rPr>
            </w:pPr>
            <w:r>
              <w:rPr>
                <w:noProof/>
              </w:rPr>
              <w:t>Réforme durable des transports publics</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6898C74A" w14:textId="77777777" w:rsidR="008E6885" w:rsidRDefault="00EA24E7">
            <w:pPr>
              <w:pStyle w:val="P68B1DB1-Normal9"/>
              <w:spacing w:before="120" w:after="120" w:line="240" w:lineRule="auto"/>
              <w:rPr>
                <w:rFonts w:eastAsia="MS Mincho"/>
                <w:noProof/>
              </w:rPr>
            </w:pPr>
            <w:r>
              <w:rPr>
                <w:noProof/>
              </w:rPr>
              <w:t>Acte(s) juridique(s) entré(s) en vigueur et rapport(s) approuvé(s)</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48225473"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80E8F33" w14:textId="77777777" w:rsidR="008E6885" w:rsidRDefault="00EA24E7">
            <w:pPr>
              <w:pStyle w:val="P68B1DB1-Normal9"/>
              <w:spacing w:before="120" w:after="120" w:line="240" w:lineRule="auto"/>
              <w:jc w:val="center"/>
              <w:rPr>
                <w:rFonts w:eastAsia="MS Mincho"/>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198860D"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35B5121" w14:textId="77777777" w:rsidR="008E6885" w:rsidRDefault="00EA24E7">
            <w:pPr>
              <w:pStyle w:val="P68B1DB1-Normal9"/>
              <w:spacing w:before="120" w:after="120" w:line="240" w:lineRule="auto"/>
              <w:jc w:val="center"/>
              <w:rPr>
                <w:rFonts w:eastAsia="MS Mincho"/>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01441F81" w14:textId="77777777" w:rsidR="008E6885" w:rsidRDefault="00EA24E7">
            <w:pPr>
              <w:pStyle w:val="P68B1DB1-Normal9"/>
              <w:spacing w:before="120" w:after="120" w:line="240" w:lineRule="auto"/>
              <w:jc w:val="center"/>
              <w:rPr>
                <w:rFonts w:eastAsia="MS Mincho"/>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2D795A67" w14:textId="0396A818" w:rsidR="008E6885" w:rsidRDefault="00EA24E7">
            <w:pPr>
              <w:pStyle w:val="P68B1DB1-Normal10"/>
              <w:spacing w:before="120" w:after="120" w:line="240" w:lineRule="auto"/>
              <w:jc w:val="both"/>
              <w:rPr>
                <w:noProof/>
              </w:rPr>
            </w:pPr>
            <w:r>
              <w:rPr>
                <w:noProof/>
              </w:rPr>
              <w:t>- l'approbation de la révision du réseau national de routes de transport par le Conseil des transports publics;</w:t>
            </w:r>
          </w:p>
          <w:p w14:paraId="238DE049" w14:textId="45BB4F19" w:rsidR="008E6885" w:rsidRDefault="00EA24E7">
            <w:pPr>
              <w:pStyle w:val="P68B1DB1-Normal10"/>
              <w:spacing w:before="120" w:after="120" w:line="240" w:lineRule="auto"/>
              <w:jc w:val="both"/>
              <w:rPr>
                <w:noProof/>
              </w:rPr>
            </w:pPr>
            <w:r>
              <w:rPr>
                <w:noProof/>
              </w:rPr>
              <w:t>- Entrée en vigueur d'un ou de plusieurs actes juridiques réglementant la politique de rabais unique pour les transports publics au niveau national;</w:t>
            </w:r>
          </w:p>
          <w:p w14:paraId="14E21EB6" w14:textId="3DD65CA1" w:rsidR="008E6885" w:rsidRDefault="00EA24E7">
            <w:pPr>
              <w:pStyle w:val="P68B1DB1-Normal10"/>
              <w:spacing w:before="120" w:after="120" w:line="240" w:lineRule="auto"/>
              <w:jc w:val="both"/>
              <w:rPr>
                <w:noProof/>
              </w:rPr>
            </w:pPr>
            <w:r>
              <w:rPr>
                <w:noProof/>
              </w:rPr>
              <w:t>- entrée en vigueur d’un ou de plusieurs actes juridiques réglementant l’horaire harmonisé des lignes régionales d’autobus et de train dans la zone métropolitaine de Riga, y compris un tarif unique et un système unifié de billetterie pour les transports publics;</w:t>
            </w:r>
          </w:p>
          <w:p w14:paraId="41C0E134" w14:textId="63AC7191" w:rsidR="008E6885" w:rsidRDefault="00EA24E7">
            <w:pPr>
              <w:pStyle w:val="P68B1DB1-Normal10"/>
              <w:spacing w:before="120" w:after="120" w:line="240" w:lineRule="auto"/>
              <w:jc w:val="both"/>
              <w:rPr>
                <w:noProof/>
              </w:rPr>
            </w:pPr>
            <w:r>
              <w:rPr>
                <w:noProof/>
              </w:rPr>
              <w:t>- Le déploiement d'un projet pilote sur le billet unique pour les transports publics urbains et les trains au sein de la municipalité de Riga.</w:t>
            </w:r>
          </w:p>
        </w:tc>
      </w:tr>
      <w:tr w:rsidR="008E6885" w14:paraId="3CE7FEE7"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68A937D4" w14:textId="77777777" w:rsidR="008E6885" w:rsidRDefault="00EA24E7">
            <w:pPr>
              <w:pStyle w:val="P68B1DB1-Normal9"/>
              <w:spacing w:before="120" w:after="120" w:line="240" w:lineRule="auto"/>
              <w:jc w:val="center"/>
              <w:rPr>
                <w:rFonts w:eastAsia="MS Mincho"/>
                <w:noProof/>
              </w:rPr>
            </w:pPr>
            <w:r>
              <w:rPr>
                <w:noProof/>
              </w:rPr>
              <w:t>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ECFA5FE" w14:textId="77777777" w:rsidR="008E6885" w:rsidRDefault="00EA24E7">
            <w:pPr>
              <w:pStyle w:val="P68B1DB1-Normal8"/>
              <w:spacing w:before="120" w:after="120" w:line="240" w:lineRule="auto"/>
              <w:rPr>
                <w:rFonts w:eastAsia="MS Mincho"/>
                <w:bCs/>
                <w:noProof/>
              </w:rPr>
            </w:pPr>
            <w:r>
              <w:rPr>
                <w:noProof/>
              </w:rPr>
              <w:t xml:space="preserve">1.1.1.i. Amélioration de l'infrastructure des transports métropolitains de Riga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F1FE348" w14:textId="77777777" w:rsidR="008E6885" w:rsidRDefault="00EA24E7">
            <w:pPr>
              <w:pStyle w:val="P68B1DB1-Normal9"/>
              <w:spacing w:before="120" w:after="120" w:line="240" w:lineRule="auto"/>
              <w:jc w:val="center"/>
              <w:rPr>
                <w:rFonts w:eastAsia="MS Mincho"/>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455F0B1C" w14:textId="77777777" w:rsidR="008E6885" w:rsidRDefault="00EA24E7">
            <w:pPr>
              <w:pStyle w:val="P68B1DB1-Normal9"/>
              <w:spacing w:before="120" w:after="120" w:line="240" w:lineRule="auto"/>
              <w:rPr>
                <w:rFonts w:eastAsia="MS Mincho"/>
                <w:noProof/>
              </w:rPr>
            </w:pPr>
            <w:r>
              <w:rPr>
                <w:noProof/>
              </w:rPr>
              <w:t xml:space="preserve">Projets de transport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6A3A15B9" w14:textId="77777777" w:rsidR="008E6885" w:rsidRDefault="00EA24E7">
            <w:pPr>
              <w:pStyle w:val="P68B1DB1-Normal9"/>
              <w:spacing w:before="120" w:after="120" w:line="240" w:lineRule="auto"/>
              <w:rPr>
                <w:noProof/>
              </w:rPr>
            </w:pPr>
            <w:r>
              <w:rPr>
                <w:noProof/>
              </w:rPr>
              <w:t>Projets de transport</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51605144"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71A8F97" w14:textId="77777777" w:rsidR="008E6885" w:rsidRDefault="00EA24E7">
            <w:pPr>
              <w:pStyle w:val="P68B1DB1-Normal9"/>
              <w:spacing w:before="120" w:after="120" w:line="240" w:lineRule="auto"/>
              <w:jc w:val="center"/>
              <w:rPr>
                <w:rFonts w:eastAsia="MS Mincho"/>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10397A7"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1DDCEFE" w14:textId="77777777" w:rsidR="008E6885" w:rsidRDefault="00EA24E7">
            <w:pPr>
              <w:pStyle w:val="P68B1DB1-Normal9"/>
              <w:spacing w:before="120" w:after="120" w:line="240" w:lineRule="auto"/>
              <w:jc w:val="center"/>
              <w:rPr>
                <w:rFonts w:eastAsia="MS Mincho"/>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055A9A47" w14:textId="77777777" w:rsidR="008E6885" w:rsidRDefault="00EA24E7">
            <w:pPr>
              <w:pStyle w:val="P68B1DB1-Normal9"/>
              <w:spacing w:before="120" w:after="120" w:line="240" w:lineRule="auto"/>
              <w:jc w:val="center"/>
              <w:rPr>
                <w:rFonts w:eastAsia="MS Mincho"/>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77677964" w14:textId="77777777" w:rsidR="008E6885" w:rsidRDefault="00EA24E7">
            <w:pPr>
              <w:pStyle w:val="P68B1DB1-ListParagraph11"/>
              <w:numPr>
                <w:ilvl w:val="0"/>
                <w:numId w:val="30"/>
              </w:numPr>
              <w:spacing w:before="120" w:after="120" w:line="240" w:lineRule="auto"/>
              <w:ind w:left="180" w:hanging="142"/>
              <w:jc w:val="both"/>
              <w:rPr>
                <w:noProof/>
              </w:rPr>
            </w:pPr>
            <w:r>
              <w:rPr>
                <w:noProof/>
              </w:rPr>
              <w:t>100 km de lignes ferroviaires électrifiées et d’infrastructures ferroviaires modernisées;</w:t>
            </w:r>
          </w:p>
          <w:p w14:paraId="75A6A6F5" w14:textId="77777777" w:rsidR="008E6885" w:rsidRDefault="00EA24E7">
            <w:pPr>
              <w:pStyle w:val="P68B1DB1-ListParagraph12"/>
              <w:numPr>
                <w:ilvl w:val="0"/>
                <w:numId w:val="30"/>
              </w:numPr>
              <w:spacing w:before="120" w:after="120" w:line="240" w:lineRule="auto"/>
              <w:ind w:left="180" w:hanging="142"/>
              <w:jc w:val="both"/>
              <w:rPr>
                <w:noProof/>
              </w:rPr>
            </w:pPr>
            <w:r>
              <w:rPr>
                <w:noProof/>
              </w:rPr>
              <w:t>17 bus électriques livrés;</w:t>
            </w:r>
          </w:p>
          <w:p w14:paraId="3D9CEF12" w14:textId="77777777" w:rsidR="008E6885" w:rsidRDefault="00EA24E7">
            <w:pPr>
              <w:pStyle w:val="P68B1DB1-ListParagraph11"/>
              <w:numPr>
                <w:ilvl w:val="0"/>
                <w:numId w:val="30"/>
              </w:numPr>
              <w:spacing w:before="120" w:after="120" w:line="240" w:lineRule="auto"/>
              <w:ind w:left="180" w:hanging="142"/>
              <w:jc w:val="both"/>
              <w:rPr>
                <w:noProof/>
              </w:rPr>
            </w:pPr>
            <w:r>
              <w:rPr>
                <w:noProof/>
              </w:rPr>
              <w:t>7 bornes de recharge pour bus construits;</w:t>
            </w:r>
          </w:p>
          <w:p w14:paraId="23D1FA9E" w14:textId="77777777" w:rsidR="008E6885" w:rsidRDefault="00EA24E7">
            <w:pPr>
              <w:pStyle w:val="P68B1DB1-ListParagraph11"/>
              <w:numPr>
                <w:ilvl w:val="0"/>
                <w:numId w:val="30"/>
              </w:numPr>
              <w:spacing w:before="120" w:after="120" w:line="240" w:lineRule="auto"/>
              <w:ind w:left="180" w:hanging="142"/>
              <w:jc w:val="both"/>
              <w:rPr>
                <w:noProof/>
              </w:rPr>
            </w:pPr>
            <w:r>
              <w:rPr>
                <w:noProof/>
              </w:rPr>
              <w:t>b) Construction d ' une plaque tournante de transport;</w:t>
            </w:r>
          </w:p>
          <w:p w14:paraId="4C91DE9A" w14:textId="77777777" w:rsidR="008E6885" w:rsidRDefault="00EA24E7">
            <w:pPr>
              <w:pStyle w:val="P68B1DB1-ListParagraph11"/>
              <w:numPr>
                <w:ilvl w:val="0"/>
                <w:numId w:val="30"/>
              </w:numPr>
              <w:spacing w:before="120" w:after="120" w:line="240" w:lineRule="auto"/>
              <w:ind w:left="180" w:hanging="142"/>
              <w:jc w:val="both"/>
              <w:rPr>
                <w:noProof/>
              </w:rPr>
            </w:pPr>
            <w:r>
              <w:rPr>
                <w:noProof/>
              </w:rPr>
              <w:t>Huit points de mobilité construits;</w:t>
            </w:r>
          </w:p>
          <w:p w14:paraId="449A48F7" w14:textId="77777777" w:rsidR="008E6885" w:rsidRDefault="00EA24E7">
            <w:pPr>
              <w:pStyle w:val="P68B1DB1-ListParagraph11"/>
              <w:numPr>
                <w:ilvl w:val="0"/>
                <w:numId w:val="30"/>
              </w:numPr>
              <w:spacing w:before="120" w:after="120" w:line="240" w:lineRule="auto"/>
              <w:ind w:left="180" w:hanging="142"/>
              <w:jc w:val="both"/>
              <w:rPr>
                <w:noProof/>
              </w:rPr>
            </w:pPr>
            <w:r>
              <w:rPr>
                <w:noProof/>
              </w:rPr>
              <w:t>2,2 km de ligne de tramway construite;</w:t>
            </w:r>
          </w:p>
          <w:p w14:paraId="2BB4CFCA" w14:textId="77777777" w:rsidR="008E6885" w:rsidRDefault="00EA24E7">
            <w:pPr>
              <w:pStyle w:val="P68B1DB1-ListParagraph11"/>
              <w:numPr>
                <w:ilvl w:val="0"/>
                <w:numId w:val="30"/>
              </w:numPr>
              <w:spacing w:before="120" w:after="120" w:line="240" w:lineRule="auto"/>
              <w:ind w:left="180" w:hanging="142"/>
              <w:jc w:val="both"/>
              <w:rPr>
                <w:noProof/>
              </w:rPr>
            </w:pPr>
            <w:r>
              <w:rPr>
                <w:noProof/>
              </w:rPr>
              <w:t>0,3 km de ligne de trolleybus construite;</w:t>
            </w:r>
          </w:p>
          <w:p w14:paraId="1C09BEC3" w14:textId="2CAE09A5" w:rsidR="008E6885" w:rsidRDefault="00EA24E7">
            <w:pPr>
              <w:pStyle w:val="P68B1DB1-ListParagraph11"/>
              <w:numPr>
                <w:ilvl w:val="0"/>
                <w:numId w:val="30"/>
              </w:numPr>
              <w:spacing w:before="120" w:after="120" w:line="240" w:lineRule="auto"/>
              <w:ind w:left="180" w:hanging="142"/>
              <w:jc w:val="both"/>
              <w:rPr>
                <w:noProof/>
              </w:rPr>
            </w:pPr>
            <w:r>
              <w:rPr>
                <w:noProof/>
              </w:rPr>
              <w:t>52 km d'infrastructures cyclables nouvellement construites ou rénovées à Riga et Pieriga.</w:t>
            </w:r>
          </w:p>
        </w:tc>
      </w:tr>
      <w:tr w:rsidR="008E6885" w14:paraId="6D429961"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2B2AC95F" w14:textId="77777777" w:rsidR="008E6885" w:rsidRDefault="00EA24E7">
            <w:pPr>
              <w:pStyle w:val="P68B1DB1-Normal9"/>
              <w:spacing w:before="120" w:after="120" w:line="240" w:lineRule="auto"/>
              <w:jc w:val="center"/>
              <w:rPr>
                <w:rFonts w:eastAsia="MS Mincho"/>
                <w:noProof/>
              </w:rPr>
            </w:pPr>
            <w:r>
              <w:rPr>
                <w:noProof/>
              </w:rPr>
              <w:t>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37C191B" w14:textId="77777777" w:rsidR="008E6885" w:rsidRDefault="00EA24E7">
            <w:pPr>
              <w:pStyle w:val="P68B1DB1-Normal8"/>
              <w:spacing w:before="120" w:after="120" w:line="240" w:lineRule="auto"/>
              <w:rPr>
                <w:rFonts w:eastAsia="MS Mincho"/>
                <w:bCs/>
                <w:noProof/>
              </w:rPr>
            </w:pPr>
            <w:r>
              <w:rPr>
                <w:noProof/>
              </w:rPr>
              <w:t xml:space="preserve">1.1.1.i. Amélioration de l'infrastructure des transports métropolitains de Riga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ADBE13F" w14:textId="77777777" w:rsidR="008E6885" w:rsidRDefault="00EA24E7">
            <w:pPr>
              <w:pStyle w:val="P68B1DB1-Normal9"/>
              <w:spacing w:before="120" w:after="120" w:line="240" w:lineRule="auto"/>
              <w:jc w:val="center"/>
              <w:rPr>
                <w:rFonts w:eastAsia="MS Mincho"/>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05D0FD2" w14:textId="77777777" w:rsidR="008E6885" w:rsidRDefault="00EA24E7">
            <w:pPr>
              <w:pStyle w:val="P68B1DB1-Normal9"/>
              <w:spacing w:before="120" w:after="120" w:line="257" w:lineRule="auto"/>
              <w:rPr>
                <w:rFonts w:eastAsia="MS Mincho"/>
                <w:noProof/>
              </w:rPr>
            </w:pPr>
            <w:r>
              <w:rPr>
                <w:noProof/>
              </w:rPr>
              <w:t xml:space="preserve">Signature du ou des contrats pour la gare centrale de Riga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5D34AE59" w14:textId="77777777" w:rsidR="008E6885" w:rsidRDefault="00EA24E7">
            <w:pPr>
              <w:pStyle w:val="P68B1DB1-Normal9"/>
              <w:spacing w:before="120" w:after="120" w:line="240" w:lineRule="auto"/>
              <w:rPr>
                <w:rFonts w:eastAsia="MS Mincho"/>
                <w:noProof/>
              </w:rPr>
            </w:pPr>
            <w:r>
              <w:rPr>
                <w:noProof/>
              </w:rPr>
              <w:t>Contrat(s) signé(s)</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49117BFA"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ECDF206" w14:textId="77777777" w:rsidR="008E6885" w:rsidRDefault="00EA24E7">
            <w:pPr>
              <w:pStyle w:val="P68B1DB1-Normal9"/>
              <w:spacing w:before="120" w:after="120" w:line="240" w:lineRule="auto"/>
              <w:jc w:val="center"/>
              <w:rPr>
                <w:rFonts w:eastAsia="MS Mincho"/>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DCA9F9A"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159C576" w14:textId="77777777" w:rsidR="008E6885" w:rsidRDefault="00EA24E7">
            <w:pPr>
              <w:pStyle w:val="P68B1DB1-Normal9"/>
              <w:spacing w:before="120" w:after="120" w:line="240" w:lineRule="auto"/>
              <w:jc w:val="center"/>
              <w:rPr>
                <w:rFonts w:eastAsia="MS Mincho"/>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BF93D12" w14:textId="77777777" w:rsidR="008E6885" w:rsidRDefault="00EA24E7">
            <w:pPr>
              <w:pStyle w:val="P68B1DB1-Normal9"/>
              <w:spacing w:before="120" w:after="120" w:line="240" w:lineRule="auto"/>
              <w:jc w:val="center"/>
              <w:rPr>
                <w:rFonts w:eastAsia="MS Mincho"/>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33A8C963" w14:textId="77777777" w:rsidR="008E6885" w:rsidRDefault="00EA24E7">
            <w:pPr>
              <w:pStyle w:val="P68B1DB1-Normal9"/>
              <w:spacing w:before="120" w:after="120" w:line="240" w:lineRule="auto"/>
              <w:jc w:val="both"/>
              <w:rPr>
                <w:rFonts w:eastAsia="MS Mincho"/>
                <w:noProof/>
              </w:rPr>
            </w:pPr>
            <w:r>
              <w:rPr>
                <w:noProof/>
              </w:rPr>
              <w:t>Signature du ou des contrats pour les travaux de construction et pour la supervision des travaux de construction dans la partie sud de la gare centrale de Riga. Les travaux de construction dans la partie sud de la gare centrale de Riga comprennent la pose du toit, la façade, le toit de la canopée de la plate-forme, les travaux de finition, les infrastructures d'accès des passagers, les travaux mécaniques, électriques et de plomberie.</w:t>
            </w:r>
          </w:p>
        </w:tc>
      </w:tr>
      <w:tr w:rsidR="008E6885" w14:paraId="6BDE9F7E"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2F0303D8" w14:textId="77777777" w:rsidR="008E6885" w:rsidRDefault="00EA24E7">
            <w:pPr>
              <w:pStyle w:val="P68B1DB1-Normal9"/>
              <w:spacing w:before="120" w:after="120" w:line="240" w:lineRule="auto"/>
              <w:jc w:val="center"/>
              <w:rPr>
                <w:rFonts w:eastAsia="MS Mincho"/>
                <w:noProof/>
              </w:rPr>
            </w:pPr>
            <w:r>
              <w:rPr>
                <w:noProof/>
              </w:rPr>
              <w:t>4a</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1B734A3" w14:textId="77777777" w:rsidR="008E6885" w:rsidRDefault="00EA24E7">
            <w:pPr>
              <w:pStyle w:val="P68B1DB1-Normal8"/>
              <w:spacing w:before="120" w:after="120" w:line="240" w:lineRule="auto"/>
              <w:rPr>
                <w:rFonts w:eastAsia="MS Mincho"/>
                <w:bCs/>
                <w:noProof/>
              </w:rPr>
            </w:pPr>
            <w:r>
              <w:rPr>
                <w:noProof/>
              </w:rPr>
              <w:t xml:space="preserve">1.1.1.i. Amélioration de l'infrastructure des transports métropolitains de Riga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C6B096A" w14:textId="77777777" w:rsidR="008E6885" w:rsidRDefault="00EA24E7">
            <w:pPr>
              <w:pStyle w:val="P68B1DB1-Normal9"/>
              <w:spacing w:before="120" w:after="120" w:line="240" w:lineRule="auto"/>
              <w:jc w:val="center"/>
              <w:rPr>
                <w:rFonts w:eastAsia="MS Mincho"/>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0154E3D4" w14:textId="77777777" w:rsidR="008E6885" w:rsidRDefault="00EA24E7">
            <w:pPr>
              <w:pStyle w:val="P68B1DB1-Normal9"/>
              <w:spacing w:before="120" w:after="120" w:line="240" w:lineRule="auto"/>
              <w:rPr>
                <w:rFonts w:eastAsia="MS Mincho"/>
                <w:noProof/>
              </w:rPr>
            </w:pPr>
            <w:r>
              <w:rPr>
                <w:noProof/>
              </w:rPr>
              <w:t>Gare centrale de Riga</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30B4F7F6" w14:textId="77777777" w:rsidR="008E6885" w:rsidRDefault="00EA24E7">
            <w:pPr>
              <w:pStyle w:val="P68B1DB1-Normal9"/>
              <w:spacing w:before="120" w:after="120" w:line="240" w:lineRule="auto"/>
              <w:rPr>
                <w:rFonts w:eastAsia="MS Mincho"/>
                <w:noProof/>
              </w:rPr>
            </w:pPr>
            <w:r>
              <w:rPr>
                <w:noProof/>
              </w:rPr>
              <w:t xml:space="preserve">Travaux de construction réalisés </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299957D6"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ACB65F2" w14:textId="77777777" w:rsidR="008E6885" w:rsidRDefault="00EA24E7">
            <w:pPr>
              <w:pStyle w:val="P68B1DB1-Normal9"/>
              <w:spacing w:before="120" w:after="120" w:line="240" w:lineRule="auto"/>
              <w:jc w:val="center"/>
              <w:rPr>
                <w:rFonts w:eastAsia="MS Mincho"/>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6812FC1F"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B5F1597" w14:textId="77777777" w:rsidR="008E6885" w:rsidRDefault="00EA24E7">
            <w:pPr>
              <w:pStyle w:val="P68B1DB1-Normal9"/>
              <w:spacing w:before="120" w:after="120" w:line="240" w:lineRule="auto"/>
              <w:jc w:val="center"/>
              <w:rPr>
                <w:rFonts w:eastAsia="MS Mincho"/>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9CC2403" w14:textId="77777777" w:rsidR="008E6885" w:rsidRDefault="00EA24E7">
            <w:pPr>
              <w:pStyle w:val="P68B1DB1-Normal9"/>
              <w:spacing w:before="120" w:after="120" w:line="240" w:lineRule="auto"/>
              <w:jc w:val="center"/>
              <w:rPr>
                <w:rFonts w:eastAsia="MS Mincho"/>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378E5EFB" w14:textId="77777777" w:rsidR="008E6885" w:rsidRDefault="00EA24E7">
            <w:pPr>
              <w:pStyle w:val="P68B1DB1-Normal9"/>
              <w:spacing w:before="120" w:after="120" w:line="240" w:lineRule="auto"/>
              <w:jc w:val="both"/>
              <w:rPr>
                <w:rFonts w:eastAsia="MS Mincho"/>
                <w:noProof/>
              </w:rPr>
            </w:pPr>
            <w:r>
              <w:rPr>
                <w:noProof/>
              </w:rPr>
              <w:t>Travaux de construction réalisés dans la partie sud de la gare centrale de Riga concernant: la pose du toit, la façade, la toiture de la plate-forme, les travaux de finition, l’infrastructure d’accès des passagers, les travaux mécaniques, électriques et de plomberie.</w:t>
            </w:r>
          </w:p>
        </w:tc>
      </w:tr>
      <w:tr w:rsidR="008E6885" w14:paraId="73C60BE0"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56999C95" w14:textId="77777777" w:rsidR="008E6885" w:rsidRDefault="00EA24E7">
            <w:pPr>
              <w:pStyle w:val="P68B1DB1-Normal9"/>
              <w:spacing w:before="120" w:after="120" w:line="240" w:lineRule="auto"/>
              <w:jc w:val="center"/>
              <w:rPr>
                <w:rFonts w:eastAsia="MS Mincho"/>
                <w:noProof/>
              </w:rPr>
            </w:pPr>
            <w:bookmarkStart w:id="3" w:name="_Hlk150176584"/>
            <w:r>
              <w:rPr>
                <w:noProof/>
              </w:rPr>
              <w:t>7</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E18EB0D" w14:textId="77777777" w:rsidR="008E6885" w:rsidRDefault="00EA24E7">
            <w:pPr>
              <w:pStyle w:val="P68B1DB1-Normal8"/>
              <w:spacing w:before="120" w:after="120" w:line="240" w:lineRule="auto"/>
              <w:rPr>
                <w:rFonts w:eastAsia="MS Mincho"/>
                <w:noProof/>
              </w:rPr>
            </w:pPr>
            <w:r>
              <w:rPr>
                <w:noProof/>
              </w:rPr>
              <w:t xml:space="preserve">1.2.1.1.i. Améliorer l'efficacité énergétique des immeubles comprenant plusieurs appartements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CFE3347" w14:textId="77777777" w:rsidR="008E6885" w:rsidRDefault="00EA24E7">
            <w:pPr>
              <w:pStyle w:val="P68B1DB1-Normal9"/>
              <w:spacing w:before="120" w:after="120" w:line="240" w:lineRule="auto"/>
              <w:jc w:val="center"/>
              <w:rPr>
                <w:rFonts w:eastAsia="MS Mincho"/>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3F0217AA" w14:textId="77777777" w:rsidR="008E6885" w:rsidRDefault="00EA24E7">
            <w:pPr>
              <w:pStyle w:val="P68B1DB1-Normal9"/>
              <w:spacing w:before="120" w:after="120" w:line="240" w:lineRule="auto"/>
              <w:rPr>
                <w:rFonts w:eastAsia="MS Mincho"/>
                <w:noProof/>
              </w:rPr>
            </w:pPr>
            <w:r>
              <w:rPr>
                <w:noProof/>
              </w:rPr>
              <w:t xml:space="preserve">Entrée en vigueur du programme de soutien à l'amélioration de l'efficacité énergétique des bâtiments résidentiels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4E52ABC0" w14:textId="77777777" w:rsidR="008E6885" w:rsidRDefault="00EA24E7">
            <w:pPr>
              <w:pStyle w:val="P68B1DB1-Normal9"/>
              <w:spacing w:before="120" w:after="120" w:line="240" w:lineRule="auto"/>
              <w:rPr>
                <w:rFonts w:eastAsia="MS Mincho"/>
                <w:noProof/>
              </w:rPr>
            </w:pPr>
            <w:r>
              <w:rPr>
                <w:noProof/>
              </w:rPr>
              <w:t xml:space="preserve">Entrée en vigueur du programme de soutien à l'amélioration de l'efficacité énergétique des bâtiments résidentiels </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5493BA2B"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259E028" w14:textId="77777777" w:rsidR="008E6885" w:rsidRDefault="00EA24E7">
            <w:pPr>
              <w:pStyle w:val="P68B1DB1-Normal9"/>
              <w:spacing w:before="120" w:after="120" w:line="240" w:lineRule="auto"/>
              <w:jc w:val="center"/>
              <w:rPr>
                <w:rFonts w:eastAsia="MS Mincho"/>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CF944E3"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1D47096" w14:textId="77777777" w:rsidR="008E6885" w:rsidRDefault="00EA24E7">
            <w:pPr>
              <w:pStyle w:val="P68B1DB1-Normal9"/>
              <w:spacing w:before="120" w:after="120" w:line="240" w:lineRule="auto"/>
              <w:jc w:val="center"/>
              <w:rPr>
                <w:rFonts w:eastAsia="MS Mincho"/>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DF00634" w14:textId="77777777" w:rsidR="008E6885" w:rsidRDefault="00EA24E7">
            <w:pPr>
              <w:pStyle w:val="P68B1DB1-Normal9"/>
              <w:spacing w:before="120" w:after="120" w:line="240" w:lineRule="auto"/>
              <w:jc w:val="center"/>
              <w:rPr>
                <w:rFonts w:eastAsia="MS Mincho"/>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C2ADF51" w14:textId="77777777" w:rsidR="008E6885" w:rsidRDefault="00EA24E7">
            <w:pPr>
              <w:pStyle w:val="P68B1DB1-Normal9"/>
              <w:spacing w:before="120" w:after="120" w:line="240" w:lineRule="auto"/>
              <w:jc w:val="both"/>
              <w:rPr>
                <w:rFonts w:eastAsia="MS Mincho"/>
                <w:noProof/>
              </w:rPr>
            </w:pPr>
            <w:r>
              <w:rPr>
                <w:noProof/>
              </w:rPr>
              <w:t xml:space="preserve">Entrée en vigueur du programme de soutien à l’amélioration de l’efficacité énergétique dans les bâtiments résidentiels, assorti de critères d’éligibilité reflétant les exigences du champ d’intervention applicable «025 bis – Rénovation en matière d’efficacité énergétique des logements existants, projets de démonstration et mesures de soutien répondant aux critères d’efficacité énergétique» de l’annexe VI du règlement FRR. </w:t>
            </w:r>
          </w:p>
        </w:tc>
      </w:tr>
      <w:bookmarkEnd w:id="3"/>
      <w:tr w:rsidR="008E6885" w14:paraId="526FC63B"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0FC28E55" w14:textId="77777777" w:rsidR="008E6885" w:rsidRDefault="00EA24E7">
            <w:pPr>
              <w:pStyle w:val="P68B1DB1-Normal9"/>
              <w:spacing w:before="120" w:after="120" w:line="240" w:lineRule="auto"/>
              <w:jc w:val="center"/>
              <w:rPr>
                <w:rFonts w:eastAsia="MS Mincho"/>
                <w:noProof/>
              </w:rPr>
            </w:pPr>
            <w:r>
              <w:rPr>
                <w:noProof/>
              </w:rPr>
              <w:t>8</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5DB1365" w14:textId="77777777" w:rsidR="008E6885" w:rsidRDefault="00EA24E7">
            <w:pPr>
              <w:pStyle w:val="P68B1DB1-Normal8"/>
              <w:spacing w:before="120" w:after="120" w:line="240" w:lineRule="auto"/>
              <w:rPr>
                <w:rFonts w:eastAsia="MS Mincho"/>
                <w:noProof/>
              </w:rPr>
            </w:pPr>
            <w:r>
              <w:rPr>
                <w:noProof/>
              </w:rPr>
              <w:t xml:space="preserve">1.2.1.1.i. Améliorer l'efficacité énergétique des immeubles comprenant plusieurs appartements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083CC3B" w14:textId="77777777" w:rsidR="008E6885" w:rsidRDefault="00EA24E7">
            <w:pPr>
              <w:pStyle w:val="P68B1DB1-Normal9"/>
              <w:spacing w:before="120" w:after="120" w:line="240" w:lineRule="auto"/>
              <w:jc w:val="center"/>
              <w:rPr>
                <w:rFonts w:eastAsia="MS Mincho"/>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4B3EB24C" w14:textId="3A8A9FF8" w:rsidR="008E6885" w:rsidRDefault="00EA24E7">
            <w:pPr>
              <w:pStyle w:val="P68B1DB1-Normal9"/>
              <w:spacing w:before="120" w:after="120" w:line="240" w:lineRule="auto"/>
              <w:rPr>
                <w:rFonts w:eastAsia="MS Mincho"/>
                <w:noProof/>
              </w:rPr>
            </w:pPr>
            <w:r>
              <w:rPr>
                <w:noProof/>
              </w:rPr>
              <w:t>Contrats signés</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3F4AF6A9" w14:textId="77777777" w:rsidR="008E6885" w:rsidRDefault="00EA24E7">
            <w:pPr>
              <w:pStyle w:val="P68B1DB1-Normal9"/>
              <w:spacing w:before="120" w:after="120" w:line="240" w:lineRule="auto"/>
              <w:jc w:val="center"/>
              <w:rPr>
                <w:rFonts w:eastAsia="MS Mincho"/>
                <w:noProof/>
              </w:rPr>
            </w:pPr>
            <w:r>
              <w:rPr>
                <w:noProof/>
              </w:rPr>
              <w:t>Sans objet</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39E57E32" w14:textId="77777777" w:rsidR="008E6885" w:rsidRDefault="00EA24E7">
            <w:pPr>
              <w:pStyle w:val="P68B1DB1-Normal9"/>
              <w:spacing w:before="120" w:after="120" w:line="240" w:lineRule="auto"/>
              <w:jc w:val="center"/>
              <w:rPr>
                <w:rFonts w:eastAsia="MS Mincho"/>
                <w:noProof/>
              </w:rPr>
            </w:pPr>
            <w:r>
              <w:rPr>
                <w:noProof/>
              </w:rPr>
              <w:t>EUR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42724F9" w14:textId="77777777" w:rsidR="008E6885" w:rsidRDefault="00EA24E7">
            <w:pPr>
              <w:pStyle w:val="P68B1DB1-Normal9"/>
              <w:spacing w:before="120" w:after="120" w:line="240" w:lineRule="auto"/>
              <w:jc w:val="center"/>
              <w:rPr>
                <w:rFonts w:eastAsia="MS Mincho"/>
                <w:noProof/>
              </w:rPr>
            </w:pPr>
            <w:r>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CC23202" w14:textId="77777777" w:rsidR="008E6885" w:rsidRDefault="00EA24E7">
            <w:pPr>
              <w:pStyle w:val="P68B1DB1-Normal9"/>
              <w:spacing w:before="120" w:after="120" w:line="240" w:lineRule="auto"/>
              <w:jc w:val="center"/>
              <w:rPr>
                <w:rFonts w:eastAsia="MS Mincho"/>
                <w:noProof/>
              </w:rPr>
            </w:pPr>
            <w:r>
              <w:rPr>
                <w:noProof/>
              </w:rPr>
              <w:t>40 097 400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105507E" w14:textId="77777777" w:rsidR="008E6885" w:rsidRDefault="00EA24E7">
            <w:pPr>
              <w:pStyle w:val="P68B1DB1-Normal9"/>
              <w:spacing w:before="120" w:after="120" w:line="240" w:lineRule="auto"/>
              <w:jc w:val="center"/>
              <w:rPr>
                <w:rFonts w:eastAsia="MS Mincho"/>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63EDBC7A" w14:textId="77777777" w:rsidR="008E6885" w:rsidRDefault="00EA24E7">
            <w:pPr>
              <w:pStyle w:val="P68B1DB1-Normal9"/>
              <w:spacing w:before="120" w:after="120" w:line="240" w:lineRule="auto"/>
              <w:jc w:val="center"/>
              <w:rPr>
                <w:rFonts w:eastAsia="MS Mincho"/>
                <w:noProof/>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326471D5" w14:textId="77777777" w:rsidR="008E6885" w:rsidRDefault="00EA24E7">
            <w:pPr>
              <w:pStyle w:val="P68B1DB1-Normal9"/>
              <w:spacing w:before="120" w:after="120" w:line="240" w:lineRule="auto"/>
              <w:jc w:val="both"/>
              <w:rPr>
                <w:rFonts w:eastAsia="MS Mincho"/>
                <w:noProof/>
              </w:rPr>
            </w:pPr>
            <w:r>
              <w:rPr>
                <w:noProof/>
              </w:rPr>
              <w:t>Contrats signés par ALTUM représentant au moins 40 097 400 EUR.</w:t>
            </w:r>
          </w:p>
        </w:tc>
      </w:tr>
      <w:tr w:rsidR="008E6885" w14:paraId="15F6A0BC"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251494B6" w14:textId="77777777" w:rsidR="008E6885" w:rsidRDefault="00EA24E7">
            <w:pPr>
              <w:pStyle w:val="P68B1DB1-Normal9"/>
              <w:spacing w:before="120" w:after="120" w:line="240" w:lineRule="auto"/>
              <w:jc w:val="center"/>
              <w:rPr>
                <w:rFonts w:eastAsia="MS Mincho"/>
                <w:noProof/>
              </w:rPr>
            </w:pPr>
            <w:r>
              <w:rPr>
                <w:noProof/>
              </w:rPr>
              <w:t>9</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199C457" w14:textId="77777777" w:rsidR="008E6885" w:rsidRDefault="00EA24E7">
            <w:pPr>
              <w:pStyle w:val="P68B1DB1-Normal8"/>
              <w:spacing w:before="120" w:after="120" w:line="240" w:lineRule="auto"/>
              <w:rPr>
                <w:rFonts w:eastAsia="MS Mincho"/>
                <w:noProof/>
              </w:rPr>
            </w:pPr>
            <w:r>
              <w:rPr>
                <w:noProof/>
              </w:rPr>
              <w:t xml:space="preserve">1.2.1.1.i. Améliorer l'efficacité énergétique des immeubles comprenant plusieurs appartements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30DF641" w14:textId="77777777" w:rsidR="008E6885" w:rsidRDefault="00EA24E7">
            <w:pPr>
              <w:pStyle w:val="P68B1DB1-Normal9"/>
              <w:spacing w:before="120" w:after="120" w:line="240" w:lineRule="auto"/>
              <w:jc w:val="center"/>
              <w:rPr>
                <w:rFonts w:eastAsia="MS Mincho"/>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9ACDB60" w14:textId="77777777" w:rsidR="008E6885" w:rsidRDefault="00EA24E7">
            <w:pPr>
              <w:pStyle w:val="P68B1DB1-Normal9"/>
              <w:spacing w:before="120" w:after="120" w:line="240" w:lineRule="auto"/>
              <w:rPr>
                <w:rFonts w:eastAsia="MS Mincho"/>
                <w:noProof/>
              </w:rPr>
            </w:pPr>
            <w:r>
              <w:rPr>
                <w:noProof/>
              </w:rPr>
              <w:t xml:space="preserve">Réduction de la consommation d'énergie primaire dans les immeubles comprenant plusieurs appartements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2768E1D2" w14:textId="77777777" w:rsidR="008E6885" w:rsidRDefault="00EA24E7">
            <w:pPr>
              <w:pStyle w:val="P68B1DB1-Normal9"/>
              <w:spacing w:before="120" w:after="120" w:line="240" w:lineRule="auto"/>
              <w:jc w:val="center"/>
              <w:rPr>
                <w:rFonts w:eastAsia="MS Mincho"/>
                <w:noProof/>
              </w:rPr>
            </w:pPr>
            <w:r>
              <w:rPr>
                <w:noProof/>
              </w:rPr>
              <w:t>Sans objet</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7DABF6FF" w14:textId="77777777" w:rsidR="008E6885" w:rsidRDefault="00EA24E7">
            <w:pPr>
              <w:pStyle w:val="P68B1DB1-Normal9"/>
              <w:spacing w:before="120" w:after="120" w:line="240" w:lineRule="auto"/>
              <w:jc w:val="center"/>
              <w:rPr>
                <w:rFonts w:eastAsia="MS Mincho"/>
                <w:noProof/>
              </w:rPr>
            </w:pPr>
            <w:r>
              <w:rPr>
                <w:noProof/>
              </w:rPr>
              <w:t xml:space="preserve">MWh/ </w:t>
            </w:r>
            <w:r>
              <w:rPr>
                <w:noProof/>
              </w:rPr>
              <w:br/>
              <w:t>Année</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92FA04E" w14:textId="77777777" w:rsidR="008E6885" w:rsidRDefault="00EA24E7">
            <w:pPr>
              <w:pStyle w:val="P68B1DB1-Normal9"/>
              <w:spacing w:before="120" w:after="120" w:line="240" w:lineRule="auto"/>
              <w:jc w:val="center"/>
              <w:rPr>
                <w:rFonts w:eastAsia="MS Mincho"/>
                <w:noProof/>
              </w:rPr>
            </w:pPr>
            <w:r>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32599FE" w14:textId="77777777" w:rsidR="008E6885" w:rsidRDefault="00EA24E7">
            <w:pPr>
              <w:pStyle w:val="P68B1DB1-Normal9"/>
              <w:spacing w:before="120" w:after="120" w:line="240" w:lineRule="auto"/>
              <w:jc w:val="center"/>
              <w:rPr>
                <w:rFonts w:eastAsia="MS Mincho"/>
                <w:noProof/>
              </w:rPr>
            </w:pPr>
            <w:r>
              <w:rPr>
                <w:noProof/>
              </w:rPr>
              <w:t>14 423</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4916DF5" w14:textId="77777777" w:rsidR="008E6885" w:rsidRDefault="00EA24E7">
            <w:pPr>
              <w:pStyle w:val="P68B1DB1-Normal9"/>
              <w:spacing w:before="120" w:after="120" w:line="240" w:lineRule="auto"/>
              <w:jc w:val="center"/>
              <w:rPr>
                <w:rFonts w:eastAsia="MS Mincho"/>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2A340AD3" w14:textId="77777777" w:rsidR="008E6885" w:rsidRDefault="00EA24E7">
            <w:pPr>
              <w:pStyle w:val="P68B1DB1-Normal9"/>
              <w:spacing w:before="120" w:after="120" w:line="240" w:lineRule="auto"/>
              <w:jc w:val="center"/>
              <w:rPr>
                <w:rFonts w:eastAsia="MS Mincho"/>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29900AAF" w14:textId="77777777" w:rsidR="008E6885" w:rsidRDefault="00EA24E7">
            <w:pPr>
              <w:pStyle w:val="P68B1DB1-Normal13"/>
              <w:spacing w:before="120" w:after="120" w:line="240" w:lineRule="auto"/>
              <w:jc w:val="both"/>
              <w:rPr>
                <w:rFonts w:eastAsia="MS Mincho"/>
                <w:noProof/>
              </w:rPr>
            </w:pPr>
            <w:r>
              <w:rPr>
                <w:noProof/>
              </w:rPr>
              <w:t>Réduction de la consommation d’énergie primaire dans les bâtiments comprenant plusieurs appartements démontrée par des certificats de performance énergétique ex ante et ex post.</w:t>
            </w:r>
          </w:p>
        </w:tc>
      </w:tr>
      <w:tr w:rsidR="008E6885" w14:paraId="6B2B3F99"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318118E0" w14:textId="77777777" w:rsidR="008E6885" w:rsidRDefault="00EA24E7">
            <w:pPr>
              <w:pStyle w:val="P68B1DB1-Normal9"/>
              <w:spacing w:before="120" w:after="120" w:line="240" w:lineRule="auto"/>
              <w:jc w:val="center"/>
              <w:rPr>
                <w:rFonts w:eastAsia="MS Mincho"/>
                <w:noProof/>
              </w:rPr>
            </w:pPr>
            <w:r>
              <w:rPr>
                <w:noProof/>
              </w:rPr>
              <w:t>10</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0A41547" w14:textId="77777777" w:rsidR="008E6885" w:rsidRDefault="00EA24E7">
            <w:pPr>
              <w:pStyle w:val="P68B1DB1-Normal8"/>
              <w:spacing w:before="120" w:after="120" w:line="240" w:lineRule="auto"/>
              <w:rPr>
                <w:rFonts w:eastAsia="MS Mincho"/>
                <w:bCs/>
                <w:noProof/>
              </w:rPr>
            </w:pPr>
            <w:r>
              <w:rPr>
                <w:noProof/>
              </w:rPr>
              <w:t>1.2.1.2.i. Accroître l'efficacité énergétique des entreprises sous la forme d'un instrument financier combiné</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D11EB4" w14:textId="77777777" w:rsidR="008E6885" w:rsidRDefault="00EA24E7">
            <w:pPr>
              <w:pStyle w:val="P68B1DB1-Normal9"/>
              <w:spacing w:before="120" w:after="120" w:line="240" w:lineRule="auto"/>
              <w:jc w:val="center"/>
              <w:rPr>
                <w:rFonts w:eastAsia="MS Mincho"/>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7E93DE64" w14:textId="77777777" w:rsidR="008E6885" w:rsidRDefault="00EA24E7">
            <w:pPr>
              <w:pStyle w:val="P68B1DB1-Normal9"/>
              <w:spacing w:before="120" w:after="120" w:line="240" w:lineRule="auto"/>
              <w:rPr>
                <w:rFonts w:eastAsia="MS Mincho"/>
                <w:noProof/>
              </w:rPr>
            </w:pPr>
            <w:r>
              <w:rPr>
                <w:noProof/>
              </w:rPr>
              <w:t>Entrée en vigueur du programme de soutien à l'efficacité énergétique entrepreneuriale</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09C79E0A" w14:textId="77777777" w:rsidR="008E6885" w:rsidRDefault="00EA24E7">
            <w:pPr>
              <w:pStyle w:val="P68B1DB1-Normal9"/>
              <w:spacing w:before="120" w:after="120" w:line="240" w:lineRule="auto"/>
              <w:rPr>
                <w:rFonts w:eastAsia="MS Mincho"/>
                <w:noProof/>
              </w:rPr>
            </w:pPr>
            <w:r>
              <w:rPr>
                <w:noProof/>
              </w:rPr>
              <w:t xml:space="preserve">Entrée en vigueur du règlement </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4A0694EA"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98BA015" w14:textId="77777777" w:rsidR="008E6885" w:rsidRDefault="00EA24E7">
            <w:pPr>
              <w:pStyle w:val="P68B1DB1-Normal9"/>
              <w:spacing w:before="120" w:after="120" w:line="240" w:lineRule="auto"/>
              <w:jc w:val="center"/>
              <w:rPr>
                <w:rFonts w:eastAsia="MS Mincho"/>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C8945FA"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94E8DDE" w14:textId="77777777" w:rsidR="008E6885" w:rsidRDefault="00EA24E7">
            <w:pPr>
              <w:pStyle w:val="P68B1DB1-Normal9"/>
              <w:spacing w:before="120" w:after="120" w:line="240" w:lineRule="auto"/>
              <w:jc w:val="center"/>
              <w:rPr>
                <w:rFonts w:eastAsia="MS Mincho"/>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5A555D8" w14:textId="77777777" w:rsidR="008E6885" w:rsidRDefault="00EA24E7">
            <w:pPr>
              <w:pStyle w:val="P68B1DB1-Normal9"/>
              <w:spacing w:before="120" w:after="120" w:line="240" w:lineRule="auto"/>
              <w:jc w:val="center"/>
              <w:rPr>
                <w:rFonts w:eastAsia="MS Mincho"/>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02DAEAEE" w14:textId="77777777" w:rsidR="008E6885" w:rsidRDefault="00EA24E7">
            <w:pPr>
              <w:pStyle w:val="P68B1DB1-Normal9"/>
              <w:spacing w:before="120" w:after="120" w:line="240" w:lineRule="auto"/>
              <w:jc w:val="both"/>
              <w:rPr>
                <w:rFonts w:eastAsia="MS Mincho"/>
                <w:noProof/>
              </w:rPr>
            </w:pPr>
            <w:r>
              <w:rPr>
                <w:noProof/>
              </w:rPr>
              <w:t>Entrée en vigueur du règlement approuvé par le Conseil des ministres soutenant la mise en œuvre de programmes visant à améliorer l'efficacité énergétique des entreprises.</w:t>
            </w:r>
          </w:p>
          <w:p w14:paraId="23736D6D" w14:textId="77777777" w:rsidR="008E6885" w:rsidRDefault="00EA24E7">
            <w:pPr>
              <w:pStyle w:val="P68B1DB1-Normal9"/>
              <w:spacing w:before="120" w:after="120" w:line="240" w:lineRule="auto"/>
              <w:jc w:val="both"/>
              <w:rPr>
                <w:rFonts w:eastAsia="MS Mincho"/>
                <w:noProof/>
              </w:rPr>
            </w:pPr>
            <w:r>
              <w:rPr>
                <w:noProof/>
              </w:rPr>
              <w:t xml:space="preserve">Les programmes de soutien sont mis en œuvre sous la forme d'un instrument financier combiné, à savoir un prêt remboursable et une décote en capital. </w:t>
            </w:r>
          </w:p>
          <w:p w14:paraId="1E39B496" w14:textId="77777777" w:rsidR="008E6885" w:rsidRDefault="00EA24E7">
            <w:pPr>
              <w:pStyle w:val="P68B1DB1-Normal9"/>
              <w:spacing w:before="120" w:after="120" w:line="240" w:lineRule="auto"/>
              <w:jc w:val="both"/>
              <w:rPr>
                <w:rFonts w:eastAsia="MS Mincho"/>
                <w:noProof/>
              </w:rPr>
            </w:pPr>
            <w:r>
              <w:rPr>
                <w:noProof/>
              </w:rPr>
              <w:t>En tant que critères d’éligibilité reflétant les exigences du champ d’intervention applicable «024.ter – Efficacité énergétique et projets de démonstration dans les PME ou les grandes entreprises et mesures de soutien répondant aux critères d’efficacité énergétique [3]» de l’annexe VI du règlement FRR, les conditions d’aide fixent une économie d’énergie primaire minimale de 30 % pour les projets d’efficacité énergétique dans les bâtiments et pour les équipements, un minimum de 30 % des économies d’énergie primaire moyennes dans le portefeuille de projets de la mesure FRR (avec au moins 25 % pour les équipements d’efficacité énergétique).</w:t>
            </w:r>
          </w:p>
          <w:p w14:paraId="26D19BA3" w14:textId="77777777" w:rsidR="008E6885" w:rsidRDefault="00EA24E7">
            <w:pPr>
              <w:pStyle w:val="P68B1DB1-Normal9"/>
              <w:spacing w:before="120" w:after="120" w:line="240" w:lineRule="auto"/>
              <w:jc w:val="both"/>
              <w:rPr>
                <w:noProof/>
              </w:rPr>
            </w:pPr>
            <w:r>
              <w:rPr>
                <w:noProof/>
              </w:rPr>
              <w:t>Afin de garantir l'obtention de résultats, les conditions comprennent un seuil minimal d'économies d'énergie par euro de financement public investi en tant que critère d'éligibilité pour le projet.</w:t>
            </w:r>
          </w:p>
          <w:p w14:paraId="524C7815" w14:textId="77777777" w:rsidR="008E6885" w:rsidRDefault="00EA24E7">
            <w:pPr>
              <w:pStyle w:val="P68B1DB1-Normal9"/>
              <w:spacing w:before="120" w:after="120" w:line="240" w:lineRule="auto"/>
              <w:jc w:val="both"/>
              <w:rPr>
                <w:rFonts w:eastAsia="MS Mincho"/>
                <w:noProof/>
              </w:rPr>
            </w:pPr>
            <w:r>
              <w:rPr>
                <w:noProof/>
              </w:rPr>
              <w:t>Les conditions comprennent des critères d’éligibilité visant à garantir le respect des principes DNSH conformément aux lignes directrices DNSH (2021/C58/01) et à la législation de l’Union et nationale pertinente.</w:t>
            </w:r>
          </w:p>
          <w:p w14:paraId="5AA79C7D" w14:textId="77777777" w:rsidR="008E6885" w:rsidRDefault="00EA24E7">
            <w:pPr>
              <w:pStyle w:val="P68B1DB1-Normal9"/>
              <w:spacing w:before="120" w:after="120" w:line="240" w:lineRule="auto"/>
              <w:jc w:val="both"/>
              <w:rPr>
                <w:rFonts w:eastAsia="MS Mincho"/>
                <w:noProof/>
              </w:rPr>
            </w:pPr>
            <w:r>
              <w:rPr>
                <w:noProof/>
              </w:rPr>
              <w:t>L’aide est fournie au moyen d’appels d’offres concurrentiels pour les projets présentant les économies d’énergie attendues les plus élevées par euro investi.</w:t>
            </w:r>
          </w:p>
        </w:tc>
      </w:tr>
      <w:tr w:rsidR="008E6885" w14:paraId="154B753A"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7533C8C4" w14:textId="77777777" w:rsidR="008E6885" w:rsidRDefault="00EA24E7">
            <w:pPr>
              <w:pStyle w:val="P68B1DB1-Normal9"/>
              <w:spacing w:before="120" w:after="120" w:line="240" w:lineRule="auto"/>
              <w:jc w:val="center"/>
              <w:rPr>
                <w:rFonts w:eastAsia="MS Mincho"/>
                <w:noProof/>
              </w:rPr>
            </w:pPr>
            <w:r>
              <w:rPr>
                <w:noProof/>
              </w:rPr>
              <w:t>11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EA9EE87" w14:textId="77777777" w:rsidR="008E6885" w:rsidRDefault="00EA24E7">
            <w:pPr>
              <w:pStyle w:val="P68B1DB1-Normal8"/>
              <w:spacing w:before="120" w:after="120" w:line="240" w:lineRule="auto"/>
              <w:rPr>
                <w:rFonts w:eastAsia="MS Mincho"/>
                <w:bCs/>
                <w:noProof/>
              </w:rPr>
            </w:pPr>
            <w:r>
              <w:rPr>
                <w:noProof/>
              </w:rPr>
              <w:t>1.2.1.2.i. Accroître l'efficacité énergétique des entreprises sous la forme d'un instrument financier combiné</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8309D77" w14:textId="77777777" w:rsidR="008E6885" w:rsidRDefault="00EA24E7">
            <w:pPr>
              <w:pStyle w:val="P68B1DB1-Normal9"/>
              <w:spacing w:before="120" w:after="120" w:line="240" w:lineRule="auto"/>
              <w:jc w:val="center"/>
              <w:rPr>
                <w:rFonts w:eastAsia="MS Mincho"/>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3C15B1B3" w14:textId="77777777" w:rsidR="008E6885" w:rsidRDefault="00EA24E7">
            <w:pPr>
              <w:pStyle w:val="P68B1DB1-Normal9"/>
              <w:spacing w:before="120" w:after="120" w:line="240" w:lineRule="auto"/>
              <w:rPr>
                <w:rFonts w:eastAsia="MS Mincho"/>
                <w:noProof/>
              </w:rPr>
            </w:pPr>
            <w:r>
              <w:rPr>
                <w:noProof/>
              </w:rPr>
              <w:t xml:space="preserve">Réductions prévues des émissions de GES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274F0735" w14:textId="77777777" w:rsidR="008E6885" w:rsidRDefault="00EA24E7">
            <w:pPr>
              <w:pStyle w:val="P68B1DB1-Normal9"/>
              <w:spacing w:before="120" w:after="120" w:line="240" w:lineRule="auto"/>
              <w:jc w:val="center"/>
              <w:rPr>
                <w:rFonts w:eastAsia="MS Mincho"/>
                <w:noProof/>
              </w:rPr>
            </w:pPr>
            <w:r>
              <w:rPr>
                <w:noProof/>
              </w:rPr>
              <w:t>Sans objet</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1DD4344D" w14:textId="77777777" w:rsidR="008E6885" w:rsidRDefault="00EA24E7">
            <w:pPr>
              <w:pStyle w:val="P68B1DB1-Normal9"/>
              <w:spacing w:before="120" w:after="120" w:line="240" w:lineRule="auto"/>
              <w:jc w:val="center"/>
              <w:rPr>
                <w:rFonts w:eastAsia="MS Mincho"/>
                <w:noProof/>
              </w:rPr>
            </w:pPr>
            <w:r>
              <w:rPr>
                <w:noProof/>
              </w:rPr>
              <w:t>Tonnes d'équivalent CO2/an</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0E742B7" w14:textId="77777777" w:rsidR="008E6885" w:rsidRDefault="00EA24E7">
            <w:pPr>
              <w:pStyle w:val="P68B1DB1-Normal9"/>
              <w:spacing w:before="120" w:after="120" w:line="240" w:lineRule="auto"/>
              <w:jc w:val="center"/>
              <w:rPr>
                <w:rFonts w:eastAsia="MS Mincho"/>
                <w:noProof/>
              </w:rPr>
            </w:pPr>
            <w:r>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2F75107" w14:textId="77777777" w:rsidR="008E6885" w:rsidRDefault="00EA24E7">
            <w:pPr>
              <w:pStyle w:val="P68B1DB1-Normal9"/>
              <w:spacing w:before="120" w:after="120" w:line="240" w:lineRule="auto"/>
              <w:jc w:val="center"/>
              <w:rPr>
                <w:rFonts w:eastAsia="MS Mincho"/>
                <w:noProof/>
              </w:rPr>
            </w:pPr>
            <w:r>
              <w:rPr>
                <w:noProof/>
              </w:rPr>
              <w:t>11 498</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4EC5EC6" w14:textId="77777777" w:rsidR="008E6885" w:rsidRDefault="00EA24E7">
            <w:pPr>
              <w:pStyle w:val="P68B1DB1-Normal9"/>
              <w:spacing w:before="120" w:after="120" w:line="240" w:lineRule="auto"/>
              <w:jc w:val="center"/>
              <w:rPr>
                <w:rFonts w:eastAsia="MS Mincho"/>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AFC94B1" w14:textId="77777777" w:rsidR="008E6885" w:rsidRDefault="00EA24E7">
            <w:pPr>
              <w:pStyle w:val="P68B1DB1-Normal9"/>
              <w:spacing w:before="120" w:after="120" w:line="240" w:lineRule="auto"/>
              <w:jc w:val="center"/>
              <w:rPr>
                <w:rFonts w:eastAsia="MS Mincho"/>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6E11E12" w14:textId="77777777" w:rsidR="008E6885" w:rsidRDefault="00EA24E7">
            <w:pPr>
              <w:pStyle w:val="P68B1DB1-Normal9"/>
              <w:spacing w:before="120" w:after="120" w:line="240" w:lineRule="auto"/>
              <w:jc w:val="both"/>
              <w:rPr>
                <w:rFonts w:eastAsia="MS Mincho"/>
                <w:noProof/>
              </w:rPr>
            </w:pPr>
            <w:r>
              <w:rPr>
                <w:noProof/>
              </w:rPr>
              <w:t>Réductions prévues des émissions de gaz à effet de serre (GES), en tonnes équivalent CO2 par an.</w:t>
            </w:r>
          </w:p>
        </w:tc>
      </w:tr>
      <w:tr w:rsidR="008E6885" w14:paraId="00015106"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0ADD0000" w14:textId="77777777" w:rsidR="008E6885" w:rsidRDefault="00EA24E7">
            <w:pPr>
              <w:pStyle w:val="P68B1DB1-Normal9"/>
              <w:spacing w:before="120" w:after="120" w:line="240" w:lineRule="auto"/>
              <w:jc w:val="center"/>
              <w:rPr>
                <w:rFonts w:eastAsia="MS Mincho"/>
                <w:noProof/>
              </w:rPr>
            </w:pPr>
            <w:r>
              <w:rPr>
                <w:noProof/>
              </w:rPr>
              <w:t>12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B55AFE1" w14:textId="77777777" w:rsidR="008E6885" w:rsidRDefault="00EA24E7">
            <w:pPr>
              <w:pStyle w:val="P68B1DB1-Normal8"/>
              <w:spacing w:before="120" w:after="120" w:line="240" w:lineRule="auto"/>
              <w:rPr>
                <w:rFonts w:eastAsia="MS Mincho"/>
                <w:noProof/>
              </w:rPr>
            </w:pPr>
            <w:r>
              <w:rPr>
                <w:noProof/>
              </w:rPr>
              <w:t>1.2.1.2.i. Accroître l'efficacité énergétique des entreprises sous la forme d'un instrument financier combiné</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1492734" w14:textId="77777777" w:rsidR="008E6885" w:rsidRDefault="00EA24E7">
            <w:pPr>
              <w:pStyle w:val="P68B1DB1-Normal9"/>
              <w:spacing w:before="120" w:after="120" w:line="240" w:lineRule="auto"/>
              <w:jc w:val="center"/>
              <w:rPr>
                <w:rFonts w:eastAsia="MS Mincho"/>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E71AEE9" w14:textId="77777777" w:rsidR="008E6885" w:rsidRDefault="00EA24E7">
            <w:pPr>
              <w:pStyle w:val="P68B1DB1-Normal9"/>
              <w:spacing w:before="120" w:after="120" w:line="240" w:lineRule="auto"/>
              <w:rPr>
                <w:rFonts w:eastAsia="MS Mincho"/>
                <w:noProof/>
              </w:rPr>
            </w:pPr>
            <w:r>
              <w:rPr>
                <w:noProof/>
              </w:rPr>
              <w:t xml:space="preserve">Contrats signés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1A500341" w14:textId="77777777" w:rsidR="008E6885" w:rsidRDefault="00EA24E7">
            <w:pPr>
              <w:pStyle w:val="P68B1DB1-Normal9"/>
              <w:spacing w:before="120" w:after="120" w:line="240" w:lineRule="auto"/>
              <w:jc w:val="center"/>
              <w:rPr>
                <w:rFonts w:eastAsia="MS Mincho"/>
                <w:noProof/>
              </w:rPr>
            </w:pPr>
            <w:r>
              <w:rPr>
                <w:noProof/>
              </w:rPr>
              <w:t>Sans objet</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0A999521" w14:textId="77777777" w:rsidR="008E6885" w:rsidRDefault="00EA24E7">
            <w:pPr>
              <w:pStyle w:val="P68B1DB1-Normal9"/>
              <w:spacing w:before="120" w:after="120" w:line="240" w:lineRule="auto"/>
              <w:jc w:val="center"/>
              <w:rPr>
                <w:rFonts w:eastAsia="MS Mincho"/>
                <w:noProof/>
              </w:rPr>
            </w:pPr>
            <w:r>
              <w:rPr>
                <w:noProof/>
              </w:rPr>
              <w:t>EUR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0FAD586" w14:textId="77777777" w:rsidR="008E6885" w:rsidRDefault="00EA24E7">
            <w:pPr>
              <w:pStyle w:val="P68B1DB1-Normal9"/>
              <w:spacing w:before="120" w:after="120" w:line="240" w:lineRule="auto"/>
              <w:jc w:val="center"/>
              <w:rPr>
                <w:rFonts w:eastAsia="MS Mincho"/>
                <w:noProof/>
              </w:rPr>
            </w:pPr>
            <w:r>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1DE5AE8" w14:textId="77777777" w:rsidR="008E6885" w:rsidRDefault="00EA24E7">
            <w:pPr>
              <w:pStyle w:val="P68B1DB1-Normal9"/>
              <w:spacing w:before="120" w:after="120" w:line="240" w:lineRule="auto"/>
              <w:jc w:val="center"/>
              <w:rPr>
                <w:rFonts w:eastAsia="MS Mincho"/>
                <w:noProof/>
              </w:rPr>
            </w:pPr>
            <w:r>
              <w:rPr>
                <w:noProof/>
              </w:rPr>
              <w:t>101 000 000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A525F54" w14:textId="77777777" w:rsidR="008E6885" w:rsidRDefault="00EA24E7">
            <w:pPr>
              <w:pStyle w:val="P68B1DB1-Normal9"/>
              <w:spacing w:before="120" w:after="120" w:line="240" w:lineRule="auto"/>
              <w:jc w:val="center"/>
              <w:rPr>
                <w:rFonts w:eastAsia="MS Mincho"/>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5200CD5" w14:textId="77777777" w:rsidR="008E6885" w:rsidRDefault="00EA24E7">
            <w:pPr>
              <w:pStyle w:val="P68B1DB1-Normal9"/>
              <w:spacing w:before="120" w:after="120" w:line="240" w:lineRule="auto"/>
              <w:jc w:val="center"/>
              <w:rPr>
                <w:rFonts w:eastAsia="MS Mincho"/>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79990FD5" w14:textId="77777777" w:rsidR="008E6885" w:rsidRDefault="00EA24E7">
            <w:pPr>
              <w:pStyle w:val="P68B1DB1-Normal9"/>
              <w:spacing w:before="120" w:after="120" w:line="240" w:lineRule="auto"/>
              <w:jc w:val="both"/>
              <w:rPr>
                <w:rFonts w:eastAsia="MS Mincho"/>
                <w:noProof/>
              </w:rPr>
            </w:pPr>
            <w:r>
              <w:rPr>
                <w:noProof/>
              </w:rPr>
              <w:t>Contrats signés représentant au moins 101 000 000 EUR.</w:t>
            </w:r>
          </w:p>
        </w:tc>
      </w:tr>
      <w:tr w:rsidR="008E6885" w14:paraId="63AA6B7E"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4D8E035C" w14:textId="77777777" w:rsidR="008E6885" w:rsidRDefault="00EA24E7">
            <w:pPr>
              <w:pStyle w:val="P68B1DB1-Normal9"/>
              <w:spacing w:before="120" w:after="120" w:line="240" w:lineRule="auto"/>
              <w:jc w:val="center"/>
              <w:rPr>
                <w:rFonts w:eastAsia="MS Mincho"/>
                <w:noProof/>
              </w:rPr>
            </w:pPr>
            <w:r>
              <w:rPr>
                <w:noProof/>
              </w:rPr>
              <w:t>13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C23B265" w14:textId="77777777" w:rsidR="008E6885" w:rsidRDefault="00EA24E7">
            <w:pPr>
              <w:pStyle w:val="P68B1DB1-Normal8"/>
              <w:spacing w:before="120" w:after="120" w:line="240" w:lineRule="auto"/>
              <w:rPr>
                <w:rFonts w:eastAsia="MS Mincho"/>
                <w:noProof/>
              </w:rPr>
            </w:pPr>
            <w:r>
              <w:rPr>
                <w:noProof/>
              </w:rPr>
              <w:t xml:space="preserve">1.2.1.3.i. Améliorer l'efficacité énergétique des bâtiments municipaux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07FA973" w14:textId="77777777" w:rsidR="008E6885" w:rsidRDefault="00EA24E7">
            <w:pPr>
              <w:pStyle w:val="P68B1DB1-Normal9"/>
              <w:spacing w:before="120" w:after="120" w:line="240" w:lineRule="auto"/>
              <w:jc w:val="center"/>
              <w:rPr>
                <w:rFonts w:eastAsia="MS Mincho"/>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C949C09" w14:textId="77777777" w:rsidR="008E6885" w:rsidRDefault="00EA24E7">
            <w:pPr>
              <w:pStyle w:val="P68B1DB1-Normal9"/>
              <w:spacing w:before="120" w:after="120" w:line="240" w:lineRule="auto"/>
              <w:rPr>
                <w:rFonts w:eastAsia="MS Mincho"/>
                <w:noProof/>
              </w:rPr>
            </w:pPr>
            <w:r>
              <w:rPr>
                <w:noProof/>
              </w:rPr>
              <w:t>Entrée en vigueur du cadre juridique d’un programme d’aide à l’amélioration de l’efficacité énergétique des infrastructures municipales, qui soutient des projets prévoyant une réduction d’au moins 30 % de l’énergie primaire ou du CO2</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0C32D765" w14:textId="7327C9DA" w:rsidR="008E6885" w:rsidRDefault="00EA24E7">
            <w:pPr>
              <w:pStyle w:val="P68B1DB1-Normal9"/>
              <w:spacing w:before="120" w:after="120" w:line="240" w:lineRule="auto"/>
              <w:rPr>
                <w:rFonts w:eastAsia="MS Mincho"/>
                <w:noProof/>
              </w:rPr>
            </w:pPr>
            <w:r>
              <w:rPr>
                <w:noProof/>
              </w:rPr>
              <w:t>Entrée en vigueur du règlement du Cabinet</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157DF42B"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C0CCB1F" w14:textId="77777777" w:rsidR="008E6885" w:rsidRDefault="00EA24E7">
            <w:pPr>
              <w:pStyle w:val="P68B1DB1-Normal9"/>
              <w:spacing w:before="120" w:after="120" w:line="240" w:lineRule="auto"/>
              <w:jc w:val="center"/>
              <w:rPr>
                <w:rFonts w:eastAsia="MS Mincho"/>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1D93243"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46A118C" w14:textId="77777777" w:rsidR="008E6885" w:rsidRDefault="00EA24E7">
            <w:pPr>
              <w:pStyle w:val="P68B1DB1-Normal9"/>
              <w:spacing w:before="120" w:after="120" w:line="240" w:lineRule="auto"/>
              <w:jc w:val="center"/>
              <w:rPr>
                <w:rFonts w:eastAsia="MS Mincho"/>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24302691" w14:textId="77777777" w:rsidR="008E6885" w:rsidRDefault="00EA24E7">
            <w:pPr>
              <w:pStyle w:val="P68B1DB1-Normal9"/>
              <w:spacing w:before="120" w:after="120" w:line="240" w:lineRule="auto"/>
              <w:jc w:val="center"/>
              <w:rPr>
                <w:rFonts w:eastAsia="MS Mincho"/>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66444225" w14:textId="77777777" w:rsidR="008E6885" w:rsidRDefault="00EA24E7">
            <w:pPr>
              <w:pStyle w:val="P68B1DB1-Normal9"/>
              <w:spacing w:before="120" w:after="120" w:line="240" w:lineRule="auto"/>
              <w:jc w:val="both"/>
              <w:rPr>
                <w:rFonts w:eastAsia="MS Mincho"/>
                <w:noProof/>
              </w:rPr>
            </w:pPr>
            <w:r>
              <w:rPr>
                <w:noProof/>
              </w:rPr>
              <w:t xml:space="preserve">Entrée en vigueur du règlement du cabinet établissant les conditions de mise en œuvre pour l’amélioration des bâtiments et des infrastructures des collectivités locales, la promotion de la transition vers l’utilisation de technologies liées aux énergies renouvelables et l’amélioration de l’efficacité énergétique, avec des critères d’éligibilité reflétant les exigences du domaine d’intervention applicable «026 bis – Mesures de récupération d’énergie ou d’efficacité énergétique pour les infrastructures publiques, les projets de démonstration et les mesures de soutien répondant aux critères d’efficacité énergétique» de l’annexe VI du règlement FRR. </w:t>
            </w:r>
          </w:p>
        </w:tc>
      </w:tr>
      <w:tr w:rsidR="008E6885" w14:paraId="1E31AD35"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1BEAA9C0" w14:textId="77777777" w:rsidR="008E6885" w:rsidRDefault="00EA24E7">
            <w:pPr>
              <w:pStyle w:val="P68B1DB1-Normal9"/>
              <w:spacing w:before="120" w:after="120" w:line="240" w:lineRule="auto"/>
              <w:jc w:val="center"/>
              <w:rPr>
                <w:rFonts w:eastAsia="MS Mincho"/>
                <w:noProof/>
              </w:rPr>
            </w:pPr>
            <w:r>
              <w:rPr>
                <w:noProof/>
              </w:rPr>
              <w:t>14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47EF096" w14:textId="77777777" w:rsidR="008E6885" w:rsidRDefault="00EA24E7">
            <w:pPr>
              <w:pStyle w:val="P68B1DB1-Normal8"/>
              <w:spacing w:before="120" w:after="120" w:line="240" w:lineRule="auto"/>
              <w:rPr>
                <w:rFonts w:eastAsia="MS Mincho"/>
                <w:noProof/>
              </w:rPr>
            </w:pPr>
            <w:r>
              <w:rPr>
                <w:noProof/>
              </w:rPr>
              <w:t xml:space="preserve">1.2.1.3.i. Améliorer l'efficacité énergétique des bâtiments municipaux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4E0690E" w14:textId="77777777" w:rsidR="008E6885" w:rsidRDefault="00EA24E7">
            <w:pPr>
              <w:pStyle w:val="P68B1DB1-Normal9"/>
              <w:spacing w:before="120" w:after="120" w:line="240" w:lineRule="auto"/>
              <w:jc w:val="center"/>
              <w:rPr>
                <w:rFonts w:eastAsia="MS Mincho"/>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02B31A1" w14:textId="77777777" w:rsidR="008E6885" w:rsidRDefault="00EA24E7">
            <w:pPr>
              <w:pStyle w:val="P68B1DB1-Normal9"/>
              <w:spacing w:before="120" w:after="120" w:line="240" w:lineRule="auto"/>
              <w:rPr>
                <w:rFonts w:eastAsia="MS Mincho"/>
                <w:noProof/>
              </w:rPr>
            </w:pPr>
            <w:r>
              <w:rPr>
                <w:noProof/>
              </w:rPr>
              <w:t xml:space="preserve">Attribution des marchés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641BA469" w14:textId="77777777" w:rsidR="008E6885" w:rsidRDefault="00EA24E7">
            <w:pPr>
              <w:pStyle w:val="P68B1DB1-Normal9"/>
              <w:spacing w:before="120" w:after="120" w:line="240" w:lineRule="auto"/>
              <w:jc w:val="center"/>
              <w:rPr>
                <w:rFonts w:eastAsia="MS Mincho"/>
                <w:noProof/>
              </w:rPr>
            </w:pPr>
            <w:r>
              <w:rPr>
                <w:noProof/>
              </w:rPr>
              <w:t>Sans objet</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137F2F75" w14:textId="77777777" w:rsidR="008E6885" w:rsidRDefault="00EA24E7">
            <w:pPr>
              <w:pStyle w:val="P68B1DB1-Normal9"/>
              <w:spacing w:before="120" w:after="120" w:line="240" w:lineRule="auto"/>
              <w:jc w:val="center"/>
              <w:rPr>
                <w:rFonts w:eastAsia="MS Mincho"/>
                <w:noProof/>
              </w:rPr>
            </w:pPr>
            <w:r>
              <w:rPr>
                <w:noProof/>
              </w:rPr>
              <w:t>EUR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14C50C8" w14:textId="77777777" w:rsidR="008E6885" w:rsidRDefault="00EA24E7">
            <w:pPr>
              <w:pStyle w:val="P68B1DB1-Normal9"/>
              <w:spacing w:before="120" w:after="120" w:line="240" w:lineRule="auto"/>
              <w:jc w:val="center"/>
              <w:rPr>
                <w:rFonts w:eastAsia="MS Mincho"/>
                <w:noProof/>
              </w:rPr>
            </w:pPr>
            <w:r>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7C3C1C1" w14:textId="77777777" w:rsidR="008E6885" w:rsidRDefault="00EA24E7">
            <w:pPr>
              <w:pStyle w:val="P68B1DB1-Normal9"/>
              <w:spacing w:before="120" w:after="120" w:line="240" w:lineRule="auto"/>
              <w:jc w:val="center"/>
              <w:rPr>
                <w:rFonts w:eastAsia="MS Mincho"/>
                <w:noProof/>
              </w:rPr>
            </w:pPr>
            <w:r>
              <w:rPr>
                <w:noProof/>
              </w:rPr>
              <w:t>27 838 800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BECCC52" w14:textId="77777777" w:rsidR="008E6885" w:rsidRDefault="00EA24E7">
            <w:pPr>
              <w:pStyle w:val="P68B1DB1-Normal9"/>
              <w:spacing w:before="120" w:after="120" w:line="240" w:lineRule="auto"/>
              <w:jc w:val="center"/>
              <w:rPr>
                <w:rFonts w:eastAsia="MS Mincho"/>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7667635E" w14:textId="77777777" w:rsidR="008E6885" w:rsidRDefault="00EA24E7">
            <w:pPr>
              <w:pStyle w:val="P68B1DB1-Normal9"/>
              <w:spacing w:before="120" w:after="120" w:line="240" w:lineRule="auto"/>
              <w:jc w:val="center"/>
              <w:rPr>
                <w:rFonts w:eastAsia="MS Mincho"/>
                <w:noProof/>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775BF778" w14:textId="77777777" w:rsidR="008E6885" w:rsidRDefault="00EA24E7">
            <w:pPr>
              <w:pStyle w:val="P68B1DB1-Normal9"/>
              <w:spacing w:before="120" w:after="120" w:line="240" w:lineRule="auto"/>
              <w:jc w:val="both"/>
              <w:rPr>
                <w:rFonts w:eastAsia="MS Mincho"/>
                <w:noProof/>
              </w:rPr>
            </w:pPr>
            <w:r>
              <w:rPr>
                <w:noProof/>
              </w:rPr>
              <w:t>Notification de l’attribution de marchés pour un montant d’au moins 27 838 800 EUR.</w:t>
            </w:r>
          </w:p>
        </w:tc>
      </w:tr>
      <w:tr w:rsidR="008E6885" w14:paraId="6FC75AB1"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72CE9268" w14:textId="77777777" w:rsidR="008E6885" w:rsidRDefault="00EA24E7">
            <w:pPr>
              <w:pStyle w:val="P68B1DB1-Normal9"/>
              <w:spacing w:before="120" w:after="120" w:line="240" w:lineRule="auto"/>
              <w:jc w:val="center"/>
              <w:rPr>
                <w:rFonts w:eastAsia="MS Mincho"/>
                <w:noProof/>
              </w:rPr>
            </w:pPr>
            <w:r>
              <w:rPr>
                <w:noProof/>
              </w:rPr>
              <w:t>15</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9D39CE9" w14:textId="77777777" w:rsidR="008E6885" w:rsidRDefault="00EA24E7">
            <w:pPr>
              <w:pStyle w:val="P68B1DB1-Normal8"/>
              <w:spacing w:before="120" w:after="120" w:line="240" w:lineRule="auto"/>
              <w:rPr>
                <w:rFonts w:eastAsia="MS Mincho"/>
                <w:noProof/>
              </w:rPr>
            </w:pPr>
            <w:r>
              <w:rPr>
                <w:noProof/>
              </w:rPr>
              <w:t xml:space="preserve">1.2.1.3.i. Améliorer l'efficacité énergétique des bâtiments municipaux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6377DAC" w14:textId="26E9BDC2" w:rsidR="008E6885" w:rsidRDefault="00EA24E7">
            <w:pPr>
              <w:pStyle w:val="P68B1DB1-Normal9"/>
              <w:spacing w:before="120" w:after="120" w:line="240" w:lineRule="auto"/>
              <w:jc w:val="center"/>
              <w:rPr>
                <w:rFonts w:eastAsia="MS Mincho"/>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59DD0008" w14:textId="77777777" w:rsidR="008E6885" w:rsidRDefault="00EA24E7">
            <w:pPr>
              <w:pStyle w:val="P68B1DB1-Normal9"/>
              <w:spacing w:before="120" w:after="120" w:line="240" w:lineRule="auto"/>
              <w:rPr>
                <w:rFonts w:eastAsia="MS Mincho"/>
                <w:noProof/>
              </w:rPr>
            </w:pPr>
            <w:r>
              <w:rPr>
                <w:noProof/>
              </w:rPr>
              <w:t xml:space="preserve">Réduction de la consommation d'énergie primaire dans les bâtiments municipaux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0E5716DD" w14:textId="77777777" w:rsidR="008E6885" w:rsidRDefault="00EA24E7">
            <w:pPr>
              <w:pStyle w:val="P68B1DB1-Normal9"/>
              <w:spacing w:before="120" w:after="120" w:line="240" w:lineRule="auto"/>
              <w:jc w:val="center"/>
              <w:rPr>
                <w:rFonts w:eastAsia="MS Mincho"/>
                <w:noProof/>
              </w:rPr>
            </w:pPr>
            <w:r>
              <w:rPr>
                <w:noProof/>
              </w:rPr>
              <w:t>Sans objet</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3E14DB9A" w14:textId="77777777" w:rsidR="008E6885" w:rsidRDefault="00EA24E7">
            <w:pPr>
              <w:pStyle w:val="P68B1DB1-Normal9"/>
              <w:spacing w:before="120" w:after="120" w:line="240" w:lineRule="auto"/>
              <w:jc w:val="center"/>
              <w:rPr>
                <w:rFonts w:eastAsia="MS Mincho"/>
                <w:noProof/>
              </w:rPr>
            </w:pPr>
            <w:r>
              <w:rPr>
                <w:noProof/>
              </w:rPr>
              <w:t>KWh/année</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1396914" w14:textId="77777777" w:rsidR="008E6885" w:rsidRDefault="00EA24E7">
            <w:pPr>
              <w:pStyle w:val="P68B1DB1-Normal9"/>
              <w:spacing w:before="120" w:after="120" w:line="240" w:lineRule="auto"/>
              <w:jc w:val="center"/>
              <w:rPr>
                <w:rFonts w:eastAsia="MS Mincho"/>
                <w:noProof/>
              </w:rPr>
            </w:pPr>
            <w:r>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280FEB4" w14:textId="77777777" w:rsidR="008E6885" w:rsidRDefault="00EA24E7">
            <w:pPr>
              <w:pStyle w:val="P68B1DB1-Normal9"/>
              <w:spacing w:before="120" w:after="120" w:line="240" w:lineRule="auto"/>
              <w:jc w:val="center"/>
              <w:rPr>
                <w:rFonts w:eastAsia="MS Mincho"/>
                <w:noProof/>
              </w:rPr>
            </w:pPr>
            <w:r>
              <w:rPr>
                <w:noProof/>
              </w:rPr>
              <w:t>4 544 563</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9B82272" w14:textId="77777777" w:rsidR="008E6885" w:rsidRDefault="00EA24E7">
            <w:pPr>
              <w:pStyle w:val="P68B1DB1-Normal9"/>
              <w:spacing w:before="120" w:after="120" w:line="240" w:lineRule="auto"/>
              <w:jc w:val="center"/>
              <w:rPr>
                <w:rFonts w:eastAsia="MS Mincho"/>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680E4E32" w14:textId="77777777" w:rsidR="008E6885" w:rsidRDefault="00EA24E7">
            <w:pPr>
              <w:pStyle w:val="P68B1DB1-Normal9"/>
              <w:spacing w:before="120" w:after="120" w:line="240" w:lineRule="auto"/>
              <w:jc w:val="center"/>
              <w:rPr>
                <w:rFonts w:eastAsia="MS Mincho"/>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07DACBC1" w14:textId="77777777" w:rsidR="008E6885" w:rsidRDefault="00EA24E7">
            <w:pPr>
              <w:pStyle w:val="P68B1DB1-Normal13"/>
              <w:spacing w:before="120" w:after="120" w:line="276" w:lineRule="auto"/>
              <w:contextualSpacing/>
              <w:jc w:val="both"/>
              <w:rPr>
                <w:rFonts w:eastAsia="MS Mincho"/>
                <w:noProof/>
              </w:rPr>
            </w:pPr>
            <w:r>
              <w:rPr>
                <w:noProof/>
              </w:rPr>
              <w:t>Réduction de la consommation d’énergie primaire dans les bâtiments municipaux démontrée par des certificats de performance énergétique ex ante et ex post.</w:t>
            </w:r>
          </w:p>
        </w:tc>
      </w:tr>
      <w:tr w:rsidR="008E6885" w14:paraId="4F23E716"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4DEF1F40" w14:textId="77777777" w:rsidR="008E6885" w:rsidRDefault="00EA24E7">
            <w:pPr>
              <w:pStyle w:val="P68B1DB1-Normal9"/>
              <w:spacing w:before="120" w:after="120" w:line="240" w:lineRule="auto"/>
              <w:jc w:val="center"/>
              <w:rPr>
                <w:rFonts w:eastAsia="MS Mincho"/>
                <w:noProof/>
              </w:rPr>
            </w:pPr>
            <w:r>
              <w:rPr>
                <w:noProof/>
              </w:rPr>
              <w:t>16</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98ECA44" w14:textId="77777777" w:rsidR="008E6885" w:rsidRDefault="00EA24E7">
            <w:pPr>
              <w:pStyle w:val="P68B1DB1-Normal8"/>
              <w:spacing w:before="120" w:after="120" w:line="240" w:lineRule="auto"/>
              <w:rPr>
                <w:rFonts w:eastAsia="MS Mincho"/>
                <w:noProof/>
              </w:rPr>
            </w:pPr>
            <w:r>
              <w:rPr>
                <w:noProof/>
              </w:rPr>
              <w:t>1.2.1.4.i. Améliorer l'efficacité énergétique des bâtiments du secteur public</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5F281C0" w14:textId="77777777" w:rsidR="008E6885" w:rsidRDefault="00EA24E7">
            <w:pPr>
              <w:pStyle w:val="P68B1DB1-Normal9"/>
              <w:spacing w:before="120" w:after="120" w:line="240" w:lineRule="auto"/>
              <w:jc w:val="center"/>
              <w:rPr>
                <w:rFonts w:eastAsia="MS Mincho"/>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3685D91" w14:textId="77777777" w:rsidR="008E6885" w:rsidRDefault="00EA24E7">
            <w:pPr>
              <w:pStyle w:val="P68B1DB1-Normal9"/>
              <w:spacing w:before="120" w:after="120" w:line="240" w:lineRule="auto"/>
              <w:rPr>
                <w:rFonts w:eastAsia="MS Mincho"/>
                <w:noProof/>
              </w:rPr>
            </w:pPr>
            <w:r>
              <w:rPr>
                <w:noProof/>
              </w:rPr>
              <w:t xml:space="preserve">Entrée en vigueur du programme de soutien à l'amélioration de l'efficacité énergétique des bâtiments nationaux et historiques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35DA7412" w14:textId="77777777" w:rsidR="008E6885" w:rsidRDefault="00EA24E7">
            <w:pPr>
              <w:pStyle w:val="P68B1DB1-Normal9"/>
              <w:spacing w:before="120" w:after="120" w:line="240" w:lineRule="auto"/>
              <w:rPr>
                <w:rFonts w:eastAsia="MS Mincho"/>
                <w:noProof/>
              </w:rPr>
            </w:pPr>
            <w:r>
              <w:rPr>
                <w:noProof/>
              </w:rPr>
              <w:t>Entrée en vigueur du programme d'appui à l'amélioration de l'efficacité énergétique des bâtiments nationaux et historiques approuvé par le Conseil des ministres</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18A39BB3"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798EE9A" w14:textId="77777777" w:rsidR="008E6885" w:rsidRDefault="00EA24E7">
            <w:pPr>
              <w:pStyle w:val="P68B1DB1-Normal9"/>
              <w:spacing w:before="120" w:after="120" w:line="240" w:lineRule="auto"/>
              <w:jc w:val="center"/>
              <w:rPr>
                <w:rFonts w:eastAsia="MS Mincho"/>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1067C37"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0D7FD89" w14:textId="77777777" w:rsidR="008E6885" w:rsidRDefault="00EA24E7">
            <w:pPr>
              <w:pStyle w:val="P68B1DB1-Normal9"/>
              <w:spacing w:before="120" w:after="120" w:line="240" w:lineRule="auto"/>
              <w:jc w:val="center"/>
              <w:rPr>
                <w:rFonts w:eastAsia="MS Mincho"/>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926230C" w14:textId="77777777" w:rsidR="008E6885" w:rsidRDefault="00EA24E7">
            <w:pPr>
              <w:pStyle w:val="P68B1DB1-Normal9"/>
              <w:spacing w:before="120" w:after="120" w:line="240" w:lineRule="auto"/>
              <w:jc w:val="center"/>
              <w:rPr>
                <w:rFonts w:eastAsia="MS Mincho"/>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71B58A0" w14:textId="77777777" w:rsidR="008E6885" w:rsidRDefault="00EA24E7">
            <w:pPr>
              <w:pStyle w:val="P68B1DB1-Normal9"/>
              <w:spacing w:before="120" w:after="120" w:line="240" w:lineRule="auto"/>
              <w:jc w:val="both"/>
              <w:rPr>
                <w:rFonts w:eastAsia="MS Mincho"/>
                <w:noProof/>
              </w:rPr>
            </w:pPr>
            <w:r>
              <w:rPr>
                <w:noProof/>
              </w:rPr>
              <w:t xml:space="preserve">Entrée en vigueur d’un programme de soutien à l’amélioration de l’efficacité énergétique dans les bâtiments nationaux et historiques, assorti de critères d’éligibilité reflétant les exigences du domaine d’intervention applicable 026 bis – Mesures de valorisation énergétique ou d’efficacité énergétique pour les infrastructures publiques, les projets de démonstration et les mesures de soutien répondant aux critères d’efficacité énergétique de l’annexe VI du règlement FRR. </w:t>
            </w:r>
          </w:p>
        </w:tc>
      </w:tr>
      <w:tr w:rsidR="008E6885" w14:paraId="1620FE06"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2F652596" w14:textId="77777777" w:rsidR="008E6885" w:rsidRDefault="00EA24E7">
            <w:pPr>
              <w:pStyle w:val="P68B1DB1-Normal9"/>
              <w:spacing w:before="120" w:after="120" w:line="240" w:lineRule="auto"/>
              <w:jc w:val="center"/>
              <w:rPr>
                <w:rFonts w:eastAsia="MS Mincho"/>
                <w:noProof/>
              </w:rPr>
            </w:pPr>
            <w:r>
              <w:rPr>
                <w:noProof/>
              </w:rPr>
              <w:t>18</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65FC93A" w14:textId="77777777" w:rsidR="008E6885" w:rsidRDefault="00EA24E7">
            <w:pPr>
              <w:pStyle w:val="P68B1DB1-Normal8"/>
              <w:spacing w:before="120" w:after="120" w:line="240" w:lineRule="auto"/>
              <w:rPr>
                <w:rFonts w:eastAsia="MS Mincho"/>
                <w:noProof/>
              </w:rPr>
            </w:pPr>
            <w:r>
              <w:rPr>
                <w:noProof/>
              </w:rPr>
              <w:t>1.2.1.4.i. Améliorer l'efficacité énergétique des bâtiments du secteur public</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3B798D4" w14:textId="702173E5" w:rsidR="008E6885" w:rsidRDefault="00EA24E7">
            <w:pPr>
              <w:pStyle w:val="P68B1DB1-Normal9"/>
              <w:spacing w:before="120" w:after="120" w:line="240" w:lineRule="auto"/>
              <w:jc w:val="center"/>
              <w:rPr>
                <w:rFonts w:eastAsia="MS Mincho"/>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256EBFEE" w14:textId="77777777" w:rsidR="008E6885" w:rsidRDefault="00EA24E7">
            <w:pPr>
              <w:pStyle w:val="P68B1DB1-Normal9"/>
              <w:spacing w:before="120" w:after="120" w:line="240" w:lineRule="auto"/>
              <w:rPr>
                <w:rFonts w:eastAsia="MS Mincho"/>
                <w:noProof/>
              </w:rPr>
            </w:pPr>
            <w:r>
              <w:rPr>
                <w:noProof/>
              </w:rPr>
              <w:t xml:space="preserve">Réduction de la consommation d'énergie primaire dans les bâtiments publics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24C5C8CE" w14:textId="77777777" w:rsidR="008E6885" w:rsidRDefault="00EA24E7">
            <w:pPr>
              <w:pStyle w:val="P68B1DB1-Normal9"/>
              <w:spacing w:before="120" w:after="120" w:line="240" w:lineRule="auto"/>
              <w:jc w:val="center"/>
              <w:rPr>
                <w:rFonts w:eastAsia="MS Mincho"/>
                <w:noProof/>
              </w:rPr>
            </w:pPr>
            <w:r>
              <w:rPr>
                <w:noProof/>
              </w:rPr>
              <w:t>Sans objet</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52B55B48" w14:textId="77777777" w:rsidR="008E6885" w:rsidRDefault="00EA24E7">
            <w:pPr>
              <w:pStyle w:val="P68B1DB1-Normal9"/>
              <w:spacing w:before="120" w:after="120" w:line="240" w:lineRule="auto"/>
              <w:jc w:val="center"/>
              <w:rPr>
                <w:rFonts w:eastAsia="MS Mincho"/>
                <w:noProof/>
              </w:rPr>
            </w:pPr>
            <w:r>
              <w:rPr>
                <w:noProof/>
              </w:rPr>
              <w:t>MWh/année</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7BA7D6" w14:textId="77777777" w:rsidR="008E6885" w:rsidRDefault="00EA24E7">
            <w:pPr>
              <w:pStyle w:val="P68B1DB1-Normal9"/>
              <w:spacing w:before="120" w:after="120" w:line="240" w:lineRule="auto"/>
              <w:jc w:val="center"/>
              <w:rPr>
                <w:rFonts w:eastAsia="MS Mincho"/>
                <w:noProof/>
              </w:rPr>
            </w:pPr>
            <w:r>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CE26594" w14:textId="77777777" w:rsidR="008E6885" w:rsidRDefault="00EA24E7">
            <w:pPr>
              <w:pStyle w:val="P68B1DB1-Normal9"/>
              <w:spacing w:before="120" w:after="120" w:line="240" w:lineRule="auto"/>
              <w:jc w:val="center"/>
              <w:rPr>
                <w:rFonts w:eastAsia="MS Mincho"/>
                <w:noProof/>
              </w:rPr>
            </w:pPr>
            <w:r>
              <w:rPr>
                <w:noProof/>
              </w:rPr>
              <w:t>3 875</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45FB862" w14:textId="77777777" w:rsidR="008E6885" w:rsidRDefault="00EA24E7">
            <w:pPr>
              <w:pStyle w:val="P68B1DB1-Normal9"/>
              <w:spacing w:before="120" w:after="120" w:line="240" w:lineRule="auto"/>
              <w:jc w:val="center"/>
              <w:rPr>
                <w:rFonts w:eastAsia="MS Mincho"/>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6731445E" w14:textId="77777777" w:rsidR="008E6885" w:rsidRDefault="00EA24E7">
            <w:pPr>
              <w:pStyle w:val="P68B1DB1-Normal9"/>
              <w:spacing w:before="120" w:after="120" w:line="240" w:lineRule="auto"/>
              <w:jc w:val="center"/>
              <w:rPr>
                <w:rFonts w:eastAsia="MS Mincho"/>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6818AFE6" w14:textId="77777777" w:rsidR="008E6885" w:rsidRDefault="00EA24E7">
            <w:pPr>
              <w:pStyle w:val="P68B1DB1-Normal13"/>
              <w:spacing w:before="120" w:after="120" w:line="276" w:lineRule="auto"/>
              <w:jc w:val="both"/>
              <w:rPr>
                <w:rFonts w:eastAsia="MS Mincho"/>
                <w:noProof/>
              </w:rPr>
            </w:pPr>
            <w:r>
              <w:rPr>
                <w:noProof/>
              </w:rPr>
              <w:t>Réduction de la consommation d’énergie primaire dans les bâtiments publics calculée sur la base de certificats de performance énergétique.</w:t>
            </w:r>
          </w:p>
        </w:tc>
      </w:tr>
      <w:tr w:rsidR="008E6885" w14:paraId="2FF9C0ED"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0ABDDC23" w14:textId="77777777" w:rsidR="008E6885" w:rsidRDefault="00EA24E7">
            <w:pPr>
              <w:pStyle w:val="P68B1DB1-Normal9"/>
              <w:spacing w:before="120" w:after="120" w:line="240" w:lineRule="auto"/>
              <w:jc w:val="center"/>
              <w:rPr>
                <w:rFonts w:eastAsia="MS Mincho"/>
                <w:noProof/>
              </w:rPr>
            </w:pPr>
            <w:r>
              <w:rPr>
                <w:noProof/>
              </w:rPr>
              <w:t>19</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0B2E7C8" w14:textId="77777777" w:rsidR="008E6885" w:rsidRDefault="00EA24E7">
            <w:pPr>
              <w:pStyle w:val="P68B1DB1-Normal8"/>
              <w:spacing w:before="120" w:after="120" w:line="240" w:lineRule="auto"/>
              <w:rPr>
                <w:rFonts w:eastAsia="MS Mincho"/>
                <w:noProof/>
              </w:rPr>
            </w:pPr>
            <w:r>
              <w:rPr>
                <w:noProof/>
              </w:rPr>
              <w:t>1.2.1.5.i. Modernisation des réseaux de transport et de distribution d'électricité</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A72BEEB" w14:textId="77777777" w:rsidR="008E6885" w:rsidRDefault="00EA24E7">
            <w:pPr>
              <w:pStyle w:val="P68B1DB1-Normal9"/>
              <w:spacing w:before="120" w:after="120" w:line="240" w:lineRule="auto"/>
              <w:jc w:val="center"/>
              <w:rPr>
                <w:rFonts w:eastAsia="MS Mincho"/>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7F132059" w14:textId="357F3D66" w:rsidR="008E6885" w:rsidRDefault="00EA24E7">
            <w:pPr>
              <w:pStyle w:val="P68B1DB1-Normal9"/>
              <w:spacing w:before="120" w:after="120" w:line="240" w:lineRule="auto"/>
              <w:rPr>
                <w:rFonts w:eastAsia="MS Mincho"/>
                <w:noProof/>
              </w:rPr>
            </w:pPr>
            <w:r>
              <w:rPr>
                <w:noProof/>
              </w:rPr>
              <w:t>Notification des marchés attribués à des projets approuvés pour un montant de 80 000 000 EUR</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1BCCF484" w14:textId="77777777" w:rsidR="008E6885" w:rsidRDefault="00EA24E7">
            <w:pPr>
              <w:pStyle w:val="P68B1DB1-Normal9"/>
              <w:spacing w:before="120" w:after="120" w:line="240" w:lineRule="auto"/>
              <w:jc w:val="center"/>
              <w:rPr>
                <w:rFonts w:eastAsia="MS Mincho"/>
                <w:noProof/>
              </w:rPr>
            </w:pPr>
            <w:r>
              <w:rPr>
                <w:noProof/>
              </w:rPr>
              <w:t>Sans objet</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20CD1AEF" w14:textId="77777777" w:rsidR="008E6885" w:rsidRDefault="00EA24E7">
            <w:pPr>
              <w:pStyle w:val="P68B1DB1-Normal9"/>
              <w:spacing w:before="120" w:after="120" w:line="240" w:lineRule="auto"/>
              <w:jc w:val="center"/>
              <w:rPr>
                <w:rFonts w:eastAsia="MS Mincho"/>
                <w:noProof/>
              </w:rPr>
            </w:pPr>
            <w:r>
              <w:rPr>
                <w:noProof/>
              </w:rPr>
              <w:t>EUR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78F1864" w14:textId="77777777" w:rsidR="008E6885" w:rsidRDefault="00EA24E7">
            <w:pPr>
              <w:pStyle w:val="P68B1DB1-Normal9"/>
              <w:spacing w:before="120" w:after="120" w:line="240" w:lineRule="auto"/>
              <w:jc w:val="center"/>
              <w:rPr>
                <w:rFonts w:eastAsia="MS Mincho"/>
                <w:noProof/>
              </w:rPr>
            </w:pPr>
            <w:r>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7A79ECD" w14:textId="77777777" w:rsidR="008E6885" w:rsidRDefault="00EA24E7">
            <w:pPr>
              <w:pStyle w:val="P68B1DB1-Normal9"/>
              <w:spacing w:before="120" w:after="120" w:line="240" w:lineRule="auto"/>
              <w:jc w:val="center"/>
              <w:rPr>
                <w:rFonts w:eastAsia="MS Mincho"/>
                <w:noProof/>
              </w:rPr>
            </w:pPr>
            <w:r>
              <w:rPr>
                <w:noProof/>
              </w:rPr>
              <w:t>80 000 000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483FCA9" w14:textId="77777777" w:rsidR="008E6885" w:rsidRDefault="00EA24E7">
            <w:pPr>
              <w:pStyle w:val="P68B1DB1-Normal9"/>
              <w:spacing w:before="120" w:after="120" w:line="240" w:lineRule="auto"/>
              <w:jc w:val="center"/>
              <w:rPr>
                <w:rFonts w:eastAsia="MS Mincho"/>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6809F3B" w14:textId="77777777" w:rsidR="008E6885" w:rsidRDefault="00EA24E7">
            <w:pPr>
              <w:pStyle w:val="P68B1DB1-Normal9"/>
              <w:spacing w:before="120" w:after="120" w:line="240" w:lineRule="auto"/>
              <w:jc w:val="center"/>
              <w:rPr>
                <w:rFonts w:eastAsia="MS Mincho"/>
                <w:noProof/>
              </w:rPr>
            </w:pPr>
            <w:r>
              <w:rPr>
                <w:noProof/>
              </w:rPr>
              <w:t>2023</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1F699159" w14:textId="77777777" w:rsidR="008E6885" w:rsidRDefault="00EA24E7">
            <w:pPr>
              <w:pStyle w:val="P68B1DB1-Normal9"/>
              <w:spacing w:before="120" w:after="120" w:line="240" w:lineRule="auto"/>
              <w:jc w:val="both"/>
              <w:rPr>
                <w:rFonts w:eastAsia="MS Mincho"/>
                <w:noProof/>
              </w:rPr>
            </w:pPr>
            <w:r>
              <w:rPr>
                <w:noProof/>
              </w:rPr>
              <w:t>Notification aux bénéficiaires des marchés attribués à des projets approuvés pour un montant de 80 000 000 EUR.</w:t>
            </w:r>
          </w:p>
        </w:tc>
      </w:tr>
      <w:tr w:rsidR="008E6885" w14:paraId="1F9AA7CE"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1B6B036A" w14:textId="77777777" w:rsidR="008E6885" w:rsidRDefault="00EA24E7">
            <w:pPr>
              <w:pStyle w:val="P68B1DB1-Normal9"/>
              <w:spacing w:before="120" w:after="120" w:line="240" w:lineRule="auto"/>
              <w:jc w:val="center"/>
              <w:rPr>
                <w:rFonts w:eastAsia="MS Mincho"/>
                <w:noProof/>
              </w:rPr>
            </w:pPr>
            <w:r>
              <w:rPr>
                <w:noProof/>
              </w:rPr>
              <w:t>20</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36EBFA3" w14:textId="77777777" w:rsidR="008E6885" w:rsidRDefault="00EA24E7">
            <w:pPr>
              <w:pStyle w:val="P68B1DB1-Normal8"/>
              <w:spacing w:before="120" w:after="120" w:line="240" w:lineRule="auto"/>
              <w:rPr>
                <w:rFonts w:eastAsia="MS Mincho"/>
                <w:noProof/>
              </w:rPr>
            </w:pPr>
            <w:r>
              <w:rPr>
                <w:noProof/>
              </w:rPr>
              <w:t>1.2.1.5.i. Modernisation des réseaux de transport et de distribution d'électricité</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ABAD103" w14:textId="77777777" w:rsidR="008E6885" w:rsidRDefault="00EA24E7">
            <w:pPr>
              <w:pStyle w:val="P68B1DB1-Normal9"/>
              <w:spacing w:before="120" w:after="120" w:line="240" w:lineRule="auto"/>
              <w:jc w:val="center"/>
              <w:rPr>
                <w:rFonts w:eastAsia="MS Mincho"/>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BF16995" w14:textId="77777777" w:rsidR="008E6885" w:rsidRDefault="00EA24E7">
            <w:pPr>
              <w:pStyle w:val="P68B1DB1-Normal9"/>
              <w:spacing w:before="120" w:after="120" w:line="240" w:lineRule="auto"/>
              <w:rPr>
                <w:rFonts w:eastAsia="MS Mincho"/>
                <w:noProof/>
              </w:rPr>
            </w:pPr>
            <w:r>
              <w:rPr>
                <w:noProof/>
              </w:rPr>
              <w:t>Points de raccordement pour recharger les véhicules électriques et les installations de microgénération</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276C5EF5" w14:textId="77777777" w:rsidR="008E6885" w:rsidRDefault="00EA24E7">
            <w:pPr>
              <w:pStyle w:val="P68B1DB1-Normal9"/>
              <w:spacing w:before="120" w:after="120" w:line="240" w:lineRule="auto"/>
              <w:jc w:val="center"/>
              <w:rPr>
                <w:rFonts w:eastAsia="MS Mincho"/>
                <w:noProof/>
              </w:rPr>
            </w:pPr>
            <w:r>
              <w:rPr>
                <w:noProof/>
              </w:rPr>
              <w:t>Sans objet</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0383B127" w14:textId="77777777" w:rsidR="008E6885" w:rsidRDefault="00EA24E7">
            <w:pPr>
              <w:pStyle w:val="P68B1DB1-Normal9"/>
              <w:spacing w:before="120" w:after="120" w:line="240" w:lineRule="auto"/>
              <w:jc w:val="center"/>
              <w:rPr>
                <w:rFonts w:eastAsia="MS Mincho"/>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E2FD7F8" w14:textId="77777777" w:rsidR="008E6885" w:rsidRDefault="00EA24E7">
            <w:pPr>
              <w:pStyle w:val="P68B1DB1-Normal9"/>
              <w:spacing w:before="120" w:after="120" w:line="240" w:lineRule="auto"/>
              <w:jc w:val="center"/>
              <w:rPr>
                <w:rFonts w:eastAsia="MS Mincho"/>
                <w:noProof/>
              </w:rPr>
            </w:pPr>
            <w:r>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C7D24C7" w14:textId="77777777" w:rsidR="008E6885" w:rsidRDefault="00EA24E7">
            <w:pPr>
              <w:pStyle w:val="P68B1DB1-Normal9"/>
              <w:spacing w:before="120" w:after="120" w:line="240" w:lineRule="auto"/>
              <w:jc w:val="center"/>
              <w:rPr>
                <w:rFonts w:eastAsia="MS Mincho"/>
                <w:noProof/>
              </w:rPr>
            </w:pPr>
            <w:r>
              <w:rPr>
                <w:noProof/>
              </w:rPr>
              <w:t>2 060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7F8BE7C" w14:textId="77777777" w:rsidR="008E6885" w:rsidRDefault="00EA24E7">
            <w:pPr>
              <w:pStyle w:val="P68B1DB1-Normal9"/>
              <w:spacing w:before="120" w:after="120" w:line="240" w:lineRule="auto"/>
              <w:jc w:val="center"/>
              <w:rPr>
                <w:rFonts w:eastAsia="MS Mincho"/>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0CB06CDF" w14:textId="77777777" w:rsidR="008E6885" w:rsidRDefault="00EA24E7">
            <w:pPr>
              <w:pStyle w:val="P68B1DB1-Normal9"/>
              <w:spacing w:before="120" w:after="120" w:line="240" w:lineRule="auto"/>
              <w:jc w:val="center"/>
              <w:rPr>
                <w:rFonts w:eastAsia="MS Mincho"/>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674D67F9" w14:textId="77777777" w:rsidR="008E6885" w:rsidRDefault="00EA24E7">
            <w:pPr>
              <w:pStyle w:val="P68B1DB1-Normal9"/>
              <w:spacing w:before="120" w:after="120" w:line="240" w:lineRule="auto"/>
              <w:jc w:val="both"/>
              <w:rPr>
                <w:rFonts w:eastAsia="MS Mincho"/>
                <w:noProof/>
              </w:rPr>
            </w:pPr>
            <w:r>
              <w:rPr>
                <w:noProof/>
              </w:rPr>
              <w:t>2 060 points de raccordement établis pour la recharge des véhicules électriques et des installations de microgénération.</w:t>
            </w:r>
          </w:p>
        </w:tc>
      </w:tr>
      <w:tr w:rsidR="008E6885" w14:paraId="2F0060E8"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0B245657" w14:textId="77777777" w:rsidR="008E6885" w:rsidRDefault="00EA24E7">
            <w:pPr>
              <w:pStyle w:val="P68B1DB1-Normal9"/>
              <w:spacing w:before="120" w:after="120" w:line="240" w:lineRule="auto"/>
              <w:jc w:val="center"/>
              <w:rPr>
                <w:rFonts w:eastAsia="MS Mincho"/>
                <w:noProof/>
              </w:rPr>
            </w:pPr>
            <w:r>
              <w:rPr>
                <w:noProof/>
              </w:rPr>
              <w:t>21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C110C8B" w14:textId="77777777" w:rsidR="008E6885" w:rsidRDefault="00EA24E7">
            <w:pPr>
              <w:pStyle w:val="P68B1DB1-Normal8"/>
              <w:spacing w:before="120" w:after="120" w:line="240" w:lineRule="auto"/>
              <w:rPr>
                <w:rFonts w:eastAsia="MS Mincho"/>
                <w:noProof/>
              </w:rPr>
            </w:pPr>
            <w:r>
              <w:rPr>
                <w:noProof/>
              </w:rPr>
              <w:t>1.2.1.5.i. Modernisation des réseaux de transport et de distribution d'électricité</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51AE82C" w14:textId="77777777" w:rsidR="008E6885" w:rsidRDefault="00EA24E7">
            <w:pPr>
              <w:pStyle w:val="P68B1DB1-Normal9"/>
              <w:spacing w:before="120" w:after="120" w:line="240" w:lineRule="auto"/>
              <w:jc w:val="center"/>
              <w:rPr>
                <w:rFonts w:eastAsia="MS Mincho"/>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744991E2" w14:textId="5877AB74" w:rsidR="008E6885" w:rsidRDefault="00EA24E7">
            <w:pPr>
              <w:pStyle w:val="P68B1DB1-Normal9"/>
              <w:spacing w:before="120" w:after="120" w:line="240" w:lineRule="auto"/>
              <w:rPr>
                <w:rFonts w:eastAsia="MS Mincho"/>
                <w:noProof/>
              </w:rPr>
            </w:pPr>
            <w:r>
              <w:rPr>
                <w:noProof/>
              </w:rPr>
              <w:t>Entrée en vigueur d’un ou de plusieurs actes juridiques relatifs à l’énergie éolienne sur les terres publiques</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456E8A41" w14:textId="77777777" w:rsidR="008E6885" w:rsidRDefault="00EA24E7">
            <w:pPr>
              <w:pStyle w:val="P68B1DB1-Normal9"/>
              <w:spacing w:before="120" w:after="120" w:line="240" w:lineRule="auto"/>
              <w:rPr>
                <w:rFonts w:eastAsia="MS Mincho"/>
                <w:noProof/>
              </w:rPr>
            </w:pPr>
            <w:r>
              <w:rPr>
                <w:noProof/>
              </w:rPr>
              <w:t>Acte(s) juridique(s) entré(s) en vigueur</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3CBAC2E5"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3D39884" w14:textId="77777777" w:rsidR="008E6885" w:rsidRDefault="00EA24E7">
            <w:pPr>
              <w:pStyle w:val="P68B1DB1-Normal9"/>
              <w:spacing w:before="120" w:after="120" w:line="240" w:lineRule="auto"/>
              <w:jc w:val="center"/>
              <w:rPr>
                <w:rFonts w:eastAsia="MS Mincho"/>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78EEB2D"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E0F46A" w14:textId="77777777" w:rsidR="008E6885" w:rsidRDefault="00EA24E7">
            <w:pPr>
              <w:pStyle w:val="P68B1DB1-Normal9"/>
              <w:spacing w:before="120" w:after="120" w:line="240" w:lineRule="auto"/>
              <w:jc w:val="center"/>
              <w:rPr>
                <w:rFonts w:eastAsia="MS Mincho"/>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610D62E5" w14:textId="77777777" w:rsidR="008E6885" w:rsidRDefault="00EA24E7">
            <w:pPr>
              <w:pStyle w:val="P68B1DB1-Normal9"/>
              <w:spacing w:before="120" w:after="120" w:line="240" w:lineRule="auto"/>
              <w:jc w:val="center"/>
              <w:rPr>
                <w:rFonts w:eastAsia="MS Mincho"/>
                <w:noProof/>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997C39B" w14:textId="77777777" w:rsidR="008E6885" w:rsidRDefault="00EA24E7">
            <w:pPr>
              <w:pStyle w:val="P68B1DB1-Normal9"/>
              <w:spacing w:before="120" w:after="120" w:line="240" w:lineRule="auto"/>
              <w:jc w:val="both"/>
              <w:rPr>
                <w:rFonts w:eastAsia="MS Mincho"/>
                <w:noProof/>
              </w:rPr>
            </w:pPr>
            <w:r>
              <w:rPr>
                <w:noProof/>
              </w:rPr>
              <w:t xml:space="preserve">Entrée en vigueur du ou des actes juridiques: </w:t>
            </w:r>
          </w:p>
          <w:p w14:paraId="2E37F809" w14:textId="77777777" w:rsidR="008E6885" w:rsidRDefault="00EA24E7">
            <w:pPr>
              <w:pStyle w:val="P68B1DB1-Normal9"/>
              <w:spacing w:before="120" w:after="120" w:line="240" w:lineRule="auto"/>
              <w:jc w:val="both"/>
              <w:rPr>
                <w:noProof/>
              </w:rPr>
            </w:pPr>
            <w:r>
              <w:rPr>
                <w:noProof/>
              </w:rPr>
              <w:t>a) Fixer les conditions d'octroi des droits de construction sur les terrains publics pour l'installation de parcs éoliens et obliger le concédant des droits de construction à publier des informations sur les terrains non aménagés à mettre aux enchères;</w:t>
            </w:r>
          </w:p>
          <w:p w14:paraId="34334C3C" w14:textId="77777777" w:rsidR="008E6885" w:rsidRDefault="00EA24E7">
            <w:pPr>
              <w:pStyle w:val="P68B1DB1-Normal9"/>
              <w:spacing w:before="120" w:after="120" w:line="240" w:lineRule="auto"/>
              <w:jc w:val="both"/>
              <w:rPr>
                <w:noProof/>
              </w:rPr>
            </w:pPr>
            <w:r>
              <w:rPr>
                <w:noProof/>
              </w:rPr>
              <w:t>b) Si le Service national de l'environnement décide d'appliquer une évaluation de l'impact sur l'environnement, permettant au producteur d'électricité de soumettre des informations sur les mesures d'atténuation supplémentaires prévues pour prévenir ou réduire l'impact environnemental négatif de l'activité et de demander que l'évaluation initiale soit effectuée à nouveau.</w:t>
            </w:r>
          </w:p>
        </w:tc>
      </w:tr>
      <w:tr w:rsidR="008E6885" w14:paraId="1A963A03"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3C926638" w14:textId="77777777" w:rsidR="008E6885" w:rsidRDefault="00EA24E7">
            <w:pPr>
              <w:pStyle w:val="P68B1DB1-Normal9"/>
              <w:spacing w:before="120" w:after="120" w:line="240" w:lineRule="auto"/>
              <w:jc w:val="center"/>
              <w:rPr>
                <w:rFonts w:eastAsia="MS Mincho"/>
                <w:noProof/>
              </w:rPr>
            </w:pPr>
            <w:r>
              <w:rPr>
                <w:noProof/>
              </w:rPr>
              <w:t>22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7684630" w14:textId="77777777" w:rsidR="008E6885" w:rsidRDefault="00EA24E7">
            <w:pPr>
              <w:pStyle w:val="P68B1DB1-Normal8"/>
              <w:spacing w:before="120" w:after="120" w:line="240" w:lineRule="auto"/>
              <w:rPr>
                <w:rFonts w:eastAsia="MS Mincho"/>
                <w:noProof/>
              </w:rPr>
            </w:pPr>
            <w:r>
              <w:rPr>
                <w:noProof/>
              </w:rPr>
              <w:t>1.3.1.r. Adaptation du système de gestion des catastrophes aux changements climatiques, services de secours et d'intervention rapide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6598317" w14:textId="77777777" w:rsidR="008E6885" w:rsidRDefault="00EA24E7">
            <w:pPr>
              <w:pStyle w:val="P68B1DB1-Normal9"/>
              <w:spacing w:before="120" w:after="120" w:line="240" w:lineRule="auto"/>
              <w:jc w:val="center"/>
              <w:rPr>
                <w:rFonts w:eastAsia="MS Mincho"/>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4306F986" w14:textId="77777777" w:rsidR="008E6885" w:rsidRDefault="00EA24E7">
            <w:pPr>
              <w:pStyle w:val="P68B1DB1-Normal9"/>
              <w:spacing w:before="120" w:after="120" w:line="240" w:lineRule="auto"/>
              <w:rPr>
                <w:rFonts w:eastAsia="MS Mincho"/>
                <w:noProof/>
              </w:rPr>
            </w:pPr>
            <w:r>
              <w:rPr>
                <w:noProof/>
              </w:rPr>
              <w:t>Publication d ' un rapport sur la mise en œuvre du système de gestion des risques de catastrophe</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7D9F604B" w14:textId="77777777" w:rsidR="008E6885" w:rsidRDefault="00EA24E7">
            <w:pPr>
              <w:pStyle w:val="P68B1DB1-Normal9"/>
              <w:spacing w:before="120" w:after="120" w:line="240" w:lineRule="auto"/>
              <w:rPr>
                <w:rFonts w:eastAsia="MS Mincho"/>
                <w:noProof/>
              </w:rPr>
            </w:pPr>
            <w:r>
              <w:rPr>
                <w:noProof/>
              </w:rPr>
              <w:t>Publication d ' un rapport d ' information sur la mise en œuvre du système de gestion des risques de catastrophe approuvé par le Conseil des ministres</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663E1C8C"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7DA1813" w14:textId="77777777" w:rsidR="008E6885" w:rsidRDefault="00EA24E7">
            <w:pPr>
              <w:pStyle w:val="P68B1DB1-Normal9"/>
              <w:spacing w:before="120" w:after="120" w:line="240" w:lineRule="auto"/>
              <w:jc w:val="center"/>
              <w:rPr>
                <w:rFonts w:eastAsia="MS Mincho"/>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4DA7C5A"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CE14E74" w14:textId="77777777" w:rsidR="008E6885" w:rsidRDefault="00EA24E7">
            <w:pPr>
              <w:pStyle w:val="P68B1DB1-Normal9"/>
              <w:spacing w:before="120" w:after="120" w:line="240" w:lineRule="auto"/>
              <w:jc w:val="center"/>
              <w:rPr>
                <w:rFonts w:eastAsia="MS Mincho"/>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7A8B9619" w14:textId="77777777" w:rsidR="008E6885" w:rsidRDefault="00EA24E7">
            <w:pPr>
              <w:pStyle w:val="P68B1DB1-Normal9"/>
              <w:spacing w:before="120" w:after="120" w:line="240" w:lineRule="auto"/>
              <w:jc w:val="center"/>
              <w:rPr>
                <w:rFonts w:eastAsia="MS Mincho"/>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80A34BE" w14:textId="77777777" w:rsidR="008E6885" w:rsidRDefault="00EA24E7">
            <w:pPr>
              <w:pStyle w:val="P68B1DB1-Normal9"/>
              <w:spacing w:before="120" w:after="120" w:line="240" w:lineRule="auto"/>
              <w:jc w:val="both"/>
              <w:rPr>
                <w:rFonts w:eastAsia="MS Mincho"/>
                <w:noProof/>
              </w:rPr>
            </w:pPr>
            <w:r>
              <w:rPr>
                <w:noProof/>
              </w:rPr>
              <w:t>En accord avec les institutions participant au système de gestion des catastrophes, le Ministère de l'intérieur publie un rapport d'information à l'intention du Cabinet des ministres sur les chantiers de construction des centres de gestion des catastrophes, les zones de construction et les coûts sur chaque chantier, ainsi que le calendrier indicatif pour la mise en œuvre des plans de gestion des catastrophes à déployer sur chaque site et sur la conclusion des contrats de construction, y compris dans le rapport. Le rapport comprend également un rapport global sur l’état d’avancement de la réforme et un plan de mise en œuvre portant sur les volets suivants de la réforme: (i) le renforcement des capacités techniques (notamment en ce qui concerne la mise à niveau des véhicules spécialisés d’intervention et de sauvetage), (ii) le calendrier de mise en œuvre des solutions TIC connexes de gestion des catastrophes et (iii) les progrès accomplis dans la mise en œuvre des mesures de formation et de prévention.</w:t>
            </w:r>
          </w:p>
        </w:tc>
      </w:tr>
      <w:tr w:rsidR="008E6885" w14:paraId="1CBE7E7D"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103C4887" w14:textId="77777777" w:rsidR="008E6885" w:rsidRDefault="00EA24E7">
            <w:pPr>
              <w:pStyle w:val="P68B1DB1-Normal9"/>
              <w:spacing w:before="120" w:after="120" w:line="240" w:lineRule="auto"/>
              <w:jc w:val="center"/>
              <w:rPr>
                <w:rFonts w:eastAsia="MS Mincho"/>
                <w:noProof/>
              </w:rPr>
            </w:pPr>
            <w:r>
              <w:rPr>
                <w:noProof/>
              </w:rPr>
              <w:t>23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3B728CC" w14:textId="01F95357" w:rsidR="008E6885" w:rsidRDefault="00EA24E7">
            <w:pPr>
              <w:pStyle w:val="P68B1DB1-Normal8"/>
              <w:spacing w:before="120" w:after="120" w:line="240" w:lineRule="auto"/>
              <w:rPr>
                <w:bCs/>
                <w:noProof/>
              </w:rPr>
            </w:pPr>
            <w:r>
              <w:rPr>
                <w:noProof/>
              </w:rPr>
              <w:t>1.3.1.1.i. Accroître la capacité des services de secours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4A51E6F" w14:textId="77777777" w:rsidR="008E6885" w:rsidRDefault="00EA24E7">
            <w:pPr>
              <w:pStyle w:val="P68B1DB1-Normal9"/>
              <w:spacing w:before="120" w:after="120" w:line="240" w:lineRule="auto"/>
              <w:jc w:val="center"/>
              <w:rPr>
                <w:rFonts w:eastAsia="MS Mincho"/>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5D8D59C5" w14:textId="77777777" w:rsidR="008E6885" w:rsidRDefault="00EA24E7">
            <w:pPr>
              <w:pStyle w:val="P68B1DB1-Normal9"/>
              <w:spacing w:before="120" w:after="120" w:line="240" w:lineRule="auto"/>
              <w:rPr>
                <w:rFonts w:eastAsia="MS Mincho"/>
                <w:noProof/>
              </w:rPr>
            </w:pPr>
            <w:r>
              <w:rPr>
                <w:noProof/>
              </w:rPr>
              <w:t xml:space="preserve">Centres de gestion des catastrophes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12B9C56B" w14:textId="77777777" w:rsidR="008E6885" w:rsidRDefault="00EA24E7">
            <w:pPr>
              <w:pStyle w:val="P68B1DB1-Normal9"/>
              <w:spacing w:before="120" w:after="120" w:line="240" w:lineRule="auto"/>
              <w:rPr>
                <w:rFonts w:eastAsia="MS Mincho"/>
                <w:noProof/>
              </w:rPr>
            </w:pPr>
            <w:r>
              <w:rPr>
                <w:noProof/>
              </w:rPr>
              <w:t>Acte(s) d'acceptation en service</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7BD74E18"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DDBDFB7" w14:textId="77777777" w:rsidR="008E6885" w:rsidRDefault="00EA24E7">
            <w:pPr>
              <w:pStyle w:val="P68B1DB1-Normal9"/>
              <w:spacing w:before="120" w:after="120" w:line="240" w:lineRule="auto"/>
              <w:jc w:val="center"/>
              <w:rPr>
                <w:rFonts w:eastAsia="MS Mincho"/>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7221FA9"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325685F" w14:textId="77777777" w:rsidR="008E6885" w:rsidRDefault="00EA24E7">
            <w:pPr>
              <w:pStyle w:val="P68B1DB1-Normal9"/>
              <w:spacing w:before="120" w:after="120" w:line="240" w:lineRule="auto"/>
              <w:jc w:val="center"/>
              <w:rPr>
                <w:rFonts w:eastAsia="MS Mincho"/>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D21AD0C" w14:textId="77777777" w:rsidR="008E6885" w:rsidRDefault="00EA24E7">
            <w:pPr>
              <w:pStyle w:val="P68B1DB1-Normal9"/>
              <w:spacing w:before="120" w:after="120" w:line="240" w:lineRule="auto"/>
              <w:jc w:val="center"/>
              <w:rPr>
                <w:rFonts w:eastAsia="MS Mincho"/>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1FF88978" w14:textId="77777777" w:rsidR="008E6885" w:rsidRDefault="00EA24E7">
            <w:pPr>
              <w:pStyle w:val="P68B1DB1-Normal9"/>
              <w:spacing w:before="120" w:after="120" w:line="240" w:lineRule="auto"/>
              <w:jc w:val="both"/>
              <w:rPr>
                <w:rFonts w:eastAsia="MS Mincho"/>
                <w:noProof/>
              </w:rPr>
            </w:pPr>
            <w:r>
              <w:rPr>
                <w:noProof/>
              </w:rPr>
              <w:t xml:space="preserve">Acte(s) d'acceptation en service signé(s) pour la construction de huit centres de gestion des catastrophes à consommation d'énergie quasi nulle. </w:t>
            </w:r>
          </w:p>
        </w:tc>
      </w:tr>
      <w:tr w:rsidR="008E6885" w14:paraId="58F41C9B"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5307363C" w14:textId="77777777" w:rsidR="008E6885" w:rsidRDefault="00EA24E7">
            <w:pPr>
              <w:pStyle w:val="P68B1DB1-Normal9"/>
              <w:spacing w:before="120" w:after="120" w:line="240" w:lineRule="auto"/>
              <w:jc w:val="center"/>
              <w:rPr>
                <w:rFonts w:eastAsia="MS Mincho"/>
                <w:noProof/>
              </w:rPr>
            </w:pPr>
            <w:r>
              <w:rPr>
                <w:noProof/>
              </w:rPr>
              <w:t>24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6B877CF" w14:textId="77777777" w:rsidR="008E6885" w:rsidRDefault="00EA24E7">
            <w:pPr>
              <w:pStyle w:val="P68B1DB1-Normal8"/>
              <w:spacing w:before="120" w:after="120" w:line="240" w:lineRule="auto"/>
              <w:rPr>
                <w:rFonts w:eastAsia="MS Mincho"/>
                <w:noProof/>
              </w:rPr>
            </w:pPr>
            <w:r>
              <w:rPr>
                <w:noProof/>
              </w:rPr>
              <w:t>1.3.1.r. Adaptation du système de gestion des catastrophes aux changements climatiques, services de secours et d'intervention rapide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DD91C22" w14:textId="77777777" w:rsidR="008E6885" w:rsidRDefault="00EA24E7">
            <w:pPr>
              <w:pStyle w:val="P68B1DB1-Normal9"/>
              <w:spacing w:before="120" w:after="120" w:line="240" w:lineRule="auto"/>
              <w:jc w:val="center"/>
              <w:rPr>
                <w:rFonts w:eastAsia="MS Mincho"/>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0D193FB0" w14:textId="77777777" w:rsidR="008E6885" w:rsidRDefault="00EA24E7">
            <w:pPr>
              <w:pStyle w:val="P68B1DB1-Normal14"/>
              <w:spacing w:before="120" w:after="120" w:line="240" w:lineRule="auto"/>
              <w:rPr>
                <w:noProof/>
              </w:rPr>
            </w:pPr>
            <w:r>
              <w:rPr>
                <w:noProof/>
              </w:rPr>
              <w:t>Acte juridique relatif au système national d'alerte précoce</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1CACF5D1" w14:textId="77777777" w:rsidR="008E6885" w:rsidRDefault="00EA24E7">
            <w:pPr>
              <w:pStyle w:val="P68B1DB1-Normal10"/>
              <w:spacing w:before="120" w:after="120" w:line="240" w:lineRule="auto"/>
              <w:rPr>
                <w:noProof/>
              </w:rPr>
            </w:pPr>
            <w:r>
              <w:rPr>
                <w:noProof/>
              </w:rPr>
              <w:t>L'acte juridique est entré en vigueur</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325F1337"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470F8FB" w14:textId="77777777" w:rsidR="008E6885" w:rsidRDefault="00EA24E7">
            <w:pPr>
              <w:pStyle w:val="P68B1DB1-Normal9"/>
              <w:spacing w:before="120" w:after="120" w:line="240" w:lineRule="auto"/>
              <w:jc w:val="center"/>
              <w:rPr>
                <w:rFonts w:eastAsia="MS Mincho"/>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D0C5A0B" w14:textId="77777777" w:rsidR="008E6885" w:rsidRDefault="00EA24E7">
            <w:pPr>
              <w:pStyle w:val="P68B1DB1-Normal9"/>
              <w:spacing w:before="120"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DE76649" w14:textId="77777777" w:rsidR="008E6885" w:rsidRDefault="00EA24E7">
            <w:pPr>
              <w:pStyle w:val="P68B1DB1-Normal9"/>
              <w:spacing w:before="120" w:after="120" w:line="240" w:lineRule="auto"/>
              <w:jc w:val="center"/>
              <w:rPr>
                <w:rFonts w:eastAsia="MS Mincho"/>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14BD5F7" w14:textId="77777777" w:rsidR="008E6885" w:rsidRDefault="00EA24E7">
            <w:pPr>
              <w:pStyle w:val="P68B1DB1-Normal9"/>
              <w:spacing w:before="120" w:after="120" w:line="240" w:lineRule="auto"/>
              <w:jc w:val="center"/>
              <w:rPr>
                <w:rFonts w:eastAsia="MS Mincho"/>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255C173C" w14:textId="77777777" w:rsidR="008E6885" w:rsidRDefault="00EA24E7">
            <w:pPr>
              <w:pStyle w:val="P68B1DB1-Normal13"/>
              <w:spacing w:before="120" w:after="120" w:line="240" w:lineRule="auto"/>
              <w:jc w:val="both"/>
              <w:rPr>
                <w:rFonts w:eastAsia="Times New Roman"/>
                <w:noProof/>
              </w:rPr>
            </w:pPr>
            <w:r>
              <w:rPr>
                <w:noProof/>
              </w:rPr>
              <w:t xml:space="preserve">Un acte juridique entre en vigueur qui comprend des obligations pour les opérateurs de communications électroniques en ce qui concerne la compatibilité et l’interopérabilité de leurs réseaux avec le système national d’alerte précoce. </w:t>
            </w:r>
          </w:p>
        </w:tc>
      </w:tr>
      <w:tr w:rsidR="008E6885" w14:paraId="35630B58"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27FA4EE9" w14:textId="77777777" w:rsidR="008E6885" w:rsidRDefault="00EA24E7">
            <w:pPr>
              <w:pStyle w:val="P68B1DB1-Normal9"/>
              <w:spacing w:before="120" w:after="120" w:line="240" w:lineRule="auto"/>
              <w:jc w:val="center"/>
              <w:rPr>
                <w:rFonts w:eastAsia="MS Mincho"/>
                <w:noProof/>
              </w:rPr>
            </w:pPr>
            <w:r>
              <w:rPr>
                <w:noProof/>
              </w:rPr>
              <w:t>25</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8B20A00" w14:textId="77777777" w:rsidR="008E6885" w:rsidRDefault="00EA24E7">
            <w:pPr>
              <w:pStyle w:val="P68B1DB1-Normal8"/>
              <w:spacing w:before="120" w:after="120" w:line="240" w:lineRule="auto"/>
              <w:rPr>
                <w:rFonts w:eastAsia="MS Mincho"/>
                <w:bCs/>
                <w:noProof/>
              </w:rPr>
            </w:pPr>
            <w:r>
              <w:rPr>
                <w:noProof/>
              </w:rPr>
              <w:t>1.3.1.2.i. Investissements dans les infrastructures de réduction des risques d'inondation</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36752B" w14:textId="77777777" w:rsidR="008E6885" w:rsidRDefault="00EA24E7">
            <w:pPr>
              <w:pStyle w:val="P68B1DB1-Normal9"/>
              <w:spacing w:before="120" w:after="120" w:line="240" w:lineRule="auto"/>
              <w:jc w:val="center"/>
              <w:rPr>
                <w:rFonts w:eastAsia="MS Mincho"/>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5139E449" w14:textId="77777777" w:rsidR="008E6885" w:rsidRDefault="00EA24E7">
            <w:pPr>
              <w:pStyle w:val="P68B1DB1-Normal9"/>
              <w:spacing w:before="120" w:after="120" w:line="240" w:lineRule="auto"/>
              <w:rPr>
                <w:rFonts w:eastAsia="MS Mincho"/>
                <w:noProof/>
              </w:rPr>
            </w:pPr>
            <w:r>
              <w:rPr>
                <w:noProof/>
              </w:rPr>
              <w:t xml:space="preserve">Signature des contrats de construction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34F7B37D" w14:textId="77777777" w:rsidR="008E6885" w:rsidRDefault="00EA24E7">
            <w:pPr>
              <w:pStyle w:val="P68B1DB1-Normal9"/>
              <w:spacing w:before="120" w:after="120" w:line="240" w:lineRule="auto"/>
              <w:jc w:val="center"/>
              <w:rPr>
                <w:rFonts w:eastAsia="Times New Roman"/>
                <w:noProof/>
              </w:rPr>
            </w:pPr>
            <w:r>
              <w:rPr>
                <w:noProof/>
              </w:rPr>
              <w:t>Sans objet</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1DAD9CA0" w14:textId="77777777" w:rsidR="008E6885" w:rsidRDefault="00EA24E7">
            <w:pPr>
              <w:pStyle w:val="P68B1DB1-Normal9"/>
              <w:spacing w:before="120" w:after="120" w:line="240" w:lineRule="auto"/>
              <w:jc w:val="center"/>
              <w:rPr>
                <w:rFonts w:eastAsia="MS Mincho"/>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85E7447" w14:textId="77777777" w:rsidR="008E6885" w:rsidRDefault="00EA24E7">
            <w:pPr>
              <w:pStyle w:val="P68B1DB1-Normal9"/>
              <w:spacing w:before="120" w:after="120" w:line="240" w:lineRule="auto"/>
              <w:jc w:val="center"/>
              <w:rPr>
                <w:rFonts w:eastAsia="MS Mincho"/>
                <w:noProof/>
              </w:rPr>
            </w:pPr>
            <w:r>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A9F8C94" w14:textId="77777777" w:rsidR="008E6885" w:rsidRDefault="00EA24E7">
            <w:pPr>
              <w:pStyle w:val="P68B1DB1-Normal9"/>
              <w:spacing w:before="120" w:after="120" w:line="240" w:lineRule="auto"/>
              <w:jc w:val="center"/>
              <w:rPr>
                <w:rFonts w:eastAsia="MS Mincho"/>
                <w:noProof/>
              </w:rPr>
            </w:pPr>
            <w:r>
              <w:rPr>
                <w:noProof/>
              </w:rPr>
              <w:t>15</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5E0D9DD" w14:textId="77777777" w:rsidR="008E6885" w:rsidRDefault="00EA24E7">
            <w:pPr>
              <w:pStyle w:val="P68B1DB1-Normal9"/>
              <w:spacing w:before="120" w:after="120" w:line="240" w:lineRule="auto"/>
              <w:jc w:val="center"/>
              <w:rPr>
                <w:rFonts w:eastAsia="MS Mincho"/>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7E12D3CA" w14:textId="77777777" w:rsidR="008E6885" w:rsidRDefault="00EA24E7">
            <w:pPr>
              <w:pStyle w:val="P68B1DB1-Normal9"/>
              <w:spacing w:before="120" w:after="120" w:line="240" w:lineRule="auto"/>
              <w:jc w:val="center"/>
              <w:rPr>
                <w:rFonts w:eastAsia="MS Mincho"/>
                <w:noProof/>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3353EACA" w14:textId="77777777" w:rsidR="008E6885" w:rsidRDefault="00EA24E7">
            <w:pPr>
              <w:pStyle w:val="P68B1DB1-Normal9"/>
              <w:spacing w:after="200" w:line="276" w:lineRule="auto"/>
              <w:jc w:val="both"/>
              <w:rPr>
                <w:rFonts w:eastAsia="MS Mincho"/>
                <w:noProof/>
              </w:rPr>
            </w:pPr>
            <w:r>
              <w:rPr>
                <w:noProof/>
              </w:rPr>
              <w:t>15 contrats de construction signés pour</w:t>
            </w:r>
            <w:r>
              <w:rPr>
                <w:noProof/>
                <w:color w:val="000000"/>
              </w:rPr>
              <w:t xml:space="preserve"> des projets de protection contre les risques d'inondation.</w:t>
            </w:r>
            <w:r>
              <w:rPr>
                <w:noProof/>
              </w:rPr>
              <w:t xml:space="preserve"> </w:t>
            </w:r>
          </w:p>
        </w:tc>
      </w:tr>
      <w:tr w:rsidR="008E6885" w14:paraId="2AD18476"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33B6FF25" w14:textId="77777777" w:rsidR="008E6885" w:rsidRDefault="00EA24E7">
            <w:pPr>
              <w:pStyle w:val="P68B1DB1-Normal9"/>
              <w:spacing w:before="120" w:after="120" w:line="240" w:lineRule="auto"/>
              <w:jc w:val="center"/>
              <w:rPr>
                <w:noProof/>
              </w:rPr>
            </w:pPr>
            <w:r>
              <w:rPr>
                <w:noProof/>
              </w:rPr>
              <w:t>26</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E66EF8F" w14:textId="77777777" w:rsidR="008E6885" w:rsidRDefault="00EA24E7">
            <w:pPr>
              <w:pStyle w:val="P68B1DB1-Normal8"/>
              <w:spacing w:before="120" w:after="120" w:line="240" w:lineRule="auto"/>
              <w:rPr>
                <w:bCs/>
                <w:noProof/>
              </w:rPr>
            </w:pPr>
            <w:r>
              <w:rPr>
                <w:noProof/>
              </w:rPr>
              <w:t>1.3.1.2.i. Investissements dans les infrastructures de réduction des risques d'inondation</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0EE82" w14:textId="77777777" w:rsidR="008E6885" w:rsidRDefault="00EA24E7">
            <w:pPr>
              <w:pStyle w:val="P68B1DB1-Normal9"/>
              <w:spacing w:before="120" w:after="120" w:line="240" w:lineRule="auto"/>
              <w:jc w:val="center"/>
              <w:rPr>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24CAB57D" w14:textId="77777777" w:rsidR="008E6885" w:rsidRDefault="00EA24E7">
            <w:pPr>
              <w:pStyle w:val="P68B1DB1-Normal9"/>
              <w:spacing w:before="120" w:after="120" w:line="240" w:lineRule="auto"/>
              <w:rPr>
                <w:noProof/>
              </w:rPr>
            </w:pPr>
            <w:r>
              <w:rPr>
                <w:noProof/>
              </w:rPr>
              <w:t xml:space="preserve">Projets de protection contre les risques d'inondation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0FA14219" w14:textId="77777777" w:rsidR="008E6885" w:rsidRDefault="00EA24E7">
            <w:pPr>
              <w:pStyle w:val="P68B1DB1-Normal9"/>
              <w:spacing w:before="120" w:after="120" w:line="240" w:lineRule="auto"/>
              <w:rPr>
                <w:noProof/>
              </w:rPr>
            </w:pPr>
            <w:r>
              <w:rPr>
                <w:noProof/>
              </w:rPr>
              <w:t>Certificat(s) d'achèvement signé(s)</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387169B6" w14:textId="77777777" w:rsidR="008E6885" w:rsidRDefault="00EA24E7">
            <w:pPr>
              <w:pStyle w:val="P68B1DB1-Normal9"/>
              <w:spacing w:before="120" w:after="120" w:line="240" w:lineRule="auto"/>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1F14088" w14:textId="77777777" w:rsidR="008E6885" w:rsidRDefault="00EA24E7">
            <w:pPr>
              <w:pStyle w:val="P68B1DB1-Normal9"/>
              <w:spacing w:before="120" w:after="120" w:line="240" w:lineRule="auto"/>
              <w:jc w:val="center"/>
              <w:rPr>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F45A44E" w14:textId="77777777" w:rsidR="008E6885" w:rsidRDefault="00EA24E7">
            <w:pPr>
              <w:pStyle w:val="P68B1DB1-Normal9"/>
              <w:spacing w:before="120" w:after="120" w:line="240" w:lineRule="auto"/>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DBD2AC3" w14:textId="77777777" w:rsidR="008E6885" w:rsidRDefault="00EA24E7">
            <w:pPr>
              <w:pStyle w:val="P68B1DB1-Normal9"/>
              <w:spacing w:before="120" w:after="120" w:line="240" w:lineRule="auto"/>
              <w:jc w:val="center"/>
              <w:rPr>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D1E604C" w14:textId="77777777" w:rsidR="008E6885" w:rsidRDefault="00EA24E7">
            <w:pPr>
              <w:pStyle w:val="P68B1DB1-Normal9"/>
              <w:spacing w:before="120" w:after="120" w:line="240" w:lineRule="auto"/>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3160F4D7" w14:textId="77777777" w:rsidR="008E6885" w:rsidRDefault="00EA24E7">
            <w:pPr>
              <w:pStyle w:val="P68B1DB1-Normal9"/>
              <w:spacing w:before="120" w:after="120" w:line="240" w:lineRule="auto"/>
              <w:jc w:val="both"/>
              <w:rPr>
                <w:rFonts w:eastAsia="MS Mincho"/>
                <w:noProof/>
              </w:rPr>
            </w:pPr>
            <w:r>
              <w:rPr>
                <w:noProof/>
              </w:rPr>
              <w:t xml:space="preserve">Certificat(s) d’achèvement signé(s) pour 21 projets de construction de protection contre les risques d’inondation, comme suit: </w:t>
            </w:r>
          </w:p>
          <w:p w14:paraId="6F9D9C8B" w14:textId="77777777" w:rsidR="008E6885" w:rsidRDefault="00EA24E7">
            <w:pPr>
              <w:pStyle w:val="P68B1DB1-Normal9"/>
              <w:numPr>
                <w:ilvl w:val="0"/>
                <w:numId w:val="2"/>
              </w:numPr>
              <w:spacing w:before="120" w:after="120" w:line="240" w:lineRule="auto"/>
              <w:ind w:left="357" w:hanging="357"/>
              <w:contextualSpacing/>
              <w:rPr>
                <w:noProof/>
              </w:rPr>
            </w:pPr>
            <w:r>
              <w:rPr>
                <w:noProof/>
              </w:rPr>
              <w:t>Huit stations de pompage;</w:t>
            </w:r>
          </w:p>
          <w:p w14:paraId="0C8B626E" w14:textId="77777777" w:rsidR="008E6885" w:rsidRDefault="00EA24E7">
            <w:pPr>
              <w:pStyle w:val="P68B1DB1-Normal9"/>
              <w:numPr>
                <w:ilvl w:val="0"/>
                <w:numId w:val="2"/>
              </w:numPr>
              <w:spacing w:after="200" w:line="259" w:lineRule="auto"/>
              <w:ind w:left="357" w:hanging="357"/>
              <w:contextualSpacing/>
              <w:rPr>
                <w:noProof/>
              </w:rPr>
            </w:pPr>
            <w:r>
              <w:rPr>
                <w:noProof/>
              </w:rPr>
              <w:t>Douze digues de protection;</w:t>
            </w:r>
          </w:p>
          <w:p w14:paraId="5A4BD905" w14:textId="77777777" w:rsidR="008E6885" w:rsidRDefault="00EA24E7">
            <w:pPr>
              <w:pStyle w:val="P68B1DB1-Normal9"/>
              <w:numPr>
                <w:ilvl w:val="0"/>
                <w:numId w:val="2"/>
              </w:numPr>
              <w:spacing w:before="120" w:after="120" w:line="240" w:lineRule="auto"/>
              <w:ind w:left="357" w:hanging="357"/>
              <w:contextualSpacing/>
              <w:rPr>
                <w:noProof/>
              </w:rPr>
            </w:pPr>
            <w:r>
              <w:rPr>
                <w:noProof/>
              </w:rPr>
              <w:t>Un canal.</w:t>
            </w:r>
          </w:p>
        </w:tc>
      </w:tr>
    </w:tbl>
    <w:p w14:paraId="642C4F56" w14:textId="77777777" w:rsidR="008E6885" w:rsidRDefault="008E6885">
      <w:pPr>
        <w:spacing w:before="120" w:after="120" w:line="240" w:lineRule="auto"/>
        <w:jc w:val="both"/>
        <w:rPr>
          <w:rFonts w:ascii="Times New Roman" w:eastAsia="Calibri" w:hAnsi="Times New Roman" w:cs="Arial"/>
          <w:b/>
          <w:noProof/>
          <w:kern w:val="0"/>
          <w:szCs w:val="22"/>
          <w:u w:val="single"/>
          <w14:ligatures w14:val="none"/>
        </w:rPr>
        <w:sectPr w:rsidR="008E6885" w:rsidSect="0048758A">
          <w:headerReference w:type="default" r:id="rId21"/>
          <w:footerReference w:type="default" r:id="rId22"/>
          <w:pgSz w:w="16838" w:h="11906" w:orient="landscape"/>
          <w:pgMar w:top="1440" w:right="1440" w:bottom="1440" w:left="1440" w:header="708" w:footer="708" w:gutter="0"/>
          <w:cols w:space="708"/>
          <w:docGrid w:linePitch="360"/>
        </w:sectPr>
      </w:pPr>
    </w:p>
    <w:p w14:paraId="241B9913" w14:textId="41D44E5F" w:rsidR="008E6885" w:rsidRDefault="00EA24E7">
      <w:pPr>
        <w:pStyle w:val="P68B1DB1-Normal3"/>
        <w:keepNext/>
        <w:spacing w:before="480" w:after="360" w:line="240" w:lineRule="auto"/>
        <w:outlineLvl w:val="0"/>
        <w:rPr>
          <w:rFonts w:eastAsia="MS Gothic" w:cs="Times New Roman"/>
          <w:noProof/>
          <w:szCs w:val="28"/>
        </w:rPr>
      </w:pPr>
      <w:r>
        <w:rPr>
          <w:noProof/>
        </w:rPr>
        <w:t>B. Élément 2: TRANSFORMATION NUMÉRIQUE</w:t>
      </w:r>
    </w:p>
    <w:p w14:paraId="51CC372E" w14:textId="77777777" w:rsidR="008E6885" w:rsidRDefault="00EA24E7">
      <w:pPr>
        <w:pStyle w:val="P68B1DB1-Normal5"/>
        <w:spacing w:before="120" w:after="120" w:line="257" w:lineRule="auto"/>
        <w:jc w:val="both"/>
        <w:rPr>
          <w:rFonts w:eastAsia="Times New Roman" w:cs="Times New Roman"/>
          <w:noProof/>
        </w:rPr>
      </w:pPr>
      <w:r>
        <w:rPr>
          <w:noProof/>
        </w:rPr>
        <w:t>Le volet aborde les principaux défis numériques, à savoir le manque de compétences numériques de base et avancées et la faible intégration numérique des entreprises. En outre, le volet aborde tous les aspects de la transformation numérique: les secteurs public et privé, les compétences et la connectivité. Les investissements portent principalement sur les infrastructures et les services.</w:t>
      </w:r>
    </w:p>
    <w:p w14:paraId="226DD247" w14:textId="77777777" w:rsidR="008E6885" w:rsidRDefault="00EA24E7">
      <w:pPr>
        <w:pStyle w:val="P68B1DB1-Normal5"/>
        <w:spacing w:before="120" w:after="120" w:line="257" w:lineRule="auto"/>
        <w:jc w:val="both"/>
        <w:rPr>
          <w:rFonts w:eastAsia="Times New Roman" w:cs="Times New Roman"/>
          <w:noProof/>
        </w:rPr>
      </w:pPr>
      <w:r>
        <w:rPr>
          <w:noProof/>
        </w:rPr>
        <w:t>Les objectifs du volet sont de contribuer à la transformation numérique de la société et de l’économie, y compris la reprise après la crise de la COVID-19, en développant les infrastructures, les capacités et les compétences nécessaires; améliorer l’efficacité, les processus numériques et la gestion des données dans l’administration publique; apporter un soutien à la transformation numérique des entreprises et améliorer la connectivité.</w:t>
      </w:r>
    </w:p>
    <w:p w14:paraId="6A28BD37" w14:textId="77777777" w:rsidR="008E6885" w:rsidRDefault="00EA24E7">
      <w:pPr>
        <w:pStyle w:val="P68B1DB1-Normal5"/>
        <w:spacing w:before="120" w:after="120" w:line="257" w:lineRule="auto"/>
        <w:jc w:val="both"/>
        <w:rPr>
          <w:rFonts w:cs="Times New Roman"/>
          <w:noProof/>
        </w:rPr>
      </w:pPr>
      <w:r>
        <w:rPr>
          <w:noProof/>
        </w:rPr>
        <w:t>Ce volet répond aux recommandations par pays sur les compétences et l’éducation et la formation des adultes (recommandation par pays no 2, 2019, recommandation par pays no 2, 2020). En particulier, elle contribue à améliorer la qualité et l’efficacité de l’éducation et de la formation en mettant l’accent sur les compétences numériques. Des mesures de reconversion et de perfectionnement professionnels pour les travailleurs et les chômeurs sont incluses, mais sans cibler les personnes peu qualifiées (recommandation par pays no 2, 2019). Les investissements dans la transition numérique répondent aux recommandations par pays liées aux investissements (recommandations par pays 3, 2019 et 3 2020) - des investissements sont envisagés dans les systèmes informatiques du secteur public, les compétences numériques de base et avancées, l’adaptation numérique des entreprises et la connectivité.</w:t>
      </w:r>
    </w:p>
    <w:p w14:paraId="37EFD580" w14:textId="77777777" w:rsidR="008E6885" w:rsidRDefault="00EA24E7">
      <w:pPr>
        <w:pStyle w:val="P68B1DB1-Normal5"/>
        <w:spacing w:before="120" w:after="120" w:line="257" w:lineRule="auto"/>
        <w:jc w:val="both"/>
        <w:rPr>
          <w:rFonts w:eastAsia="Times New Roman"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06DE6645" w14:textId="77777777" w:rsidR="008E6885" w:rsidRDefault="00EA24E7">
      <w:pPr>
        <w:pStyle w:val="P68B1DB1-Normal1"/>
        <w:keepNext/>
        <w:keepLines/>
        <w:spacing w:after="240" w:line="240" w:lineRule="auto"/>
        <w:jc w:val="both"/>
        <w:outlineLvl w:val="1"/>
        <w:rPr>
          <w:rFonts w:eastAsia="Times New Roman" w:cs="Times New Roman"/>
          <w:noProof/>
        </w:rPr>
      </w:pPr>
      <w:r>
        <w:rPr>
          <w:noProof/>
        </w:rPr>
        <w:t>B.1. Description des réformes et des investissements pour le soutien financier non remboursable</w:t>
      </w:r>
    </w:p>
    <w:p w14:paraId="1D062595" w14:textId="77777777" w:rsidR="008E6885" w:rsidRDefault="00EA24E7">
      <w:pPr>
        <w:pStyle w:val="P68B1DB1-Normal15"/>
        <w:keepNext/>
        <w:keepLines/>
        <w:spacing w:after="240" w:line="240" w:lineRule="auto"/>
        <w:jc w:val="both"/>
        <w:rPr>
          <w:rFonts w:cs="Times New Roman"/>
          <w:noProof/>
        </w:rPr>
      </w:pPr>
      <w:r>
        <w:rPr>
          <w:noProof/>
        </w:rPr>
        <w:t>Réforme: 2.1.1.r. Modernisation des processus et services nationaux et transformation numérique</w:t>
      </w:r>
    </w:p>
    <w:p w14:paraId="0FDC87AB" w14:textId="77777777" w:rsidR="008E6885" w:rsidRDefault="00EA24E7">
      <w:pPr>
        <w:pStyle w:val="P68B1DB1-Normal5"/>
        <w:spacing w:after="120" w:line="240" w:lineRule="auto"/>
        <w:jc w:val="both"/>
        <w:rPr>
          <w:rFonts w:cs="Times New Roman"/>
          <w:noProof/>
        </w:rPr>
      </w:pPr>
      <w:r>
        <w:rPr>
          <w:noProof/>
        </w:rPr>
        <w:t>L’objectif de la mesure est de moderniser l’administration publique et ses services par la transformation numérique, en mettant l’accent sur les fonctions, processus et services importants de l’administration publique qui n’ont pas encore été transformés numériquement, qui sont en cours de développement ou de renforcement substantiel.</w:t>
      </w:r>
    </w:p>
    <w:p w14:paraId="1A4D69FD" w14:textId="77777777" w:rsidR="008E6885" w:rsidRDefault="00EA24E7">
      <w:pPr>
        <w:pStyle w:val="P68B1DB1-Normal5"/>
        <w:spacing w:before="120" w:after="120" w:line="240" w:lineRule="auto"/>
        <w:jc w:val="both"/>
        <w:rPr>
          <w:rFonts w:cs="Times New Roman"/>
          <w:noProof/>
        </w:rPr>
      </w:pPr>
      <w:r>
        <w:rPr>
          <w:noProof/>
        </w:rPr>
        <w:t>La réforme consiste à mettre en place l'architecture conceptuelle commune des TIC pour les services de l'administration publique et leur soutien à la gestion, en définissant des mesures qualitatives et quantitatives des services. La mise en œuvre de la réforme est coordonnée et gérée par l’organisation nationale de gouvernance des TIC, tandis que la mise en œuvre des tâches spécifiques de mise en œuvre de la réforme est assurée par l’autorité responsable de chaque tâche.</w:t>
      </w:r>
    </w:p>
    <w:p w14:paraId="26E7D199" w14:textId="77777777" w:rsidR="008E6885" w:rsidRDefault="00EA24E7">
      <w:pPr>
        <w:pStyle w:val="P68B1DB1-Normal5"/>
        <w:spacing w:after="240" w:line="240" w:lineRule="auto"/>
        <w:jc w:val="both"/>
        <w:rPr>
          <w:rFonts w:cs="Times New Roman"/>
          <w:noProof/>
        </w:rPr>
      </w:pPr>
      <w:r>
        <w:rPr>
          <w:noProof/>
        </w:rPr>
        <w:t>La réforme est mise en œuvre au plus tard le 30 juin 2022.</w:t>
      </w:r>
    </w:p>
    <w:p w14:paraId="2660A763" w14:textId="77777777" w:rsidR="008E6885" w:rsidRDefault="00EA24E7">
      <w:pPr>
        <w:pStyle w:val="P68B1DB1-Normal15"/>
        <w:keepNext/>
        <w:keepLines/>
        <w:spacing w:after="120" w:line="240" w:lineRule="auto"/>
        <w:jc w:val="both"/>
        <w:rPr>
          <w:rFonts w:cs="Times New Roman"/>
          <w:noProof/>
        </w:rPr>
      </w:pPr>
      <w:r>
        <w:rPr>
          <w:noProof/>
        </w:rPr>
        <w:t>Investissement: 2.1.1.1.i. Modernisation de l'administration et transformation numérique des services</w:t>
      </w:r>
    </w:p>
    <w:p w14:paraId="65023B68" w14:textId="77777777" w:rsidR="008E6885" w:rsidRDefault="00EA24E7">
      <w:pPr>
        <w:pStyle w:val="P68B1DB1-Normal4"/>
        <w:spacing w:after="120" w:line="240" w:lineRule="auto"/>
        <w:jc w:val="both"/>
        <w:rPr>
          <w:rFonts w:eastAsia="Times New Roman" w:cs="Times New Roman"/>
          <w:noProof/>
        </w:rPr>
      </w:pPr>
      <w:r>
        <w:rPr>
          <w:noProof/>
        </w:rPr>
        <w:t>L’objectif de la mesure est de transformer les services de l’administration publique et leurs processus de fourniture en vue de la transformation numérique de l’économie.</w:t>
      </w:r>
    </w:p>
    <w:p w14:paraId="21ADF8B3" w14:textId="77777777" w:rsidR="008E6885" w:rsidRDefault="00EA24E7">
      <w:pPr>
        <w:pStyle w:val="P68B1DB1-Normal4"/>
        <w:spacing w:after="240" w:line="240" w:lineRule="auto"/>
        <w:jc w:val="both"/>
        <w:rPr>
          <w:rFonts w:eastAsia="Times New Roman" w:cs="Times New Roman"/>
          <w:noProof/>
        </w:rPr>
      </w:pPr>
      <w:r>
        <w:rPr>
          <w:noProof/>
          <w:szCs w:val="22"/>
        </w:rPr>
        <w:t>La mesure consiste à fournir des  systèmes ou des solutions TIC.</w:t>
      </w:r>
    </w:p>
    <w:p w14:paraId="2A2A9E6E" w14:textId="77777777" w:rsidR="008E6885" w:rsidRDefault="00EA24E7">
      <w:pPr>
        <w:pStyle w:val="P68B1DB1-Normal15"/>
        <w:keepNext/>
        <w:keepLines/>
        <w:spacing w:after="120" w:line="240" w:lineRule="auto"/>
        <w:jc w:val="both"/>
        <w:rPr>
          <w:rFonts w:cs="Times New Roman"/>
          <w:noProof/>
        </w:rPr>
      </w:pPr>
      <w:r>
        <w:rPr>
          <w:noProof/>
        </w:rPr>
        <w:t>Réforme: 2.1.2.r. Accroître l'efficacité et l'interopérabilité dans l'utilisation des ressources TIC nationales</w:t>
      </w:r>
    </w:p>
    <w:p w14:paraId="400CACAA" w14:textId="77777777" w:rsidR="008E6885" w:rsidRDefault="00EA24E7">
      <w:pPr>
        <w:pStyle w:val="P68B1DB1-Normal5"/>
        <w:spacing w:after="120" w:line="240" w:lineRule="auto"/>
        <w:jc w:val="both"/>
        <w:rPr>
          <w:rFonts w:cs="Times New Roman"/>
          <w:noProof/>
        </w:rPr>
      </w:pPr>
      <w:r>
        <w:rPr>
          <w:noProof/>
        </w:rPr>
        <w:t>Les objectifs de la réforme sont de transformer l’approche de fourniture de TIC dans l’administration publique en centralisant la fourniture de services uniformes de partage des TIC dans les centres de compétences qui soutiennent plusieurs institutions.</w:t>
      </w:r>
    </w:p>
    <w:p w14:paraId="4148D345" w14:textId="77777777" w:rsidR="008E6885" w:rsidRDefault="00EA24E7">
      <w:pPr>
        <w:pStyle w:val="P68B1DB1-Normal5"/>
        <w:spacing w:after="120" w:line="240" w:lineRule="auto"/>
        <w:jc w:val="both"/>
        <w:rPr>
          <w:rFonts w:cs="Times New Roman"/>
          <w:noProof/>
        </w:rPr>
      </w:pPr>
      <w:r>
        <w:rPr>
          <w:noProof/>
        </w:rPr>
        <w:t>La réforme consiste à mettre au point des systèmes et des plateformes centraux d'administration publique et à consolider les services d'infrastructure informatique, à permettre l'automatisation et l'efficacité des processus de fourniture, à garantir l'accès transfrontière aux services d'administration publique et à consolider les services d'infrastructure informatique et de stockage de données de l'administration publique.</w:t>
      </w:r>
    </w:p>
    <w:p w14:paraId="21DDCBEB" w14:textId="77777777" w:rsidR="008E6885" w:rsidRDefault="00EA24E7">
      <w:pPr>
        <w:pStyle w:val="P68B1DB1-Normal5"/>
        <w:spacing w:after="240" w:line="240" w:lineRule="auto"/>
        <w:jc w:val="both"/>
        <w:rPr>
          <w:rFonts w:cs="Times New Roman"/>
          <w:noProof/>
        </w:rPr>
      </w:pPr>
      <w:r>
        <w:rPr>
          <w:noProof/>
        </w:rPr>
        <w:t>La réforme est mise en œuvre au plus tard le 30 juin 2022.</w:t>
      </w:r>
    </w:p>
    <w:p w14:paraId="54E4C5A5" w14:textId="77777777" w:rsidR="008E6885" w:rsidRDefault="00EA24E7">
      <w:pPr>
        <w:pStyle w:val="P68B1DB1-Normal7"/>
        <w:keepNext/>
        <w:keepLines/>
        <w:spacing w:after="120" w:line="240" w:lineRule="auto"/>
        <w:jc w:val="both"/>
        <w:rPr>
          <w:rFonts w:eastAsia="Times New Roman" w:cs="Times New Roman"/>
          <w:noProof/>
        </w:rPr>
      </w:pPr>
      <w:r>
        <w:rPr>
          <w:noProof/>
        </w:rPr>
        <w:t>Investissement: 2.1.2.1.i. Plateformes, solutions ou systèmes centralisés</w:t>
      </w:r>
    </w:p>
    <w:p w14:paraId="677F2B86" w14:textId="77777777" w:rsidR="008E6885" w:rsidRDefault="00EA24E7">
      <w:pPr>
        <w:pStyle w:val="P68B1DB1-Normal4"/>
        <w:spacing w:after="120" w:line="240" w:lineRule="auto"/>
        <w:jc w:val="both"/>
        <w:rPr>
          <w:rFonts w:cs="Times New Roman"/>
          <w:noProof/>
        </w:rPr>
      </w:pPr>
      <w:r>
        <w:rPr>
          <w:noProof/>
        </w:rPr>
        <w:t>L’objectif de la mesure est de soutenir le fonctionnement de l’administration en tant qu’organisation unique grâce à l’introduction de fonctions d’appui normalisées.</w:t>
      </w:r>
    </w:p>
    <w:p w14:paraId="14B592B1" w14:textId="77777777" w:rsidR="008E6885" w:rsidRDefault="00EA24E7">
      <w:pPr>
        <w:pStyle w:val="P68B1DB1-Normal4"/>
        <w:spacing w:after="240" w:line="240" w:lineRule="auto"/>
        <w:jc w:val="both"/>
        <w:rPr>
          <w:rFonts w:cs="Times New Roman"/>
          <w:noProof/>
        </w:rPr>
      </w:pPr>
      <w:r>
        <w:rPr>
          <w:noProof/>
        </w:rPr>
        <w:t>La mesure consiste à fournir des plateformes, des solutions ou des systèmes TIC centralisés.</w:t>
      </w:r>
    </w:p>
    <w:p w14:paraId="14C95011" w14:textId="77777777" w:rsidR="008E6885" w:rsidRDefault="00EA24E7">
      <w:pPr>
        <w:pStyle w:val="P68B1DB1-Normal7"/>
        <w:keepNext/>
        <w:keepLines/>
        <w:spacing w:after="120" w:line="240" w:lineRule="auto"/>
        <w:jc w:val="both"/>
        <w:rPr>
          <w:rFonts w:cs="Times New Roman"/>
          <w:noProof/>
        </w:rPr>
      </w:pPr>
      <w:r>
        <w:rPr>
          <w:noProof/>
        </w:rPr>
        <w:t>Investissement: 2.1.2.2.i. Services en nuage</w:t>
      </w:r>
    </w:p>
    <w:p w14:paraId="0A1165C2" w14:textId="77777777" w:rsidR="008E6885" w:rsidRDefault="00EA24E7">
      <w:pPr>
        <w:pStyle w:val="P68B1DB1-Normal5"/>
        <w:spacing w:after="120" w:line="240" w:lineRule="auto"/>
        <w:jc w:val="both"/>
        <w:rPr>
          <w:rFonts w:cs="Times New Roman"/>
          <w:noProof/>
        </w:rPr>
      </w:pPr>
      <w:r>
        <w:rPr>
          <w:noProof/>
        </w:rPr>
        <w:t>L’objectif de la mesure est de fournir des infrastructures et des services informatiques et de gestion des données.</w:t>
      </w:r>
    </w:p>
    <w:p w14:paraId="58798530" w14:textId="77777777" w:rsidR="008E6885" w:rsidRDefault="00EA24E7">
      <w:pPr>
        <w:pStyle w:val="P68B1DB1-Normal4"/>
        <w:spacing w:after="240" w:line="240" w:lineRule="auto"/>
        <w:jc w:val="both"/>
        <w:rPr>
          <w:rFonts w:cs="Times New Roman"/>
          <w:noProof/>
        </w:rPr>
      </w:pPr>
      <w:r>
        <w:rPr>
          <w:noProof/>
        </w:rPr>
        <w:t>La mesure consiste à fournir des services d’informatique en nuage aux autorités publiques.</w:t>
      </w:r>
    </w:p>
    <w:p w14:paraId="48F767BE" w14:textId="77777777" w:rsidR="008E6885" w:rsidRDefault="00EA24E7">
      <w:pPr>
        <w:pStyle w:val="P68B1DB1-Normal7"/>
        <w:keepNext/>
        <w:keepLines/>
        <w:spacing w:after="240" w:line="240" w:lineRule="auto"/>
        <w:jc w:val="both"/>
        <w:rPr>
          <w:rFonts w:cs="Times New Roman"/>
          <w:noProof/>
        </w:rPr>
      </w:pPr>
      <w:r>
        <w:rPr>
          <w:noProof/>
        </w:rPr>
        <w:t>Réforme: 2.1.3.r. Développement de l'économie nationale des données économiques et des services numériques</w:t>
      </w:r>
    </w:p>
    <w:p w14:paraId="5653ADAD" w14:textId="77777777" w:rsidR="008E6885" w:rsidRDefault="00EA24E7">
      <w:pPr>
        <w:pStyle w:val="P68B1DB1-Normal5"/>
        <w:spacing w:after="120" w:line="240" w:lineRule="auto"/>
        <w:jc w:val="both"/>
        <w:rPr>
          <w:rFonts w:cs="Times New Roman"/>
          <w:noProof/>
        </w:rPr>
      </w:pPr>
      <w:r>
        <w:rPr>
          <w:noProof/>
        </w:rPr>
        <w:t>L’objectif de la réforme est de garantir la disponibilité et le partage de données et de services publics et privés en jetant les bases du développement et de l’interopérabilité de l’économie des données et des plateformes avec les espaces européens des données et en assurant le partage des données au sein de l’UE.</w:t>
      </w:r>
    </w:p>
    <w:p w14:paraId="633AB4E4" w14:textId="77777777" w:rsidR="008E6885" w:rsidRDefault="00EA24E7">
      <w:pPr>
        <w:pStyle w:val="P68B1DB1-Normal5"/>
        <w:spacing w:after="120" w:line="240" w:lineRule="auto"/>
        <w:jc w:val="both"/>
        <w:rPr>
          <w:rFonts w:cs="Times New Roman"/>
          <w:noProof/>
        </w:rPr>
      </w:pPr>
      <w:r>
        <w:rPr>
          <w:noProof/>
        </w:rPr>
        <w:t>La réforme consiste à développer les capacités du secteur public à gérer, partager et publier les ensembles de données à usage répété dont il dispose.</w:t>
      </w:r>
    </w:p>
    <w:p w14:paraId="5E3A7002" w14:textId="77777777" w:rsidR="008E6885" w:rsidRDefault="00EA24E7">
      <w:pPr>
        <w:pStyle w:val="P68B1DB1-Normal5"/>
        <w:spacing w:after="240" w:line="240" w:lineRule="auto"/>
        <w:jc w:val="both"/>
        <w:rPr>
          <w:rFonts w:cs="Times New Roman"/>
          <w:noProof/>
        </w:rPr>
      </w:pPr>
      <w:r>
        <w:rPr>
          <w:noProof/>
        </w:rPr>
        <w:t>La réforme est mise en œuvre au plus tard le 31 décembre 2023.</w:t>
      </w:r>
    </w:p>
    <w:p w14:paraId="02E7ED20" w14:textId="77777777" w:rsidR="008E6885" w:rsidRDefault="00EA24E7">
      <w:pPr>
        <w:pStyle w:val="P68B1DB1-Normal15"/>
        <w:keepNext/>
        <w:keepLines/>
        <w:spacing w:after="120" w:line="240" w:lineRule="auto"/>
        <w:jc w:val="both"/>
        <w:rPr>
          <w:rFonts w:cs="Times New Roman"/>
          <w:noProof/>
        </w:rPr>
      </w:pPr>
      <w:r>
        <w:rPr>
          <w:noProof/>
        </w:rPr>
        <w:t>Investissement: 2.1.3.1.i. Disponibilité, partage et analyse des données</w:t>
      </w:r>
    </w:p>
    <w:p w14:paraId="1680836C" w14:textId="77777777" w:rsidR="008E6885" w:rsidRDefault="00EA24E7">
      <w:pPr>
        <w:pStyle w:val="P68B1DB1-Normal4"/>
        <w:spacing w:after="120" w:line="240" w:lineRule="auto"/>
        <w:jc w:val="both"/>
        <w:rPr>
          <w:rFonts w:cs="Times New Roman"/>
          <w:noProof/>
        </w:rPr>
      </w:pPr>
      <w:r>
        <w:rPr>
          <w:noProof/>
        </w:rPr>
        <w:t>L’objectif de la mesure est de permettre le partage de données au sein du secteur public et entre les secteurs public et privé.</w:t>
      </w:r>
    </w:p>
    <w:p w14:paraId="5B3E92D0" w14:textId="77777777" w:rsidR="008E6885" w:rsidRDefault="00EA24E7">
      <w:pPr>
        <w:pStyle w:val="P68B1DB1-Normal4"/>
        <w:spacing w:after="240" w:line="240" w:lineRule="auto"/>
        <w:jc w:val="both"/>
        <w:rPr>
          <w:rFonts w:cs="Times New Roman"/>
          <w:noProof/>
        </w:rPr>
      </w:pPr>
      <w:r>
        <w:rPr>
          <w:noProof/>
        </w:rPr>
        <w:t>La mesure consiste à mettre des ensembles de données à disposition sur des plateformes.</w:t>
      </w:r>
    </w:p>
    <w:p w14:paraId="0A931879" w14:textId="77777777" w:rsidR="008E6885" w:rsidRDefault="00EA24E7">
      <w:pPr>
        <w:pStyle w:val="P68B1DB1-Normal15"/>
        <w:keepNext/>
        <w:keepLines/>
        <w:spacing w:after="240" w:line="240" w:lineRule="auto"/>
        <w:jc w:val="both"/>
        <w:rPr>
          <w:rFonts w:cs="Times New Roman"/>
          <w:noProof/>
        </w:rPr>
      </w:pPr>
      <w:r>
        <w:rPr>
          <w:noProof/>
        </w:rPr>
        <w:t>Réforme: 2.2.1.r. Créer le cycle complet de soutien à la transformation numérique des entreprises avec une couverture régionale</w:t>
      </w:r>
    </w:p>
    <w:p w14:paraId="481E8471" w14:textId="77777777" w:rsidR="008E6885" w:rsidRDefault="00EA24E7">
      <w:pPr>
        <w:pStyle w:val="P68B1DB1-Normal5"/>
        <w:spacing w:after="120" w:line="240" w:lineRule="auto"/>
        <w:jc w:val="both"/>
        <w:rPr>
          <w:rFonts w:cs="Times New Roman"/>
          <w:noProof/>
        </w:rPr>
      </w:pPr>
      <w:r>
        <w:rPr>
          <w:noProof/>
        </w:rPr>
        <w:t>Les objectifs de la réforme sont de créer un pôle européen d’innovation numérique (EDIH), d’assurer sa présence régionale par l’intermédiaire de points de contact régionaux et de créer un écosystème de soutien unique et coordonné afin de faciliter la transformation numérique des activités commerciales.</w:t>
      </w:r>
    </w:p>
    <w:p w14:paraId="55CBBC84" w14:textId="77777777" w:rsidR="008E6885" w:rsidRDefault="00EA24E7">
      <w:pPr>
        <w:pStyle w:val="P68B1DB1-Normal5"/>
        <w:spacing w:after="120" w:line="240" w:lineRule="auto"/>
        <w:jc w:val="both"/>
        <w:rPr>
          <w:rFonts w:eastAsia="Times New Roman" w:cs="Times New Roman"/>
          <w:noProof/>
        </w:rPr>
      </w:pPr>
      <w:r>
        <w:rPr>
          <w:noProof/>
        </w:rPr>
        <w:t>La réforme consiste à mettre en place l’EDIH, une plateforme/un écosystème unique soutenant la transformation numérique en tant que guichet unique, et à mettre en place un système de test de maturité numérique; veiller à ce que les points de contact régionaux assurent les nouvelles fonctions d’appui à la transformation numérique suivantes: tests de maturité numérique dans les régions; l'accès aux essais et au pilotage; le tutorat et la formation aux compétences numériques. L’EDIH peut recevoir un financement d’autres fonds de l’UE, y compris le programme pour une Europe numérique, pour mener à bien ses activités.</w:t>
      </w:r>
    </w:p>
    <w:p w14:paraId="040BE927" w14:textId="77777777" w:rsidR="008E6885" w:rsidRDefault="00EA24E7">
      <w:pPr>
        <w:pStyle w:val="P68B1DB1-Normal5"/>
        <w:spacing w:after="240" w:line="240" w:lineRule="auto"/>
        <w:jc w:val="both"/>
        <w:rPr>
          <w:rFonts w:cs="Times New Roman"/>
          <w:noProof/>
        </w:rPr>
      </w:pPr>
      <w:r>
        <w:rPr>
          <w:noProof/>
        </w:rPr>
        <w:t>La réforme est mise en œuvre au plus tard le 30 septembre 2022.</w:t>
      </w:r>
    </w:p>
    <w:p w14:paraId="57FC1E6F" w14:textId="77777777" w:rsidR="008E6885" w:rsidRDefault="00EA24E7">
      <w:pPr>
        <w:pStyle w:val="P68B1DB1-Normal7"/>
        <w:keepNext/>
        <w:keepLines/>
        <w:spacing w:after="240" w:line="240" w:lineRule="auto"/>
        <w:jc w:val="both"/>
        <w:rPr>
          <w:rFonts w:cs="Times New Roman"/>
          <w:noProof/>
        </w:rPr>
      </w:pPr>
      <w:r>
        <w:rPr>
          <w:noProof/>
        </w:rPr>
        <w:t>Investissement: 2.2.1.1.i. Soutien à la mise en place de pôles d’innovation numérique et de points de contact régionaux</w:t>
      </w:r>
    </w:p>
    <w:p w14:paraId="7E287B09" w14:textId="77777777" w:rsidR="008E6885" w:rsidRDefault="00EA24E7">
      <w:pPr>
        <w:pStyle w:val="P68B1DB1-Normal4"/>
        <w:spacing w:after="120" w:line="240" w:lineRule="auto"/>
        <w:jc w:val="both"/>
        <w:rPr>
          <w:rFonts w:cs="Times New Roman"/>
          <w:noProof/>
        </w:rPr>
      </w:pPr>
      <w:r>
        <w:rPr>
          <w:noProof/>
        </w:rPr>
        <w:t>L’objectif de la mesure est de renforcer la transformation numérique des entités, en proposant des mesures de soutien sur mesure qui répondent aux besoins recensés en matière de numérisation.</w:t>
      </w:r>
    </w:p>
    <w:p w14:paraId="72050BFE" w14:textId="77777777" w:rsidR="008E6885" w:rsidRDefault="00EA24E7">
      <w:pPr>
        <w:pStyle w:val="P68B1DB1-Normal4"/>
        <w:spacing w:after="240" w:line="240" w:lineRule="auto"/>
        <w:jc w:val="both"/>
        <w:rPr>
          <w:noProof/>
        </w:rPr>
      </w:pPr>
      <w:r>
        <w:rPr>
          <w:noProof/>
        </w:rPr>
        <w:t xml:space="preserve">L’investissement consiste à soutenir le fonctionnement des pôles européens d’innovation numérique (EDIH). Le fonctionnement des EDIH est structuré en modules de travail. Le soutien de la FRR ne concerne pas les modules de travail pour lesquels les EDIH bénéficient d’un soutien au titre du programme pour une Europe numérique. </w:t>
      </w:r>
    </w:p>
    <w:p w14:paraId="46A9F5B3" w14:textId="77777777" w:rsidR="008E6885" w:rsidRDefault="00EA24E7">
      <w:pPr>
        <w:pStyle w:val="P68B1DB1-Normal7"/>
        <w:keepNext/>
        <w:keepLines/>
        <w:spacing w:after="240" w:line="240" w:lineRule="auto"/>
        <w:jc w:val="both"/>
        <w:rPr>
          <w:rFonts w:cs="Times New Roman"/>
          <w:noProof/>
        </w:rPr>
      </w:pPr>
      <w:r>
        <w:rPr>
          <w:noProof/>
        </w:rPr>
        <w:t>Investissement: 2.2.1.2.i. Numérisation des entités</w:t>
      </w:r>
    </w:p>
    <w:p w14:paraId="0143B98F" w14:textId="77777777" w:rsidR="008E6885" w:rsidRDefault="00EA24E7">
      <w:pPr>
        <w:pStyle w:val="P68B1DB1-Normal5"/>
        <w:spacing w:after="120" w:line="240" w:lineRule="auto"/>
        <w:jc w:val="both"/>
        <w:rPr>
          <w:rFonts w:cs="Times New Roman"/>
          <w:noProof/>
        </w:rPr>
      </w:pPr>
      <w:r>
        <w:rPr>
          <w:noProof/>
        </w:rPr>
        <w:t>L’objectif de la mesure est de créer une plus grande valeur ajoutée dans les entités bénéficiant d’un soutien.</w:t>
      </w:r>
    </w:p>
    <w:p w14:paraId="1E325B26" w14:textId="77777777" w:rsidR="008E6885" w:rsidRDefault="00EA24E7">
      <w:pPr>
        <w:pStyle w:val="P68B1DB1-Normal4"/>
        <w:spacing w:after="240" w:line="240" w:lineRule="auto"/>
        <w:jc w:val="both"/>
        <w:rPr>
          <w:rFonts w:eastAsia="Times New Roman" w:cs="Times New Roman"/>
          <w:noProof/>
        </w:rPr>
      </w:pPr>
      <w:r>
        <w:rPr>
          <w:noProof/>
        </w:rPr>
        <w:t>La mesure consiste à améliorer les tests de maturité numérique des entités.</w:t>
      </w:r>
    </w:p>
    <w:p w14:paraId="0CDF7D20" w14:textId="77777777" w:rsidR="008E6885" w:rsidRDefault="00EA24E7">
      <w:pPr>
        <w:pStyle w:val="P68B1DB1-Normal7"/>
        <w:keepNext/>
        <w:keepLines/>
        <w:spacing w:before="360" w:after="120" w:line="240" w:lineRule="auto"/>
        <w:jc w:val="both"/>
        <w:rPr>
          <w:rFonts w:cs="Times New Roman"/>
          <w:noProof/>
        </w:rPr>
      </w:pPr>
      <w:r>
        <w:rPr>
          <w:noProof/>
        </w:rPr>
        <w:t>Investissement: 2.2.1.3.i. Soutien à l'introduction de produits et services dans les entreprises</w:t>
      </w:r>
    </w:p>
    <w:p w14:paraId="74CFFC11" w14:textId="77777777" w:rsidR="008E6885" w:rsidRDefault="00EA24E7">
      <w:pPr>
        <w:pStyle w:val="P68B1DB1-Normal4"/>
        <w:spacing w:before="120" w:after="120" w:line="240" w:lineRule="auto"/>
        <w:jc w:val="both"/>
        <w:rPr>
          <w:rFonts w:cs="Times New Roman"/>
          <w:noProof/>
        </w:rPr>
      </w:pPr>
      <w:r>
        <w:rPr>
          <w:noProof/>
        </w:rPr>
        <w:t>L’objectif de la mesure est de soutenir la création de produits et services numériques.</w:t>
      </w:r>
    </w:p>
    <w:p w14:paraId="6A060CA6" w14:textId="77777777" w:rsidR="008E6885" w:rsidRDefault="00EA24E7">
      <w:pPr>
        <w:pStyle w:val="P68B1DB1-Normal4"/>
        <w:spacing w:after="240" w:line="240" w:lineRule="auto"/>
        <w:jc w:val="both"/>
        <w:rPr>
          <w:rFonts w:cs="Times New Roman"/>
          <w:noProof/>
        </w:rPr>
      </w:pPr>
      <w:r>
        <w:rPr>
          <w:noProof/>
        </w:rPr>
        <w:t>La mesure consiste en des conventions de subvention visant à soutenir des projets de recherche sur des produits ou des services.</w:t>
      </w:r>
    </w:p>
    <w:p w14:paraId="05203744" w14:textId="77777777" w:rsidR="008E6885" w:rsidRDefault="00EA24E7">
      <w:pPr>
        <w:pStyle w:val="P68B1DB1-Normal15"/>
        <w:keepNext/>
        <w:keepLines/>
        <w:spacing w:after="120" w:line="240" w:lineRule="auto"/>
        <w:jc w:val="both"/>
        <w:rPr>
          <w:rFonts w:cs="Times New Roman"/>
          <w:noProof/>
        </w:rPr>
      </w:pPr>
      <w:r>
        <w:rPr>
          <w:noProof/>
        </w:rPr>
        <w:t>Investissement: 2.2.1.4.i. Instrument financier destiné à faciliter la transformation numérique des opérateurs économiques</w:t>
      </w:r>
    </w:p>
    <w:p w14:paraId="3FF4E1F4" w14:textId="77777777" w:rsidR="008E6885" w:rsidRDefault="00EA24E7">
      <w:pPr>
        <w:pStyle w:val="P68B1DB1-Normal5"/>
        <w:spacing w:after="120" w:line="240" w:lineRule="auto"/>
        <w:jc w:val="both"/>
        <w:rPr>
          <w:rFonts w:cs="Times New Roman"/>
          <w:noProof/>
        </w:rPr>
      </w:pPr>
      <w:r>
        <w:rPr>
          <w:noProof/>
        </w:rPr>
        <w:t>L’objectif de la mesure est de stimuler la productivité et l’efficacité des processus de production en soutenant les investissements dans les outils de transformation numérique.</w:t>
      </w:r>
    </w:p>
    <w:p w14:paraId="308D1499" w14:textId="77777777" w:rsidR="008E6885" w:rsidRDefault="00EA24E7">
      <w:pPr>
        <w:pStyle w:val="P68B1DB1-Normal4"/>
        <w:spacing w:after="240" w:line="240" w:lineRule="auto"/>
        <w:jc w:val="both"/>
        <w:rPr>
          <w:rFonts w:eastAsia="Times New Roman" w:cs="Times New Roman"/>
          <w:noProof/>
        </w:rPr>
      </w:pPr>
      <w:r>
        <w:rPr>
          <w:noProof/>
        </w:rPr>
        <w:t>La mesure consiste en des contrats de prêt destinés à soutenir des projets de transformation numérique.</w:t>
      </w:r>
    </w:p>
    <w:p w14:paraId="2F5C0BF2" w14:textId="77777777" w:rsidR="008E6885" w:rsidRDefault="00EA24E7">
      <w:pPr>
        <w:pStyle w:val="P68B1DB1-Normal15"/>
        <w:keepNext/>
        <w:keepLines/>
        <w:spacing w:after="240" w:line="240" w:lineRule="auto"/>
        <w:jc w:val="both"/>
        <w:rPr>
          <w:rFonts w:cs="Times New Roman"/>
          <w:noProof/>
        </w:rPr>
      </w:pPr>
      <w:r>
        <w:rPr>
          <w:noProof/>
        </w:rPr>
        <w:t>Investissement: 2.2.1.5.i. Favoriser la transformation numérique des entreprises de médias</w:t>
      </w:r>
    </w:p>
    <w:p w14:paraId="79431EFF" w14:textId="77777777" w:rsidR="008E6885" w:rsidRDefault="00EA24E7">
      <w:pPr>
        <w:pStyle w:val="P68B1DB1-Normal5"/>
        <w:spacing w:before="120" w:after="120" w:line="240" w:lineRule="auto"/>
        <w:jc w:val="both"/>
        <w:rPr>
          <w:rFonts w:cs="Times New Roman"/>
          <w:noProof/>
        </w:rPr>
      </w:pPr>
      <w:r>
        <w:rPr>
          <w:noProof/>
        </w:rPr>
        <w:t>L’objectif de la mesure est de faciliter la transformation numérique du secteur des médias.</w:t>
      </w:r>
    </w:p>
    <w:p w14:paraId="1F0925E8" w14:textId="77777777" w:rsidR="008E6885" w:rsidRDefault="00EA24E7">
      <w:pPr>
        <w:pStyle w:val="P68B1DB1-Normal4"/>
        <w:spacing w:after="240" w:line="240" w:lineRule="auto"/>
        <w:jc w:val="both"/>
        <w:rPr>
          <w:rFonts w:cs="Times New Roman"/>
          <w:noProof/>
        </w:rPr>
      </w:pPr>
      <w:r>
        <w:rPr>
          <w:noProof/>
        </w:rPr>
        <w:t>La mesure consiste en un régime de soutien aux investissements dans les compétences numériques dans le secteur des médias et à la fourniture de trois plateformes ou solutions informatiques.</w:t>
      </w:r>
    </w:p>
    <w:p w14:paraId="3D000621" w14:textId="77777777" w:rsidR="008E6885" w:rsidRDefault="00EA24E7">
      <w:pPr>
        <w:pStyle w:val="P68B1DB1-Normal15"/>
        <w:keepNext/>
        <w:keepLines/>
        <w:spacing w:after="120" w:line="240" w:lineRule="auto"/>
        <w:jc w:val="both"/>
        <w:rPr>
          <w:rFonts w:cs="Times New Roman"/>
          <w:noProof/>
        </w:rPr>
      </w:pPr>
      <w:r>
        <w:rPr>
          <w:noProof/>
        </w:rPr>
        <w:t>Réforme: 2.3.1.r. Élaboration d'un cadre de soutien durable et socialement responsable pour l'éducation et la formation des adultes</w:t>
      </w:r>
    </w:p>
    <w:p w14:paraId="44F7F974" w14:textId="77777777" w:rsidR="008E6885" w:rsidRDefault="00EA24E7">
      <w:pPr>
        <w:pStyle w:val="P68B1DB1-Normal4"/>
        <w:spacing w:after="120" w:line="240" w:lineRule="auto"/>
        <w:jc w:val="both"/>
        <w:rPr>
          <w:rFonts w:cs="Times New Roman"/>
          <w:strike/>
          <w:noProof/>
        </w:rPr>
      </w:pPr>
      <w:r>
        <w:rPr>
          <w:noProof/>
        </w:rPr>
        <w:t>L’objectif de la mesure est d’accroître la participation des adultes à l’éducation et à la formation et le soutien à l’éducation et à la formation des adultes.</w:t>
      </w:r>
    </w:p>
    <w:p w14:paraId="7829AC55" w14:textId="77777777" w:rsidR="008E6885" w:rsidRDefault="00EA24E7">
      <w:pPr>
        <w:pStyle w:val="P68B1DB1-Normal4"/>
        <w:spacing w:after="240" w:line="240" w:lineRule="auto"/>
        <w:jc w:val="both"/>
        <w:rPr>
          <w:rFonts w:cs="Times New Roman"/>
          <w:noProof/>
        </w:rPr>
      </w:pPr>
      <w:r>
        <w:rPr>
          <w:noProof/>
        </w:rPr>
        <w:t>La mesure consiste à renforcer le soutien à la formation des employés et à évaluer l'approche des comptes de formation individuels.</w:t>
      </w:r>
    </w:p>
    <w:p w14:paraId="71C526DF" w14:textId="77777777" w:rsidR="008E6885" w:rsidRDefault="00EA24E7">
      <w:pPr>
        <w:pStyle w:val="P68B1DB1-Normal7"/>
        <w:keepNext/>
        <w:keepLines/>
        <w:spacing w:after="120" w:line="240" w:lineRule="auto"/>
        <w:jc w:val="both"/>
        <w:rPr>
          <w:rFonts w:cs="Times New Roman"/>
          <w:noProof/>
        </w:rPr>
      </w:pPr>
      <w:r>
        <w:rPr>
          <w:noProof/>
        </w:rPr>
        <w:t>Investissement: 2.3.1.1.i. Fournir des compétences numériques</w:t>
      </w:r>
    </w:p>
    <w:p w14:paraId="33712BBA" w14:textId="77777777" w:rsidR="008E6885" w:rsidRDefault="00EA24E7">
      <w:pPr>
        <w:pStyle w:val="P68B1DB1-Normal4"/>
        <w:spacing w:after="120" w:line="240" w:lineRule="auto"/>
        <w:jc w:val="both"/>
        <w:rPr>
          <w:rFonts w:eastAsia="Times New Roman" w:cs="Times New Roman"/>
          <w:noProof/>
        </w:rPr>
      </w:pPr>
      <w:r>
        <w:rPr>
          <w:noProof/>
        </w:rPr>
        <w:t>L’objectif de la mesure est d’augmenter le nombre de spécialistes possédant des compétences numériques.</w:t>
      </w:r>
    </w:p>
    <w:p w14:paraId="17A75C02" w14:textId="77777777" w:rsidR="008E6885" w:rsidRDefault="00EA24E7">
      <w:pPr>
        <w:pStyle w:val="P68B1DB1-Normal4"/>
        <w:spacing w:after="240" w:line="240" w:lineRule="auto"/>
        <w:jc w:val="both"/>
        <w:rPr>
          <w:rFonts w:cs="Times New Roman"/>
          <w:noProof/>
        </w:rPr>
      </w:pPr>
      <w:r>
        <w:rPr>
          <w:noProof/>
        </w:rPr>
        <w:t>La mesure consiste à concevoir des modules de compétences numériques pour les programmes d’études de l’enseignement supérieur.</w:t>
      </w:r>
    </w:p>
    <w:p w14:paraId="0A817F9D" w14:textId="77777777" w:rsidR="008E6885" w:rsidRDefault="00EA24E7">
      <w:pPr>
        <w:pStyle w:val="P68B1DB1-Normal7"/>
        <w:keepNext/>
        <w:keepLines/>
        <w:spacing w:after="240" w:line="240" w:lineRule="auto"/>
        <w:jc w:val="both"/>
        <w:rPr>
          <w:rFonts w:cs="Times New Roman"/>
          <w:noProof/>
        </w:rPr>
      </w:pPr>
      <w:r>
        <w:rPr>
          <w:noProof/>
        </w:rPr>
        <w:t>Investissement: 2.3.1.2.i. Développement des compétences numériques</w:t>
      </w:r>
    </w:p>
    <w:p w14:paraId="25095712" w14:textId="77777777" w:rsidR="008E6885" w:rsidRDefault="00EA24E7">
      <w:pPr>
        <w:pStyle w:val="P68B1DB1-Normal4"/>
        <w:spacing w:before="120" w:after="120" w:line="240" w:lineRule="auto"/>
        <w:jc w:val="both"/>
        <w:rPr>
          <w:rFonts w:cs="Times New Roman"/>
          <w:noProof/>
        </w:rPr>
      </w:pPr>
      <w:r>
        <w:rPr>
          <w:noProof/>
        </w:rPr>
        <w:t>L’objectif de la mesure est d’accroître le niveau de compétences numériques.</w:t>
      </w:r>
    </w:p>
    <w:p w14:paraId="725E0762" w14:textId="77777777" w:rsidR="008E6885" w:rsidRDefault="00EA24E7">
      <w:pPr>
        <w:pStyle w:val="P68B1DB1-Normal4"/>
        <w:spacing w:after="240" w:line="240" w:lineRule="auto"/>
        <w:jc w:val="both"/>
        <w:rPr>
          <w:rFonts w:cs="Times New Roman"/>
          <w:noProof/>
        </w:rPr>
      </w:pPr>
      <w:r>
        <w:rPr>
          <w:noProof/>
        </w:rPr>
        <w:t>La mesure consiste à suivre des formations aux compétences numériques.</w:t>
      </w:r>
    </w:p>
    <w:p w14:paraId="1C4E1D23" w14:textId="77777777" w:rsidR="008E6885" w:rsidRDefault="00EA24E7">
      <w:pPr>
        <w:pStyle w:val="P68B1DB1-Normal7"/>
        <w:keepNext/>
        <w:keepLines/>
        <w:spacing w:after="240" w:line="240" w:lineRule="auto"/>
        <w:jc w:val="both"/>
        <w:rPr>
          <w:noProof/>
        </w:rPr>
      </w:pPr>
      <w:r>
        <w:rPr>
          <w:noProof/>
        </w:rPr>
        <w:t>Investissement: 2.3.1.5.i. Compétences numériques par l’intermédiaire de la plateforme de compte d’apprentissage individuel</w:t>
      </w:r>
    </w:p>
    <w:p w14:paraId="7BC075CB" w14:textId="77777777" w:rsidR="008E6885" w:rsidRDefault="00EA24E7">
      <w:pPr>
        <w:pStyle w:val="P68B1DB1-Normal16"/>
        <w:spacing w:before="120" w:after="120" w:line="240" w:lineRule="auto"/>
        <w:jc w:val="both"/>
        <w:rPr>
          <w:noProof/>
        </w:rPr>
      </w:pPr>
      <w:r>
        <w:rPr>
          <w:noProof/>
        </w:rPr>
        <w:t>L’objectif de la mesure est de soutenir l’acquisition de compétences numériques.</w:t>
      </w:r>
    </w:p>
    <w:p w14:paraId="2173E1C9" w14:textId="77777777" w:rsidR="008E6885" w:rsidRDefault="00EA24E7">
      <w:pPr>
        <w:pStyle w:val="P68B1DB1-Normal16"/>
        <w:spacing w:after="240" w:line="240" w:lineRule="auto"/>
        <w:jc w:val="both"/>
        <w:rPr>
          <w:noProof/>
        </w:rPr>
      </w:pPr>
      <w:r>
        <w:rPr>
          <w:noProof/>
        </w:rPr>
        <w:t>La mesure consiste à dispenser des formations aux compétences numériques par l’intermédiaire de la plateforme des comptes de formation individuels.</w:t>
      </w:r>
    </w:p>
    <w:p w14:paraId="75A9AB5E" w14:textId="77777777" w:rsidR="008E6885" w:rsidRDefault="00EA24E7">
      <w:pPr>
        <w:pStyle w:val="P68B1DB1-Normal7"/>
        <w:keepNext/>
        <w:keepLines/>
        <w:spacing w:after="240" w:line="240" w:lineRule="auto"/>
        <w:jc w:val="both"/>
        <w:rPr>
          <w:rFonts w:cs="Times New Roman"/>
          <w:noProof/>
        </w:rPr>
      </w:pPr>
      <w:r>
        <w:rPr>
          <w:noProof/>
        </w:rPr>
        <w:t>Réforme: 2.3.2.r. Compétences numériques pour la transformation numérique de la société et des pouvoirs publics</w:t>
      </w:r>
    </w:p>
    <w:p w14:paraId="09201CB4" w14:textId="77777777" w:rsidR="008E6885" w:rsidRDefault="00EA24E7">
      <w:pPr>
        <w:pStyle w:val="P68B1DB1-Normal5"/>
        <w:spacing w:before="120" w:after="120" w:line="240" w:lineRule="auto"/>
        <w:jc w:val="both"/>
        <w:rPr>
          <w:rFonts w:cs="Times New Roman"/>
          <w:noProof/>
        </w:rPr>
      </w:pPr>
      <w:r>
        <w:rPr>
          <w:noProof/>
        </w:rPr>
        <w:t>L’objectif de la mesure est d’augmenter la proportion d’habitants possédant des compétences numériques de base et avancées.</w:t>
      </w:r>
    </w:p>
    <w:p w14:paraId="2FF9DA11" w14:textId="77777777" w:rsidR="008E6885" w:rsidRDefault="00EA24E7">
      <w:pPr>
        <w:pStyle w:val="P68B1DB1-Normal5"/>
        <w:spacing w:after="240" w:line="240" w:lineRule="auto"/>
        <w:jc w:val="both"/>
        <w:rPr>
          <w:rFonts w:eastAsia="Times New Roman" w:cs="Times New Roman"/>
          <w:noProof/>
        </w:rPr>
      </w:pPr>
      <w:r>
        <w:rPr>
          <w:noProof/>
        </w:rPr>
        <w:t xml:space="preserve">La mesure consiste en l’entrée en vigueur d’un cadre commun pour l’évaluation des compétences numériques de base, l’identification et la planification des besoins de formation et la modification des normes nationales de l’enseignement supérieur. </w:t>
      </w:r>
    </w:p>
    <w:p w14:paraId="1F2F8C41" w14:textId="77777777" w:rsidR="008E6885" w:rsidRDefault="00EA24E7">
      <w:pPr>
        <w:pStyle w:val="P68B1DB1-Normal15"/>
        <w:keepNext/>
        <w:keepLines/>
        <w:spacing w:after="240" w:line="240" w:lineRule="auto"/>
        <w:jc w:val="both"/>
        <w:rPr>
          <w:rFonts w:eastAsia="Times New Roman" w:cs="Times New Roman"/>
          <w:noProof/>
        </w:rPr>
      </w:pPr>
      <w:r>
        <w:rPr>
          <w:noProof/>
        </w:rPr>
        <w:t>Investissement: 2.3.2.1.i. Compétences numériques pour les personnes, y compris les jeunes</w:t>
      </w:r>
    </w:p>
    <w:p w14:paraId="7E24576D" w14:textId="77777777" w:rsidR="008E6885" w:rsidRDefault="00EA24E7">
      <w:pPr>
        <w:pStyle w:val="P68B1DB1-Normal4"/>
        <w:spacing w:before="120" w:after="120" w:line="240" w:lineRule="auto"/>
        <w:jc w:val="both"/>
        <w:rPr>
          <w:rFonts w:cs="Times New Roman"/>
          <w:noProof/>
        </w:rPr>
      </w:pPr>
      <w:r>
        <w:rPr>
          <w:noProof/>
        </w:rPr>
        <w:t>L’objectif de la mesure est d’accroître la culture numérique et technologique des jeunes en dehors de l’enseignement formel.</w:t>
      </w:r>
    </w:p>
    <w:p w14:paraId="533AEB2E" w14:textId="77777777" w:rsidR="008E6885" w:rsidRDefault="00EA24E7">
      <w:pPr>
        <w:pStyle w:val="P68B1DB1-Normal4"/>
        <w:spacing w:after="240" w:line="240" w:lineRule="auto"/>
        <w:jc w:val="both"/>
        <w:rPr>
          <w:rFonts w:cs="Times New Roman"/>
          <w:noProof/>
        </w:rPr>
      </w:pPr>
      <w:r>
        <w:rPr>
          <w:noProof/>
        </w:rPr>
        <w:t>La mesure consiste à mener des activités liées au système d’animation socio-éducative numérique dans les municipalités.</w:t>
      </w:r>
    </w:p>
    <w:p w14:paraId="165D23D9" w14:textId="77777777" w:rsidR="008E6885" w:rsidRDefault="00EA24E7">
      <w:pPr>
        <w:pStyle w:val="P68B1DB1-Normal7"/>
        <w:keepNext/>
        <w:keepLines/>
        <w:spacing w:after="240" w:line="240" w:lineRule="auto"/>
        <w:rPr>
          <w:rFonts w:cs="Times New Roman"/>
          <w:noProof/>
        </w:rPr>
      </w:pPr>
      <w:r>
        <w:rPr>
          <w:noProof/>
        </w:rPr>
        <w:t>Investissement: 2.3.2.2.i. Développement des compétences et des capacités en matière de transformation numérique des administrations étatiques et locales</w:t>
      </w:r>
    </w:p>
    <w:p w14:paraId="0E34F109" w14:textId="77777777" w:rsidR="008E6885" w:rsidRDefault="00EA24E7">
      <w:pPr>
        <w:pStyle w:val="P68B1DB1-Normal5"/>
        <w:spacing w:before="120" w:after="120" w:line="240" w:lineRule="auto"/>
        <w:jc w:val="both"/>
        <w:rPr>
          <w:rFonts w:cs="Times New Roman"/>
          <w:noProof/>
        </w:rPr>
      </w:pPr>
      <w:r>
        <w:rPr>
          <w:noProof/>
        </w:rPr>
        <w:t>L’objectif de la mesure est d’accroître les compétences numériques des employés de l’administration publique.</w:t>
      </w:r>
    </w:p>
    <w:p w14:paraId="200F9866" w14:textId="77777777" w:rsidR="008E6885" w:rsidRDefault="00EA24E7">
      <w:pPr>
        <w:pStyle w:val="P68B1DB1-Normal4"/>
        <w:spacing w:after="240" w:line="240" w:lineRule="auto"/>
        <w:jc w:val="both"/>
        <w:rPr>
          <w:rFonts w:cs="Times New Roman"/>
          <w:noProof/>
        </w:rPr>
      </w:pPr>
      <w:r>
        <w:rPr>
          <w:noProof/>
        </w:rPr>
        <w:t>La mesure consiste à élaborer un cadre de compétences numériques et à suivre des formations.</w:t>
      </w:r>
    </w:p>
    <w:p w14:paraId="11564864" w14:textId="77777777" w:rsidR="008E6885" w:rsidRDefault="00EA24E7">
      <w:pPr>
        <w:pStyle w:val="P68B1DB1-Normal7"/>
        <w:keepNext/>
        <w:keepLines/>
        <w:spacing w:after="240" w:line="240" w:lineRule="auto"/>
        <w:jc w:val="both"/>
        <w:rPr>
          <w:rFonts w:cs="Times New Roman"/>
          <w:noProof/>
        </w:rPr>
      </w:pPr>
      <w:r>
        <w:rPr>
          <w:noProof/>
        </w:rPr>
        <w:t>Investissement: 2.3.2.3.i. Combler la fracture numérique pour les élèves et les établissements d'enseignement socialement vulnérables</w:t>
      </w:r>
    </w:p>
    <w:p w14:paraId="3623D4CF" w14:textId="77777777" w:rsidR="008E6885" w:rsidRDefault="00EA24E7">
      <w:pPr>
        <w:pStyle w:val="P68B1DB1-Normal4"/>
        <w:spacing w:before="120" w:after="120" w:line="240" w:lineRule="auto"/>
        <w:jc w:val="both"/>
        <w:rPr>
          <w:rFonts w:cs="Times New Roman"/>
          <w:noProof/>
        </w:rPr>
      </w:pPr>
      <w:r>
        <w:rPr>
          <w:noProof/>
        </w:rPr>
        <w:t>Les objectifs de la mesure sont de fournir un accès au contenu d’apprentissage et de permettre la participation au processus d’apprentissage à distance, en particulier pour les élèves issus de groupes socialement vulnérables.</w:t>
      </w:r>
    </w:p>
    <w:p w14:paraId="17A7D0AF" w14:textId="77777777" w:rsidR="008E6885" w:rsidRDefault="00EA24E7">
      <w:pPr>
        <w:pStyle w:val="P68B1DB1-Normal4"/>
        <w:spacing w:after="240" w:line="240" w:lineRule="auto"/>
        <w:jc w:val="both"/>
        <w:rPr>
          <w:rFonts w:cs="Times New Roman"/>
          <w:noProof/>
        </w:rPr>
      </w:pPr>
      <w:r>
        <w:rPr>
          <w:noProof/>
        </w:rPr>
        <w:t>La mesure consiste à acheter des équipements de technologies de l’information et de la communication pour l’enseignement général, y compris pour soutenir les élèves issus de groupes socialement vulnérables.</w:t>
      </w:r>
    </w:p>
    <w:p w14:paraId="1BFD87FE" w14:textId="77777777" w:rsidR="008E6885" w:rsidRDefault="00EA24E7">
      <w:pPr>
        <w:pStyle w:val="P68B1DB1-Normal15"/>
        <w:keepNext/>
        <w:keepLines/>
        <w:spacing w:after="240" w:line="240" w:lineRule="auto"/>
        <w:jc w:val="both"/>
        <w:rPr>
          <w:rFonts w:cs="Times New Roman"/>
          <w:noProof/>
        </w:rPr>
      </w:pPr>
      <w:r>
        <w:rPr>
          <w:noProof/>
        </w:rPr>
        <w:t>Réforme: 2.4.1.r. Développement de l'infrastructure à large bande</w:t>
      </w:r>
    </w:p>
    <w:p w14:paraId="6856DA83" w14:textId="77777777" w:rsidR="008E6885" w:rsidRDefault="00EA24E7">
      <w:pPr>
        <w:pStyle w:val="P68B1DB1-Normal5"/>
        <w:spacing w:before="120" w:after="120" w:line="240" w:lineRule="auto"/>
        <w:jc w:val="both"/>
        <w:rPr>
          <w:rFonts w:cs="Times New Roman"/>
          <w:noProof/>
        </w:rPr>
      </w:pPr>
      <w:r>
        <w:rPr>
          <w:noProof/>
        </w:rPr>
        <w:t>Les objectifs de la réforme sont de promouvoir la conduite automatisée connectée et de soutenir la mobilité durable, notamment en améliorant la sécurité routière grâce à l’innovation.</w:t>
      </w:r>
    </w:p>
    <w:p w14:paraId="6709B91E" w14:textId="77777777" w:rsidR="008E6885" w:rsidRDefault="00EA24E7">
      <w:pPr>
        <w:pStyle w:val="P68B1DB1-Normal5"/>
        <w:spacing w:before="120" w:after="120" w:line="240" w:lineRule="auto"/>
        <w:jc w:val="both"/>
        <w:rPr>
          <w:rFonts w:cs="Times New Roman"/>
          <w:noProof/>
        </w:rPr>
      </w:pPr>
      <w:r>
        <w:rPr>
          <w:noProof/>
        </w:rPr>
        <w:t>La réforme consiste en l’adoption d’exigences techniques pour la conduite connectée et automatisée et en l’adoption d’un modèle commun pour le développement du «dernier kilomètre».</w:t>
      </w:r>
    </w:p>
    <w:p w14:paraId="7B0F9274" w14:textId="77777777" w:rsidR="008E6885" w:rsidRDefault="00EA24E7">
      <w:pPr>
        <w:pStyle w:val="P68B1DB1-Normal5"/>
        <w:spacing w:after="240" w:line="240" w:lineRule="auto"/>
        <w:jc w:val="both"/>
        <w:rPr>
          <w:rFonts w:eastAsia="Times New Roman" w:cs="Times New Roman"/>
          <w:noProof/>
        </w:rPr>
      </w:pPr>
      <w:r>
        <w:rPr>
          <w:noProof/>
        </w:rPr>
        <w:t>La réforme est mise en œuvre au plus tard le 31 décembre 2021.</w:t>
      </w:r>
    </w:p>
    <w:p w14:paraId="1F727530" w14:textId="77777777" w:rsidR="008E6885" w:rsidRDefault="00EA24E7">
      <w:pPr>
        <w:pStyle w:val="P68B1DB1-Normal15"/>
        <w:keepNext/>
        <w:keepLines/>
        <w:spacing w:after="240" w:line="240" w:lineRule="auto"/>
        <w:jc w:val="both"/>
        <w:rPr>
          <w:rFonts w:eastAsia="Times New Roman" w:cs="Times New Roman"/>
          <w:noProof/>
        </w:rPr>
      </w:pPr>
      <w:r>
        <w:rPr>
          <w:noProof/>
        </w:rPr>
        <w:t>Investissement: 2.4.1.1.i. [supprimé]</w:t>
      </w:r>
    </w:p>
    <w:p w14:paraId="05066E76" w14:textId="77777777" w:rsidR="008E6885" w:rsidRDefault="00EA24E7">
      <w:pPr>
        <w:pStyle w:val="P68B1DB1-Normal7"/>
        <w:keepNext/>
        <w:keepLines/>
        <w:spacing w:after="120" w:line="240" w:lineRule="auto"/>
        <w:jc w:val="both"/>
        <w:rPr>
          <w:rFonts w:cs="Times New Roman"/>
          <w:noProof/>
        </w:rPr>
      </w:pPr>
      <w:r>
        <w:rPr>
          <w:noProof/>
        </w:rPr>
        <w:t>Investissement: 2.4.1.2.i. Développement des infrastructures du «dernier kilomètre» du réseau à haut débit ou à très haute capacité</w:t>
      </w:r>
    </w:p>
    <w:p w14:paraId="62C844EF" w14:textId="77777777" w:rsidR="008E6885" w:rsidRDefault="00EA24E7">
      <w:pPr>
        <w:pStyle w:val="P68B1DB1-Normal5"/>
        <w:spacing w:after="120" w:line="240" w:lineRule="auto"/>
        <w:jc w:val="both"/>
        <w:rPr>
          <w:rFonts w:cs="Times New Roman"/>
          <w:noProof/>
        </w:rPr>
      </w:pPr>
      <w:r>
        <w:rPr>
          <w:noProof/>
        </w:rPr>
        <w:t>L’objectif de la mesure est de créer des possibilités de développement régional et de stimuler la demande de nouveaux services numériques.</w:t>
      </w:r>
    </w:p>
    <w:p w14:paraId="08CF73FF" w14:textId="77777777" w:rsidR="008E6885" w:rsidRDefault="00EA24E7">
      <w:pPr>
        <w:pStyle w:val="P68B1DB1-Normal4"/>
        <w:spacing w:before="120" w:after="120" w:line="240" w:lineRule="auto"/>
        <w:jc w:val="both"/>
        <w:rPr>
          <w:noProof/>
        </w:rPr>
        <w:sectPr w:rsidR="008E6885" w:rsidSect="0048758A">
          <w:headerReference w:type="default" r:id="rId23"/>
          <w:footerReference w:type="default" r:id="rId24"/>
          <w:pgSz w:w="11906" w:h="16838"/>
          <w:pgMar w:top="1440" w:right="1440" w:bottom="1440" w:left="1440" w:header="708" w:footer="708" w:gutter="0"/>
          <w:cols w:space="708"/>
          <w:docGrid w:linePitch="360"/>
        </w:sectPr>
      </w:pPr>
      <w:r>
        <w:rPr>
          <w:noProof/>
        </w:rPr>
        <w:t>La mesure consiste à fournir aux ménages et aux acteurs socio-économiques, par exemple les entreprises, les écoles et les hôpitaux, un accès à un réseau à haut débit à très haute capacité.</w:t>
      </w:r>
    </w:p>
    <w:p w14:paraId="38097B23" w14:textId="1D9F20B0" w:rsidR="008E6885" w:rsidRDefault="00EA24E7">
      <w:pPr>
        <w:pStyle w:val="P68B1DB1-Normal1"/>
        <w:spacing w:before="120" w:after="120" w:line="240" w:lineRule="auto"/>
        <w:jc w:val="center"/>
        <w:rPr>
          <w:noProof/>
        </w:rPr>
      </w:pPr>
      <w:r>
        <w:rPr>
          <w:noProof/>
        </w:rPr>
        <w:t>B.2. Étapes, cibles, indicateurs et calendrier pour le suivi et la mise en œuvre du soutien financier non remboursable</w:t>
      </w: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2165"/>
        <w:gridCol w:w="1396"/>
        <w:gridCol w:w="1418"/>
        <w:gridCol w:w="1417"/>
        <w:gridCol w:w="992"/>
        <w:gridCol w:w="993"/>
        <w:gridCol w:w="992"/>
        <w:gridCol w:w="992"/>
        <w:gridCol w:w="709"/>
        <w:gridCol w:w="2879"/>
      </w:tblGrid>
      <w:tr w:rsidR="008E6885" w14:paraId="71EAF07B" w14:textId="77777777" w:rsidTr="00584A13">
        <w:trPr>
          <w:tblHeader/>
        </w:trPr>
        <w:tc>
          <w:tcPr>
            <w:tcW w:w="545"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0CD35516" w14:textId="77777777" w:rsidR="008E6885" w:rsidRDefault="00EA24E7">
            <w:pPr>
              <w:pStyle w:val="P68B1DB1-Normal17"/>
              <w:spacing w:after="0" w:line="240" w:lineRule="auto"/>
              <w:jc w:val="center"/>
              <w:rPr>
                <w:rFonts w:eastAsia="Times New Roman" w:cs="Times New Roman"/>
                <w:noProof/>
              </w:rPr>
            </w:pPr>
            <w:r>
              <w:rPr>
                <w:noProof/>
              </w:rPr>
              <w:t>Nr</w:t>
            </w:r>
          </w:p>
        </w:tc>
        <w:tc>
          <w:tcPr>
            <w:tcW w:w="2165"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273E32B" w14:textId="77777777" w:rsidR="008E6885" w:rsidRDefault="00EA24E7">
            <w:pPr>
              <w:pStyle w:val="P68B1DB1-Normal17"/>
              <w:spacing w:after="0" w:line="240" w:lineRule="auto"/>
              <w:jc w:val="center"/>
              <w:rPr>
                <w:rFonts w:eastAsia="Times New Roman" w:cs="Times New Roman"/>
                <w:noProof/>
              </w:rPr>
            </w:pPr>
            <w:r>
              <w:rPr>
                <w:noProof/>
              </w:rPr>
              <w:t>Mesure connexe (réforme ou investissement)</w:t>
            </w:r>
          </w:p>
        </w:tc>
        <w:tc>
          <w:tcPr>
            <w:tcW w:w="1396"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52DEA89C" w14:textId="0E3D3522" w:rsidR="008E6885" w:rsidRDefault="00EA24E7">
            <w:pPr>
              <w:pStyle w:val="P68B1DB1-Normal17"/>
              <w:spacing w:after="0" w:line="240" w:lineRule="auto"/>
              <w:jc w:val="center"/>
              <w:rPr>
                <w:rFonts w:eastAsia="Times New Roman" w:cs="Times New Roman"/>
                <w:noProof/>
              </w:rPr>
            </w:pPr>
            <w:r>
              <w:rPr>
                <w:noProof/>
              </w:rPr>
              <w:t>Étape/objectif</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42F74728" w14:textId="77777777" w:rsidR="008E6885" w:rsidRDefault="00EA24E7">
            <w:pPr>
              <w:pStyle w:val="P68B1DB1-Normal17"/>
              <w:spacing w:after="0" w:line="240" w:lineRule="auto"/>
              <w:jc w:val="center"/>
              <w:rPr>
                <w:rFonts w:eastAsia="Times New Roman" w:cs="Times New Roman"/>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371A53F" w14:textId="77777777" w:rsidR="008E6885" w:rsidRDefault="00EA24E7">
            <w:pPr>
              <w:pStyle w:val="P68B1DB1-Normal18"/>
              <w:spacing w:after="0" w:line="240" w:lineRule="auto"/>
              <w:jc w:val="center"/>
              <w:rPr>
                <w:rFonts w:ascii="Times New Roman" w:eastAsia="Times New Roman" w:hAnsi="Times New Roman" w:cs="Times New Roman"/>
                <w:b/>
                <w:noProof/>
              </w:rPr>
            </w:pPr>
            <w:r>
              <w:rPr>
                <w:rFonts w:ascii="Times New Roman" w:eastAsia="Calibri" w:hAnsi="Times New Roman" w:cs="Arial"/>
                <w:b/>
                <w:noProof/>
              </w:rPr>
              <w:t>Indicateurs qualitatifs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(pour les jalons)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59DD21F3" w14:textId="77777777" w:rsidR="008E6885" w:rsidRDefault="00EA24E7">
            <w:pPr>
              <w:pStyle w:val="P68B1DB1-Normal18"/>
              <w:spacing w:after="0" w:line="240" w:lineRule="auto"/>
              <w:jc w:val="center"/>
              <w:rPr>
                <w:rFonts w:ascii="Times New Roman" w:eastAsia="Times New Roman" w:hAnsi="Times New Roman" w:cs="Times New Roman"/>
                <w:b/>
                <w:noProof/>
              </w:rPr>
            </w:pPr>
            <w:r>
              <w:rPr>
                <w:rFonts w:ascii="Times New Roman" w:eastAsia="Calibri" w:hAnsi="Times New Roman" w:cs="Arial"/>
                <w:b/>
                <w:noProof/>
              </w:rPr>
              <w:t>Indicateurs quantitatifs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(pour les objectifs)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136C4CBC" w14:textId="77777777" w:rsidR="008E6885" w:rsidRDefault="00EA24E7">
            <w:pPr>
              <w:pStyle w:val="P68B1DB1-Normal17"/>
              <w:spacing w:before="120" w:after="120" w:line="240" w:lineRule="auto"/>
              <w:jc w:val="center"/>
              <w:rPr>
                <w:rFonts w:cs="Times New Roman"/>
                <w:noProof/>
              </w:rPr>
            </w:pPr>
            <w:r>
              <w:rPr>
                <w:noProof/>
              </w:rPr>
              <w:t>Calendrier indicatif d'achèvement</w:t>
            </w:r>
          </w:p>
        </w:tc>
        <w:tc>
          <w:tcPr>
            <w:tcW w:w="287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3CC87986" w14:textId="77777777" w:rsidR="008E6885" w:rsidRDefault="00EA24E7">
            <w:pPr>
              <w:pStyle w:val="P68B1DB1-Normal17"/>
              <w:spacing w:after="0" w:line="240" w:lineRule="auto"/>
              <w:jc w:val="center"/>
              <w:rPr>
                <w:rFonts w:eastAsia="Times New Roman" w:cs="Times New Roman"/>
                <w:noProof/>
              </w:rPr>
            </w:pPr>
            <w:r>
              <w:rPr>
                <w:noProof/>
              </w:rPr>
              <w:t>Description de chaque jalon et cible</w:t>
            </w:r>
          </w:p>
        </w:tc>
      </w:tr>
      <w:tr w:rsidR="008E6885" w14:paraId="434677FD" w14:textId="77777777" w:rsidTr="00584A13">
        <w:trPr>
          <w:tblHeader/>
        </w:trPr>
        <w:tc>
          <w:tcPr>
            <w:tcW w:w="545" w:type="dxa"/>
            <w:vMerge/>
            <w:tcBorders>
              <w:top w:val="single" w:sz="4" w:space="0" w:color="auto"/>
              <w:left w:val="single" w:sz="4" w:space="0" w:color="auto"/>
              <w:bottom w:val="single" w:sz="4" w:space="0" w:color="auto"/>
              <w:right w:val="single" w:sz="4" w:space="0" w:color="auto"/>
            </w:tcBorders>
          </w:tcPr>
          <w:p w14:paraId="5D18809D" w14:textId="77777777" w:rsidR="008E6885" w:rsidRDefault="008E6885">
            <w:pPr>
              <w:spacing w:before="120" w:after="120" w:line="240" w:lineRule="auto"/>
              <w:jc w:val="center"/>
              <w:rPr>
                <w:rFonts w:ascii="Times New Roman" w:eastAsia="Calibri" w:hAnsi="Times New Roman" w:cs="Times New Roman"/>
                <w:noProof/>
                <w:kern w:val="0"/>
                <w:sz w:val="18"/>
                <w:szCs w:val="18"/>
                <w14:ligatures w14:val="none"/>
              </w:rPr>
            </w:pPr>
          </w:p>
        </w:tc>
        <w:tc>
          <w:tcPr>
            <w:tcW w:w="2165" w:type="dxa"/>
            <w:vMerge/>
            <w:tcBorders>
              <w:top w:val="single" w:sz="4" w:space="0" w:color="auto"/>
              <w:left w:val="single" w:sz="4" w:space="0" w:color="auto"/>
              <w:bottom w:val="single" w:sz="4" w:space="0" w:color="auto"/>
              <w:right w:val="single" w:sz="4" w:space="0" w:color="auto"/>
            </w:tcBorders>
          </w:tcPr>
          <w:p w14:paraId="100AF076" w14:textId="77777777" w:rsidR="008E6885" w:rsidRDefault="008E6885">
            <w:pPr>
              <w:spacing w:before="120" w:after="120" w:line="240" w:lineRule="auto"/>
              <w:jc w:val="center"/>
              <w:rPr>
                <w:rFonts w:ascii="Times New Roman" w:eastAsia="Calibri" w:hAnsi="Times New Roman" w:cs="Times New Roman"/>
                <w:noProof/>
                <w:kern w:val="0"/>
                <w:sz w:val="18"/>
                <w:szCs w:val="18"/>
                <w14:ligatures w14:val="none"/>
              </w:rPr>
            </w:pPr>
          </w:p>
        </w:tc>
        <w:tc>
          <w:tcPr>
            <w:tcW w:w="1396" w:type="dxa"/>
            <w:vMerge/>
            <w:tcBorders>
              <w:top w:val="single" w:sz="4" w:space="0" w:color="auto"/>
              <w:left w:val="single" w:sz="4" w:space="0" w:color="auto"/>
              <w:bottom w:val="single" w:sz="4" w:space="0" w:color="auto"/>
              <w:right w:val="single" w:sz="4" w:space="0" w:color="auto"/>
            </w:tcBorders>
          </w:tcPr>
          <w:p w14:paraId="0EB7A827" w14:textId="77777777" w:rsidR="008E6885" w:rsidRDefault="008E6885">
            <w:pPr>
              <w:spacing w:before="120" w:after="120" w:line="240" w:lineRule="auto"/>
              <w:jc w:val="center"/>
              <w:rPr>
                <w:rFonts w:ascii="Times New Roman" w:eastAsia="Calibri" w:hAnsi="Times New Roman" w:cs="Times New Roman"/>
                <w:noProof/>
                <w:kern w:val="0"/>
                <w:sz w:val="18"/>
                <w:szCs w:val="18"/>
                <w14:ligatures w14:val="none"/>
              </w:rPr>
            </w:pPr>
          </w:p>
        </w:tc>
        <w:tc>
          <w:tcPr>
            <w:tcW w:w="1418" w:type="dxa"/>
            <w:vMerge/>
            <w:tcBorders>
              <w:top w:val="single" w:sz="4" w:space="0" w:color="auto"/>
              <w:left w:val="single" w:sz="4" w:space="0" w:color="auto"/>
              <w:bottom w:val="single" w:sz="4" w:space="0" w:color="auto"/>
              <w:right w:val="single" w:sz="4" w:space="0" w:color="auto"/>
            </w:tcBorders>
          </w:tcPr>
          <w:p w14:paraId="36BA8602" w14:textId="77777777" w:rsidR="008E6885" w:rsidRDefault="008E6885">
            <w:pPr>
              <w:spacing w:before="120" w:after="120" w:line="240" w:lineRule="auto"/>
              <w:jc w:val="center"/>
              <w:rPr>
                <w:rFonts w:ascii="Times New Roman" w:eastAsia="Calibri" w:hAnsi="Times New Roman" w:cs="Times New Roman"/>
                <w:noProof/>
                <w:kern w:val="0"/>
                <w:sz w:val="18"/>
                <w:szCs w:val="18"/>
                <w14:ligatures w14:val="none"/>
              </w:rPr>
            </w:pPr>
          </w:p>
        </w:tc>
        <w:tc>
          <w:tcPr>
            <w:tcW w:w="1417" w:type="dxa"/>
            <w:vMerge/>
            <w:tcBorders>
              <w:top w:val="single" w:sz="4" w:space="0" w:color="auto"/>
              <w:left w:val="single" w:sz="4" w:space="0" w:color="auto"/>
              <w:bottom w:val="single" w:sz="4" w:space="0" w:color="auto"/>
              <w:right w:val="single" w:sz="4" w:space="0" w:color="auto"/>
            </w:tcBorders>
          </w:tcPr>
          <w:p w14:paraId="2CB3CA27" w14:textId="77777777" w:rsidR="008E6885" w:rsidRDefault="008E6885">
            <w:pPr>
              <w:spacing w:before="120" w:after="120" w:line="240" w:lineRule="auto"/>
              <w:jc w:val="center"/>
              <w:rPr>
                <w:rFonts w:ascii="Times New Roman" w:eastAsia="Calibri" w:hAnsi="Times New Roman" w:cs="Times New Roman"/>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085F0254" w14:textId="77777777" w:rsidR="008E6885" w:rsidRDefault="00EA24E7">
            <w:pPr>
              <w:pStyle w:val="P68B1DB1-Normal17"/>
              <w:spacing w:after="0" w:line="240" w:lineRule="auto"/>
              <w:jc w:val="center"/>
              <w:rPr>
                <w:rFonts w:eastAsia="Times New Roman" w:cs="Times New Roman"/>
                <w:noProof/>
              </w:rPr>
            </w:pPr>
            <w:r>
              <w:rPr>
                <w:noProof/>
              </w:rPr>
              <w:t>Unité de mesure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3FE900EB" w14:textId="77777777" w:rsidR="008E6885" w:rsidRDefault="00EA24E7">
            <w:pPr>
              <w:pStyle w:val="P68B1DB1-Normal17"/>
              <w:spacing w:before="120" w:after="120" w:line="240" w:lineRule="auto"/>
              <w:jc w:val="center"/>
              <w:rPr>
                <w:rFonts w:cs="Times New Roman"/>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68D51E3F" w14:textId="77777777" w:rsidR="008E6885" w:rsidRDefault="00EA24E7">
            <w:pPr>
              <w:pStyle w:val="P68B1DB1-Normal17"/>
              <w:spacing w:after="0" w:line="240" w:lineRule="auto"/>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52F63FC9" w14:textId="77777777" w:rsidR="008E6885" w:rsidRDefault="00EA24E7">
            <w:pPr>
              <w:pStyle w:val="P68B1DB1-Normal17"/>
              <w:spacing w:after="0" w:line="240" w:lineRule="auto"/>
              <w:jc w:val="center"/>
              <w:rPr>
                <w:rFonts w:eastAsia="Times New Roman" w:cs="Times New Roman"/>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4BF9E73F" w14:textId="77777777" w:rsidR="008E6885" w:rsidRDefault="00EA24E7">
            <w:pPr>
              <w:pStyle w:val="P68B1DB1-Normal17"/>
              <w:spacing w:after="0" w:line="240" w:lineRule="auto"/>
              <w:jc w:val="center"/>
              <w:rPr>
                <w:rFonts w:eastAsia="Times New Roman" w:cs="Times New Roman"/>
                <w:bCs/>
                <w:noProof/>
              </w:rPr>
            </w:pPr>
            <w:r>
              <w:rPr>
                <w:noProof/>
              </w:rPr>
              <w:t>Année</w:t>
            </w:r>
          </w:p>
        </w:tc>
        <w:tc>
          <w:tcPr>
            <w:tcW w:w="2879" w:type="dxa"/>
            <w:vMerge/>
            <w:tcBorders>
              <w:top w:val="single" w:sz="4" w:space="0" w:color="auto"/>
              <w:left w:val="single" w:sz="4" w:space="0" w:color="auto"/>
              <w:bottom w:val="single" w:sz="4" w:space="0" w:color="auto"/>
              <w:right w:val="single" w:sz="4" w:space="0" w:color="auto"/>
            </w:tcBorders>
          </w:tcPr>
          <w:p w14:paraId="4D2944F0" w14:textId="77777777" w:rsidR="008E6885" w:rsidRDefault="008E6885">
            <w:pPr>
              <w:spacing w:before="120" w:after="120" w:line="240" w:lineRule="auto"/>
              <w:rPr>
                <w:rFonts w:ascii="Times New Roman" w:eastAsia="Calibri" w:hAnsi="Times New Roman" w:cs="Times New Roman"/>
                <w:noProof/>
                <w:kern w:val="0"/>
                <w:sz w:val="18"/>
                <w:szCs w:val="18"/>
                <w14:ligatures w14:val="none"/>
              </w:rPr>
            </w:pPr>
          </w:p>
        </w:tc>
      </w:tr>
      <w:tr w:rsidR="008E6885" w14:paraId="0905F5BD"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017605B9" w14:textId="77777777" w:rsidR="008E6885" w:rsidRDefault="00EA24E7">
            <w:pPr>
              <w:pStyle w:val="P68B1DB1-Normal19"/>
              <w:spacing w:before="120" w:after="120" w:line="240" w:lineRule="auto"/>
              <w:jc w:val="center"/>
              <w:rPr>
                <w:rFonts w:cs="Times New Roman"/>
                <w:noProof/>
              </w:rPr>
            </w:pPr>
            <w:r>
              <w:rPr>
                <w:noProof/>
              </w:rPr>
              <w:t>27</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7C63165" w14:textId="77777777" w:rsidR="008E6885" w:rsidRDefault="00EA24E7">
            <w:pPr>
              <w:pStyle w:val="P68B1DB1-Normal17"/>
              <w:spacing w:before="120" w:after="120" w:line="240" w:lineRule="auto"/>
              <w:contextualSpacing/>
              <w:rPr>
                <w:rFonts w:cs="Times New Roman"/>
                <w:noProof/>
              </w:rPr>
            </w:pPr>
            <w:r>
              <w:rPr>
                <w:noProof/>
              </w:rPr>
              <w:t>2.1.1.r.</w:t>
            </w:r>
          </w:p>
          <w:p w14:paraId="7961C974" w14:textId="77777777" w:rsidR="008E6885" w:rsidRDefault="00EA24E7">
            <w:pPr>
              <w:pStyle w:val="P68B1DB1-Normal17"/>
              <w:spacing w:before="120" w:after="120" w:line="240" w:lineRule="auto"/>
              <w:contextualSpacing/>
              <w:rPr>
                <w:rFonts w:cs="Times New Roman"/>
                <w:noProof/>
              </w:rPr>
            </w:pPr>
            <w:r>
              <w:rPr>
                <w:noProof/>
              </w:rPr>
              <w:t>Modernisation des processus et services nationaux et transformation numérique</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377A63B6"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6D500306" w14:textId="77777777" w:rsidR="008E6885" w:rsidRDefault="00EA24E7">
            <w:pPr>
              <w:pStyle w:val="P68B1DB1-Normal19"/>
              <w:spacing w:before="120" w:after="120" w:line="240" w:lineRule="auto"/>
              <w:rPr>
                <w:rFonts w:cs="Times New Roman"/>
                <w:noProof/>
              </w:rPr>
            </w:pPr>
            <w:r>
              <w:rPr>
                <w:noProof/>
              </w:rPr>
              <w:t>Mise en place d'un cadre pour une gestion unifiée de la gouvernance des activités de développement des TIC dans l'administration publique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190E914" w14:textId="77777777" w:rsidR="008E6885" w:rsidRDefault="00EA24E7">
            <w:pPr>
              <w:pStyle w:val="P68B1DB1-Normal19"/>
              <w:spacing w:before="120" w:after="120" w:line="240" w:lineRule="auto"/>
              <w:rPr>
                <w:rFonts w:cs="Times New Roman"/>
                <w:noProof/>
              </w:rPr>
            </w:pPr>
            <w:r>
              <w:rPr>
                <w:noProof/>
              </w:rPr>
              <w:t>Entrée en vigueur du cadre juridique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F4A6D53"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550C074"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5F3D792"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6A19CB4" w14:textId="77777777" w:rsidR="008E6885" w:rsidRDefault="00EA24E7">
            <w:pPr>
              <w:pStyle w:val="P68B1DB1-Normal19"/>
              <w:spacing w:before="120"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105AD16" w14:textId="77777777" w:rsidR="008E6885" w:rsidRDefault="00EA24E7">
            <w:pPr>
              <w:pStyle w:val="P68B1DB1-Normal19"/>
              <w:spacing w:before="120" w:after="120" w:line="240" w:lineRule="auto"/>
              <w:jc w:val="center"/>
              <w:rPr>
                <w:rFonts w:cs="Times New Roman"/>
                <w:noProof/>
              </w:rPr>
            </w:pPr>
            <w:r>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41CDFD08" w14:textId="77777777" w:rsidR="008E6885" w:rsidRDefault="00EA24E7">
            <w:pPr>
              <w:pStyle w:val="P68B1DB1-Normal19"/>
              <w:spacing w:before="120" w:after="120" w:line="240" w:lineRule="auto"/>
              <w:jc w:val="both"/>
              <w:rPr>
                <w:rFonts w:cs="Times New Roman"/>
                <w:noProof/>
              </w:rPr>
            </w:pPr>
            <w:r>
              <w:rPr>
                <w:noProof/>
              </w:rPr>
              <w:t xml:space="preserve">Le règlement du Conseil des ministres établissant des procédures communes pour le suivi des activités de développement des TIC est entré en vigueur. </w:t>
            </w:r>
          </w:p>
          <w:p w14:paraId="16710628" w14:textId="77777777" w:rsidR="008E6885" w:rsidRDefault="00EA24E7">
            <w:pPr>
              <w:pStyle w:val="P68B1DB1-Normal19"/>
              <w:spacing w:before="120" w:after="120" w:line="240" w:lineRule="auto"/>
              <w:jc w:val="both"/>
              <w:rPr>
                <w:rFonts w:cs="Times New Roman"/>
                <w:noProof/>
              </w:rPr>
            </w:pPr>
            <w:r>
              <w:rPr>
                <w:noProof/>
              </w:rPr>
              <w:t xml:space="preserve">Pour que les nouveaux règlements soient applicables à toutes les activités de développement des TIC relevant du champ d’application des mesures du plan letton pour la reprise et la résilience (y compris les municipalités), le champ d’application de la loi sur les systèmes d’information de l’État est étendu. Si l'adoption des amendements à la loi est retardée, une réglementation temporaire visant à compléter le cadre normatif spécifique pour des règlements spécifiques pour les activités de projet TIC respectives est publiée. </w:t>
            </w:r>
          </w:p>
        </w:tc>
      </w:tr>
      <w:tr w:rsidR="008E6885" w14:paraId="310ACC99"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44B118E5" w14:textId="77777777" w:rsidR="008E6885" w:rsidRDefault="00EA24E7">
            <w:pPr>
              <w:pStyle w:val="P68B1DB1-Normal19"/>
              <w:spacing w:before="120" w:after="120" w:line="240" w:lineRule="auto"/>
              <w:jc w:val="center"/>
              <w:rPr>
                <w:rFonts w:cs="Times New Roman"/>
                <w:noProof/>
              </w:rPr>
            </w:pPr>
            <w:r>
              <w:rPr>
                <w:noProof/>
              </w:rPr>
              <w:t>28</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5914DCBC" w14:textId="77777777" w:rsidR="008E6885" w:rsidRDefault="00EA24E7">
            <w:pPr>
              <w:pStyle w:val="P68B1DB1-Normal17"/>
              <w:spacing w:before="120" w:after="120" w:line="240" w:lineRule="auto"/>
              <w:contextualSpacing/>
              <w:rPr>
                <w:rFonts w:cs="Times New Roman"/>
                <w:noProof/>
              </w:rPr>
            </w:pPr>
            <w:r>
              <w:rPr>
                <w:noProof/>
              </w:rPr>
              <w:t>2.1.1.r.</w:t>
            </w:r>
          </w:p>
          <w:p w14:paraId="10650672" w14:textId="77777777" w:rsidR="008E6885" w:rsidRDefault="00EA24E7">
            <w:pPr>
              <w:pStyle w:val="P68B1DB1-Normal17"/>
              <w:spacing w:before="120" w:after="120" w:line="240" w:lineRule="auto"/>
              <w:contextualSpacing/>
              <w:rPr>
                <w:rFonts w:cs="Times New Roman"/>
                <w:noProof/>
              </w:rPr>
            </w:pPr>
            <w:r>
              <w:rPr>
                <w:noProof/>
              </w:rPr>
              <w:t>Modernisation des processus et services nationaux et transformation numérique</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0EB4F758"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4F8199B9" w14:textId="77777777" w:rsidR="008E6885" w:rsidRDefault="00EA24E7">
            <w:pPr>
              <w:pStyle w:val="P68B1DB1-Normal19"/>
              <w:spacing w:before="120" w:after="120" w:line="240" w:lineRule="auto"/>
              <w:rPr>
                <w:rFonts w:cs="Times New Roman"/>
                <w:noProof/>
              </w:rPr>
            </w:pPr>
            <w:r>
              <w:rPr>
                <w:noProof/>
              </w:rPr>
              <w:t>Mise en place d’un cadre normatif pour bénéficier d’un soutien dans le domaine de la transformation numérique des processus et services de l’administration publique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9F3353C" w14:textId="77777777" w:rsidR="008E6885" w:rsidRDefault="00EA24E7">
            <w:pPr>
              <w:pStyle w:val="P68B1DB1-Normal19"/>
              <w:spacing w:before="120" w:after="120" w:line="240" w:lineRule="auto"/>
              <w:rPr>
                <w:rFonts w:cs="Times New Roman"/>
                <w:noProof/>
              </w:rPr>
            </w:pPr>
            <w:r>
              <w:rPr>
                <w:noProof/>
              </w:rPr>
              <w:t>Entrée en vigueur du cadre juridique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24E0F45"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7ACA70D"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5918785"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B08E56F"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F56D7A6" w14:textId="77777777" w:rsidR="008E6885" w:rsidRDefault="00EA24E7">
            <w:pPr>
              <w:pStyle w:val="P68B1DB1-Normal19"/>
              <w:spacing w:before="120" w:after="120" w:line="240" w:lineRule="auto"/>
              <w:jc w:val="center"/>
              <w:rPr>
                <w:rFonts w:cs="Times New Roman"/>
                <w:noProof/>
              </w:rPr>
            </w:pPr>
            <w:r>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19BCCC0" w14:textId="77777777" w:rsidR="008E6885" w:rsidRDefault="00EA24E7">
            <w:pPr>
              <w:pStyle w:val="P68B1DB1-Normal19"/>
              <w:spacing w:before="120" w:after="120" w:line="240" w:lineRule="auto"/>
              <w:jc w:val="both"/>
              <w:rPr>
                <w:rFonts w:cs="Times New Roman"/>
                <w:noProof/>
              </w:rPr>
            </w:pPr>
            <w:r>
              <w:rPr>
                <w:noProof/>
              </w:rPr>
              <w:t xml:space="preserve">Le règlement du Cabinet des ministres est entré en vigueur pour l’octroi d’un soutien dans le domaine de la transformation numérique des processus et services de l’administration publique. </w:t>
            </w:r>
          </w:p>
        </w:tc>
      </w:tr>
      <w:tr w:rsidR="008E6885" w14:paraId="30853C95"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0657E42D" w14:textId="77777777" w:rsidR="008E6885" w:rsidRDefault="00EA24E7">
            <w:pPr>
              <w:pStyle w:val="P68B1DB1-Normal19"/>
              <w:spacing w:before="120" w:after="120" w:line="240" w:lineRule="auto"/>
              <w:jc w:val="center"/>
              <w:rPr>
                <w:rFonts w:cs="Times New Roman"/>
                <w:noProof/>
              </w:rPr>
            </w:pPr>
            <w:r>
              <w:rPr>
                <w:noProof/>
              </w:rPr>
              <w:t>29</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74D9369C" w14:textId="77777777" w:rsidR="008E6885" w:rsidRDefault="00EA24E7">
            <w:pPr>
              <w:pStyle w:val="P68B1DB1-Normal17"/>
              <w:spacing w:before="120" w:after="120" w:line="240" w:lineRule="auto"/>
              <w:rPr>
                <w:rFonts w:cs="Times New Roman"/>
                <w:noProof/>
              </w:rPr>
            </w:pPr>
            <w:r>
              <w:rPr>
                <w:noProof/>
              </w:rPr>
              <w:t>2.1.1.1.i. Modernisation de l'administration et transformation numérique des services</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4C10FB94" w14:textId="77777777" w:rsidR="008E6885" w:rsidRDefault="00EA24E7">
            <w:pPr>
              <w:pStyle w:val="P68B1DB1-Normal19"/>
              <w:spacing w:before="120" w:after="120" w:line="240" w:lineRule="auto"/>
              <w:rPr>
                <w:rFonts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42902ED0" w14:textId="77777777" w:rsidR="008E6885" w:rsidRDefault="00EA24E7">
            <w:pPr>
              <w:pStyle w:val="P68B1DB1-Normal19"/>
              <w:spacing w:before="120" w:after="120" w:line="240" w:lineRule="auto"/>
              <w:rPr>
                <w:rFonts w:cs="Times New Roman"/>
                <w:noProof/>
              </w:rPr>
            </w:pPr>
            <w:r>
              <w:rPr>
                <w:noProof/>
              </w:rPr>
              <w:t>Descriptions des activités de développement de solutions TIC développées et harmonisées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060B76E"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969D6F3" w14:textId="77777777" w:rsidR="008E6885" w:rsidRDefault="00EA24E7">
            <w:pPr>
              <w:pStyle w:val="P68B1DB1-Normal19"/>
              <w:spacing w:before="120" w:after="120" w:line="240" w:lineRule="auto"/>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C67CF8A" w14:textId="77777777" w:rsidR="008E6885" w:rsidRDefault="00EA24E7">
            <w:pPr>
              <w:pStyle w:val="P68B1DB1-Normal19"/>
              <w:spacing w:before="120"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591C1DD" w14:textId="77777777" w:rsidR="008E6885" w:rsidRDefault="00EA24E7">
            <w:pPr>
              <w:pStyle w:val="P68B1DB1-Normal19"/>
              <w:spacing w:before="120" w:after="120" w:line="240" w:lineRule="auto"/>
              <w:jc w:val="center"/>
              <w:rPr>
                <w:rFonts w:cs="Times New Roman"/>
                <w:noProof/>
              </w:rPr>
            </w:pPr>
            <w:r>
              <w:rPr>
                <w:noProof/>
              </w:rPr>
              <w:t>11</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3C7283A"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A5F3D78" w14:textId="77777777" w:rsidR="008E6885" w:rsidRDefault="00EA24E7">
            <w:pPr>
              <w:pStyle w:val="P68B1DB1-Normal19"/>
              <w:spacing w:before="120" w:after="120" w:line="240" w:lineRule="auto"/>
              <w:jc w:val="center"/>
              <w:rPr>
                <w:rFonts w:cs="Times New Roman"/>
                <w:noProof/>
              </w:rPr>
            </w:pPr>
            <w:r>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72C5FCEE" w14:textId="77777777" w:rsidR="008E6885" w:rsidRDefault="00EA24E7">
            <w:pPr>
              <w:pStyle w:val="P68B1DB1-Normal19"/>
              <w:spacing w:before="120" w:after="120" w:line="240" w:lineRule="auto"/>
              <w:jc w:val="both"/>
              <w:rPr>
                <w:rFonts w:cs="Times New Roman"/>
                <w:noProof/>
              </w:rPr>
            </w:pPr>
            <w:r>
              <w:rPr>
                <w:noProof/>
              </w:rPr>
              <w:t xml:space="preserve">Les modèles conceptuels de description des solutions (systèmes) TIC sont élaborés conformément au cadre juridique adopté pour la gouvernance des TIC. Les descriptions définissent les activités de développement des TIC visant à développer ou à moderniser des solutions TIC dans au moins les quatre domaines suivants: 1) le secteur des affaires intérieures, y compris la protection civile, la surveillance de la sécurité incendie et la sécurité publique; 2) le secteur culturel, y compris l'accumulation du patrimoine d'archives, de bibliothèques, de musées, de monuments culturels et de contenus médiatiques; 3) la gestion des services logistiques portuaires; 4) soutien des processus de gestion des TIC. </w:t>
            </w:r>
          </w:p>
        </w:tc>
      </w:tr>
      <w:tr w:rsidR="008E6885" w14:paraId="78D4726A"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0271FF5E" w14:textId="77777777" w:rsidR="008E6885" w:rsidRDefault="00EA24E7">
            <w:pPr>
              <w:pStyle w:val="P68B1DB1-Normal19"/>
              <w:spacing w:before="120" w:after="120" w:line="240" w:lineRule="auto"/>
              <w:jc w:val="center"/>
              <w:rPr>
                <w:rFonts w:cs="Times New Roman"/>
                <w:noProof/>
              </w:rPr>
            </w:pPr>
            <w:r>
              <w:rPr>
                <w:noProof/>
              </w:rPr>
              <w:t>30</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A5E6774" w14:textId="77777777" w:rsidR="008E6885" w:rsidRDefault="00EA24E7">
            <w:pPr>
              <w:pStyle w:val="P68B1DB1-Normal17"/>
              <w:spacing w:before="120" w:after="120" w:line="240" w:lineRule="auto"/>
              <w:rPr>
                <w:rFonts w:cs="Times New Roman"/>
                <w:noProof/>
              </w:rPr>
            </w:pPr>
            <w:r>
              <w:rPr>
                <w:noProof/>
              </w:rPr>
              <w:t>2.1.1.1.i. Modernisation de l'administration et transformation numérique des services</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42B3B0B9" w14:textId="77777777" w:rsidR="008E6885" w:rsidRDefault="00EA24E7">
            <w:pPr>
              <w:pStyle w:val="P68B1DB1-Normal19"/>
              <w:spacing w:before="120" w:after="120" w:line="240" w:lineRule="auto"/>
              <w:rPr>
                <w:rFonts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028F830D" w14:textId="77777777" w:rsidR="008E6885" w:rsidRDefault="00EA24E7">
            <w:pPr>
              <w:pStyle w:val="P68B1DB1-Normal19"/>
              <w:spacing w:before="120" w:after="120" w:line="240" w:lineRule="auto"/>
              <w:rPr>
                <w:rFonts w:cs="Times New Roman"/>
                <w:noProof/>
              </w:rPr>
            </w:pPr>
            <w:r>
              <w:rPr>
                <w:noProof/>
              </w:rPr>
              <w:t xml:space="preserve">Solutions ou systèmes TIC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6A33508"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E364D4C" w14:textId="77777777" w:rsidR="008E6885" w:rsidRDefault="00EA24E7">
            <w:pPr>
              <w:pStyle w:val="P68B1DB1-Normal19"/>
              <w:spacing w:before="120" w:after="120" w:line="240" w:lineRule="auto"/>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44041D7" w14:textId="77777777" w:rsidR="008E6885" w:rsidRDefault="00EA24E7">
            <w:pPr>
              <w:pStyle w:val="P68B1DB1-Normal19"/>
              <w:spacing w:before="120"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02A97CC" w14:textId="77777777" w:rsidR="008E6885" w:rsidRDefault="00EA24E7">
            <w:pPr>
              <w:pStyle w:val="P68B1DB1-Normal19"/>
              <w:spacing w:before="120" w:after="120" w:line="240" w:lineRule="auto"/>
              <w:jc w:val="center"/>
              <w:rPr>
                <w:rFonts w:cs="Times New Roman"/>
                <w:noProof/>
              </w:rPr>
            </w:pPr>
            <w:r>
              <w:rPr>
                <w:noProof/>
              </w:rPr>
              <w:t>11</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D0E138B"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010C2AC"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E08F60F" w14:textId="77777777" w:rsidR="008E6885" w:rsidRDefault="00EA24E7">
            <w:pPr>
              <w:pStyle w:val="P68B1DB1-Normal19"/>
              <w:spacing w:before="120" w:after="120" w:line="240" w:lineRule="auto"/>
              <w:jc w:val="both"/>
              <w:rPr>
                <w:rFonts w:cs="Times New Roman"/>
                <w:noProof/>
              </w:rPr>
            </w:pPr>
            <w:r>
              <w:rPr>
                <w:noProof/>
              </w:rPr>
              <w:t xml:space="preserve">Les solutions ou systèmes TIC sont fournis, par exemple, dans les domaines des affaires intérieures, de la culture, de la gestion des services logistiques portuaires et des processus de gestion des TIC. </w:t>
            </w:r>
          </w:p>
        </w:tc>
      </w:tr>
      <w:tr w:rsidR="008E6885" w14:paraId="5470566D"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09364BF7" w14:textId="77777777" w:rsidR="008E6885" w:rsidRDefault="00EA24E7">
            <w:pPr>
              <w:pStyle w:val="P68B1DB1-Normal19"/>
              <w:spacing w:before="120" w:after="120" w:line="240" w:lineRule="auto"/>
              <w:jc w:val="center"/>
              <w:rPr>
                <w:rFonts w:cs="Times New Roman"/>
                <w:noProof/>
              </w:rPr>
            </w:pPr>
            <w:r>
              <w:rPr>
                <w:noProof/>
              </w:rPr>
              <w:t>31</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030CF529" w14:textId="77777777" w:rsidR="008E6885" w:rsidRDefault="00EA24E7">
            <w:pPr>
              <w:pStyle w:val="P68B1DB1-Normal17"/>
              <w:spacing w:before="120" w:after="120" w:line="240" w:lineRule="auto"/>
              <w:contextualSpacing/>
              <w:rPr>
                <w:rFonts w:cs="Times New Roman"/>
                <w:noProof/>
              </w:rPr>
            </w:pPr>
            <w:r>
              <w:rPr>
                <w:noProof/>
              </w:rPr>
              <w:t>2.1.2.r.</w:t>
            </w:r>
          </w:p>
          <w:p w14:paraId="2325E2BD" w14:textId="77777777" w:rsidR="008E6885" w:rsidRDefault="00EA24E7">
            <w:pPr>
              <w:pStyle w:val="P68B1DB1-Normal17"/>
              <w:spacing w:before="120" w:after="120" w:line="240" w:lineRule="auto"/>
              <w:contextualSpacing/>
              <w:rPr>
                <w:rFonts w:cs="Times New Roman"/>
                <w:noProof/>
              </w:rPr>
            </w:pPr>
            <w:r>
              <w:rPr>
                <w:noProof/>
              </w:rPr>
              <w:t>Accroître l'efficacité et l'interopérabilité dans l'utilisation des ressources TIC nationales</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7F783304"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414A26CD" w14:textId="77777777" w:rsidR="008E6885" w:rsidRDefault="00EA24E7">
            <w:pPr>
              <w:pStyle w:val="P68B1DB1-Normal19"/>
              <w:spacing w:before="120" w:after="120" w:line="240" w:lineRule="auto"/>
              <w:rPr>
                <w:rFonts w:cs="Times New Roman"/>
                <w:noProof/>
              </w:rPr>
            </w:pPr>
            <w:r>
              <w:rPr>
                <w:noProof/>
              </w:rPr>
              <w:t>Établissement du cadre juridique pour bénéficier d'une aide dans le domaine du développement de systèmes centraux et de plates-formes d'administration publique et de la consolidation des services d'infrastructure informatique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4BF542C" w14:textId="77777777" w:rsidR="008E6885" w:rsidRDefault="00EA24E7">
            <w:pPr>
              <w:pStyle w:val="P68B1DB1-Normal19"/>
              <w:spacing w:before="120" w:after="120" w:line="240" w:lineRule="auto"/>
              <w:rPr>
                <w:rFonts w:cs="Times New Roman"/>
                <w:noProof/>
              </w:rPr>
            </w:pPr>
            <w:r>
              <w:rPr>
                <w:noProof/>
              </w:rPr>
              <w:t>Entrée en vigueur du cadre juridique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B0D03AF"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D533966"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CCDDC51"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89D63B"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2EC8839" w14:textId="77777777" w:rsidR="008E6885" w:rsidRDefault="00EA24E7">
            <w:pPr>
              <w:pStyle w:val="P68B1DB1-Normal19"/>
              <w:spacing w:before="120" w:after="120" w:line="240" w:lineRule="auto"/>
              <w:jc w:val="center"/>
              <w:rPr>
                <w:rFonts w:cs="Times New Roman"/>
                <w:noProof/>
              </w:rPr>
            </w:pPr>
            <w:r>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5732D709" w14:textId="77777777" w:rsidR="008E6885" w:rsidRDefault="00EA24E7">
            <w:pPr>
              <w:pStyle w:val="P68B1DB1-Normal19"/>
              <w:spacing w:before="120" w:after="120" w:line="240" w:lineRule="auto"/>
              <w:jc w:val="both"/>
              <w:rPr>
                <w:rFonts w:cs="Times New Roman"/>
                <w:noProof/>
              </w:rPr>
            </w:pPr>
            <w:r>
              <w:rPr>
                <w:noProof/>
              </w:rPr>
              <w:t>Entrée en vigueur du cadre juridique pour l’octroi d’un soutien dans le domaine du développement de systèmes informatiques centraux et de plateformes d’administration publique et de la consolidation des services d’infrastructure informatique.</w:t>
            </w:r>
          </w:p>
        </w:tc>
      </w:tr>
      <w:tr w:rsidR="008E6885" w14:paraId="2CD65EFA"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74B06B7C" w14:textId="61A5E2D1" w:rsidR="008E6885" w:rsidRDefault="00EA24E7">
            <w:pPr>
              <w:pStyle w:val="P68B1DB1-Normal19"/>
              <w:spacing w:before="120" w:after="120" w:line="240" w:lineRule="auto"/>
              <w:jc w:val="center"/>
              <w:rPr>
                <w:rFonts w:cs="Times New Roman"/>
                <w:noProof/>
              </w:rPr>
            </w:pPr>
            <w:r>
              <w:rPr>
                <w:noProof/>
              </w:rPr>
              <w:t>32</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F1876B9" w14:textId="77777777" w:rsidR="008E6885" w:rsidRDefault="00EA24E7">
            <w:pPr>
              <w:pStyle w:val="P68B1DB1-Normal17"/>
              <w:spacing w:before="120" w:after="120" w:line="240" w:lineRule="auto"/>
              <w:contextualSpacing/>
              <w:rPr>
                <w:rFonts w:cs="Times New Roman"/>
                <w:noProof/>
              </w:rPr>
            </w:pPr>
            <w:r>
              <w:rPr>
                <w:noProof/>
              </w:rPr>
              <w:t xml:space="preserve">2.1.2.1.i. </w:t>
            </w:r>
          </w:p>
          <w:p w14:paraId="588F68A7" w14:textId="77777777" w:rsidR="008E6885" w:rsidRDefault="00EA24E7">
            <w:pPr>
              <w:pStyle w:val="P68B1DB1-Normal17"/>
              <w:spacing w:before="120" w:after="120" w:line="240" w:lineRule="auto"/>
              <w:contextualSpacing/>
              <w:rPr>
                <w:rFonts w:cs="Times New Roman"/>
                <w:noProof/>
              </w:rPr>
            </w:pPr>
            <w:r>
              <w:rPr>
                <w:noProof/>
              </w:rPr>
              <w:t xml:space="preserve">Plateformes, solutions ou systèmes centralisés </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10AEB985" w14:textId="77777777" w:rsidR="008E6885" w:rsidRDefault="00EA24E7">
            <w:pPr>
              <w:pStyle w:val="P68B1DB1-Normal19"/>
              <w:spacing w:before="120" w:after="120" w:line="240" w:lineRule="auto"/>
              <w:rPr>
                <w:rFonts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A0FD78B" w14:textId="54FEEE0C" w:rsidR="008E6885" w:rsidRDefault="00EA24E7">
            <w:pPr>
              <w:pStyle w:val="P68B1DB1-Normal19"/>
              <w:spacing w:before="120" w:after="120" w:line="240" w:lineRule="auto"/>
              <w:rPr>
                <w:rFonts w:cs="Times New Roman"/>
                <w:noProof/>
              </w:rPr>
            </w:pPr>
            <w:r>
              <w:rPr>
                <w:noProof/>
              </w:rPr>
              <w:t>Approbation des plans de développement pour la création, la transformation ou le déploiement de fonctions TIC centralisées et de services partagés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CCCBA1F"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50D342C" w14:textId="77777777" w:rsidR="008E6885" w:rsidRDefault="00EA24E7">
            <w:pPr>
              <w:pStyle w:val="P68B1DB1-Normal19"/>
              <w:spacing w:before="120" w:after="120" w:line="240" w:lineRule="auto"/>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69727AA" w14:textId="77777777" w:rsidR="008E6885" w:rsidRDefault="00EA24E7">
            <w:pPr>
              <w:pStyle w:val="P68B1DB1-Normal19"/>
              <w:spacing w:before="120"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FD9A0FD" w14:textId="77777777" w:rsidR="008E6885" w:rsidRDefault="00EA24E7">
            <w:pPr>
              <w:pStyle w:val="P68B1DB1-Normal19"/>
              <w:spacing w:before="120" w:after="120" w:line="240" w:lineRule="auto"/>
              <w:jc w:val="center"/>
              <w:rPr>
                <w:rFonts w:cs="Times New Roman"/>
                <w:noProof/>
              </w:rPr>
            </w:pPr>
            <w:r>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B01E9E4" w14:textId="77777777" w:rsidR="008E6885" w:rsidRDefault="00EA24E7">
            <w:pPr>
              <w:pStyle w:val="P68B1DB1-Normal19"/>
              <w:spacing w:before="120"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376C3D1" w14:textId="77777777" w:rsidR="008E6885" w:rsidRDefault="00EA24E7">
            <w:pPr>
              <w:pStyle w:val="P68B1DB1-Normal19"/>
              <w:spacing w:before="120" w:after="120" w:line="240" w:lineRule="auto"/>
              <w:jc w:val="center"/>
              <w:rPr>
                <w:rFonts w:cs="Times New Roman"/>
                <w:noProof/>
              </w:rPr>
            </w:pPr>
            <w:r>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E4309A9" w14:textId="77777777" w:rsidR="008E6885" w:rsidRDefault="00EA24E7">
            <w:pPr>
              <w:pStyle w:val="P68B1DB1-Normal19"/>
              <w:spacing w:before="120" w:after="120" w:line="240" w:lineRule="auto"/>
              <w:jc w:val="both"/>
              <w:rPr>
                <w:rFonts w:cs="Times New Roman"/>
                <w:noProof/>
              </w:rPr>
            </w:pPr>
            <w:r>
              <w:rPr>
                <w:noProof/>
              </w:rPr>
              <w:t xml:space="preserve">Avant d’investir dans le développement de fonctions centralisées ou de services partagés, l’institution responsable prépare et obtient l’approbation de la fonction TIC centralisée ou du plan de développement de services partagés (y compris en ce qui concerne le financement des services). </w:t>
            </w:r>
          </w:p>
        </w:tc>
      </w:tr>
      <w:tr w:rsidR="008E6885" w14:paraId="7FC607A4"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37067AB5" w14:textId="33FB68FB" w:rsidR="008E6885" w:rsidRDefault="00EA24E7">
            <w:pPr>
              <w:pStyle w:val="P68B1DB1-Normal19"/>
              <w:spacing w:before="120" w:after="120" w:line="240" w:lineRule="auto"/>
              <w:jc w:val="center"/>
              <w:rPr>
                <w:rFonts w:cs="Times New Roman"/>
                <w:noProof/>
              </w:rPr>
            </w:pPr>
            <w:r>
              <w:rPr>
                <w:noProof/>
              </w:rPr>
              <w:t>33</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0E9E3C16" w14:textId="77777777" w:rsidR="008E6885" w:rsidRDefault="00EA24E7">
            <w:pPr>
              <w:pStyle w:val="P68B1DB1-Normal17"/>
              <w:spacing w:before="120" w:after="120" w:line="240" w:lineRule="auto"/>
              <w:contextualSpacing/>
              <w:rPr>
                <w:rFonts w:cs="Times New Roman"/>
                <w:noProof/>
              </w:rPr>
            </w:pPr>
            <w:r>
              <w:rPr>
                <w:noProof/>
              </w:rPr>
              <w:t xml:space="preserve">2.1.2.1.i. </w:t>
            </w:r>
          </w:p>
          <w:p w14:paraId="6773D2A9" w14:textId="77777777" w:rsidR="008E6885" w:rsidRDefault="00EA24E7">
            <w:pPr>
              <w:pStyle w:val="P68B1DB1-Normal17"/>
              <w:spacing w:before="120" w:after="120" w:line="240" w:lineRule="auto"/>
              <w:contextualSpacing/>
              <w:rPr>
                <w:rFonts w:cs="Times New Roman"/>
                <w:bCs/>
                <w:noProof/>
              </w:rPr>
            </w:pPr>
            <w:r>
              <w:rPr>
                <w:noProof/>
              </w:rPr>
              <w:t xml:space="preserve">Plateformes, solutions ou systèmes centralisés </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61657FD9" w14:textId="77777777" w:rsidR="008E6885" w:rsidRDefault="00EA24E7">
            <w:pPr>
              <w:pStyle w:val="P68B1DB1-Normal19"/>
              <w:spacing w:before="120" w:after="120" w:line="240" w:lineRule="auto"/>
              <w:rPr>
                <w:rFonts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0DE69B9A" w14:textId="77777777" w:rsidR="008E6885" w:rsidRDefault="00EA24E7">
            <w:pPr>
              <w:pStyle w:val="P68B1DB1-Normal19"/>
              <w:spacing w:before="120" w:after="120" w:line="240" w:lineRule="auto"/>
              <w:rPr>
                <w:rFonts w:cs="Times New Roman"/>
                <w:noProof/>
              </w:rPr>
            </w:pPr>
            <w:r>
              <w:rPr>
                <w:noProof/>
              </w:rPr>
              <w:t xml:space="preserve">Approbation de descriptions harmonisées des activités de développement de solutions TIC centralisées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2EC0868"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40B7718" w14:textId="77777777" w:rsidR="008E6885" w:rsidRDefault="00EA24E7">
            <w:pPr>
              <w:pStyle w:val="P68B1DB1-Normal19"/>
              <w:spacing w:before="120" w:after="120" w:line="240" w:lineRule="auto"/>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6E48A1F" w14:textId="77777777" w:rsidR="008E6885" w:rsidRDefault="00EA24E7">
            <w:pPr>
              <w:pStyle w:val="P68B1DB1-Normal19"/>
              <w:spacing w:before="120"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89375CB" w14:textId="77777777" w:rsidR="008E6885" w:rsidRDefault="00EA24E7">
            <w:pPr>
              <w:pStyle w:val="P68B1DB1-Normal19"/>
              <w:spacing w:before="120" w:after="120" w:line="240" w:lineRule="auto"/>
              <w:jc w:val="center"/>
              <w:rPr>
                <w:rFonts w:cs="Times New Roman"/>
                <w:noProof/>
              </w:rPr>
            </w:pPr>
            <w:r>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C1ABEDE"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919277D" w14:textId="77777777" w:rsidR="008E6885" w:rsidRDefault="00EA24E7">
            <w:pPr>
              <w:pStyle w:val="P68B1DB1-Normal19"/>
              <w:spacing w:before="120" w:after="120" w:line="240" w:lineRule="auto"/>
              <w:jc w:val="center"/>
              <w:rPr>
                <w:rFonts w:cs="Times New Roman"/>
                <w:noProof/>
              </w:rPr>
            </w:pPr>
            <w:r>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750C9BE8" w14:textId="77777777" w:rsidR="008E6885" w:rsidRDefault="00EA24E7">
            <w:pPr>
              <w:pStyle w:val="P68B1DB1-Normal19"/>
              <w:spacing w:before="120" w:after="120" w:line="240" w:lineRule="auto"/>
              <w:jc w:val="both"/>
              <w:rPr>
                <w:rFonts w:cs="Times New Roman"/>
                <w:noProof/>
              </w:rPr>
            </w:pPr>
            <w:r>
              <w:rPr>
                <w:noProof/>
              </w:rPr>
              <w:t>Des descriptions harmonisées sont approuvées pour définir les activités de développement des TIC des plateformes et systèmes centralisés. Les solutions (systèmes) TIC sont élaborées conformément au cadre juridique adopté pour la gouvernance des TIC.</w:t>
            </w:r>
          </w:p>
        </w:tc>
      </w:tr>
      <w:tr w:rsidR="008E6885" w14:paraId="14B9D24B"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6B20223A" w14:textId="77777777" w:rsidR="008E6885" w:rsidRDefault="00EA24E7">
            <w:pPr>
              <w:pStyle w:val="P68B1DB1-Normal19"/>
              <w:spacing w:before="120" w:after="120" w:line="240" w:lineRule="auto"/>
              <w:jc w:val="center"/>
              <w:rPr>
                <w:rFonts w:cs="Times New Roman"/>
                <w:noProof/>
              </w:rPr>
            </w:pPr>
            <w:r>
              <w:rPr>
                <w:noProof/>
              </w:rPr>
              <w:t>34</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4ACDEA74" w14:textId="77777777" w:rsidR="008E6885" w:rsidRDefault="00EA24E7">
            <w:pPr>
              <w:pStyle w:val="P68B1DB1-Normal17"/>
              <w:spacing w:before="120" w:after="120" w:line="240" w:lineRule="auto"/>
              <w:contextualSpacing/>
              <w:rPr>
                <w:rFonts w:cs="Times New Roman"/>
                <w:noProof/>
              </w:rPr>
            </w:pPr>
            <w:r>
              <w:rPr>
                <w:noProof/>
              </w:rPr>
              <w:t xml:space="preserve">2.1.2.1.i. </w:t>
            </w:r>
          </w:p>
          <w:p w14:paraId="58A846D2" w14:textId="77777777" w:rsidR="008E6885" w:rsidRDefault="00EA24E7">
            <w:pPr>
              <w:pStyle w:val="P68B1DB1-Normal17"/>
              <w:spacing w:before="120" w:after="120" w:line="240" w:lineRule="auto"/>
              <w:contextualSpacing/>
              <w:rPr>
                <w:rFonts w:cs="Times New Roman"/>
                <w:noProof/>
              </w:rPr>
            </w:pPr>
            <w:r>
              <w:rPr>
                <w:noProof/>
              </w:rPr>
              <w:t xml:space="preserve">Plateformes, solutions ou systèmes centralisés </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4AB1C898" w14:textId="77777777" w:rsidR="008E6885" w:rsidRDefault="00EA24E7">
            <w:pPr>
              <w:pStyle w:val="P68B1DB1-Normal19"/>
              <w:spacing w:before="120" w:after="120" w:line="240" w:lineRule="auto"/>
              <w:rPr>
                <w:rFonts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2169550C" w14:textId="54BF3B46" w:rsidR="008E6885" w:rsidRDefault="00EA24E7">
            <w:pPr>
              <w:pStyle w:val="P68B1DB1-Normal19"/>
              <w:spacing w:before="120" w:after="120" w:line="240" w:lineRule="auto"/>
              <w:rPr>
                <w:rFonts w:cs="Times New Roman"/>
                <w:noProof/>
              </w:rPr>
            </w:pPr>
            <w:r>
              <w:rPr>
                <w:noProof/>
              </w:rPr>
              <w:t>Plateformes, solutions ou systèmes TIC centralisés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0F0816D"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5A22B29" w14:textId="77777777" w:rsidR="008E6885" w:rsidRDefault="00EA24E7">
            <w:pPr>
              <w:pStyle w:val="P68B1DB1-Normal19"/>
              <w:spacing w:before="120" w:after="120" w:line="240" w:lineRule="auto"/>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95E8156" w14:textId="77777777" w:rsidR="008E6885" w:rsidRDefault="00EA24E7">
            <w:pPr>
              <w:pStyle w:val="P68B1DB1-Normal19"/>
              <w:spacing w:before="120"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99497FB" w14:textId="77777777" w:rsidR="008E6885" w:rsidRDefault="00EA24E7">
            <w:pPr>
              <w:pStyle w:val="P68B1DB1-Normal19"/>
              <w:spacing w:before="120" w:after="120" w:line="240" w:lineRule="auto"/>
              <w:jc w:val="center"/>
              <w:rPr>
                <w:rFonts w:cs="Times New Roman"/>
                <w:noProof/>
              </w:rPr>
            </w:pPr>
            <w:r>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4976CEC"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3A7393"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D70A012" w14:textId="77777777" w:rsidR="008E6885" w:rsidRDefault="00EA24E7">
            <w:pPr>
              <w:pStyle w:val="P68B1DB1-Normal19"/>
              <w:spacing w:before="120" w:after="120" w:line="240" w:lineRule="auto"/>
              <w:jc w:val="both"/>
              <w:rPr>
                <w:rFonts w:cs="Times New Roman"/>
                <w:noProof/>
              </w:rPr>
            </w:pPr>
            <w:r>
              <w:rPr>
                <w:noProof/>
              </w:rPr>
              <w:t xml:space="preserve">Les plateformes, solutions ou systèmes TIC centralisés sont fournis, par exemple, pour soutenir les services publics, les fonctions administratives ou la gouvernance locale. </w:t>
            </w:r>
          </w:p>
        </w:tc>
      </w:tr>
      <w:tr w:rsidR="008E6885" w14:paraId="28055C5C"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37C5558C" w14:textId="77777777" w:rsidR="008E6885" w:rsidRDefault="00EA24E7">
            <w:pPr>
              <w:pStyle w:val="P68B1DB1-Normal19"/>
              <w:spacing w:before="120" w:after="120" w:line="240" w:lineRule="auto"/>
              <w:jc w:val="center"/>
              <w:rPr>
                <w:rFonts w:cs="Times New Roman"/>
                <w:noProof/>
              </w:rPr>
            </w:pPr>
            <w:r>
              <w:rPr>
                <w:noProof/>
              </w:rPr>
              <w:t>36</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86FAE95" w14:textId="77777777" w:rsidR="008E6885" w:rsidRDefault="00EA24E7">
            <w:pPr>
              <w:pStyle w:val="P68B1DB1-Normal17"/>
              <w:spacing w:before="120" w:after="120" w:line="240" w:lineRule="auto"/>
              <w:contextualSpacing/>
              <w:rPr>
                <w:rFonts w:cs="Times New Roman"/>
                <w:noProof/>
              </w:rPr>
            </w:pPr>
            <w:r>
              <w:rPr>
                <w:noProof/>
              </w:rPr>
              <w:t xml:space="preserve">2.1.2.2.i. </w:t>
            </w:r>
          </w:p>
          <w:p w14:paraId="5F8951FC" w14:textId="77777777" w:rsidR="008E6885" w:rsidRDefault="00EA24E7">
            <w:pPr>
              <w:pStyle w:val="P68B1DB1-Normal17"/>
              <w:spacing w:before="120" w:after="120" w:line="240" w:lineRule="auto"/>
              <w:contextualSpacing/>
              <w:rPr>
                <w:rFonts w:cs="Times New Roman"/>
                <w:noProof/>
              </w:rPr>
            </w:pPr>
            <w:r>
              <w:rPr>
                <w:noProof/>
              </w:rPr>
              <w:t xml:space="preserve">Services en nuage </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321B11CE" w14:textId="77777777" w:rsidR="008E6885" w:rsidRDefault="00EA24E7">
            <w:pPr>
              <w:pStyle w:val="P68B1DB1-Normal19"/>
              <w:spacing w:before="120" w:after="120" w:line="240" w:lineRule="auto"/>
              <w:rPr>
                <w:rFonts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5386DCD5" w14:textId="77777777" w:rsidR="008E6885" w:rsidRDefault="00EA24E7">
            <w:pPr>
              <w:pStyle w:val="P68B1DB1-Normal19"/>
              <w:spacing w:before="120" w:after="120" w:line="240" w:lineRule="auto"/>
              <w:rPr>
                <w:rFonts w:cs="Times New Roman"/>
                <w:noProof/>
              </w:rPr>
            </w:pPr>
            <w:r>
              <w:rPr>
                <w:noProof/>
              </w:rPr>
              <w:t>Services en nuage fournis aux autorités publiques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77D2BEC7"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AEDCB9B" w14:textId="77777777" w:rsidR="008E6885" w:rsidRDefault="00EA24E7">
            <w:pPr>
              <w:pStyle w:val="P68B1DB1-Normal19"/>
              <w:spacing w:before="120" w:after="120" w:line="240" w:lineRule="auto"/>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FA8E821" w14:textId="77777777" w:rsidR="008E6885" w:rsidRDefault="00EA24E7">
            <w:pPr>
              <w:pStyle w:val="P68B1DB1-Normal19"/>
              <w:spacing w:before="120" w:after="12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DDE0657" w14:textId="77777777" w:rsidR="008E6885" w:rsidRDefault="00EA24E7">
            <w:pPr>
              <w:pStyle w:val="P68B1DB1-Normal19"/>
              <w:spacing w:before="120" w:after="120" w:line="240" w:lineRule="auto"/>
              <w:jc w:val="center"/>
              <w:rPr>
                <w:rFonts w:cs="Times New Roman"/>
                <w:noProof/>
              </w:rPr>
            </w:pPr>
            <w:r>
              <w:rPr>
                <w:noProof/>
              </w:rPr>
              <w:t>6</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9A614F7"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37F2E02"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5114DA3E" w14:textId="77777777" w:rsidR="008E6885" w:rsidRDefault="00EA24E7">
            <w:pPr>
              <w:pStyle w:val="P68B1DB1-Normal19"/>
              <w:spacing w:before="120" w:after="120" w:line="240" w:lineRule="auto"/>
              <w:jc w:val="both"/>
              <w:rPr>
                <w:rFonts w:cs="Times New Roman"/>
                <w:noProof/>
              </w:rPr>
            </w:pPr>
            <w:r>
              <w:rPr>
                <w:noProof/>
              </w:rPr>
              <w:t>Les services en nuage sont fournis à six autorités publiques.</w:t>
            </w:r>
          </w:p>
        </w:tc>
      </w:tr>
      <w:tr w:rsidR="008E6885" w14:paraId="631DC0E0"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70B4F51C" w14:textId="77777777" w:rsidR="008E6885" w:rsidRDefault="00EA24E7">
            <w:pPr>
              <w:pStyle w:val="P68B1DB1-Normal19"/>
              <w:spacing w:before="120" w:after="120" w:line="240" w:lineRule="auto"/>
              <w:jc w:val="center"/>
              <w:rPr>
                <w:rFonts w:cs="Times New Roman"/>
                <w:noProof/>
              </w:rPr>
            </w:pPr>
            <w:r>
              <w:rPr>
                <w:noProof/>
              </w:rPr>
              <w:t>37</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92C1C25" w14:textId="77777777" w:rsidR="008E6885" w:rsidRDefault="00EA24E7">
            <w:pPr>
              <w:pStyle w:val="P68B1DB1-Normal17"/>
              <w:spacing w:before="120" w:after="120" w:line="240" w:lineRule="auto"/>
              <w:contextualSpacing/>
              <w:rPr>
                <w:rFonts w:cs="Times New Roman"/>
                <w:noProof/>
              </w:rPr>
            </w:pPr>
            <w:r>
              <w:rPr>
                <w:noProof/>
              </w:rPr>
              <w:t xml:space="preserve">2.1.3.r. </w:t>
            </w:r>
          </w:p>
          <w:p w14:paraId="5C40A3B6" w14:textId="77777777" w:rsidR="008E6885" w:rsidRDefault="00EA24E7">
            <w:pPr>
              <w:pStyle w:val="P68B1DB1-Normal17"/>
              <w:spacing w:before="120" w:after="120" w:line="240" w:lineRule="auto"/>
              <w:contextualSpacing/>
              <w:rPr>
                <w:rFonts w:cs="Times New Roman"/>
                <w:noProof/>
              </w:rPr>
            </w:pPr>
            <w:r>
              <w:rPr>
                <w:noProof/>
              </w:rPr>
              <w:t>Développement de l'économie nationale des données économiques et des services numériques</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36D56904"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342A8782" w14:textId="77777777" w:rsidR="008E6885" w:rsidRDefault="00EA24E7">
            <w:pPr>
              <w:pStyle w:val="P68B1DB1-Normal19"/>
              <w:spacing w:before="120" w:after="120" w:line="240" w:lineRule="auto"/>
              <w:rPr>
                <w:rFonts w:cs="Times New Roman"/>
                <w:noProof/>
              </w:rPr>
            </w:pPr>
            <w:r>
              <w:rPr>
                <w:noProof/>
              </w:rPr>
              <w:t>Entrée en vigueur du cadre juridique pour recevoir un soutien dans le domaine de la transformation de la gestion des données économiques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E9D63E3" w14:textId="77777777" w:rsidR="008E6885" w:rsidRDefault="00EA24E7">
            <w:pPr>
              <w:pStyle w:val="P68B1DB1-Normal19"/>
              <w:spacing w:before="120" w:after="120" w:line="240" w:lineRule="auto"/>
              <w:rPr>
                <w:rFonts w:cs="Times New Roman"/>
                <w:noProof/>
              </w:rPr>
            </w:pPr>
            <w:r>
              <w:rPr>
                <w:noProof/>
              </w:rPr>
              <w:t>Entrée en vigueur du cadre juridique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70DD740"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9079FA5"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4845E46"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5217B66"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087B4FA" w14:textId="77777777" w:rsidR="008E6885" w:rsidRDefault="00EA24E7">
            <w:pPr>
              <w:pStyle w:val="P68B1DB1-Normal19"/>
              <w:spacing w:before="120" w:after="120" w:line="240" w:lineRule="auto"/>
              <w:jc w:val="center"/>
              <w:rPr>
                <w:rFonts w:cs="Times New Roman"/>
                <w:noProof/>
              </w:rPr>
            </w:pPr>
            <w:r>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413681C9" w14:textId="77777777" w:rsidR="008E6885" w:rsidRDefault="00EA24E7">
            <w:pPr>
              <w:pStyle w:val="P68B1DB1-Normal19"/>
              <w:spacing w:before="120" w:after="120" w:line="240" w:lineRule="auto"/>
              <w:jc w:val="both"/>
              <w:rPr>
                <w:rFonts w:cs="Times New Roman"/>
                <w:noProof/>
              </w:rPr>
            </w:pPr>
            <w:r>
              <w:rPr>
                <w:noProof/>
              </w:rPr>
              <w:t>Entrée en vigueur du cadre juridique pour l’octroi d’un soutien dans le domaine de la transformation de la gestion des données économiques harmonisé par le cabinet des ministres.</w:t>
            </w:r>
          </w:p>
        </w:tc>
      </w:tr>
      <w:tr w:rsidR="008E6885" w14:paraId="0DB9DD11"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077D4ECF" w14:textId="77777777" w:rsidR="008E6885" w:rsidRDefault="00EA24E7">
            <w:pPr>
              <w:pStyle w:val="P68B1DB1-Normal19"/>
              <w:spacing w:before="120" w:after="120" w:line="240" w:lineRule="auto"/>
              <w:jc w:val="center"/>
              <w:rPr>
                <w:rFonts w:cs="Times New Roman"/>
                <w:noProof/>
              </w:rPr>
            </w:pPr>
            <w:r>
              <w:rPr>
                <w:noProof/>
              </w:rPr>
              <w:t>38</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D451138" w14:textId="77777777" w:rsidR="008E6885" w:rsidRDefault="00EA24E7">
            <w:pPr>
              <w:pStyle w:val="P68B1DB1-Normal17"/>
              <w:spacing w:before="120" w:after="120" w:line="240" w:lineRule="auto"/>
              <w:contextualSpacing/>
              <w:rPr>
                <w:rFonts w:cs="Times New Roman"/>
                <w:noProof/>
              </w:rPr>
            </w:pPr>
            <w:r>
              <w:rPr>
                <w:noProof/>
              </w:rPr>
              <w:t xml:space="preserve">2.1.3.r. </w:t>
            </w:r>
          </w:p>
          <w:p w14:paraId="0DB29020" w14:textId="77777777" w:rsidR="008E6885" w:rsidRDefault="00EA24E7">
            <w:pPr>
              <w:pStyle w:val="P68B1DB1-Normal17"/>
              <w:spacing w:before="120" w:after="120" w:line="240" w:lineRule="auto"/>
              <w:contextualSpacing/>
              <w:rPr>
                <w:rFonts w:cs="Times New Roman"/>
                <w:noProof/>
              </w:rPr>
            </w:pPr>
            <w:r>
              <w:rPr>
                <w:noProof/>
              </w:rPr>
              <w:t>Développement de l'économie nationale des données économiques et des services numériques</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164FDBFE"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0B753E0" w14:textId="77777777" w:rsidR="008E6885" w:rsidRDefault="00EA24E7">
            <w:pPr>
              <w:pStyle w:val="P68B1DB1-Normal19"/>
              <w:spacing w:before="120" w:after="120" w:line="240" w:lineRule="auto"/>
              <w:rPr>
                <w:rFonts w:cs="Times New Roman"/>
                <w:noProof/>
              </w:rPr>
            </w:pPr>
            <w:r>
              <w:rPr>
                <w:noProof/>
              </w:rPr>
              <w:t>Cadre juridique pour le fonctionnement de la plateforme nationale pour la circulation des données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4197F7B" w14:textId="77777777" w:rsidR="008E6885" w:rsidRDefault="00EA24E7">
            <w:pPr>
              <w:pStyle w:val="P68B1DB1-Normal19"/>
              <w:spacing w:before="120" w:after="120" w:line="240" w:lineRule="auto"/>
              <w:rPr>
                <w:rFonts w:cs="Times New Roman"/>
                <w:noProof/>
              </w:rPr>
            </w:pPr>
            <w:r>
              <w:rPr>
                <w:noProof/>
              </w:rPr>
              <w:t>Entrée en vigueur du cadre juridique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13C79FC"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8208C64"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3B6BBFC"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4567C5A"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4ED5F4F" w14:textId="77777777" w:rsidR="008E6885" w:rsidRDefault="00EA24E7">
            <w:pPr>
              <w:pStyle w:val="P68B1DB1-Normal19"/>
              <w:spacing w:before="120" w:after="120" w:line="240" w:lineRule="auto"/>
              <w:jc w:val="center"/>
              <w:rPr>
                <w:rFonts w:cs="Times New Roman"/>
                <w:noProof/>
              </w:rPr>
            </w:pPr>
            <w:r>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516E5900" w14:textId="77777777" w:rsidR="008E6885" w:rsidRDefault="00EA24E7">
            <w:pPr>
              <w:pStyle w:val="P68B1DB1-Normal19"/>
              <w:spacing w:before="120" w:after="120" w:line="240" w:lineRule="auto"/>
              <w:jc w:val="both"/>
              <w:rPr>
                <w:rFonts w:cs="Times New Roman"/>
                <w:noProof/>
              </w:rPr>
            </w:pPr>
            <w:r>
              <w:rPr>
                <w:noProof/>
              </w:rPr>
              <w:t>La réussite de la mise en œuvre de la réforme est assurée par l’entrée en vigueur du cadre juridique précisant les aspects suivants de la plateforme nationale:</w:t>
            </w:r>
          </w:p>
          <w:p w14:paraId="11594638" w14:textId="77777777" w:rsidR="008E6885" w:rsidRDefault="00EA24E7">
            <w:pPr>
              <w:pStyle w:val="P68B1DB1-Normal19"/>
              <w:numPr>
                <w:ilvl w:val="0"/>
                <w:numId w:val="3"/>
              </w:numPr>
              <w:spacing w:before="120" w:after="200" w:line="259" w:lineRule="auto"/>
              <w:ind w:left="357" w:hanging="357"/>
              <w:contextualSpacing/>
              <w:jc w:val="both"/>
              <w:rPr>
                <w:rFonts w:eastAsia="MS Mincho" w:cs="Times New Roman"/>
                <w:noProof/>
              </w:rPr>
            </w:pPr>
            <w:r>
              <w:rPr>
                <w:noProof/>
              </w:rPr>
              <w:t>la gestion du partage des données, y compris le processus d’échange de données au sein de la plateforme centrale d’échange de données;</w:t>
            </w:r>
          </w:p>
          <w:p w14:paraId="28E7976E" w14:textId="77777777" w:rsidR="008E6885" w:rsidRDefault="00EA24E7">
            <w:pPr>
              <w:pStyle w:val="P68B1DB1-Normal19"/>
              <w:numPr>
                <w:ilvl w:val="0"/>
                <w:numId w:val="3"/>
              </w:numPr>
              <w:spacing w:before="120" w:after="200" w:line="259" w:lineRule="auto"/>
              <w:ind w:left="357" w:hanging="357"/>
              <w:contextualSpacing/>
              <w:jc w:val="both"/>
              <w:rPr>
                <w:rFonts w:eastAsia="MS Mincho" w:cs="Times New Roman"/>
                <w:noProof/>
              </w:rPr>
            </w:pPr>
            <w:r>
              <w:rPr>
                <w:noProof/>
              </w:rPr>
              <w:t>les droits et obligations des établissements participants en ce qui concerne le partage et la circulation des données au sein de la plateforme centrale d’échange de données;</w:t>
            </w:r>
          </w:p>
          <w:p w14:paraId="57A91C91" w14:textId="77777777" w:rsidR="008E6885" w:rsidRDefault="00EA24E7">
            <w:pPr>
              <w:pStyle w:val="P68B1DB1-Normal19"/>
              <w:numPr>
                <w:ilvl w:val="0"/>
                <w:numId w:val="3"/>
              </w:numPr>
              <w:spacing w:before="120" w:after="200" w:line="259" w:lineRule="auto"/>
              <w:ind w:left="357" w:hanging="357"/>
              <w:contextualSpacing/>
              <w:jc w:val="both"/>
              <w:rPr>
                <w:rFonts w:eastAsia="MS Mincho" w:cs="Times New Roman"/>
                <w:noProof/>
              </w:rPr>
            </w:pPr>
            <w:r>
              <w:rPr>
                <w:noProof/>
              </w:rPr>
              <w:t>traitement uniforme et facilité des données à caractère personnel au sein de la plateforme centrale d’échange de données.</w:t>
            </w:r>
          </w:p>
        </w:tc>
      </w:tr>
      <w:tr w:rsidR="008E6885" w14:paraId="203DE131"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2E62885A" w14:textId="77777777" w:rsidR="008E6885" w:rsidRDefault="00EA24E7">
            <w:pPr>
              <w:pStyle w:val="P68B1DB1-Normal19"/>
              <w:spacing w:before="120" w:after="120" w:line="240" w:lineRule="auto"/>
              <w:jc w:val="center"/>
              <w:rPr>
                <w:rFonts w:cs="Times New Roman"/>
                <w:noProof/>
              </w:rPr>
            </w:pPr>
            <w:r>
              <w:rPr>
                <w:noProof/>
              </w:rPr>
              <w:t>39</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1515C0DC" w14:textId="77777777" w:rsidR="008E6885" w:rsidRDefault="00EA24E7">
            <w:pPr>
              <w:pStyle w:val="P68B1DB1-Normal17"/>
              <w:spacing w:before="120" w:after="120" w:line="240" w:lineRule="auto"/>
              <w:contextualSpacing/>
              <w:rPr>
                <w:rFonts w:cs="Times New Roman"/>
                <w:bCs/>
                <w:noProof/>
              </w:rPr>
            </w:pPr>
            <w:r>
              <w:rPr>
                <w:noProof/>
              </w:rPr>
              <w:t xml:space="preserve">2.1.3.1.i. </w:t>
            </w:r>
          </w:p>
          <w:p w14:paraId="7E947B6E" w14:textId="77777777" w:rsidR="008E6885" w:rsidRDefault="00EA24E7">
            <w:pPr>
              <w:pStyle w:val="P68B1DB1-Normal17"/>
              <w:spacing w:before="120" w:after="120" w:line="240" w:lineRule="auto"/>
              <w:contextualSpacing/>
              <w:rPr>
                <w:rFonts w:cs="Times New Roman"/>
                <w:noProof/>
              </w:rPr>
            </w:pPr>
            <w:r>
              <w:rPr>
                <w:noProof/>
              </w:rPr>
              <w:t>Disponibilité, partage et analyse des données</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21501E0E" w14:textId="77777777" w:rsidR="008E6885" w:rsidRDefault="00EA24E7">
            <w:pPr>
              <w:pStyle w:val="P68B1DB1-Normal19"/>
              <w:spacing w:before="120" w:after="120" w:line="240" w:lineRule="auto"/>
              <w:rPr>
                <w:rFonts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99DB290" w14:textId="77777777" w:rsidR="008E6885" w:rsidRDefault="00EA24E7">
            <w:pPr>
              <w:pStyle w:val="P68B1DB1-Normal19"/>
              <w:spacing w:before="120" w:after="120" w:line="240" w:lineRule="auto"/>
              <w:rPr>
                <w:rFonts w:cs="Times New Roman"/>
                <w:noProof/>
                <w:highlight w:val="yellow"/>
              </w:rPr>
            </w:pPr>
            <w:r>
              <w:rPr>
                <w:noProof/>
              </w:rPr>
              <w:t xml:space="preserve">Disponibilité des ensembles de données sur les plateformes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1D80FFC"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8EA0FEF" w14:textId="77777777" w:rsidR="008E6885" w:rsidRDefault="00EA24E7">
            <w:pPr>
              <w:pStyle w:val="P68B1DB1-Normal19"/>
              <w:spacing w:before="120" w:after="120" w:line="240" w:lineRule="auto"/>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6723869" w14:textId="77777777" w:rsidR="008E6885" w:rsidRDefault="00EA24E7">
            <w:pPr>
              <w:pStyle w:val="P68B1DB1-Normal19"/>
              <w:spacing w:before="120"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6EB0643" w14:textId="77777777" w:rsidR="008E6885" w:rsidRDefault="00EA24E7">
            <w:pPr>
              <w:pStyle w:val="P68B1DB1-Normal19"/>
              <w:spacing w:before="120" w:after="120" w:line="240" w:lineRule="auto"/>
              <w:jc w:val="center"/>
              <w:rPr>
                <w:rFonts w:cs="Times New Roman"/>
                <w:noProof/>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15C0464"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221582E"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440AD1B" w14:textId="77777777" w:rsidR="008E6885" w:rsidRDefault="00EA24E7">
            <w:pPr>
              <w:pStyle w:val="P68B1DB1-Normal19"/>
              <w:spacing w:before="120" w:after="120" w:line="240" w:lineRule="auto"/>
              <w:jc w:val="both"/>
              <w:rPr>
                <w:rFonts w:cs="Times New Roman"/>
                <w:noProof/>
              </w:rPr>
            </w:pPr>
            <w:r>
              <w:rPr>
                <w:noProof/>
              </w:rPr>
              <w:t>Dix ensembles de données de l’administration publique sont mis à disposition sur des plateformes, par exemple dans les domaines des entreprises, de la science, de l’environnement, des finances, des marchés publics, des soins de santé, de la médecine vétérinaire et de l’agriculture.</w:t>
            </w:r>
          </w:p>
        </w:tc>
      </w:tr>
      <w:tr w:rsidR="008E6885" w14:paraId="6E368E28"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00F4DC5D" w14:textId="77777777" w:rsidR="008E6885" w:rsidRDefault="00EA24E7">
            <w:pPr>
              <w:pStyle w:val="P68B1DB1-Normal19"/>
              <w:spacing w:before="120" w:after="120" w:line="240" w:lineRule="auto"/>
              <w:jc w:val="center"/>
              <w:rPr>
                <w:rFonts w:cs="Times New Roman"/>
                <w:noProof/>
              </w:rPr>
            </w:pPr>
            <w:r>
              <w:rPr>
                <w:noProof/>
              </w:rPr>
              <w:t>40</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4CB67ACE" w14:textId="77777777" w:rsidR="008E6885" w:rsidRDefault="00EA24E7">
            <w:pPr>
              <w:pStyle w:val="P68B1DB1-Normal17"/>
              <w:spacing w:before="120" w:after="120" w:line="240" w:lineRule="auto"/>
              <w:contextualSpacing/>
              <w:rPr>
                <w:rFonts w:cs="Times New Roman"/>
                <w:noProof/>
              </w:rPr>
            </w:pPr>
            <w:r>
              <w:rPr>
                <w:noProof/>
              </w:rPr>
              <w:t xml:space="preserve">2.2.1.r. </w:t>
            </w:r>
          </w:p>
          <w:p w14:paraId="0F921252" w14:textId="77777777" w:rsidR="008E6885" w:rsidRDefault="00EA24E7">
            <w:pPr>
              <w:pStyle w:val="P68B1DB1-Normal17"/>
              <w:spacing w:before="120" w:after="120" w:line="240" w:lineRule="auto"/>
              <w:contextualSpacing/>
              <w:rPr>
                <w:rFonts w:cs="Times New Roman"/>
                <w:noProof/>
              </w:rPr>
            </w:pPr>
            <w:r>
              <w:rPr>
                <w:noProof/>
              </w:rPr>
              <w:t>Créer le cycle complet de soutien à la transformation numérique des entreprises avec une couverture régionale</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71D59ECA"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2B39A4C5" w14:textId="4751D75A" w:rsidR="008E6885" w:rsidRDefault="00EA24E7">
            <w:pPr>
              <w:pStyle w:val="P68B1DB1-Normal19"/>
              <w:spacing w:before="120" w:after="120" w:line="240" w:lineRule="auto"/>
              <w:rPr>
                <w:rFonts w:cs="Times New Roman"/>
                <w:noProof/>
              </w:rPr>
            </w:pPr>
            <w:r>
              <w:rPr>
                <w:noProof/>
              </w:rPr>
              <w:t>Le pôle européen d’innovation numérique (EDIH) a été créé</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D72D6EE" w14:textId="77777777" w:rsidR="008E6885" w:rsidRDefault="00EA24E7">
            <w:pPr>
              <w:pStyle w:val="P68B1DB1-Normal19"/>
              <w:spacing w:before="120" w:after="120" w:line="240" w:lineRule="auto"/>
              <w:rPr>
                <w:rFonts w:cs="Times New Roman"/>
                <w:noProof/>
              </w:rPr>
            </w:pPr>
            <w:r>
              <w:rPr>
                <w:noProof/>
              </w:rPr>
              <w:t>Le pôle européen d’innovation numérique (EDIH) a été créé</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9AC5F99"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4DC4315"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1062F95"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55C2E63"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C6C5BD7" w14:textId="77777777" w:rsidR="008E6885" w:rsidRDefault="00EA24E7">
            <w:pPr>
              <w:pStyle w:val="P68B1DB1-Normal19"/>
              <w:spacing w:before="120" w:after="120" w:line="240" w:lineRule="auto"/>
              <w:jc w:val="center"/>
              <w:rPr>
                <w:rFonts w:cs="Times New Roman"/>
                <w:noProof/>
              </w:rPr>
            </w:pPr>
            <w:r>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540C12B5" w14:textId="77777777" w:rsidR="008E6885" w:rsidRDefault="00EA24E7">
            <w:pPr>
              <w:pStyle w:val="P68B1DB1-Normal19"/>
              <w:spacing w:before="120" w:after="120" w:line="240" w:lineRule="auto"/>
              <w:jc w:val="both"/>
              <w:rPr>
                <w:rFonts w:cs="Times New Roman"/>
                <w:noProof/>
              </w:rPr>
            </w:pPr>
            <w:r>
              <w:rPr>
                <w:noProof/>
              </w:rPr>
              <w:t>L’EDIH fonctionne conformément aux priorités du programme pour une Europe numérique et fait partie du réseau d’un pôle européen commun d’innovation numérique. Il sert de guichet unique pour la coordination de la transformation numérique des entreprises. Il vise à garantir une approche commune et l’échange d’informations entre les centres d’affaires régionaux, le test de maturité numérique et le soutien de l’État.</w:t>
            </w:r>
          </w:p>
        </w:tc>
      </w:tr>
      <w:tr w:rsidR="008E6885" w14:paraId="6C5FB209"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3DF87DA8" w14:textId="77777777" w:rsidR="008E6885" w:rsidRDefault="00EA24E7">
            <w:pPr>
              <w:pStyle w:val="P68B1DB1-Normal19"/>
              <w:spacing w:before="120" w:after="120" w:line="240" w:lineRule="auto"/>
              <w:jc w:val="center"/>
              <w:rPr>
                <w:rFonts w:cs="Times New Roman"/>
                <w:noProof/>
              </w:rPr>
            </w:pPr>
            <w:r>
              <w:rPr>
                <w:noProof/>
              </w:rPr>
              <w:t>41</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00F969E1" w14:textId="77777777" w:rsidR="008E6885" w:rsidRDefault="00EA24E7">
            <w:pPr>
              <w:pStyle w:val="P68B1DB1-Normal17"/>
              <w:spacing w:before="120" w:after="120" w:line="240" w:lineRule="auto"/>
              <w:contextualSpacing/>
              <w:rPr>
                <w:rFonts w:cs="Times New Roman"/>
                <w:noProof/>
              </w:rPr>
            </w:pPr>
            <w:r>
              <w:rPr>
                <w:noProof/>
              </w:rPr>
              <w:t xml:space="preserve">2.2.1.r. </w:t>
            </w:r>
          </w:p>
          <w:p w14:paraId="7B5F9A07" w14:textId="77777777" w:rsidR="008E6885" w:rsidRDefault="00EA24E7">
            <w:pPr>
              <w:pStyle w:val="P68B1DB1-Normal17"/>
              <w:spacing w:before="120" w:after="120" w:line="240" w:lineRule="auto"/>
              <w:contextualSpacing/>
              <w:rPr>
                <w:rFonts w:cs="Times New Roman"/>
                <w:noProof/>
              </w:rPr>
            </w:pPr>
            <w:r>
              <w:rPr>
                <w:noProof/>
              </w:rPr>
              <w:t>Créer le cycle complet de soutien à la transformation numérique des entreprises avec une couverture régionale</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1DA4EEB7"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5B669E59" w14:textId="77777777" w:rsidR="008E6885" w:rsidRDefault="00EA24E7">
            <w:pPr>
              <w:pStyle w:val="P68B1DB1-Normal19"/>
              <w:spacing w:before="120" w:after="120" w:line="240" w:lineRule="auto"/>
              <w:rPr>
                <w:rFonts w:cs="Times New Roman"/>
                <w:noProof/>
              </w:rPr>
            </w:pPr>
            <w:r>
              <w:rPr>
                <w:noProof/>
              </w:rPr>
              <w:t>Les centres régionaux de soutien aux entreprises fournissent de nouvelles fonctions de soutien à la transformation numérique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0AD59B32" w14:textId="77777777" w:rsidR="008E6885" w:rsidRDefault="00EA24E7">
            <w:pPr>
              <w:pStyle w:val="P68B1DB1-Normal19"/>
              <w:spacing w:before="120" w:after="120" w:line="240" w:lineRule="auto"/>
              <w:rPr>
                <w:rFonts w:cs="Times New Roman"/>
                <w:noProof/>
              </w:rPr>
            </w:pPr>
            <w:r>
              <w:rPr>
                <w:noProof/>
              </w:rPr>
              <w:t xml:space="preserve">Les centres régionaux de soutien aux entreprises fournissent des fonctions de soutien à la transformation numérique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FAF7EFE"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AA7A818"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8880C"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FB7FA58"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00BCE78" w14:textId="77777777" w:rsidR="008E6885" w:rsidRDefault="00EA24E7">
            <w:pPr>
              <w:pStyle w:val="P68B1DB1-Normal19"/>
              <w:spacing w:before="120" w:after="120" w:line="240" w:lineRule="auto"/>
              <w:jc w:val="center"/>
              <w:rPr>
                <w:rFonts w:cs="Times New Roman"/>
                <w:noProof/>
              </w:rPr>
            </w:pPr>
            <w:r>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0FFCBCE5" w14:textId="77777777" w:rsidR="008E6885" w:rsidRDefault="00EA24E7">
            <w:pPr>
              <w:pStyle w:val="P68B1DB1-Normal19"/>
              <w:spacing w:before="120" w:after="120" w:line="240" w:lineRule="auto"/>
              <w:jc w:val="both"/>
              <w:rPr>
                <w:rFonts w:cs="Times New Roman"/>
                <w:noProof/>
              </w:rPr>
            </w:pPr>
            <w:r>
              <w:rPr>
                <w:noProof/>
              </w:rPr>
              <w:t>Les centres régionaux d’appui aux entreprises ont commencé à fournir les nouvelles fonctions d’appui à la transformation numérique suivantes:</w:t>
            </w:r>
          </w:p>
          <w:p w14:paraId="6DE754DC" w14:textId="77777777" w:rsidR="008E6885" w:rsidRDefault="00EA24E7">
            <w:pPr>
              <w:pStyle w:val="P68B1DB1-Normal19"/>
              <w:numPr>
                <w:ilvl w:val="0"/>
                <w:numId w:val="4"/>
              </w:numPr>
              <w:spacing w:before="120" w:after="200" w:line="259" w:lineRule="auto"/>
              <w:ind w:left="357" w:hanging="357"/>
              <w:contextualSpacing/>
              <w:jc w:val="both"/>
              <w:rPr>
                <w:rFonts w:eastAsia="MS Mincho" w:cs="Times New Roman"/>
                <w:noProof/>
              </w:rPr>
            </w:pPr>
            <w:r>
              <w:rPr>
                <w:noProof/>
              </w:rPr>
              <w:t>tests de maturité numérique dans les régions;</w:t>
            </w:r>
          </w:p>
          <w:p w14:paraId="5EAF7A8D" w14:textId="77777777" w:rsidR="008E6885" w:rsidRDefault="00EA24E7">
            <w:pPr>
              <w:pStyle w:val="P68B1DB1-Normal19"/>
              <w:numPr>
                <w:ilvl w:val="0"/>
                <w:numId w:val="4"/>
              </w:numPr>
              <w:spacing w:before="120" w:after="200" w:line="259" w:lineRule="auto"/>
              <w:ind w:left="357" w:hanging="357"/>
              <w:contextualSpacing/>
              <w:jc w:val="both"/>
              <w:rPr>
                <w:rFonts w:eastAsia="MS Mincho" w:cs="Times New Roman"/>
                <w:noProof/>
              </w:rPr>
            </w:pPr>
            <w:r>
              <w:rPr>
                <w:noProof/>
              </w:rPr>
              <w:t>Accès aux essais et au pilotage;</w:t>
            </w:r>
          </w:p>
          <w:p w14:paraId="0CFD4C2A" w14:textId="77777777" w:rsidR="008E6885" w:rsidRDefault="00EA24E7">
            <w:pPr>
              <w:pStyle w:val="P68B1DB1-Normal19"/>
              <w:numPr>
                <w:ilvl w:val="0"/>
                <w:numId w:val="4"/>
              </w:numPr>
              <w:spacing w:before="120" w:after="200" w:line="259" w:lineRule="auto"/>
              <w:ind w:left="357" w:hanging="357"/>
              <w:contextualSpacing/>
              <w:jc w:val="both"/>
              <w:rPr>
                <w:rFonts w:eastAsia="MS Mincho" w:cs="Times New Roman"/>
                <w:noProof/>
              </w:rPr>
            </w:pPr>
            <w:r>
              <w:rPr>
                <w:noProof/>
              </w:rPr>
              <w:t>Mentorat et formation aux compétences numériques.</w:t>
            </w:r>
          </w:p>
        </w:tc>
      </w:tr>
      <w:tr w:rsidR="008E6885" w14:paraId="45020C14"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2E3DE7C0" w14:textId="77777777" w:rsidR="008E6885" w:rsidRDefault="00EA24E7">
            <w:pPr>
              <w:pStyle w:val="P68B1DB1-Normal19"/>
              <w:spacing w:before="120" w:after="120" w:line="240" w:lineRule="auto"/>
              <w:jc w:val="center"/>
              <w:rPr>
                <w:rFonts w:cs="Times New Roman"/>
                <w:noProof/>
              </w:rPr>
            </w:pPr>
            <w:r>
              <w:rPr>
                <w:noProof/>
              </w:rPr>
              <w:t>42</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17F07A8F" w14:textId="77777777" w:rsidR="008E6885" w:rsidRDefault="00EA24E7">
            <w:pPr>
              <w:pStyle w:val="P68B1DB1-Normal17"/>
              <w:spacing w:before="120" w:after="120" w:line="240" w:lineRule="auto"/>
              <w:contextualSpacing/>
              <w:rPr>
                <w:rFonts w:cs="Times New Roman"/>
                <w:noProof/>
              </w:rPr>
            </w:pPr>
            <w:r>
              <w:rPr>
                <w:noProof/>
              </w:rPr>
              <w:t xml:space="preserve">2.2.1.r. </w:t>
            </w:r>
          </w:p>
          <w:p w14:paraId="7F9A7033" w14:textId="77777777" w:rsidR="008E6885" w:rsidRDefault="00EA24E7">
            <w:pPr>
              <w:pStyle w:val="P68B1DB1-Normal17"/>
              <w:spacing w:before="120" w:after="120" w:line="240" w:lineRule="auto"/>
              <w:contextualSpacing/>
              <w:rPr>
                <w:rFonts w:cs="Times New Roman"/>
                <w:noProof/>
              </w:rPr>
            </w:pPr>
            <w:r>
              <w:rPr>
                <w:noProof/>
              </w:rPr>
              <w:t>Créer le cycle complet de soutien à la transformation numérique des entreprises avec une couverture régionale</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62CF53D4"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46CFDD3B" w14:textId="77777777" w:rsidR="008E6885" w:rsidRDefault="00EA24E7">
            <w:pPr>
              <w:pStyle w:val="P68B1DB1-Normal19"/>
              <w:spacing w:before="120" w:after="120" w:line="240" w:lineRule="auto"/>
              <w:rPr>
                <w:rFonts w:cs="Times New Roman"/>
                <w:noProof/>
              </w:rPr>
            </w:pPr>
            <w:r>
              <w:rPr>
                <w:noProof/>
              </w:rPr>
              <w:t>Mise en place d’un système de test de maturité numérique pour les entités afin d’identifier les actions nécessaires aux entités et le soutien de l’État</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2F670BE2" w14:textId="77777777" w:rsidR="008E6885" w:rsidRDefault="00EA24E7">
            <w:pPr>
              <w:pStyle w:val="P68B1DB1-Normal19"/>
              <w:spacing w:before="120" w:after="120" w:line="240" w:lineRule="auto"/>
              <w:rPr>
                <w:rFonts w:cs="Times New Roman"/>
                <w:noProof/>
              </w:rPr>
            </w:pPr>
            <w:r>
              <w:rPr>
                <w:noProof/>
              </w:rPr>
              <w:t>Système de test de maturité numérique en place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F3FA2B6"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751F023"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D766E9E"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37E7F8F"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6F07AD3" w14:textId="77777777" w:rsidR="008E6885" w:rsidRDefault="00EA24E7">
            <w:pPr>
              <w:pStyle w:val="P68B1DB1-Normal19"/>
              <w:spacing w:before="120" w:after="120" w:line="240" w:lineRule="auto"/>
              <w:jc w:val="center"/>
              <w:rPr>
                <w:rFonts w:cs="Times New Roman"/>
                <w:noProof/>
              </w:rPr>
            </w:pPr>
            <w:r>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42A4BD61" w14:textId="77777777" w:rsidR="008E6885" w:rsidRDefault="00EA24E7">
            <w:pPr>
              <w:pStyle w:val="P68B1DB1-Normal19"/>
              <w:spacing w:before="120" w:after="120" w:line="240" w:lineRule="auto"/>
              <w:jc w:val="both"/>
              <w:rPr>
                <w:rFonts w:cs="Times New Roman"/>
                <w:noProof/>
              </w:rPr>
            </w:pPr>
            <w:r>
              <w:rPr>
                <w:noProof/>
              </w:rPr>
              <w:t xml:space="preserve">Un système de test de maturité numérique pour les entités est mis en place. Le test de maturité numérique est un outil numérique disponible sur le site web de l’EDIH, qui évalue la maturité numérique d’une entité sous différents aspects et peut être rempli par l’entité de manière indépendante ou avec l’aide d’un consultant. </w:t>
            </w:r>
          </w:p>
        </w:tc>
      </w:tr>
      <w:tr w:rsidR="008E6885" w14:paraId="467C0709"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7A962CEF" w14:textId="77777777" w:rsidR="008E6885" w:rsidRDefault="00EA24E7">
            <w:pPr>
              <w:pStyle w:val="P68B1DB1-Normal19"/>
              <w:spacing w:before="120" w:after="120" w:line="240" w:lineRule="auto"/>
              <w:jc w:val="center"/>
              <w:rPr>
                <w:rFonts w:cs="Times New Roman"/>
                <w:noProof/>
              </w:rPr>
            </w:pPr>
            <w:r>
              <w:rPr>
                <w:noProof/>
              </w:rPr>
              <w:t>44</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E46CC93" w14:textId="77777777" w:rsidR="008E6885" w:rsidRDefault="00EA24E7">
            <w:pPr>
              <w:pStyle w:val="P68B1DB1-Normal17"/>
              <w:spacing w:before="120" w:after="120" w:line="240" w:lineRule="auto"/>
              <w:contextualSpacing/>
              <w:rPr>
                <w:rFonts w:cs="Times New Roman"/>
                <w:noProof/>
              </w:rPr>
            </w:pPr>
            <w:r>
              <w:rPr>
                <w:noProof/>
              </w:rPr>
              <w:t xml:space="preserve">2.2.1.1.i. </w:t>
            </w:r>
          </w:p>
          <w:p w14:paraId="2D231811" w14:textId="77777777" w:rsidR="008E6885" w:rsidRDefault="00EA24E7">
            <w:pPr>
              <w:pStyle w:val="P68B1DB1-Normal17"/>
              <w:spacing w:before="120" w:after="120" w:line="240" w:lineRule="auto"/>
              <w:contextualSpacing/>
              <w:rPr>
                <w:rFonts w:cs="Times New Roman"/>
                <w:noProof/>
              </w:rPr>
            </w:pPr>
            <w:r>
              <w:rPr>
                <w:noProof/>
              </w:rPr>
              <w:t xml:space="preserve">Soutien à la mise en place de pôles d’innovation numérique et de points de contact régionaux </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365F16F9" w14:textId="77777777" w:rsidR="008E6885" w:rsidRDefault="00EA24E7">
            <w:pPr>
              <w:pStyle w:val="P68B1DB1-Normal19"/>
              <w:spacing w:before="120" w:after="120" w:line="240" w:lineRule="auto"/>
              <w:rPr>
                <w:rFonts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79011D47" w14:textId="77777777" w:rsidR="008E6885" w:rsidRDefault="00EA24E7">
            <w:pPr>
              <w:pStyle w:val="P68B1DB1-Normal19"/>
              <w:spacing w:before="120" w:after="120" w:line="240" w:lineRule="auto"/>
              <w:rPr>
                <w:rFonts w:cs="Times New Roman"/>
                <w:noProof/>
              </w:rPr>
            </w:pPr>
            <w:r>
              <w:rPr>
                <w:noProof/>
              </w:rPr>
              <w:t>Feuilles de route pour la transformation numérique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ACD304B"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CC27EB1" w14:textId="77777777" w:rsidR="008E6885" w:rsidRDefault="00EA24E7">
            <w:pPr>
              <w:pStyle w:val="P68B1DB1-Normal19"/>
              <w:spacing w:before="120" w:after="120" w:line="240" w:lineRule="auto"/>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C833725" w14:textId="77777777" w:rsidR="008E6885" w:rsidRDefault="00EA24E7">
            <w:pPr>
              <w:pStyle w:val="P68B1DB1-Normal19"/>
              <w:spacing w:before="120"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E7878B" w14:textId="77777777" w:rsidR="008E6885" w:rsidRDefault="00EA24E7">
            <w:pPr>
              <w:pStyle w:val="P68B1DB1-Normal19"/>
              <w:spacing w:before="120" w:after="120" w:line="240" w:lineRule="auto"/>
              <w:jc w:val="center"/>
              <w:rPr>
                <w:rFonts w:cs="Times New Roman"/>
                <w:noProof/>
              </w:rPr>
            </w:pPr>
            <w:r>
              <w:rPr>
                <w:noProof/>
              </w:rPr>
              <w:t>2 000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D47B823"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36FEBFC"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17BCF126" w14:textId="77777777" w:rsidR="008E6885" w:rsidRDefault="00EA24E7">
            <w:pPr>
              <w:pStyle w:val="P68B1DB1-Normal19"/>
              <w:spacing w:before="120" w:after="120" w:line="240" w:lineRule="auto"/>
              <w:jc w:val="both"/>
              <w:rPr>
                <w:rFonts w:cs="Times New Roman"/>
                <w:noProof/>
              </w:rPr>
            </w:pPr>
            <w:r>
              <w:rPr>
                <w:noProof/>
              </w:rPr>
              <w:t>Nombre de feuilles de route pour la transformation numérique délivrées aux entités par les pôles européens d’innovation numérique (EDIH).</w:t>
            </w:r>
          </w:p>
        </w:tc>
      </w:tr>
      <w:tr w:rsidR="008E6885" w14:paraId="1945620B" w14:textId="77777777" w:rsidTr="00584A13">
        <w:trPr>
          <w:trHeight w:val="300"/>
        </w:trPr>
        <w:tc>
          <w:tcPr>
            <w:tcW w:w="545" w:type="dxa"/>
            <w:tcBorders>
              <w:top w:val="single" w:sz="4" w:space="0" w:color="auto"/>
              <w:left w:val="single" w:sz="4" w:space="0" w:color="auto"/>
              <w:bottom w:val="single" w:sz="4" w:space="0" w:color="auto"/>
              <w:right w:val="single" w:sz="4" w:space="0" w:color="auto"/>
            </w:tcBorders>
            <w:shd w:val="clear" w:color="auto" w:fill="C6EFCE"/>
          </w:tcPr>
          <w:p w14:paraId="1F26C202" w14:textId="77777777" w:rsidR="008E6885" w:rsidRDefault="00EA24E7">
            <w:pPr>
              <w:pStyle w:val="P68B1DB1-Normal19"/>
              <w:spacing w:before="120" w:after="120" w:line="240" w:lineRule="auto"/>
              <w:jc w:val="center"/>
              <w:rPr>
                <w:rFonts w:cs="Times New Roman"/>
                <w:noProof/>
              </w:rPr>
            </w:pPr>
            <w:r>
              <w:rPr>
                <w:noProof/>
              </w:rPr>
              <w:t>44 bis</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CED831F" w14:textId="77777777" w:rsidR="008E6885" w:rsidRDefault="00EA24E7">
            <w:pPr>
              <w:pStyle w:val="P68B1DB1-Normal17"/>
              <w:spacing w:before="120" w:after="120" w:line="240" w:lineRule="auto"/>
              <w:contextualSpacing/>
              <w:rPr>
                <w:rFonts w:eastAsia="Times New Roman" w:cs="Times New Roman"/>
                <w:bCs/>
                <w:noProof/>
              </w:rPr>
            </w:pPr>
            <w:r>
              <w:rPr>
                <w:noProof/>
              </w:rPr>
              <w:t xml:space="preserve">2.2.1.1.i. </w:t>
            </w:r>
          </w:p>
          <w:p w14:paraId="2ECBFF2D" w14:textId="77777777" w:rsidR="008E6885" w:rsidRDefault="00EA24E7">
            <w:pPr>
              <w:pStyle w:val="P68B1DB1-Normal17"/>
              <w:spacing w:before="120" w:after="120" w:line="240" w:lineRule="auto"/>
              <w:contextualSpacing/>
              <w:rPr>
                <w:rFonts w:eastAsia="Times New Roman" w:cs="Times New Roman"/>
                <w:bCs/>
                <w:noProof/>
              </w:rPr>
            </w:pPr>
            <w:r>
              <w:rPr>
                <w:noProof/>
              </w:rPr>
              <w:t>Soutien à la mise en place de pôles d’innovation numérique et de points de contact régionaux</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63091CB0"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6F9E86BE" w14:textId="77777777" w:rsidR="008E6885" w:rsidRDefault="00EA24E7">
            <w:pPr>
              <w:pStyle w:val="P68B1DB1-Normal19"/>
              <w:spacing w:before="120" w:after="120" w:line="240" w:lineRule="auto"/>
              <w:rPr>
                <w:rFonts w:eastAsia="Times New Roman" w:cs="Times New Roman"/>
                <w:noProof/>
              </w:rPr>
            </w:pPr>
            <w:r>
              <w:rPr>
                <w:noProof/>
              </w:rPr>
              <w:t>Soutien à la transformation numérique des entités par les pôles européens d’innovation numérique (EDIH)</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2FA41C10" w14:textId="77777777" w:rsidR="008E6885" w:rsidRDefault="00EA24E7">
            <w:pPr>
              <w:pStyle w:val="P68B1DB1-Normal19"/>
              <w:spacing w:before="120" w:after="120" w:line="240" w:lineRule="auto"/>
              <w:rPr>
                <w:rFonts w:eastAsia="Times New Roman" w:cs="Times New Roman"/>
                <w:noProof/>
              </w:rPr>
            </w:pPr>
            <w:r>
              <w:rPr>
                <w:noProof/>
              </w:rPr>
              <w:t>Achèvement des modules de travail des pôles européens d’innovation numérique (EDIH)</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5D56129"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5FD4973"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0F7754E"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05BF17A"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24B9B61"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994B736" w14:textId="77777777" w:rsidR="008E6885" w:rsidRDefault="00EA24E7">
            <w:pPr>
              <w:pStyle w:val="P68B1DB1-Normal19"/>
              <w:spacing w:before="120" w:after="120" w:line="240" w:lineRule="auto"/>
              <w:jc w:val="both"/>
              <w:rPr>
                <w:rFonts w:eastAsia="Times New Roman" w:cs="Times New Roman"/>
                <w:noProof/>
              </w:rPr>
            </w:pPr>
            <w:r>
              <w:rPr>
                <w:noProof/>
              </w:rPr>
              <w:t>Tous les modules de travail des pôles européens d’innovation numérique sont achevés, à l’exclusion de ceux qui sont financés par le programme pour une Europe numérique.</w:t>
            </w:r>
          </w:p>
        </w:tc>
      </w:tr>
      <w:tr w:rsidR="008E6885" w14:paraId="069ED5A3"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15CF0828" w14:textId="77777777" w:rsidR="008E6885" w:rsidRDefault="00EA24E7">
            <w:pPr>
              <w:pStyle w:val="P68B1DB1-Normal19"/>
              <w:spacing w:before="120" w:after="120" w:line="240" w:lineRule="auto"/>
              <w:jc w:val="center"/>
              <w:rPr>
                <w:rFonts w:cs="Times New Roman"/>
                <w:noProof/>
              </w:rPr>
            </w:pPr>
            <w:r>
              <w:rPr>
                <w:noProof/>
              </w:rPr>
              <w:t>46</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427896EF" w14:textId="77777777" w:rsidR="008E6885" w:rsidRDefault="00EA24E7">
            <w:pPr>
              <w:pStyle w:val="P68B1DB1-Normal17"/>
              <w:spacing w:before="120" w:after="120" w:line="240" w:lineRule="auto"/>
              <w:contextualSpacing/>
              <w:rPr>
                <w:rFonts w:cs="Times New Roman"/>
                <w:noProof/>
              </w:rPr>
            </w:pPr>
            <w:r>
              <w:rPr>
                <w:noProof/>
              </w:rPr>
              <w:t xml:space="preserve">2.2.1.2.i. </w:t>
            </w:r>
          </w:p>
          <w:p w14:paraId="274335B4" w14:textId="77777777" w:rsidR="008E6885" w:rsidRDefault="00EA24E7">
            <w:pPr>
              <w:pStyle w:val="P68B1DB1-Normal17"/>
              <w:spacing w:before="120" w:after="120" w:line="240" w:lineRule="auto"/>
              <w:contextualSpacing/>
              <w:rPr>
                <w:rFonts w:cs="Times New Roman"/>
                <w:noProof/>
              </w:rPr>
            </w:pPr>
            <w:r>
              <w:rPr>
                <w:noProof/>
              </w:rPr>
              <w:t xml:space="preserve">Numérisation des entités </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586FFCED" w14:textId="77777777" w:rsidR="008E6885" w:rsidRDefault="00EA24E7">
            <w:pPr>
              <w:pStyle w:val="P68B1DB1-Normal19"/>
              <w:spacing w:before="120" w:after="120" w:line="240" w:lineRule="auto"/>
              <w:rPr>
                <w:rFonts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5B46F553" w14:textId="29BF7941" w:rsidR="008E6885" w:rsidRDefault="00EA24E7">
            <w:pPr>
              <w:pStyle w:val="P68B1DB1-Normal19"/>
              <w:spacing w:before="120" w:after="120" w:line="240" w:lineRule="auto"/>
              <w:rPr>
                <w:rFonts w:cs="Times New Roman"/>
                <w:noProof/>
              </w:rPr>
            </w:pPr>
            <w:r>
              <w:rPr>
                <w:noProof/>
              </w:rPr>
              <w:t>Amélioration du test de maturité numérique des entités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4C3E5A34"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F1749B2" w14:textId="77777777" w:rsidR="008E6885" w:rsidRDefault="00EA24E7">
            <w:pPr>
              <w:pStyle w:val="P68B1DB1-Normal19"/>
              <w:spacing w:before="120" w:after="120" w:line="240" w:lineRule="auto"/>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B72EC1D" w14:textId="77777777" w:rsidR="008E6885" w:rsidRDefault="00EA24E7">
            <w:pPr>
              <w:pStyle w:val="P68B1DB1-Normal19"/>
              <w:spacing w:before="120"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2D8BBB9" w14:textId="77777777" w:rsidR="008E6885" w:rsidRDefault="00EA24E7">
            <w:pPr>
              <w:pStyle w:val="P68B1DB1-Normal19"/>
              <w:spacing w:before="120" w:after="120" w:line="240" w:lineRule="auto"/>
              <w:jc w:val="center"/>
              <w:rPr>
                <w:rFonts w:cs="Times New Roman"/>
                <w:noProof/>
              </w:rPr>
            </w:pPr>
            <w:r>
              <w:rPr>
                <w:noProof/>
              </w:rPr>
              <w:t>200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FA681F8"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1D4F82A"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2411A68" w14:textId="77777777" w:rsidR="008E6885" w:rsidRDefault="00EA24E7">
            <w:pPr>
              <w:pStyle w:val="P68B1DB1-Normal19"/>
              <w:spacing w:before="120" w:after="120" w:line="240" w:lineRule="auto"/>
              <w:jc w:val="both"/>
              <w:rPr>
                <w:rFonts w:cs="Times New Roman"/>
                <w:noProof/>
              </w:rPr>
            </w:pPr>
            <w:r>
              <w:rPr>
                <w:noProof/>
              </w:rPr>
              <w:t>L'amélioration du résultat du test de 200 entités est observée dans le test de maturité numérique répété.</w:t>
            </w:r>
          </w:p>
        </w:tc>
      </w:tr>
      <w:tr w:rsidR="008E6885" w14:paraId="0290A5E8"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16767721" w14:textId="77777777" w:rsidR="008E6885" w:rsidRDefault="00EA24E7">
            <w:pPr>
              <w:pStyle w:val="P68B1DB1-Normal19"/>
              <w:spacing w:before="120" w:after="120" w:line="240" w:lineRule="auto"/>
              <w:jc w:val="center"/>
              <w:rPr>
                <w:rFonts w:cs="Times New Roman"/>
                <w:noProof/>
              </w:rPr>
            </w:pPr>
            <w:r>
              <w:rPr>
                <w:noProof/>
              </w:rPr>
              <w:t>48</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59C4E735" w14:textId="77777777" w:rsidR="008E6885" w:rsidRDefault="00EA24E7">
            <w:pPr>
              <w:pStyle w:val="P68B1DB1-Normal17"/>
              <w:spacing w:before="120" w:after="120" w:line="240" w:lineRule="auto"/>
              <w:contextualSpacing/>
              <w:rPr>
                <w:rFonts w:cs="Times New Roman"/>
                <w:noProof/>
              </w:rPr>
            </w:pPr>
            <w:r>
              <w:rPr>
                <w:noProof/>
              </w:rPr>
              <w:t xml:space="preserve">2.2.1.3.i. </w:t>
            </w:r>
          </w:p>
          <w:p w14:paraId="71E6BB43" w14:textId="77777777" w:rsidR="008E6885" w:rsidRDefault="00EA24E7">
            <w:pPr>
              <w:pStyle w:val="P68B1DB1-Normal17"/>
              <w:spacing w:before="120" w:after="120" w:line="240" w:lineRule="auto"/>
              <w:contextualSpacing/>
              <w:rPr>
                <w:rFonts w:cs="Times New Roman"/>
                <w:noProof/>
              </w:rPr>
            </w:pPr>
            <w:r>
              <w:rPr>
                <w:noProof/>
              </w:rPr>
              <w:t>Soutien à l'introduction de produits et de services dans les entreprises</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3BAADF78" w14:textId="77777777" w:rsidR="008E6885" w:rsidRDefault="00EA24E7">
            <w:pPr>
              <w:pStyle w:val="P68B1DB1-Normal19"/>
              <w:spacing w:before="120" w:after="120" w:line="240" w:lineRule="auto"/>
              <w:rPr>
                <w:rFonts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254BC840" w14:textId="77777777" w:rsidR="008E6885" w:rsidRDefault="00EA24E7">
            <w:pPr>
              <w:pStyle w:val="P68B1DB1-Normal19"/>
              <w:spacing w:before="120" w:after="120" w:line="240" w:lineRule="auto"/>
              <w:rPr>
                <w:rFonts w:cs="Times New Roman"/>
                <w:noProof/>
              </w:rPr>
            </w:pPr>
            <w:r>
              <w:rPr>
                <w:noProof/>
              </w:rPr>
              <w:t>Conventions de subvention signées et financement privé engagé</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74E07EE"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79316A5" w14:textId="77777777" w:rsidR="008E6885" w:rsidRDefault="00EA24E7">
            <w:pPr>
              <w:pStyle w:val="P68B1DB1-Normal19"/>
              <w:spacing w:before="120" w:after="120" w:line="240" w:lineRule="auto"/>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0D881F9" w14:textId="77777777" w:rsidR="008E6885" w:rsidRDefault="00EA24E7">
            <w:pPr>
              <w:pStyle w:val="P68B1DB1-Normal19"/>
              <w:spacing w:before="120"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CFEF29E" w14:textId="77777777" w:rsidR="008E6885" w:rsidRDefault="00EA24E7">
            <w:pPr>
              <w:pStyle w:val="P68B1DB1-Normal19"/>
              <w:spacing w:before="120" w:after="120" w:line="240" w:lineRule="auto"/>
              <w:jc w:val="center"/>
              <w:rPr>
                <w:rFonts w:cs="Times New Roman"/>
                <w:noProof/>
              </w:rPr>
            </w:pPr>
            <w:r>
              <w:rPr>
                <w:noProof/>
              </w:rPr>
              <w:t>43</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BAE63FA"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C3E39B8"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7A39481E" w14:textId="77777777" w:rsidR="008E6885" w:rsidRDefault="00EA24E7">
            <w:pPr>
              <w:pStyle w:val="P68B1DB1-Normal19"/>
              <w:spacing w:before="120" w:after="120" w:line="240" w:lineRule="auto"/>
              <w:jc w:val="both"/>
              <w:rPr>
                <w:rFonts w:cs="Times New Roman"/>
                <w:noProof/>
              </w:rPr>
            </w:pPr>
            <w:r>
              <w:rPr>
                <w:noProof/>
              </w:rPr>
              <w:t>Des conventions de subvention visant à soutenir 43 projets de recherche dans le domaine des produits ou services numériques sont signées, y compris l’allocation de 4 860 000 EUR de financement privé à des projets soutenus.</w:t>
            </w:r>
          </w:p>
        </w:tc>
      </w:tr>
      <w:tr w:rsidR="008E6885" w14:paraId="4922549C"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02396444" w14:textId="77777777" w:rsidR="008E6885" w:rsidRDefault="00EA24E7">
            <w:pPr>
              <w:pStyle w:val="P68B1DB1-Normal19"/>
              <w:spacing w:before="120" w:after="120" w:line="240" w:lineRule="auto"/>
              <w:jc w:val="center"/>
              <w:rPr>
                <w:rFonts w:cs="Times New Roman"/>
                <w:noProof/>
              </w:rPr>
            </w:pPr>
            <w:r>
              <w:rPr>
                <w:noProof/>
              </w:rPr>
              <w:t>51</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EC833E8" w14:textId="77777777" w:rsidR="008E6885" w:rsidRDefault="00EA24E7">
            <w:pPr>
              <w:pStyle w:val="P68B1DB1-Normal17"/>
              <w:spacing w:before="120" w:after="120" w:line="240" w:lineRule="auto"/>
              <w:contextualSpacing/>
              <w:rPr>
                <w:rFonts w:cs="Times New Roman"/>
                <w:bCs/>
                <w:noProof/>
              </w:rPr>
            </w:pPr>
            <w:r>
              <w:rPr>
                <w:noProof/>
              </w:rPr>
              <w:t xml:space="preserve">2.2.1.4.i. </w:t>
            </w:r>
          </w:p>
          <w:p w14:paraId="117C4CC1" w14:textId="77777777" w:rsidR="008E6885" w:rsidRDefault="00EA24E7">
            <w:pPr>
              <w:pStyle w:val="P68B1DB1-Normal17"/>
              <w:spacing w:before="120" w:after="120" w:line="240" w:lineRule="auto"/>
              <w:contextualSpacing/>
              <w:rPr>
                <w:rFonts w:cs="Times New Roman"/>
                <w:noProof/>
              </w:rPr>
            </w:pPr>
            <w:r>
              <w:rPr>
                <w:noProof/>
              </w:rPr>
              <w:t>Instrument financier destiné à faciliter la transformation numérique des opérateurs économiques</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689955A9" w14:textId="77777777" w:rsidR="008E6885" w:rsidRDefault="00EA24E7">
            <w:pPr>
              <w:pStyle w:val="P68B1DB1-Normal19"/>
              <w:spacing w:before="120" w:after="120" w:line="240" w:lineRule="auto"/>
              <w:rPr>
                <w:rFonts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5D783485" w14:textId="77777777" w:rsidR="008E6885" w:rsidRDefault="00EA24E7">
            <w:pPr>
              <w:pStyle w:val="P68B1DB1-Normal19"/>
              <w:spacing w:before="120" w:after="120" w:line="240" w:lineRule="auto"/>
              <w:rPr>
                <w:rFonts w:cs="Times New Roman"/>
                <w:noProof/>
              </w:rPr>
            </w:pPr>
            <w:r>
              <w:rPr>
                <w:noProof/>
              </w:rPr>
              <w:t>Contrats de prêt signés et financements privés engagés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783C362"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4EB641D" w14:textId="77777777" w:rsidR="008E6885" w:rsidRDefault="00EA24E7">
            <w:pPr>
              <w:pStyle w:val="P68B1DB1-Normal19"/>
              <w:spacing w:before="120" w:after="120" w:line="240" w:lineRule="auto"/>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56C7A63" w14:textId="77777777" w:rsidR="008E6885" w:rsidRDefault="00EA24E7">
            <w:pPr>
              <w:pStyle w:val="P68B1DB1-Normal19"/>
              <w:spacing w:before="120"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D9FF73C" w14:textId="77777777" w:rsidR="008E6885" w:rsidRDefault="00EA24E7">
            <w:pPr>
              <w:pStyle w:val="P68B1DB1-Normal19"/>
              <w:spacing w:before="120" w:after="120" w:line="240" w:lineRule="auto"/>
              <w:jc w:val="center"/>
              <w:rPr>
                <w:rFonts w:cs="Times New Roman"/>
                <w:noProof/>
              </w:rPr>
            </w:pPr>
            <w:r>
              <w:rPr>
                <w:noProof/>
              </w:rPr>
              <w:t>65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CDCBFBD"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BB4BB1C"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1F7AE7FB" w14:textId="77777777" w:rsidR="008E6885" w:rsidRDefault="00EA24E7">
            <w:pPr>
              <w:pStyle w:val="P68B1DB1-Normal19"/>
              <w:spacing w:before="120" w:after="120" w:line="240" w:lineRule="auto"/>
              <w:jc w:val="both"/>
              <w:rPr>
                <w:rFonts w:cs="Times New Roman"/>
                <w:noProof/>
              </w:rPr>
            </w:pPr>
            <w:r>
              <w:rPr>
                <w:noProof/>
              </w:rPr>
              <w:t>Nombre de contrats de prêt signés entre ALTUM et des opérateurs économiques pour soutenir des projets de transformation numérique, y compris l’allocation de 45 300 000 EUR de financement privé à des projets soutenus.</w:t>
            </w:r>
          </w:p>
        </w:tc>
      </w:tr>
      <w:tr w:rsidR="008E6885" w14:paraId="4BD28FA4"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4514C900" w14:textId="77777777" w:rsidR="008E6885" w:rsidRDefault="00EA24E7">
            <w:pPr>
              <w:pStyle w:val="P68B1DB1-Normal19"/>
              <w:spacing w:before="120" w:after="120" w:line="240" w:lineRule="auto"/>
              <w:jc w:val="center"/>
              <w:rPr>
                <w:rFonts w:cs="Times New Roman"/>
                <w:noProof/>
              </w:rPr>
            </w:pPr>
            <w:r>
              <w:rPr>
                <w:noProof/>
              </w:rPr>
              <w:t>53</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496FE728" w14:textId="77777777" w:rsidR="008E6885" w:rsidRDefault="00EA24E7">
            <w:pPr>
              <w:pStyle w:val="P68B1DB1-Normal17"/>
              <w:spacing w:before="120" w:after="120" w:line="240" w:lineRule="auto"/>
              <w:contextualSpacing/>
              <w:rPr>
                <w:rFonts w:cs="Times New Roman"/>
                <w:bCs/>
                <w:noProof/>
              </w:rPr>
            </w:pPr>
            <w:r>
              <w:rPr>
                <w:noProof/>
              </w:rPr>
              <w:t xml:space="preserve">2.2.1.5.i. </w:t>
            </w:r>
          </w:p>
          <w:p w14:paraId="6503C16C" w14:textId="77777777" w:rsidR="008E6885" w:rsidRDefault="00EA24E7">
            <w:pPr>
              <w:pStyle w:val="P68B1DB1-Normal17"/>
              <w:spacing w:before="120" w:after="120" w:line="240" w:lineRule="auto"/>
              <w:contextualSpacing/>
              <w:rPr>
                <w:rFonts w:cs="Times New Roman"/>
                <w:bCs/>
                <w:noProof/>
              </w:rPr>
            </w:pPr>
            <w:r>
              <w:rPr>
                <w:noProof/>
              </w:rPr>
              <w:t>Favoriser la transformation numérique des entreprises de médias</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5C20288B" w14:textId="77777777" w:rsidR="008E6885" w:rsidRDefault="00EA24E7">
            <w:pPr>
              <w:pStyle w:val="P68B1DB1-Normal19"/>
              <w:spacing w:before="120" w:after="120" w:line="240" w:lineRule="auto"/>
              <w:rPr>
                <w:rFonts w:eastAsia="MS Mincho"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58C0544E" w14:textId="77777777" w:rsidR="008E6885" w:rsidRDefault="00EA24E7">
            <w:pPr>
              <w:pStyle w:val="P68B1DB1-Normal19"/>
              <w:spacing w:before="120" w:after="120" w:line="240" w:lineRule="auto"/>
              <w:rPr>
                <w:rFonts w:eastAsia="MS Mincho" w:cs="Times New Roman"/>
                <w:noProof/>
              </w:rPr>
            </w:pPr>
            <w:r>
              <w:rPr>
                <w:noProof/>
              </w:rPr>
              <w:t>Plateformes ou solutions informatiques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56F1F2F" w14:textId="77777777" w:rsidR="008E6885" w:rsidRDefault="00EA24E7">
            <w:pPr>
              <w:pStyle w:val="P68B1DB1-Normal19"/>
              <w:spacing w:before="120" w:after="120" w:line="240" w:lineRule="auto"/>
              <w:jc w:val="center"/>
              <w:rPr>
                <w:rFonts w:eastAsia="MS Mincho"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30C28A9" w14:textId="77777777" w:rsidR="008E6885" w:rsidRDefault="00EA24E7">
            <w:pPr>
              <w:pStyle w:val="P68B1DB1-Normal19"/>
              <w:spacing w:before="120" w:after="120" w:line="240" w:lineRule="auto"/>
              <w:jc w:val="center"/>
              <w:rPr>
                <w:rFonts w:eastAsia="MS Mincho"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480CC63" w14:textId="77777777" w:rsidR="008E6885" w:rsidRDefault="00EA24E7">
            <w:pPr>
              <w:pStyle w:val="P68B1DB1-Normal19"/>
              <w:spacing w:before="120" w:after="120" w:line="240" w:lineRule="auto"/>
              <w:jc w:val="center"/>
              <w:rPr>
                <w:rFonts w:eastAsia="MS Mincho"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C2DC882" w14:textId="77777777" w:rsidR="008E6885" w:rsidRDefault="00EA24E7">
            <w:pPr>
              <w:pStyle w:val="P68B1DB1-Normal19"/>
              <w:spacing w:before="120" w:after="120" w:line="240" w:lineRule="auto"/>
              <w:jc w:val="center"/>
              <w:rPr>
                <w:rFonts w:eastAsia="MS Mincho" w:cs="Times New Roman"/>
                <w:noProof/>
              </w:rPr>
            </w:pPr>
            <w:r>
              <w:rPr>
                <w:noProof/>
              </w:rPr>
              <w:t>3</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371F533" w14:textId="77777777" w:rsidR="008E6885" w:rsidRDefault="00EA24E7">
            <w:pPr>
              <w:pStyle w:val="P68B1DB1-Normal19"/>
              <w:spacing w:before="120" w:after="120" w:line="240" w:lineRule="auto"/>
              <w:jc w:val="center"/>
              <w:rPr>
                <w:rFonts w:eastAsia="MS Mincho"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5D8746E" w14:textId="77777777" w:rsidR="008E6885" w:rsidRDefault="00EA24E7">
            <w:pPr>
              <w:pStyle w:val="P68B1DB1-Normal19"/>
              <w:spacing w:before="120" w:after="120" w:line="240" w:lineRule="auto"/>
              <w:jc w:val="center"/>
              <w:rPr>
                <w:rFonts w:eastAsia="MS Mincho" w:cs="Times New Roman"/>
                <w:noProof/>
              </w:rPr>
            </w:pPr>
            <w:r>
              <w:rPr>
                <w:noProof/>
              </w:rPr>
              <w:t>2025</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BF75DB4" w14:textId="77777777" w:rsidR="008E6885" w:rsidRDefault="00EA24E7">
            <w:pPr>
              <w:pStyle w:val="P68B1DB1-Normal19"/>
              <w:spacing w:before="120" w:after="120" w:line="240" w:lineRule="auto"/>
              <w:jc w:val="both"/>
              <w:rPr>
                <w:rFonts w:eastAsia="MS Mincho" w:cs="Times New Roman"/>
                <w:noProof/>
              </w:rPr>
            </w:pPr>
            <w:r>
              <w:rPr>
                <w:noProof/>
              </w:rPr>
              <w:t>Trois plateformes ou solutions informatiques dans le secteur des médias doivent être fournies.</w:t>
            </w:r>
          </w:p>
        </w:tc>
      </w:tr>
      <w:tr w:rsidR="008E6885" w14:paraId="7596FE27" w14:textId="77777777" w:rsidTr="00584A13">
        <w:trPr>
          <w:trHeight w:val="2182"/>
        </w:trPr>
        <w:tc>
          <w:tcPr>
            <w:tcW w:w="545" w:type="dxa"/>
            <w:tcBorders>
              <w:top w:val="single" w:sz="4" w:space="0" w:color="auto"/>
              <w:left w:val="single" w:sz="4" w:space="0" w:color="auto"/>
              <w:bottom w:val="single" w:sz="4" w:space="0" w:color="auto"/>
              <w:right w:val="single" w:sz="4" w:space="0" w:color="auto"/>
            </w:tcBorders>
            <w:shd w:val="clear" w:color="auto" w:fill="C6EFCE"/>
          </w:tcPr>
          <w:p w14:paraId="67DD6AD4" w14:textId="4EF74517" w:rsidR="008E6885" w:rsidRDefault="00EA24E7">
            <w:pPr>
              <w:pStyle w:val="P68B1DB1-Normal19"/>
              <w:spacing w:before="120" w:after="120" w:line="240" w:lineRule="auto"/>
              <w:jc w:val="center"/>
              <w:rPr>
                <w:rFonts w:cs="Times New Roman"/>
                <w:noProof/>
              </w:rPr>
            </w:pPr>
            <w:r>
              <w:rPr>
                <w:noProof/>
              </w:rPr>
              <w:t>54</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34584891" w14:textId="77777777" w:rsidR="008E6885" w:rsidRDefault="00EA24E7">
            <w:pPr>
              <w:pStyle w:val="P68B1DB1-Normal17"/>
              <w:spacing w:before="120" w:after="120" w:line="240" w:lineRule="auto"/>
              <w:contextualSpacing/>
              <w:rPr>
                <w:rFonts w:cs="Times New Roman"/>
                <w:bCs/>
                <w:noProof/>
              </w:rPr>
            </w:pPr>
            <w:r>
              <w:rPr>
                <w:noProof/>
              </w:rPr>
              <w:t xml:space="preserve">2.2.1.5.i. </w:t>
            </w:r>
          </w:p>
          <w:p w14:paraId="39E4BEB0" w14:textId="77777777" w:rsidR="008E6885" w:rsidRDefault="00EA24E7">
            <w:pPr>
              <w:pStyle w:val="P68B1DB1-Normal17"/>
              <w:spacing w:before="120" w:after="120" w:line="240" w:lineRule="auto"/>
              <w:contextualSpacing/>
              <w:rPr>
                <w:rFonts w:cs="Times New Roman"/>
                <w:noProof/>
              </w:rPr>
            </w:pPr>
            <w:r>
              <w:rPr>
                <w:noProof/>
              </w:rPr>
              <w:t>Favoriser la transformation numérique des entreprises de médias</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177441E1"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62100358" w14:textId="77777777" w:rsidR="008E6885" w:rsidRDefault="00EA24E7">
            <w:pPr>
              <w:pStyle w:val="P68B1DB1-Normal19"/>
              <w:spacing w:before="120" w:after="120" w:line="240" w:lineRule="auto"/>
              <w:rPr>
                <w:rFonts w:cs="Times New Roman"/>
                <w:noProof/>
              </w:rPr>
            </w:pPr>
            <w:r>
              <w:rPr>
                <w:noProof/>
              </w:rPr>
              <w:t>Régime de soutien mis en place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1B5D2010" w14:textId="77777777" w:rsidR="008E6885" w:rsidRDefault="00EA24E7">
            <w:pPr>
              <w:pStyle w:val="P68B1DB1-Normal19"/>
              <w:spacing w:before="120" w:after="120" w:line="240" w:lineRule="auto"/>
              <w:rPr>
                <w:rFonts w:cs="Times New Roman"/>
                <w:noProof/>
              </w:rPr>
            </w:pPr>
            <w:r>
              <w:rPr>
                <w:noProof/>
              </w:rPr>
              <w:t>Contrats signés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EA3B82A"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9DCFF7F"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E42759E"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6A6F702"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5EBB94"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34EEAEB" w14:textId="77777777" w:rsidR="008E6885" w:rsidRDefault="00EA24E7">
            <w:pPr>
              <w:pStyle w:val="P68B1DB1-Normal19"/>
              <w:spacing w:before="120" w:after="120" w:line="240" w:lineRule="auto"/>
              <w:jc w:val="both"/>
              <w:rPr>
                <w:noProof/>
              </w:rPr>
            </w:pPr>
            <w:r>
              <w:rPr>
                <w:noProof/>
              </w:rPr>
              <w:t>Un régime d’aide aux investissements dans les compétences numériques dans le secteur des médias est mis en place et dix contrats sont signés entre le centre d’éducation commerciale et les entités au titre de ce régime d’aide.</w:t>
            </w:r>
          </w:p>
        </w:tc>
      </w:tr>
      <w:tr w:rsidR="008E6885" w14:paraId="4AE99C8B"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3CA114A1" w14:textId="77777777" w:rsidR="008E6885" w:rsidRDefault="00EA24E7">
            <w:pPr>
              <w:pStyle w:val="P68B1DB1-Normal19"/>
              <w:spacing w:before="120" w:after="120" w:line="240" w:lineRule="auto"/>
              <w:jc w:val="center"/>
              <w:rPr>
                <w:rFonts w:cs="Times New Roman"/>
                <w:noProof/>
              </w:rPr>
            </w:pPr>
            <w:r>
              <w:rPr>
                <w:noProof/>
              </w:rPr>
              <w:t>57</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0AA14513" w14:textId="77777777" w:rsidR="008E6885" w:rsidRDefault="00EA24E7">
            <w:pPr>
              <w:pStyle w:val="P68B1DB1-Normal17"/>
              <w:spacing w:before="120" w:after="120" w:line="240" w:lineRule="auto"/>
              <w:contextualSpacing/>
              <w:rPr>
                <w:rFonts w:cs="Times New Roman"/>
                <w:noProof/>
              </w:rPr>
            </w:pPr>
            <w:r>
              <w:rPr>
                <w:noProof/>
              </w:rPr>
              <w:t xml:space="preserve">2.3.1.r. </w:t>
            </w:r>
          </w:p>
          <w:p w14:paraId="67E3A28C" w14:textId="77777777" w:rsidR="008E6885" w:rsidRDefault="00EA24E7">
            <w:pPr>
              <w:pStyle w:val="P68B1DB1-Normal17"/>
              <w:spacing w:before="120" w:after="120" w:line="240" w:lineRule="auto"/>
              <w:contextualSpacing/>
              <w:rPr>
                <w:rFonts w:cs="Times New Roman"/>
                <w:noProof/>
              </w:rPr>
            </w:pPr>
            <w:r>
              <w:rPr>
                <w:noProof/>
              </w:rPr>
              <w:t xml:space="preserve">Élaboration d'un cadre de soutien durable et socialement responsable pour l'éducation et la formation des adultes </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22DFBAFD"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7C15457D" w14:textId="77777777" w:rsidR="008E6885" w:rsidRDefault="00EA24E7">
            <w:pPr>
              <w:pStyle w:val="P68B1DB1-Normal19"/>
              <w:spacing w:before="120" w:after="120" w:line="240" w:lineRule="auto"/>
              <w:rPr>
                <w:rFonts w:eastAsia="Times New Roman" w:cs="Times New Roman"/>
                <w:noProof/>
              </w:rPr>
            </w:pPr>
            <w:r>
              <w:rPr>
                <w:noProof/>
              </w:rPr>
              <w:t>Soutien accru à la formation des employés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717B47C" w14:textId="77777777" w:rsidR="008E6885" w:rsidRDefault="00EA24E7">
            <w:pPr>
              <w:pStyle w:val="P68B1DB1-Normal19"/>
              <w:spacing w:before="120" w:after="120" w:line="240" w:lineRule="auto"/>
              <w:rPr>
                <w:rFonts w:eastAsia="Times New Roman" w:cs="Times New Roman"/>
                <w:noProof/>
              </w:rPr>
            </w:pPr>
            <w:r>
              <w:rPr>
                <w:noProof/>
              </w:rPr>
              <w:t>Les actes juridiques sont entrés en vigueur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373DE6D"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F28CC38"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B2F6B44"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532F143"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E5E5DFF" w14:textId="77777777" w:rsidR="008E6885" w:rsidRDefault="00EA24E7">
            <w:pPr>
              <w:pStyle w:val="P68B1DB1-Normal19"/>
              <w:spacing w:before="120" w:after="120" w:line="240" w:lineRule="auto"/>
              <w:jc w:val="center"/>
              <w:rPr>
                <w:rFonts w:cs="Times New Roman"/>
                <w:noProof/>
              </w:rPr>
            </w:pPr>
            <w:r>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548E47D" w14:textId="77777777" w:rsidR="008E6885" w:rsidRDefault="00EA24E7">
            <w:pPr>
              <w:pStyle w:val="P68B1DB1-Normal19"/>
              <w:spacing w:before="120" w:after="120" w:line="240" w:lineRule="auto"/>
              <w:jc w:val="both"/>
              <w:rPr>
                <w:rFonts w:cs="Times New Roman"/>
                <w:noProof/>
              </w:rPr>
            </w:pPr>
            <w:r>
              <w:rPr>
                <w:noProof/>
              </w:rPr>
              <w:t>Des actes juridiques sont entrés en vigueur:</w:t>
            </w:r>
          </w:p>
          <w:p w14:paraId="38727BFB" w14:textId="77777777" w:rsidR="008E6885" w:rsidRDefault="00EA24E7">
            <w:pPr>
              <w:pStyle w:val="P68B1DB1-Normal19"/>
              <w:spacing w:before="120" w:after="120" w:line="240" w:lineRule="auto"/>
              <w:jc w:val="both"/>
              <w:rPr>
                <w:rFonts w:eastAsia="Times New Roman" w:cs="Times New Roman"/>
                <w:noProof/>
              </w:rPr>
            </w:pPr>
            <w:r>
              <w:rPr>
                <w:noProof/>
              </w:rPr>
              <w:t>1) Introduire un traitement fiscal plus favorable dans la loi relative à l'impôt sur le revenu des personnes physiques pour les frais de scolarité couverts par les employeurs pour l'enseignement supérieur des employés;</w:t>
            </w:r>
          </w:p>
          <w:p w14:paraId="1B0B2D98" w14:textId="77777777" w:rsidR="008E6885" w:rsidRDefault="00EA24E7">
            <w:pPr>
              <w:pStyle w:val="P68B1DB1-Normal19"/>
              <w:spacing w:before="120" w:after="120" w:line="240" w:lineRule="auto"/>
              <w:jc w:val="both"/>
              <w:rPr>
                <w:rFonts w:eastAsia="Times New Roman" w:cs="Times New Roman"/>
                <w:noProof/>
              </w:rPr>
            </w:pPr>
            <w:r>
              <w:rPr>
                <w:noProof/>
              </w:rPr>
              <w:t>2) Modifier la loi sur le travail pour étendre le droit des employés de participer à la formation liée aux tâches professionnelles;</w:t>
            </w:r>
          </w:p>
          <w:p w14:paraId="16E0D8CB" w14:textId="77777777" w:rsidR="008E6885" w:rsidRDefault="00EA24E7">
            <w:pPr>
              <w:pStyle w:val="P68B1DB1-Normal19"/>
              <w:spacing w:before="120" w:after="120" w:line="240" w:lineRule="auto"/>
              <w:jc w:val="both"/>
              <w:rPr>
                <w:rFonts w:eastAsia="Times New Roman" w:cs="Times New Roman"/>
                <w:noProof/>
                <w:highlight w:val="yellow"/>
              </w:rPr>
            </w:pPr>
            <w:r>
              <w:rPr>
                <w:noProof/>
              </w:rPr>
              <w:t>3) Adopter les instructions du Cabinet des ministres pour normaliser la préparation des mesures de soutien aux employeurs pour former les employés.</w:t>
            </w:r>
          </w:p>
        </w:tc>
      </w:tr>
      <w:tr w:rsidR="008E6885" w14:paraId="0008AD31"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7F274E31" w14:textId="77777777" w:rsidR="008E6885" w:rsidRDefault="00EA24E7">
            <w:pPr>
              <w:pStyle w:val="P68B1DB1-Normal19"/>
              <w:spacing w:before="120" w:after="120" w:line="240" w:lineRule="auto"/>
              <w:jc w:val="center"/>
              <w:rPr>
                <w:rFonts w:cs="Times New Roman"/>
                <w:noProof/>
              </w:rPr>
            </w:pPr>
            <w:r>
              <w:rPr>
                <w:noProof/>
              </w:rPr>
              <w:t>60</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1EFBBDE" w14:textId="77777777" w:rsidR="008E6885" w:rsidRDefault="00EA24E7">
            <w:pPr>
              <w:pStyle w:val="P68B1DB1-Normal17"/>
              <w:spacing w:before="120" w:after="120" w:line="240" w:lineRule="auto"/>
              <w:contextualSpacing/>
              <w:rPr>
                <w:rFonts w:cs="Times New Roman"/>
                <w:noProof/>
              </w:rPr>
            </w:pPr>
            <w:r>
              <w:rPr>
                <w:noProof/>
              </w:rPr>
              <w:t xml:space="preserve">2.3.1.r. </w:t>
            </w:r>
          </w:p>
          <w:p w14:paraId="0506F61D" w14:textId="77777777" w:rsidR="008E6885" w:rsidRDefault="00EA24E7">
            <w:pPr>
              <w:pStyle w:val="P68B1DB1-Normal17"/>
              <w:spacing w:before="120" w:after="120" w:line="240" w:lineRule="auto"/>
              <w:contextualSpacing/>
              <w:rPr>
                <w:rFonts w:cs="Times New Roman"/>
                <w:noProof/>
              </w:rPr>
            </w:pPr>
            <w:r>
              <w:rPr>
                <w:noProof/>
              </w:rPr>
              <w:t xml:space="preserve">Élaboration d'un cadre de soutien durable et socialement responsable pour l'éducation et la formation des adultes </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771C6E6E"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8C55F22" w14:textId="77777777" w:rsidR="008E6885" w:rsidRDefault="00EA24E7">
            <w:pPr>
              <w:pStyle w:val="P68B1DB1-Normal19"/>
              <w:spacing w:before="120" w:after="120" w:line="240" w:lineRule="auto"/>
              <w:rPr>
                <w:rFonts w:cs="Times New Roman"/>
                <w:noProof/>
              </w:rPr>
            </w:pPr>
            <w:r>
              <w:rPr>
                <w:noProof/>
              </w:rPr>
              <w:t>Développement de l'approche des comptes de formation individuels (ILA)</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6DF67DA" w14:textId="77777777" w:rsidR="008E6885" w:rsidRDefault="00EA24E7">
            <w:pPr>
              <w:pStyle w:val="P68B1DB1-Normal19"/>
              <w:spacing w:before="120" w:after="120" w:line="240" w:lineRule="auto"/>
              <w:rPr>
                <w:rFonts w:cs="Times New Roman"/>
                <w:noProof/>
              </w:rPr>
            </w:pPr>
            <w:r>
              <w:rPr>
                <w:noProof/>
              </w:rPr>
              <w:t>Entrée en vigueur du règlement du Cabinet des ministres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3A0017F"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C661CCF"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46C0978"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FB3F305"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57EEA05" w14:textId="77777777" w:rsidR="008E6885" w:rsidRDefault="00EA24E7">
            <w:pPr>
              <w:pStyle w:val="P68B1DB1-Normal19"/>
              <w:spacing w:before="120" w:after="120" w:line="240" w:lineRule="auto"/>
              <w:jc w:val="center"/>
              <w:rPr>
                <w:rFonts w:cs="Times New Roman"/>
                <w:noProof/>
              </w:rPr>
            </w:pPr>
            <w:r>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0E4AE8A" w14:textId="77777777" w:rsidR="008E6885" w:rsidRDefault="00EA24E7">
            <w:pPr>
              <w:pStyle w:val="P68B1DB1-Normal19"/>
              <w:spacing w:before="120" w:after="120" w:line="240" w:lineRule="auto"/>
              <w:jc w:val="both"/>
              <w:rPr>
                <w:rFonts w:cs="Times New Roman"/>
                <w:noProof/>
              </w:rPr>
            </w:pPr>
            <w:r>
              <w:rPr>
                <w:noProof/>
              </w:rPr>
              <w:t>Entrée en vigueur des règlements précisant l'approche pour le développement du compte de formation individuel, y compris: a) l'établissement de critères d'admissibilité, b) l'établissement de critères pour la sélection des fournisseurs de services d'enseignement.</w:t>
            </w:r>
          </w:p>
        </w:tc>
      </w:tr>
      <w:tr w:rsidR="008E6885" w14:paraId="38DBECFE"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67E8E819" w14:textId="77777777" w:rsidR="008E6885" w:rsidRDefault="00EA24E7">
            <w:pPr>
              <w:pStyle w:val="P68B1DB1-Normal19"/>
              <w:spacing w:before="120" w:after="120" w:line="240" w:lineRule="auto"/>
              <w:jc w:val="center"/>
              <w:rPr>
                <w:rFonts w:cs="Times New Roman"/>
                <w:noProof/>
              </w:rPr>
            </w:pPr>
            <w:r>
              <w:rPr>
                <w:noProof/>
              </w:rPr>
              <w:t>61</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D1CE2DE" w14:textId="77777777" w:rsidR="008E6885" w:rsidRDefault="00EA24E7">
            <w:pPr>
              <w:pStyle w:val="P68B1DB1-Normal17"/>
              <w:spacing w:before="120" w:after="120" w:line="240" w:lineRule="auto"/>
              <w:contextualSpacing/>
              <w:rPr>
                <w:rFonts w:cs="Times New Roman"/>
                <w:noProof/>
              </w:rPr>
            </w:pPr>
            <w:r>
              <w:rPr>
                <w:noProof/>
              </w:rPr>
              <w:t xml:space="preserve">2.3.1.r. </w:t>
            </w:r>
          </w:p>
          <w:p w14:paraId="083859AF" w14:textId="77777777" w:rsidR="008E6885" w:rsidRDefault="00EA24E7">
            <w:pPr>
              <w:pStyle w:val="P68B1DB1-Normal17"/>
              <w:spacing w:before="120" w:after="120" w:line="240" w:lineRule="auto"/>
              <w:contextualSpacing/>
              <w:rPr>
                <w:rFonts w:cs="Times New Roman"/>
                <w:noProof/>
              </w:rPr>
            </w:pPr>
            <w:r>
              <w:rPr>
                <w:noProof/>
              </w:rPr>
              <w:t xml:space="preserve">Élaboration d'un cadre de soutien durable et socialement responsable pour l'éducation et la formation des adultes </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74D54BF0"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35CF2D53" w14:textId="77777777" w:rsidR="008E6885" w:rsidRDefault="00EA24E7">
            <w:pPr>
              <w:pStyle w:val="P68B1DB1-Normal19"/>
              <w:spacing w:before="120" w:after="120" w:line="240" w:lineRule="auto"/>
              <w:rPr>
                <w:rFonts w:cs="Times New Roman"/>
                <w:noProof/>
              </w:rPr>
            </w:pPr>
            <w:r>
              <w:rPr>
                <w:noProof/>
              </w:rPr>
              <w:t>Approche du compte de formation individuel</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80A9BCC" w14:textId="77777777" w:rsidR="008E6885" w:rsidRDefault="00EA24E7">
            <w:pPr>
              <w:pStyle w:val="P68B1DB1-Normal9"/>
              <w:spacing w:before="120" w:after="120" w:line="240" w:lineRule="auto"/>
              <w:rPr>
                <w:noProof/>
              </w:rPr>
            </w:pPr>
            <w:r>
              <w:rPr>
                <w:noProof/>
              </w:rPr>
              <w:t>Évaluation publiée par le ministère de l'Éducation et des Sciences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A07C85B"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79E56CD"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074C72C"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B09AE84"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D78B507"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AC5946C" w14:textId="77777777" w:rsidR="008E6885" w:rsidRDefault="00EA24E7">
            <w:pPr>
              <w:pStyle w:val="P68B1DB1-Normal20"/>
              <w:spacing w:line="257" w:lineRule="auto"/>
              <w:jc w:val="both"/>
              <w:rPr>
                <w:rFonts w:eastAsia="Calibri" w:cs="Arial"/>
                <w:noProof/>
              </w:rPr>
            </w:pPr>
            <w:r>
              <w:rPr>
                <w:noProof/>
              </w:rPr>
              <w:t xml:space="preserve">Le ministère de l’éducation et des sciences publie une évaluation de l’approche du compte d’apprentissage individuel, y compris une analyse réalisée par un auditeur indépendant. </w:t>
            </w:r>
          </w:p>
        </w:tc>
      </w:tr>
      <w:tr w:rsidR="008E6885" w14:paraId="19CC3193"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681FAC8E" w14:textId="77777777" w:rsidR="008E6885" w:rsidRDefault="00EA24E7">
            <w:pPr>
              <w:pStyle w:val="P68B1DB1-Normal19"/>
              <w:spacing w:before="120" w:after="120" w:line="240" w:lineRule="auto"/>
              <w:jc w:val="center"/>
              <w:rPr>
                <w:rFonts w:cs="Times New Roman"/>
                <w:noProof/>
              </w:rPr>
            </w:pPr>
            <w:r>
              <w:rPr>
                <w:noProof/>
              </w:rPr>
              <w:t>62</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22BAD16" w14:textId="77777777" w:rsidR="008E6885" w:rsidRDefault="00EA24E7">
            <w:pPr>
              <w:pStyle w:val="P68B1DB1-Normal17"/>
              <w:spacing w:before="120" w:after="120" w:line="240" w:lineRule="auto"/>
              <w:contextualSpacing/>
              <w:rPr>
                <w:rFonts w:cs="Times New Roman"/>
                <w:bCs/>
                <w:noProof/>
              </w:rPr>
            </w:pPr>
            <w:r>
              <w:rPr>
                <w:noProof/>
              </w:rPr>
              <w:t xml:space="preserve">2.3.1.1.i. </w:t>
            </w:r>
          </w:p>
          <w:p w14:paraId="009BF53F" w14:textId="77777777" w:rsidR="008E6885" w:rsidRDefault="00EA24E7">
            <w:pPr>
              <w:pStyle w:val="P68B1DB1-Normal17"/>
              <w:spacing w:before="120" w:after="120" w:line="240" w:lineRule="auto"/>
              <w:contextualSpacing/>
              <w:rPr>
                <w:rFonts w:cs="Times New Roman"/>
                <w:bCs/>
                <w:noProof/>
              </w:rPr>
            </w:pPr>
            <w:r>
              <w:rPr>
                <w:noProof/>
              </w:rPr>
              <w:t>Apporter des compétences numériques</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7A1C139A" w14:textId="77777777" w:rsidR="008E6885" w:rsidRDefault="00EA24E7">
            <w:pPr>
              <w:pStyle w:val="P68B1DB1-Normal19"/>
              <w:spacing w:before="120" w:after="120" w:line="240" w:lineRule="auto"/>
              <w:rPr>
                <w:rFonts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2228F11C" w14:textId="77777777" w:rsidR="008E6885" w:rsidRDefault="00EA24E7">
            <w:pPr>
              <w:pStyle w:val="P68B1DB1-Normal19"/>
              <w:spacing w:before="120" w:after="120" w:line="240" w:lineRule="auto"/>
              <w:rPr>
                <w:rFonts w:cs="Times New Roman"/>
                <w:noProof/>
              </w:rPr>
            </w:pPr>
            <w:r>
              <w:rPr>
                <w:noProof/>
              </w:rPr>
              <w:t>Modules conçus pour les programmes d'études de l'enseignement supérieur</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17B68F6C" w14:textId="77777777" w:rsidR="008E6885" w:rsidRDefault="00EA24E7">
            <w:pPr>
              <w:pStyle w:val="P68B1DB1-Normal19"/>
              <w:spacing w:before="120" w:after="120" w:line="240" w:lineRule="auto"/>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1A8EA51" w14:textId="77777777" w:rsidR="008E6885" w:rsidRDefault="00EA24E7">
            <w:pPr>
              <w:pStyle w:val="P68B1DB1-Normal19"/>
              <w:spacing w:before="120" w:after="120" w:line="240" w:lineRule="auto"/>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831F539" w14:textId="77777777" w:rsidR="008E6885" w:rsidRDefault="00EA24E7">
            <w:pPr>
              <w:pStyle w:val="P68B1DB1-Normal19"/>
              <w:spacing w:before="120"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F9976B5" w14:textId="77777777" w:rsidR="008E6885" w:rsidRDefault="00EA24E7">
            <w:pPr>
              <w:pStyle w:val="P68B1DB1-Normal19"/>
              <w:spacing w:before="120" w:after="120" w:line="240" w:lineRule="auto"/>
              <w:jc w:val="center"/>
              <w:rPr>
                <w:rFonts w:cs="Times New Roman"/>
                <w:noProof/>
              </w:rPr>
            </w:pPr>
            <w:r>
              <w:rPr>
                <w:noProof/>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D6BBFEB"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9AE5CC1"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12955C5" w14:textId="77777777" w:rsidR="008E6885" w:rsidRDefault="00EA24E7">
            <w:pPr>
              <w:pStyle w:val="P68B1DB1-Normal19"/>
              <w:spacing w:before="120" w:after="120" w:line="240" w:lineRule="auto"/>
              <w:jc w:val="both"/>
              <w:rPr>
                <w:rFonts w:cs="Times New Roman"/>
                <w:noProof/>
              </w:rPr>
            </w:pPr>
            <w:r>
              <w:rPr>
                <w:noProof/>
              </w:rPr>
              <w:t xml:space="preserve">20 modules, par exemple dans les domaines du calcul à haute performance, des technologies quantiques et des technologies linguistiques, sont conçus pour les programmes d’études de l’enseignement supérieur. </w:t>
            </w:r>
          </w:p>
        </w:tc>
      </w:tr>
      <w:tr w:rsidR="008E6885" w14:paraId="4BE9B4E8"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4996810F" w14:textId="77777777" w:rsidR="008E6885" w:rsidRDefault="00EA24E7">
            <w:pPr>
              <w:pStyle w:val="P68B1DB1-Normal19"/>
              <w:spacing w:before="120" w:after="120" w:line="240" w:lineRule="auto"/>
              <w:jc w:val="center"/>
              <w:rPr>
                <w:rFonts w:cs="Times New Roman"/>
                <w:noProof/>
                <w:highlight w:val="magenta"/>
              </w:rPr>
            </w:pPr>
            <w:r>
              <w:rPr>
                <w:noProof/>
              </w:rPr>
              <w:t>64</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DE2002E" w14:textId="77777777" w:rsidR="008E6885" w:rsidRDefault="00EA24E7">
            <w:pPr>
              <w:pStyle w:val="P68B1DB1-Normal17"/>
              <w:spacing w:before="120" w:after="120" w:line="240" w:lineRule="auto"/>
              <w:rPr>
                <w:rFonts w:cs="Times New Roman"/>
                <w:noProof/>
              </w:rPr>
            </w:pPr>
            <w:r>
              <w:rPr>
                <w:noProof/>
              </w:rPr>
              <w:t xml:space="preserve">2.3.1.2.i. Développement des compétences numériques </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522DB57C" w14:textId="77777777" w:rsidR="008E6885" w:rsidRDefault="00EA24E7">
            <w:pPr>
              <w:pStyle w:val="P68B1DB1-Normal19"/>
              <w:spacing w:before="120" w:after="120" w:line="240" w:lineRule="auto"/>
              <w:rPr>
                <w:rFonts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3E98288B" w14:textId="319B791F" w:rsidR="008E6885" w:rsidRDefault="00EA24E7">
            <w:pPr>
              <w:pStyle w:val="P68B1DB1-Normal19"/>
              <w:spacing w:before="120" w:after="120" w:line="240" w:lineRule="auto"/>
              <w:rPr>
                <w:rFonts w:cs="Times New Roman"/>
                <w:noProof/>
              </w:rPr>
            </w:pPr>
            <w:r>
              <w:rPr>
                <w:noProof/>
              </w:rPr>
              <w:t xml:space="preserve">Formations aux compétences numériques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E5835CF" w14:textId="77777777" w:rsidR="008E6885" w:rsidRDefault="00EA24E7">
            <w:pPr>
              <w:pStyle w:val="P68B1DB1-Normal19"/>
              <w:spacing w:before="120" w:after="120" w:line="240" w:lineRule="auto"/>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91533D2" w14:textId="77777777" w:rsidR="008E6885" w:rsidRDefault="00EA24E7">
            <w:pPr>
              <w:pStyle w:val="P68B1DB1-Normal19"/>
              <w:spacing w:before="120" w:after="120" w:line="240" w:lineRule="auto"/>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D71CF3D" w14:textId="77777777" w:rsidR="008E6885" w:rsidRDefault="00EA24E7">
            <w:pPr>
              <w:pStyle w:val="P68B1DB1-Normal19"/>
              <w:spacing w:before="120"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22829BC" w14:textId="77777777" w:rsidR="008E6885" w:rsidRDefault="00EA24E7">
            <w:pPr>
              <w:pStyle w:val="P68B1DB1-Normal19"/>
              <w:spacing w:before="120" w:after="120" w:line="240" w:lineRule="auto"/>
              <w:jc w:val="center"/>
              <w:rPr>
                <w:rFonts w:cs="Times New Roman"/>
                <w:noProof/>
              </w:rPr>
            </w:pPr>
            <w:r>
              <w:rPr>
                <w:noProof/>
              </w:rPr>
              <w:t>2 080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9D5CB37"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9E1E67B"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0A53CCEF" w14:textId="77777777" w:rsidR="008E6885" w:rsidRDefault="00EA24E7">
            <w:pPr>
              <w:pStyle w:val="P68B1DB1-Normal19"/>
              <w:spacing w:before="120" w:after="120" w:line="240" w:lineRule="auto"/>
              <w:jc w:val="both"/>
              <w:rPr>
                <w:rFonts w:cs="Times New Roman"/>
                <w:noProof/>
              </w:rPr>
            </w:pPr>
            <w:r>
              <w:rPr>
                <w:noProof/>
              </w:rPr>
              <w:t>Nombre de formations aux compétences numériques suivies.</w:t>
            </w:r>
          </w:p>
        </w:tc>
      </w:tr>
      <w:tr w:rsidR="008E6885" w14:paraId="5AA456C3"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5FCDF814" w14:textId="77777777" w:rsidR="008E6885" w:rsidRDefault="00EA24E7">
            <w:pPr>
              <w:pStyle w:val="P68B1DB1-Normal19"/>
              <w:spacing w:before="120" w:after="120" w:line="240" w:lineRule="auto"/>
              <w:jc w:val="center"/>
              <w:rPr>
                <w:noProof/>
              </w:rPr>
            </w:pPr>
            <w:r>
              <w:rPr>
                <w:noProof/>
              </w:rPr>
              <w:t>68 bis</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7BB30243" w14:textId="77777777" w:rsidR="008E6885" w:rsidRDefault="00EA24E7">
            <w:pPr>
              <w:pStyle w:val="P68B1DB1-Normal17"/>
              <w:spacing w:before="120" w:after="120" w:line="240" w:lineRule="auto"/>
              <w:rPr>
                <w:noProof/>
              </w:rPr>
            </w:pPr>
            <w:r>
              <w:rPr>
                <w:noProof/>
              </w:rPr>
              <w:t>2.3.1.5.i. Compétences numériques par l’intermédiaire de la plateforme de compte d’apprentissage individuel</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1D6AACDE" w14:textId="77777777" w:rsidR="008E6885" w:rsidRDefault="00EA24E7">
            <w:pPr>
              <w:pStyle w:val="P68B1DB1-Normal19"/>
              <w:spacing w:before="120" w:after="120" w:line="240" w:lineRule="auto"/>
              <w:rPr>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2076831D" w14:textId="77777777" w:rsidR="008E6885" w:rsidRDefault="00EA24E7">
            <w:pPr>
              <w:pStyle w:val="P68B1DB1-Normal19"/>
              <w:spacing w:before="120" w:after="120" w:line="240" w:lineRule="auto"/>
              <w:rPr>
                <w:noProof/>
              </w:rPr>
            </w:pPr>
            <w:r>
              <w:rPr>
                <w:noProof/>
              </w:rPr>
              <w:t>Formations aux compétences numériques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7D90A76E" w14:textId="77777777" w:rsidR="008E6885" w:rsidRDefault="00EA24E7">
            <w:pPr>
              <w:pStyle w:val="P68B1DB1-Normal19"/>
              <w:spacing w:before="120" w:after="120" w:line="240" w:lineRule="auto"/>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1741422" w14:textId="77777777" w:rsidR="008E6885" w:rsidRDefault="00EA24E7">
            <w:pPr>
              <w:pStyle w:val="P68B1DB1-Normal19"/>
              <w:spacing w:before="120" w:after="12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D3528DA" w14:textId="77777777" w:rsidR="008E6885" w:rsidRDefault="00EA24E7">
            <w:pPr>
              <w:pStyle w:val="P68B1DB1-Normal19"/>
              <w:spacing w:before="120" w:after="12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B6D1E7F" w14:textId="77777777" w:rsidR="008E6885" w:rsidRDefault="00EA24E7">
            <w:pPr>
              <w:pStyle w:val="P68B1DB1-Normal19"/>
              <w:spacing w:before="120" w:after="120" w:line="240" w:lineRule="auto"/>
              <w:jc w:val="center"/>
              <w:rPr>
                <w:noProof/>
              </w:rPr>
            </w:pPr>
            <w:r>
              <w:rPr>
                <w:noProof/>
              </w:rPr>
              <w:t>25 319</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437A5CE" w14:textId="77777777" w:rsidR="008E6885" w:rsidRDefault="00EA24E7">
            <w:pPr>
              <w:pStyle w:val="P68B1DB1-Normal19"/>
              <w:spacing w:before="120" w:after="12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5E0CE78" w14:textId="77777777" w:rsidR="008E6885" w:rsidRDefault="00EA24E7">
            <w:pPr>
              <w:pStyle w:val="P68B1DB1-Normal19"/>
              <w:spacing w:before="120" w:after="120" w:line="240" w:lineRule="auto"/>
              <w:jc w:val="center"/>
              <w:rPr>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C5D842B" w14:textId="77777777" w:rsidR="008E6885" w:rsidRDefault="00EA24E7">
            <w:pPr>
              <w:pStyle w:val="P68B1DB1-Normal19"/>
              <w:spacing w:before="120" w:after="120" w:line="240" w:lineRule="auto"/>
              <w:jc w:val="both"/>
              <w:rPr>
                <w:noProof/>
              </w:rPr>
            </w:pPr>
            <w:r>
              <w:rPr>
                <w:noProof/>
              </w:rPr>
              <w:t xml:space="preserve">25 319 formations aux compétences numériques dispensées par l’intermédiaire de la plateforme des comptes de formation individuels. </w:t>
            </w:r>
          </w:p>
        </w:tc>
      </w:tr>
      <w:tr w:rsidR="008E6885" w14:paraId="47BD4027"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6DA15B77" w14:textId="7F22705F" w:rsidR="008E6885" w:rsidRDefault="00EA24E7">
            <w:pPr>
              <w:pStyle w:val="P68B1DB1-Normal19"/>
              <w:spacing w:before="120" w:after="120" w:line="240" w:lineRule="auto"/>
              <w:jc w:val="center"/>
              <w:rPr>
                <w:rFonts w:cs="Times New Roman"/>
                <w:noProof/>
              </w:rPr>
            </w:pPr>
            <w:r>
              <w:rPr>
                <w:noProof/>
              </w:rPr>
              <w:t>69</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23EE242" w14:textId="77777777" w:rsidR="008E6885" w:rsidRDefault="00EA24E7">
            <w:pPr>
              <w:pStyle w:val="P68B1DB1-Normal17"/>
              <w:spacing w:before="120" w:after="120" w:line="240" w:lineRule="auto"/>
              <w:contextualSpacing/>
              <w:rPr>
                <w:rFonts w:cs="Times New Roman"/>
                <w:noProof/>
              </w:rPr>
            </w:pPr>
            <w:r>
              <w:rPr>
                <w:noProof/>
              </w:rPr>
              <w:t xml:space="preserve">2.3.2.r. </w:t>
            </w:r>
          </w:p>
          <w:p w14:paraId="217AEBE6" w14:textId="77777777" w:rsidR="008E6885" w:rsidRDefault="00EA24E7">
            <w:pPr>
              <w:pStyle w:val="P68B1DB1-Normal17"/>
              <w:spacing w:before="120" w:after="120" w:line="240" w:lineRule="auto"/>
              <w:contextualSpacing/>
              <w:rPr>
                <w:rFonts w:cs="Times New Roman"/>
                <w:noProof/>
              </w:rPr>
            </w:pPr>
            <w:r>
              <w:rPr>
                <w:noProof/>
              </w:rPr>
              <w:t>Compétences numériques pour la transformation numérique de la société et du gouvernement</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03B89BF1"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5C4327AB" w14:textId="77777777" w:rsidR="008E6885" w:rsidRDefault="00EA24E7">
            <w:pPr>
              <w:pStyle w:val="P68B1DB1-Normal19"/>
              <w:spacing w:before="120" w:after="120" w:line="240" w:lineRule="auto"/>
              <w:rPr>
                <w:rFonts w:cs="Times New Roman"/>
                <w:noProof/>
              </w:rPr>
            </w:pPr>
            <w:r>
              <w:rPr>
                <w:noProof/>
              </w:rPr>
              <w:t>Le cadre normatif renforce et met en œuvre un cadre commun pour l’évaluation des compétences numériques de base, l’identification et la planification des besoins de formation et l’évaluation</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1755B107" w14:textId="77777777" w:rsidR="008E6885" w:rsidRDefault="00EA24E7">
            <w:pPr>
              <w:pStyle w:val="P68B1DB1-Normal19"/>
              <w:spacing w:before="120" w:after="120" w:line="240" w:lineRule="auto"/>
              <w:rPr>
                <w:rFonts w:cs="Times New Roman"/>
                <w:noProof/>
              </w:rPr>
            </w:pPr>
            <w:r>
              <w:rPr>
                <w:noProof/>
              </w:rPr>
              <w:t>Le cadre réglementaire est entré en vigueur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D750E38"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AF486C"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57A150D"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78667F0"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A4E68AE" w14:textId="77777777" w:rsidR="008E6885" w:rsidRDefault="00EA24E7">
            <w:pPr>
              <w:pStyle w:val="P68B1DB1-Normal19"/>
              <w:spacing w:before="120" w:after="120" w:line="240" w:lineRule="auto"/>
              <w:jc w:val="center"/>
              <w:rPr>
                <w:rFonts w:cs="Times New Roman"/>
                <w:noProof/>
              </w:rPr>
            </w:pPr>
            <w:r>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D12DD37" w14:textId="77777777" w:rsidR="008E6885" w:rsidRDefault="00EA24E7">
            <w:pPr>
              <w:pStyle w:val="P68B1DB1-Normal19"/>
              <w:spacing w:before="120" w:after="120" w:line="240" w:lineRule="auto"/>
              <w:jc w:val="both"/>
              <w:rPr>
                <w:rFonts w:cs="Times New Roman"/>
                <w:noProof/>
              </w:rPr>
            </w:pPr>
            <w:r>
              <w:rPr>
                <w:noProof/>
              </w:rPr>
              <w:t xml:space="preserve">Des actes législatifs établissant un cadre commun pour l’évaluation des compétences numériques de base, l’identification et la planification des besoins de formation et l’évaluation fondée sur DigiComp 2.1 sont entrés en vigueur. </w:t>
            </w:r>
          </w:p>
        </w:tc>
      </w:tr>
      <w:tr w:rsidR="008E6885" w14:paraId="66A65039"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4252E259" w14:textId="77777777" w:rsidR="008E6885" w:rsidRDefault="00EA24E7">
            <w:pPr>
              <w:pStyle w:val="P68B1DB1-Normal19"/>
              <w:spacing w:before="120" w:after="120" w:line="240" w:lineRule="auto"/>
              <w:jc w:val="center"/>
              <w:rPr>
                <w:rFonts w:cs="Times New Roman"/>
                <w:noProof/>
              </w:rPr>
            </w:pPr>
            <w:r>
              <w:rPr>
                <w:noProof/>
              </w:rPr>
              <w:t>70</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00C2436F" w14:textId="77777777" w:rsidR="008E6885" w:rsidRDefault="00EA24E7">
            <w:pPr>
              <w:pStyle w:val="P68B1DB1-Normal17"/>
              <w:spacing w:before="120" w:after="120" w:line="240" w:lineRule="auto"/>
              <w:contextualSpacing/>
              <w:rPr>
                <w:rFonts w:cs="Times New Roman"/>
                <w:noProof/>
              </w:rPr>
            </w:pPr>
            <w:r>
              <w:rPr>
                <w:noProof/>
              </w:rPr>
              <w:t xml:space="preserve">2.3.2.r. </w:t>
            </w:r>
          </w:p>
          <w:p w14:paraId="37A1974C" w14:textId="77777777" w:rsidR="008E6885" w:rsidRDefault="00EA24E7">
            <w:pPr>
              <w:pStyle w:val="P68B1DB1-Normal17"/>
              <w:spacing w:before="120" w:after="120" w:line="240" w:lineRule="auto"/>
              <w:contextualSpacing/>
              <w:rPr>
                <w:rFonts w:cs="Times New Roman"/>
                <w:noProof/>
              </w:rPr>
            </w:pPr>
            <w:r>
              <w:rPr>
                <w:noProof/>
              </w:rPr>
              <w:t>Compétences numériques pour la transformation numérique de la société et du gouvernement</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4D360B43"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2D5AE7AD" w14:textId="77777777" w:rsidR="008E6885" w:rsidRDefault="00EA24E7">
            <w:pPr>
              <w:pStyle w:val="P68B1DB1-Normal19"/>
              <w:spacing w:before="120" w:after="120" w:line="240" w:lineRule="auto"/>
              <w:rPr>
                <w:rFonts w:cs="Times New Roman"/>
                <w:noProof/>
              </w:rPr>
            </w:pPr>
            <w:r>
              <w:rPr>
                <w:noProof/>
              </w:rPr>
              <w:t xml:space="preserve">Des modifications sont entrées en vigueur dans les actes normatifs relatifs aux normes nationales en matière d’enseignement supérieur, prévoyant la réalisation des résultats des études sur les compétences numériques aux niveaux correspondants du cadre letton des certifications.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1376A5A0" w14:textId="77777777" w:rsidR="008E6885" w:rsidRDefault="00EA24E7">
            <w:pPr>
              <w:pStyle w:val="P68B1DB1-Normal19"/>
              <w:spacing w:before="120" w:after="120" w:line="240" w:lineRule="auto"/>
              <w:rPr>
                <w:rFonts w:cs="Times New Roman"/>
                <w:noProof/>
              </w:rPr>
            </w:pPr>
            <w:r>
              <w:rPr>
                <w:noProof/>
              </w:rPr>
              <w:t>Le cadre réglementaire modifié est entré en vigueur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9BCB36E"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73C67AA"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361C365"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891BCFB"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A0BA101" w14:textId="77777777" w:rsidR="008E6885" w:rsidRDefault="00EA24E7">
            <w:pPr>
              <w:pStyle w:val="P68B1DB1-Normal19"/>
              <w:spacing w:before="120" w:after="120" w:line="240" w:lineRule="auto"/>
              <w:jc w:val="center"/>
              <w:rPr>
                <w:rFonts w:cs="Times New Roman"/>
                <w:noProof/>
              </w:rPr>
            </w:pPr>
            <w:r>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B2C8991" w14:textId="77777777" w:rsidR="008E6885" w:rsidRDefault="00EA24E7">
            <w:pPr>
              <w:pStyle w:val="P68B1DB1-Normal19"/>
              <w:spacing w:before="120" w:after="120" w:line="240" w:lineRule="auto"/>
              <w:jc w:val="both"/>
              <w:rPr>
                <w:rFonts w:cs="Times New Roman"/>
                <w:noProof/>
              </w:rPr>
            </w:pPr>
            <w:r>
              <w:rPr>
                <w:noProof/>
              </w:rPr>
              <w:t>Des modifications des normes nationales de l'enseignement supérieur (norme nationale pour l'enseignement universitaire supérieur et norme nationale pour l'enseignement professionnel supérieur) sont entrées en vigueur. Ils établissent les résultats à atteindre dans l’acquisition de compétences numériques et veillent à leur application dans le développement, l’octroi de licences et l’accréditation de programmes d’enseignement supérieur, à condition que les programmes d’études qui sont élaborés, agréés et accrédités après l’entrée en vigueur du cadre réglementaire comprennent les résultats d’études réalisables et les cours ou modules appropriés pour les atteindre.</w:t>
            </w:r>
          </w:p>
        </w:tc>
      </w:tr>
      <w:tr w:rsidR="008E6885" w14:paraId="2BAF3B3F"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15607EAA" w14:textId="77777777" w:rsidR="008E6885" w:rsidRDefault="00EA24E7">
            <w:pPr>
              <w:pStyle w:val="P68B1DB1-Normal19"/>
              <w:spacing w:before="120" w:after="120" w:line="240" w:lineRule="auto"/>
              <w:jc w:val="center"/>
              <w:rPr>
                <w:rFonts w:cs="Times New Roman"/>
                <w:noProof/>
              </w:rPr>
            </w:pPr>
            <w:r>
              <w:rPr>
                <w:noProof/>
              </w:rPr>
              <w:t>73</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31E7FF13" w14:textId="77777777" w:rsidR="008E6885" w:rsidRDefault="00EA24E7">
            <w:pPr>
              <w:pStyle w:val="P68B1DB1-Normal17"/>
              <w:spacing w:before="120" w:after="120" w:line="240" w:lineRule="auto"/>
              <w:contextualSpacing/>
              <w:rPr>
                <w:rFonts w:cs="Times New Roman"/>
                <w:bCs/>
                <w:noProof/>
              </w:rPr>
            </w:pPr>
            <w:r>
              <w:rPr>
                <w:noProof/>
              </w:rPr>
              <w:t xml:space="preserve">2.3.2.1.i. </w:t>
            </w:r>
          </w:p>
          <w:p w14:paraId="2C314209" w14:textId="77777777" w:rsidR="008E6885" w:rsidRDefault="00EA24E7">
            <w:pPr>
              <w:pStyle w:val="P68B1DB1-Normal17"/>
              <w:spacing w:before="120" w:after="120" w:line="240" w:lineRule="auto"/>
              <w:contextualSpacing/>
              <w:rPr>
                <w:rFonts w:cs="Times New Roman"/>
                <w:bCs/>
                <w:noProof/>
              </w:rPr>
            </w:pPr>
            <w:r>
              <w:rPr>
                <w:noProof/>
              </w:rPr>
              <w:t>Compétences numériques pour les personnes, y compris les jeunes</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78BF2DB4"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59495BCF" w14:textId="77777777" w:rsidR="008E6885" w:rsidRDefault="00EA24E7">
            <w:pPr>
              <w:pStyle w:val="P68B1DB1-Normal19"/>
              <w:spacing w:before="120" w:after="120" w:line="240" w:lineRule="auto"/>
              <w:rPr>
                <w:rFonts w:cs="Times New Roman"/>
                <w:noProof/>
              </w:rPr>
            </w:pPr>
            <w:r>
              <w:rPr>
                <w:noProof/>
              </w:rPr>
              <w:t>Système numérique d’animation socio-éducative dans les municipalités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E53F322" w14:textId="77777777" w:rsidR="008E6885" w:rsidRDefault="00EA24E7">
            <w:pPr>
              <w:pStyle w:val="P68B1DB1-Normal19"/>
              <w:spacing w:before="120" w:after="120" w:line="240" w:lineRule="auto"/>
              <w:rPr>
                <w:rFonts w:cs="Times New Roman"/>
                <w:noProof/>
              </w:rPr>
            </w:pPr>
            <w:r>
              <w:rPr>
                <w:noProof/>
              </w:rPr>
              <w:t>Lettre(s) d'achèvement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5A33E83"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2A1F572"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A51BF54"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D25B3BD"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A6D294F"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08D698C4" w14:textId="77777777" w:rsidR="008E6885" w:rsidRDefault="00EA24E7">
            <w:pPr>
              <w:pStyle w:val="P68B1DB1-Normal19"/>
              <w:spacing w:before="120" w:after="120" w:line="240" w:lineRule="auto"/>
              <w:jc w:val="both"/>
              <w:rPr>
                <w:noProof/>
              </w:rPr>
            </w:pPr>
            <w:r>
              <w:rPr>
                <w:noProof/>
              </w:rPr>
              <w:t xml:space="preserve">Lettre(s) d'achèvement émise(s) par l'Agence centrale de financement et de passation de contrats (CFCA) sur le système d'animation socio-éducative numérique dans 42 municipalités en lien avec un contrat avec l'Agence pour les programmes internationaux pour la jeunesse (AIYP). </w:t>
            </w:r>
          </w:p>
        </w:tc>
      </w:tr>
      <w:tr w:rsidR="008E6885" w14:paraId="748EE4D3"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7C80A185" w14:textId="673DF7BA" w:rsidR="008E6885" w:rsidRDefault="00EA24E7">
            <w:pPr>
              <w:pStyle w:val="P68B1DB1-Normal19"/>
              <w:spacing w:before="120" w:after="120" w:line="240" w:lineRule="auto"/>
              <w:jc w:val="center"/>
              <w:rPr>
                <w:rFonts w:cs="Times New Roman"/>
                <w:noProof/>
              </w:rPr>
            </w:pPr>
            <w:r>
              <w:rPr>
                <w:noProof/>
              </w:rPr>
              <w:t>74</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DC17003" w14:textId="77777777" w:rsidR="008E6885" w:rsidRDefault="00EA24E7">
            <w:pPr>
              <w:pStyle w:val="P68B1DB1-Normal17"/>
              <w:spacing w:before="120" w:after="120" w:line="240" w:lineRule="auto"/>
              <w:contextualSpacing/>
              <w:rPr>
                <w:noProof/>
              </w:rPr>
            </w:pPr>
            <w:r>
              <w:rPr>
                <w:noProof/>
              </w:rPr>
              <w:t xml:space="preserve">2.3.2.2.i. </w:t>
            </w:r>
          </w:p>
          <w:p w14:paraId="30F3174E" w14:textId="77777777" w:rsidR="008E6885" w:rsidRDefault="00EA24E7">
            <w:pPr>
              <w:pStyle w:val="P68B1DB1-Normal17"/>
              <w:spacing w:before="120" w:after="120" w:line="240" w:lineRule="auto"/>
              <w:contextualSpacing/>
              <w:rPr>
                <w:rFonts w:cs="Times New Roman"/>
                <w:noProof/>
              </w:rPr>
            </w:pPr>
            <w:r>
              <w:rPr>
                <w:noProof/>
              </w:rPr>
              <w:t>Développement des compétences et des capacités de transformation numérique des gouvernements étatiques et locaux</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78D1DAAF"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25BF5321" w14:textId="77777777" w:rsidR="008E6885" w:rsidRDefault="00EA24E7">
            <w:pPr>
              <w:pStyle w:val="P68B1DB1-Normal19"/>
              <w:spacing w:before="120" w:after="120" w:line="240" w:lineRule="auto"/>
              <w:rPr>
                <w:rFonts w:cs="Times New Roman"/>
                <w:noProof/>
              </w:rPr>
            </w:pPr>
            <w:r>
              <w:rPr>
                <w:noProof/>
              </w:rPr>
              <w:t>Élaboration d’un cadre de compétences numériques pour l’administration publique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7E4CDAA" w14:textId="77777777" w:rsidR="008E6885" w:rsidRDefault="00EA24E7">
            <w:pPr>
              <w:pStyle w:val="P68B1DB1-Normal19"/>
              <w:spacing w:before="120" w:after="120" w:line="240" w:lineRule="auto"/>
              <w:rPr>
                <w:rFonts w:cs="Times New Roman"/>
                <w:noProof/>
              </w:rPr>
            </w:pPr>
            <w:r>
              <w:rPr>
                <w:noProof/>
              </w:rPr>
              <w:t>Le cadre de compétences numériques est disponible dans le système de gestion de la formation de l’école de l’administration publique et approuvé par un acte réglementaire interne de l’école de l’administration publique.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FB2C0D5"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79C8F8E"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C3C352A"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CD092C1"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89AD1C0" w14:textId="77777777" w:rsidR="008E6885" w:rsidRDefault="00EA24E7">
            <w:pPr>
              <w:pStyle w:val="P68B1DB1-Normal19"/>
              <w:spacing w:before="120" w:after="120" w:line="240" w:lineRule="auto"/>
              <w:jc w:val="center"/>
              <w:rPr>
                <w:rFonts w:cs="Times New Roman"/>
                <w:noProof/>
              </w:rPr>
            </w:pPr>
            <w:r>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466D9235" w14:textId="77777777" w:rsidR="008E6885" w:rsidRDefault="00EA24E7">
            <w:pPr>
              <w:pStyle w:val="P68B1DB1-Normal19"/>
              <w:spacing w:before="120" w:after="120" w:line="240" w:lineRule="auto"/>
              <w:jc w:val="both"/>
              <w:rPr>
                <w:rFonts w:cs="Times New Roman"/>
                <w:noProof/>
              </w:rPr>
            </w:pPr>
            <w:r>
              <w:rPr>
                <w:noProof/>
              </w:rPr>
              <w:t>Le cadre des compétences numériques de l’administration publique, y compris les programmes d’études, est élaboré.</w:t>
            </w:r>
          </w:p>
        </w:tc>
      </w:tr>
      <w:tr w:rsidR="008E6885" w14:paraId="59CB0528"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28ED703C" w14:textId="77777777" w:rsidR="008E6885" w:rsidRDefault="00EA24E7">
            <w:pPr>
              <w:pStyle w:val="P68B1DB1-Normal19"/>
              <w:spacing w:before="120" w:after="120" w:line="240" w:lineRule="auto"/>
              <w:jc w:val="center"/>
              <w:rPr>
                <w:rFonts w:cs="Times New Roman"/>
                <w:noProof/>
              </w:rPr>
            </w:pPr>
            <w:r>
              <w:rPr>
                <w:noProof/>
              </w:rPr>
              <w:t>76</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37F771C2" w14:textId="77777777" w:rsidR="008E6885" w:rsidRDefault="00EA24E7">
            <w:pPr>
              <w:pStyle w:val="P68B1DB1-Normal17"/>
              <w:spacing w:before="120" w:after="120" w:line="240" w:lineRule="auto"/>
              <w:contextualSpacing/>
              <w:rPr>
                <w:noProof/>
              </w:rPr>
            </w:pPr>
            <w:r>
              <w:rPr>
                <w:noProof/>
              </w:rPr>
              <w:t xml:space="preserve">2.3.2.2.i. </w:t>
            </w:r>
          </w:p>
          <w:p w14:paraId="2AD3EFA7" w14:textId="77777777" w:rsidR="008E6885" w:rsidRDefault="00EA24E7">
            <w:pPr>
              <w:pStyle w:val="P68B1DB1-Normal17"/>
              <w:spacing w:before="120" w:after="120" w:line="240" w:lineRule="auto"/>
              <w:contextualSpacing/>
              <w:rPr>
                <w:rFonts w:cs="Times New Roman"/>
                <w:noProof/>
              </w:rPr>
            </w:pPr>
            <w:r>
              <w:rPr>
                <w:noProof/>
              </w:rPr>
              <w:t>Développement des compétences et des capacités de transformation numérique des gouvernements étatiques et locaux</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1F9D9AC8" w14:textId="77777777" w:rsidR="008E6885" w:rsidRDefault="00EA24E7">
            <w:pPr>
              <w:pStyle w:val="P68B1DB1-Normal19"/>
              <w:spacing w:before="120" w:after="120" w:line="240" w:lineRule="auto"/>
              <w:rPr>
                <w:rFonts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7C47BE93" w14:textId="77777777" w:rsidR="008E6885" w:rsidRDefault="00EA24E7">
            <w:pPr>
              <w:pStyle w:val="P68B1DB1-Normal19"/>
              <w:spacing w:before="120" w:after="120" w:line="240" w:lineRule="auto"/>
              <w:rPr>
                <w:rFonts w:cs="Times New Roman"/>
                <w:noProof/>
              </w:rPr>
            </w:pPr>
            <w:r>
              <w:rPr>
                <w:noProof/>
              </w:rPr>
              <w:t xml:space="preserve">Formations suivies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766F806"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445EA4C" w14:textId="77777777" w:rsidR="008E6885" w:rsidRDefault="00EA24E7">
            <w:pPr>
              <w:pStyle w:val="P68B1DB1-Normal19"/>
              <w:spacing w:before="120" w:after="120" w:line="240" w:lineRule="auto"/>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93A69EF" w14:textId="77777777" w:rsidR="008E6885" w:rsidRDefault="00EA24E7">
            <w:pPr>
              <w:pStyle w:val="P68B1DB1-Normal19"/>
              <w:spacing w:before="120"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0FEC746" w14:textId="77777777" w:rsidR="008E6885" w:rsidRDefault="00EA24E7">
            <w:pPr>
              <w:pStyle w:val="P68B1DB1-Normal19"/>
              <w:spacing w:before="120" w:after="120" w:line="240" w:lineRule="auto"/>
              <w:jc w:val="center"/>
              <w:rPr>
                <w:rFonts w:cs="Times New Roman"/>
                <w:noProof/>
              </w:rPr>
            </w:pPr>
            <w:r>
              <w:rPr>
                <w:noProof/>
              </w:rPr>
              <w:t>62 900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92F8CEB"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3DC798"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D1F0335" w14:textId="77777777" w:rsidR="008E6885" w:rsidRDefault="00EA24E7">
            <w:pPr>
              <w:pStyle w:val="P68B1DB1-Normal19"/>
              <w:spacing w:before="120" w:after="120" w:line="240" w:lineRule="auto"/>
              <w:jc w:val="both"/>
              <w:rPr>
                <w:rFonts w:cs="Times New Roman"/>
                <w:noProof/>
              </w:rPr>
            </w:pPr>
            <w:r>
              <w:rPr>
                <w:noProof/>
              </w:rPr>
              <w:t>Nombre de formations suivies, par exemple, dans 1) la gestion et le développement de la numérisation; 2) la création de contenu numérique; 3) la cybersécurité; 4) la communication et la collaboration; 5) l'éducation à l'information et aux données; 6) compétences transversales.</w:t>
            </w:r>
          </w:p>
        </w:tc>
      </w:tr>
      <w:tr w:rsidR="008E6885" w14:paraId="64CC356B"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5C91C7F1" w14:textId="77777777" w:rsidR="008E6885" w:rsidRDefault="00EA24E7">
            <w:pPr>
              <w:pStyle w:val="P68B1DB1-Normal19"/>
              <w:spacing w:before="120" w:after="120" w:line="240" w:lineRule="auto"/>
              <w:jc w:val="center"/>
              <w:rPr>
                <w:rFonts w:cs="Times New Roman"/>
                <w:noProof/>
              </w:rPr>
            </w:pPr>
            <w:r>
              <w:rPr>
                <w:noProof/>
              </w:rPr>
              <w:t>77</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5FB03E6B" w14:textId="77777777" w:rsidR="008E6885" w:rsidRDefault="00EA24E7">
            <w:pPr>
              <w:pStyle w:val="P68B1DB1-Normal17"/>
              <w:spacing w:before="120" w:after="120" w:line="240" w:lineRule="auto"/>
              <w:contextualSpacing/>
              <w:rPr>
                <w:rFonts w:cs="Times New Roman"/>
                <w:noProof/>
              </w:rPr>
            </w:pPr>
            <w:r>
              <w:rPr>
                <w:noProof/>
              </w:rPr>
              <w:t xml:space="preserve">2.3.2.3.i. </w:t>
            </w:r>
          </w:p>
          <w:p w14:paraId="07576EDC" w14:textId="77777777" w:rsidR="008E6885" w:rsidRDefault="00EA24E7">
            <w:pPr>
              <w:pStyle w:val="P68B1DB1-Normal17"/>
              <w:spacing w:before="120" w:after="120" w:line="240" w:lineRule="auto"/>
              <w:contextualSpacing/>
              <w:rPr>
                <w:rFonts w:cs="Times New Roman"/>
                <w:noProof/>
              </w:rPr>
            </w:pPr>
            <w:r>
              <w:rPr>
                <w:noProof/>
              </w:rPr>
              <w:t xml:space="preserve">Combler la fracture numérique pour les élèves et les établissements d’enseignement socialement vulnérables </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4044952F"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221C0CCF" w14:textId="77777777" w:rsidR="008E6885" w:rsidRDefault="00EA24E7">
            <w:pPr>
              <w:pStyle w:val="P68B1DB1-Normal19"/>
              <w:spacing w:before="120" w:after="120" w:line="240" w:lineRule="auto"/>
              <w:rPr>
                <w:rFonts w:cs="Times New Roman"/>
                <w:noProof/>
              </w:rPr>
            </w:pPr>
            <w:r>
              <w:rPr>
                <w:noProof/>
              </w:rPr>
              <w:t>Entrée en vigueur d'un cadre réglementaire fixant les procédures d'organisation et de mise en œuvre de l'apprentissage à distance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292427C9" w14:textId="77777777" w:rsidR="008E6885" w:rsidRDefault="00EA24E7">
            <w:pPr>
              <w:pStyle w:val="P68B1DB1-Normal19"/>
              <w:spacing w:before="120" w:after="120" w:line="240" w:lineRule="auto"/>
              <w:rPr>
                <w:rFonts w:cs="Times New Roman"/>
                <w:noProof/>
              </w:rPr>
            </w:pPr>
            <w:r>
              <w:rPr>
                <w:noProof/>
              </w:rPr>
              <w:t>Entrée en vigueur d'un cadre réglementaire fixant les procédures d'organisation et de mise en œuvre de l'apprentissage à distance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B17018A"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CA2FBD3"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3A3AEAF"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971521A"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B67AA2E" w14:textId="77777777" w:rsidR="008E6885" w:rsidRDefault="00EA24E7">
            <w:pPr>
              <w:pStyle w:val="P68B1DB1-Normal19"/>
              <w:spacing w:before="120" w:after="120" w:line="240" w:lineRule="auto"/>
              <w:jc w:val="center"/>
              <w:rPr>
                <w:rFonts w:cs="Times New Roman"/>
                <w:noProof/>
              </w:rPr>
            </w:pPr>
            <w:r>
              <w:rPr>
                <w:noProof/>
              </w:rPr>
              <w:t>2021</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2F86E92" w14:textId="77777777" w:rsidR="008E6885" w:rsidRDefault="00EA24E7">
            <w:pPr>
              <w:pStyle w:val="P68B1DB1-Normal19"/>
              <w:spacing w:before="120" w:after="120" w:line="240" w:lineRule="auto"/>
              <w:jc w:val="both"/>
              <w:rPr>
                <w:rFonts w:cs="Times New Roman"/>
                <w:noProof/>
              </w:rPr>
            </w:pPr>
            <w:r>
              <w:rPr>
                <w:noProof/>
              </w:rPr>
              <w:t>Entrée en vigueur des règlements du cabinet des ministres fixant les critères et les conditions d’organisation et de conduite de l’apprentissage à distance afin de garantir que l’apprentissage à distance est organisé et mis en œuvre dans tous les établissements d’enseignement et niveaux d’enseignement lettons (à l’exception du niveau préscolaire).</w:t>
            </w:r>
          </w:p>
          <w:p w14:paraId="2FB691EF" w14:textId="77777777" w:rsidR="008E6885" w:rsidRDefault="00EA24E7">
            <w:pPr>
              <w:pStyle w:val="P68B1DB1-Normal19"/>
              <w:spacing w:before="120" w:after="120" w:line="240" w:lineRule="auto"/>
              <w:jc w:val="both"/>
              <w:rPr>
                <w:rFonts w:cs="Times New Roman"/>
                <w:noProof/>
              </w:rPr>
            </w:pPr>
            <w:r>
              <w:rPr>
                <w:noProof/>
              </w:rPr>
              <w:t>L’établissement d’enseignement inclut dans ses règles internes un cadre pour l’organisation et la mise en œuvre de l’apprentissage à distance, comprenant:</w:t>
            </w:r>
          </w:p>
          <w:p w14:paraId="0A094ED3" w14:textId="77777777" w:rsidR="008E6885" w:rsidRDefault="00EA24E7">
            <w:pPr>
              <w:pStyle w:val="P68B1DB1-Normal19"/>
              <w:spacing w:before="120" w:after="120" w:line="240" w:lineRule="auto"/>
              <w:jc w:val="both"/>
              <w:rPr>
                <w:rFonts w:cs="Times New Roman"/>
                <w:noProof/>
              </w:rPr>
            </w:pPr>
            <w:r>
              <w:rPr>
                <w:noProof/>
              </w:rPr>
              <w:t>1. la procédure par laquelle l'établissement d'enseignement détermine si des moyens techniques sont à la disposition des apprenants pour la fourniture de l'apprentissage à distance, ainsi que les procédures pour la fourniture de ces moyens techniques s'ils ne sont pas à la disposition des apprenants;</w:t>
            </w:r>
          </w:p>
          <w:p w14:paraId="2221B5B1" w14:textId="77777777" w:rsidR="008E6885" w:rsidRDefault="00EA24E7">
            <w:pPr>
              <w:pStyle w:val="P68B1DB1-Normal19"/>
              <w:spacing w:before="120" w:after="120" w:line="240" w:lineRule="auto"/>
              <w:jc w:val="both"/>
              <w:rPr>
                <w:rFonts w:cs="Times New Roman"/>
                <w:noProof/>
              </w:rPr>
            </w:pPr>
            <w:r>
              <w:rPr>
                <w:noProof/>
              </w:rPr>
              <w:t>2. la procédure d'enregistrement de la participation des étudiants à l'apprentissage à distance et l'exécution des tâches assignées;</w:t>
            </w:r>
          </w:p>
          <w:p w14:paraId="02441442" w14:textId="77777777" w:rsidR="008E6885" w:rsidRDefault="00EA24E7">
            <w:pPr>
              <w:pStyle w:val="P68B1DB1-Normal19"/>
              <w:spacing w:before="120" w:after="120" w:line="240" w:lineRule="auto"/>
              <w:jc w:val="both"/>
              <w:rPr>
                <w:rFonts w:cs="Times New Roman"/>
                <w:noProof/>
              </w:rPr>
            </w:pPr>
            <w:r>
              <w:rPr>
                <w:noProof/>
              </w:rPr>
              <w:t>3. dans les cas où la participation de l'apprenant à l'apprentissage à distance n'est pas possible ou est entravée pour des raisons techniques;</w:t>
            </w:r>
          </w:p>
          <w:p w14:paraId="08C9C9FF" w14:textId="77777777" w:rsidR="008E6885" w:rsidRDefault="00EA24E7">
            <w:pPr>
              <w:pStyle w:val="P68B1DB1-Normal19"/>
              <w:spacing w:before="120" w:after="120" w:line="240" w:lineRule="auto"/>
              <w:jc w:val="both"/>
              <w:rPr>
                <w:rFonts w:cs="Times New Roman"/>
                <w:noProof/>
              </w:rPr>
            </w:pPr>
            <w:r>
              <w:rPr>
                <w:noProof/>
              </w:rPr>
              <w:t>4. les procédures visant à garantir le respect des exigences de sécurité lors de l'apprentissage à distance et les procédures de communication avec les représentants légaux de l'apprenant en cas de risques pour la sécurité ou la santé;</w:t>
            </w:r>
          </w:p>
          <w:p w14:paraId="405700F3" w14:textId="77777777" w:rsidR="008E6885" w:rsidRDefault="00EA24E7">
            <w:pPr>
              <w:pStyle w:val="P68B1DB1-Normal19"/>
              <w:spacing w:before="120" w:after="120" w:line="240" w:lineRule="auto"/>
              <w:jc w:val="both"/>
              <w:rPr>
                <w:rFonts w:cs="Times New Roman"/>
                <w:noProof/>
              </w:rPr>
            </w:pPr>
            <w:r>
              <w:rPr>
                <w:noProof/>
              </w:rPr>
              <w:t>5. Procédure par laquelle les apprenants utilisent les ressources et l'infrastructure des établissements d'enseignement (locaux, bibliothèques, etc.) dans le cadre de l'apprentissage à distance.</w:t>
            </w:r>
          </w:p>
        </w:tc>
      </w:tr>
      <w:tr w:rsidR="008E6885" w14:paraId="1DB939BA"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092A41E9" w14:textId="77777777" w:rsidR="008E6885" w:rsidRDefault="00EA24E7">
            <w:pPr>
              <w:pStyle w:val="P68B1DB1-Normal19"/>
              <w:spacing w:before="120" w:after="120" w:line="240" w:lineRule="auto"/>
              <w:jc w:val="center"/>
              <w:rPr>
                <w:rFonts w:cs="Times New Roman"/>
                <w:noProof/>
              </w:rPr>
            </w:pPr>
            <w:r>
              <w:rPr>
                <w:noProof/>
              </w:rPr>
              <w:t>79</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352F3AAC" w14:textId="77777777" w:rsidR="008E6885" w:rsidRDefault="00EA24E7">
            <w:pPr>
              <w:pStyle w:val="P68B1DB1-Normal17"/>
              <w:spacing w:before="120" w:after="120" w:line="240" w:lineRule="auto"/>
              <w:contextualSpacing/>
              <w:rPr>
                <w:rFonts w:cs="Times New Roman"/>
                <w:noProof/>
              </w:rPr>
            </w:pPr>
            <w:r>
              <w:rPr>
                <w:noProof/>
              </w:rPr>
              <w:t xml:space="preserve">2.3.2.3.i. </w:t>
            </w:r>
          </w:p>
          <w:p w14:paraId="6FEAA6B5" w14:textId="77777777" w:rsidR="008E6885" w:rsidRDefault="00EA24E7">
            <w:pPr>
              <w:pStyle w:val="P68B1DB1-Normal17"/>
              <w:spacing w:before="120" w:after="120" w:line="240" w:lineRule="auto"/>
              <w:contextualSpacing/>
              <w:rPr>
                <w:rFonts w:cs="Times New Roman"/>
                <w:noProof/>
              </w:rPr>
            </w:pPr>
            <w:r>
              <w:rPr>
                <w:noProof/>
              </w:rPr>
              <w:t>Combler la fracture numérique pour les élèves et les établissements d’enseignement socialement vulnérables</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180A5FDF" w14:textId="77777777" w:rsidR="008E6885" w:rsidRDefault="00EA24E7">
            <w:pPr>
              <w:pStyle w:val="P68B1DB1-Normal19"/>
              <w:spacing w:before="120" w:after="120" w:line="240" w:lineRule="auto"/>
              <w:rPr>
                <w:rFonts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610CBA10" w14:textId="77777777" w:rsidR="008E6885" w:rsidRDefault="00EA24E7">
            <w:pPr>
              <w:pStyle w:val="P68B1DB1-Normal19"/>
              <w:spacing w:before="120" w:after="120" w:line="240" w:lineRule="auto"/>
              <w:rPr>
                <w:rFonts w:cs="Times New Roman"/>
                <w:noProof/>
              </w:rPr>
            </w:pPr>
            <w:r>
              <w:rPr>
                <w:noProof/>
              </w:rPr>
              <w:t>Nombre d’unités d’équipement TIC pour le groupe cible (apprenants)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404ADFAA"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3734D29" w14:textId="77777777" w:rsidR="008E6885" w:rsidRDefault="00EA24E7">
            <w:pPr>
              <w:pStyle w:val="P68B1DB1-Normal19"/>
              <w:spacing w:before="120" w:after="120" w:line="240" w:lineRule="auto"/>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963CD8C" w14:textId="77777777" w:rsidR="008E6885" w:rsidRDefault="00EA24E7">
            <w:pPr>
              <w:pStyle w:val="P68B1DB1-Normal19"/>
              <w:spacing w:before="120"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4D161C8" w14:textId="77777777" w:rsidR="008E6885" w:rsidRDefault="00EA24E7">
            <w:pPr>
              <w:pStyle w:val="P68B1DB1-Normal19"/>
              <w:spacing w:before="120" w:after="120" w:line="240" w:lineRule="auto"/>
              <w:jc w:val="center"/>
              <w:rPr>
                <w:rFonts w:cs="Times New Roman"/>
                <w:noProof/>
              </w:rPr>
            </w:pPr>
            <w:r>
              <w:rPr>
                <w:noProof/>
              </w:rPr>
              <w:t>26 620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FA0FB0A"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DCB901E" w14:textId="77777777" w:rsidR="008E6885" w:rsidRDefault="00EA24E7">
            <w:pPr>
              <w:pStyle w:val="P68B1DB1-Normal19"/>
              <w:spacing w:before="120" w:after="120" w:line="240" w:lineRule="auto"/>
              <w:jc w:val="center"/>
              <w:rPr>
                <w:rFonts w:cs="Times New Roman"/>
                <w:noProof/>
              </w:rPr>
            </w:pPr>
            <w:r>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5648E71" w14:textId="77777777" w:rsidR="008E6885" w:rsidRDefault="00EA24E7">
            <w:pPr>
              <w:pStyle w:val="P68B1DB1-Normal19"/>
              <w:spacing w:before="120" w:after="120" w:line="240" w:lineRule="auto"/>
              <w:jc w:val="both"/>
              <w:rPr>
                <w:rFonts w:cs="Times New Roman"/>
                <w:noProof/>
              </w:rPr>
            </w:pPr>
            <w:r>
              <w:rPr>
                <w:noProof/>
              </w:rPr>
              <w:t>Nombre d’unités d’équipement TIC achetées et livrées aux municipalités ou directement aux établissements d’enseignement pour l’enseignement général.</w:t>
            </w:r>
          </w:p>
        </w:tc>
      </w:tr>
      <w:tr w:rsidR="008E6885" w14:paraId="7154BF71"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65E862A5" w14:textId="77777777" w:rsidR="008E6885" w:rsidRDefault="00EA24E7">
            <w:pPr>
              <w:pStyle w:val="P68B1DB1-Normal19"/>
              <w:spacing w:before="120" w:after="120" w:line="240" w:lineRule="auto"/>
              <w:jc w:val="center"/>
              <w:rPr>
                <w:rFonts w:cs="Times New Roman"/>
                <w:noProof/>
              </w:rPr>
            </w:pPr>
            <w:r>
              <w:rPr>
                <w:noProof/>
              </w:rPr>
              <w:t>80</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1F1D381F" w14:textId="77777777" w:rsidR="008E6885" w:rsidRDefault="00EA24E7">
            <w:pPr>
              <w:pStyle w:val="P68B1DB1-Normal17"/>
              <w:spacing w:before="120" w:after="120" w:line="240" w:lineRule="auto"/>
              <w:contextualSpacing/>
              <w:rPr>
                <w:rFonts w:cs="Times New Roman"/>
                <w:noProof/>
              </w:rPr>
            </w:pPr>
            <w:r>
              <w:rPr>
                <w:noProof/>
              </w:rPr>
              <w:t xml:space="preserve">2.4.1.r. </w:t>
            </w:r>
          </w:p>
          <w:p w14:paraId="3EFED17B" w14:textId="77777777" w:rsidR="008E6885" w:rsidRDefault="00EA24E7">
            <w:pPr>
              <w:pStyle w:val="P68B1DB1-Normal17"/>
              <w:spacing w:before="120" w:after="120" w:line="240" w:lineRule="auto"/>
              <w:contextualSpacing/>
              <w:rPr>
                <w:rFonts w:cs="Times New Roman"/>
                <w:noProof/>
              </w:rPr>
            </w:pPr>
            <w:r>
              <w:rPr>
                <w:noProof/>
              </w:rPr>
              <w:t>Développement des infrastructures à large bande</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50B73BD1"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207E9C7E" w14:textId="77777777" w:rsidR="008E6885" w:rsidRDefault="00EA24E7">
            <w:pPr>
              <w:pStyle w:val="P68B1DB1-Normal19"/>
              <w:spacing w:before="120" w:after="120" w:line="240" w:lineRule="auto"/>
              <w:rPr>
                <w:rFonts w:cs="Times New Roman"/>
                <w:noProof/>
              </w:rPr>
            </w:pPr>
            <w:r>
              <w:rPr>
                <w:noProof/>
              </w:rPr>
              <w:t>Adoption d'exigences techniques pour la conduite connectée et automatisée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4463FE7" w14:textId="77777777" w:rsidR="008E6885" w:rsidRDefault="00EA24E7">
            <w:pPr>
              <w:pStyle w:val="P68B1DB1-Normal19"/>
              <w:spacing w:before="120" w:after="120" w:line="240" w:lineRule="auto"/>
              <w:rPr>
                <w:rFonts w:cs="Times New Roman"/>
                <w:noProof/>
              </w:rPr>
            </w:pPr>
            <w:r>
              <w:rPr>
                <w:noProof/>
              </w:rPr>
              <w:t xml:space="preserve">Adoption d'exigences techniques communes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60E4841"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CF69617"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AE8DE33"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2A12F74"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CA668AE" w14:textId="77777777" w:rsidR="008E6885" w:rsidRDefault="00EA24E7">
            <w:pPr>
              <w:pStyle w:val="P68B1DB1-Normal19"/>
              <w:spacing w:before="120" w:after="120" w:line="240" w:lineRule="auto"/>
              <w:jc w:val="center"/>
              <w:rPr>
                <w:rFonts w:cs="Times New Roman"/>
                <w:noProof/>
              </w:rPr>
            </w:pPr>
            <w:r>
              <w:rPr>
                <w:noProof/>
              </w:rPr>
              <w:t>2021</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770AB87E" w14:textId="77777777" w:rsidR="008E6885" w:rsidRDefault="00EA24E7">
            <w:pPr>
              <w:pStyle w:val="P68B1DB1-Normal19"/>
              <w:spacing w:before="120" w:after="120" w:line="240" w:lineRule="auto"/>
              <w:jc w:val="both"/>
              <w:rPr>
                <w:rFonts w:cs="Times New Roman"/>
                <w:noProof/>
              </w:rPr>
            </w:pPr>
            <w:r>
              <w:rPr>
                <w:noProof/>
              </w:rPr>
              <w:t xml:space="preserve">Le SJSC «Latvian State Radio and Television Centre» définit les exigences techniques communes applicables aux opérateurs de communications électroniques pour permettre la conduite connectée et automatisée. Cela tient compte des besoins des exploitants, en coopération avec les représentants de l’Estonie, de la Lituanie et de la Pologne, afin de faciliter le développement d’un corridor de conduite connecté et automatisé le long de la voie de la Via Baltica. À la suite de cela, des exigences techniques communes sont adoptées par le comité des marchés publics. </w:t>
            </w:r>
          </w:p>
        </w:tc>
      </w:tr>
      <w:tr w:rsidR="008E6885" w14:paraId="24899A22"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5B41540D" w14:textId="77777777" w:rsidR="008E6885" w:rsidRDefault="00EA24E7">
            <w:pPr>
              <w:pStyle w:val="P68B1DB1-Normal19"/>
              <w:spacing w:before="120" w:after="120" w:line="240" w:lineRule="auto"/>
              <w:jc w:val="center"/>
              <w:rPr>
                <w:rFonts w:cs="Times New Roman"/>
                <w:noProof/>
              </w:rPr>
            </w:pPr>
            <w:r>
              <w:rPr>
                <w:noProof/>
              </w:rPr>
              <w:t>81</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74425641" w14:textId="77777777" w:rsidR="008E6885" w:rsidRDefault="00EA24E7">
            <w:pPr>
              <w:pStyle w:val="P68B1DB1-Normal17"/>
              <w:spacing w:before="120" w:after="120" w:line="240" w:lineRule="auto"/>
              <w:contextualSpacing/>
              <w:rPr>
                <w:rFonts w:cs="Times New Roman"/>
                <w:noProof/>
              </w:rPr>
            </w:pPr>
            <w:r>
              <w:rPr>
                <w:noProof/>
              </w:rPr>
              <w:t xml:space="preserve">2.4.1.r. </w:t>
            </w:r>
          </w:p>
          <w:p w14:paraId="2FF3EC28" w14:textId="77777777" w:rsidR="008E6885" w:rsidRDefault="00EA24E7">
            <w:pPr>
              <w:pStyle w:val="P68B1DB1-Normal17"/>
              <w:spacing w:before="120" w:after="120" w:line="240" w:lineRule="auto"/>
              <w:contextualSpacing/>
              <w:rPr>
                <w:rFonts w:cs="Times New Roman"/>
                <w:noProof/>
              </w:rPr>
            </w:pPr>
            <w:r>
              <w:rPr>
                <w:noProof/>
              </w:rPr>
              <w:t>Développement des infrastructures à large bande</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3BB78DC7" w14:textId="77777777" w:rsidR="008E6885" w:rsidRDefault="00EA24E7">
            <w:pPr>
              <w:pStyle w:val="P68B1DB1-Normal19"/>
              <w:spacing w:before="120" w:after="120" w:line="240" w:lineRule="auto"/>
              <w:rPr>
                <w:rFonts w:cs="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0BC6DD91" w14:textId="77777777" w:rsidR="008E6885" w:rsidRDefault="00EA24E7">
            <w:pPr>
              <w:pStyle w:val="P68B1DB1-Normal19"/>
              <w:spacing w:before="120" w:after="120" w:line="240" w:lineRule="auto"/>
              <w:rPr>
                <w:rFonts w:cs="Times New Roman"/>
                <w:noProof/>
              </w:rPr>
            </w:pPr>
            <w:r>
              <w:rPr>
                <w:noProof/>
              </w:rPr>
              <w:t>Adoption d'un modèle commun pour le développement du dernier kilomètre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72EC815" w14:textId="77777777" w:rsidR="008E6885" w:rsidRDefault="00EA24E7">
            <w:pPr>
              <w:pStyle w:val="P68B1DB1-Normal19"/>
              <w:spacing w:before="120" w:after="120" w:line="240" w:lineRule="auto"/>
              <w:rPr>
                <w:rFonts w:cs="Times New Roman"/>
                <w:noProof/>
              </w:rPr>
            </w:pPr>
            <w:r>
              <w:rPr>
                <w:noProof/>
              </w:rPr>
              <w:t>Adoption d'un modèle commun pour le développement du dernier kilomètre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8BEC79E"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9FCA0CA"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BB11531"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386A7EF"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FE538F6" w14:textId="77777777" w:rsidR="008E6885" w:rsidRDefault="00EA24E7">
            <w:pPr>
              <w:pStyle w:val="P68B1DB1-Normal19"/>
              <w:spacing w:before="120" w:after="120" w:line="240" w:lineRule="auto"/>
              <w:jc w:val="center"/>
              <w:rPr>
                <w:rFonts w:cs="Times New Roman"/>
                <w:noProof/>
              </w:rPr>
            </w:pPr>
            <w:r>
              <w:rPr>
                <w:noProof/>
              </w:rPr>
              <w:t>2021</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17C73DF7" w14:textId="77777777" w:rsidR="008E6885" w:rsidRDefault="00EA24E7">
            <w:pPr>
              <w:pStyle w:val="P68B1DB1-Normal19"/>
              <w:spacing w:before="120" w:after="120" w:line="240" w:lineRule="auto"/>
              <w:jc w:val="both"/>
              <w:rPr>
                <w:rFonts w:cs="Times New Roman"/>
                <w:noProof/>
              </w:rPr>
            </w:pPr>
            <w:r>
              <w:rPr>
                <w:noProof/>
              </w:rPr>
              <w:t>1. Sur la base des études réalisées, le ministère des transports élabore un plan de développement pour le secteur des communications électroniques, qui comprend un projet de modèle.</w:t>
            </w:r>
          </w:p>
          <w:p w14:paraId="51A0E54D" w14:textId="77777777" w:rsidR="008E6885" w:rsidRDefault="00EA24E7">
            <w:pPr>
              <w:pStyle w:val="P68B1DB1-Normal19"/>
              <w:spacing w:before="120" w:after="120" w:line="240" w:lineRule="auto"/>
              <w:jc w:val="both"/>
              <w:rPr>
                <w:rFonts w:cs="Times New Roman"/>
                <w:noProof/>
              </w:rPr>
            </w:pPr>
            <w:r>
              <w:rPr>
                <w:noProof/>
              </w:rPr>
              <w:t>2. Le résultat de la consultation publique aboutit à une décision finale sur le modèle, qui est adoptée et mise en œuvre.</w:t>
            </w:r>
          </w:p>
        </w:tc>
      </w:tr>
      <w:tr w:rsidR="008E6885" w14:paraId="7E9B7001" w14:textId="77777777" w:rsidTr="00584A13">
        <w:tc>
          <w:tcPr>
            <w:tcW w:w="545" w:type="dxa"/>
            <w:tcBorders>
              <w:top w:val="single" w:sz="4" w:space="0" w:color="auto"/>
              <w:left w:val="single" w:sz="4" w:space="0" w:color="auto"/>
              <w:bottom w:val="single" w:sz="4" w:space="0" w:color="auto"/>
              <w:right w:val="single" w:sz="4" w:space="0" w:color="auto"/>
            </w:tcBorders>
            <w:shd w:val="clear" w:color="auto" w:fill="C6EFCE"/>
          </w:tcPr>
          <w:p w14:paraId="4DEAD80D" w14:textId="77777777" w:rsidR="008E6885" w:rsidRDefault="00EA24E7">
            <w:pPr>
              <w:pStyle w:val="P68B1DB1-Normal19"/>
              <w:spacing w:before="120" w:after="120" w:line="240" w:lineRule="auto"/>
              <w:jc w:val="center"/>
              <w:rPr>
                <w:rFonts w:cs="Times New Roman"/>
                <w:noProof/>
              </w:rPr>
            </w:pPr>
            <w:r>
              <w:rPr>
                <w:noProof/>
              </w:rPr>
              <w:t>83</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456F526C" w14:textId="77777777" w:rsidR="008E6885" w:rsidRDefault="00EA24E7">
            <w:pPr>
              <w:pStyle w:val="P68B1DB1-Normal17"/>
              <w:spacing w:before="120" w:after="120" w:line="240" w:lineRule="auto"/>
              <w:contextualSpacing/>
              <w:rPr>
                <w:rFonts w:cs="Times New Roman"/>
                <w:noProof/>
              </w:rPr>
            </w:pPr>
            <w:r>
              <w:rPr>
                <w:noProof/>
              </w:rPr>
              <w:t xml:space="preserve">2.4.1.2.i. </w:t>
            </w:r>
          </w:p>
          <w:p w14:paraId="5AB9E20F" w14:textId="77777777" w:rsidR="008E6885" w:rsidRDefault="00EA24E7">
            <w:pPr>
              <w:pStyle w:val="P68B1DB1-Normal17"/>
              <w:spacing w:before="120" w:after="120" w:line="240" w:lineRule="auto"/>
              <w:contextualSpacing/>
              <w:rPr>
                <w:rFonts w:cs="Times New Roman"/>
                <w:noProof/>
              </w:rPr>
            </w:pPr>
            <w:r>
              <w:rPr>
                <w:noProof/>
              </w:rPr>
              <w:t>Développement des infrastructures du «dernier kilomètre» du réseau à haut débit ou à très haute capacité</w:t>
            </w:r>
          </w:p>
        </w:tc>
        <w:tc>
          <w:tcPr>
            <w:tcW w:w="1396" w:type="dxa"/>
            <w:tcBorders>
              <w:top w:val="single" w:sz="4" w:space="0" w:color="auto"/>
              <w:left w:val="single" w:sz="4" w:space="0" w:color="auto"/>
              <w:bottom w:val="single" w:sz="4" w:space="0" w:color="auto"/>
              <w:right w:val="single" w:sz="4" w:space="0" w:color="auto"/>
            </w:tcBorders>
            <w:shd w:val="clear" w:color="auto" w:fill="C6EFCE"/>
          </w:tcPr>
          <w:p w14:paraId="282237B6" w14:textId="77777777" w:rsidR="008E6885" w:rsidRDefault="00EA24E7">
            <w:pPr>
              <w:pStyle w:val="P68B1DB1-Normal19"/>
              <w:spacing w:before="120" w:after="120" w:line="240" w:lineRule="auto"/>
              <w:rPr>
                <w:rFonts w:cs="Times New Roman"/>
                <w:noProof/>
              </w:rPr>
            </w:pPr>
            <w:r>
              <w:rPr>
                <w:noProof/>
              </w:rPr>
              <w:t xml:space="preserve">Étape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43C007ED" w14:textId="77777777" w:rsidR="008E6885" w:rsidRDefault="00EA24E7">
            <w:pPr>
              <w:pStyle w:val="P68B1DB1-Normal19"/>
              <w:spacing w:before="120" w:after="120" w:line="240" w:lineRule="auto"/>
              <w:rPr>
                <w:rFonts w:cs="Times New Roman"/>
                <w:noProof/>
              </w:rPr>
            </w:pPr>
            <w:r>
              <w:rPr>
                <w:noProof/>
              </w:rPr>
              <w:t>Accès au réseau à très haut débit à très haute capacité</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8FCDB86" w14:textId="77777777" w:rsidR="008E6885" w:rsidRDefault="00EA24E7">
            <w:pPr>
              <w:pStyle w:val="P68B1DB1-Normal19"/>
              <w:spacing w:before="120" w:after="120" w:line="240" w:lineRule="auto"/>
              <w:rPr>
                <w:rFonts w:cs="Times New Roman"/>
                <w:noProof/>
              </w:rPr>
            </w:pPr>
            <w:r>
              <w:rPr>
                <w:noProof/>
              </w:rPr>
              <w:t>Lettre(s) d'achèvement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77E8802"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C3496E2"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88D33FD"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C107395"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E2F12F0" w14:textId="77777777" w:rsidR="008E6885" w:rsidRDefault="00EA24E7">
            <w:pPr>
              <w:pStyle w:val="P68B1DB1-Normal19"/>
              <w:spacing w:before="120" w:after="120" w:line="240" w:lineRule="auto"/>
              <w:jc w:val="center"/>
              <w:rPr>
                <w:rFonts w:cs="Times New Roman"/>
                <w:noProof/>
              </w:rPr>
            </w:pPr>
            <w:r>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EF66C08" w14:textId="77777777" w:rsidR="008E6885" w:rsidRDefault="00EA24E7">
            <w:pPr>
              <w:pStyle w:val="P68B1DB1-Normal19"/>
              <w:spacing w:before="120" w:after="120" w:line="240" w:lineRule="auto"/>
              <w:jc w:val="both"/>
              <w:rPr>
                <w:noProof/>
              </w:rPr>
            </w:pPr>
            <w:r>
              <w:rPr>
                <w:noProof/>
              </w:rPr>
              <w:t>Lettre(s) d’achèvement émise(s) par l’Agence centrale de financement et de passation de marchés pour des projets concernant l’accès au haut débit à très haute capacité pour les ménages et les acteurs socio-économiques, par exemple les entreprises, les écoles et les hôpitaux.</w:t>
            </w:r>
          </w:p>
        </w:tc>
      </w:tr>
    </w:tbl>
    <w:p w14:paraId="78F12567" w14:textId="77777777" w:rsidR="008E6885" w:rsidRDefault="008E6885">
      <w:pPr>
        <w:spacing w:before="120" w:after="120" w:line="240" w:lineRule="auto"/>
        <w:jc w:val="both"/>
        <w:rPr>
          <w:rFonts w:ascii="Times New Roman" w:eastAsia="Calibri" w:hAnsi="Times New Roman" w:cs="Arial"/>
          <w:b/>
          <w:noProof/>
          <w:kern w:val="0"/>
          <w:szCs w:val="22"/>
          <w:u w:val="single"/>
          <w14:ligatures w14:val="none"/>
        </w:rPr>
        <w:sectPr w:rsidR="008E6885" w:rsidSect="0048758A">
          <w:headerReference w:type="default" r:id="rId25"/>
          <w:footerReference w:type="default" r:id="rId26"/>
          <w:pgSz w:w="16838" w:h="11906" w:orient="landscape"/>
          <w:pgMar w:top="1440" w:right="1440" w:bottom="1440" w:left="1440" w:header="708" w:footer="708" w:gutter="0"/>
          <w:cols w:space="708"/>
          <w:docGrid w:linePitch="360"/>
        </w:sectPr>
      </w:pPr>
    </w:p>
    <w:p w14:paraId="5D9D07A0" w14:textId="2E754F78" w:rsidR="008E6885" w:rsidRDefault="00EA24E7">
      <w:pPr>
        <w:pStyle w:val="P68B1DB1-Normal3"/>
        <w:keepNext/>
        <w:spacing w:after="240" w:line="240" w:lineRule="auto"/>
        <w:outlineLvl w:val="0"/>
        <w:rPr>
          <w:rFonts w:eastAsia="MS Gothic" w:cs="Times New Roman"/>
          <w:noProof/>
          <w:szCs w:val="28"/>
        </w:rPr>
      </w:pPr>
      <w:r>
        <w:rPr>
          <w:noProof/>
        </w:rPr>
        <w:t>C. Élément 3: RÉDUCTION DE L'INÉQUALITÉ</w:t>
      </w:r>
    </w:p>
    <w:p w14:paraId="6C3A748A" w14:textId="77777777" w:rsidR="008E6885" w:rsidRDefault="00EA24E7">
      <w:pPr>
        <w:pStyle w:val="P68B1DB1-Normal5"/>
        <w:spacing w:after="120" w:line="240" w:lineRule="auto"/>
        <w:jc w:val="both"/>
        <w:rPr>
          <w:rFonts w:eastAsia="Times New Roman" w:cs="Times New Roman"/>
          <w:noProof/>
        </w:rPr>
      </w:pPr>
      <w:r>
        <w:rPr>
          <w:noProof/>
        </w:rPr>
        <w:t>L’objectif général de ce volet du plan letton pour la reprise et la résilience est de relever les défis posés par les inégalités territoriales et sociales en Lettonie, exacerbées par la pandémie de COVID-19. Ce volet vise à réduire les inégalités en créant davantage d’emplois dans les régions, en améliorant la connectivité régionale et l’accès à des services de qualité, en fournissant des logements plus abordables, en améliorant les infrastructures scolaires, en contribuant au perfectionnement et à la reconversion des travailleurs et des chômeurs, en renforçant le filet de sécurité sociale, en améliorant l’accessibilité des bâtiments pour les personnes handicapées et en créant de nouveaux établissements de soins de longue durée pour les personnes âgées. Toutes les mesures du volet soutiennent l’une ou l’autre des deux grandes réformes, à savoir la réforme administrative territoriale en cours et la réforme du revenu minimum.</w:t>
      </w:r>
    </w:p>
    <w:p w14:paraId="1995D629" w14:textId="77777777" w:rsidR="008E6885" w:rsidRDefault="00EA24E7">
      <w:pPr>
        <w:pStyle w:val="P68B1DB1-Normal5"/>
        <w:spacing w:after="120" w:line="240" w:lineRule="auto"/>
        <w:jc w:val="both"/>
        <w:rPr>
          <w:rFonts w:eastAsia="Times New Roman" w:cs="Times New Roman"/>
          <w:noProof/>
        </w:rPr>
      </w:pPr>
      <w:r>
        <w:rPr>
          <w:noProof/>
        </w:rPr>
        <w:t>Le volet soutient la mise en œuvre des recommandations par pays sur l’exclusion sociale, notamment pour améliorer l’adéquation des prestations de revenu minimum, des pensions de vieillesse minimales et de l’aide au revenu pour les personnes handicapées, ainsi que sur la qualité et l’efficacité de l’éducation et de la formation, en mettant l’accent sur les travailleurs peu qualifiés et les demandeurs d’emploi (recommandation par pays no 2, 2019). Le volet soutient également la mise en œuvre de la recommandation visant à axer la politique économique liée à l’investissement sur la fourniture de logements abordables, compte tenu des disparités régionales (recommandation par pays no 3, 2019). Enfin, le volet soutient la mise en œuvre de la recommandation visant à renforcer le filet de sécurité sociale et à atténuer l’incidence de la crise sur l’emploi, notamment par l’amélioration des mesures actives du marché du travail et des compétences (recommandation par pays no 2, 2020).</w:t>
      </w:r>
    </w:p>
    <w:p w14:paraId="24459878" w14:textId="77777777" w:rsidR="008E6885" w:rsidRDefault="00EA24E7">
      <w:pPr>
        <w:pStyle w:val="P68B1DB1-Normal5"/>
        <w:spacing w:before="120" w:after="120" w:line="240" w:lineRule="auto"/>
        <w:jc w:val="both"/>
        <w:rPr>
          <w:rFonts w:eastAsia="Times New Roman"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CF70891" w14:textId="77777777" w:rsidR="008E6885" w:rsidRDefault="00EA24E7">
      <w:pPr>
        <w:pStyle w:val="P68B1DB1-Normal1"/>
        <w:keepNext/>
        <w:keepLines/>
        <w:spacing w:before="240" w:after="240" w:line="240" w:lineRule="auto"/>
        <w:jc w:val="both"/>
        <w:outlineLvl w:val="1"/>
        <w:rPr>
          <w:rFonts w:eastAsia="Times New Roman" w:cs="Times New Roman"/>
          <w:noProof/>
        </w:rPr>
      </w:pPr>
      <w:r>
        <w:rPr>
          <w:noProof/>
        </w:rPr>
        <w:t>C.1. Description des réformes et des investissements pour le soutien financier non remboursable</w:t>
      </w:r>
    </w:p>
    <w:p w14:paraId="4C105567" w14:textId="77777777" w:rsidR="008E6885" w:rsidRDefault="00EA24E7">
      <w:pPr>
        <w:pStyle w:val="P68B1DB1-Normal15"/>
        <w:keepNext/>
        <w:keepLines/>
        <w:spacing w:after="120" w:line="240" w:lineRule="auto"/>
        <w:jc w:val="both"/>
        <w:rPr>
          <w:rFonts w:eastAsia="Times New Roman" w:cs="Times New Roman"/>
          <w:noProof/>
        </w:rPr>
      </w:pPr>
      <w:r>
        <w:rPr>
          <w:noProof/>
        </w:rPr>
        <w:t>Réforme: 3.1.1.r. Réforme administrative territoriale</w:t>
      </w:r>
    </w:p>
    <w:p w14:paraId="29A92922" w14:textId="77777777" w:rsidR="008E6885" w:rsidRDefault="00EA24E7">
      <w:pPr>
        <w:pStyle w:val="P68B1DB1-Normal5"/>
        <w:spacing w:after="120" w:line="240" w:lineRule="auto"/>
        <w:jc w:val="both"/>
        <w:rPr>
          <w:rFonts w:cs="Times New Roman"/>
          <w:noProof/>
        </w:rPr>
      </w:pPr>
      <w:r>
        <w:rPr>
          <w:noProof/>
        </w:rPr>
        <w:t>L'objectif général de cette réforme est d'améliorer la qualité des services pour les habitants de la Lettonie et d'améliorer l'environnement des entreprises locales en réduisant le nombre d'unités administratives et en augmentant l'efficacité et l'accessibilité de la prestation de services. Les actions décrites ci-dessous (rénovation et reconstruction des routes régionales et locales de l’État, renforcement des capacités des municipalités locales et des régions de planification garantissant des services publics plus efficaces, développement d’infrastructures pour les parcs industriels, logements abordables, développement des infrastructures scolaires et des autobus scolaires) sont liées à cette mesure de réforme et la soutiennent.</w:t>
      </w:r>
    </w:p>
    <w:p w14:paraId="599BD996" w14:textId="77777777" w:rsidR="008E6885" w:rsidRDefault="00EA24E7">
      <w:pPr>
        <w:pStyle w:val="P68B1DB1-Normal5"/>
        <w:spacing w:after="120" w:line="240" w:lineRule="auto"/>
        <w:jc w:val="both"/>
        <w:rPr>
          <w:rFonts w:eastAsia="Times New Roman" w:cs="Times New Roman"/>
          <w:noProof/>
        </w:rPr>
      </w:pPr>
      <w:r>
        <w:rPr>
          <w:noProof/>
        </w:rPr>
        <w:t>La mesure comprend l'entrée en vigueur d'une nouvelle loi municipale révisant les fonctions et les tâches des administrations locales. La nouvelle loi garantira une meilleure gouvernance au niveau municipal, une séparation et une répartition plus claires des compétences entre le pouvoir décisionnel et le pouvoir exécutif, ainsi qu’une participation accrue des citoyens au processus décisionnel des communautés locales.</w:t>
      </w:r>
    </w:p>
    <w:p w14:paraId="4AF74055" w14:textId="77777777" w:rsidR="008E6885" w:rsidRDefault="00EA24E7">
      <w:pPr>
        <w:pStyle w:val="P68B1DB1-Normal5"/>
        <w:spacing w:before="120" w:after="120" w:line="240" w:lineRule="auto"/>
        <w:jc w:val="both"/>
        <w:rPr>
          <w:rFonts w:cs="Times New Roman"/>
          <w:noProof/>
        </w:rPr>
      </w:pPr>
      <w:r>
        <w:rPr>
          <w:noProof/>
        </w:rPr>
        <w:t>Si la réforme administrative territoriale globale peut se poursuivre au-delà du calendrier de la FRR, la mise en œuvre de la réforme spécifique est achevée au plus tard le 31 décembre 2023.</w:t>
      </w:r>
    </w:p>
    <w:p w14:paraId="0A6BEBDA" w14:textId="77777777" w:rsidR="008E6885" w:rsidRDefault="00EA24E7">
      <w:pPr>
        <w:pStyle w:val="P68B1DB1-Normal7"/>
        <w:keepNext/>
        <w:keepLines/>
        <w:spacing w:before="360" w:after="120" w:line="240" w:lineRule="auto"/>
        <w:jc w:val="both"/>
        <w:rPr>
          <w:rFonts w:eastAsia="Times New Roman" w:cs="Times New Roman"/>
          <w:noProof/>
        </w:rPr>
      </w:pPr>
      <w:r>
        <w:rPr>
          <w:noProof/>
        </w:rPr>
        <w:t>Investissement: 3.1.1.1.i. Amélioration du réseau routier régional et local</w:t>
      </w:r>
    </w:p>
    <w:p w14:paraId="6943BE0B" w14:textId="77777777" w:rsidR="008E6885" w:rsidRDefault="00EA24E7">
      <w:pPr>
        <w:pStyle w:val="P68B1DB1-Normal4"/>
        <w:spacing w:before="120" w:after="120" w:line="240" w:lineRule="auto"/>
        <w:jc w:val="both"/>
        <w:rPr>
          <w:rFonts w:cs="Times New Roman"/>
          <w:noProof/>
        </w:rPr>
      </w:pPr>
      <w:r>
        <w:rPr>
          <w:noProof/>
        </w:rPr>
        <w:t>L’objectif de la mesure est de garantir la connectivité des nouvelles municipalités et d’améliorer l’accès des citoyens aux emplois et aux services.</w:t>
      </w:r>
    </w:p>
    <w:p w14:paraId="66DEA082" w14:textId="77777777" w:rsidR="008E6885" w:rsidRDefault="00EA24E7">
      <w:pPr>
        <w:pStyle w:val="P68B1DB1-Normal4"/>
        <w:spacing w:after="240" w:line="240" w:lineRule="auto"/>
        <w:jc w:val="both"/>
        <w:rPr>
          <w:rFonts w:cs="Times New Roman"/>
          <w:noProof/>
        </w:rPr>
      </w:pPr>
      <w:r>
        <w:rPr>
          <w:noProof/>
        </w:rPr>
        <w:t>La mesure consiste en la rénovation ou la reconstruction de routes régionales et locales.</w:t>
      </w:r>
    </w:p>
    <w:p w14:paraId="05C08661" w14:textId="77777777" w:rsidR="008E6885" w:rsidRDefault="00EA24E7">
      <w:pPr>
        <w:pStyle w:val="P68B1DB1-Normal7"/>
        <w:keepNext/>
        <w:keepLines/>
        <w:spacing w:after="240" w:line="240" w:lineRule="auto"/>
        <w:jc w:val="both"/>
        <w:rPr>
          <w:rFonts w:eastAsia="Times New Roman" w:cs="Times New Roman"/>
          <w:noProof/>
        </w:rPr>
      </w:pPr>
      <w:r>
        <w:rPr>
          <w:noProof/>
        </w:rPr>
        <w:t>Investissement: 3.1.1.2.i. Renforcer la capacité des municipalités à améliorer l'efficacité et la qualité des services</w:t>
      </w:r>
    </w:p>
    <w:p w14:paraId="45EFE0F9" w14:textId="77777777" w:rsidR="008E6885" w:rsidRDefault="00EA24E7">
      <w:pPr>
        <w:pStyle w:val="P68B1DB1-Normal5"/>
        <w:spacing w:before="120" w:after="120" w:line="240" w:lineRule="auto"/>
        <w:jc w:val="both"/>
        <w:rPr>
          <w:rFonts w:cs="Times New Roman"/>
          <w:noProof/>
        </w:rPr>
      </w:pPr>
      <w:r>
        <w:rPr>
          <w:noProof/>
        </w:rPr>
        <w:t>L’objectif de la mesure est d’améliorer la qualité et l’efficacité des services municipaux à la suite de la réorganisation des administrations locales.</w:t>
      </w:r>
    </w:p>
    <w:p w14:paraId="1E9690F8" w14:textId="77777777" w:rsidR="008E6885" w:rsidRDefault="00EA24E7">
      <w:pPr>
        <w:pStyle w:val="P68B1DB1-Normal4"/>
        <w:spacing w:after="240" w:line="240" w:lineRule="auto"/>
        <w:jc w:val="both"/>
        <w:rPr>
          <w:rFonts w:eastAsia="Times New Roman" w:cs="Times New Roman"/>
          <w:noProof/>
        </w:rPr>
      </w:pPr>
      <w:r>
        <w:rPr>
          <w:noProof/>
        </w:rPr>
        <w:t>La mesure consiste en l'adoption d'un règlement gouvernemental définissant la portée et les paramètres des actions de renforcement des capacités dans les municipalités, une évaluation de la fonction publique municipale et le renforcement des capacités du personnel municipal.</w:t>
      </w:r>
    </w:p>
    <w:p w14:paraId="11442BC6" w14:textId="77777777" w:rsidR="008E6885" w:rsidRDefault="00EA24E7">
      <w:pPr>
        <w:pStyle w:val="P68B1DB1-Normal7"/>
        <w:keepNext/>
        <w:keepLines/>
        <w:spacing w:after="240" w:line="240" w:lineRule="auto"/>
        <w:jc w:val="both"/>
        <w:rPr>
          <w:rFonts w:eastAsia="Times New Roman" w:cs="Times New Roman"/>
          <w:noProof/>
        </w:rPr>
      </w:pPr>
      <w:r>
        <w:rPr>
          <w:noProof/>
        </w:rPr>
        <w:t>Investissement: 3.1.1.3.i. Investissements dans les infrastructures publiques pour le développement de parcs industriels dans les régions</w:t>
      </w:r>
    </w:p>
    <w:p w14:paraId="7F500ED0" w14:textId="77777777" w:rsidR="008E6885" w:rsidRDefault="00EA24E7">
      <w:pPr>
        <w:pStyle w:val="P68B1DB1-Normal5"/>
        <w:spacing w:before="120" w:after="120" w:line="240" w:lineRule="auto"/>
        <w:jc w:val="both"/>
        <w:rPr>
          <w:rFonts w:cs="Times New Roman"/>
          <w:noProof/>
        </w:rPr>
      </w:pPr>
      <w:r>
        <w:rPr>
          <w:noProof/>
        </w:rPr>
        <w:t>L’objectif de la mesure est de soutenir les infrastructures des zones industrielles et d’attirer des investisseurs et des entreprises dans les régions lettones situées en dehors de Riga.</w:t>
      </w:r>
    </w:p>
    <w:p w14:paraId="3D553122" w14:textId="77777777" w:rsidR="008E6885" w:rsidRDefault="00EA24E7">
      <w:pPr>
        <w:pStyle w:val="P68B1DB1-Normal21"/>
        <w:spacing w:before="120" w:after="120" w:line="240" w:lineRule="auto"/>
        <w:jc w:val="both"/>
        <w:rPr>
          <w:rFonts w:eastAsia="Calibri" w:cs="Arial"/>
          <w:noProof/>
        </w:rPr>
      </w:pPr>
      <w:r>
        <w:rPr>
          <w:noProof/>
        </w:rPr>
        <w:t>La mesure consiste à soutenir le développement des parcs industriels et des territoires dans les régions. Aux fins de la FRR, la mesure est finalisée avec les travaux de construction des parcs industriels et des territoires.</w:t>
      </w:r>
    </w:p>
    <w:p w14:paraId="084AAAAA" w14:textId="77777777" w:rsidR="008E6885" w:rsidRDefault="00EA24E7">
      <w:pPr>
        <w:pStyle w:val="P68B1DB1-Normal22"/>
        <w:spacing w:after="240" w:line="276" w:lineRule="auto"/>
        <w:jc w:val="both"/>
        <w:rPr>
          <w:rFonts w:ascii="Times New Roman" w:eastAsia="Calibri" w:hAnsi="Times New Roman" w:cs="Arial"/>
          <w:noProof/>
        </w:rPr>
      </w:pPr>
      <w:r>
        <w:rPr>
          <w:rFonts w:ascii="Times New Roman" w:eastAsia="MS Mincho" w:hAnsi="Times New Roman" w:cs="Times New Roman"/>
          <w:noProof/>
        </w:rPr>
        <w:t>Sur la base de l’investissement au titre de la FRR, l’investissement vise à encourager les investissements d’un montant de</w:t>
      </w:r>
      <w:r>
        <w:rPr>
          <w:rFonts w:ascii="Times New Roman" w:eastAsia="Calibri" w:hAnsi="Times New Roman" w:cs="Arial"/>
          <w:noProof/>
          <w:sz w:val="20"/>
          <w:szCs w:val="22"/>
        </w:rPr>
        <w:t> </w:t>
      </w:r>
      <w:r>
        <w:rPr>
          <w:rFonts w:ascii="Times New Roman" w:eastAsia="MS Mincho" w:hAnsi="Times New Roman" w:cs="Times New Roman"/>
          <w:noProof/>
        </w:rPr>
        <w:t>85</w:t>
      </w:r>
      <w:r>
        <w:rPr>
          <w:rFonts w:ascii="Times New Roman" w:eastAsia="Calibri" w:hAnsi="Times New Roman" w:cs="Arial"/>
          <w:noProof/>
          <w:sz w:val="20"/>
          <w:szCs w:val="22"/>
        </w:rPr>
        <w:t> </w:t>
      </w:r>
      <w:r>
        <w:rPr>
          <w:rFonts w:ascii="Times New Roman" w:eastAsia="MS Mincho" w:hAnsi="Times New Roman" w:cs="Times New Roman"/>
          <w:noProof/>
        </w:rPr>
        <w:t>000</w:t>
      </w:r>
      <w:r>
        <w:rPr>
          <w:rFonts w:ascii="Times New Roman" w:eastAsia="Calibri" w:hAnsi="Times New Roman" w:cs="Arial"/>
          <w:noProof/>
          <w:sz w:val="20"/>
          <w:szCs w:val="22"/>
        </w:rPr>
        <w:t> </w:t>
      </w:r>
      <w:r>
        <w:rPr>
          <w:rFonts w:ascii="Times New Roman" w:eastAsia="MS Mincho" w:hAnsi="Times New Roman" w:cs="Times New Roman"/>
          <w:noProof/>
        </w:rPr>
        <w:t>000 EUR provenant d’exploitants de parcs industriels et/ou d’investisseurs potentiels.</w:t>
      </w:r>
    </w:p>
    <w:p w14:paraId="3381EFE9" w14:textId="77777777" w:rsidR="008E6885" w:rsidRDefault="00EA24E7">
      <w:pPr>
        <w:pStyle w:val="P68B1DB1-Normal7"/>
        <w:keepNext/>
        <w:keepLines/>
        <w:spacing w:after="240" w:line="240" w:lineRule="auto"/>
        <w:jc w:val="both"/>
        <w:rPr>
          <w:rFonts w:eastAsia="Times New Roman" w:cs="Times New Roman"/>
          <w:noProof/>
        </w:rPr>
      </w:pPr>
      <w:r>
        <w:rPr>
          <w:noProof/>
        </w:rPr>
        <w:t>Investissement: 3.1.1.4.i. Création d'un fonds de financement pour la construction de logements à loyer modique</w:t>
      </w:r>
    </w:p>
    <w:p w14:paraId="1ADD814F" w14:textId="77777777" w:rsidR="008E6885" w:rsidRDefault="00EA24E7">
      <w:pPr>
        <w:pStyle w:val="P68B1DB1-Normal5"/>
        <w:spacing w:before="120" w:after="120" w:line="240" w:lineRule="auto"/>
        <w:jc w:val="both"/>
        <w:rPr>
          <w:rFonts w:cs="Times New Roman"/>
          <w:noProof/>
        </w:rPr>
      </w:pPr>
      <w:r>
        <w:rPr>
          <w:noProof/>
        </w:rPr>
        <w:t>L’objectif de la mesure est de stimuler l’offre de logements, de fournir des logements abordables, de contribuer à la mobilité régionale de la main-d’œuvre et de contribuer à attirer et à retenir des professionnels qualifiés dans les régions.</w:t>
      </w:r>
    </w:p>
    <w:p w14:paraId="3EB66800" w14:textId="77777777" w:rsidR="008E6885" w:rsidRDefault="00EA24E7">
      <w:pPr>
        <w:pStyle w:val="P68B1DB1-Normal4"/>
        <w:spacing w:after="240" w:line="240" w:lineRule="auto"/>
        <w:jc w:val="both"/>
        <w:rPr>
          <w:rFonts w:cs="Times New Roman"/>
          <w:noProof/>
        </w:rPr>
      </w:pPr>
      <w:r>
        <w:rPr>
          <w:noProof/>
        </w:rPr>
        <w:t>La mesure consiste en l’entrée en vigueur d’un nouveau cadre juridique pour les loyers, en l’adoption d’une stratégie d’accessibilité financière du logement et en un soutien à la construction d’appartements.</w:t>
      </w:r>
    </w:p>
    <w:p w14:paraId="76C09998" w14:textId="77777777" w:rsidR="008E6885" w:rsidRDefault="00EA24E7">
      <w:pPr>
        <w:pStyle w:val="P68B1DB1-Normal7"/>
        <w:keepNext/>
        <w:keepLines/>
        <w:spacing w:after="240" w:line="240" w:lineRule="auto"/>
        <w:jc w:val="both"/>
        <w:rPr>
          <w:rFonts w:eastAsia="Times New Roman" w:cs="Times New Roman"/>
          <w:noProof/>
        </w:rPr>
      </w:pPr>
      <w:r>
        <w:rPr>
          <w:noProof/>
        </w:rPr>
        <w:t>Investissement: 3.1.1.5.i. Développement de l'infrastructure et de l'équipement des établissements d'enseignement</w:t>
      </w:r>
    </w:p>
    <w:p w14:paraId="55D15501" w14:textId="77777777" w:rsidR="008E6885" w:rsidRDefault="00EA24E7">
      <w:pPr>
        <w:pStyle w:val="P68B1DB1-Normal4"/>
        <w:spacing w:before="120" w:after="120" w:line="240" w:lineRule="auto"/>
        <w:jc w:val="both"/>
        <w:rPr>
          <w:rFonts w:cs="Times New Roman"/>
          <w:noProof/>
        </w:rPr>
      </w:pPr>
      <w:r>
        <w:rPr>
          <w:noProof/>
        </w:rPr>
        <w:t>L’objectif de la mesure est d’améliorer la qualité des écoles régionales.</w:t>
      </w:r>
    </w:p>
    <w:p w14:paraId="5AB6D9B5" w14:textId="77777777" w:rsidR="008E6885" w:rsidRDefault="00EA24E7">
      <w:pPr>
        <w:pStyle w:val="P68B1DB1-Normal4"/>
        <w:spacing w:after="240" w:line="240" w:lineRule="auto"/>
        <w:jc w:val="both"/>
        <w:rPr>
          <w:rFonts w:eastAsia="Times New Roman" w:cs="Times New Roman"/>
          <w:noProof/>
        </w:rPr>
      </w:pPr>
      <w:r>
        <w:rPr>
          <w:noProof/>
        </w:rPr>
        <w:t>La mesure consiste en l'entrée en vigueur d'un cadre juridique établissant les critères quantitatifs et qualitatifs pour les établissements d'enseignement secondaire général, l'adoption de décisions par les autorités locales sur la réorganisation des écoles et la modernisation des infrastructures scolaires.</w:t>
      </w:r>
    </w:p>
    <w:p w14:paraId="33CAE67F" w14:textId="77777777" w:rsidR="008E6885" w:rsidRDefault="00EA24E7">
      <w:pPr>
        <w:pStyle w:val="P68B1DB1-Normal7"/>
        <w:keepNext/>
        <w:keepLines/>
        <w:spacing w:after="240" w:line="240" w:lineRule="auto"/>
        <w:jc w:val="both"/>
        <w:rPr>
          <w:rFonts w:eastAsia="Times New Roman" w:cs="Times New Roman"/>
          <w:noProof/>
        </w:rPr>
      </w:pPr>
      <w:r>
        <w:rPr>
          <w:noProof/>
        </w:rPr>
        <w:t>Investissement: 3.1.1.6.i. Achat d'autobus scolaires électriques</w:t>
      </w:r>
    </w:p>
    <w:p w14:paraId="09F965A4" w14:textId="77777777" w:rsidR="008E6885" w:rsidRDefault="00EA24E7">
      <w:pPr>
        <w:pStyle w:val="P68B1DB1-Normal4"/>
        <w:spacing w:before="120" w:after="120" w:line="240" w:lineRule="auto"/>
        <w:jc w:val="both"/>
        <w:rPr>
          <w:rFonts w:cs="Times New Roman"/>
          <w:noProof/>
        </w:rPr>
      </w:pPr>
      <w:r>
        <w:rPr>
          <w:noProof/>
        </w:rPr>
        <w:t>L'objectif de la mesure est de faciliter la mobilité des élèves.</w:t>
      </w:r>
    </w:p>
    <w:p w14:paraId="3FBCED57" w14:textId="77777777" w:rsidR="008E6885" w:rsidRDefault="00EA24E7">
      <w:pPr>
        <w:pStyle w:val="P68B1DB1-Normal4"/>
        <w:spacing w:after="240" w:line="240" w:lineRule="auto"/>
        <w:jc w:val="both"/>
        <w:rPr>
          <w:rFonts w:cs="Times New Roman"/>
          <w:noProof/>
        </w:rPr>
      </w:pPr>
      <w:r>
        <w:rPr>
          <w:noProof/>
        </w:rPr>
        <w:t>La mesure consiste à soutenir les municipalités pour la livraison d’autobus scolaires électriques.</w:t>
      </w:r>
    </w:p>
    <w:p w14:paraId="4DE9F540" w14:textId="77777777" w:rsidR="008E6885" w:rsidRDefault="00EA24E7">
      <w:pPr>
        <w:pStyle w:val="P68B1DB1-Normal7"/>
        <w:keepNext/>
        <w:keepLines/>
        <w:spacing w:after="240" w:line="240" w:lineRule="auto"/>
        <w:jc w:val="both"/>
        <w:rPr>
          <w:rFonts w:cs="Times New Roman"/>
          <w:noProof/>
        </w:rPr>
      </w:pPr>
      <w:r>
        <w:rPr>
          <w:noProof/>
        </w:rPr>
        <w:t>Investissement: 3.1.1.7.i. Prêts aux promoteurs immobiliers pour la construction de logements à loyer modique</w:t>
      </w:r>
    </w:p>
    <w:p w14:paraId="23727F81" w14:textId="3608DBC2" w:rsidR="008E6885" w:rsidRDefault="00EA24E7">
      <w:pPr>
        <w:pStyle w:val="P68B1DB1-Normal22"/>
        <w:spacing w:before="120" w:after="120" w:line="240" w:lineRule="auto"/>
        <w:jc w:val="both"/>
        <w:rPr>
          <w:rFonts w:ascii="Times New Roman" w:eastAsia="Times New Roman" w:hAnsi="Times New Roman" w:cs="Times New Roman"/>
          <w:noProof/>
          <w:color w:val="000000"/>
        </w:rPr>
      </w:pPr>
      <w:r>
        <w:rPr>
          <w:rFonts w:ascii="Times New Roman" w:eastAsia="Calibri" w:hAnsi="Times New Roman" w:cs="Arial"/>
          <w:noProof/>
        </w:rPr>
        <w:t xml:space="preserve">La mesure consiste en un investissement public dans une facilité, afin d’encourager l’investissement privé et d’améliorer l’accès au financement dans la construction de logements à loyer modique en Lettonie. La facilité fonctionne en accordant des </w:t>
      </w:r>
      <w:r>
        <w:rPr>
          <w:rFonts w:ascii="Times New Roman" w:eastAsia="Calibri" w:hAnsi="Times New Roman" w:cs="Arial"/>
          <w:noProof/>
          <w:color w:val="000000"/>
        </w:rPr>
        <w:t xml:space="preserve">prêts, directement au secteur privé, ainsi qu’aux entités du secteur public exerçant des activités similaires. </w:t>
      </w:r>
      <w:r>
        <w:rPr>
          <w:rFonts w:ascii="Times New Roman" w:eastAsia="Calibri" w:hAnsi="Times New Roman" w:cs="Arial"/>
          <w:noProof/>
        </w:rPr>
        <w:t xml:space="preserve">Sur la base de l’investissement au titre de la FRR, la facilité </w:t>
      </w:r>
      <w:r>
        <w:rPr>
          <w:rFonts w:ascii="Times New Roman" w:eastAsia="Calibri" w:hAnsi="Times New Roman" w:cs="Arial"/>
          <w:noProof/>
          <w:color w:val="000000"/>
        </w:rPr>
        <w:t>vise initialement à fournir un financement d’au moins</w:t>
      </w:r>
      <w:r>
        <w:rPr>
          <w:rFonts w:ascii="Times New Roman" w:eastAsia="Calibri" w:hAnsi="Times New Roman" w:cs="Arial"/>
          <w:noProof/>
          <w:sz w:val="20"/>
          <w:szCs w:val="20"/>
        </w:rPr>
        <w:t> </w:t>
      </w:r>
      <w:r>
        <w:rPr>
          <w:rFonts w:ascii="Times New Roman" w:eastAsia="Calibri" w:hAnsi="Times New Roman" w:cs="Arial"/>
          <w:noProof/>
          <w:color w:val="000000"/>
        </w:rPr>
        <w:t>41</w:t>
      </w:r>
      <w:r>
        <w:rPr>
          <w:rFonts w:ascii="Times New Roman" w:eastAsia="Calibri" w:hAnsi="Times New Roman" w:cs="Arial"/>
          <w:noProof/>
          <w:sz w:val="20"/>
          <w:szCs w:val="20"/>
        </w:rPr>
        <w:t> </w:t>
      </w:r>
      <w:r>
        <w:rPr>
          <w:rFonts w:ascii="Times New Roman" w:eastAsia="Calibri" w:hAnsi="Times New Roman" w:cs="Arial"/>
          <w:noProof/>
          <w:color w:val="000000"/>
        </w:rPr>
        <w:t>278</w:t>
      </w:r>
      <w:r>
        <w:rPr>
          <w:rFonts w:ascii="Times New Roman" w:eastAsia="Calibri" w:hAnsi="Times New Roman" w:cs="Arial"/>
          <w:noProof/>
          <w:sz w:val="20"/>
          <w:szCs w:val="20"/>
        </w:rPr>
        <w:t> </w:t>
      </w:r>
      <w:r>
        <w:rPr>
          <w:rFonts w:ascii="Times New Roman" w:eastAsia="Calibri" w:hAnsi="Times New Roman" w:cs="Arial"/>
          <w:noProof/>
          <w:color w:val="000000"/>
        </w:rPr>
        <w:t xml:space="preserve">441 EUR. </w:t>
      </w:r>
    </w:p>
    <w:p w14:paraId="7A9236E0" w14:textId="77777777" w:rsidR="008E6885" w:rsidRDefault="00EA24E7">
      <w:pPr>
        <w:pStyle w:val="P68B1DB1-Normal23"/>
        <w:spacing w:before="120" w:after="120" w:line="240" w:lineRule="auto"/>
        <w:jc w:val="both"/>
        <w:rPr>
          <w:rFonts w:eastAsia="Times New Roman" w:cs="Times New Roman"/>
          <w:noProof/>
        </w:rPr>
      </w:pPr>
      <w:r>
        <w:rPr>
          <w:noProof/>
        </w:rPr>
        <w:t>Cet investissement est géré par ALTUM en tant que partenaire chargé de la mise en œuvre. Cette facilité comprend la gamme de produits suivante: prêts directs aux promoteurs immobiliers pour financer la construction de logements à loyer modique.</w:t>
      </w:r>
    </w:p>
    <w:p w14:paraId="5650265C" w14:textId="77777777" w:rsidR="008E6885" w:rsidRDefault="00EA24E7">
      <w:pPr>
        <w:pStyle w:val="P68B1DB1-Normal23"/>
        <w:spacing w:before="120" w:after="120" w:line="240" w:lineRule="auto"/>
        <w:jc w:val="both"/>
        <w:rPr>
          <w:rFonts w:eastAsia="Times New Roman" w:cs="Times New Roman"/>
          <w:noProof/>
        </w:rPr>
      </w:pPr>
      <w:r>
        <w:rPr>
          <w:noProof/>
        </w:rPr>
        <w:t>Afin de mettre en œuvre l’investissement dans la facilité, la Lettonie et ALTUM signent un accord de mise en œuvre qui comprend les éléments suivants:</w:t>
      </w:r>
    </w:p>
    <w:p w14:paraId="5BDC8258" w14:textId="77777777" w:rsidR="008E6885" w:rsidRDefault="00EA24E7">
      <w:pPr>
        <w:pStyle w:val="P68B1DB1-Normal24"/>
        <w:numPr>
          <w:ilvl w:val="0"/>
          <w:numId w:val="5"/>
        </w:numPr>
        <w:spacing w:before="120" w:after="120" w:line="240" w:lineRule="auto"/>
        <w:ind w:left="357" w:hanging="357"/>
        <w:contextualSpacing/>
        <w:jc w:val="both"/>
        <w:rPr>
          <w:rFonts w:eastAsia="Times New Roman" w:cs="Times New Roman"/>
          <w:noProof/>
        </w:rPr>
      </w:pPr>
      <w:r>
        <w:rPr>
          <w:noProof/>
        </w:rPr>
        <w:t>Description du processus décisionnel de la facilité: La décision finale d’investissement de la facilité est prise par un comité d’investissement ou un autre organe directeur équivalent compétent et approuvée à la majorité des voix des membres indépendants du gouvernement.</w:t>
      </w:r>
    </w:p>
    <w:p w14:paraId="35814B87" w14:textId="77777777" w:rsidR="008E6885" w:rsidRDefault="00EA24E7">
      <w:pPr>
        <w:pStyle w:val="P68B1DB1-Normal23"/>
        <w:numPr>
          <w:ilvl w:val="0"/>
          <w:numId w:val="5"/>
        </w:numPr>
        <w:spacing w:before="120" w:after="120" w:line="240" w:lineRule="auto"/>
        <w:ind w:left="357" w:hanging="357"/>
        <w:jc w:val="both"/>
        <w:rPr>
          <w:rFonts w:eastAsia="Times New Roman" w:cs="Times New Roman"/>
          <w:noProof/>
        </w:rPr>
      </w:pPr>
      <w:r>
        <w:rPr>
          <w:noProof/>
        </w:rPr>
        <w:t>Les principales exigences de la politique d'investissement associée, qui comprennent:</w:t>
      </w:r>
    </w:p>
    <w:p w14:paraId="3C3B408D" w14:textId="77777777" w:rsidR="008E6885" w:rsidRDefault="00EA24E7">
      <w:pPr>
        <w:pStyle w:val="P68B1DB1-Normal23"/>
        <w:numPr>
          <w:ilvl w:val="0"/>
          <w:numId w:val="6"/>
        </w:numPr>
        <w:spacing w:before="120" w:after="120" w:line="240" w:lineRule="auto"/>
        <w:jc w:val="both"/>
        <w:rPr>
          <w:rFonts w:eastAsia="Times New Roman" w:cs="Times New Roman"/>
          <w:noProof/>
        </w:rPr>
      </w:pPr>
      <w:r>
        <w:rPr>
          <w:noProof/>
        </w:rPr>
        <w:t xml:space="preserve">Description du produit financier et des bénéficiaires finaux éligibles. </w:t>
      </w:r>
    </w:p>
    <w:p w14:paraId="48283824" w14:textId="77777777" w:rsidR="008E6885" w:rsidRDefault="00EA24E7">
      <w:pPr>
        <w:pStyle w:val="P68B1DB1-Normal23"/>
        <w:numPr>
          <w:ilvl w:val="0"/>
          <w:numId w:val="6"/>
        </w:numPr>
        <w:spacing w:before="120" w:after="120" w:line="240" w:lineRule="auto"/>
        <w:jc w:val="both"/>
        <w:rPr>
          <w:rFonts w:eastAsia="Times New Roman" w:cs="Times New Roman"/>
          <w:noProof/>
        </w:rPr>
      </w:pPr>
      <w:r>
        <w:rPr>
          <w:noProof/>
        </w:rPr>
        <w:t>L'exigence que tous les investissements soutenus soient économiquement viables.</w:t>
      </w:r>
    </w:p>
    <w:p w14:paraId="49FE8B87" w14:textId="77777777" w:rsidR="008E6885" w:rsidRDefault="00EA24E7">
      <w:pPr>
        <w:pStyle w:val="P68B1DB1-Normal22"/>
        <w:numPr>
          <w:ilvl w:val="0"/>
          <w:numId w:val="6"/>
        </w:numPr>
        <w:spacing w:after="0" w:line="240" w:lineRule="auto"/>
        <w:ind w:left="714" w:hanging="357"/>
        <w:jc w:val="both"/>
        <w:rPr>
          <w:rFonts w:ascii="Times New Roman" w:eastAsia="Times New Roman" w:hAnsi="Times New Roman" w:cs="Times New Roman"/>
          <w:noProof/>
          <w:color w:val="000000"/>
        </w:rPr>
      </w:pPr>
      <w:r>
        <w:rPr>
          <w:rFonts w:ascii="Times New Roman" w:eastAsia="Calibri" w:hAnsi="Times New Roman" w:cs="Arial"/>
          <w:noProof/>
          <w:color w:val="000000"/>
        </w:rPr>
        <w:t>L’obligation de respecter le principe consistant à «ne pas causer de préjudice important» (DNSH) tel qu’énoncé dans les orientations techniques DNSH (2021/C58/01). En particulier, la politique d'investissement exclut de l'éligibilité la liste suivante d'activités et d'actifs: i) les activités et les actifs liés aux combustibles fossiles, y compris l’utilisation</w:t>
      </w:r>
      <w:r w:rsidRPr="00FE51EC">
        <w:rPr>
          <w:rFonts w:ascii="Times New Roman" w:eastAsia="Calibri" w:hAnsi="Times New Roman" w:cs="Times New Roman"/>
          <w:noProof/>
          <w:sz w:val="22"/>
          <w:szCs w:val="22"/>
          <w:vertAlign w:val="superscript"/>
        </w:rPr>
        <w:footnoteReference w:id="1"/>
      </w:r>
      <w:r>
        <w:rPr>
          <w:rFonts w:ascii="Times New Roman" w:eastAsia="Calibri" w:hAnsi="Times New Roman" w:cs="Arial"/>
          <w:noProof/>
          <w:color w:val="000000"/>
        </w:rPr>
        <w:t xml:space="preserve"> en aval , ii) les activités et les actifs relevant du système d’échange de quotas d’émission de l’UE (SEQE) permettant d’atteindre des émissions de gaz à effet de serre prévues qui ne sont pas inférieures au référentiel pertinent</w:t>
      </w:r>
      <w:r w:rsidRPr="00FE51EC">
        <w:rPr>
          <w:rFonts w:ascii="Times New Roman" w:eastAsia="Calibri" w:hAnsi="Times New Roman" w:cs="Times New Roman"/>
          <w:noProof/>
          <w:sz w:val="22"/>
          <w:szCs w:val="22"/>
          <w:vertAlign w:val="superscript"/>
        </w:rPr>
        <w:footnoteReference w:id="2"/>
      </w:r>
      <w:r>
        <w:rPr>
          <w:rFonts w:ascii="Times New Roman" w:eastAsia="Calibri" w:hAnsi="Times New Roman" w:cs="Arial"/>
          <w:noProof/>
          <w:color w:val="000000"/>
        </w:rPr>
        <w:t>, iii) les activités et les actifs liés aux décharges de déchets, aux incinérateurs</w:t>
      </w:r>
      <w:r w:rsidRPr="00FE51EC">
        <w:rPr>
          <w:rFonts w:ascii="Times New Roman" w:eastAsia="Calibri" w:hAnsi="Times New Roman" w:cs="Times New Roman"/>
          <w:noProof/>
          <w:sz w:val="22"/>
          <w:szCs w:val="22"/>
          <w:vertAlign w:val="superscript"/>
        </w:rPr>
        <w:footnoteReference w:id="3"/>
      </w:r>
      <w:r>
        <w:rPr>
          <w:rFonts w:ascii="Times New Roman" w:eastAsia="Calibri" w:hAnsi="Times New Roman" w:cs="Arial"/>
          <w:noProof/>
          <w:color w:val="000000"/>
        </w:rPr>
        <w:t xml:space="preserve"> et aux usines de traitement biologique mécanique</w:t>
      </w:r>
      <w:r w:rsidRPr="00FE51EC">
        <w:rPr>
          <w:rFonts w:ascii="Times New Roman" w:eastAsia="Calibri" w:hAnsi="Times New Roman" w:cs="Times New Roman"/>
          <w:noProof/>
          <w:sz w:val="22"/>
          <w:szCs w:val="22"/>
          <w:vertAlign w:val="superscript"/>
        </w:rPr>
        <w:footnoteReference w:id="4"/>
      </w:r>
      <w:r>
        <w:rPr>
          <w:rFonts w:ascii="Times New Roman" w:eastAsia="Calibri" w:hAnsi="Times New Roman" w:cs="Arial"/>
          <w:noProof/>
          <w:color w:val="000000"/>
        </w:rPr>
        <w:t>. En outre, la stratégie d’investissement exige le respect de la législation environnementale pertinente de l’Union et des États membres par les bénéficiaires finaux de la facilité.</w:t>
      </w:r>
    </w:p>
    <w:p w14:paraId="453B9AB3" w14:textId="77777777" w:rsidR="008E6885" w:rsidRDefault="00EA24E7">
      <w:pPr>
        <w:pStyle w:val="P68B1DB1-Normal23"/>
        <w:numPr>
          <w:ilvl w:val="0"/>
          <w:numId w:val="6"/>
        </w:numPr>
        <w:spacing w:before="120" w:after="120" w:line="240" w:lineRule="auto"/>
        <w:jc w:val="both"/>
        <w:rPr>
          <w:rFonts w:eastAsia="Times New Roman" w:cs="Times New Roman"/>
          <w:noProof/>
        </w:rPr>
      </w:pPr>
      <w:r>
        <w:rPr>
          <w:noProof/>
        </w:rPr>
        <w:t>L’exigence selon laquelle les bénéficiaires finaux de la facilité ne reçoivent pas de soutien d’autres instruments de l’Union pour couvrir les mêmes coûts.</w:t>
      </w:r>
    </w:p>
    <w:p w14:paraId="1AAAAB02" w14:textId="77777777" w:rsidR="008E6885" w:rsidRDefault="00EA24E7">
      <w:pPr>
        <w:pStyle w:val="P68B1DB1-Normal23"/>
        <w:spacing w:before="120" w:after="120" w:line="240" w:lineRule="auto"/>
        <w:jc w:val="both"/>
        <w:rPr>
          <w:rFonts w:eastAsia="Times New Roman" w:cs="Times New Roman"/>
          <w:noProof/>
        </w:rPr>
      </w:pPr>
      <w:r>
        <w:rPr>
          <w:noProof/>
        </w:rPr>
        <w:t xml:space="preserve">3) Le montant couvert par l'accord de mise en œuvre, la structure des frais pour le partenaire chargé de la mise en œuvre et l'obligation de réinvestir tout remboursement conformément à la politique d'investissement de la facilité. </w:t>
      </w:r>
    </w:p>
    <w:p w14:paraId="206F275F" w14:textId="77777777" w:rsidR="008E6885" w:rsidRDefault="00EA24E7">
      <w:pPr>
        <w:pStyle w:val="P68B1DB1-Normal23"/>
        <w:spacing w:before="120" w:after="120" w:line="240" w:lineRule="auto"/>
        <w:jc w:val="both"/>
        <w:rPr>
          <w:rFonts w:eastAsia="Times New Roman" w:cs="Times New Roman"/>
          <w:noProof/>
        </w:rPr>
      </w:pPr>
      <w:r>
        <w:rPr>
          <w:noProof/>
        </w:rPr>
        <w:t xml:space="preserve">4) Exigences en matière de surveillance, de vérification et de contrôle, y compris: </w:t>
      </w:r>
    </w:p>
    <w:p w14:paraId="63463177" w14:textId="77777777" w:rsidR="008E6885" w:rsidRDefault="00EA24E7">
      <w:pPr>
        <w:pStyle w:val="P68B1DB1-Normal24"/>
        <w:numPr>
          <w:ilvl w:val="0"/>
          <w:numId w:val="7"/>
        </w:numPr>
        <w:spacing w:before="120" w:after="120" w:line="240" w:lineRule="auto"/>
        <w:contextualSpacing/>
        <w:jc w:val="both"/>
        <w:rPr>
          <w:rFonts w:eastAsia="Times New Roman" w:cs="Times New Roman"/>
          <w:noProof/>
        </w:rPr>
      </w:pPr>
      <w:r>
        <w:rPr>
          <w:noProof/>
        </w:rPr>
        <w:t xml:space="preserve">Description du système de suivi du partenaire chargé de la mise en œuvre pour rendre compte des investissements mobilisés. </w:t>
      </w:r>
    </w:p>
    <w:p w14:paraId="16E486C9" w14:textId="77777777" w:rsidR="008E6885" w:rsidRDefault="00EA24E7">
      <w:pPr>
        <w:pStyle w:val="P68B1DB1-Normal23"/>
        <w:numPr>
          <w:ilvl w:val="0"/>
          <w:numId w:val="7"/>
        </w:numPr>
        <w:spacing w:before="120" w:after="120" w:line="240" w:lineRule="auto"/>
        <w:jc w:val="both"/>
        <w:rPr>
          <w:rFonts w:eastAsia="Times New Roman" w:cs="Times New Roman"/>
          <w:noProof/>
        </w:rPr>
      </w:pPr>
      <w:r>
        <w:rPr>
          <w:noProof/>
        </w:rPr>
        <w:t>Description des procédures du partenaire chargé de la mise en œuvre qui garantiront la prévention, la détection et la correction de la fraude, de la corruption et des conflits d’intérêts.</w:t>
      </w:r>
    </w:p>
    <w:p w14:paraId="58139DB7" w14:textId="77777777" w:rsidR="008E6885" w:rsidRDefault="00EA24E7">
      <w:pPr>
        <w:pStyle w:val="P68B1DB1-Normal23"/>
        <w:numPr>
          <w:ilvl w:val="0"/>
          <w:numId w:val="7"/>
        </w:numPr>
        <w:spacing w:before="120" w:after="120" w:line="240" w:lineRule="auto"/>
        <w:jc w:val="both"/>
        <w:rPr>
          <w:rFonts w:eastAsia="Times New Roman" w:cs="Times New Roman"/>
          <w:noProof/>
        </w:rPr>
      </w:pPr>
      <w:r>
        <w:rPr>
          <w:noProof/>
        </w:rPr>
        <w:t>L’obligation de vérifier l’éligibilité de chaque opération conformément aux exigences énoncées dans l’accord de mise en œuvre avant de s’engager à financer une opération.</w:t>
      </w:r>
    </w:p>
    <w:p w14:paraId="03966760" w14:textId="77777777" w:rsidR="008E6885" w:rsidRDefault="00EA24E7">
      <w:pPr>
        <w:pStyle w:val="P68B1DB1-Normal24"/>
        <w:numPr>
          <w:ilvl w:val="0"/>
          <w:numId w:val="7"/>
        </w:numPr>
        <w:spacing w:before="120" w:after="120" w:line="240" w:lineRule="auto"/>
        <w:contextualSpacing/>
        <w:jc w:val="both"/>
        <w:rPr>
          <w:rFonts w:eastAsia="Times New Roman" w:cs="Times New Roman"/>
          <w:noProof/>
        </w:rPr>
      </w:pPr>
      <w:r>
        <w:rPr>
          <w:noProof/>
        </w:rPr>
        <w:t xml:space="preserve">L’obligation de réaliser des audits ex post fondés sur les risques conformément à un plan d’audit d’ALTUM. Ces audits vérifient: i) que les systèmes de contrôle sont efficaces, y compris la détection de la fraude, de la corruption et des conflits d'intérêts; ii) le respect du principe consistant à «ne pas causer de préjudice important» et des règles en matière d’aides d’État; et iii) que l’exigence selon laquelle les bénéficiaires finaux de la facilité n’ont pas reçu d’aide d’autres instruments de l’Union pour couvrir le même coût soit respectée. Les audits vérifient également la légalité des opérations et le respect des conditions de l’accord de mise en œuvre applicable. </w:t>
      </w:r>
    </w:p>
    <w:p w14:paraId="3C0884F3" w14:textId="77777777" w:rsidR="008E6885" w:rsidRDefault="008E6885">
      <w:pPr>
        <w:spacing w:before="120" w:after="120" w:line="240" w:lineRule="auto"/>
        <w:jc w:val="both"/>
        <w:rPr>
          <w:rFonts w:ascii="Times New Roman" w:eastAsia="Calibri" w:hAnsi="Times New Roman" w:cs="Arial"/>
          <w:noProof/>
          <w:kern w:val="0"/>
          <w:u w:val="single"/>
          <w14:ligatures w14:val="none"/>
        </w:rPr>
      </w:pPr>
    </w:p>
    <w:p w14:paraId="2DE12529" w14:textId="77777777" w:rsidR="008E6885" w:rsidRDefault="00EA24E7">
      <w:pPr>
        <w:pStyle w:val="P68B1DB1-Normal7"/>
        <w:spacing w:before="120" w:after="120" w:line="240" w:lineRule="auto"/>
        <w:jc w:val="both"/>
        <w:rPr>
          <w:noProof/>
        </w:rPr>
      </w:pPr>
      <w:r>
        <w:rPr>
          <w:noProof/>
        </w:rPr>
        <w:t>Réforme: 3.1.2.r. Accès aux services sociaux et de l'emploi à l'appui de la réforme du revenu minimum</w:t>
      </w:r>
    </w:p>
    <w:p w14:paraId="315B694A" w14:textId="77777777" w:rsidR="008E6885" w:rsidRDefault="00EA24E7">
      <w:pPr>
        <w:pStyle w:val="P68B1DB1-Normal5"/>
        <w:spacing w:before="120" w:after="120" w:line="240" w:lineRule="auto"/>
        <w:jc w:val="both"/>
        <w:rPr>
          <w:rFonts w:eastAsia="Times New Roman" w:cs="Times New Roman"/>
          <w:noProof/>
        </w:rPr>
      </w:pPr>
      <w:r>
        <w:rPr>
          <w:noProof/>
        </w:rPr>
        <w:t>L'objectif général de cette réforme est de réduire les inégalités, d'améliorer le filet de sécurité sociale, de favoriser l'intégration et l'inclusion sociales en Lettonie.</w:t>
      </w:r>
    </w:p>
    <w:p w14:paraId="1AE31C18" w14:textId="77777777" w:rsidR="008E6885" w:rsidRDefault="00EA24E7">
      <w:pPr>
        <w:pStyle w:val="P68B1DB1-Normal5"/>
        <w:spacing w:before="120" w:after="120" w:line="240" w:lineRule="auto"/>
        <w:jc w:val="both"/>
        <w:rPr>
          <w:rFonts w:eastAsia="Times New Roman" w:cs="Times New Roman"/>
          <w:noProof/>
        </w:rPr>
      </w:pPr>
      <w:r>
        <w:rPr>
          <w:noProof/>
        </w:rPr>
        <w:t>La mesure se compose de deux étapes principales. La première étape est l’adoption d’un plan d’amélioration du système d’aide au revenu minimum pour 2022-2024 afin de renforcer la méthode de calcul du revenu minimum; l’adoption des lignes directrices pour la protection sociale et le marché du travail 2021-2027 afin de promouvoir l’inclusion sociale de la population, de réduire les inégalités de revenus et la pauvreté, de mettre en place des services sociaux accessibles et adaptés et de promouvoir un niveau d’emploi élevé dans un environnement de travail de qualité; l’adoption d’un plan de développement des services sociaux 2021-2023 visant à améliorer la fourniture de services de proximité; et l’adoption d’un plan de promotion de l’égalité des chances pour les personnes handicapées 2021-2023, qui vise à développer un système de soutien intégré répondant aux besoins des personnes handicapées. La deuxième étape est l’entrée en vigueur de modifications législatives par le parlement national visant à améliorer le système d’aide au revenu minimum, y compris la fixation d’un seuil de revenu minimum d’au moins 20 % du revenu médian et la mise en place d’une procédure d’indexation annuelle positive (à partir de 2023).</w:t>
      </w:r>
    </w:p>
    <w:p w14:paraId="15B980E4" w14:textId="77777777" w:rsidR="008E6885" w:rsidRDefault="00EA24E7">
      <w:pPr>
        <w:pStyle w:val="P68B1DB1-Normal5"/>
        <w:spacing w:after="240" w:line="240" w:lineRule="auto"/>
        <w:jc w:val="both"/>
        <w:rPr>
          <w:rFonts w:cs="Times New Roman"/>
          <w:noProof/>
        </w:rPr>
      </w:pPr>
      <w:r>
        <w:rPr>
          <w:noProof/>
        </w:rPr>
        <w:t>La mise en œuvre de la réforme est achevée au plus tard le 31 décembre 2021.</w:t>
      </w:r>
    </w:p>
    <w:p w14:paraId="089258D6" w14:textId="77777777" w:rsidR="008E6885" w:rsidRDefault="00EA24E7">
      <w:pPr>
        <w:pStyle w:val="P68B1DB1-Normal4"/>
        <w:keepNext/>
        <w:keepLines/>
        <w:spacing w:after="240" w:line="276" w:lineRule="auto"/>
        <w:jc w:val="both"/>
        <w:rPr>
          <w:rFonts w:eastAsia="Times New Roman" w:cs="Times New Roman"/>
          <w:noProof/>
        </w:rPr>
      </w:pPr>
      <w:r>
        <w:rPr>
          <w:noProof/>
          <w:u w:val="single"/>
        </w:rPr>
        <w:t>Investissement: 3.1.2.1.i. Mesures visant à promouvoir l'accès aux services publics et à l'emploi pour les personnes souffrant de déficiences fonctionnelles</w:t>
      </w:r>
      <w:r>
        <w:rPr>
          <w:noProof/>
        </w:rPr>
        <w:t xml:space="preserve"> </w:t>
      </w:r>
    </w:p>
    <w:p w14:paraId="7166D172" w14:textId="77777777" w:rsidR="008E6885" w:rsidRDefault="00EA24E7">
      <w:pPr>
        <w:pStyle w:val="P68B1DB1-Normal4"/>
        <w:spacing w:before="120" w:after="120" w:line="240" w:lineRule="auto"/>
        <w:jc w:val="both"/>
        <w:rPr>
          <w:rFonts w:cs="Times New Roman"/>
          <w:noProof/>
        </w:rPr>
      </w:pPr>
      <w:r>
        <w:rPr>
          <w:noProof/>
        </w:rPr>
        <w:t>L’objectif de la mesure est de faciliter l’accessibilité des bâtiments pour les personnes présentant des déficiences fonctionnelles, contribuant ainsi à leur inclusion sociale.</w:t>
      </w:r>
    </w:p>
    <w:p w14:paraId="107DFC1A" w14:textId="77777777" w:rsidR="008E6885" w:rsidRDefault="00EA24E7">
      <w:pPr>
        <w:pStyle w:val="P68B1DB1-Normal4"/>
        <w:spacing w:after="240" w:line="240" w:lineRule="auto"/>
        <w:jc w:val="both"/>
        <w:rPr>
          <w:rFonts w:cs="Times New Roman"/>
          <w:noProof/>
        </w:rPr>
      </w:pPr>
      <w:r>
        <w:rPr>
          <w:noProof/>
        </w:rPr>
        <w:t>La mesure consiste à adapter les bâtiments de l’État et des collectivités locales, ainsi que les logements des personnes présentant des déficiences fonctionnelles.</w:t>
      </w:r>
    </w:p>
    <w:p w14:paraId="4C3D2452" w14:textId="77777777" w:rsidR="008E6885" w:rsidRDefault="00EA24E7">
      <w:pPr>
        <w:pStyle w:val="P68B1DB1-Normal7"/>
        <w:keepNext/>
        <w:keepLines/>
        <w:spacing w:after="240" w:line="240" w:lineRule="auto"/>
        <w:jc w:val="both"/>
        <w:rPr>
          <w:rFonts w:eastAsia="Times New Roman" w:cs="Times New Roman"/>
          <w:noProof/>
        </w:rPr>
      </w:pPr>
      <w:r>
        <w:rPr>
          <w:noProof/>
        </w:rPr>
        <w:t>Investissement: 3.1.2.2.i. Développement d'un outil de prévision</w:t>
      </w:r>
    </w:p>
    <w:p w14:paraId="60A74470" w14:textId="77777777" w:rsidR="008E6885" w:rsidRDefault="00EA24E7">
      <w:pPr>
        <w:pStyle w:val="P68B1DB1-Normal4"/>
        <w:spacing w:before="120" w:after="120" w:line="240" w:lineRule="auto"/>
        <w:jc w:val="both"/>
        <w:rPr>
          <w:rFonts w:eastAsia="Times New Roman" w:cs="Times New Roman"/>
          <w:noProof/>
        </w:rPr>
      </w:pPr>
      <w:r>
        <w:rPr>
          <w:noProof/>
        </w:rPr>
        <w:t>L’objectif de la mesure est d’améliorer la capacité de modélisation afin d’évaluer la viabilité à long terme du système de sécurité sociale.</w:t>
      </w:r>
    </w:p>
    <w:p w14:paraId="0BF9770D" w14:textId="77777777" w:rsidR="008E6885" w:rsidRDefault="00EA24E7">
      <w:pPr>
        <w:pStyle w:val="P68B1DB1-Normal4"/>
        <w:spacing w:after="240" w:line="240" w:lineRule="auto"/>
        <w:jc w:val="both"/>
        <w:rPr>
          <w:rFonts w:eastAsia="Times New Roman" w:cs="Times New Roman"/>
          <w:noProof/>
        </w:rPr>
      </w:pPr>
      <w:r>
        <w:rPr>
          <w:noProof/>
        </w:rPr>
        <w:t xml:space="preserve">La mesure consiste à développer un système d'information pour la prévision à long terme de la sécurité sociale, y compris les retraites. </w:t>
      </w:r>
    </w:p>
    <w:p w14:paraId="7C58D296" w14:textId="77777777" w:rsidR="008E6885" w:rsidRDefault="00EA24E7">
      <w:pPr>
        <w:pStyle w:val="P68B1DB1-Normal15"/>
        <w:keepNext/>
        <w:keepLines/>
        <w:spacing w:after="240" w:line="240" w:lineRule="auto"/>
        <w:jc w:val="both"/>
        <w:rPr>
          <w:rFonts w:eastAsia="Times New Roman" w:cs="Times New Roman"/>
          <w:noProof/>
        </w:rPr>
      </w:pPr>
      <w:r>
        <w:rPr>
          <w:noProof/>
        </w:rPr>
        <w:t>Investissement: 3.1.2.3.i. Résilience et continuité du service d'aide sociale de longue durée</w:t>
      </w:r>
    </w:p>
    <w:p w14:paraId="7693AC6A" w14:textId="77777777" w:rsidR="008E6885" w:rsidRDefault="00EA24E7">
      <w:pPr>
        <w:pStyle w:val="P68B1DB1-Normal4"/>
        <w:spacing w:before="120" w:after="120" w:line="240" w:lineRule="auto"/>
        <w:jc w:val="both"/>
        <w:rPr>
          <w:rFonts w:cs="Times New Roman"/>
          <w:noProof/>
        </w:rPr>
      </w:pPr>
      <w:r>
        <w:rPr>
          <w:noProof/>
        </w:rPr>
        <w:t>L’objectif de la mesure est de permettre une transition de la fourniture de soins de longue durée en établissement à un modèle de soins plus communautaire.</w:t>
      </w:r>
    </w:p>
    <w:p w14:paraId="1A4A5C51" w14:textId="77777777" w:rsidR="008E6885" w:rsidRDefault="00EA24E7">
      <w:pPr>
        <w:pStyle w:val="P68B1DB1-Normal5"/>
        <w:spacing w:after="240" w:line="240" w:lineRule="auto"/>
        <w:jc w:val="both"/>
        <w:rPr>
          <w:rFonts w:cs="Times New Roman"/>
          <w:strike/>
          <w:noProof/>
        </w:rPr>
      </w:pPr>
      <w:r>
        <w:rPr>
          <w:noProof/>
        </w:rPr>
        <w:t xml:space="preserve">La mesure consiste à élaborer une conception de construction standard pour les nouveaux établissements de soins de longue durée, ainsi que la construction d'établissements de soins de longue durée. </w:t>
      </w:r>
    </w:p>
    <w:p w14:paraId="31C44201" w14:textId="77777777" w:rsidR="008E6885" w:rsidRDefault="00EA24E7">
      <w:pPr>
        <w:pStyle w:val="P68B1DB1-Normal7"/>
        <w:keepNext/>
        <w:keepLines/>
        <w:spacing w:after="240" w:line="240" w:lineRule="auto"/>
        <w:jc w:val="both"/>
        <w:rPr>
          <w:rFonts w:cs="Times New Roman"/>
          <w:noProof/>
        </w:rPr>
      </w:pPr>
      <w:r>
        <w:rPr>
          <w:noProof/>
          <w:szCs w:val="22"/>
        </w:rPr>
        <w:t xml:space="preserve">Investissement: 3.1.2.4.i. </w:t>
      </w:r>
      <w:r>
        <w:rPr>
          <w:noProof/>
        </w:rPr>
        <w:t>Développement synergique</w:t>
      </w:r>
      <w:r>
        <w:rPr>
          <w:noProof/>
          <w:szCs w:val="22"/>
        </w:rPr>
        <w:t xml:space="preserve"> des services de réadaptation sociale et professionnelle pour la promotion de la résilience des personnes ayant des déficiences fonctionnelles</w:t>
      </w:r>
    </w:p>
    <w:p w14:paraId="5124EB24" w14:textId="77777777" w:rsidR="008E6885" w:rsidRDefault="00EA24E7">
      <w:pPr>
        <w:pStyle w:val="P68B1DB1-Normal5"/>
        <w:spacing w:before="120" w:after="120" w:line="240" w:lineRule="auto"/>
        <w:jc w:val="both"/>
        <w:rPr>
          <w:rFonts w:cs="Times New Roman"/>
          <w:noProof/>
        </w:rPr>
      </w:pPr>
      <w:r>
        <w:rPr>
          <w:noProof/>
        </w:rPr>
        <w:t xml:space="preserve">L’objectif de la mesure est d’améliorer l’inclusion sociale et la réadaptation des personnes souffrant de déficiences fonctionnelles. </w:t>
      </w:r>
    </w:p>
    <w:p w14:paraId="105DA88F" w14:textId="77777777" w:rsidR="008E6885" w:rsidRDefault="00EA24E7">
      <w:pPr>
        <w:pStyle w:val="P68B1DB1-Normal4"/>
        <w:spacing w:after="240" w:line="240" w:lineRule="auto"/>
        <w:jc w:val="both"/>
        <w:rPr>
          <w:rFonts w:eastAsia="Times New Roman" w:cs="Times New Roman"/>
          <w:noProof/>
        </w:rPr>
      </w:pPr>
      <w:r>
        <w:rPr>
          <w:noProof/>
        </w:rPr>
        <w:t>La mesure consiste en l'adoption d'une norme de service de réadaptation professionnelle pour les personnes ayant des déficiences fonctionnelles et en des travaux d'adaptation pour les bâtiments à deux adresses.</w:t>
      </w:r>
    </w:p>
    <w:p w14:paraId="74183FAD" w14:textId="77777777" w:rsidR="008E6885" w:rsidRDefault="00EA24E7">
      <w:pPr>
        <w:pStyle w:val="P68B1DB1-Normal7"/>
        <w:keepNext/>
        <w:keepLines/>
        <w:spacing w:after="240" w:line="240" w:lineRule="auto"/>
        <w:jc w:val="both"/>
        <w:rPr>
          <w:rFonts w:cs="Times New Roman"/>
          <w:noProof/>
        </w:rPr>
      </w:pPr>
      <w:r>
        <w:rPr>
          <w:noProof/>
        </w:rPr>
        <w:t>Investissement: 3.1.2.5.i. Participation au marché du travail des chômeurs, des demandeurs d'emploi et des personnes menacées de chômage</w:t>
      </w:r>
    </w:p>
    <w:p w14:paraId="614FC5DC" w14:textId="77777777" w:rsidR="008E6885" w:rsidRDefault="00EA24E7">
      <w:pPr>
        <w:pStyle w:val="P68B1DB1-Normal4"/>
        <w:spacing w:before="120" w:after="120" w:line="240" w:lineRule="auto"/>
        <w:jc w:val="both"/>
        <w:rPr>
          <w:rFonts w:eastAsia="Times New Roman" w:cs="Times New Roman"/>
          <w:noProof/>
        </w:rPr>
      </w:pPr>
      <w:r>
        <w:rPr>
          <w:noProof/>
        </w:rPr>
        <w:t>L’objectif de la mesure est de faciliter l’acquisition de compétences pour les clients de l’Agence nationale pour l’emploi.</w:t>
      </w:r>
    </w:p>
    <w:p w14:paraId="4C66660F" w14:textId="77777777" w:rsidR="008E6885" w:rsidRDefault="00EA24E7">
      <w:pPr>
        <w:pStyle w:val="P68B1DB1-Normal4"/>
        <w:spacing w:after="240" w:line="240" w:lineRule="auto"/>
        <w:jc w:val="both"/>
        <w:rPr>
          <w:rFonts w:eastAsia="Times New Roman" w:cs="Times New Roman"/>
          <w:noProof/>
        </w:rPr>
      </w:pPr>
      <w:r>
        <w:rPr>
          <w:noProof/>
        </w:rPr>
        <w:t>La mesure consiste à développer une offre de recyclage et de renforcement des compétences axée sur les compétences numériques et l’offre de formation.</w:t>
      </w:r>
    </w:p>
    <w:p w14:paraId="0F661ED3" w14:textId="77777777" w:rsidR="008E6885" w:rsidRDefault="00EA24E7">
      <w:pPr>
        <w:pStyle w:val="P68B1DB1-Normal7"/>
        <w:keepNext/>
        <w:keepLines/>
        <w:spacing w:after="240" w:line="240" w:lineRule="auto"/>
        <w:jc w:val="both"/>
        <w:rPr>
          <w:rFonts w:cs="Times New Roman"/>
          <w:noProof/>
        </w:rPr>
      </w:pPr>
      <w:r>
        <w:rPr>
          <w:noProof/>
        </w:rPr>
        <w:t>Investissement: 3.1.2.6.i. Faciliter la disponibilité des aides techniques</w:t>
      </w:r>
    </w:p>
    <w:p w14:paraId="5BB9422B" w14:textId="3482712E" w:rsidR="008E6885" w:rsidRDefault="00EA24E7">
      <w:pPr>
        <w:pStyle w:val="P68B1DB1-Normal5"/>
        <w:spacing w:before="120" w:after="120" w:line="240" w:lineRule="auto"/>
        <w:jc w:val="both"/>
        <w:rPr>
          <w:rFonts w:cs="Times New Roman"/>
          <w:noProof/>
        </w:rPr>
      </w:pPr>
      <w:r>
        <w:rPr>
          <w:noProof/>
        </w:rPr>
        <w:t>L’objectif de la mesure est d’améliorer l’accès à la mobilité, aux soins personnels, au remplacement ou à la restauration de la fonction et à d’autres aides techniques de communication pour les personnes présentant des déficiences fonctionnelles.</w:t>
      </w:r>
    </w:p>
    <w:p w14:paraId="6D2C4A54" w14:textId="77777777" w:rsidR="008E6885" w:rsidRDefault="00EA24E7">
      <w:pPr>
        <w:pStyle w:val="P68B1DB1-Normal4"/>
        <w:spacing w:before="120" w:after="120" w:line="240" w:lineRule="auto"/>
        <w:jc w:val="both"/>
        <w:rPr>
          <w:noProof/>
        </w:rPr>
      </w:pPr>
      <w:r>
        <w:rPr>
          <w:noProof/>
        </w:rPr>
        <w:t>La mesure consiste à faciliter la disponibilité d'aides techniques.</w:t>
      </w:r>
    </w:p>
    <w:p w14:paraId="35F3A041" w14:textId="77777777" w:rsidR="008E6885" w:rsidRDefault="008E6885">
      <w:pPr>
        <w:spacing w:before="120" w:after="120" w:line="240" w:lineRule="auto"/>
        <w:jc w:val="both"/>
        <w:rPr>
          <w:rFonts w:ascii="Times New Roman" w:eastAsia="Calibri" w:hAnsi="Times New Roman" w:cs="Times New Roman"/>
          <w:noProof/>
          <w:kern w:val="0"/>
          <w14:ligatures w14:val="none"/>
        </w:rPr>
        <w:sectPr w:rsidR="008E6885" w:rsidSect="0048758A">
          <w:headerReference w:type="default" r:id="rId27"/>
          <w:footerReference w:type="default" r:id="rId28"/>
          <w:pgSz w:w="11906" w:h="16838"/>
          <w:pgMar w:top="1440" w:right="1440" w:bottom="1440" w:left="1440" w:header="708" w:footer="708" w:gutter="0"/>
          <w:cols w:space="708"/>
          <w:docGrid w:linePitch="360"/>
        </w:sectPr>
      </w:pPr>
    </w:p>
    <w:p w14:paraId="0C911C34" w14:textId="61ECDF70" w:rsidR="008E6885" w:rsidRDefault="00EA24E7">
      <w:pPr>
        <w:pStyle w:val="P68B1DB1-Normal1"/>
        <w:spacing w:before="120" w:after="120" w:line="240" w:lineRule="auto"/>
        <w:jc w:val="center"/>
        <w:rPr>
          <w:noProof/>
        </w:rPr>
      </w:pPr>
      <w:r>
        <w:rPr>
          <w:noProof/>
        </w:rPr>
        <w:t>C.2. Étapes, cibles, indicateurs et calendrier pour le suivi et la mise en œuvre du soutien financier non remboursable</w:t>
      </w:r>
    </w:p>
    <w:tbl>
      <w:tblPr>
        <w:tblW w:w="50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
        <w:gridCol w:w="1625"/>
        <w:gridCol w:w="1088"/>
        <w:gridCol w:w="1626"/>
        <w:gridCol w:w="1492"/>
        <w:gridCol w:w="1221"/>
        <w:gridCol w:w="954"/>
        <w:gridCol w:w="953"/>
        <w:gridCol w:w="987"/>
        <w:gridCol w:w="709"/>
        <w:gridCol w:w="2746"/>
      </w:tblGrid>
      <w:tr w:rsidR="008E6885" w14:paraId="26FAE206" w14:textId="77777777" w:rsidTr="00D57C89">
        <w:trPr>
          <w:trHeight w:val="300"/>
          <w:tblHeader/>
        </w:trPr>
        <w:tc>
          <w:tcPr>
            <w:tcW w:w="686"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245C4DC" w14:textId="77777777" w:rsidR="008E6885" w:rsidRDefault="00EA24E7">
            <w:pPr>
              <w:pStyle w:val="P68B1DB1-Normal17"/>
              <w:spacing w:before="120" w:after="120" w:line="240" w:lineRule="auto"/>
              <w:jc w:val="center"/>
              <w:rPr>
                <w:rFonts w:cs="Times New Roman"/>
                <w:noProof/>
              </w:rPr>
            </w:pPr>
            <w:r>
              <w:rPr>
                <w:noProof/>
              </w:rPr>
              <w:t>Nr</w:t>
            </w:r>
          </w:p>
        </w:tc>
        <w:tc>
          <w:tcPr>
            <w:tcW w:w="1625"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99DF4D3" w14:textId="77777777" w:rsidR="008E6885" w:rsidRDefault="00EA24E7">
            <w:pPr>
              <w:pStyle w:val="P68B1DB1-Normal17"/>
              <w:spacing w:before="120" w:after="120" w:line="240" w:lineRule="auto"/>
              <w:jc w:val="center"/>
              <w:rPr>
                <w:rFonts w:cs="Times New Roman"/>
                <w:noProof/>
              </w:rPr>
            </w:pPr>
            <w:r>
              <w:rPr>
                <w:noProof/>
              </w:rPr>
              <w:t>Mesure connexe (réforme ou investissement)</w:t>
            </w:r>
          </w:p>
        </w:tc>
        <w:tc>
          <w:tcPr>
            <w:tcW w:w="108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BC638BD" w14:textId="77777777" w:rsidR="008E6885" w:rsidRDefault="00EA24E7">
            <w:pPr>
              <w:pStyle w:val="P68B1DB1-Normal17"/>
              <w:spacing w:before="120" w:after="120" w:line="240" w:lineRule="auto"/>
              <w:jc w:val="center"/>
              <w:rPr>
                <w:rFonts w:cs="Times New Roman"/>
                <w:noProof/>
              </w:rPr>
            </w:pPr>
            <w:r>
              <w:rPr>
                <w:noProof/>
              </w:rPr>
              <w:t>Étape/cible</w:t>
            </w:r>
          </w:p>
        </w:tc>
        <w:tc>
          <w:tcPr>
            <w:tcW w:w="1626"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E7B8EB1" w14:textId="77777777" w:rsidR="008E6885" w:rsidRDefault="00EA24E7">
            <w:pPr>
              <w:pStyle w:val="P68B1DB1-Normal17"/>
              <w:spacing w:before="120" w:after="120" w:line="240" w:lineRule="auto"/>
              <w:jc w:val="center"/>
              <w:rPr>
                <w:rFonts w:cs="Times New Roman"/>
                <w:noProof/>
              </w:rPr>
            </w:pPr>
            <w:r>
              <w:rPr>
                <w:noProof/>
              </w:rPr>
              <w:t>Nom</w:t>
            </w:r>
          </w:p>
        </w:tc>
        <w:tc>
          <w:tcPr>
            <w:tcW w:w="1492"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551DE2A8" w14:textId="77777777" w:rsidR="008E6885" w:rsidRDefault="00EA24E7">
            <w:pPr>
              <w:pStyle w:val="P68B1DB1-Normal18"/>
              <w:spacing w:before="120" w:after="120" w:line="240" w:lineRule="auto"/>
              <w:jc w:val="center"/>
              <w:rPr>
                <w:rFonts w:ascii="Times New Roman" w:eastAsia="Calibri" w:hAnsi="Times New Roman" w:cs="Times New Roman"/>
                <w:noProof/>
              </w:rPr>
            </w:pPr>
            <w:r>
              <w:rPr>
                <w:rFonts w:ascii="Times New Roman" w:eastAsia="Calibri" w:hAnsi="Times New Roman" w:cs="Arial"/>
                <w:b/>
                <w:noProof/>
              </w:rPr>
              <w:t xml:space="preserve">Indicateurs qualitatifs </w:t>
            </w:r>
            <w:r>
              <w:rPr>
                <w:rFonts w:ascii="Times New Roman" w:eastAsia="Calibri" w:hAnsi="Times New Roman" w:cs="Arial"/>
                <w:noProof/>
              </w:rPr>
              <w:t xml:space="preserv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(pour les jalons)</w:t>
            </w:r>
          </w:p>
        </w:tc>
        <w:tc>
          <w:tcPr>
            <w:tcW w:w="3128"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768D365F" w14:textId="77777777" w:rsidR="008E6885" w:rsidRDefault="00EA24E7">
            <w:pPr>
              <w:pStyle w:val="P68B1DB1-Normal18"/>
              <w:spacing w:before="120" w:after="120" w:line="240" w:lineRule="auto"/>
              <w:jc w:val="center"/>
              <w:rPr>
                <w:rFonts w:ascii="Times New Roman" w:eastAsia="Calibri" w:hAnsi="Times New Roman" w:cs="Times New Roman"/>
                <w:noProof/>
              </w:rPr>
            </w:pPr>
            <w:r>
              <w:rPr>
                <w:rFonts w:ascii="Times New Roman" w:eastAsia="Calibri" w:hAnsi="Times New Roman" w:cs="Arial"/>
                <w:b/>
                <w:noProof/>
              </w:rPr>
              <w:t xml:space="preserve">Indicateurs quantitatifs </w:t>
            </w:r>
            <w:r>
              <w:rPr>
                <w:rFonts w:ascii="Times New Roman" w:eastAsia="Calibri" w:hAnsi="Times New Roman" w:cs="Arial"/>
                <w:noProof/>
              </w:rPr>
              <w:t xml:space="preserv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(pour les objectifs)</w:t>
            </w:r>
          </w:p>
        </w:tc>
        <w:tc>
          <w:tcPr>
            <w:tcW w:w="1696"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226BD792" w14:textId="77777777" w:rsidR="008E6885" w:rsidRDefault="00EA24E7">
            <w:pPr>
              <w:pStyle w:val="P68B1DB1-Normal17"/>
              <w:spacing w:before="120" w:after="120" w:line="240" w:lineRule="auto"/>
              <w:jc w:val="center"/>
              <w:rPr>
                <w:rFonts w:cs="Times New Roman"/>
                <w:noProof/>
              </w:rPr>
            </w:pPr>
            <w:r>
              <w:rPr>
                <w:noProof/>
              </w:rPr>
              <w:t>Calendrier indicatif d'achèvement</w:t>
            </w:r>
          </w:p>
        </w:tc>
        <w:tc>
          <w:tcPr>
            <w:tcW w:w="2746"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39B5A9" w14:textId="77777777" w:rsidR="008E6885" w:rsidRDefault="00EA24E7">
            <w:pPr>
              <w:pStyle w:val="P68B1DB1-Normal17"/>
              <w:spacing w:before="120" w:after="120" w:line="240" w:lineRule="auto"/>
              <w:jc w:val="center"/>
              <w:rPr>
                <w:rFonts w:cs="Times New Roman"/>
                <w:noProof/>
              </w:rPr>
            </w:pPr>
            <w:r>
              <w:rPr>
                <w:noProof/>
              </w:rPr>
              <w:t>Description de chaque jalon et cible</w:t>
            </w:r>
          </w:p>
        </w:tc>
      </w:tr>
      <w:tr w:rsidR="008E6885" w14:paraId="6ADB6F9F" w14:textId="77777777" w:rsidTr="00D57C89">
        <w:trPr>
          <w:trHeight w:val="509"/>
          <w:tblHeader/>
        </w:trPr>
        <w:tc>
          <w:tcPr>
            <w:tcW w:w="686" w:type="dxa"/>
            <w:vMerge/>
            <w:tcBorders>
              <w:top w:val="single" w:sz="4" w:space="0" w:color="auto"/>
              <w:left w:val="single" w:sz="4" w:space="0" w:color="auto"/>
              <w:bottom w:val="single" w:sz="4" w:space="0" w:color="auto"/>
              <w:right w:val="single" w:sz="4" w:space="0" w:color="auto"/>
            </w:tcBorders>
            <w:vAlign w:val="center"/>
          </w:tcPr>
          <w:p w14:paraId="01BDBA8E" w14:textId="77777777" w:rsidR="008E6885" w:rsidRDefault="008E6885">
            <w:pPr>
              <w:spacing w:before="120" w:after="120" w:line="240" w:lineRule="auto"/>
              <w:rPr>
                <w:rFonts w:ascii="Times New Roman" w:eastAsia="Calibri" w:hAnsi="Times New Roman" w:cs="Times New Roman"/>
                <w:noProof/>
                <w:kern w:val="0"/>
                <w:sz w:val="18"/>
                <w:szCs w:val="18"/>
                <w14:ligatures w14:val="none"/>
              </w:rPr>
            </w:pPr>
          </w:p>
        </w:tc>
        <w:tc>
          <w:tcPr>
            <w:tcW w:w="1625" w:type="dxa"/>
            <w:vMerge/>
            <w:tcBorders>
              <w:top w:val="single" w:sz="4" w:space="0" w:color="auto"/>
              <w:left w:val="single" w:sz="4" w:space="0" w:color="auto"/>
              <w:bottom w:val="single" w:sz="4" w:space="0" w:color="auto"/>
              <w:right w:val="single" w:sz="4" w:space="0" w:color="auto"/>
            </w:tcBorders>
            <w:vAlign w:val="center"/>
          </w:tcPr>
          <w:p w14:paraId="66AA79CE" w14:textId="77777777" w:rsidR="008E6885" w:rsidRDefault="008E6885">
            <w:pPr>
              <w:spacing w:before="120" w:after="120" w:line="240" w:lineRule="auto"/>
              <w:rPr>
                <w:rFonts w:ascii="Times New Roman" w:eastAsia="Calibri" w:hAnsi="Times New Roman" w:cs="Times New Roman"/>
                <w:noProof/>
                <w:kern w:val="0"/>
                <w:sz w:val="18"/>
                <w:szCs w:val="18"/>
                <w14:ligatures w14:val="none"/>
              </w:rPr>
            </w:pPr>
          </w:p>
        </w:tc>
        <w:tc>
          <w:tcPr>
            <w:tcW w:w="1088" w:type="dxa"/>
            <w:vMerge/>
            <w:tcBorders>
              <w:top w:val="single" w:sz="4" w:space="0" w:color="auto"/>
              <w:left w:val="single" w:sz="4" w:space="0" w:color="auto"/>
              <w:bottom w:val="single" w:sz="4" w:space="0" w:color="auto"/>
              <w:right w:val="single" w:sz="4" w:space="0" w:color="auto"/>
            </w:tcBorders>
            <w:vAlign w:val="center"/>
          </w:tcPr>
          <w:p w14:paraId="350FB1B9" w14:textId="77777777" w:rsidR="008E6885" w:rsidRDefault="008E6885">
            <w:pPr>
              <w:spacing w:before="120" w:after="120" w:line="240" w:lineRule="auto"/>
              <w:rPr>
                <w:rFonts w:ascii="Times New Roman" w:eastAsia="Calibri" w:hAnsi="Times New Roman" w:cs="Times New Roman"/>
                <w:noProof/>
                <w:kern w:val="0"/>
                <w:sz w:val="18"/>
                <w:szCs w:val="18"/>
                <w14:ligatures w14:val="none"/>
              </w:rPr>
            </w:pPr>
          </w:p>
        </w:tc>
        <w:tc>
          <w:tcPr>
            <w:tcW w:w="1626" w:type="dxa"/>
            <w:vMerge/>
            <w:tcBorders>
              <w:top w:val="single" w:sz="4" w:space="0" w:color="auto"/>
              <w:left w:val="single" w:sz="4" w:space="0" w:color="auto"/>
              <w:bottom w:val="single" w:sz="4" w:space="0" w:color="auto"/>
              <w:right w:val="single" w:sz="4" w:space="0" w:color="auto"/>
            </w:tcBorders>
            <w:vAlign w:val="center"/>
          </w:tcPr>
          <w:p w14:paraId="3621E78A" w14:textId="77777777" w:rsidR="008E6885" w:rsidRDefault="008E6885">
            <w:pPr>
              <w:spacing w:before="120" w:after="120" w:line="240" w:lineRule="auto"/>
              <w:rPr>
                <w:rFonts w:ascii="Times New Roman" w:eastAsia="Calibri" w:hAnsi="Times New Roman" w:cs="Times New Roman"/>
                <w:noProof/>
                <w:kern w:val="0"/>
                <w:sz w:val="18"/>
                <w:szCs w:val="18"/>
                <w14:ligatures w14:val="none"/>
              </w:rPr>
            </w:pPr>
          </w:p>
        </w:tc>
        <w:tc>
          <w:tcPr>
            <w:tcW w:w="1492" w:type="dxa"/>
            <w:vMerge/>
            <w:tcBorders>
              <w:top w:val="single" w:sz="4" w:space="0" w:color="auto"/>
              <w:left w:val="single" w:sz="4" w:space="0" w:color="auto"/>
              <w:bottom w:val="single" w:sz="4" w:space="0" w:color="auto"/>
              <w:right w:val="single" w:sz="4" w:space="0" w:color="auto"/>
            </w:tcBorders>
            <w:vAlign w:val="center"/>
          </w:tcPr>
          <w:p w14:paraId="4DBC7119" w14:textId="77777777" w:rsidR="008E6885" w:rsidRDefault="008E6885">
            <w:pPr>
              <w:spacing w:before="120" w:after="120" w:line="240" w:lineRule="auto"/>
              <w:rPr>
                <w:rFonts w:ascii="Times New Roman" w:eastAsia="Calibri" w:hAnsi="Times New Roman" w:cs="Times New Roman"/>
                <w:noProof/>
                <w:kern w:val="0"/>
                <w:sz w:val="18"/>
                <w:szCs w:val="18"/>
                <w14:ligatures w14:val="none"/>
              </w:rPr>
            </w:pPr>
          </w:p>
        </w:tc>
        <w:tc>
          <w:tcPr>
            <w:tcW w:w="1221" w:type="dxa"/>
            <w:tcBorders>
              <w:top w:val="single" w:sz="4" w:space="0" w:color="auto"/>
              <w:left w:val="single" w:sz="4" w:space="0" w:color="auto"/>
              <w:bottom w:val="single" w:sz="4" w:space="0" w:color="auto"/>
              <w:right w:val="single" w:sz="4" w:space="0" w:color="auto"/>
            </w:tcBorders>
            <w:shd w:val="clear" w:color="auto" w:fill="BDD7EE"/>
            <w:vAlign w:val="center"/>
          </w:tcPr>
          <w:p w14:paraId="514BAF5C" w14:textId="77777777" w:rsidR="008E6885" w:rsidRDefault="00EA24E7">
            <w:pPr>
              <w:pStyle w:val="P68B1DB1-Normal17"/>
              <w:spacing w:before="120" w:after="120" w:line="240" w:lineRule="auto"/>
              <w:jc w:val="center"/>
              <w:rPr>
                <w:rFonts w:cs="Times New Roman"/>
                <w:noProof/>
              </w:rPr>
            </w:pPr>
            <w:r>
              <w:rPr>
                <w:noProof/>
              </w:rPr>
              <w:t>Unité de mesure</w:t>
            </w:r>
          </w:p>
        </w:tc>
        <w:tc>
          <w:tcPr>
            <w:tcW w:w="954" w:type="dxa"/>
            <w:tcBorders>
              <w:top w:val="single" w:sz="4" w:space="0" w:color="auto"/>
              <w:left w:val="single" w:sz="4" w:space="0" w:color="auto"/>
              <w:bottom w:val="single" w:sz="4" w:space="0" w:color="auto"/>
              <w:right w:val="single" w:sz="4" w:space="0" w:color="auto"/>
            </w:tcBorders>
            <w:shd w:val="clear" w:color="auto" w:fill="BDD7EE"/>
            <w:vAlign w:val="center"/>
          </w:tcPr>
          <w:p w14:paraId="5F93501C" w14:textId="77777777" w:rsidR="008E6885" w:rsidRDefault="00EA24E7">
            <w:pPr>
              <w:pStyle w:val="P68B1DB1-Normal17"/>
              <w:spacing w:before="120" w:after="120" w:line="240" w:lineRule="auto"/>
              <w:jc w:val="center"/>
              <w:rPr>
                <w:rFonts w:cs="Times New Roman"/>
                <w:noProof/>
              </w:rPr>
            </w:pPr>
            <w:r>
              <w:rPr>
                <w:noProof/>
              </w:rPr>
              <w:t>Données de référence</w:t>
            </w:r>
          </w:p>
        </w:tc>
        <w:tc>
          <w:tcPr>
            <w:tcW w:w="953" w:type="dxa"/>
            <w:tcBorders>
              <w:top w:val="single" w:sz="4" w:space="0" w:color="auto"/>
              <w:left w:val="single" w:sz="4" w:space="0" w:color="auto"/>
              <w:bottom w:val="single" w:sz="4" w:space="0" w:color="auto"/>
              <w:right w:val="single" w:sz="4" w:space="0" w:color="auto"/>
            </w:tcBorders>
            <w:shd w:val="clear" w:color="auto" w:fill="BDD7EE"/>
            <w:vAlign w:val="center"/>
          </w:tcPr>
          <w:p w14:paraId="31752D65" w14:textId="77777777" w:rsidR="008E6885" w:rsidRDefault="00EA24E7">
            <w:pPr>
              <w:pStyle w:val="P68B1DB1-Normal17"/>
              <w:spacing w:before="120" w:after="120" w:line="240" w:lineRule="auto"/>
              <w:jc w:val="center"/>
              <w:rPr>
                <w:rFonts w:cs="Times New Roman"/>
                <w:noProof/>
              </w:rPr>
            </w:pPr>
            <w:r>
              <w:rPr>
                <w:noProof/>
              </w:rPr>
              <w:t>Objectif</w:t>
            </w:r>
          </w:p>
        </w:tc>
        <w:tc>
          <w:tcPr>
            <w:tcW w:w="987" w:type="dxa"/>
            <w:tcBorders>
              <w:top w:val="single" w:sz="4" w:space="0" w:color="auto"/>
              <w:left w:val="single" w:sz="4" w:space="0" w:color="auto"/>
              <w:bottom w:val="single" w:sz="4" w:space="0" w:color="auto"/>
              <w:right w:val="single" w:sz="4" w:space="0" w:color="auto"/>
            </w:tcBorders>
            <w:shd w:val="clear" w:color="auto" w:fill="BDD7EE"/>
            <w:vAlign w:val="center"/>
          </w:tcPr>
          <w:p w14:paraId="775B52C1" w14:textId="77777777" w:rsidR="008E6885" w:rsidRDefault="00EA24E7">
            <w:pPr>
              <w:pStyle w:val="P68B1DB1-Normal17"/>
              <w:spacing w:before="120" w:after="120" w:line="240" w:lineRule="auto"/>
              <w:jc w:val="center"/>
              <w:rPr>
                <w:rFonts w:cs="Times New Roman"/>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0582B8DE" w14:textId="77777777" w:rsidR="008E6885" w:rsidRDefault="00EA24E7">
            <w:pPr>
              <w:pStyle w:val="P68B1DB1-Normal17"/>
              <w:spacing w:before="120" w:after="120" w:line="240" w:lineRule="auto"/>
              <w:jc w:val="center"/>
              <w:rPr>
                <w:rFonts w:cs="Times New Roman"/>
                <w:noProof/>
              </w:rPr>
            </w:pPr>
            <w:r>
              <w:rPr>
                <w:noProof/>
              </w:rPr>
              <w:t>Année</w:t>
            </w:r>
          </w:p>
        </w:tc>
        <w:tc>
          <w:tcPr>
            <w:tcW w:w="2746" w:type="dxa"/>
            <w:vMerge/>
            <w:tcBorders>
              <w:top w:val="single" w:sz="4" w:space="0" w:color="auto"/>
              <w:left w:val="single" w:sz="4" w:space="0" w:color="auto"/>
              <w:bottom w:val="single" w:sz="4" w:space="0" w:color="auto"/>
              <w:right w:val="single" w:sz="4" w:space="0" w:color="auto"/>
            </w:tcBorders>
            <w:vAlign w:val="center"/>
          </w:tcPr>
          <w:p w14:paraId="02FACEC8" w14:textId="77777777" w:rsidR="008E6885" w:rsidRDefault="008E6885">
            <w:pPr>
              <w:spacing w:before="120" w:after="120" w:line="240" w:lineRule="auto"/>
              <w:jc w:val="both"/>
              <w:rPr>
                <w:rFonts w:ascii="Times New Roman" w:eastAsia="Calibri" w:hAnsi="Times New Roman" w:cs="Times New Roman"/>
                <w:noProof/>
                <w:kern w:val="0"/>
                <w:sz w:val="18"/>
                <w:szCs w:val="18"/>
                <w14:ligatures w14:val="none"/>
              </w:rPr>
            </w:pPr>
          </w:p>
        </w:tc>
      </w:tr>
      <w:tr w:rsidR="008E6885" w14:paraId="0EF22EB9"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7F5623F7" w14:textId="77777777" w:rsidR="008E6885" w:rsidRDefault="00EA24E7">
            <w:pPr>
              <w:pStyle w:val="P68B1DB1-Normal19"/>
              <w:spacing w:before="120" w:after="120" w:line="240" w:lineRule="auto"/>
              <w:rPr>
                <w:rFonts w:cs="Times New Roman"/>
                <w:noProof/>
              </w:rPr>
            </w:pPr>
            <w:r>
              <w:rPr>
                <w:noProof/>
              </w:rPr>
              <w:t>84</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26AEBF95" w14:textId="77777777" w:rsidR="008E6885" w:rsidRDefault="00EA24E7">
            <w:pPr>
              <w:pStyle w:val="P68B1DB1-Normal19"/>
              <w:spacing w:before="120" w:after="120" w:line="240" w:lineRule="auto"/>
              <w:rPr>
                <w:rFonts w:cs="Times New Roman"/>
                <w:noProof/>
              </w:rPr>
            </w:pPr>
            <w:r>
              <w:rPr>
                <w:b/>
                <w:noProof/>
              </w:rPr>
              <w:t>3.1.1.r. Réforme administrative territoriale</w:t>
            </w:r>
            <w:r>
              <w:rPr>
                <w:noProof/>
              </w:rPr>
              <w:t xml:space="preserv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18F86C8E"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0D694A9F" w14:textId="77777777" w:rsidR="008E6885" w:rsidRDefault="00EA24E7">
            <w:pPr>
              <w:pStyle w:val="P68B1DB1-Normal19"/>
              <w:spacing w:before="120" w:after="120" w:line="240" w:lineRule="auto"/>
              <w:rPr>
                <w:rFonts w:cs="Times New Roman"/>
                <w:noProof/>
              </w:rPr>
            </w:pPr>
            <w:r>
              <w:rPr>
                <w:noProof/>
              </w:rPr>
              <w:t>Entrée en vigueur d’une nouvelle «loi municipale»</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1B6070BC" w14:textId="77777777" w:rsidR="008E6885" w:rsidRDefault="00EA24E7">
            <w:pPr>
              <w:pStyle w:val="P68B1DB1-Normal19"/>
              <w:spacing w:before="120" w:after="120" w:line="240" w:lineRule="auto"/>
              <w:rPr>
                <w:rFonts w:cs="Times New Roman"/>
                <w:noProof/>
              </w:rPr>
            </w:pPr>
            <w:r>
              <w:rPr>
                <w:noProof/>
              </w:rPr>
              <w:t>Entrée en vigueur de la nouvelle «loi municipale»</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5DD18DE6"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4B3D93D6"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145D4612"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5955E566"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F4E511F" w14:textId="77777777" w:rsidR="008E6885" w:rsidRDefault="00EA24E7">
            <w:pPr>
              <w:pStyle w:val="P68B1DB1-Normal19"/>
              <w:spacing w:before="120" w:after="120" w:line="240" w:lineRule="auto"/>
              <w:jc w:val="center"/>
              <w:rPr>
                <w:rFonts w:cs="Times New Roman"/>
                <w:noProof/>
              </w:rPr>
            </w:pPr>
            <w:r>
              <w:rPr>
                <w:noProof/>
              </w:rPr>
              <w:t>2023</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0A8AEEA7" w14:textId="77777777" w:rsidR="008E6885" w:rsidRDefault="00EA24E7">
            <w:pPr>
              <w:pStyle w:val="P68B1DB1-Normal19"/>
              <w:spacing w:before="120" w:after="120" w:line="240" w:lineRule="auto"/>
              <w:jc w:val="both"/>
              <w:rPr>
                <w:rFonts w:cs="Times New Roman"/>
                <w:noProof/>
              </w:rPr>
            </w:pPr>
            <w:r>
              <w:rPr>
                <w:noProof/>
              </w:rPr>
              <w:t>Entrée en vigueur de la «loi sur les municipalités», qui réexamine les fonctions et les tâches des collectivités locales afin de les aligner sur les résultats de la réforme administrative territoriale (remplaçant la loi sur les collectivités locales du 19 mai 1994). Elle garantit une meilleure gouvernance après la réforme administrative territoriale des municipalités, en promouvant la démocratisation et une séparation plus claire du pouvoir décisionnel de l’exécutif, en établissant une répartition claire des compétences et des fonctions, en réduisant la concentration des pouvoirs et en augmentant la participation de la communauté locale sur une base régulière.</w:t>
            </w:r>
          </w:p>
        </w:tc>
      </w:tr>
      <w:tr w:rsidR="008E6885" w14:paraId="6DC36E73"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7BF72F91" w14:textId="77777777" w:rsidR="008E6885" w:rsidRDefault="00EA24E7">
            <w:pPr>
              <w:pStyle w:val="P68B1DB1-Normal19"/>
              <w:spacing w:before="120" w:after="120" w:line="240" w:lineRule="auto"/>
              <w:rPr>
                <w:rFonts w:cs="Times New Roman"/>
                <w:noProof/>
              </w:rPr>
            </w:pPr>
            <w:r>
              <w:rPr>
                <w:noProof/>
              </w:rPr>
              <w:t>85</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54E8CF00" w14:textId="77777777" w:rsidR="008E6885" w:rsidRDefault="00EA24E7">
            <w:pPr>
              <w:pStyle w:val="P68B1DB1-Normal19"/>
              <w:spacing w:before="120" w:after="120" w:line="240" w:lineRule="auto"/>
              <w:rPr>
                <w:rFonts w:cs="Times New Roman"/>
                <w:noProof/>
              </w:rPr>
            </w:pPr>
            <w:r>
              <w:rPr>
                <w:b/>
                <w:noProof/>
              </w:rPr>
              <w:t>3.1.1.1.i. Amélioration du réseau routier régional et local</w:t>
            </w:r>
            <w:r>
              <w:rPr>
                <w:noProof/>
              </w:rPr>
              <w:t xml:space="preserv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025A20A0" w14:textId="77777777" w:rsidR="008E6885" w:rsidRDefault="00EA24E7">
            <w:pPr>
              <w:pStyle w:val="P68B1DB1-Normal19"/>
              <w:spacing w:before="120" w:after="120" w:line="240" w:lineRule="auto"/>
              <w:rPr>
                <w:rFonts w:cs="Times New Roman"/>
                <w:noProof/>
              </w:rPr>
            </w:pPr>
            <w:r>
              <w:rPr>
                <w:noProof/>
              </w:rPr>
              <w:t xml:space="preserve">Objectif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56A243A2" w14:textId="77777777" w:rsidR="008E6885" w:rsidRDefault="00EA24E7">
            <w:pPr>
              <w:pStyle w:val="P68B1DB1-Normal19"/>
              <w:spacing w:before="120" w:after="120" w:line="240" w:lineRule="auto"/>
              <w:rPr>
                <w:rFonts w:cs="Times New Roman"/>
                <w:noProof/>
              </w:rPr>
            </w:pPr>
            <w:r>
              <w:rPr>
                <w:noProof/>
              </w:rPr>
              <w:t xml:space="preserve">Rénovation ou reconstruction des routes régionales et locales pour l’accessibilité en toute sécurité des centres administratifs de comté, de leurs services et de leurs emplois, et pour le plein fonctionnement des nouvelles municipalités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2A098FD2" w14:textId="77777777" w:rsidR="008E6885" w:rsidRDefault="00EA24E7">
            <w:pPr>
              <w:pStyle w:val="P68B1DB1-Normal19"/>
              <w:spacing w:before="120" w:after="120" w:line="240" w:lineRule="auto"/>
              <w:jc w:val="center"/>
              <w:rPr>
                <w:rFonts w:cs="Times New Roman"/>
                <w:noProof/>
              </w:rPr>
            </w:pPr>
            <w:r>
              <w:rPr>
                <w:noProof/>
              </w:rPr>
              <w:t>Sans objet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4BDF4055" w14:textId="77777777" w:rsidR="008E6885" w:rsidRDefault="00EA24E7">
            <w:pPr>
              <w:pStyle w:val="P68B1DB1-Normal19"/>
              <w:spacing w:before="120" w:after="120" w:line="240" w:lineRule="auto"/>
              <w:jc w:val="center"/>
              <w:rPr>
                <w:rFonts w:cs="Times New Roman"/>
                <w:noProof/>
              </w:rPr>
            </w:pPr>
            <w:r>
              <w:rPr>
                <w:noProof/>
              </w:rPr>
              <w:t>Km</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4EB3DCF0" w14:textId="77777777" w:rsidR="008E6885" w:rsidRDefault="00EA24E7">
            <w:pPr>
              <w:pStyle w:val="P68B1DB1-Normal19"/>
              <w:spacing w:before="120" w:after="120" w:line="240" w:lineRule="auto"/>
              <w:jc w:val="center"/>
              <w:rPr>
                <w:rFonts w:cs="Times New Roman"/>
                <w:noProof/>
              </w:rPr>
            </w:pPr>
            <w:r>
              <w:rPr>
                <w:noProof/>
              </w:rPr>
              <w:t>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652FB7C8" w14:textId="77777777" w:rsidR="008E6885" w:rsidRDefault="00EA24E7">
            <w:pPr>
              <w:pStyle w:val="P68B1DB1-Normal19"/>
              <w:spacing w:before="120" w:after="120" w:line="240" w:lineRule="auto"/>
              <w:jc w:val="center"/>
              <w:rPr>
                <w:rFonts w:cs="Times New Roman"/>
                <w:noProof/>
              </w:rPr>
            </w:pPr>
            <w:r>
              <w:rPr>
                <w:noProof/>
              </w:rPr>
              <w:t>70</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72AA5044"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AD62E07" w14:textId="77777777" w:rsidR="008E6885" w:rsidRDefault="00EA24E7">
            <w:pPr>
              <w:pStyle w:val="P68B1DB1-Normal19"/>
              <w:spacing w:before="120" w:after="120" w:line="240" w:lineRule="auto"/>
              <w:jc w:val="center"/>
              <w:rPr>
                <w:rFonts w:cs="Times New Roman"/>
                <w:noProof/>
              </w:rPr>
            </w:pPr>
            <w:r>
              <w:rPr>
                <w:noProof/>
              </w:rPr>
              <w:t>2022</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55B0769E" w14:textId="77777777" w:rsidR="008E6885" w:rsidRDefault="00EA24E7">
            <w:pPr>
              <w:pStyle w:val="P68B1DB1-Normal19"/>
              <w:spacing w:before="120" w:after="120" w:line="240" w:lineRule="auto"/>
              <w:jc w:val="both"/>
              <w:rPr>
                <w:rFonts w:cs="Times New Roman"/>
                <w:noProof/>
              </w:rPr>
            </w:pPr>
            <w:r>
              <w:rPr>
                <w:noProof/>
              </w:rPr>
              <w:t xml:space="preserve">Les routes régionales et locales de l'État ont été rénovées ou reconstruites pour permettre l'accès aux centres administratifs des comtés, à leurs services et à leurs emplois, ainsi que le plein fonctionnement des nouvelles municipalités. Les travaux de construction de routes impliquent des investissements qui améliorent la sécurité routière. </w:t>
            </w:r>
          </w:p>
        </w:tc>
      </w:tr>
      <w:tr w:rsidR="008E6885" w14:paraId="0B921E9F"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7D7136EC" w14:textId="77777777" w:rsidR="008E6885" w:rsidRDefault="00EA24E7">
            <w:pPr>
              <w:pStyle w:val="P68B1DB1-Normal19"/>
              <w:spacing w:before="120" w:after="120" w:line="240" w:lineRule="auto"/>
              <w:rPr>
                <w:rFonts w:cs="Times New Roman"/>
                <w:noProof/>
              </w:rPr>
            </w:pPr>
            <w:r>
              <w:rPr>
                <w:noProof/>
              </w:rPr>
              <w:t>86</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7B54F364" w14:textId="77777777" w:rsidR="008E6885" w:rsidRDefault="00EA24E7">
            <w:pPr>
              <w:pStyle w:val="P68B1DB1-Normal19"/>
              <w:spacing w:before="120" w:after="120" w:line="240" w:lineRule="auto"/>
              <w:rPr>
                <w:rFonts w:cs="Times New Roman"/>
                <w:noProof/>
              </w:rPr>
            </w:pPr>
            <w:r>
              <w:rPr>
                <w:b/>
                <w:noProof/>
              </w:rPr>
              <w:t>3.1.1.1.i. Amélioration du réseau routier régional et local</w:t>
            </w:r>
            <w:r>
              <w:rPr>
                <w:noProof/>
              </w:rPr>
              <w:t xml:space="preserv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050A46AE" w14:textId="77777777" w:rsidR="008E6885" w:rsidRDefault="00EA24E7">
            <w:pPr>
              <w:pStyle w:val="P68B1DB1-Normal19"/>
              <w:spacing w:before="120" w:after="120" w:line="240" w:lineRule="auto"/>
              <w:rPr>
                <w:rFonts w:cs="Times New Roman"/>
                <w:noProof/>
              </w:rPr>
            </w:pPr>
            <w:r>
              <w:rPr>
                <w:noProof/>
              </w:rPr>
              <w:t xml:space="preserve">Objectif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764644B8" w14:textId="77777777" w:rsidR="008E6885" w:rsidRDefault="00EA24E7">
            <w:pPr>
              <w:pStyle w:val="P68B1DB1-Normal19"/>
              <w:spacing w:before="120" w:after="120" w:line="240" w:lineRule="auto"/>
              <w:rPr>
                <w:rFonts w:cs="Times New Roman"/>
                <w:noProof/>
              </w:rPr>
            </w:pPr>
            <w:r>
              <w:rPr>
                <w:noProof/>
              </w:rPr>
              <w:t xml:space="preserve">Routes régionales et locales rénovées ou reconstruites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00C739F0" w14:textId="77777777" w:rsidR="008E6885" w:rsidRDefault="00EA24E7">
            <w:pPr>
              <w:pStyle w:val="P68B1DB1-Normal19"/>
              <w:spacing w:before="120" w:after="120" w:line="240" w:lineRule="auto"/>
              <w:rPr>
                <w:rFonts w:cs="Times New Roman"/>
                <w:noProof/>
              </w:rPr>
            </w:pPr>
            <w:r>
              <w:rPr>
                <w:noProof/>
              </w:rPr>
              <w:t xml:space="preserve">Sans objet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76065FA9" w14:textId="77777777" w:rsidR="008E6885" w:rsidRDefault="00EA24E7">
            <w:pPr>
              <w:pStyle w:val="P68B1DB1-Normal19"/>
              <w:spacing w:before="120" w:after="120" w:line="240" w:lineRule="auto"/>
              <w:jc w:val="center"/>
              <w:rPr>
                <w:rFonts w:cs="Times New Roman"/>
                <w:noProof/>
              </w:rPr>
            </w:pPr>
            <w:r>
              <w:rPr>
                <w:noProof/>
              </w:rPr>
              <w:t>Km</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6D90CE6E" w14:textId="77777777" w:rsidR="008E6885" w:rsidRDefault="00EA24E7">
            <w:pPr>
              <w:pStyle w:val="P68B1DB1-Normal19"/>
              <w:spacing w:before="120" w:after="120" w:line="240" w:lineRule="auto"/>
              <w:jc w:val="center"/>
              <w:rPr>
                <w:rFonts w:cs="Times New Roman"/>
                <w:noProof/>
              </w:rPr>
            </w:pPr>
            <w:r>
              <w:rPr>
                <w:noProof/>
              </w:rPr>
              <w:t>70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674C36E3" w14:textId="77777777" w:rsidR="008E6885" w:rsidRDefault="00EA24E7">
            <w:pPr>
              <w:pStyle w:val="P68B1DB1-Normal19"/>
              <w:spacing w:before="120" w:after="120" w:line="240" w:lineRule="auto"/>
              <w:jc w:val="center"/>
              <w:rPr>
                <w:rFonts w:cs="Times New Roman"/>
                <w:noProof/>
              </w:rPr>
            </w:pPr>
            <w:r>
              <w:rPr>
                <w:noProof/>
              </w:rPr>
              <w:t>210</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71E29614"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CA46186" w14:textId="77777777" w:rsidR="008E6885" w:rsidRDefault="00EA24E7">
            <w:pPr>
              <w:pStyle w:val="P68B1DB1-Normal19"/>
              <w:spacing w:before="120" w:after="120" w:line="240" w:lineRule="auto"/>
              <w:jc w:val="center"/>
              <w:rPr>
                <w:rFonts w:cs="Times New Roman"/>
                <w:noProof/>
              </w:rPr>
            </w:pPr>
            <w:r>
              <w:rPr>
                <w:noProof/>
              </w:rPr>
              <w:t>2024</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693E06A7" w14:textId="77777777" w:rsidR="008E6885" w:rsidRDefault="00EA24E7">
            <w:pPr>
              <w:pStyle w:val="P68B1DB1-Normal19"/>
              <w:spacing w:before="120" w:after="120" w:line="240" w:lineRule="auto"/>
              <w:jc w:val="both"/>
              <w:rPr>
                <w:rFonts w:cs="Times New Roman"/>
                <w:noProof/>
              </w:rPr>
            </w:pPr>
            <w:r>
              <w:rPr>
                <w:noProof/>
              </w:rPr>
              <w:t>Les routes régionales et locales de l'État ont été rénovées ou reconstruites pour permettre l'accès aux centres administratifs des comtés, à leurs services et à leurs emplois, ainsi que le plein fonctionnement des nouvelles municipalités. Les travaux de construction de routes impliquent des investissements qui améliorent la sécurité routière.</w:t>
            </w:r>
          </w:p>
        </w:tc>
      </w:tr>
      <w:tr w:rsidR="008E6885" w14:paraId="2988428D"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7FAD6717" w14:textId="77777777" w:rsidR="008E6885" w:rsidRDefault="00EA24E7">
            <w:pPr>
              <w:pStyle w:val="P68B1DB1-Normal19"/>
              <w:spacing w:before="120" w:after="120" w:line="240" w:lineRule="auto"/>
              <w:rPr>
                <w:rFonts w:cs="Times New Roman"/>
                <w:noProof/>
              </w:rPr>
            </w:pPr>
            <w:r>
              <w:rPr>
                <w:noProof/>
              </w:rPr>
              <w:t>89</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3A58D970" w14:textId="77777777" w:rsidR="008E6885" w:rsidRDefault="00EA24E7">
            <w:pPr>
              <w:pStyle w:val="P68B1DB1-Normal17"/>
              <w:spacing w:before="120" w:after="120" w:line="240" w:lineRule="auto"/>
              <w:rPr>
                <w:rFonts w:cs="Times New Roman"/>
                <w:noProof/>
              </w:rPr>
            </w:pPr>
            <w:r>
              <w:rPr>
                <w:noProof/>
              </w:rPr>
              <w:t xml:space="preserve">3.1.1.2.i. Renforcer la capacité des municipalités à améliorer l'efficacité et la qualité des services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7D9A6FBB"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28BD552B" w14:textId="77777777" w:rsidR="008E6885" w:rsidRDefault="00EA24E7">
            <w:pPr>
              <w:pStyle w:val="P68B1DB1-Normal19"/>
              <w:spacing w:before="120" w:after="120" w:line="240" w:lineRule="auto"/>
              <w:rPr>
                <w:rFonts w:cs="Times New Roman"/>
                <w:noProof/>
              </w:rPr>
            </w:pPr>
            <w:r>
              <w:rPr>
                <w:noProof/>
              </w:rPr>
              <w:t xml:space="preserve">La base juridique pour la mise en œuvre du soutien au renforcement des capacités des collectivités locales a été adoptée.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02790C65" w14:textId="77777777" w:rsidR="008E6885" w:rsidRDefault="00EA24E7">
            <w:pPr>
              <w:pStyle w:val="P68B1DB1-Normal19"/>
              <w:spacing w:before="120" w:after="120" w:line="240" w:lineRule="auto"/>
              <w:rPr>
                <w:rFonts w:cs="Times New Roman"/>
                <w:noProof/>
              </w:rPr>
            </w:pPr>
            <w:r>
              <w:rPr>
                <w:noProof/>
              </w:rPr>
              <w:t xml:space="preserve">Le règlement du Cabinet des ministres a été adopté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78DD33E3"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591C8A52"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36F34A20"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2E6F7B67"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5DDE6BA" w14:textId="77777777" w:rsidR="008E6885" w:rsidRDefault="00EA24E7">
            <w:pPr>
              <w:pStyle w:val="P68B1DB1-Normal19"/>
              <w:spacing w:before="120" w:after="120" w:line="240" w:lineRule="auto"/>
              <w:jc w:val="center"/>
              <w:rPr>
                <w:rFonts w:cs="Times New Roman"/>
                <w:noProof/>
              </w:rPr>
            </w:pPr>
            <w:r>
              <w:rPr>
                <w:noProof/>
              </w:rPr>
              <w:t>2022</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2CE92BEA" w14:textId="77777777" w:rsidR="008E6885" w:rsidRDefault="00EA24E7">
            <w:pPr>
              <w:pStyle w:val="P68B1DB1-Normal19"/>
              <w:spacing w:before="120" w:after="120" w:line="240" w:lineRule="auto"/>
              <w:jc w:val="both"/>
              <w:rPr>
                <w:rFonts w:cs="Times New Roman"/>
                <w:noProof/>
              </w:rPr>
            </w:pPr>
            <w:r>
              <w:rPr>
                <w:noProof/>
              </w:rPr>
              <w:t>Des règlements du Cabinet ont été adoptés pour la mise en œuvre du soutien au renforcement des capacités des administrations locales, notamment:</w:t>
            </w:r>
          </w:p>
          <w:p w14:paraId="08466848" w14:textId="77777777" w:rsidR="008E6885" w:rsidRDefault="00EA24E7">
            <w:pPr>
              <w:pStyle w:val="P68B1DB1-Normal19"/>
              <w:spacing w:before="120" w:after="120" w:line="240" w:lineRule="auto"/>
              <w:jc w:val="both"/>
              <w:rPr>
                <w:rFonts w:cs="Times New Roman"/>
                <w:noProof/>
              </w:rPr>
            </w:pPr>
            <w:r>
              <w:rPr>
                <w:noProof/>
              </w:rPr>
              <w:t xml:space="preserve">a) définir la portée et les paramètres des actions de renforcement des capacités dans les municipalités; </w:t>
            </w:r>
          </w:p>
          <w:p w14:paraId="101B5572" w14:textId="77777777" w:rsidR="008E6885" w:rsidRDefault="00EA24E7">
            <w:pPr>
              <w:pStyle w:val="P68B1DB1-Normal19"/>
              <w:spacing w:before="120" w:after="120" w:line="240" w:lineRule="auto"/>
              <w:jc w:val="both"/>
              <w:rPr>
                <w:rFonts w:cs="Times New Roman"/>
                <w:noProof/>
              </w:rPr>
            </w:pPr>
            <w:r>
              <w:rPr>
                <w:noProof/>
              </w:rPr>
              <w:t xml:space="preserve">b) les évaluations de la fonction publique municipale; </w:t>
            </w:r>
          </w:p>
          <w:p w14:paraId="03A9AE3D" w14:textId="77777777" w:rsidR="008E6885" w:rsidRDefault="00EA24E7">
            <w:pPr>
              <w:pStyle w:val="P68B1DB1-Normal19"/>
              <w:spacing w:before="120" w:after="120" w:line="240" w:lineRule="auto"/>
              <w:jc w:val="both"/>
              <w:rPr>
                <w:rFonts w:cs="Times New Roman"/>
                <w:noProof/>
              </w:rPr>
            </w:pPr>
            <w:r>
              <w:rPr>
                <w:noProof/>
              </w:rPr>
              <w:t xml:space="preserve">c) Fourniture d ' un appui méthodologique et renforcement des capacités; </w:t>
            </w:r>
          </w:p>
          <w:p w14:paraId="1F8E1A00" w14:textId="77777777" w:rsidR="008E6885" w:rsidRDefault="00EA24E7">
            <w:pPr>
              <w:pStyle w:val="P68B1DB1-Normal19"/>
              <w:spacing w:before="120" w:after="120" w:line="240" w:lineRule="auto"/>
              <w:jc w:val="both"/>
              <w:rPr>
                <w:rFonts w:cs="Times New Roman"/>
                <w:noProof/>
              </w:rPr>
            </w:pPr>
            <w:r>
              <w:rPr>
                <w:noProof/>
              </w:rPr>
              <w:t xml:space="preserve">d) mettre à l'essai des méthodes de planification et de prestation des services publics municipaux. </w:t>
            </w:r>
          </w:p>
        </w:tc>
      </w:tr>
      <w:tr w:rsidR="008E6885" w14:paraId="0F4C2054"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6B6DD8D0" w14:textId="77777777" w:rsidR="008E6885" w:rsidRDefault="00EA24E7">
            <w:pPr>
              <w:pStyle w:val="P68B1DB1-Normal19"/>
              <w:spacing w:before="120" w:after="120" w:line="240" w:lineRule="auto"/>
              <w:rPr>
                <w:rFonts w:cs="Times New Roman"/>
                <w:noProof/>
              </w:rPr>
            </w:pPr>
            <w:r>
              <w:rPr>
                <w:noProof/>
              </w:rPr>
              <w:t>90</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7023893D" w14:textId="77777777" w:rsidR="008E6885" w:rsidRDefault="00EA24E7">
            <w:pPr>
              <w:pStyle w:val="P68B1DB1-Normal17"/>
              <w:spacing w:before="120" w:after="120" w:line="240" w:lineRule="auto"/>
              <w:rPr>
                <w:rFonts w:cs="Times New Roman"/>
                <w:noProof/>
              </w:rPr>
            </w:pPr>
            <w:r>
              <w:rPr>
                <w:noProof/>
              </w:rPr>
              <w:t xml:space="preserve">3.1.1.2.i. Renforcer la capacité des municipalités à améliorer l'efficacité et la qualité des services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1E54D5BC"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3798486B" w14:textId="77777777" w:rsidR="008E6885" w:rsidRDefault="00EA24E7">
            <w:pPr>
              <w:pStyle w:val="P68B1DB1-Normal19"/>
              <w:spacing w:before="120" w:after="120" w:line="240" w:lineRule="auto"/>
              <w:rPr>
                <w:rFonts w:cs="Times New Roman"/>
                <w:noProof/>
              </w:rPr>
            </w:pPr>
            <w:r>
              <w:rPr>
                <w:noProof/>
              </w:rPr>
              <w:t>Évaluation des services publics des collectivités locales</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681EF068" w14:textId="77777777" w:rsidR="008E6885" w:rsidRDefault="00EA24E7">
            <w:pPr>
              <w:pStyle w:val="P68B1DB1-Normal19"/>
              <w:spacing w:before="120" w:after="120" w:line="240" w:lineRule="auto"/>
              <w:rPr>
                <w:rFonts w:cs="Times New Roman"/>
                <w:noProof/>
              </w:rPr>
            </w:pPr>
            <w:r>
              <w:rPr>
                <w:noProof/>
              </w:rPr>
              <w:t>Évaluation finalisée</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05F9C730"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5A5B2426"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7586A9FB"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4A33FCC4"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774CB56" w14:textId="77777777" w:rsidR="008E6885" w:rsidRDefault="00EA24E7">
            <w:pPr>
              <w:pStyle w:val="P68B1DB1-Normal19"/>
              <w:spacing w:before="120" w:after="120" w:line="240" w:lineRule="auto"/>
              <w:jc w:val="center"/>
              <w:rPr>
                <w:rFonts w:cs="Times New Roman"/>
                <w:noProof/>
              </w:rPr>
            </w:pPr>
            <w:r>
              <w:rPr>
                <w:noProof/>
              </w:rPr>
              <w:t>2024</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66A97DCD" w14:textId="77777777" w:rsidR="008E6885" w:rsidRDefault="00EA24E7">
            <w:pPr>
              <w:pStyle w:val="P68B1DB1-Normal19"/>
              <w:spacing w:before="120" w:after="120" w:line="240" w:lineRule="auto"/>
              <w:jc w:val="both"/>
              <w:rPr>
                <w:rFonts w:cs="Times New Roman"/>
                <w:noProof/>
              </w:rPr>
            </w:pPr>
            <w:r>
              <w:rPr>
                <w:noProof/>
              </w:rPr>
              <w:t xml:space="preserve">Finalisation de l’évaluation de l’efficacité de la fourniture des services publics des collectivités locales. </w:t>
            </w:r>
          </w:p>
        </w:tc>
      </w:tr>
      <w:tr w:rsidR="008E6885" w14:paraId="4EADD89D"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7680FDD8" w14:textId="77777777" w:rsidR="008E6885" w:rsidRDefault="00EA24E7">
            <w:pPr>
              <w:pStyle w:val="P68B1DB1-Normal19"/>
              <w:spacing w:before="120" w:after="120" w:line="240" w:lineRule="auto"/>
              <w:rPr>
                <w:rFonts w:cs="Times New Roman"/>
                <w:noProof/>
              </w:rPr>
            </w:pPr>
            <w:r>
              <w:rPr>
                <w:noProof/>
              </w:rPr>
              <w:t>92</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4D9744AC" w14:textId="77777777" w:rsidR="008E6885" w:rsidRDefault="00EA24E7">
            <w:pPr>
              <w:pStyle w:val="P68B1DB1-Normal17"/>
              <w:spacing w:before="120" w:after="120" w:line="240" w:lineRule="auto"/>
              <w:rPr>
                <w:rFonts w:cs="Times New Roman"/>
                <w:noProof/>
              </w:rPr>
            </w:pPr>
            <w:r>
              <w:rPr>
                <w:noProof/>
              </w:rPr>
              <w:t>3.1.1.2.i. Renforcer la capacité des municipalités à améliorer l'efficacité et la qualité des services</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3F326868" w14:textId="77777777" w:rsidR="008E6885" w:rsidRDefault="00EA24E7">
            <w:pPr>
              <w:pStyle w:val="P68B1DB1-Normal19"/>
              <w:spacing w:before="120" w:after="120" w:line="240" w:lineRule="auto"/>
              <w:rPr>
                <w:rFonts w:cs="Times New Roman"/>
                <w:noProof/>
              </w:rPr>
            </w:pPr>
            <w:r>
              <w:rPr>
                <w:noProof/>
              </w:rPr>
              <w:t>Objectif</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0BDC232B" w14:textId="77777777" w:rsidR="008E6885" w:rsidRDefault="00EA24E7">
            <w:pPr>
              <w:pStyle w:val="P68B1DB1-Normal19"/>
              <w:spacing w:before="120" w:after="120" w:line="240" w:lineRule="auto"/>
              <w:rPr>
                <w:rFonts w:cs="Times New Roman"/>
                <w:noProof/>
              </w:rPr>
            </w:pPr>
            <w:r>
              <w:rPr>
                <w:noProof/>
              </w:rPr>
              <w:t xml:space="preserve">Personnes formées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173DE3BE" w14:textId="77777777" w:rsidR="008E6885" w:rsidRDefault="00EA24E7">
            <w:pPr>
              <w:pStyle w:val="P68B1DB1-Normal19"/>
              <w:spacing w:before="120" w:after="120" w:line="240" w:lineRule="auto"/>
              <w:jc w:val="center"/>
              <w:rPr>
                <w:rFonts w:cs="Times New Roman"/>
                <w:noProof/>
              </w:rPr>
            </w:pPr>
            <w:r>
              <w:rPr>
                <w:noProof/>
              </w:rPr>
              <w:t>Sans objet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3C56AF90" w14:textId="77777777" w:rsidR="008E6885" w:rsidRDefault="00EA24E7">
            <w:pPr>
              <w:pStyle w:val="P68B1DB1-Normal19"/>
              <w:spacing w:before="120" w:after="120" w:line="240" w:lineRule="auto"/>
              <w:jc w:val="center"/>
              <w:rPr>
                <w:rFonts w:cs="Times New Roman"/>
                <w:noProof/>
              </w:rPr>
            </w:pPr>
            <w:r>
              <w:rPr>
                <w:noProof/>
              </w:rPr>
              <w:t>Numéro</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649A0259" w14:textId="77777777" w:rsidR="008E6885" w:rsidRDefault="00EA24E7">
            <w:pPr>
              <w:pStyle w:val="P68B1DB1-Normal19"/>
              <w:spacing w:before="120" w:after="120" w:line="240" w:lineRule="auto"/>
              <w:jc w:val="center"/>
              <w:rPr>
                <w:rFonts w:cs="Times New Roman"/>
                <w:noProof/>
              </w:rPr>
            </w:pPr>
            <w:r>
              <w:rPr>
                <w:noProof/>
              </w:rPr>
              <w:t>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035904C6" w14:textId="77777777" w:rsidR="008E6885" w:rsidRDefault="00EA24E7">
            <w:pPr>
              <w:pStyle w:val="P68B1DB1-Normal19"/>
              <w:spacing w:before="120" w:after="120" w:line="240" w:lineRule="auto"/>
              <w:jc w:val="center"/>
              <w:rPr>
                <w:rFonts w:cs="Times New Roman"/>
                <w:noProof/>
              </w:rPr>
            </w:pPr>
            <w:r>
              <w:rPr>
                <w:noProof/>
              </w:rPr>
              <w:t>1 300</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0918DDC0"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9FFBC9C" w14:textId="77777777" w:rsidR="008E6885" w:rsidRDefault="00EA24E7">
            <w:pPr>
              <w:pStyle w:val="P68B1DB1-Normal19"/>
              <w:spacing w:before="120" w:after="120" w:line="240" w:lineRule="auto"/>
              <w:jc w:val="center"/>
              <w:rPr>
                <w:rFonts w:cs="Times New Roman"/>
                <w:noProof/>
              </w:rPr>
            </w:pPr>
            <w:r>
              <w:rPr>
                <w:noProof/>
              </w:rPr>
              <w:t>2026</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02F36672" w14:textId="77777777" w:rsidR="008E6885" w:rsidRDefault="00EA24E7">
            <w:pPr>
              <w:pStyle w:val="P68B1DB1-Normal13"/>
              <w:spacing w:before="120" w:after="120" w:line="240" w:lineRule="auto"/>
              <w:jc w:val="both"/>
              <w:rPr>
                <w:rFonts w:eastAsia="Calibri"/>
                <w:noProof/>
              </w:rPr>
            </w:pPr>
            <w:r>
              <w:rPr>
                <w:noProof/>
              </w:rPr>
              <w:t>Nombre de personnes ayant participé à des activités de renforcement des capacités (par exemple, formations, visites d’étude, échanges d’expériences/de bonnes pratiques, conférences, ateliers, forums).</w:t>
            </w:r>
          </w:p>
        </w:tc>
      </w:tr>
      <w:tr w:rsidR="008E6885" w14:paraId="5DE3A7E8"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7E5BD786" w14:textId="77777777" w:rsidR="008E6885" w:rsidRDefault="00EA24E7">
            <w:pPr>
              <w:pStyle w:val="P68B1DB1-Normal19"/>
              <w:spacing w:before="120" w:after="120" w:line="240" w:lineRule="auto"/>
              <w:rPr>
                <w:rFonts w:cs="Times New Roman"/>
                <w:noProof/>
              </w:rPr>
            </w:pPr>
            <w:r>
              <w:rPr>
                <w:noProof/>
              </w:rPr>
              <w:t>93</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24683461" w14:textId="77777777" w:rsidR="008E6885" w:rsidRDefault="00EA24E7">
            <w:pPr>
              <w:pStyle w:val="P68B1DB1-Normal19"/>
              <w:spacing w:before="120" w:after="120" w:line="240" w:lineRule="auto"/>
              <w:rPr>
                <w:rFonts w:cs="Times New Roman"/>
                <w:noProof/>
              </w:rPr>
            </w:pPr>
            <w:r>
              <w:rPr>
                <w:b/>
                <w:noProof/>
              </w:rPr>
              <w:t>3.1.1.3.i. Investissements dans les infrastructures publiques pour le développement de parcs industriels dans les régions</w:t>
            </w:r>
            <w:r>
              <w:rPr>
                <w:noProof/>
              </w:rPr>
              <w:t xml:space="preserv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4CAE3B17"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531DB0A1" w14:textId="77777777" w:rsidR="008E6885" w:rsidRDefault="00EA24E7">
            <w:pPr>
              <w:pStyle w:val="P68B1DB1-Normal19"/>
              <w:spacing w:before="120" w:after="120" w:line="240" w:lineRule="auto"/>
              <w:rPr>
                <w:rFonts w:cs="Times New Roman"/>
                <w:noProof/>
              </w:rPr>
            </w:pPr>
            <w:r>
              <w:rPr>
                <w:noProof/>
              </w:rPr>
              <w:t>Adoption d'un programme d'appui au développement des parcs industriels et des territoires dans les régions</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350DF112" w14:textId="77777777" w:rsidR="008E6885" w:rsidRDefault="00EA24E7">
            <w:pPr>
              <w:pStyle w:val="P68B1DB1-Normal19"/>
              <w:spacing w:before="120" w:after="120" w:line="240" w:lineRule="auto"/>
              <w:rPr>
                <w:rFonts w:cs="Times New Roman"/>
                <w:noProof/>
              </w:rPr>
            </w:pPr>
            <w:r>
              <w:rPr>
                <w:noProof/>
              </w:rPr>
              <w:t xml:space="preserve">Adoption d'un règlement du Cabinet et d'un programme d'aide coordonné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72E61E8C"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012EC6FE"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7A94A190"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3307005C"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EA58FC8" w14:textId="77777777" w:rsidR="008E6885" w:rsidRDefault="00EA24E7">
            <w:pPr>
              <w:pStyle w:val="P68B1DB1-Normal19"/>
              <w:spacing w:before="120" w:after="120" w:line="240" w:lineRule="auto"/>
              <w:jc w:val="center"/>
              <w:rPr>
                <w:rFonts w:cs="Times New Roman"/>
                <w:noProof/>
              </w:rPr>
            </w:pPr>
            <w:r>
              <w:rPr>
                <w:noProof/>
              </w:rPr>
              <w:t>2022</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2089B4A3" w14:textId="77777777" w:rsidR="008E6885" w:rsidRDefault="00EA24E7">
            <w:pPr>
              <w:pStyle w:val="P68B1DB1-Normal19"/>
              <w:spacing w:before="120" w:after="120" w:line="240" w:lineRule="auto"/>
              <w:jc w:val="both"/>
              <w:rPr>
                <w:rFonts w:cs="Times New Roman"/>
                <w:noProof/>
              </w:rPr>
            </w:pPr>
            <w:r>
              <w:rPr>
                <w:noProof/>
              </w:rPr>
              <w:t>Des règlements du Conseil des ministres fixant les conditions et critères d'octroi des aides aux zones industrielles ont été élaborés et adoptés. Les critères de sélection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8E6885" w14:paraId="7135792A"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01AD4F32" w14:textId="77777777" w:rsidR="008E6885" w:rsidRDefault="00EA24E7">
            <w:pPr>
              <w:pStyle w:val="P68B1DB1-Normal19"/>
              <w:spacing w:before="120" w:after="120" w:line="240" w:lineRule="auto"/>
              <w:rPr>
                <w:rFonts w:cs="Times New Roman"/>
                <w:noProof/>
              </w:rPr>
            </w:pPr>
            <w:r>
              <w:rPr>
                <w:noProof/>
              </w:rPr>
              <w:t>94</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70C3D175" w14:textId="77777777" w:rsidR="008E6885" w:rsidRDefault="00EA24E7">
            <w:pPr>
              <w:pStyle w:val="P68B1DB1-Normal19"/>
              <w:spacing w:before="120" w:after="120" w:line="240" w:lineRule="auto"/>
              <w:rPr>
                <w:rFonts w:cs="Times New Roman"/>
                <w:noProof/>
              </w:rPr>
            </w:pPr>
            <w:r>
              <w:rPr>
                <w:b/>
                <w:noProof/>
              </w:rPr>
              <w:t>3.1.1.3.i. Investissements dans les infrastructures publiques pour le développement de parcs industriels dans les régions</w:t>
            </w:r>
            <w:r>
              <w:rPr>
                <w:noProof/>
              </w:rPr>
              <w:t xml:space="preserv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23475A5D"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036258B6" w14:textId="77777777" w:rsidR="008E6885" w:rsidRDefault="00EA24E7">
            <w:pPr>
              <w:pStyle w:val="P68B1DB1-Normal19"/>
              <w:spacing w:before="120" w:after="120" w:line="240" w:lineRule="auto"/>
              <w:rPr>
                <w:rFonts w:cs="Times New Roman"/>
                <w:noProof/>
              </w:rPr>
            </w:pPr>
            <w:r>
              <w:rPr>
                <w:noProof/>
              </w:rPr>
              <w:t>Attribution de marchés pour le développement de parcs industriels dans les régions</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6EF1F70F" w14:textId="77777777" w:rsidR="008E6885" w:rsidRDefault="00EA24E7">
            <w:pPr>
              <w:pStyle w:val="P68B1DB1-Normal19"/>
              <w:spacing w:before="120" w:after="120" w:line="240" w:lineRule="auto"/>
              <w:rPr>
                <w:rFonts w:cs="Times New Roman"/>
                <w:noProof/>
              </w:rPr>
            </w:pPr>
            <w:r>
              <w:rPr>
                <w:noProof/>
              </w:rPr>
              <w:t xml:space="preserve">Attribution des marchés pour la mise en œuvre des projets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539FFC73"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3BA4A750"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36B3723E"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D32879F"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689A319" w14:textId="77777777" w:rsidR="008E6885" w:rsidRDefault="00EA24E7">
            <w:pPr>
              <w:pStyle w:val="P68B1DB1-Normal19"/>
              <w:spacing w:before="120" w:after="120" w:line="240" w:lineRule="auto"/>
              <w:jc w:val="center"/>
              <w:rPr>
                <w:rFonts w:cs="Times New Roman"/>
                <w:noProof/>
              </w:rPr>
            </w:pPr>
            <w:r>
              <w:rPr>
                <w:noProof/>
              </w:rPr>
              <w:t>2023</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5942C2BC" w14:textId="77777777" w:rsidR="008E6885" w:rsidRDefault="00EA24E7">
            <w:pPr>
              <w:pStyle w:val="P68B1DB1-Normal19"/>
              <w:spacing w:before="120" w:after="120" w:line="240" w:lineRule="auto"/>
              <w:jc w:val="both"/>
              <w:rPr>
                <w:rFonts w:cs="Times New Roman"/>
                <w:noProof/>
              </w:rPr>
            </w:pPr>
            <w:r>
              <w:rPr>
                <w:noProof/>
              </w:rPr>
              <w:t>Attribution de contrats pour le développement de parcs industriels dans les régions à des bénéficiaires du secteur privé ou public qui ont élaboré une stratégie de développement de parcs industriels ou un plan d'affaires. Les critères de sélection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8E6885" w14:paraId="14444746"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2B763C6A" w14:textId="77777777" w:rsidR="008E6885" w:rsidRDefault="00EA24E7">
            <w:pPr>
              <w:pStyle w:val="P68B1DB1-Normal19"/>
              <w:spacing w:before="120" w:after="120" w:line="240" w:lineRule="auto"/>
              <w:rPr>
                <w:rFonts w:cs="Times New Roman"/>
                <w:noProof/>
              </w:rPr>
            </w:pPr>
            <w:r>
              <w:rPr>
                <w:noProof/>
              </w:rPr>
              <w:t>96</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71F88798" w14:textId="2B7AD93A" w:rsidR="008E6885" w:rsidRDefault="00EA24E7">
            <w:pPr>
              <w:pStyle w:val="P68B1DB1-Normal19"/>
              <w:spacing w:before="120" w:after="120" w:line="240" w:lineRule="auto"/>
              <w:rPr>
                <w:rFonts w:cs="Times New Roman"/>
                <w:noProof/>
              </w:rPr>
            </w:pPr>
            <w:r>
              <w:rPr>
                <w:b/>
                <w:noProof/>
              </w:rPr>
              <w:t>3.1.1.3.i. Investissements dans les infrastructures publiques pour le développement de parcs industriels dans les régions</w:t>
            </w:r>
            <w:r>
              <w:rPr>
                <w:noProof/>
              </w:rPr>
              <w:t xml:space="preserv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6676D14C" w14:textId="77777777" w:rsidR="008E6885" w:rsidRDefault="00EA24E7">
            <w:pPr>
              <w:pStyle w:val="P68B1DB1-Normal19"/>
              <w:spacing w:before="120" w:after="120" w:line="240" w:lineRule="auto"/>
              <w:rPr>
                <w:rFonts w:cs="Times New Roman"/>
                <w:noProof/>
              </w:rPr>
            </w:pPr>
            <w:r>
              <w:rPr>
                <w:noProof/>
              </w:rPr>
              <w:t xml:space="preserve">Objectif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77482CD8" w14:textId="77777777" w:rsidR="008E6885" w:rsidRDefault="00EA24E7">
            <w:pPr>
              <w:pStyle w:val="P68B1DB1-Normal19"/>
              <w:spacing w:before="120" w:after="120" w:line="240" w:lineRule="auto"/>
              <w:rPr>
                <w:rFonts w:cs="Times New Roman"/>
                <w:noProof/>
              </w:rPr>
            </w:pPr>
            <w:r>
              <w:rPr>
                <w:noProof/>
              </w:rPr>
              <w:t>Parcs industriels et territoires dans les régions</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26ED4B50" w14:textId="77777777" w:rsidR="008E6885" w:rsidRDefault="00EA24E7">
            <w:pPr>
              <w:pStyle w:val="P68B1DB1-Normal19"/>
              <w:spacing w:before="120" w:after="120" w:line="240" w:lineRule="auto"/>
              <w:jc w:val="center"/>
              <w:rPr>
                <w:rFonts w:cs="Times New Roman"/>
                <w:noProof/>
              </w:rPr>
            </w:pPr>
            <w:r>
              <w:rPr>
                <w:noProof/>
              </w:rPr>
              <w:t>Sans objet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786F04D1" w14:textId="77777777" w:rsidR="008E6885" w:rsidRDefault="00EA24E7">
            <w:pPr>
              <w:pStyle w:val="P68B1DB1-Normal19"/>
              <w:spacing w:before="120" w:after="120" w:line="240" w:lineRule="auto"/>
              <w:jc w:val="center"/>
              <w:rPr>
                <w:rFonts w:cs="Times New Roman"/>
                <w:noProof/>
              </w:rPr>
            </w:pPr>
            <w:r>
              <w:rPr>
                <w:noProof/>
              </w:rPr>
              <w:t>Numéro</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5618AE13" w14:textId="77777777" w:rsidR="008E6885" w:rsidRDefault="00EA24E7">
            <w:pPr>
              <w:pStyle w:val="P68B1DB1-Normal19"/>
              <w:spacing w:before="120" w:after="120" w:line="240" w:lineRule="auto"/>
              <w:jc w:val="center"/>
              <w:rPr>
                <w:rFonts w:cs="Times New Roman"/>
                <w:noProof/>
              </w:rPr>
            </w:pPr>
            <w:r>
              <w:rPr>
                <w:noProof/>
              </w:rPr>
              <w:t>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0BDAFB54" w14:textId="77777777" w:rsidR="008E6885" w:rsidRDefault="00EA24E7">
            <w:pPr>
              <w:pStyle w:val="P68B1DB1-Normal19"/>
              <w:spacing w:before="120" w:after="120" w:line="240" w:lineRule="auto"/>
              <w:jc w:val="center"/>
              <w:rPr>
                <w:rFonts w:cs="Times New Roman"/>
                <w:noProof/>
              </w:rPr>
            </w:pPr>
            <w:r>
              <w:rPr>
                <w:noProof/>
              </w:rPr>
              <w:t>4</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6AE8729F"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28224EF" w14:textId="77777777" w:rsidR="008E6885" w:rsidRDefault="00EA24E7">
            <w:pPr>
              <w:pStyle w:val="P68B1DB1-Normal19"/>
              <w:spacing w:before="120" w:after="120" w:line="240" w:lineRule="auto"/>
              <w:jc w:val="center"/>
              <w:rPr>
                <w:rFonts w:cs="Times New Roman"/>
                <w:noProof/>
              </w:rPr>
            </w:pPr>
            <w:r>
              <w:rPr>
                <w:noProof/>
              </w:rPr>
              <w:t>2026</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05CFE9AD" w14:textId="77777777" w:rsidR="008E6885" w:rsidRDefault="00EA24E7">
            <w:pPr>
              <w:pStyle w:val="P68B1DB1-Normal25"/>
              <w:spacing w:before="120" w:after="120" w:line="240" w:lineRule="auto"/>
              <w:jc w:val="both"/>
              <w:rPr>
                <w:rFonts w:ascii="Times New Roman" w:eastAsia="Calibri" w:hAnsi="Times New Roman" w:cs="Times New Roman"/>
                <w:noProof/>
              </w:rPr>
            </w:pPr>
            <w:r>
              <w:rPr>
                <w:rFonts w:ascii="Times New Roman" w:hAnsi="Times New Roman" w:cs="Times New Roman"/>
                <w:noProof/>
              </w:rPr>
              <w:t xml:space="preserve">Certificat(s) de préparation à l’exploitation d’une construction technique ou d’un </w:t>
            </w:r>
            <w:r>
              <w:rPr>
                <w:rFonts w:ascii="Times New Roman" w:eastAsia="Calibri" w:hAnsi="Times New Roman"/>
                <w:noProof/>
              </w:rPr>
              <w:t>bâtiment signé(s) pour la construction d’au moins quatre parcs industriels et territoires dans les régions, y compris les connexions (par exemple au chauffage, à l’eau et aux égouts, à l’électricité), le renouvellement ou l’installation de routes d’accès, et lettre(s) d’intention ou contrat(s) signé(s) par les exploitants de parcs industriels et/ou les investisseurs potentiels pour réaliser des investissements d’un montant de 85 000 000 EUR.</w:t>
            </w:r>
          </w:p>
        </w:tc>
      </w:tr>
      <w:tr w:rsidR="008E6885" w14:paraId="29D288C5"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1A6F0F77" w14:textId="77777777" w:rsidR="008E6885" w:rsidRDefault="00EA24E7">
            <w:pPr>
              <w:pStyle w:val="P68B1DB1-Normal19"/>
              <w:spacing w:before="120" w:after="120" w:line="240" w:lineRule="auto"/>
              <w:rPr>
                <w:rFonts w:cs="Times New Roman"/>
                <w:noProof/>
              </w:rPr>
            </w:pPr>
            <w:r>
              <w:rPr>
                <w:noProof/>
              </w:rPr>
              <w:t>98</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31B10333" w14:textId="77777777" w:rsidR="008E6885" w:rsidRDefault="00EA24E7">
            <w:pPr>
              <w:pStyle w:val="P68B1DB1-Normal19"/>
              <w:spacing w:before="120" w:after="120" w:line="240" w:lineRule="auto"/>
              <w:rPr>
                <w:rFonts w:cs="Times New Roman"/>
                <w:noProof/>
              </w:rPr>
            </w:pPr>
            <w:r>
              <w:rPr>
                <w:b/>
                <w:noProof/>
              </w:rPr>
              <w:t>3.1.1.4.i. Création d'un fonds de financement pour la construction de logements à loyer modique</w:t>
            </w:r>
            <w:r>
              <w:rPr>
                <w:noProof/>
              </w:rPr>
              <w:t xml:space="preserv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6ED4937E"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6C2B2C0D" w14:textId="77777777" w:rsidR="008E6885" w:rsidRDefault="00EA24E7">
            <w:pPr>
              <w:pStyle w:val="P68B1DB1-Normal19"/>
              <w:spacing w:before="120" w:after="120" w:line="240" w:lineRule="auto"/>
              <w:rPr>
                <w:rFonts w:cs="Times New Roman"/>
                <w:noProof/>
              </w:rPr>
            </w:pPr>
            <w:r>
              <w:rPr>
                <w:noProof/>
              </w:rPr>
              <w:t xml:space="preserve">Entrée en vigueur de la loi mettant en balance les droits des locataires et des propriétaires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4F45E27C" w14:textId="77777777" w:rsidR="008E6885" w:rsidRDefault="00EA24E7">
            <w:pPr>
              <w:pStyle w:val="P68B1DB1-Normal19"/>
              <w:spacing w:before="120" w:after="120" w:line="240" w:lineRule="auto"/>
              <w:rPr>
                <w:rFonts w:cs="Times New Roman"/>
                <w:noProof/>
              </w:rPr>
            </w:pPr>
            <w:r>
              <w:rPr>
                <w:noProof/>
              </w:rPr>
              <w:t xml:space="preserve">Entrée en vigueur de la loi sur la location de locaux d'habitation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470EA150"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174F53FB"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59557676"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3EAE6223"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2F7A751" w14:textId="77777777" w:rsidR="008E6885" w:rsidRDefault="00EA24E7">
            <w:pPr>
              <w:pStyle w:val="P68B1DB1-Normal19"/>
              <w:spacing w:before="120" w:after="120" w:line="240" w:lineRule="auto"/>
              <w:jc w:val="center"/>
              <w:rPr>
                <w:rFonts w:cs="Times New Roman"/>
                <w:noProof/>
              </w:rPr>
            </w:pPr>
            <w:r>
              <w:rPr>
                <w:noProof/>
              </w:rPr>
              <w:t>2021</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31DA96A8" w14:textId="22EC4CBB" w:rsidR="008E6885" w:rsidRDefault="00EA24E7">
            <w:pPr>
              <w:pStyle w:val="P68B1DB1-Normal19"/>
              <w:spacing w:before="120" w:after="120" w:line="240" w:lineRule="auto"/>
              <w:jc w:val="both"/>
              <w:rPr>
                <w:rFonts w:cs="Times New Roman"/>
                <w:noProof/>
              </w:rPr>
            </w:pPr>
            <w:r>
              <w:rPr>
                <w:noProof/>
              </w:rPr>
              <w:t>Entrée en vigueur d'un nouveau cadre juridique pour les loyers afin d'assurer un juste équilibre entre les intérêts du locataire et du propriétaire et d'accélérer le règlement des litiges sur la durée du loyer et le règlement des loyers, ce qui est particulièrement important pour promouvoir la construction de logements locatifs et, par conséquent, pour faciliter le caractère abordable des logements.</w:t>
            </w:r>
          </w:p>
        </w:tc>
      </w:tr>
      <w:tr w:rsidR="008E6885" w14:paraId="639A93E8"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0CD5A9F6" w14:textId="77777777" w:rsidR="008E6885" w:rsidRDefault="00EA24E7">
            <w:pPr>
              <w:pStyle w:val="P68B1DB1-Normal19"/>
              <w:spacing w:before="120" w:after="120" w:line="240" w:lineRule="auto"/>
              <w:rPr>
                <w:rFonts w:cs="Times New Roman"/>
                <w:noProof/>
              </w:rPr>
            </w:pPr>
            <w:r>
              <w:rPr>
                <w:noProof/>
              </w:rPr>
              <w:t>99</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7BE60546" w14:textId="77777777" w:rsidR="008E6885" w:rsidRDefault="00EA24E7">
            <w:pPr>
              <w:pStyle w:val="P68B1DB1-Normal17"/>
              <w:spacing w:before="120" w:after="120" w:line="240" w:lineRule="auto"/>
              <w:rPr>
                <w:rFonts w:cs="Times New Roman"/>
                <w:noProof/>
              </w:rPr>
            </w:pPr>
            <w:r>
              <w:rPr>
                <w:noProof/>
              </w:rPr>
              <w:t xml:space="preserve">3.1.1.4.i. Création d'un fonds de financement pour la construction de logements à loyer modique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42655680"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44B440F2" w14:textId="77777777" w:rsidR="008E6885" w:rsidRDefault="00EA24E7">
            <w:pPr>
              <w:pStyle w:val="P68B1DB1-Normal19"/>
              <w:spacing w:before="120" w:after="120" w:line="240" w:lineRule="auto"/>
              <w:rPr>
                <w:rFonts w:cs="Times New Roman"/>
                <w:noProof/>
              </w:rPr>
            </w:pPr>
            <w:r>
              <w:rPr>
                <w:noProof/>
              </w:rPr>
              <w:t>Adoption d'une stratégie d'abordabilité du logement</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522C5297" w14:textId="77777777" w:rsidR="008E6885" w:rsidRDefault="00EA24E7">
            <w:pPr>
              <w:pStyle w:val="P68B1DB1-Normal19"/>
              <w:spacing w:before="120" w:after="120" w:line="240" w:lineRule="auto"/>
              <w:rPr>
                <w:rFonts w:cs="Times New Roman"/>
                <w:noProof/>
              </w:rPr>
            </w:pPr>
            <w:r>
              <w:rPr>
                <w:noProof/>
              </w:rPr>
              <w:t xml:space="preserve">Le gouvernement a adopté une stratégie de logement et d'abordabilité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09693A0F"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24E504B4"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00F22A29"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65482648"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BF18BA0" w14:textId="77777777" w:rsidR="008E6885" w:rsidRDefault="00EA24E7">
            <w:pPr>
              <w:pStyle w:val="P68B1DB1-Normal19"/>
              <w:spacing w:before="120" w:after="120" w:line="240" w:lineRule="auto"/>
              <w:jc w:val="center"/>
              <w:rPr>
                <w:rFonts w:cs="Times New Roman"/>
                <w:noProof/>
              </w:rPr>
            </w:pPr>
            <w:r>
              <w:rPr>
                <w:noProof/>
              </w:rPr>
              <w:t>2022</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1C86348C" w14:textId="77777777" w:rsidR="008E6885" w:rsidRDefault="00EA24E7">
            <w:pPr>
              <w:pStyle w:val="P68B1DB1-Normal19"/>
              <w:spacing w:before="120" w:after="120" w:line="240" w:lineRule="auto"/>
              <w:jc w:val="both"/>
              <w:rPr>
                <w:rFonts w:eastAsia="MS Mincho" w:cs="Times New Roman"/>
                <w:noProof/>
                <w:highlight w:val="yellow"/>
              </w:rPr>
            </w:pPr>
            <w:r>
              <w:rPr>
                <w:noProof/>
              </w:rPr>
              <w:t xml:space="preserve">La stratégie en faveur de l’accessibilité financière du logement comprend des orientations d’action, des indicateurs stratégiques et un ensemble de tâches visant à promouvoir l’accès au logement, à fournir des solutions pour soutenir l’accessibilité financière du logement aux ménages de différents types et niveaux de revenu, y compris les ménages aux revenus les plus faibles, et à soutenir les mécanismes et les réglementations qui favorisent à la fois la réparation du parc immobilier existant et le développement d’un nouveau parc immobilier. </w:t>
            </w:r>
          </w:p>
        </w:tc>
      </w:tr>
      <w:tr w:rsidR="008E6885" w14:paraId="5098C38D"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3C291C33" w14:textId="77777777" w:rsidR="008E6885" w:rsidRDefault="00EA24E7">
            <w:pPr>
              <w:pStyle w:val="P68B1DB1-Normal19"/>
              <w:spacing w:before="120" w:after="120" w:line="240" w:lineRule="auto"/>
              <w:rPr>
                <w:rFonts w:cs="Times New Roman"/>
                <w:noProof/>
              </w:rPr>
            </w:pPr>
            <w:r>
              <w:rPr>
                <w:noProof/>
              </w:rPr>
              <w:t>100</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102BA01B" w14:textId="77777777" w:rsidR="008E6885" w:rsidRDefault="00EA24E7">
            <w:pPr>
              <w:pStyle w:val="P68B1DB1-Normal17"/>
              <w:spacing w:before="120" w:after="120" w:line="240" w:lineRule="auto"/>
              <w:rPr>
                <w:rFonts w:cs="Times New Roman"/>
                <w:noProof/>
              </w:rPr>
            </w:pPr>
            <w:r>
              <w:rPr>
                <w:noProof/>
              </w:rPr>
              <w:t xml:space="preserve">3.1.1.4.i. Création d'un fonds de financement pour la construction de logements à loyer modique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74A9DB89" w14:textId="77777777" w:rsidR="008E6885" w:rsidRDefault="00EA24E7">
            <w:pPr>
              <w:pStyle w:val="P68B1DB1-Normal19"/>
              <w:spacing w:before="120" w:after="120" w:line="240" w:lineRule="auto"/>
              <w:rPr>
                <w:rFonts w:cs="Times New Roman"/>
                <w:noProof/>
              </w:rPr>
            </w:pPr>
            <w:r>
              <w:rPr>
                <w:noProof/>
              </w:rPr>
              <w:t>Étape</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33580BA9" w14:textId="77777777" w:rsidR="008E6885" w:rsidRDefault="00EA24E7">
            <w:pPr>
              <w:pStyle w:val="P68B1DB1-Normal19"/>
              <w:spacing w:before="120" w:after="120" w:line="240" w:lineRule="auto"/>
              <w:rPr>
                <w:rFonts w:cs="Times New Roman"/>
                <w:noProof/>
              </w:rPr>
            </w:pPr>
            <w:r>
              <w:rPr>
                <w:noProof/>
              </w:rPr>
              <w:t xml:space="preserve">Réglementation gouvernementale sur la construction de logements à loyer modique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53C413A8" w14:textId="77777777" w:rsidR="008E6885" w:rsidRDefault="00EA24E7">
            <w:pPr>
              <w:pStyle w:val="P68B1DB1-Normal19"/>
              <w:spacing w:before="120" w:after="120" w:line="240" w:lineRule="auto"/>
              <w:rPr>
                <w:rFonts w:cs="Times New Roman"/>
                <w:noProof/>
              </w:rPr>
            </w:pPr>
            <w:r>
              <w:rPr>
                <w:noProof/>
              </w:rPr>
              <w:t xml:space="preserve">Entrée en vigueur de la réglementation gouvernementale sur la construction de logements à loyer modique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2432F5E4"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520FE7D8"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473E3644"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38B49EA7"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4373F3E" w14:textId="77777777" w:rsidR="008E6885" w:rsidRDefault="00EA24E7">
            <w:pPr>
              <w:pStyle w:val="P68B1DB1-Normal19"/>
              <w:spacing w:before="120" w:after="120" w:line="240" w:lineRule="auto"/>
              <w:jc w:val="center"/>
              <w:rPr>
                <w:rFonts w:cs="Times New Roman"/>
                <w:noProof/>
              </w:rPr>
            </w:pPr>
            <w:r>
              <w:rPr>
                <w:noProof/>
              </w:rPr>
              <w:t>2022</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5681E771" w14:textId="77777777" w:rsidR="008E6885" w:rsidRDefault="00EA24E7">
            <w:pPr>
              <w:pStyle w:val="P68B1DB1-Normal19"/>
              <w:spacing w:before="120" w:after="120" w:line="240" w:lineRule="auto"/>
              <w:jc w:val="both"/>
              <w:rPr>
                <w:rFonts w:eastAsia="MS Mincho" w:cs="Times New Roman"/>
                <w:noProof/>
                <w:highlight w:val="yellow"/>
              </w:rPr>
            </w:pPr>
            <w:r>
              <w:rPr>
                <w:noProof/>
              </w:rPr>
              <w:t xml:space="preserve">Le règlement du Conseil des ministres sur la construction de logements à loyer modique est entré en vigueur afin de définir la taille, la portée et le type de soutien ainsi que les critères applicables aux bénéficiaires. </w:t>
            </w:r>
          </w:p>
        </w:tc>
      </w:tr>
      <w:tr w:rsidR="008E6885" w14:paraId="0047ABD9"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0F92C879" w14:textId="77777777" w:rsidR="008E6885" w:rsidRDefault="00EA24E7">
            <w:pPr>
              <w:pStyle w:val="P68B1DB1-Normal19"/>
              <w:spacing w:before="120" w:after="120" w:line="240" w:lineRule="auto"/>
              <w:rPr>
                <w:rFonts w:cs="Times New Roman"/>
                <w:noProof/>
              </w:rPr>
            </w:pPr>
            <w:r>
              <w:rPr>
                <w:noProof/>
              </w:rPr>
              <w:t>101</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0D21920B" w14:textId="77777777" w:rsidR="008E6885" w:rsidRDefault="00EA24E7">
            <w:pPr>
              <w:pStyle w:val="P68B1DB1-Normal17"/>
              <w:spacing w:before="120" w:after="120" w:line="240" w:lineRule="auto"/>
              <w:rPr>
                <w:rFonts w:cs="Times New Roman"/>
                <w:noProof/>
              </w:rPr>
            </w:pPr>
            <w:r>
              <w:rPr>
                <w:noProof/>
              </w:rPr>
              <w:t xml:space="preserve">3.1.1.4.i. Création d'un fonds de financement pour la construction de logements à loyer modique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5BEC596E" w14:textId="77777777" w:rsidR="008E6885" w:rsidRDefault="00EA24E7">
            <w:pPr>
              <w:pStyle w:val="P68B1DB1-Normal19"/>
              <w:spacing w:before="120" w:after="120" w:line="240" w:lineRule="auto"/>
              <w:rPr>
                <w:rFonts w:cs="Times New Roman"/>
                <w:noProof/>
              </w:rPr>
            </w:pPr>
            <w:r>
              <w:rPr>
                <w:noProof/>
              </w:rPr>
              <w:t xml:space="preserve">Objectif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152FBBF6" w14:textId="77777777" w:rsidR="008E6885" w:rsidRDefault="00EA24E7">
            <w:pPr>
              <w:pStyle w:val="P68B1DB1-Normal19"/>
              <w:spacing w:before="120" w:after="120" w:line="240" w:lineRule="auto"/>
              <w:rPr>
                <w:rFonts w:cs="Times New Roman"/>
                <w:noProof/>
              </w:rPr>
            </w:pPr>
            <w:r>
              <w:rPr>
                <w:noProof/>
              </w:rPr>
              <w:t xml:space="preserve">Nombre d'appartements dans le cadre de projets approuvés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634A8E87" w14:textId="77777777" w:rsidR="008E6885" w:rsidRDefault="00EA24E7">
            <w:pPr>
              <w:pStyle w:val="P68B1DB1-Normal19"/>
              <w:spacing w:before="120" w:after="120" w:line="240" w:lineRule="auto"/>
              <w:jc w:val="center"/>
              <w:rPr>
                <w:rFonts w:cs="Times New Roman"/>
                <w:noProof/>
              </w:rPr>
            </w:pPr>
            <w:r>
              <w:rPr>
                <w:noProof/>
              </w:rPr>
              <w:t>Sans objet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3E4AB9CB" w14:textId="77777777" w:rsidR="008E6885" w:rsidRDefault="00EA24E7">
            <w:pPr>
              <w:pStyle w:val="P68B1DB1-Normal19"/>
              <w:spacing w:before="120" w:after="120" w:line="240" w:lineRule="auto"/>
              <w:jc w:val="center"/>
              <w:rPr>
                <w:rFonts w:cs="Times New Roman"/>
                <w:noProof/>
              </w:rPr>
            </w:pPr>
            <w:r>
              <w:rPr>
                <w:noProof/>
              </w:rPr>
              <w:t>Numéro</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53C67809" w14:textId="77777777" w:rsidR="008E6885" w:rsidRDefault="00EA24E7">
            <w:pPr>
              <w:pStyle w:val="P68B1DB1-Normal19"/>
              <w:spacing w:before="120" w:after="120" w:line="240" w:lineRule="auto"/>
              <w:jc w:val="center"/>
              <w:rPr>
                <w:rFonts w:cs="Times New Roman"/>
                <w:noProof/>
              </w:rPr>
            </w:pPr>
            <w:r>
              <w:rPr>
                <w:noProof/>
              </w:rPr>
              <w:t>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7FF7E28F" w14:textId="77777777" w:rsidR="008E6885" w:rsidRDefault="00EA24E7">
            <w:pPr>
              <w:pStyle w:val="P68B1DB1-Normal19"/>
              <w:spacing w:before="120" w:after="120" w:line="240" w:lineRule="auto"/>
              <w:jc w:val="center"/>
              <w:rPr>
                <w:rFonts w:cs="Times New Roman"/>
                <w:noProof/>
              </w:rPr>
            </w:pPr>
            <w:r>
              <w:rPr>
                <w:noProof/>
              </w:rPr>
              <w:t>300</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63BB7A5D"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A5229B6" w14:textId="77777777" w:rsidR="008E6885" w:rsidRDefault="00EA24E7">
            <w:pPr>
              <w:pStyle w:val="P68B1DB1-Normal19"/>
              <w:spacing w:before="120" w:after="120" w:line="240" w:lineRule="auto"/>
              <w:jc w:val="center"/>
              <w:rPr>
                <w:rFonts w:cs="Times New Roman"/>
                <w:noProof/>
              </w:rPr>
            </w:pPr>
            <w:r>
              <w:rPr>
                <w:noProof/>
              </w:rPr>
              <w:t>2024</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2D17027C" w14:textId="77777777" w:rsidR="008E6885" w:rsidRDefault="00EA24E7">
            <w:pPr>
              <w:pStyle w:val="P68B1DB1-Normal19"/>
              <w:spacing w:before="120" w:after="120" w:line="240" w:lineRule="auto"/>
              <w:jc w:val="both"/>
              <w:rPr>
                <w:rFonts w:cs="Times New Roman"/>
                <w:noProof/>
              </w:rPr>
            </w:pPr>
            <w:r>
              <w:rPr>
                <w:noProof/>
              </w:rPr>
              <w:t>Le financement doit avoir été approuvé par l'institution nationale de développement ALTUM pour des projets d'au moins 300 appartements.</w:t>
            </w:r>
          </w:p>
          <w:p w14:paraId="66C720F1" w14:textId="77777777" w:rsidR="008E6885" w:rsidRDefault="00EA24E7">
            <w:pPr>
              <w:pStyle w:val="P68B1DB1-Normal19"/>
              <w:spacing w:before="120" w:after="120" w:line="240" w:lineRule="auto"/>
              <w:jc w:val="both"/>
              <w:rPr>
                <w:rFonts w:cs="Times New Roman"/>
                <w:noProof/>
              </w:rPr>
            </w:pPr>
            <w:r>
              <w:rPr>
                <w:noProof/>
              </w:rPr>
              <w:t xml:space="preserve">Dans le cadre des projets approuvés, des logements seront fournis pour un loyer peu élevé (à titre indicatif, 4,40 EUR/m²). Les projets approuvés doivent répondre à des exigences de qualité élevées: 1° le bâtiment doit être un bâtiment dont la consommation d'énergie est quasi nulle; (2) Des essais de qualité appropriés (mesures acoustiques, essai de perméabilité à l'air des bâtiments) doivent être effectués au moment de la mise en service. </w:t>
            </w:r>
          </w:p>
        </w:tc>
      </w:tr>
      <w:tr w:rsidR="008E6885" w14:paraId="30D32C32"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589865B1" w14:textId="77777777" w:rsidR="008E6885" w:rsidRDefault="00EA24E7">
            <w:pPr>
              <w:pStyle w:val="P68B1DB1-Normal19"/>
              <w:spacing w:before="120" w:after="120" w:line="240" w:lineRule="auto"/>
              <w:rPr>
                <w:rFonts w:cs="Times New Roman"/>
                <w:noProof/>
                <w:highlight w:val="green"/>
              </w:rPr>
            </w:pPr>
            <w:r>
              <w:rPr>
                <w:noProof/>
              </w:rPr>
              <w:t>102</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69822A8A" w14:textId="77777777" w:rsidR="008E6885" w:rsidRDefault="00EA24E7">
            <w:pPr>
              <w:pStyle w:val="P68B1DB1-Normal17"/>
              <w:spacing w:before="120" w:after="120" w:line="240" w:lineRule="auto"/>
              <w:rPr>
                <w:rFonts w:cs="Times New Roman"/>
                <w:noProof/>
              </w:rPr>
            </w:pPr>
            <w:r>
              <w:rPr>
                <w:noProof/>
              </w:rPr>
              <w:t xml:space="preserve">3.1.1.4.i. Création d'un fonds de financement pour la construction de logements à loyer modique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41A6E64C" w14:textId="77777777" w:rsidR="008E6885" w:rsidRDefault="00EA24E7">
            <w:pPr>
              <w:pStyle w:val="P68B1DB1-Normal19"/>
              <w:spacing w:before="120" w:after="120" w:line="240" w:lineRule="auto"/>
              <w:rPr>
                <w:rFonts w:cs="Times New Roman"/>
                <w:noProof/>
              </w:rPr>
            </w:pPr>
            <w:r>
              <w:rPr>
                <w:noProof/>
              </w:rPr>
              <w:t xml:space="preserve">Objectif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3ADDB63F" w14:textId="77777777" w:rsidR="008E6885" w:rsidRDefault="00EA24E7">
            <w:pPr>
              <w:pStyle w:val="P68B1DB1-Normal19"/>
              <w:spacing w:before="120" w:after="120" w:line="240" w:lineRule="auto"/>
              <w:rPr>
                <w:rFonts w:cs="Times New Roman"/>
                <w:noProof/>
              </w:rPr>
            </w:pPr>
            <w:r>
              <w:rPr>
                <w:noProof/>
              </w:rPr>
              <w:t xml:space="preserve">Nombre d'appartements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66A5510C" w14:textId="77777777" w:rsidR="008E6885" w:rsidRDefault="00EA24E7">
            <w:pPr>
              <w:pStyle w:val="P68B1DB1-Normal19"/>
              <w:spacing w:before="120" w:after="120" w:line="240" w:lineRule="auto"/>
              <w:jc w:val="center"/>
              <w:rPr>
                <w:rFonts w:cs="Times New Roman"/>
                <w:noProof/>
              </w:rPr>
            </w:pPr>
            <w:r>
              <w:rPr>
                <w:noProof/>
              </w:rPr>
              <w:t>Sans objet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6F23221B" w14:textId="77777777" w:rsidR="008E6885" w:rsidRDefault="00EA24E7">
            <w:pPr>
              <w:pStyle w:val="P68B1DB1-Normal19"/>
              <w:spacing w:before="120" w:after="120" w:line="240" w:lineRule="auto"/>
              <w:jc w:val="center"/>
              <w:rPr>
                <w:rFonts w:cs="Times New Roman"/>
                <w:noProof/>
              </w:rPr>
            </w:pPr>
            <w:r>
              <w:rPr>
                <w:noProof/>
              </w:rPr>
              <w:t>Numéro</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31E06377" w14:textId="77777777" w:rsidR="008E6885" w:rsidRDefault="00EA24E7">
            <w:pPr>
              <w:pStyle w:val="P68B1DB1-Normal19"/>
              <w:spacing w:before="120" w:after="120" w:line="240" w:lineRule="auto"/>
              <w:jc w:val="center"/>
              <w:rPr>
                <w:rFonts w:cs="Times New Roman"/>
                <w:noProof/>
              </w:rPr>
            </w:pPr>
            <w:r>
              <w:rPr>
                <w:noProof/>
              </w:rPr>
              <w:t>300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0854973D" w14:textId="77777777" w:rsidR="008E6885" w:rsidRDefault="00EA24E7">
            <w:pPr>
              <w:pStyle w:val="P68B1DB1-Normal19"/>
              <w:spacing w:before="120" w:after="120" w:line="240" w:lineRule="auto"/>
              <w:jc w:val="center"/>
              <w:rPr>
                <w:rFonts w:cs="Times New Roman"/>
                <w:noProof/>
              </w:rPr>
            </w:pPr>
            <w:r>
              <w:rPr>
                <w:noProof/>
              </w:rPr>
              <w:t>467</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303AABD2"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5DE54A8" w14:textId="77777777" w:rsidR="008E6885" w:rsidRDefault="00EA24E7">
            <w:pPr>
              <w:pStyle w:val="P68B1DB1-Normal19"/>
              <w:spacing w:before="120" w:after="120" w:line="240" w:lineRule="auto"/>
              <w:jc w:val="center"/>
              <w:rPr>
                <w:rFonts w:cs="Times New Roman"/>
                <w:noProof/>
              </w:rPr>
            </w:pPr>
            <w:r>
              <w:rPr>
                <w:noProof/>
              </w:rPr>
              <w:t>2026</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4D6281CE" w14:textId="77777777" w:rsidR="008E6885" w:rsidRDefault="00EA24E7">
            <w:pPr>
              <w:pStyle w:val="P68B1DB1-Normal19"/>
              <w:spacing w:before="120" w:after="120" w:line="240" w:lineRule="auto"/>
              <w:jc w:val="both"/>
              <w:rPr>
                <w:rFonts w:cs="Times New Roman"/>
                <w:noProof/>
              </w:rPr>
            </w:pPr>
            <w:r>
              <w:rPr>
                <w:noProof/>
              </w:rPr>
              <w:t>Le financement doit avoir été approuvé par l'institution nationale de développement ALTUM pour les projets d'au moins 467 appartements.</w:t>
            </w:r>
          </w:p>
          <w:p w14:paraId="571A8E55" w14:textId="77777777" w:rsidR="008E6885" w:rsidRDefault="00EA24E7">
            <w:pPr>
              <w:pStyle w:val="P68B1DB1-Normal19"/>
              <w:spacing w:before="120" w:after="120" w:line="240" w:lineRule="auto"/>
              <w:jc w:val="both"/>
              <w:rPr>
                <w:rFonts w:cs="Times New Roman"/>
                <w:noProof/>
              </w:rPr>
            </w:pPr>
            <w:r>
              <w:rPr>
                <w:noProof/>
              </w:rPr>
              <w:t>Les projets approuvés doivent satisfaire aux exigences de qualité suivantes: 1° le bâtiment doit être un bâtiment dont la consommation d'énergie est quasi nulle; (2) les essais de qualité (mesures acoustiques, essai de perméabilité à l'air des bâtiments) au moment de la mise en service des bâtiments sont rendus obligatoires.</w:t>
            </w:r>
          </w:p>
        </w:tc>
      </w:tr>
      <w:tr w:rsidR="008E6885" w14:paraId="3D282238"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3053416C" w14:textId="77777777" w:rsidR="008E6885" w:rsidRDefault="00EA24E7">
            <w:pPr>
              <w:pStyle w:val="P68B1DB1-Normal19"/>
              <w:spacing w:before="120" w:after="120" w:line="240" w:lineRule="auto"/>
              <w:rPr>
                <w:rFonts w:cs="Times New Roman"/>
                <w:noProof/>
              </w:rPr>
            </w:pPr>
            <w:r>
              <w:rPr>
                <w:noProof/>
              </w:rPr>
              <w:t>103</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05019C1D" w14:textId="77777777" w:rsidR="008E6885" w:rsidRDefault="00EA24E7">
            <w:pPr>
              <w:pStyle w:val="P68B1DB1-Normal17"/>
              <w:spacing w:before="120" w:after="120" w:line="240" w:lineRule="auto"/>
              <w:rPr>
                <w:rFonts w:cs="Times New Roman"/>
                <w:noProof/>
              </w:rPr>
            </w:pPr>
            <w:r>
              <w:rPr>
                <w:noProof/>
              </w:rPr>
              <w:t xml:space="preserve">3.1.1.4.i. Création d'un fonds de financement pour la construction de logements à loyer modique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29CEA9C7" w14:textId="77777777" w:rsidR="008E6885" w:rsidRDefault="00EA24E7">
            <w:pPr>
              <w:pStyle w:val="P68B1DB1-Normal19"/>
              <w:spacing w:before="120" w:after="120" w:line="240" w:lineRule="auto"/>
              <w:rPr>
                <w:rFonts w:cs="Times New Roman"/>
                <w:noProof/>
              </w:rPr>
            </w:pPr>
            <w:r>
              <w:rPr>
                <w:noProof/>
              </w:rPr>
              <w:t xml:space="preserve">Objectif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7853F555" w14:textId="77777777" w:rsidR="008E6885" w:rsidRDefault="00EA24E7">
            <w:pPr>
              <w:pStyle w:val="P68B1DB1-Normal19"/>
              <w:spacing w:before="120" w:after="120" w:line="240" w:lineRule="auto"/>
              <w:rPr>
                <w:rFonts w:cs="Times New Roman"/>
                <w:noProof/>
              </w:rPr>
            </w:pPr>
            <w:r>
              <w:rPr>
                <w:noProof/>
              </w:rPr>
              <w:t xml:space="preserve">Nombre d'appartements prêts à fonctionner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47F7A701" w14:textId="77777777" w:rsidR="008E6885" w:rsidRDefault="00EA24E7">
            <w:pPr>
              <w:pStyle w:val="P68B1DB1-Normal19"/>
              <w:spacing w:before="120" w:after="120" w:line="240" w:lineRule="auto"/>
              <w:jc w:val="center"/>
              <w:rPr>
                <w:rFonts w:cs="Times New Roman"/>
                <w:noProof/>
              </w:rPr>
            </w:pPr>
            <w:r>
              <w:rPr>
                <w:noProof/>
              </w:rPr>
              <w:t>Sans objet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02CEA536" w14:textId="77777777" w:rsidR="008E6885" w:rsidRDefault="00EA24E7">
            <w:pPr>
              <w:pStyle w:val="P68B1DB1-Normal19"/>
              <w:spacing w:before="120" w:after="120" w:line="240" w:lineRule="auto"/>
              <w:jc w:val="center"/>
              <w:rPr>
                <w:rFonts w:cs="Times New Roman"/>
                <w:noProof/>
              </w:rPr>
            </w:pPr>
            <w:r>
              <w:rPr>
                <w:noProof/>
              </w:rPr>
              <w:t>Numéro</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4CA4C5E8" w14:textId="77777777" w:rsidR="008E6885" w:rsidRDefault="00EA24E7">
            <w:pPr>
              <w:pStyle w:val="P68B1DB1-Normal19"/>
              <w:spacing w:before="120" w:after="120" w:line="240" w:lineRule="auto"/>
              <w:jc w:val="center"/>
              <w:rPr>
                <w:rFonts w:cs="Times New Roman"/>
                <w:noProof/>
              </w:rPr>
            </w:pPr>
            <w:r>
              <w:rPr>
                <w:noProof/>
              </w:rPr>
              <w:t>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68494573" w14:textId="77777777" w:rsidR="008E6885" w:rsidRDefault="00EA24E7">
            <w:pPr>
              <w:pStyle w:val="P68B1DB1-Normal19"/>
              <w:spacing w:before="120" w:after="120" w:line="240" w:lineRule="auto"/>
              <w:jc w:val="center"/>
              <w:rPr>
                <w:rFonts w:cs="Times New Roman"/>
                <w:noProof/>
              </w:rPr>
            </w:pPr>
            <w:r>
              <w:rPr>
                <w:noProof/>
              </w:rPr>
              <w:t>300</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5DFA3A65"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39F2AED" w14:textId="77777777" w:rsidR="008E6885" w:rsidRDefault="00EA24E7">
            <w:pPr>
              <w:pStyle w:val="P68B1DB1-Normal19"/>
              <w:spacing w:before="120" w:after="120" w:line="240" w:lineRule="auto"/>
              <w:jc w:val="center"/>
              <w:rPr>
                <w:rFonts w:cs="Times New Roman"/>
                <w:noProof/>
              </w:rPr>
            </w:pPr>
            <w:r>
              <w:rPr>
                <w:noProof/>
              </w:rPr>
              <w:t>2026</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6C3EB810" w14:textId="77777777" w:rsidR="008E6885" w:rsidRDefault="00EA24E7">
            <w:pPr>
              <w:pStyle w:val="P68B1DB1-Normal19"/>
              <w:spacing w:before="120" w:after="120" w:line="240" w:lineRule="auto"/>
              <w:jc w:val="both"/>
              <w:rPr>
                <w:rFonts w:cs="Times New Roman"/>
                <w:noProof/>
              </w:rPr>
            </w:pPr>
            <w:r>
              <w:rPr>
                <w:noProof/>
              </w:rPr>
              <w:t>300 appartements seront prêts à fonctionner.</w:t>
            </w:r>
          </w:p>
        </w:tc>
      </w:tr>
      <w:tr w:rsidR="008E6885" w14:paraId="4D9D896D"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47B5811B" w14:textId="77777777" w:rsidR="008E6885" w:rsidRDefault="00EA24E7">
            <w:pPr>
              <w:pStyle w:val="P68B1DB1-Normal19"/>
              <w:spacing w:before="120" w:after="120" w:line="240" w:lineRule="auto"/>
              <w:rPr>
                <w:rFonts w:cs="Times New Roman"/>
                <w:noProof/>
              </w:rPr>
            </w:pPr>
            <w:r>
              <w:rPr>
                <w:noProof/>
              </w:rPr>
              <w:t>104</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1926BC95" w14:textId="77777777" w:rsidR="008E6885" w:rsidRDefault="00EA24E7">
            <w:pPr>
              <w:pStyle w:val="P68B1DB1-Normal17"/>
              <w:spacing w:before="120" w:after="120" w:line="240" w:lineRule="auto"/>
              <w:rPr>
                <w:rFonts w:cs="Times New Roman"/>
                <w:noProof/>
              </w:rPr>
            </w:pPr>
            <w:r>
              <w:rPr>
                <w:noProof/>
              </w:rPr>
              <w:t>3.1.1.5.i. Développement de l'infrastructure et de l'équipement des établissements d'enseignement</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7E1D5673"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468A6E11" w14:textId="77777777" w:rsidR="008E6885" w:rsidRDefault="00EA24E7">
            <w:pPr>
              <w:pStyle w:val="P68B1DB1-Normal19"/>
              <w:spacing w:before="120" w:after="120" w:line="240" w:lineRule="auto"/>
              <w:rPr>
                <w:rFonts w:cs="Times New Roman"/>
                <w:noProof/>
              </w:rPr>
            </w:pPr>
            <w:r>
              <w:rPr>
                <w:noProof/>
              </w:rPr>
              <w:t xml:space="preserve">Définition des critères qualitatifs et quantitatifs adoptés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47AD586B" w14:textId="77777777" w:rsidR="008E6885" w:rsidRDefault="00EA24E7">
            <w:pPr>
              <w:pStyle w:val="P68B1DB1-Normal19"/>
              <w:spacing w:before="120" w:after="120" w:line="240" w:lineRule="auto"/>
              <w:rPr>
                <w:rFonts w:cs="Times New Roman"/>
                <w:noProof/>
              </w:rPr>
            </w:pPr>
            <w:r>
              <w:rPr>
                <w:noProof/>
              </w:rPr>
              <w:t xml:space="preserve">Le cadre juridique est entré en vigueur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6025DD55"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27A8E544"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15701DF3"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0939A841"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3F88934" w14:textId="77777777" w:rsidR="008E6885" w:rsidRDefault="00EA24E7">
            <w:pPr>
              <w:pStyle w:val="P68B1DB1-Normal19"/>
              <w:spacing w:before="120" w:after="120" w:line="240" w:lineRule="auto"/>
              <w:jc w:val="center"/>
              <w:rPr>
                <w:rFonts w:cs="Times New Roman"/>
                <w:noProof/>
              </w:rPr>
            </w:pPr>
            <w:r>
              <w:rPr>
                <w:noProof/>
              </w:rPr>
              <w:t>2021</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70B43D38" w14:textId="77777777" w:rsidR="008E6885" w:rsidRDefault="00EA24E7">
            <w:pPr>
              <w:pStyle w:val="P68B1DB1-Normal19"/>
              <w:spacing w:before="120" w:after="120" w:line="240" w:lineRule="auto"/>
              <w:jc w:val="both"/>
              <w:rPr>
                <w:rFonts w:cs="Times New Roman"/>
                <w:noProof/>
              </w:rPr>
            </w:pPr>
            <w:r>
              <w:rPr>
                <w:noProof/>
              </w:rPr>
              <w:t>Entrée en vigueur d’un cadre juridique adopté par le gouvernement pour promouvoir l’offre d’une éducation de qualité en promouvant une offre complète de programmes éducatifs au niveau régional, ainsi qu’en créant un réseau d’établissements d’enseignement secondaire général en fonction de la situation démographique. Le cadre juridique établit des critères quantitatifs et qualitatifs minimaux (tels que le nombre minimal d’apprenants, la disponibilité des infrastructures, etc.) pour les établissements d’enseignement secondaire général.</w:t>
            </w:r>
          </w:p>
        </w:tc>
      </w:tr>
      <w:tr w:rsidR="008E6885" w14:paraId="4FFA45E9"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2FADECA5" w14:textId="77777777" w:rsidR="008E6885" w:rsidRDefault="00EA24E7">
            <w:pPr>
              <w:pStyle w:val="P68B1DB1-Normal19"/>
              <w:spacing w:before="120" w:after="120" w:line="240" w:lineRule="auto"/>
              <w:rPr>
                <w:rFonts w:cs="Times New Roman"/>
                <w:noProof/>
              </w:rPr>
            </w:pPr>
            <w:r>
              <w:rPr>
                <w:noProof/>
              </w:rPr>
              <w:t>105</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3E5C4BCF" w14:textId="77777777" w:rsidR="008E6885" w:rsidRDefault="00EA24E7">
            <w:pPr>
              <w:pStyle w:val="P68B1DB1-Normal17"/>
              <w:spacing w:before="120" w:after="120" w:line="240" w:lineRule="auto"/>
              <w:rPr>
                <w:rFonts w:cs="Times New Roman"/>
                <w:noProof/>
              </w:rPr>
            </w:pPr>
            <w:r>
              <w:rPr>
                <w:noProof/>
              </w:rPr>
              <w:t>3.1.1.5.i. Développement de l'infrastructure et de l'équipement des établissements d'enseignement</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75D5242E"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0CD9ECB4" w14:textId="77777777" w:rsidR="008E6885" w:rsidRDefault="00EA24E7">
            <w:pPr>
              <w:pStyle w:val="P68B1DB1-Normal19"/>
              <w:spacing w:before="120" w:after="120" w:line="240" w:lineRule="auto"/>
              <w:rPr>
                <w:rFonts w:cs="Times New Roman"/>
                <w:noProof/>
              </w:rPr>
            </w:pPr>
            <w:r>
              <w:rPr>
                <w:noProof/>
              </w:rPr>
              <w:t xml:space="preserve">Adoption de décisions par les conseils locaux sur la réorganisation d'au moins 20 établissements d'enseignement secondaire général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1F5A6FC3" w14:textId="77777777" w:rsidR="008E6885" w:rsidRDefault="00EA24E7">
            <w:pPr>
              <w:pStyle w:val="P68B1DB1-Normal19"/>
              <w:spacing w:before="120" w:after="120" w:line="240" w:lineRule="auto"/>
              <w:rPr>
                <w:rFonts w:cs="Times New Roman"/>
                <w:noProof/>
              </w:rPr>
            </w:pPr>
            <w:r>
              <w:rPr>
                <w:noProof/>
              </w:rPr>
              <w:t xml:space="preserve">Adoption des décisions par les conseils locaux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6B7E526C"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682CD71E"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1B458AAB"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55E583C2"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0FC87CF" w14:textId="77777777" w:rsidR="008E6885" w:rsidRDefault="00EA24E7">
            <w:pPr>
              <w:pStyle w:val="P68B1DB1-Normal19"/>
              <w:spacing w:before="120" w:after="120" w:line="240" w:lineRule="auto"/>
              <w:jc w:val="center"/>
              <w:rPr>
                <w:rFonts w:cs="Times New Roman"/>
                <w:noProof/>
              </w:rPr>
            </w:pPr>
            <w:r>
              <w:rPr>
                <w:noProof/>
              </w:rPr>
              <w:t>2022</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52F30456" w14:textId="77777777" w:rsidR="008E6885" w:rsidRDefault="00EA24E7">
            <w:pPr>
              <w:pStyle w:val="P68B1DB1-Normal19"/>
              <w:spacing w:before="120" w:after="120" w:line="240" w:lineRule="auto"/>
              <w:jc w:val="both"/>
              <w:rPr>
                <w:rFonts w:cs="Times New Roman"/>
                <w:noProof/>
              </w:rPr>
            </w:pPr>
            <w:r>
              <w:rPr>
                <w:noProof/>
              </w:rPr>
              <w:t xml:space="preserve">Décisions de réorganisation (fusions, changement de niveau d’enseignement) d’au moins 20 établissements d’enseignement secondaire général adoptées par les collectivités locales. </w:t>
            </w:r>
          </w:p>
        </w:tc>
      </w:tr>
      <w:tr w:rsidR="008E6885" w14:paraId="3BEFB42F"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4F58E059" w14:textId="77777777" w:rsidR="008E6885" w:rsidRDefault="00EA24E7">
            <w:pPr>
              <w:pStyle w:val="P68B1DB1-Normal19"/>
              <w:spacing w:before="120" w:after="120" w:line="240" w:lineRule="auto"/>
              <w:rPr>
                <w:rFonts w:cs="Times New Roman"/>
                <w:noProof/>
              </w:rPr>
            </w:pPr>
            <w:r>
              <w:rPr>
                <w:noProof/>
              </w:rPr>
              <w:t>106</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1FA394F8" w14:textId="77777777" w:rsidR="008E6885" w:rsidRDefault="00EA24E7">
            <w:pPr>
              <w:pStyle w:val="P68B1DB1-Normal17"/>
              <w:spacing w:before="120" w:after="120" w:line="240" w:lineRule="auto"/>
              <w:rPr>
                <w:rFonts w:cs="Times New Roman"/>
                <w:noProof/>
              </w:rPr>
            </w:pPr>
            <w:r>
              <w:rPr>
                <w:noProof/>
              </w:rPr>
              <w:t>3.1.1.5.i. Développement de l'infrastructure et de l'équipement des établissements d'enseignement</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6196B161" w14:textId="77777777" w:rsidR="008E6885" w:rsidRDefault="00EA24E7">
            <w:pPr>
              <w:pStyle w:val="P68B1DB1-Normal19"/>
              <w:spacing w:before="120" w:after="120" w:line="240" w:lineRule="auto"/>
              <w:rPr>
                <w:rFonts w:cs="Times New Roman"/>
                <w:noProof/>
              </w:rPr>
            </w:pPr>
            <w:r>
              <w:rPr>
                <w:noProof/>
              </w:rPr>
              <w:t xml:space="preserve">Objectif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6D1FB46C" w14:textId="77777777" w:rsidR="008E6885" w:rsidRDefault="00EA24E7">
            <w:pPr>
              <w:pStyle w:val="P68B1DB1-Normal19"/>
              <w:spacing w:before="120" w:after="120" w:line="240" w:lineRule="auto"/>
              <w:rPr>
                <w:rFonts w:cs="Times New Roman"/>
                <w:noProof/>
              </w:rPr>
            </w:pPr>
            <w:r>
              <w:rPr>
                <w:noProof/>
              </w:rPr>
              <w:t xml:space="preserve">Moderniser l’infrastructure des écoles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7459796F" w14:textId="77777777" w:rsidR="008E6885" w:rsidRDefault="00EA24E7">
            <w:pPr>
              <w:pStyle w:val="P68B1DB1-Normal19"/>
              <w:spacing w:before="120" w:after="120" w:line="240" w:lineRule="auto"/>
              <w:jc w:val="center"/>
              <w:rPr>
                <w:rFonts w:cs="Times New Roman"/>
                <w:noProof/>
              </w:rPr>
            </w:pPr>
            <w:r>
              <w:rPr>
                <w:noProof/>
              </w:rPr>
              <w:t>Sans objet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27948E3D" w14:textId="77777777" w:rsidR="008E6885" w:rsidRDefault="00EA24E7">
            <w:pPr>
              <w:pStyle w:val="P68B1DB1-Normal19"/>
              <w:spacing w:before="120" w:after="120" w:line="240" w:lineRule="auto"/>
              <w:jc w:val="center"/>
              <w:rPr>
                <w:rFonts w:cs="Times New Roman"/>
                <w:noProof/>
              </w:rPr>
            </w:pPr>
            <w:r>
              <w:rPr>
                <w:noProof/>
              </w:rPr>
              <w:t>Numéro</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092177D4" w14:textId="77777777" w:rsidR="008E6885" w:rsidRDefault="00EA24E7">
            <w:pPr>
              <w:pStyle w:val="P68B1DB1-Normal19"/>
              <w:spacing w:before="120" w:after="120" w:line="240" w:lineRule="auto"/>
              <w:jc w:val="center"/>
              <w:rPr>
                <w:rFonts w:cs="Times New Roman"/>
                <w:noProof/>
              </w:rPr>
            </w:pPr>
            <w:r>
              <w:rPr>
                <w:noProof/>
              </w:rPr>
              <w:t>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63FEC64C" w14:textId="77777777" w:rsidR="008E6885" w:rsidRDefault="00EA24E7">
            <w:pPr>
              <w:pStyle w:val="P68B1DB1-Normal19"/>
              <w:spacing w:before="120" w:after="120" w:line="240" w:lineRule="auto"/>
              <w:jc w:val="center"/>
              <w:rPr>
                <w:rFonts w:cs="Times New Roman"/>
                <w:noProof/>
              </w:rPr>
            </w:pPr>
            <w:r>
              <w:rPr>
                <w:noProof/>
              </w:rPr>
              <w:t>21</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400A39FC"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35F535C" w14:textId="77777777" w:rsidR="008E6885" w:rsidRDefault="00EA24E7">
            <w:pPr>
              <w:pStyle w:val="P68B1DB1-Normal19"/>
              <w:spacing w:before="120" w:after="120" w:line="240" w:lineRule="auto"/>
              <w:jc w:val="center"/>
              <w:rPr>
                <w:rFonts w:cs="Times New Roman"/>
                <w:noProof/>
              </w:rPr>
            </w:pPr>
            <w:r>
              <w:rPr>
                <w:noProof/>
              </w:rPr>
              <w:t>2026</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5B0DCFF4" w14:textId="19A7FBCF" w:rsidR="008E6885" w:rsidRDefault="00EA24E7">
            <w:pPr>
              <w:pStyle w:val="P68B1DB1-Normal18"/>
              <w:spacing w:before="120" w:after="120" w:line="240" w:lineRule="auto"/>
              <w:jc w:val="both"/>
              <w:rPr>
                <w:rFonts w:ascii="Times New Roman" w:eastAsia="Calibri" w:hAnsi="Times New Roman" w:cs="Times New Roman"/>
                <w:noProof/>
              </w:rPr>
            </w:pPr>
            <w:r>
              <w:rPr>
                <w:rFonts w:ascii="Times New Roman" w:hAnsi="Times New Roman"/>
                <w:noProof/>
                <w:color w:val="000000"/>
              </w:rPr>
              <w:t xml:space="preserve">Mise à niveau de 21 infrastructures scolaires mises en place par les collectivités locales (par exemple: systèmes de ventilation, éclairage </w:t>
            </w:r>
            <w:r>
              <w:rPr>
                <w:rFonts w:ascii="Times New Roman" w:eastAsia="Calibri" w:hAnsi="Times New Roman" w:cs="Arial"/>
                <w:noProof/>
              </w:rPr>
              <w:t>économe en énergie, achat de technologies de l'information et d'équipements pour l'enseignement des sciences, des technologies, de l'ingénierie ou des mathématiques).</w:t>
            </w:r>
          </w:p>
        </w:tc>
      </w:tr>
      <w:tr w:rsidR="008E6885" w14:paraId="792D64C3"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75E0422B" w14:textId="77777777" w:rsidR="008E6885" w:rsidRDefault="00EA24E7">
            <w:pPr>
              <w:pStyle w:val="P68B1DB1-Normal19"/>
              <w:spacing w:before="120" w:after="120" w:line="240" w:lineRule="auto"/>
              <w:rPr>
                <w:rFonts w:cs="Times New Roman"/>
                <w:noProof/>
              </w:rPr>
            </w:pPr>
            <w:r>
              <w:rPr>
                <w:noProof/>
              </w:rPr>
              <w:t>107</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37575652" w14:textId="5C73EF3E" w:rsidR="008E6885" w:rsidRDefault="00EA24E7">
            <w:pPr>
              <w:pStyle w:val="P68B1DB1-Normal17"/>
              <w:spacing w:before="120" w:after="120" w:line="240" w:lineRule="auto"/>
              <w:rPr>
                <w:rFonts w:cs="Times New Roman"/>
                <w:noProof/>
              </w:rPr>
            </w:pPr>
            <w:r>
              <w:rPr>
                <w:noProof/>
              </w:rPr>
              <w:t>3.1.1.6.i. Achat d'autobus scolaires électriques</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2C975471"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448F45EC" w14:textId="77777777" w:rsidR="008E6885" w:rsidRDefault="00EA24E7">
            <w:pPr>
              <w:pStyle w:val="P68B1DB1-Normal19"/>
              <w:spacing w:before="120" w:after="120" w:line="240" w:lineRule="auto"/>
              <w:rPr>
                <w:rFonts w:cs="Times New Roman"/>
                <w:noProof/>
              </w:rPr>
            </w:pPr>
            <w:r>
              <w:rPr>
                <w:noProof/>
              </w:rPr>
              <w:t xml:space="preserve">Un programme d ' appui a été adopté à l ' intention des autorités locales pour l ' achat d ' autobus électriques aux fins de l ' exercice des fonctions municipales et des services connexes.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477A4487" w14:textId="77777777" w:rsidR="008E6885" w:rsidRDefault="00EA24E7">
            <w:pPr>
              <w:pStyle w:val="P68B1DB1-Normal19"/>
              <w:spacing w:before="120" w:after="120" w:line="240" w:lineRule="auto"/>
              <w:rPr>
                <w:rFonts w:cs="Times New Roman"/>
                <w:noProof/>
              </w:rPr>
            </w:pPr>
            <w:r>
              <w:rPr>
                <w:noProof/>
              </w:rPr>
              <w:t>Entrée en vigueur de la réglementation gouvernementale</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38A3C80F"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7E3EB931"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47539386"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6C4F45EE"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83ABBE4" w14:textId="77777777" w:rsidR="008E6885" w:rsidRDefault="00EA24E7">
            <w:pPr>
              <w:pStyle w:val="P68B1DB1-Normal19"/>
              <w:spacing w:before="120" w:after="120" w:line="240" w:lineRule="auto"/>
              <w:jc w:val="center"/>
              <w:rPr>
                <w:rFonts w:cs="Times New Roman"/>
                <w:noProof/>
              </w:rPr>
            </w:pPr>
            <w:r>
              <w:rPr>
                <w:noProof/>
              </w:rPr>
              <w:t>2022</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4046DA31" w14:textId="66ADFC75" w:rsidR="008E6885" w:rsidRDefault="00EA24E7">
            <w:pPr>
              <w:pStyle w:val="P68B1DB1-Normal19"/>
              <w:spacing w:before="120" w:after="120" w:line="240" w:lineRule="auto"/>
              <w:jc w:val="both"/>
              <w:rPr>
                <w:rFonts w:cs="Times New Roman"/>
                <w:noProof/>
              </w:rPr>
            </w:pPr>
            <w:r>
              <w:rPr>
                <w:noProof/>
              </w:rPr>
              <w:t>Entrée en vigueur du règlement du Conseil des ministres fixant les conditions de mise en œuvre de l’aide aux collectivités locales pour l’achat d’autobus électriques destinés à l’exercice des fonctions municipales et des services connexes.</w:t>
            </w:r>
          </w:p>
        </w:tc>
      </w:tr>
      <w:tr w:rsidR="008E6885" w14:paraId="3E95B21C"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5D7F7A4F" w14:textId="77777777" w:rsidR="008E6885" w:rsidRDefault="00EA24E7">
            <w:pPr>
              <w:pStyle w:val="P68B1DB1-Normal19"/>
              <w:spacing w:before="120" w:after="120" w:line="240" w:lineRule="auto"/>
              <w:rPr>
                <w:rFonts w:cs="Times New Roman"/>
                <w:noProof/>
              </w:rPr>
            </w:pPr>
            <w:r>
              <w:rPr>
                <w:noProof/>
              </w:rPr>
              <w:t>108</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7E841112" w14:textId="77777777" w:rsidR="008E6885" w:rsidRDefault="00EA24E7">
            <w:pPr>
              <w:pStyle w:val="P68B1DB1-Normal17"/>
              <w:spacing w:before="120" w:after="120" w:line="240" w:lineRule="auto"/>
              <w:rPr>
                <w:rFonts w:cs="Times New Roman"/>
                <w:noProof/>
              </w:rPr>
            </w:pPr>
            <w:r>
              <w:rPr>
                <w:noProof/>
              </w:rPr>
              <w:t xml:space="preserve">3.1.1.6.i. Achat d'autobus scolaires électriques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2B8FE0B8" w14:textId="77777777" w:rsidR="008E6885" w:rsidRDefault="00EA24E7">
            <w:pPr>
              <w:pStyle w:val="P68B1DB1-Normal19"/>
              <w:spacing w:before="120" w:after="120" w:line="240" w:lineRule="auto"/>
              <w:rPr>
                <w:rFonts w:cs="Times New Roman"/>
                <w:noProof/>
              </w:rPr>
            </w:pPr>
            <w:r>
              <w:rPr>
                <w:noProof/>
              </w:rPr>
              <w:t>Objectif</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49ACAC04" w14:textId="77777777" w:rsidR="008E6885" w:rsidRDefault="00EA24E7">
            <w:pPr>
              <w:pStyle w:val="P68B1DB1-Normal19"/>
              <w:spacing w:before="120" w:after="120" w:line="240" w:lineRule="auto"/>
              <w:rPr>
                <w:rFonts w:cs="Times New Roman"/>
                <w:noProof/>
              </w:rPr>
            </w:pPr>
            <w:r>
              <w:rPr>
                <w:noProof/>
              </w:rPr>
              <w:t xml:space="preserve">Nombre d’autobus scolaires électriques dans le cadre de contrats attribués pour l’achat d’autobus électriques pour l’exécution des fonctions municipales et des services connexes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004FDFA3" w14:textId="77777777" w:rsidR="008E6885" w:rsidRDefault="00EA24E7">
            <w:pPr>
              <w:pStyle w:val="P68B1DB1-Normal19"/>
              <w:spacing w:before="120" w:after="120" w:line="240" w:lineRule="auto"/>
              <w:jc w:val="center"/>
              <w:rPr>
                <w:rFonts w:cs="Times New Roman"/>
                <w:noProof/>
              </w:rPr>
            </w:pPr>
            <w:r>
              <w:rPr>
                <w:noProof/>
              </w:rPr>
              <w:t>Sans objet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13431CF3" w14:textId="77777777" w:rsidR="008E6885" w:rsidRDefault="00EA24E7">
            <w:pPr>
              <w:pStyle w:val="P68B1DB1-Normal19"/>
              <w:spacing w:before="120" w:after="120" w:line="240" w:lineRule="auto"/>
              <w:jc w:val="center"/>
              <w:rPr>
                <w:rFonts w:cs="Times New Roman"/>
                <w:noProof/>
              </w:rPr>
            </w:pPr>
            <w:r>
              <w:rPr>
                <w:noProof/>
              </w:rPr>
              <w:t>Numéro</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10BA5A9E" w14:textId="77777777" w:rsidR="008E6885" w:rsidRDefault="00EA24E7">
            <w:pPr>
              <w:pStyle w:val="P68B1DB1-Normal19"/>
              <w:spacing w:before="120" w:after="120" w:line="240" w:lineRule="auto"/>
              <w:jc w:val="center"/>
              <w:rPr>
                <w:rFonts w:cs="Times New Roman"/>
                <w:noProof/>
              </w:rPr>
            </w:pPr>
            <w:r>
              <w:rPr>
                <w:noProof/>
              </w:rPr>
              <w:t>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5833140E" w14:textId="77777777" w:rsidR="008E6885" w:rsidRDefault="00EA24E7">
            <w:pPr>
              <w:pStyle w:val="P68B1DB1-Normal26"/>
              <w:spacing w:before="120" w:after="120" w:line="240" w:lineRule="auto"/>
              <w:jc w:val="center"/>
              <w:rPr>
                <w:rFonts w:eastAsia="Times New Roman" w:cs="Times New Roman"/>
                <w:noProof/>
              </w:rPr>
            </w:pPr>
            <w:r>
              <w:rPr>
                <w:noProof/>
              </w:rPr>
              <w:t>15</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3A953303"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8D2C28D" w14:textId="77777777" w:rsidR="008E6885" w:rsidRDefault="00EA24E7">
            <w:pPr>
              <w:pStyle w:val="P68B1DB1-Normal19"/>
              <w:spacing w:before="120" w:after="120" w:line="240" w:lineRule="auto"/>
              <w:jc w:val="center"/>
              <w:rPr>
                <w:rFonts w:cs="Times New Roman"/>
                <w:noProof/>
              </w:rPr>
            </w:pPr>
            <w:r>
              <w:rPr>
                <w:noProof/>
              </w:rPr>
              <w:t>2023</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187E4124" w14:textId="3BBAF3AA" w:rsidR="008E6885" w:rsidRDefault="00EA24E7">
            <w:pPr>
              <w:pStyle w:val="P68B1DB1-Normal19"/>
              <w:spacing w:before="120" w:after="120" w:line="240" w:lineRule="auto"/>
              <w:jc w:val="both"/>
              <w:rPr>
                <w:rFonts w:cs="Times New Roman"/>
                <w:noProof/>
              </w:rPr>
            </w:pPr>
            <w:r>
              <w:rPr>
                <w:noProof/>
              </w:rPr>
              <w:t>Attribution de contrats pour l'achat de 15 autobus électriques pour l'exécution de fonctions municipales et de services connexes.</w:t>
            </w:r>
          </w:p>
        </w:tc>
      </w:tr>
      <w:tr w:rsidR="008E6885" w14:paraId="1706FB76"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0FDEA036" w14:textId="77777777" w:rsidR="008E6885" w:rsidRDefault="00EA24E7">
            <w:pPr>
              <w:pStyle w:val="P68B1DB1-Normal19"/>
              <w:spacing w:before="120" w:after="120" w:line="240" w:lineRule="auto"/>
              <w:rPr>
                <w:rFonts w:cs="Times New Roman"/>
                <w:noProof/>
              </w:rPr>
            </w:pPr>
            <w:r>
              <w:rPr>
                <w:noProof/>
              </w:rPr>
              <w:t>109</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6AB4E865" w14:textId="196FA714" w:rsidR="008E6885" w:rsidRDefault="00EA24E7">
            <w:pPr>
              <w:pStyle w:val="P68B1DB1-Normal17"/>
              <w:spacing w:before="120" w:after="120" w:line="240" w:lineRule="auto"/>
              <w:rPr>
                <w:rFonts w:cs="Times New Roman"/>
                <w:noProof/>
              </w:rPr>
            </w:pPr>
            <w:r>
              <w:rPr>
                <w:noProof/>
              </w:rPr>
              <w:t>3.1.1.6.i. Achat d'autobus scolaires électriques</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39444E0C" w14:textId="77777777" w:rsidR="008E6885" w:rsidRDefault="00EA24E7">
            <w:pPr>
              <w:pStyle w:val="P68B1DB1-Normal19"/>
              <w:spacing w:before="120" w:after="120" w:line="240" w:lineRule="auto"/>
              <w:rPr>
                <w:rFonts w:cs="Times New Roman"/>
                <w:noProof/>
              </w:rPr>
            </w:pPr>
            <w:r>
              <w:rPr>
                <w:noProof/>
              </w:rPr>
              <w:t xml:space="preserve">Objectif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0C72F6A8" w14:textId="77777777" w:rsidR="008E6885" w:rsidRDefault="00EA24E7">
            <w:pPr>
              <w:pStyle w:val="P68B1DB1-Normal19"/>
              <w:spacing w:before="120" w:after="120" w:line="240" w:lineRule="auto"/>
              <w:rPr>
                <w:rFonts w:cs="Times New Roman"/>
                <w:noProof/>
              </w:rPr>
            </w:pPr>
            <w:r>
              <w:rPr>
                <w:noProof/>
              </w:rPr>
              <w:t xml:space="preserve">Autobus scolaires électriques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316D4BC5" w14:textId="77777777" w:rsidR="008E6885" w:rsidRDefault="00EA24E7">
            <w:pPr>
              <w:pStyle w:val="P68B1DB1-Normal19"/>
              <w:spacing w:before="120" w:after="120" w:line="240" w:lineRule="auto"/>
              <w:jc w:val="center"/>
              <w:rPr>
                <w:rFonts w:cs="Times New Roman"/>
                <w:noProof/>
              </w:rPr>
            </w:pPr>
            <w:r>
              <w:rPr>
                <w:noProof/>
              </w:rPr>
              <w:t>Sans objet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49009C02" w14:textId="77777777" w:rsidR="008E6885" w:rsidRDefault="00EA24E7">
            <w:pPr>
              <w:pStyle w:val="P68B1DB1-Normal19"/>
              <w:spacing w:before="120" w:after="120" w:line="240" w:lineRule="auto"/>
              <w:jc w:val="center"/>
              <w:rPr>
                <w:rFonts w:cs="Times New Roman"/>
                <w:noProof/>
              </w:rPr>
            </w:pPr>
            <w:r>
              <w:rPr>
                <w:noProof/>
              </w:rPr>
              <w:t>Numéro</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376DD198" w14:textId="77777777" w:rsidR="008E6885" w:rsidRDefault="00EA24E7">
            <w:pPr>
              <w:pStyle w:val="P68B1DB1-Normal19"/>
              <w:spacing w:before="120" w:after="120" w:line="240" w:lineRule="auto"/>
              <w:jc w:val="center"/>
              <w:rPr>
                <w:rFonts w:cs="Times New Roman"/>
                <w:noProof/>
              </w:rPr>
            </w:pPr>
            <w:r>
              <w:rPr>
                <w:noProof/>
              </w:rPr>
              <w:t>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0B0E7808" w14:textId="77777777" w:rsidR="008E6885" w:rsidRDefault="00EA24E7">
            <w:pPr>
              <w:pStyle w:val="P68B1DB1-Normal19"/>
              <w:spacing w:before="120" w:after="120" w:line="240" w:lineRule="auto"/>
              <w:jc w:val="center"/>
              <w:rPr>
                <w:rFonts w:cs="Times New Roman"/>
                <w:noProof/>
              </w:rPr>
            </w:pPr>
            <w:r>
              <w:rPr>
                <w:noProof/>
              </w:rPr>
              <w:t>15</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451F8D25"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6768DCB" w14:textId="77777777" w:rsidR="008E6885" w:rsidRDefault="00EA24E7">
            <w:pPr>
              <w:pStyle w:val="P68B1DB1-Normal19"/>
              <w:spacing w:before="120" w:after="120" w:line="240" w:lineRule="auto"/>
              <w:jc w:val="center"/>
              <w:rPr>
                <w:rFonts w:cs="Times New Roman"/>
                <w:noProof/>
              </w:rPr>
            </w:pPr>
            <w:r>
              <w:rPr>
                <w:noProof/>
              </w:rPr>
              <w:t>2025</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6D2A9E47" w14:textId="77777777" w:rsidR="008E6885" w:rsidRDefault="00EA24E7">
            <w:pPr>
              <w:pStyle w:val="P68B1DB1-Normal19"/>
              <w:spacing w:before="120" w:after="120" w:line="240" w:lineRule="auto"/>
              <w:jc w:val="both"/>
              <w:rPr>
                <w:rFonts w:cs="Times New Roman"/>
                <w:noProof/>
              </w:rPr>
            </w:pPr>
            <w:r>
              <w:rPr>
                <w:noProof/>
              </w:rPr>
              <w:t>Des lois de transfert pour la livraison de 15 autobus scolaires électriques aux municipalités ont été émises.</w:t>
            </w:r>
          </w:p>
        </w:tc>
      </w:tr>
      <w:tr w:rsidR="008E6885" w14:paraId="259A8479"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01E9A67A" w14:textId="77777777" w:rsidR="008E6885" w:rsidRDefault="00EA24E7">
            <w:pPr>
              <w:pStyle w:val="P68B1DB1-Normal19"/>
              <w:spacing w:after="200" w:line="240" w:lineRule="auto"/>
              <w:rPr>
                <w:rFonts w:cs="Times New Roman"/>
                <w:noProof/>
              </w:rPr>
            </w:pPr>
            <w:r>
              <w:rPr>
                <w:noProof/>
              </w:rPr>
              <w:t>109a</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7BA44A2B" w14:textId="77777777" w:rsidR="008E6885" w:rsidRDefault="00EA24E7">
            <w:pPr>
              <w:pStyle w:val="P68B1DB1-Normal17"/>
              <w:spacing w:after="200" w:line="240" w:lineRule="auto"/>
              <w:rPr>
                <w:rFonts w:cs="Times New Roman"/>
                <w:noProof/>
              </w:rPr>
            </w:pPr>
            <w:r>
              <w:rPr>
                <w:noProof/>
              </w:rPr>
              <w:t>3.1.1.7.i. Prêts aux promoteurs immobiliers pour la construction de logements à loyer modique</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68BE4823" w14:textId="77777777" w:rsidR="008E6885" w:rsidRDefault="00EA24E7">
            <w:pPr>
              <w:pStyle w:val="P68B1DB1-Normal19"/>
              <w:spacing w:after="200" w:line="240" w:lineRule="auto"/>
              <w:rPr>
                <w:rFonts w:cs="Times New Roman"/>
                <w:noProof/>
              </w:rPr>
            </w:pPr>
            <w:r>
              <w:rPr>
                <w:noProof/>
              </w:rPr>
              <w:t>Étape</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66E24280" w14:textId="77777777" w:rsidR="008E6885" w:rsidRDefault="00EA24E7">
            <w:pPr>
              <w:pStyle w:val="P68B1DB1-Normal26"/>
              <w:rPr>
                <w:rFonts w:eastAsia="Times New Roman" w:cs="Times New Roman"/>
                <w:noProof/>
              </w:rPr>
            </w:pPr>
            <w:r>
              <w:rPr>
                <w:noProof/>
              </w:rPr>
              <w:t>Accord de mise en œuvre et réalisation de l'investissement</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111E15E6" w14:textId="77777777" w:rsidR="008E6885" w:rsidRDefault="00EA24E7">
            <w:pPr>
              <w:pStyle w:val="P68B1DB1-Normal26"/>
              <w:spacing w:after="200" w:line="240" w:lineRule="auto"/>
              <w:rPr>
                <w:rFonts w:eastAsia="Times New Roman" w:cs="Times New Roman"/>
                <w:noProof/>
              </w:rPr>
            </w:pPr>
            <w:r>
              <w:rPr>
                <w:noProof/>
              </w:rPr>
              <w:t>Entrée en vigueur de l'accord de mise en œuvre et du certificat de transfert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4A3AD386" w14:textId="77777777" w:rsidR="008E6885" w:rsidRDefault="00EA24E7">
            <w:pPr>
              <w:pStyle w:val="P68B1DB1-Normal19"/>
              <w:spacing w:after="20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4DD193A5" w14:textId="77777777" w:rsidR="008E6885" w:rsidRDefault="00EA24E7">
            <w:pPr>
              <w:pStyle w:val="P68B1DB1-Normal19"/>
              <w:spacing w:after="20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7C1A0438" w14:textId="77777777" w:rsidR="008E6885" w:rsidRDefault="00EA24E7">
            <w:pPr>
              <w:pStyle w:val="P68B1DB1-Normal19"/>
              <w:spacing w:after="20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0D20CC09" w14:textId="77777777" w:rsidR="008E6885" w:rsidRDefault="00EA24E7">
            <w:pPr>
              <w:pStyle w:val="P68B1DB1-Normal19"/>
              <w:spacing w:after="20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E403A21" w14:textId="77777777" w:rsidR="008E6885" w:rsidRDefault="00EA24E7">
            <w:pPr>
              <w:pStyle w:val="P68B1DB1-Normal19"/>
              <w:spacing w:after="200" w:line="240" w:lineRule="auto"/>
              <w:jc w:val="center"/>
              <w:rPr>
                <w:rFonts w:cs="Times New Roman"/>
                <w:noProof/>
              </w:rPr>
            </w:pPr>
            <w:r>
              <w:rPr>
                <w:noProof/>
              </w:rPr>
              <w:t>2026</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4102DB0E" w14:textId="0D802B56" w:rsidR="008E6885" w:rsidRDefault="00EA24E7">
            <w:pPr>
              <w:pStyle w:val="P68B1DB1-Normal26"/>
              <w:jc w:val="both"/>
              <w:rPr>
                <w:rFonts w:eastAsia="Times New Roman" w:cs="Times New Roman"/>
                <w:noProof/>
              </w:rPr>
            </w:pPr>
            <w:r>
              <w:rPr>
                <w:noProof/>
              </w:rPr>
              <w:t>L’accord de mise en œuvre entre en vigueur et la Lettonie transfère 41 278 441 EUR à ALTUM pour la facilité.</w:t>
            </w:r>
          </w:p>
        </w:tc>
      </w:tr>
      <w:tr w:rsidR="008E6885" w14:paraId="474504F5"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33D8EE60" w14:textId="77777777" w:rsidR="008E6885" w:rsidRDefault="00EA24E7">
            <w:pPr>
              <w:pStyle w:val="P68B1DB1-Normal19"/>
              <w:spacing w:after="200" w:line="240" w:lineRule="auto"/>
              <w:rPr>
                <w:rFonts w:cs="Times New Roman"/>
                <w:noProof/>
              </w:rPr>
            </w:pPr>
            <w:r>
              <w:rPr>
                <w:noProof/>
              </w:rPr>
              <w:t>109b</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243D993E" w14:textId="77777777" w:rsidR="008E6885" w:rsidRDefault="00EA24E7">
            <w:pPr>
              <w:pStyle w:val="P68B1DB1-Normal17"/>
              <w:spacing w:after="200" w:line="240" w:lineRule="auto"/>
              <w:rPr>
                <w:rFonts w:cs="Times New Roman"/>
                <w:bCs/>
                <w:noProof/>
              </w:rPr>
            </w:pPr>
            <w:r>
              <w:rPr>
                <w:noProof/>
              </w:rPr>
              <w:t>3.1.1.7.i. Prêts aux promoteurs immobiliers pour la construction de logements à loyer modique</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6A2C941F" w14:textId="77777777" w:rsidR="008E6885" w:rsidRDefault="00EA24E7">
            <w:pPr>
              <w:pStyle w:val="P68B1DB1-Normal19"/>
              <w:spacing w:after="200" w:line="240" w:lineRule="auto"/>
              <w:rPr>
                <w:rFonts w:cs="Times New Roman"/>
                <w:noProof/>
              </w:rPr>
            </w:pPr>
            <w:r>
              <w:rPr>
                <w:noProof/>
              </w:rPr>
              <w:t>Objectif</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4B3B56BB" w14:textId="77777777" w:rsidR="008E6885" w:rsidRDefault="00EA24E7">
            <w:pPr>
              <w:pStyle w:val="P68B1DB1-Normal19"/>
              <w:rPr>
                <w:rFonts w:cs="Times New Roman"/>
                <w:noProof/>
              </w:rPr>
            </w:pPr>
            <w:r>
              <w:rPr>
                <w:noProof/>
              </w:rPr>
              <w:t>Accords juridiques signés avec les bénéficiaires finaux</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3E7B2C3C" w14:textId="77777777" w:rsidR="008E6885" w:rsidRDefault="00EA24E7">
            <w:pPr>
              <w:pStyle w:val="P68B1DB1-Normal19"/>
              <w:spacing w:after="200" w:line="240" w:lineRule="auto"/>
              <w:jc w:val="center"/>
              <w:rPr>
                <w:rFonts w:cs="Times New Roman"/>
                <w:noProof/>
              </w:rPr>
            </w:pPr>
            <w:r>
              <w:rPr>
                <w:noProof/>
              </w:rPr>
              <w:t>Sans objet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165CCDA5" w14:textId="77777777" w:rsidR="008E6885" w:rsidRDefault="00EA24E7">
            <w:pPr>
              <w:pStyle w:val="P68B1DB1-Normal19"/>
              <w:spacing w:after="200" w:line="240" w:lineRule="auto"/>
              <w:jc w:val="center"/>
              <w:rPr>
                <w:rFonts w:cs="Times New Roman"/>
                <w:noProof/>
              </w:rPr>
            </w:pPr>
            <w:r>
              <w:rPr>
                <w:noProof/>
              </w:rPr>
              <w:t>Pourcentage</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0149F03D" w14:textId="77777777" w:rsidR="008E6885" w:rsidRDefault="00EA24E7">
            <w:pPr>
              <w:pStyle w:val="P68B1DB1-Normal19"/>
              <w:spacing w:after="200" w:line="240" w:lineRule="auto"/>
              <w:jc w:val="center"/>
              <w:rPr>
                <w:rFonts w:cs="Times New Roman"/>
                <w:noProof/>
              </w:rPr>
            </w:pPr>
            <w:r>
              <w:rPr>
                <w:noProof/>
              </w:rPr>
              <w:t>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0C91F79B" w14:textId="77777777" w:rsidR="008E6885" w:rsidRDefault="00EA24E7">
            <w:pPr>
              <w:pStyle w:val="P68B1DB1-Normal19"/>
              <w:spacing w:after="200" w:line="240" w:lineRule="auto"/>
              <w:jc w:val="center"/>
              <w:rPr>
                <w:rFonts w:cs="Times New Roman"/>
                <w:noProof/>
              </w:rPr>
            </w:pPr>
            <w:r>
              <w:rPr>
                <w:noProof/>
              </w:rPr>
              <w:t>100%</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56D4A590" w14:textId="77777777" w:rsidR="008E6885" w:rsidRDefault="00EA24E7">
            <w:pPr>
              <w:pStyle w:val="P68B1DB1-Normal19"/>
              <w:spacing w:after="20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6E069C1" w14:textId="77777777" w:rsidR="008E6885" w:rsidRDefault="00EA24E7">
            <w:pPr>
              <w:pStyle w:val="P68B1DB1-Normal19"/>
              <w:spacing w:after="200" w:line="240" w:lineRule="auto"/>
              <w:jc w:val="center"/>
              <w:rPr>
                <w:rFonts w:cs="Times New Roman"/>
                <w:noProof/>
              </w:rPr>
            </w:pPr>
            <w:r>
              <w:rPr>
                <w:noProof/>
              </w:rPr>
              <w:t>2026</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5A45EA94" w14:textId="77777777" w:rsidR="008E6885" w:rsidRDefault="00EA24E7">
            <w:pPr>
              <w:pStyle w:val="P68B1DB1-Normal19"/>
              <w:spacing w:after="200"/>
              <w:jc w:val="both"/>
              <w:rPr>
                <w:rFonts w:cs="Times New Roman"/>
                <w:noProof/>
              </w:rPr>
            </w:pPr>
            <w:r>
              <w:rPr>
                <w:noProof/>
              </w:rPr>
              <w:t>ALTUM a conclu des conventions de financement juridiques avec les bénéficiaires finaux pour un montant nécessaire à l’utilisation de 100 % de l’investissement de la FRR dans la facilité (en tenant compte des frais de gestion).</w:t>
            </w:r>
          </w:p>
        </w:tc>
      </w:tr>
      <w:tr w:rsidR="008E6885" w14:paraId="08F344F7"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3DDC1900" w14:textId="77777777" w:rsidR="008E6885" w:rsidRDefault="00EA24E7">
            <w:pPr>
              <w:pStyle w:val="P68B1DB1-Normal19"/>
              <w:spacing w:before="120" w:after="120" w:line="240" w:lineRule="auto"/>
              <w:rPr>
                <w:rFonts w:cs="Times New Roman"/>
                <w:noProof/>
              </w:rPr>
            </w:pPr>
            <w:r>
              <w:rPr>
                <w:noProof/>
              </w:rPr>
              <w:t>110</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3FB7E15A" w14:textId="77777777" w:rsidR="008E6885" w:rsidRDefault="00EA24E7">
            <w:pPr>
              <w:pStyle w:val="P68B1DB1-Normal19"/>
              <w:spacing w:before="120" w:after="120" w:line="240" w:lineRule="auto"/>
              <w:rPr>
                <w:rFonts w:cs="Times New Roman"/>
                <w:noProof/>
              </w:rPr>
            </w:pPr>
            <w:r>
              <w:rPr>
                <w:b/>
                <w:noProof/>
              </w:rPr>
              <w:t>3.1.2.r. Accès aux services sociaux et de l'emploi à l'appui de la réforme du revenu minimum</w:t>
            </w:r>
            <w:r>
              <w:rPr>
                <w:noProof/>
              </w:rPr>
              <w:t xml:space="preserv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0C4D170F"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047A5A5E" w14:textId="77777777" w:rsidR="008E6885" w:rsidRDefault="00EA24E7">
            <w:pPr>
              <w:pStyle w:val="P68B1DB1-Normal19"/>
              <w:spacing w:before="120" w:after="120" w:line="240" w:lineRule="auto"/>
              <w:rPr>
                <w:rFonts w:cs="Times New Roman"/>
                <w:noProof/>
              </w:rPr>
            </w:pPr>
            <w:r>
              <w:rPr>
                <w:noProof/>
              </w:rPr>
              <w:t>Adoption du cadre stratégique pour la poursuite du développement du système d'aide au revenu minimum</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64E9794D" w14:textId="77777777" w:rsidR="008E6885" w:rsidRDefault="00EA24E7">
            <w:pPr>
              <w:pStyle w:val="P68B1DB1-Normal19"/>
              <w:spacing w:before="120" w:after="120" w:line="240" w:lineRule="auto"/>
              <w:rPr>
                <w:rFonts w:cs="Times New Roman"/>
                <w:noProof/>
              </w:rPr>
            </w:pPr>
            <w:r>
              <w:rPr>
                <w:noProof/>
              </w:rPr>
              <w:t xml:space="preserve">Le cadre stratégique pour la poursuite du développement du système d'aide au revenu minimum a été approuvé par le Conseil des ministres.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6BDF5ECE"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7344EAE3"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35F3EF97"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6A3B47B3"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F3A81AE" w14:textId="77777777" w:rsidR="008E6885" w:rsidRDefault="00EA24E7">
            <w:pPr>
              <w:pStyle w:val="P68B1DB1-Normal19"/>
              <w:spacing w:before="120" w:after="120" w:line="240" w:lineRule="auto"/>
              <w:jc w:val="center"/>
              <w:rPr>
                <w:rFonts w:cs="Times New Roman"/>
                <w:noProof/>
              </w:rPr>
            </w:pPr>
            <w:r>
              <w:rPr>
                <w:noProof/>
              </w:rPr>
              <w:t>2021</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028DE062" w14:textId="77777777" w:rsidR="008E6885" w:rsidRDefault="00EA24E7">
            <w:pPr>
              <w:pStyle w:val="P68B1DB1-Normal19"/>
              <w:spacing w:before="120" w:after="120" w:line="240" w:lineRule="auto"/>
              <w:jc w:val="both"/>
              <w:rPr>
                <w:rFonts w:cs="Times New Roman"/>
                <w:noProof/>
              </w:rPr>
            </w:pPr>
            <w:r>
              <w:rPr>
                <w:noProof/>
              </w:rPr>
              <w:t xml:space="preserve">Un cadre stratégique pour la poursuite du développement du système d’aide au revenu minimum a été élaboré et approuvé par le cabinet des ministres, qui comprend au moins: </w:t>
            </w:r>
          </w:p>
          <w:p w14:paraId="17E5BFEF" w14:textId="77777777" w:rsidR="008E6885" w:rsidRDefault="00EA24E7">
            <w:pPr>
              <w:pStyle w:val="P68B1DB1-Normal19"/>
              <w:spacing w:before="120" w:after="120" w:line="240" w:lineRule="auto"/>
              <w:jc w:val="both"/>
              <w:rPr>
                <w:rFonts w:cs="Times New Roman"/>
                <w:noProof/>
              </w:rPr>
            </w:pPr>
            <w:r>
              <w:rPr>
                <w:noProof/>
              </w:rPr>
              <w:t>plan d’amélioration du système d’aide au revenu minimum pour 2022-2024, en vue de renforcer la méthode de calcul du revenu minimum;</w:t>
            </w:r>
          </w:p>
          <w:p w14:paraId="6400ED5F" w14:textId="77777777" w:rsidR="008E6885" w:rsidRDefault="00EA24E7">
            <w:pPr>
              <w:pStyle w:val="P68B1DB1-Normal19"/>
              <w:spacing w:before="120" w:after="120" w:line="240" w:lineRule="auto"/>
              <w:jc w:val="both"/>
              <w:rPr>
                <w:rFonts w:cs="Times New Roman"/>
                <w:noProof/>
              </w:rPr>
            </w:pPr>
            <w:r>
              <w:rPr>
                <w:noProof/>
              </w:rPr>
              <w:t>- Lignes directrices pour la protection sociale et le marché du travail 2021-2027 visant à promouvoir l’inclusion sociale de la population, à réduire les inégalités de revenus et la pauvreté, à mettre en place des services sociaux accessibles et adaptés et à promouvoir un niveau élevé d’emploi dans un environnement de travail de qualité;</w:t>
            </w:r>
          </w:p>
          <w:p w14:paraId="129F332D" w14:textId="77777777" w:rsidR="008E6885" w:rsidRDefault="00EA24E7">
            <w:pPr>
              <w:pStyle w:val="P68B1DB1-Normal19"/>
              <w:spacing w:before="120" w:after="120" w:line="240" w:lineRule="auto"/>
              <w:jc w:val="both"/>
              <w:rPr>
                <w:rFonts w:cs="Times New Roman"/>
                <w:noProof/>
              </w:rPr>
            </w:pPr>
            <w:r>
              <w:rPr>
                <w:noProof/>
              </w:rPr>
              <w:t>Plan de développement des services sociaux 2021-2023, visant à améliorer la fourniture de services de proximité;</w:t>
            </w:r>
          </w:p>
          <w:p w14:paraId="007AFAC7" w14:textId="77777777" w:rsidR="008E6885" w:rsidRDefault="00EA24E7">
            <w:pPr>
              <w:pStyle w:val="P68B1DB1-Normal19"/>
              <w:spacing w:before="120" w:after="120" w:line="240" w:lineRule="auto"/>
              <w:jc w:val="both"/>
              <w:rPr>
                <w:rFonts w:cs="Times New Roman"/>
                <w:noProof/>
              </w:rPr>
            </w:pPr>
            <w:r>
              <w:rPr>
                <w:noProof/>
              </w:rPr>
              <w:t xml:space="preserve">Le plan de promotion de l’égalité des chances pour les personnes handicapées 2021-2023, qui vise à développer un système de soutien intégré répondant aux besoins des personnes handicapées. </w:t>
            </w:r>
          </w:p>
        </w:tc>
      </w:tr>
      <w:tr w:rsidR="008E6885" w14:paraId="7ADA8FDC"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77A972B2" w14:textId="77777777" w:rsidR="008E6885" w:rsidRDefault="00EA24E7">
            <w:pPr>
              <w:pStyle w:val="P68B1DB1-Normal19"/>
              <w:spacing w:before="120" w:after="120" w:line="240" w:lineRule="auto"/>
              <w:rPr>
                <w:rFonts w:cs="Times New Roman"/>
                <w:noProof/>
              </w:rPr>
            </w:pPr>
            <w:r>
              <w:rPr>
                <w:noProof/>
              </w:rPr>
              <w:t>111</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3AA2207F" w14:textId="77777777" w:rsidR="008E6885" w:rsidRDefault="00EA24E7">
            <w:pPr>
              <w:pStyle w:val="P68B1DB1-Normal19"/>
              <w:spacing w:before="120" w:after="120" w:line="240" w:lineRule="auto"/>
              <w:rPr>
                <w:rFonts w:cs="Times New Roman"/>
                <w:noProof/>
              </w:rPr>
            </w:pPr>
            <w:r>
              <w:rPr>
                <w:b/>
                <w:noProof/>
              </w:rPr>
              <w:t>3.1.2.r. Accès aux services sociaux et de l'emploi à l'appui de la réforme du revenu minimum</w:t>
            </w:r>
            <w:r>
              <w:rPr>
                <w:noProof/>
              </w:rPr>
              <w:t xml:space="preserv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78C573BC"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49F5FE10" w14:textId="77777777" w:rsidR="008E6885" w:rsidRDefault="00EA24E7">
            <w:pPr>
              <w:pStyle w:val="P68B1DB1-Normal19"/>
              <w:spacing w:before="120" w:after="120" w:line="240" w:lineRule="auto"/>
              <w:rPr>
                <w:rFonts w:cs="Times New Roman"/>
                <w:noProof/>
              </w:rPr>
            </w:pPr>
            <w:r>
              <w:rPr>
                <w:noProof/>
              </w:rPr>
              <w:t xml:space="preserve">Entrée en vigueur des modifications législatives visant à améliorer le système d’aide au revenu minimum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7D2094EF" w14:textId="77777777" w:rsidR="008E6885" w:rsidRDefault="00EA24E7">
            <w:pPr>
              <w:pStyle w:val="P68B1DB1-Normal19"/>
              <w:spacing w:before="120" w:after="120" w:line="240" w:lineRule="auto"/>
              <w:rPr>
                <w:rFonts w:cs="Times New Roman"/>
                <w:noProof/>
              </w:rPr>
            </w:pPr>
            <w:r>
              <w:rPr>
                <w:noProof/>
              </w:rPr>
              <w:t xml:space="preserve">Entrée en vigueur des modifications législatives visant à améliorer le système d’aide au revenu minimum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65FE8EF5"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71BF29D6"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4DB4F8F8"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32C0103F" w14:textId="77777777" w:rsidR="008E6885" w:rsidRDefault="00EA24E7">
            <w:pPr>
              <w:pStyle w:val="P68B1DB1-Normal19"/>
              <w:spacing w:before="120"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D3C05AD" w14:textId="77777777" w:rsidR="008E6885" w:rsidRDefault="00EA24E7">
            <w:pPr>
              <w:pStyle w:val="P68B1DB1-Normal19"/>
              <w:spacing w:before="120" w:after="120" w:line="240" w:lineRule="auto"/>
              <w:jc w:val="center"/>
              <w:rPr>
                <w:rFonts w:cs="Times New Roman"/>
                <w:noProof/>
              </w:rPr>
            </w:pPr>
            <w:r>
              <w:rPr>
                <w:noProof/>
              </w:rPr>
              <w:t>2023</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52B26795" w14:textId="77777777" w:rsidR="008E6885" w:rsidRDefault="00EA24E7">
            <w:pPr>
              <w:pStyle w:val="P68B1DB1-Normal19"/>
              <w:spacing w:before="120" w:after="120" w:line="240" w:lineRule="auto"/>
              <w:jc w:val="both"/>
              <w:rPr>
                <w:rFonts w:cs="Times New Roman"/>
                <w:noProof/>
              </w:rPr>
            </w:pPr>
            <w:r>
              <w:rPr>
                <w:noProof/>
              </w:rPr>
              <w:t xml:space="preserve">Entrée en vigueur des modifications législatives visant à améliorer le système d’aide au revenu minimum, qui comprennent: </w:t>
            </w:r>
          </w:p>
          <w:p w14:paraId="213C9FA4" w14:textId="77777777" w:rsidR="008E6885" w:rsidRDefault="00EA24E7">
            <w:pPr>
              <w:pStyle w:val="P68B1DB1-Normal19"/>
              <w:spacing w:before="120" w:after="120" w:line="240" w:lineRule="auto"/>
              <w:jc w:val="both"/>
              <w:rPr>
                <w:rFonts w:cs="Times New Roman"/>
                <w:noProof/>
              </w:rPr>
            </w:pPr>
            <w:r>
              <w:rPr>
                <w:noProof/>
              </w:rPr>
              <w:t xml:space="preserve">- un plancher du seuil de revenu minimum d'au moins 20 % du revenu médian; </w:t>
            </w:r>
          </w:p>
          <w:p w14:paraId="2DC50842" w14:textId="77777777" w:rsidR="008E6885" w:rsidRDefault="00EA24E7">
            <w:pPr>
              <w:pStyle w:val="P68B1DB1-Normal19"/>
              <w:spacing w:before="120" w:after="120" w:line="240" w:lineRule="auto"/>
              <w:jc w:val="both"/>
              <w:rPr>
                <w:rFonts w:cs="Times New Roman"/>
                <w:noProof/>
              </w:rPr>
            </w:pPr>
            <w:r>
              <w:rPr>
                <w:noProof/>
              </w:rPr>
              <w:t xml:space="preserve">- la procédure de révision des seuils de revenu minimum, qui doit avoir lieu sur une base annuelle (à partir de 2023), sur la base de l’évolution du revenu médian et en veillant à ce que les seuils de revenu minimum ne soient pas modifiés en cas de baisse du revenu médian. </w:t>
            </w:r>
          </w:p>
        </w:tc>
      </w:tr>
      <w:tr w:rsidR="008E6885" w14:paraId="59780401"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2DCDDA7E" w14:textId="77777777" w:rsidR="008E6885" w:rsidRDefault="00EA24E7">
            <w:pPr>
              <w:pStyle w:val="P68B1DB1-Normal19"/>
              <w:spacing w:before="120" w:after="120" w:line="240" w:lineRule="auto"/>
              <w:rPr>
                <w:rFonts w:cs="Times New Roman"/>
                <w:noProof/>
              </w:rPr>
            </w:pPr>
            <w:r>
              <w:rPr>
                <w:noProof/>
              </w:rPr>
              <w:t>112</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4D43D915" w14:textId="77777777" w:rsidR="008E6885" w:rsidRDefault="00EA24E7">
            <w:pPr>
              <w:pStyle w:val="P68B1DB1-Normal17"/>
              <w:spacing w:before="120" w:after="120" w:line="240" w:lineRule="auto"/>
              <w:rPr>
                <w:rFonts w:eastAsia="Times New Roman" w:cs="Times New Roman"/>
                <w:noProof/>
              </w:rPr>
            </w:pPr>
            <w:r>
              <w:rPr>
                <w:noProof/>
              </w:rPr>
              <w:t>3.1.2.1.i. Mesures visant à promouvoir l'accès aux services publics et à l'emploi pour les personnes souffrant de déficiences fonctionnelles</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3EEBD525"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785CB019" w14:textId="77777777" w:rsidR="008E6885" w:rsidRDefault="00EA24E7">
            <w:pPr>
              <w:pStyle w:val="P68B1DB1-Normal19"/>
              <w:spacing w:before="120" w:after="120" w:line="240" w:lineRule="auto"/>
              <w:rPr>
                <w:rFonts w:cs="Times New Roman"/>
                <w:noProof/>
              </w:rPr>
            </w:pPr>
            <w:r>
              <w:rPr>
                <w:noProof/>
              </w:rPr>
              <w:t>Sélection des bâtiments de l’État et des collectivités locales dans lesquels des adaptations environnementales doivent être effectuées</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16DCB01D" w14:textId="77777777" w:rsidR="008E6885" w:rsidRDefault="00EA24E7">
            <w:pPr>
              <w:pStyle w:val="P68B1DB1-Normal19"/>
              <w:spacing w:before="120" w:after="120" w:line="240" w:lineRule="auto"/>
              <w:rPr>
                <w:rFonts w:cs="Times New Roman"/>
                <w:noProof/>
              </w:rPr>
            </w:pPr>
            <w:r>
              <w:rPr>
                <w:noProof/>
              </w:rPr>
              <w:t xml:space="preserve">Adoption d'une liste de 63 bâtiments sélectionnés d'autorités publiques et locales dans lesquels des investissements doivent être réalisés pour adapter l'environnement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2B5CF3EC"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28065EBB"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176CF60A"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4A27A9C2" w14:textId="77777777" w:rsidR="008E6885" w:rsidRDefault="00EA24E7">
            <w:pPr>
              <w:pStyle w:val="P68B1DB1-Normal19"/>
              <w:spacing w:before="120"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EA8664B" w14:textId="77777777" w:rsidR="008E6885" w:rsidRDefault="00EA24E7">
            <w:pPr>
              <w:pStyle w:val="P68B1DB1-Normal19"/>
              <w:spacing w:before="120" w:after="120" w:line="240" w:lineRule="auto"/>
              <w:jc w:val="center"/>
              <w:rPr>
                <w:rFonts w:cs="Times New Roman"/>
                <w:noProof/>
              </w:rPr>
            </w:pPr>
            <w:r>
              <w:rPr>
                <w:noProof/>
              </w:rPr>
              <w:t>2022</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4D693DE3" w14:textId="77777777" w:rsidR="008E6885" w:rsidRDefault="00EA24E7">
            <w:pPr>
              <w:pStyle w:val="P68B1DB1-Normal19"/>
              <w:spacing w:before="120" w:after="120" w:line="240" w:lineRule="auto"/>
              <w:jc w:val="both"/>
              <w:rPr>
                <w:rFonts w:eastAsia="Times New Roman" w:cs="Times New Roman"/>
                <w:noProof/>
                <w:color w:val="000000"/>
              </w:rPr>
            </w:pPr>
            <w:r>
              <w:rPr>
                <w:noProof/>
              </w:rPr>
              <w:t xml:space="preserve">Pour la mise en œuvre des mesures d’accessibilité environnementale, 63 bâtiments publics d’État et locaux fournissant des services publics du secteur de la protection sociale ou des services sociaux municipaux doivent être sélectionnés (ces bâtiments doivent être inclus dans les règlements du cabinet des ministres). </w:t>
            </w:r>
            <w:r>
              <w:rPr>
                <w:noProof/>
                <w:color w:val="000000"/>
              </w:rPr>
              <w:t xml:space="preserve">L’investissement comprend des mesures visant à mettre en œuvre une norme minimale d’accessibilité: garantir l’accès à l’environnement et à l’information pour les personnes souffrant de déficiences fonctionnelles et les personnes handicapées. </w:t>
            </w:r>
          </w:p>
        </w:tc>
      </w:tr>
      <w:tr w:rsidR="008E6885" w14:paraId="2C240F79"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6C3E92B2" w14:textId="77777777" w:rsidR="008E6885" w:rsidRDefault="00EA24E7">
            <w:pPr>
              <w:pStyle w:val="P68B1DB1-Normal19"/>
              <w:spacing w:before="120" w:after="120" w:line="240" w:lineRule="auto"/>
              <w:rPr>
                <w:rFonts w:cs="Times New Roman"/>
                <w:noProof/>
              </w:rPr>
            </w:pPr>
            <w:r>
              <w:rPr>
                <w:noProof/>
              </w:rPr>
              <w:t>114</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378EABED" w14:textId="77777777" w:rsidR="008E6885" w:rsidRDefault="00EA24E7">
            <w:pPr>
              <w:pStyle w:val="P68B1DB1-Normal19"/>
              <w:spacing w:before="120" w:after="120" w:line="240" w:lineRule="auto"/>
              <w:rPr>
                <w:rFonts w:eastAsia="Times New Roman" w:cs="Times New Roman"/>
                <w:noProof/>
              </w:rPr>
            </w:pPr>
            <w:r>
              <w:rPr>
                <w:b/>
                <w:noProof/>
              </w:rPr>
              <w:t>3.1.2.1.i. Mesures visant à promouvoir l'accès aux services publics et à l'emploi pour les personnes souffrant de</w:t>
            </w:r>
            <w:r>
              <w:rPr>
                <w:noProof/>
              </w:rPr>
              <w:t xml:space="preserve"> </w:t>
            </w:r>
            <w:r>
              <w:rPr>
                <w:b/>
                <w:noProof/>
              </w:rPr>
              <w:t>déficiences fonctionnelles</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77668746" w14:textId="77777777" w:rsidR="008E6885" w:rsidRDefault="00EA24E7">
            <w:pPr>
              <w:pStyle w:val="P68B1DB1-Normal19"/>
              <w:spacing w:before="120" w:after="120" w:line="240" w:lineRule="auto"/>
              <w:rPr>
                <w:rFonts w:cs="Times New Roman"/>
                <w:noProof/>
              </w:rPr>
            </w:pPr>
            <w:r>
              <w:rPr>
                <w:noProof/>
              </w:rPr>
              <w:t xml:space="preserve">Objectif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33608303" w14:textId="77777777" w:rsidR="008E6885" w:rsidRDefault="00EA24E7">
            <w:pPr>
              <w:pStyle w:val="P68B1DB1-Normal19"/>
              <w:spacing w:before="120" w:after="120" w:line="240" w:lineRule="auto"/>
              <w:rPr>
                <w:rFonts w:cs="Times New Roman"/>
                <w:noProof/>
              </w:rPr>
            </w:pPr>
            <w:r>
              <w:rPr>
                <w:noProof/>
              </w:rPr>
              <w:t xml:space="preserve">Adaptation des bâtiments de l'État et des collectivités locales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188EEA3A" w14:textId="77777777" w:rsidR="008E6885" w:rsidRDefault="00EA24E7">
            <w:pPr>
              <w:pStyle w:val="P68B1DB1-Normal19"/>
              <w:spacing w:before="120" w:after="120" w:line="240" w:lineRule="auto"/>
              <w:rPr>
                <w:rFonts w:cs="Times New Roman"/>
                <w:noProof/>
              </w:rPr>
            </w:pPr>
            <w:r>
              <w:rPr>
                <w:noProof/>
              </w:rPr>
              <w:t xml:space="preserve">Sans objet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3DBC6845" w14:textId="77777777" w:rsidR="008E6885" w:rsidRDefault="00EA24E7">
            <w:pPr>
              <w:pStyle w:val="P68B1DB1-Normal19"/>
              <w:spacing w:before="120" w:after="120" w:line="240" w:lineRule="auto"/>
              <w:jc w:val="center"/>
              <w:rPr>
                <w:rFonts w:cs="Times New Roman"/>
                <w:noProof/>
              </w:rPr>
            </w:pPr>
            <w:r>
              <w:rPr>
                <w:noProof/>
              </w:rPr>
              <w:t>Nombre de bâtiments</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7FF8F78E" w14:textId="77777777" w:rsidR="008E6885" w:rsidRDefault="00EA24E7">
            <w:pPr>
              <w:pStyle w:val="P68B1DB1-Normal19"/>
              <w:spacing w:before="120" w:after="120" w:line="240" w:lineRule="auto"/>
              <w:jc w:val="center"/>
              <w:rPr>
                <w:rFonts w:cs="Times New Roman"/>
                <w:noProof/>
              </w:rPr>
            </w:pPr>
            <w:r>
              <w:rPr>
                <w:noProof/>
              </w:rPr>
              <w:t>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0D3DF049" w14:textId="77777777" w:rsidR="008E6885" w:rsidRDefault="00EA24E7">
            <w:pPr>
              <w:pStyle w:val="P68B1DB1-Normal19"/>
              <w:spacing w:before="120" w:after="120" w:line="240" w:lineRule="auto"/>
              <w:jc w:val="center"/>
              <w:rPr>
                <w:rFonts w:cs="Times New Roman"/>
                <w:noProof/>
              </w:rPr>
            </w:pPr>
            <w:r>
              <w:rPr>
                <w:noProof/>
              </w:rPr>
              <w:t>63</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C37D100"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459B47C" w14:textId="77777777" w:rsidR="008E6885" w:rsidRDefault="00EA24E7">
            <w:pPr>
              <w:pStyle w:val="P68B1DB1-Normal19"/>
              <w:spacing w:before="120" w:after="120" w:line="240" w:lineRule="auto"/>
              <w:jc w:val="center"/>
              <w:rPr>
                <w:rFonts w:cs="Times New Roman"/>
                <w:noProof/>
              </w:rPr>
            </w:pPr>
            <w:r>
              <w:rPr>
                <w:noProof/>
              </w:rPr>
              <w:t>2026</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206DB777" w14:textId="77777777" w:rsidR="008E6885" w:rsidRDefault="00EA24E7">
            <w:pPr>
              <w:pStyle w:val="P68B1DB1-Normal19"/>
              <w:spacing w:before="120" w:after="120" w:line="240" w:lineRule="auto"/>
              <w:jc w:val="both"/>
              <w:rPr>
                <w:rFonts w:cs="Times New Roman"/>
                <w:noProof/>
              </w:rPr>
            </w:pPr>
            <w:r>
              <w:rPr>
                <w:noProof/>
              </w:rPr>
              <w:t>Adaptation de l'accessibilité de 63 bâtiments de l'État et des collectivités locales.</w:t>
            </w:r>
          </w:p>
        </w:tc>
      </w:tr>
      <w:tr w:rsidR="008E6885" w14:paraId="624DF249"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7E72541E" w14:textId="77777777" w:rsidR="008E6885" w:rsidRDefault="00EA24E7">
            <w:pPr>
              <w:pStyle w:val="P68B1DB1-Normal19"/>
              <w:spacing w:before="120" w:after="120" w:line="240" w:lineRule="auto"/>
              <w:rPr>
                <w:rFonts w:cs="Times New Roman"/>
                <w:noProof/>
              </w:rPr>
            </w:pPr>
            <w:r>
              <w:rPr>
                <w:noProof/>
              </w:rPr>
              <w:t>115</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031207D3" w14:textId="77777777" w:rsidR="008E6885" w:rsidRDefault="00EA24E7">
            <w:pPr>
              <w:pStyle w:val="P68B1DB1-Normal19"/>
              <w:spacing w:before="120" w:after="120" w:line="240" w:lineRule="auto"/>
              <w:rPr>
                <w:rFonts w:eastAsia="Times New Roman" w:cs="Times New Roman"/>
                <w:noProof/>
              </w:rPr>
            </w:pPr>
            <w:r>
              <w:rPr>
                <w:b/>
                <w:noProof/>
              </w:rPr>
              <w:t>3.1.2.1.i. Mesures visant à promouvoir l'accès aux services publics et à l'emploi pour les personnes souffrant de</w:t>
            </w:r>
            <w:r>
              <w:rPr>
                <w:noProof/>
              </w:rPr>
              <w:t xml:space="preserve"> </w:t>
            </w:r>
            <w:r>
              <w:rPr>
                <w:b/>
                <w:noProof/>
              </w:rPr>
              <w:t>déficiences fonctionnelles</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65C2E61E"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0102FD26" w14:textId="77777777" w:rsidR="008E6885" w:rsidRDefault="00EA24E7">
            <w:pPr>
              <w:pStyle w:val="P68B1DB1-Normal19"/>
              <w:spacing w:before="120" w:after="120" w:line="240" w:lineRule="auto"/>
              <w:rPr>
                <w:rFonts w:cs="Times New Roman"/>
                <w:noProof/>
              </w:rPr>
            </w:pPr>
            <w:r>
              <w:rPr>
                <w:noProof/>
              </w:rPr>
              <w:t xml:space="preserve">Sélection du groupe cible pour adapter son logement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6AB642AA" w14:textId="77777777" w:rsidR="008E6885" w:rsidRDefault="00EA24E7">
            <w:pPr>
              <w:pStyle w:val="P68B1DB1-Normal19"/>
              <w:spacing w:before="120" w:after="120" w:line="240" w:lineRule="auto"/>
              <w:rPr>
                <w:rFonts w:cs="Times New Roman"/>
                <w:noProof/>
              </w:rPr>
            </w:pPr>
            <w:r>
              <w:rPr>
                <w:noProof/>
              </w:rPr>
              <w:t xml:space="preserve">Décisions des municipalités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6D2865DF"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41D919D1"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40C03FDE"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2A5EF26E" w14:textId="77777777" w:rsidR="008E6885" w:rsidRDefault="00EA24E7">
            <w:pPr>
              <w:pStyle w:val="P68B1DB1-Normal19"/>
              <w:spacing w:before="120"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7872414" w14:textId="77777777" w:rsidR="008E6885" w:rsidRDefault="00EA24E7">
            <w:pPr>
              <w:pStyle w:val="P68B1DB1-Normal19"/>
              <w:spacing w:before="120" w:after="120" w:line="240" w:lineRule="auto"/>
              <w:jc w:val="center"/>
              <w:rPr>
                <w:rFonts w:cs="Times New Roman"/>
                <w:noProof/>
              </w:rPr>
            </w:pPr>
            <w:r>
              <w:rPr>
                <w:noProof/>
              </w:rPr>
              <w:t>2024</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367FDCFF" w14:textId="77777777" w:rsidR="008E6885" w:rsidRDefault="00EA24E7">
            <w:pPr>
              <w:pStyle w:val="P68B1DB1-Normal19"/>
              <w:spacing w:before="120" w:after="120" w:line="240" w:lineRule="auto"/>
              <w:jc w:val="both"/>
              <w:rPr>
                <w:rFonts w:cs="Times New Roman"/>
                <w:noProof/>
              </w:rPr>
            </w:pPr>
            <w:r>
              <w:rPr>
                <w:noProof/>
              </w:rPr>
              <w:t xml:space="preserve">Décisions adoptées par les municipalités pour 250 personnes (adultes souffrant de handicaps graves ou très graves ou enfants handicapés) sélectionnées pour adapter leur logement. </w:t>
            </w:r>
          </w:p>
        </w:tc>
      </w:tr>
      <w:tr w:rsidR="008E6885" w14:paraId="782EE199"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6354B794" w14:textId="77777777" w:rsidR="008E6885" w:rsidRDefault="00EA24E7">
            <w:pPr>
              <w:pStyle w:val="P68B1DB1-Normal19"/>
              <w:spacing w:before="120" w:after="120" w:line="240" w:lineRule="auto"/>
              <w:rPr>
                <w:rFonts w:cs="Times New Roman"/>
                <w:noProof/>
              </w:rPr>
            </w:pPr>
            <w:r>
              <w:rPr>
                <w:noProof/>
              </w:rPr>
              <w:t>117</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44139988" w14:textId="77777777" w:rsidR="008E6885" w:rsidRDefault="00EA24E7">
            <w:pPr>
              <w:pStyle w:val="P68B1DB1-Normal17"/>
              <w:spacing w:before="120" w:after="120" w:line="240" w:lineRule="auto"/>
              <w:rPr>
                <w:rFonts w:eastAsia="Times New Roman" w:cs="Times New Roman"/>
                <w:noProof/>
              </w:rPr>
            </w:pPr>
            <w:r>
              <w:rPr>
                <w:noProof/>
              </w:rPr>
              <w:t>3.1.2.1.i. Mesures visant à promouvoir l'accès aux services publics et à l'emploi pour les personnes souffrant de déficiences fonctionnelles</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3EF5DE68" w14:textId="77777777" w:rsidR="008E6885" w:rsidRDefault="00EA24E7">
            <w:pPr>
              <w:pStyle w:val="P68B1DB1-Normal19"/>
              <w:spacing w:before="120" w:after="120" w:line="240" w:lineRule="auto"/>
              <w:rPr>
                <w:rFonts w:cs="Times New Roman"/>
                <w:noProof/>
              </w:rPr>
            </w:pPr>
            <w:r>
              <w:rPr>
                <w:noProof/>
              </w:rPr>
              <w:t xml:space="preserve">Objectif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79621A1D" w14:textId="6B696FB9" w:rsidR="008E6885" w:rsidRDefault="00EA24E7">
            <w:pPr>
              <w:pStyle w:val="P68B1DB1-Normal19"/>
              <w:spacing w:before="120" w:after="120" w:line="240" w:lineRule="auto"/>
              <w:rPr>
                <w:rFonts w:cs="Times New Roman"/>
                <w:noProof/>
              </w:rPr>
            </w:pPr>
            <w:r>
              <w:rPr>
                <w:noProof/>
              </w:rPr>
              <w:t>Adaptation du logement</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4390BEAD" w14:textId="77777777" w:rsidR="008E6885" w:rsidRDefault="00EA24E7">
            <w:pPr>
              <w:pStyle w:val="P68B1DB1-Normal19"/>
              <w:spacing w:before="120" w:after="120" w:line="240" w:lineRule="auto"/>
              <w:jc w:val="center"/>
              <w:rPr>
                <w:rFonts w:cs="Times New Roman"/>
                <w:noProof/>
              </w:rPr>
            </w:pPr>
            <w:r>
              <w:rPr>
                <w:noProof/>
              </w:rPr>
              <w:t>Sans objet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22EFBB4E" w14:textId="77777777" w:rsidR="008E6885" w:rsidRDefault="00EA24E7">
            <w:pPr>
              <w:pStyle w:val="P68B1DB1-Normal19"/>
              <w:spacing w:before="120" w:after="120" w:line="240" w:lineRule="auto"/>
              <w:jc w:val="center"/>
              <w:rPr>
                <w:rFonts w:cs="Times New Roman"/>
                <w:noProof/>
              </w:rPr>
            </w:pPr>
            <w:r>
              <w:rPr>
                <w:noProof/>
              </w:rPr>
              <w:t>Nombre de personnes</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61F16B9C" w14:textId="77777777" w:rsidR="008E6885" w:rsidRDefault="00EA24E7">
            <w:pPr>
              <w:pStyle w:val="P68B1DB1-Normal19"/>
              <w:spacing w:before="120" w:after="120" w:line="240" w:lineRule="auto"/>
              <w:jc w:val="center"/>
              <w:rPr>
                <w:rFonts w:cs="Times New Roman"/>
                <w:noProof/>
              </w:rPr>
            </w:pPr>
            <w:r>
              <w:rPr>
                <w:noProof/>
              </w:rPr>
              <w:t>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05BA3C6E" w14:textId="77777777" w:rsidR="008E6885" w:rsidRDefault="00EA24E7">
            <w:pPr>
              <w:pStyle w:val="P68B1DB1-Normal19"/>
              <w:spacing w:before="120" w:after="120" w:line="240" w:lineRule="auto"/>
              <w:jc w:val="center"/>
              <w:rPr>
                <w:rFonts w:cs="Times New Roman"/>
                <w:noProof/>
                <w:highlight w:val="yellow"/>
              </w:rPr>
            </w:pPr>
            <w:r>
              <w:rPr>
                <w:noProof/>
              </w:rPr>
              <w:t>228</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54AD0BFF"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DB20CC8" w14:textId="77777777" w:rsidR="008E6885" w:rsidRDefault="00EA24E7">
            <w:pPr>
              <w:pStyle w:val="P68B1DB1-Normal19"/>
              <w:spacing w:before="120" w:after="120" w:line="240" w:lineRule="auto"/>
              <w:jc w:val="center"/>
              <w:rPr>
                <w:rFonts w:cs="Times New Roman"/>
                <w:noProof/>
              </w:rPr>
            </w:pPr>
            <w:r>
              <w:rPr>
                <w:noProof/>
              </w:rPr>
              <w:t>2026</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02A111A7" w14:textId="77777777" w:rsidR="008E6885" w:rsidRDefault="00EA24E7">
            <w:pPr>
              <w:pStyle w:val="P68B1DB1-Normal19"/>
              <w:spacing w:before="120" w:after="120" w:line="240" w:lineRule="auto"/>
              <w:jc w:val="both"/>
              <w:rPr>
                <w:rFonts w:cs="Times New Roman"/>
                <w:noProof/>
              </w:rPr>
            </w:pPr>
            <w:r>
              <w:rPr>
                <w:noProof/>
              </w:rPr>
              <w:t xml:space="preserve">Adaptation de l'accessibilité des logements de 228 personnes. </w:t>
            </w:r>
          </w:p>
        </w:tc>
      </w:tr>
      <w:tr w:rsidR="008E6885" w14:paraId="2B6D1220"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399191B0" w14:textId="77777777" w:rsidR="008E6885" w:rsidRDefault="00EA24E7">
            <w:pPr>
              <w:pStyle w:val="P68B1DB1-Normal19"/>
              <w:spacing w:before="120" w:after="120" w:line="240" w:lineRule="auto"/>
              <w:rPr>
                <w:rFonts w:cs="Times New Roman"/>
                <w:noProof/>
              </w:rPr>
            </w:pPr>
            <w:r>
              <w:rPr>
                <w:noProof/>
              </w:rPr>
              <w:t>118</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208ED518" w14:textId="77777777" w:rsidR="008E6885" w:rsidRDefault="00EA24E7">
            <w:pPr>
              <w:pStyle w:val="P68B1DB1-Normal19"/>
              <w:spacing w:before="120" w:after="120" w:line="240" w:lineRule="auto"/>
              <w:rPr>
                <w:rFonts w:cs="Times New Roman"/>
                <w:noProof/>
              </w:rPr>
            </w:pPr>
            <w:r>
              <w:rPr>
                <w:b/>
                <w:noProof/>
              </w:rPr>
              <w:t>3.1.2.2.i. Développement d'un outil de prévision</w:t>
            </w:r>
            <w:r>
              <w:rPr>
                <w:noProof/>
              </w:rPr>
              <w:t xml:space="preserv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2291D07D"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4EF80BEC" w14:textId="77777777" w:rsidR="008E6885" w:rsidRDefault="00EA24E7">
            <w:pPr>
              <w:pStyle w:val="P68B1DB1-Normal19"/>
              <w:spacing w:before="120" w:after="120" w:line="240" w:lineRule="auto"/>
              <w:rPr>
                <w:rFonts w:cs="Times New Roman"/>
                <w:noProof/>
              </w:rPr>
            </w:pPr>
            <w:r>
              <w:rPr>
                <w:noProof/>
              </w:rPr>
              <w:t xml:space="preserve">Conclusion d'un contrat pour le développement d'algorithmes pour le modèle de prévision, l'élaboration de spécifications techniques pour le système d'information et la supervision du développement du système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1CEE45A3" w14:textId="77777777" w:rsidR="008E6885" w:rsidRDefault="00EA24E7">
            <w:pPr>
              <w:pStyle w:val="P68B1DB1-Normal19"/>
              <w:spacing w:before="120" w:after="120" w:line="240" w:lineRule="auto"/>
              <w:rPr>
                <w:rFonts w:cs="Times New Roman"/>
                <w:noProof/>
              </w:rPr>
            </w:pPr>
            <w:r>
              <w:rPr>
                <w:noProof/>
              </w:rPr>
              <w:t xml:space="preserve">Élaboration de spécifications techniques et conclusion d’un contrat pour le service de conseil impliquant des experts lettons et étrangers en matière d’économétrie et de modélisation mathématique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7BF23D14"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171E1151"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778B1D60"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2EF2DA9F"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5B9CB39" w14:textId="77777777" w:rsidR="008E6885" w:rsidRDefault="00EA24E7">
            <w:pPr>
              <w:pStyle w:val="P68B1DB1-Normal19"/>
              <w:spacing w:before="120" w:after="120" w:line="240" w:lineRule="auto"/>
              <w:jc w:val="center"/>
              <w:rPr>
                <w:rFonts w:cs="Times New Roman"/>
                <w:noProof/>
              </w:rPr>
            </w:pPr>
            <w:r>
              <w:rPr>
                <w:noProof/>
              </w:rPr>
              <w:t>2022</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1E28E124" w14:textId="77777777" w:rsidR="008E6885" w:rsidRDefault="00EA24E7">
            <w:pPr>
              <w:pStyle w:val="P68B1DB1-Normal19"/>
              <w:spacing w:before="120" w:after="120" w:line="240" w:lineRule="auto"/>
              <w:jc w:val="both"/>
              <w:rPr>
                <w:noProof/>
              </w:rPr>
            </w:pPr>
            <w:r>
              <w:rPr>
                <w:noProof/>
              </w:rPr>
              <w:t>Attribution d'un marché à la suite d'un concours à:</w:t>
            </w:r>
          </w:p>
          <w:p w14:paraId="3129841C" w14:textId="77777777" w:rsidR="008E6885" w:rsidRDefault="00EA24E7">
            <w:pPr>
              <w:pStyle w:val="P68B1DB1-ListParagraph27"/>
              <w:numPr>
                <w:ilvl w:val="0"/>
                <w:numId w:val="38"/>
              </w:numPr>
              <w:spacing w:before="120" w:after="120" w:line="240" w:lineRule="auto"/>
              <w:ind w:left="92" w:hanging="92"/>
              <w:jc w:val="both"/>
              <w:rPr>
                <w:rFonts w:cs="Times New Roman"/>
                <w:noProof/>
              </w:rPr>
            </w:pPr>
            <w:r>
              <w:rPr>
                <w:noProof/>
              </w:rPr>
              <w:t>élaborer un modèle économétrique et une méthodologie pour la prévision à long terme du soutien social, y compris les retraites;</w:t>
            </w:r>
          </w:p>
          <w:p w14:paraId="3CCAD46A" w14:textId="77777777" w:rsidR="008E6885" w:rsidRDefault="00EA24E7">
            <w:pPr>
              <w:pStyle w:val="P68B1DB1-ListParagraph27"/>
              <w:numPr>
                <w:ilvl w:val="0"/>
                <w:numId w:val="38"/>
              </w:numPr>
              <w:spacing w:before="120" w:after="120" w:line="240" w:lineRule="auto"/>
              <w:ind w:left="92" w:hanging="92"/>
              <w:jc w:val="both"/>
              <w:rPr>
                <w:rFonts w:cs="Times New Roman"/>
                <w:noProof/>
              </w:rPr>
            </w:pPr>
            <w:r>
              <w:rPr>
                <w:noProof/>
              </w:rPr>
              <w:t>établir des spécifications techniques pour le développement d'un système d'information;</w:t>
            </w:r>
          </w:p>
          <w:p w14:paraId="6B65FD0E" w14:textId="7DE45CD8" w:rsidR="008E6885" w:rsidRDefault="00EA24E7">
            <w:pPr>
              <w:pStyle w:val="P68B1DB1-ListParagraph27"/>
              <w:numPr>
                <w:ilvl w:val="0"/>
                <w:numId w:val="38"/>
              </w:numPr>
              <w:spacing w:before="120" w:after="120" w:line="240" w:lineRule="auto"/>
              <w:ind w:left="92" w:hanging="92"/>
              <w:jc w:val="both"/>
              <w:rPr>
                <w:rFonts w:cs="Times New Roman"/>
                <w:noProof/>
              </w:rPr>
            </w:pPr>
            <w:r>
              <w:rPr>
                <w:noProof/>
              </w:rPr>
              <w:t>suivre l'évolution du système.</w:t>
            </w:r>
          </w:p>
          <w:p w14:paraId="110A0C84" w14:textId="77777777" w:rsidR="008E6885" w:rsidRDefault="00EA24E7">
            <w:pPr>
              <w:pStyle w:val="P68B1DB1-Normal19"/>
              <w:spacing w:before="120" w:after="120" w:line="240" w:lineRule="auto"/>
              <w:jc w:val="both"/>
              <w:rPr>
                <w:rFonts w:cs="Times New Roman"/>
                <w:noProof/>
              </w:rPr>
            </w:pPr>
            <w:r>
              <w:rPr>
                <w:noProof/>
              </w:rPr>
              <w:t>Le contrat conclu comporte un calendrier pour les éléments livrables suivants:</w:t>
            </w:r>
          </w:p>
          <w:p w14:paraId="7292BF26" w14:textId="77777777" w:rsidR="008E6885" w:rsidRDefault="00EA24E7">
            <w:pPr>
              <w:pStyle w:val="P68B1DB1-ListParagraph27"/>
              <w:numPr>
                <w:ilvl w:val="0"/>
                <w:numId w:val="39"/>
              </w:numPr>
              <w:spacing w:before="120" w:after="120" w:line="240" w:lineRule="auto"/>
              <w:ind w:left="92" w:hanging="92"/>
              <w:jc w:val="both"/>
              <w:rPr>
                <w:rFonts w:cs="Times New Roman"/>
                <w:noProof/>
              </w:rPr>
            </w:pPr>
            <w:r>
              <w:rPr>
                <w:noProof/>
              </w:rPr>
              <w:t>un rapport d'évaluation sur la situation actuelle;</w:t>
            </w:r>
          </w:p>
          <w:p w14:paraId="064253BC" w14:textId="77777777" w:rsidR="008E6885" w:rsidRDefault="00EA24E7">
            <w:pPr>
              <w:pStyle w:val="P68B1DB1-ListParagraph27"/>
              <w:numPr>
                <w:ilvl w:val="0"/>
                <w:numId w:val="39"/>
              </w:numPr>
              <w:spacing w:before="120" w:after="120" w:line="240" w:lineRule="auto"/>
              <w:ind w:left="92" w:hanging="92"/>
              <w:jc w:val="both"/>
              <w:rPr>
                <w:rFonts w:cs="Times New Roman"/>
                <w:noProof/>
              </w:rPr>
            </w:pPr>
            <w:r>
              <w:rPr>
                <w:noProof/>
              </w:rPr>
              <w:t>un modèle mathématique pour la prévision des retraites;</w:t>
            </w:r>
          </w:p>
          <w:p w14:paraId="2045D9B4" w14:textId="77777777" w:rsidR="008E6885" w:rsidRDefault="00EA24E7">
            <w:pPr>
              <w:pStyle w:val="P68B1DB1-ListParagraph27"/>
              <w:numPr>
                <w:ilvl w:val="0"/>
                <w:numId w:val="39"/>
              </w:numPr>
              <w:spacing w:before="120" w:after="120" w:line="240" w:lineRule="auto"/>
              <w:ind w:left="92" w:hanging="92"/>
              <w:jc w:val="both"/>
              <w:rPr>
                <w:rFonts w:cs="Times New Roman"/>
                <w:noProof/>
              </w:rPr>
            </w:pPr>
            <w:r>
              <w:rPr>
                <w:noProof/>
              </w:rPr>
              <w:t>évaluation de l'outil de prévision actuel et de son potentiel;</w:t>
            </w:r>
          </w:p>
          <w:p w14:paraId="427FB8A1" w14:textId="77777777" w:rsidR="008E6885" w:rsidRDefault="00EA24E7">
            <w:pPr>
              <w:pStyle w:val="P68B1DB1-ListParagraph27"/>
              <w:numPr>
                <w:ilvl w:val="0"/>
                <w:numId w:val="39"/>
              </w:numPr>
              <w:spacing w:before="120" w:after="120" w:line="240" w:lineRule="auto"/>
              <w:ind w:left="92" w:hanging="92"/>
              <w:jc w:val="both"/>
              <w:rPr>
                <w:rFonts w:cs="Times New Roman"/>
                <w:noProof/>
              </w:rPr>
            </w:pPr>
            <w:r>
              <w:rPr>
                <w:noProof/>
              </w:rPr>
              <w:t>les spécifications techniques pour le développement d'un système d'information;</w:t>
            </w:r>
          </w:p>
          <w:p w14:paraId="15424C12" w14:textId="1E1C65F2" w:rsidR="008E6885" w:rsidRDefault="00EA24E7">
            <w:pPr>
              <w:pStyle w:val="P68B1DB1-ListParagraph27"/>
              <w:numPr>
                <w:ilvl w:val="0"/>
                <w:numId w:val="39"/>
              </w:numPr>
              <w:spacing w:before="120" w:after="120" w:line="240" w:lineRule="auto"/>
              <w:ind w:left="92" w:hanging="92"/>
              <w:jc w:val="both"/>
              <w:rPr>
                <w:rFonts w:cs="Times New Roman"/>
                <w:noProof/>
              </w:rPr>
            </w:pPr>
            <w:r>
              <w:rPr>
                <w:noProof/>
              </w:rPr>
              <w:t>suivi du développement du système d'information tout au long du projet.</w:t>
            </w:r>
          </w:p>
        </w:tc>
      </w:tr>
      <w:tr w:rsidR="008E6885" w14:paraId="2C4DB423"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125D2953" w14:textId="77777777" w:rsidR="008E6885" w:rsidRDefault="00EA24E7">
            <w:pPr>
              <w:pStyle w:val="P68B1DB1-Normal19"/>
              <w:spacing w:before="120" w:after="120" w:line="240" w:lineRule="auto"/>
              <w:rPr>
                <w:rFonts w:cs="Times New Roman"/>
                <w:noProof/>
              </w:rPr>
            </w:pPr>
            <w:r>
              <w:rPr>
                <w:noProof/>
              </w:rPr>
              <w:t>119</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1B070482" w14:textId="77777777" w:rsidR="008E6885" w:rsidRDefault="00EA24E7">
            <w:pPr>
              <w:pStyle w:val="P68B1DB1-Normal19"/>
              <w:spacing w:before="120" w:after="120" w:line="240" w:lineRule="auto"/>
              <w:rPr>
                <w:rFonts w:cs="Times New Roman"/>
                <w:noProof/>
              </w:rPr>
            </w:pPr>
            <w:r>
              <w:rPr>
                <w:b/>
                <w:noProof/>
              </w:rPr>
              <w:t>3.1.2.2.i. Développement d'un outil de prévision</w:t>
            </w:r>
            <w:r>
              <w:rPr>
                <w:noProof/>
              </w:rPr>
              <w:t xml:space="preserv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7744C145"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23B7704D" w14:textId="77777777" w:rsidR="008E6885" w:rsidRDefault="00EA24E7">
            <w:pPr>
              <w:pStyle w:val="P68B1DB1-Normal19"/>
              <w:spacing w:before="120" w:after="120" w:line="240" w:lineRule="auto"/>
              <w:rPr>
                <w:rFonts w:cs="Times New Roman"/>
                <w:noProof/>
              </w:rPr>
            </w:pPr>
            <w:r>
              <w:rPr>
                <w:noProof/>
              </w:rPr>
              <w:t xml:space="preserve">Achèvement des spécifications techniques pour le système d'information de l'outil de prévision de la sécurité sociale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4F5BF3BE" w14:textId="77777777" w:rsidR="008E6885" w:rsidRDefault="00EA24E7">
            <w:pPr>
              <w:pStyle w:val="P68B1DB1-Normal19"/>
              <w:spacing w:before="120" w:after="120" w:line="240" w:lineRule="auto"/>
              <w:rPr>
                <w:rFonts w:cs="Times New Roman"/>
                <w:noProof/>
              </w:rPr>
            </w:pPr>
            <w:r>
              <w:rPr>
                <w:noProof/>
              </w:rPr>
              <w:t xml:space="preserve">Spécifications techniques approuvées par le ministère de la protection sociale et prêtes à être soumises au développeur du système d’information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15A29B97"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1A37A1FC"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634E07E0"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43911995"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08F309D" w14:textId="77777777" w:rsidR="008E6885" w:rsidRDefault="00EA24E7">
            <w:pPr>
              <w:pStyle w:val="P68B1DB1-Normal19"/>
              <w:spacing w:before="120" w:after="120" w:line="240" w:lineRule="auto"/>
              <w:jc w:val="center"/>
              <w:rPr>
                <w:rFonts w:cs="Times New Roman"/>
                <w:noProof/>
              </w:rPr>
            </w:pPr>
            <w:r>
              <w:rPr>
                <w:noProof/>
              </w:rPr>
              <w:t>2024</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0048B574" w14:textId="77777777" w:rsidR="008E6885" w:rsidRDefault="00EA24E7">
            <w:pPr>
              <w:pStyle w:val="P68B1DB1-Normal19"/>
              <w:spacing w:before="120" w:after="120" w:line="240" w:lineRule="auto"/>
              <w:jc w:val="both"/>
              <w:rPr>
                <w:rFonts w:cs="Times New Roman"/>
                <w:noProof/>
              </w:rPr>
            </w:pPr>
            <w:r>
              <w:rPr>
                <w:noProof/>
              </w:rPr>
              <w:t>Achèvement des spécifications techniques pour un nouveau système d'information sur les outils de prévision de la sécurité sociale. Les spécifications techniques comprennent:</w:t>
            </w:r>
          </w:p>
          <w:p w14:paraId="0065E262" w14:textId="77777777" w:rsidR="008E6885" w:rsidRDefault="00EA24E7">
            <w:pPr>
              <w:pStyle w:val="P68B1DB1-Normal19"/>
              <w:spacing w:before="120" w:after="120" w:line="240" w:lineRule="auto"/>
              <w:jc w:val="both"/>
              <w:rPr>
                <w:rFonts w:cs="Times New Roman"/>
                <w:noProof/>
              </w:rPr>
            </w:pPr>
            <w:r>
              <w:rPr>
                <w:noProof/>
              </w:rPr>
              <w:t>- un rapport d'évaluation sur l'outil de prévision actuel et ses options et recommandations pour le développement du nouvel outil de prévision;</w:t>
            </w:r>
          </w:p>
          <w:p w14:paraId="5FAA88C4" w14:textId="77777777" w:rsidR="008E6885" w:rsidRDefault="00EA24E7">
            <w:pPr>
              <w:pStyle w:val="P68B1DB1-Normal19"/>
              <w:spacing w:before="120" w:after="120" w:line="240" w:lineRule="auto"/>
              <w:jc w:val="both"/>
              <w:rPr>
                <w:rFonts w:cs="Times New Roman"/>
                <w:noProof/>
              </w:rPr>
            </w:pPr>
            <w:r>
              <w:rPr>
                <w:noProof/>
              </w:rPr>
              <w:t>- les spécifications techniques pour le développement du système (la spécification technique comprendra également une exigence pour l'application de la méthodologie Agile pendant les phases de développement du système).</w:t>
            </w:r>
          </w:p>
        </w:tc>
      </w:tr>
      <w:tr w:rsidR="008E6885" w14:paraId="1BD8F660"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3C047AFB" w14:textId="77777777" w:rsidR="008E6885" w:rsidRDefault="00EA24E7">
            <w:pPr>
              <w:pStyle w:val="P68B1DB1-Normal19"/>
              <w:spacing w:before="120" w:after="120" w:line="240" w:lineRule="auto"/>
              <w:rPr>
                <w:rFonts w:cs="Times New Roman"/>
                <w:noProof/>
              </w:rPr>
            </w:pPr>
            <w:r>
              <w:rPr>
                <w:noProof/>
              </w:rPr>
              <w:t>120</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12EEC7FA" w14:textId="77777777" w:rsidR="008E6885" w:rsidRDefault="00EA24E7">
            <w:pPr>
              <w:pStyle w:val="P68B1DB1-Normal19"/>
              <w:spacing w:before="120" w:after="120" w:line="240" w:lineRule="auto"/>
              <w:rPr>
                <w:rFonts w:cs="Times New Roman"/>
                <w:noProof/>
              </w:rPr>
            </w:pPr>
            <w:r>
              <w:rPr>
                <w:b/>
                <w:noProof/>
              </w:rPr>
              <w:t>3.1.2.2.i. Développement d'un outil de prévision</w:t>
            </w:r>
            <w:r>
              <w:rPr>
                <w:noProof/>
              </w:rPr>
              <w:t xml:space="preserv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6D7A7EA9"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0F5A061E" w14:textId="46EFF4A8" w:rsidR="008E6885" w:rsidRDefault="00EA24E7">
            <w:pPr>
              <w:pStyle w:val="P68B1DB1-Normal19"/>
              <w:spacing w:before="120" w:after="120" w:line="240" w:lineRule="auto"/>
              <w:rPr>
                <w:rFonts w:cs="Times New Roman"/>
                <w:noProof/>
              </w:rPr>
            </w:pPr>
            <w:r>
              <w:rPr>
                <w:noProof/>
              </w:rPr>
              <w:t>Développement d'un outil de prévision</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0BA975F5" w14:textId="77777777" w:rsidR="008E6885" w:rsidRDefault="00EA24E7">
            <w:pPr>
              <w:pStyle w:val="P68B1DB1-Normal19"/>
              <w:spacing w:before="120" w:after="120" w:line="240" w:lineRule="auto"/>
              <w:rPr>
                <w:rFonts w:cs="Times New Roman"/>
                <w:noProof/>
              </w:rPr>
            </w:pPr>
            <w:r>
              <w:rPr>
                <w:noProof/>
              </w:rPr>
              <w:t xml:space="preserve">Système d'information pour la prévision à long terme du système de sécurité sociale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7F1EEF4C"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60CF38C2"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08C157F3"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7C57C736" w14:textId="77777777" w:rsidR="008E6885" w:rsidRDefault="00EA24E7">
            <w:pPr>
              <w:pStyle w:val="P68B1DB1-Normal19"/>
              <w:spacing w:before="120"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E825CD3" w14:textId="77777777" w:rsidR="008E6885" w:rsidRDefault="00EA24E7">
            <w:pPr>
              <w:pStyle w:val="P68B1DB1-Normal19"/>
              <w:spacing w:before="120" w:after="120" w:line="240" w:lineRule="auto"/>
              <w:jc w:val="center"/>
              <w:rPr>
                <w:rFonts w:cs="Times New Roman"/>
                <w:noProof/>
              </w:rPr>
            </w:pPr>
            <w:r>
              <w:rPr>
                <w:noProof/>
              </w:rPr>
              <w:t>2026</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7A2FEE61" w14:textId="77777777" w:rsidR="008E6885" w:rsidRDefault="00EA24E7">
            <w:pPr>
              <w:pStyle w:val="P68B1DB1-Normal19"/>
              <w:spacing w:before="120" w:after="120" w:line="240" w:lineRule="auto"/>
              <w:jc w:val="both"/>
              <w:rPr>
                <w:rFonts w:cs="Times New Roman"/>
                <w:noProof/>
              </w:rPr>
            </w:pPr>
            <w:r>
              <w:rPr>
                <w:noProof/>
              </w:rPr>
              <w:t>L'acte de transfert entre le ministère de la protection sociale et le développeur du logiciel est signé pour un système d'information pour la prévision à long terme du système de sécurité sociale.</w:t>
            </w:r>
          </w:p>
        </w:tc>
      </w:tr>
      <w:tr w:rsidR="008E6885" w14:paraId="687261E9"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6D709385" w14:textId="77777777" w:rsidR="008E6885" w:rsidRDefault="00EA24E7">
            <w:pPr>
              <w:pStyle w:val="P68B1DB1-Normal19"/>
              <w:spacing w:before="120" w:after="120" w:line="240" w:lineRule="auto"/>
              <w:rPr>
                <w:rFonts w:cs="Times New Roman"/>
                <w:noProof/>
              </w:rPr>
            </w:pPr>
            <w:r>
              <w:rPr>
                <w:noProof/>
              </w:rPr>
              <w:t>121</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12D83C92" w14:textId="77777777" w:rsidR="008E6885" w:rsidRDefault="00EA24E7">
            <w:pPr>
              <w:pStyle w:val="P68B1DB1-Normal19"/>
              <w:spacing w:before="120" w:after="120" w:line="240" w:lineRule="auto"/>
              <w:rPr>
                <w:rFonts w:cs="Times New Roman"/>
                <w:noProof/>
              </w:rPr>
            </w:pPr>
            <w:r>
              <w:rPr>
                <w:b/>
                <w:noProof/>
              </w:rPr>
              <w:t>3.1.2.3.i. Résilience et continuité du service d'aide sociale de longue durée</w:t>
            </w:r>
            <w:r>
              <w:rPr>
                <w:noProof/>
              </w:rPr>
              <w:t xml:space="preserv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0C986C35"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4E7BE573" w14:textId="7E89B2F6" w:rsidR="008E6885" w:rsidRDefault="00EA24E7">
            <w:pPr>
              <w:pStyle w:val="P68B1DB1-Normal19"/>
              <w:spacing w:before="120" w:after="120" w:line="240" w:lineRule="auto"/>
              <w:rPr>
                <w:rFonts w:cs="Times New Roman"/>
                <w:noProof/>
              </w:rPr>
            </w:pPr>
            <w:r>
              <w:rPr>
                <w:noProof/>
              </w:rPr>
              <w:t>Développement d'une conception de construction standard</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021E4F76" w14:textId="77777777" w:rsidR="008E6885" w:rsidRDefault="00EA24E7">
            <w:pPr>
              <w:pStyle w:val="P68B1DB1-Normal19"/>
              <w:spacing w:before="120" w:after="120" w:line="240" w:lineRule="auto"/>
              <w:rPr>
                <w:rFonts w:cs="Times New Roman"/>
                <w:noProof/>
              </w:rPr>
            </w:pPr>
            <w:r>
              <w:rPr>
                <w:noProof/>
              </w:rPr>
              <w:t xml:space="preserve">Exigences de la tâche de conception et de la conception de construction standard élaborées pour la fourniture de services de soins de longue durée proches de l’environnement familial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5FDB1DCF"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74137407"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29571B9E"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0DCB459B"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A3A108B" w14:textId="77777777" w:rsidR="008E6885" w:rsidRDefault="00EA24E7">
            <w:pPr>
              <w:pStyle w:val="P68B1DB1-Normal19"/>
              <w:spacing w:before="120" w:after="120" w:line="240" w:lineRule="auto"/>
              <w:jc w:val="center"/>
              <w:rPr>
                <w:rFonts w:cs="Times New Roman"/>
                <w:noProof/>
              </w:rPr>
            </w:pPr>
            <w:r>
              <w:rPr>
                <w:noProof/>
              </w:rPr>
              <w:t>2022</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3099780B" w14:textId="77777777" w:rsidR="008E6885" w:rsidRDefault="00EA24E7">
            <w:pPr>
              <w:pStyle w:val="P68B1DB1-Normal19"/>
              <w:spacing w:before="120" w:after="120" w:line="240" w:lineRule="auto"/>
              <w:jc w:val="both"/>
              <w:rPr>
                <w:rFonts w:cs="Times New Roman"/>
                <w:noProof/>
              </w:rPr>
            </w:pPr>
            <w:r>
              <w:rPr>
                <w:noProof/>
              </w:rPr>
              <w:t>Un plan de construction standard pour la construction des bâtiments nécessaires à la fourniture de services de soins de longue durée proches du milieu familial a été adopté par le ministère de la protection sociale.</w:t>
            </w:r>
          </w:p>
          <w:p w14:paraId="0A9F05C8" w14:textId="03A370B8" w:rsidR="008E6885" w:rsidRDefault="00EA24E7">
            <w:pPr>
              <w:pStyle w:val="P68B1DB1-Normal19"/>
              <w:spacing w:before="120" w:after="120" w:line="240" w:lineRule="auto"/>
              <w:jc w:val="both"/>
              <w:rPr>
                <w:rFonts w:cs="Times New Roman"/>
                <w:noProof/>
              </w:rPr>
            </w:pPr>
            <w:r>
              <w:rPr>
                <w:noProof/>
              </w:rPr>
              <w:t>La conception de la construction est destinée à la construction de bâtiments à haute efficacité énergétique (bâtiments dont la consommation d’énergie est quasi nulle).</w:t>
            </w:r>
          </w:p>
          <w:p w14:paraId="11AD7D96" w14:textId="77777777" w:rsidR="008E6885" w:rsidRDefault="00EA24E7">
            <w:pPr>
              <w:pStyle w:val="P68B1DB1-Normal19"/>
              <w:spacing w:before="120" w:after="120" w:line="240" w:lineRule="auto"/>
              <w:jc w:val="both"/>
              <w:rPr>
                <w:rFonts w:cs="Times New Roman"/>
                <w:noProof/>
              </w:rPr>
            </w:pPr>
            <w:r>
              <w:rPr>
                <w:noProof/>
              </w:rPr>
              <w:t>Les municipalités doivent être en possession d'un projet de construction standard déjà prêt, réduisant ainsi les coûts du projet.</w:t>
            </w:r>
          </w:p>
          <w:p w14:paraId="47B7923F" w14:textId="77777777" w:rsidR="008E6885" w:rsidRDefault="00EA24E7">
            <w:pPr>
              <w:pStyle w:val="P68B1DB1-Normal19"/>
              <w:spacing w:before="120" w:after="120" w:line="240" w:lineRule="auto"/>
              <w:jc w:val="both"/>
              <w:rPr>
                <w:rFonts w:cs="Times New Roman"/>
                <w:noProof/>
              </w:rPr>
            </w:pPr>
            <w:r>
              <w:rPr>
                <w:noProof/>
              </w:rPr>
              <w:t>La simplification de la mise en œuvre des projets pour les municipalités réduit les risques de retards dans la mise en œuvre</w:t>
            </w:r>
            <w:r>
              <w:rPr>
                <w:noProof/>
                <w:color w:val="2B579A"/>
              </w:rPr>
              <w:t xml:space="preserve"> des projets.</w:t>
            </w:r>
          </w:p>
        </w:tc>
      </w:tr>
      <w:tr w:rsidR="008E6885" w14:paraId="47057C55"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07231E7C" w14:textId="77777777" w:rsidR="008E6885" w:rsidRDefault="00EA24E7">
            <w:pPr>
              <w:pStyle w:val="P68B1DB1-Normal19"/>
              <w:spacing w:before="120" w:after="120" w:line="240" w:lineRule="auto"/>
              <w:rPr>
                <w:rFonts w:cs="Times New Roman"/>
                <w:noProof/>
              </w:rPr>
            </w:pPr>
            <w:r>
              <w:rPr>
                <w:noProof/>
              </w:rPr>
              <w:t>122</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695531AB" w14:textId="77777777" w:rsidR="008E6885" w:rsidRDefault="00EA24E7">
            <w:pPr>
              <w:pStyle w:val="P68B1DB1-Normal19"/>
              <w:spacing w:before="120" w:after="120" w:line="240" w:lineRule="auto"/>
              <w:rPr>
                <w:rFonts w:cs="Times New Roman"/>
                <w:noProof/>
              </w:rPr>
            </w:pPr>
            <w:r>
              <w:rPr>
                <w:b/>
                <w:noProof/>
              </w:rPr>
              <w:t>3.1.2.3.i. Résilience et continuité du service d'aide sociale de longue durée</w:t>
            </w:r>
            <w:r>
              <w:rPr>
                <w:noProof/>
              </w:rPr>
              <w:t xml:space="preserv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045F56EC" w14:textId="77777777" w:rsidR="008E6885" w:rsidRDefault="00EA24E7">
            <w:pPr>
              <w:pStyle w:val="P68B1DB1-Normal19"/>
              <w:spacing w:before="120" w:after="120" w:line="240" w:lineRule="auto"/>
              <w:rPr>
                <w:rFonts w:cs="Times New Roman"/>
                <w:noProof/>
              </w:rPr>
            </w:pPr>
            <w:r>
              <w:rPr>
                <w:noProof/>
              </w:rPr>
              <w:t xml:space="preserve">Objectif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5896617E" w14:textId="77777777" w:rsidR="008E6885" w:rsidRDefault="00EA24E7">
            <w:pPr>
              <w:pStyle w:val="P68B1DB1-Normal19"/>
              <w:spacing w:before="120" w:after="120" w:line="240" w:lineRule="auto"/>
              <w:rPr>
                <w:rFonts w:cs="Times New Roman"/>
                <w:noProof/>
              </w:rPr>
            </w:pPr>
            <w:r>
              <w:rPr>
                <w:noProof/>
              </w:rPr>
              <w:t xml:space="preserve">Conclusion de contrats sur la mise en œuvre de projets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1C26FCBC" w14:textId="77777777" w:rsidR="008E6885" w:rsidRDefault="00EA24E7">
            <w:pPr>
              <w:pStyle w:val="P68B1DB1-Normal19"/>
              <w:spacing w:before="120" w:after="120" w:line="240" w:lineRule="auto"/>
              <w:jc w:val="center"/>
              <w:rPr>
                <w:rFonts w:cs="Times New Roman"/>
                <w:noProof/>
              </w:rPr>
            </w:pPr>
            <w:r>
              <w:rPr>
                <w:noProof/>
              </w:rPr>
              <w:t>Sans objet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1EBA8999" w14:textId="77777777" w:rsidR="008E6885" w:rsidRDefault="00EA24E7">
            <w:pPr>
              <w:pStyle w:val="P68B1DB1-Normal19"/>
              <w:spacing w:before="120" w:after="120" w:line="240" w:lineRule="auto"/>
              <w:jc w:val="center"/>
              <w:rPr>
                <w:rFonts w:cs="Times New Roman"/>
                <w:noProof/>
              </w:rPr>
            </w:pPr>
            <w:r>
              <w:rPr>
                <w:noProof/>
              </w:rPr>
              <w:t>Nombre de contrats</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753D6920" w14:textId="77777777" w:rsidR="008E6885" w:rsidRDefault="00EA24E7">
            <w:pPr>
              <w:pStyle w:val="P68B1DB1-Normal19"/>
              <w:spacing w:before="120" w:after="120" w:line="240" w:lineRule="auto"/>
              <w:jc w:val="center"/>
              <w:rPr>
                <w:rFonts w:cs="Times New Roman"/>
                <w:noProof/>
              </w:rPr>
            </w:pPr>
            <w:r>
              <w:rPr>
                <w:noProof/>
              </w:rPr>
              <w:t>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4FF6F9D1" w14:textId="77777777" w:rsidR="008E6885" w:rsidRDefault="00EA24E7">
            <w:pPr>
              <w:pStyle w:val="P68B1DB1-Normal19"/>
              <w:spacing w:before="120" w:after="120" w:line="240" w:lineRule="auto"/>
              <w:jc w:val="center"/>
              <w:rPr>
                <w:rFonts w:cs="Times New Roman"/>
                <w:noProof/>
              </w:rPr>
            </w:pPr>
            <w:r>
              <w:rPr>
                <w:noProof/>
              </w:rPr>
              <w:t>6</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50DAB73E"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1B4AA13" w14:textId="77777777" w:rsidR="008E6885" w:rsidRDefault="00EA24E7">
            <w:pPr>
              <w:pStyle w:val="P68B1DB1-Normal19"/>
              <w:spacing w:before="120" w:after="120" w:line="240" w:lineRule="auto"/>
              <w:jc w:val="center"/>
              <w:rPr>
                <w:rFonts w:cs="Times New Roman"/>
                <w:noProof/>
              </w:rPr>
            </w:pPr>
            <w:r>
              <w:rPr>
                <w:noProof/>
              </w:rPr>
              <w:t>2023</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3AED91F7" w14:textId="77777777" w:rsidR="008E6885" w:rsidRDefault="00EA24E7">
            <w:pPr>
              <w:pStyle w:val="P68B1DB1-Normal19"/>
              <w:spacing w:before="120" w:after="120" w:line="240" w:lineRule="auto"/>
              <w:jc w:val="both"/>
              <w:rPr>
                <w:rFonts w:cs="Times New Roman"/>
                <w:noProof/>
              </w:rPr>
            </w:pPr>
            <w:r>
              <w:rPr>
                <w:noProof/>
              </w:rPr>
              <w:t>L'Agence centrale de financement et de passation des marchés a conclu au moins 6 contrats portant sur la création de nouveaux lieux de prestation de services de soins de longue durée proches du milieu familial.</w:t>
            </w:r>
          </w:p>
        </w:tc>
      </w:tr>
      <w:tr w:rsidR="008E6885" w14:paraId="42D1698D"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387FAD49" w14:textId="77777777" w:rsidR="008E6885" w:rsidRDefault="00EA24E7">
            <w:pPr>
              <w:pStyle w:val="P68B1DB1-Normal19"/>
              <w:spacing w:before="120" w:after="120" w:line="240" w:lineRule="auto"/>
              <w:rPr>
                <w:rFonts w:cs="Times New Roman"/>
                <w:noProof/>
              </w:rPr>
            </w:pPr>
            <w:r>
              <w:rPr>
                <w:noProof/>
              </w:rPr>
              <w:t>123</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15278C49" w14:textId="77777777" w:rsidR="008E6885" w:rsidRDefault="00EA24E7">
            <w:pPr>
              <w:pStyle w:val="P68B1DB1-Normal17"/>
              <w:spacing w:before="120" w:after="120" w:line="240" w:lineRule="auto"/>
              <w:rPr>
                <w:rFonts w:cs="Times New Roman"/>
                <w:noProof/>
              </w:rPr>
            </w:pPr>
            <w:r>
              <w:rPr>
                <w:noProof/>
              </w:rPr>
              <w:t xml:space="preserve">3.1.2.3.i. Résilience et continuité du service d'aide sociale de longue durée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293D79EE" w14:textId="77777777" w:rsidR="008E6885" w:rsidRDefault="00EA24E7">
            <w:pPr>
              <w:pStyle w:val="P68B1DB1-Normal19"/>
              <w:spacing w:before="120" w:after="120" w:line="240" w:lineRule="auto"/>
              <w:rPr>
                <w:rFonts w:cs="Times New Roman"/>
                <w:noProof/>
              </w:rPr>
            </w:pPr>
            <w:r>
              <w:rPr>
                <w:noProof/>
              </w:rPr>
              <w:t>Objectif</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367B55C9" w14:textId="77777777" w:rsidR="008E6885" w:rsidRDefault="00EA24E7">
            <w:pPr>
              <w:pStyle w:val="P68B1DB1-Normal19"/>
              <w:spacing w:before="120" w:after="120" w:line="240" w:lineRule="auto"/>
              <w:rPr>
                <w:rFonts w:cs="Times New Roman"/>
                <w:noProof/>
              </w:rPr>
            </w:pPr>
            <w:r>
              <w:rPr>
                <w:noProof/>
              </w:rPr>
              <w:t xml:space="preserve">Fourniture de places pour des services de soins de longue durée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3496CDF2" w14:textId="77777777" w:rsidR="008E6885" w:rsidRDefault="00EA24E7">
            <w:pPr>
              <w:pStyle w:val="P68B1DB1-Normal19"/>
              <w:spacing w:before="120" w:after="120" w:line="240" w:lineRule="auto"/>
              <w:jc w:val="center"/>
              <w:rPr>
                <w:rFonts w:cs="Times New Roman"/>
                <w:noProof/>
              </w:rPr>
            </w:pPr>
            <w:r>
              <w:rPr>
                <w:noProof/>
              </w:rPr>
              <w:t>Sans objet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18679329" w14:textId="77777777" w:rsidR="008E6885" w:rsidRDefault="00EA24E7">
            <w:pPr>
              <w:pStyle w:val="P68B1DB1-Normal19"/>
              <w:spacing w:before="120" w:after="120" w:line="240" w:lineRule="auto"/>
              <w:jc w:val="center"/>
              <w:rPr>
                <w:rFonts w:cs="Times New Roman"/>
                <w:noProof/>
              </w:rPr>
            </w:pPr>
            <w:r>
              <w:rPr>
                <w:noProof/>
              </w:rPr>
              <w:t>Nombre de places</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588541FE" w14:textId="77777777" w:rsidR="008E6885" w:rsidRDefault="00EA24E7">
            <w:pPr>
              <w:pStyle w:val="P68B1DB1-Normal19"/>
              <w:spacing w:before="120" w:after="120" w:line="240" w:lineRule="auto"/>
              <w:jc w:val="center"/>
              <w:rPr>
                <w:rFonts w:cs="Times New Roman"/>
                <w:noProof/>
              </w:rPr>
            </w:pPr>
            <w:r>
              <w:rPr>
                <w:noProof/>
              </w:rPr>
              <w:t>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0B418CA9" w14:textId="77777777" w:rsidR="008E6885" w:rsidRDefault="00EA24E7">
            <w:pPr>
              <w:pStyle w:val="P68B1DB1-Normal19"/>
              <w:spacing w:before="120" w:after="120" w:line="240" w:lineRule="auto"/>
              <w:jc w:val="center"/>
              <w:rPr>
                <w:rFonts w:cs="Times New Roman"/>
                <w:noProof/>
              </w:rPr>
            </w:pPr>
            <w:r>
              <w:rPr>
                <w:noProof/>
              </w:rPr>
              <w:t>312</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6CBDEBA2" w14:textId="77777777" w:rsidR="008E6885" w:rsidRDefault="00EA24E7">
            <w:pPr>
              <w:pStyle w:val="P68B1DB1-Normal19"/>
              <w:spacing w:before="120"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D05A78D" w14:textId="77777777" w:rsidR="008E6885" w:rsidRDefault="00EA24E7">
            <w:pPr>
              <w:pStyle w:val="P68B1DB1-Normal19"/>
              <w:spacing w:before="120" w:after="120" w:line="240" w:lineRule="auto"/>
              <w:jc w:val="center"/>
              <w:rPr>
                <w:rFonts w:cs="Times New Roman"/>
                <w:noProof/>
              </w:rPr>
            </w:pPr>
            <w:r>
              <w:rPr>
                <w:noProof/>
              </w:rPr>
              <w:t>2026</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6CF9B63E" w14:textId="3028054E" w:rsidR="008E6885" w:rsidRDefault="00EA24E7">
            <w:pPr>
              <w:pStyle w:val="P68B1DB1-Normal19"/>
              <w:spacing w:before="120" w:after="120" w:line="240" w:lineRule="auto"/>
              <w:jc w:val="both"/>
              <w:rPr>
                <w:rFonts w:cs="Times New Roman"/>
                <w:noProof/>
              </w:rPr>
            </w:pPr>
            <w:r>
              <w:rPr>
                <w:noProof/>
              </w:rPr>
              <w:t>Certificat(s) de préparation à la construction de bâtiments pour fournir 312 places de services de soins de longue durée.</w:t>
            </w:r>
          </w:p>
        </w:tc>
      </w:tr>
      <w:tr w:rsidR="008E6885" w14:paraId="5194F059"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76CB17F7" w14:textId="77777777" w:rsidR="008E6885" w:rsidRDefault="00EA24E7">
            <w:pPr>
              <w:pStyle w:val="P68B1DB1-Normal19"/>
              <w:spacing w:before="120" w:after="120" w:line="240" w:lineRule="auto"/>
              <w:rPr>
                <w:rFonts w:cs="Times New Roman"/>
                <w:noProof/>
              </w:rPr>
            </w:pPr>
            <w:r>
              <w:rPr>
                <w:noProof/>
              </w:rPr>
              <w:t>124</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68636573" w14:textId="77777777" w:rsidR="008E6885" w:rsidRDefault="00EA24E7">
            <w:pPr>
              <w:pStyle w:val="P68B1DB1-Normal17"/>
              <w:spacing w:before="120" w:after="120" w:line="240" w:lineRule="auto"/>
              <w:rPr>
                <w:rFonts w:eastAsia="Times New Roman" w:cs="Times New Roman"/>
                <w:noProof/>
              </w:rPr>
            </w:pPr>
            <w:r>
              <w:rPr>
                <w:noProof/>
              </w:rPr>
              <w:t>3.1.2.4.i. Développement synergique des services de réadaptation sociale et professionnelle pour la promotion de la résilience des personnes ayant des déficiences fonctionnelles</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4837DD65"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223545C2" w14:textId="77777777" w:rsidR="008E6885" w:rsidRDefault="00EA24E7">
            <w:pPr>
              <w:pStyle w:val="P68B1DB1-Normal19"/>
              <w:spacing w:before="120" w:after="120" w:line="240" w:lineRule="auto"/>
              <w:rPr>
                <w:rFonts w:cs="Times New Roman"/>
                <w:noProof/>
              </w:rPr>
            </w:pPr>
            <w:r>
              <w:rPr>
                <w:noProof/>
              </w:rPr>
              <w:t xml:space="preserve">Description du service de réadaptation professionnelle adopté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70C1E3B0" w14:textId="77777777" w:rsidR="008E6885" w:rsidRDefault="00EA24E7">
            <w:pPr>
              <w:pStyle w:val="P68B1DB1-Normal19"/>
              <w:spacing w:before="120" w:after="120" w:line="240" w:lineRule="auto"/>
              <w:rPr>
                <w:rFonts w:cs="Times New Roman"/>
                <w:noProof/>
              </w:rPr>
            </w:pPr>
            <w:r>
              <w:rPr>
                <w:noProof/>
              </w:rPr>
              <w:t xml:space="preserve">Adoption d'une description des services de réadaptation professionnelle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5948CA53"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5886C7DD"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45AE50D6"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4B5FFCA1" w14:textId="77777777" w:rsidR="008E6885" w:rsidRDefault="00EA24E7">
            <w:pPr>
              <w:pStyle w:val="P68B1DB1-Normal19"/>
              <w:spacing w:before="120"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C6B92FE" w14:textId="77777777" w:rsidR="008E6885" w:rsidRDefault="00EA24E7">
            <w:pPr>
              <w:pStyle w:val="P68B1DB1-Normal19"/>
              <w:spacing w:before="120" w:after="120" w:line="240" w:lineRule="auto"/>
              <w:jc w:val="center"/>
              <w:rPr>
                <w:rFonts w:cs="Times New Roman"/>
                <w:noProof/>
              </w:rPr>
            </w:pPr>
            <w:r>
              <w:rPr>
                <w:noProof/>
              </w:rPr>
              <w:t>2023</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05F2E056" w14:textId="77777777" w:rsidR="008E6885" w:rsidRDefault="00EA24E7">
            <w:pPr>
              <w:pStyle w:val="P68B1DB1-Normal19"/>
              <w:spacing w:before="120" w:after="120" w:line="240" w:lineRule="auto"/>
              <w:jc w:val="both"/>
              <w:rPr>
                <w:rFonts w:cs="Times New Roman"/>
                <w:noProof/>
              </w:rPr>
            </w:pPr>
            <w:r>
              <w:rPr>
                <w:noProof/>
              </w:rPr>
              <w:t>Le Conseil consultatif de l'Agence nationale pour l'intégration sociale a adopté et l'Agence pour l'intégration sociale a approuvé la description d'un service de réadaptation professionnelle qui favorise le maintien, le renouvellement et l'acquisition de nouvelles études ou compétences pour le réemploi dès que possible, en favorisant la sécurité des clients.</w:t>
            </w:r>
          </w:p>
        </w:tc>
      </w:tr>
      <w:tr w:rsidR="008E6885" w14:paraId="0FC83DEE"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59D56D82" w14:textId="77777777" w:rsidR="008E6885" w:rsidRDefault="00EA24E7">
            <w:pPr>
              <w:pStyle w:val="P68B1DB1-Normal19"/>
              <w:spacing w:before="120" w:after="120" w:line="240" w:lineRule="auto"/>
              <w:rPr>
                <w:rFonts w:cs="Times New Roman"/>
                <w:noProof/>
              </w:rPr>
            </w:pPr>
            <w:r>
              <w:rPr>
                <w:noProof/>
              </w:rPr>
              <w:t>125</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6BD6F2A2" w14:textId="77777777" w:rsidR="008E6885" w:rsidRDefault="00EA24E7">
            <w:pPr>
              <w:pStyle w:val="P68B1DB1-Normal17"/>
              <w:spacing w:before="120" w:after="120" w:line="240" w:lineRule="auto"/>
              <w:rPr>
                <w:rFonts w:eastAsia="Times New Roman" w:cs="Times New Roman"/>
                <w:noProof/>
              </w:rPr>
            </w:pPr>
            <w:r>
              <w:rPr>
                <w:noProof/>
              </w:rPr>
              <w:t>3.1.2.4.i. Développement synergique des services de réadaptation sociale et professionnelle pour la promotion de la résilience des personnes ayant des déficiences fonctionnelles</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30272BF6"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69CE40A0" w14:textId="77777777" w:rsidR="008E6885" w:rsidRDefault="00EA24E7">
            <w:pPr>
              <w:pStyle w:val="P68B1DB1-Normal19"/>
              <w:spacing w:before="120" w:after="120" w:line="240" w:lineRule="auto"/>
              <w:rPr>
                <w:rFonts w:cs="Times New Roman"/>
                <w:noProof/>
              </w:rPr>
            </w:pPr>
            <w:r>
              <w:rPr>
                <w:noProof/>
              </w:rPr>
              <w:t>Adaptation des bâtiments</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2892262C" w14:textId="0A605F99" w:rsidR="008E6885" w:rsidRDefault="00EA24E7">
            <w:pPr>
              <w:pStyle w:val="P68B1DB1-Normal19"/>
              <w:spacing w:before="120" w:after="120" w:line="240" w:lineRule="auto"/>
              <w:rPr>
                <w:rFonts w:cs="Times New Roman"/>
                <w:noProof/>
              </w:rPr>
            </w:pPr>
            <w:r>
              <w:rPr>
                <w:noProof/>
              </w:rPr>
              <w:t>Adaptation des bâtiments à deux adresses</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09CF3CFB"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6E63183C"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6AA5B8B2"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72AB6B17" w14:textId="77777777" w:rsidR="008E6885" w:rsidRDefault="00EA24E7">
            <w:pPr>
              <w:pStyle w:val="P68B1DB1-Normal19"/>
              <w:spacing w:before="120"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53836CF" w14:textId="77777777" w:rsidR="008E6885" w:rsidRDefault="00EA24E7">
            <w:pPr>
              <w:pStyle w:val="P68B1DB1-Normal19"/>
              <w:spacing w:before="120" w:after="120" w:line="240" w:lineRule="auto"/>
              <w:jc w:val="center"/>
              <w:rPr>
                <w:rFonts w:cs="Times New Roman"/>
                <w:noProof/>
              </w:rPr>
            </w:pPr>
            <w:r>
              <w:rPr>
                <w:noProof/>
              </w:rPr>
              <w:t>2026</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489B7AF1" w14:textId="77777777" w:rsidR="008E6885" w:rsidRDefault="00EA24E7">
            <w:pPr>
              <w:pStyle w:val="P68B1DB1-Normal19"/>
              <w:spacing w:before="120" w:after="120" w:line="240" w:lineRule="auto"/>
              <w:jc w:val="both"/>
              <w:rPr>
                <w:rFonts w:eastAsia="Times New Roman" w:cs="Times New Roman"/>
                <w:noProof/>
              </w:rPr>
            </w:pPr>
            <w:r>
              <w:rPr>
                <w:noProof/>
              </w:rPr>
              <w:t>Adaptation des bâtiments à deux adresses, y compris l'accessibilité et l'efficacité énergétique; et la livraison de l'équipement.</w:t>
            </w:r>
          </w:p>
        </w:tc>
      </w:tr>
      <w:tr w:rsidR="008E6885" w14:paraId="7DB40166"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0FFC86CA" w14:textId="77777777" w:rsidR="008E6885" w:rsidRDefault="00EA24E7">
            <w:pPr>
              <w:pStyle w:val="P68B1DB1-Normal19"/>
              <w:spacing w:before="120" w:after="120" w:line="240" w:lineRule="auto"/>
              <w:rPr>
                <w:rFonts w:cs="Times New Roman"/>
                <w:noProof/>
              </w:rPr>
            </w:pPr>
            <w:r>
              <w:rPr>
                <w:noProof/>
              </w:rPr>
              <w:t>127</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65CBB71E" w14:textId="77777777" w:rsidR="008E6885" w:rsidRDefault="00EA24E7">
            <w:pPr>
              <w:pStyle w:val="P68B1DB1-Normal17"/>
              <w:spacing w:before="120" w:after="120" w:line="240" w:lineRule="auto"/>
              <w:rPr>
                <w:rFonts w:cs="Times New Roman"/>
                <w:noProof/>
              </w:rPr>
            </w:pPr>
            <w:r>
              <w:rPr>
                <w:noProof/>
              </w:rPr>
              <w:t xml:space="preserve">3.1.2.5.i. Participation au marché du travail des chômeurs, des demandeurs d'emploi et des personnes menacées de chômage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533CDB87"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60BEBDE1" w14:textId="77777777" w:rsidR="008E6885" w:rsidRDefault="00EA24E7">
            <w:pPr>
              <w:pStyle w:val="P68B1DB1-Normal19"/>
              <w:spacing w:before="120" w:after="120" w:line="240" w:lineRule="auto"/>
              <w:rPr>
                <w:rFonts w:cs="Times New Roman"/>
                <w:noProof/>
              </w:rPr>
            </w:pPr>
            <w:r>
              <w:rPr>
                <w:noProof/>
              </w:rPr>
              <w:t xml:space="preserve">Une offre de recyclage et de perfectionnement, axée sur les compétences numériques, a été mise en place à l’intention des clients (chômeurs, demandeurs d’emploi, personnes exposées au risque de chômage) de l’Agence nationale pour l’emploi en vue d’une reprise économique génératrice d’emplois grâce à la mise en œuvre de mesures actives de politique du marché du travail. </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108759E7" w14:textId="77777777" w:rsidR="008E6885" w:rsidRDefault="00EA24E7">
            <w:pPr>
              <w:pStyle w:val="P68B1DB1-Normal19"/>
              <w:spacing w:before="120" w:after="120" w:line="240" w:lineRule="auto"/>
              <w:rPr>
                <w:rFonts w:cs="Times New Roman"/>
                <w:noProof/>
              </w:rPr>
            </w:pPr>
            <w:r>
              <w:rPr>
                <w:noProof/>
              </w:rPr>
              <w:t xml:space="preserve">Adoption d’une nouvelle offre de recyclage et de perfectionnement (y compris les compétences numériques) pour les clients de l’Agence nationale pour l’emploi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33909B61"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4DA5B560"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692BF53F"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566C55C4" w14:textId="77777777" w:rsidR="008E6885" w:rsidRDefault="00EA24E7">
            <w:pPr>
              <w:pStyle w:val="P68B1DB1-Normal19"/>
              <w:spacing w:before="120"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5231EEA" w14:textId="77777777" w:rsidR="008E6885" w:rsidRDefault="00EA24E7">
            <w:pPr>
              <w:pStyle w:val="P68B1DB1-Normal19"/>
              <w:spacing w:before="120" w:after="120" w:line="240" w:lineRule="auto"/>
              <w:jc w:val="center"/>
              <w:rPr>
                <w:rFonts w:cs="Times New Roman"/>
                <w:noProof/>
              </w:rPr>
            </w:pPr>
            <w:r>
              <w:rPr>
                <w:noProof/>
              </w:rPr>
              <w:t>2023</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7F65C142" w14:textId="77777777" w:rsidR="008E6885" w:rsidRDefault="00EA24E7">
            <w:pPr>
              <w:pStyle w:val="P68B1DB1-Normal19"/>
              <w:spacing w:before="120" w:after="120" w:line="240" w:lineRule="auto"/>
              <w:jc w:val="both"/>
              <w:rPr>
                <w:rFonts w:cs="Times New Roman"/>
                <w:noProof/>
              </w:rPr>
            </w:pPr>
            <w:r>
              <w:rPr>
                <w:noProof/>
              </w:rPr>
              <w:t xml:space="preserve">Une offre de programmes de recyclage et de perfectionnement aux clients du service letton de l'emploi (chômeurs, demandeurs d'emploi, personnes menacées de chômage) a été adoptée lors de la réunion de la commission lettone de la formation conformément aux mesures de politique active du marché du travail pour la relance de l'économie favorable à l'emploi. </w:t>
            </w:r>
          </w:p>
        </w:tc>
      </w:tr>
      <w:tr w:rsidR="008E6885" w14:paraId="6FE9B504"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7DA6B324" w14:textId="77777777" w:rsidR="008E6885" w:rsidRDefault="00EA24E7">
            <w:pPr>
              <w:pStyle w:val="P68B1DB1-Normal19"/>
              <w:spacing w:before="120" w:after="120" w:line="240" w:lineRule="auto"/>
              <w:rPr>
                <w:rFonts w:cs="Times New Roman"/>
                <w:noProof/>
              </w:rPr>
            </w:pPr>
            <w:r>
              <w:rPr>
                <w:noProof/>
              </w:rPr>
              <w:t>128</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7F336D7A" w14:textId="77777777" w:rsidR="008E6885" w:rsidRDefault="00EA24E7">
            <w:pPr>
              <w:pStyle w:val="P68B1DB1-Normal17"/>
              <w:spacing w:before="120" w:after="120" w:line="240" w:lineRule="auto"/>
              <w:rPr>
                <w:rFonts w:cs="Times New Roman"/>
                <w:noProof/>
              </w:rPr>
            </w:pPr>
            <w:r>
              <w:rPr>
                <w:noProof/>
              </w:rPr>
              <w:t xml:space="preserve">3.1.2.5.i. Participation au marché du travail des chômeurs, des demandeurs d'emploi et des personnes menacées de chômage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72FBD5D5" w14:textId="77777777" w:rsidR="008E6885" w:rsidRDefault="00EA24E7">
            <w:pPr>
              <w:pStyle w:val="P68B1DB1-Normal19"/>
              <w:spacing w:before="120" w:after="120" w:line="240" w:lineRule="auto"/>
              <w:rPr>
                <w:rFonts w:cs="Times New Roman"/>
                <w:noProof/>
              </w:rPr>
            </w:pPr>
            <w:r>
              <w:rPr>
                <w:noProof/>
              </w:rPr>
              <w:t xml:space="preserve">Étape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4247379A" w14:textId="2E403764" w:rsidR="008E6885" w:rsidRDefault="00EA24E7">
            <w:pPr>
              <w:pStyle w:val="P68B1DB1-Normal19"/>
              <w:spacing w:before="120" w:after="120" w:line="240" w:lineRule="auto"/>
              <w:rPr>
                <w:rFonts w:cs="Times New Roman"/>
                <w:noProof/>
                <w:highlight w:val="green"/>
              </w:rPr>
            </w:pPr>
            <w:r>
              <w:rPr>
                <w:noProof/>
              </w:rPr>
              <w:t>Développement d’un outil numérique d’évaluation des compétences</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412CE616" w14:textId="77777777" w:rsidR="008E6885" w:rsidRDefault="00EA24E7">
            <w:pPr>
              <w:pStyle w:val="P68B1DB1-Normal19"/>
              <w:spacing w:before="120" w:after="120" w:line="240" w:lineRule="auto"/>
              <w:rPr>
                <w:rFonts w:cs="Times New Roman"/>
                <w:noProof/>
              </w:rPr>
            </w:pPr>
            <w:r>
              <w:rPr>
                <w:noProof/>
              </w:rPr>
              <w:t xml:space="preserve">Outil numérique développé et mis en œuvre </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7283BD58" w14:textId="77777777" w:rsidR="008E6885" w:rsidRDefault="00EA24E7">
            <w:pPr>
              <w:pStyle w:val="P68B1DB1-Normal19"/>
              <w:spacing w:before="120" w:after="120" w:line="240" w:lineRule="auto"/>
              <w:jc w:val="center"/>
              <w:rPr>
                <w:rFonts w:cs="Times New Roman"/>
                <w:noProof/>
              </w:rPr>
            </w:pPr>
            <w:r>
              <w:rPr>
                <w:noProof/>
              </w:rPr>
              <w:t>Sans objet</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4303D3A0" w14:textId="77777777" w:rsidR="008E6885" w:rsidRDefault="00EA24E7">
            <w:pPr>
              <w:pStyle w:val="P68B1DB1-Normal19"/>
              <w:spacing w:before="120" w:after="120" w:line="240" w:lineRule="auto"/>
              <w:jc w:val="center"/>
              <w:rPr>
                <w:rFonts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04DA884E" w14:textId="77777777" w:rsidR="008E6885" w:rsidRDefault="00EA24E7">
            <w:pPr>
              <w:pStyle w:val="P68B1DB1-Normal19"/>
              <w:spacing w:before="120" w:after="120" w:line="240" w:lineRule="auto"/>
              <w:jc w:val="center"/>
              <w:rPr>
                <w:rFonts w:cs="Times New Roman"/>
                <w:noProof/>
              </w:rPr>
            </w:pPr>
            <w:r>
              <w:rPr>
                <w:noProof/>
              </w:rPr>
              <w:t>Sans objet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4EABD062"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0661459" w14:textId="77777777" w:rsidR="008E6885" w:rsidRDefault="00EA24E7">
            <w:pPr>
              <w:pStyle w:val="P68B1DB1-Normal19"/>
              <w:spacing w:before="120" w:after="120" w:line="240" w:lineRule="auto"/>
              <w:jc w:val="center"/>
              <w:rPr>
                <w:rFonts w:cs="Times New Roman"/>
                <w:noProof/>
              </w:rPr>
            </w:pPr>
            <w:r>
              <w:rPr>
                <w:noProof/>
              </w:rPr>
              <w:t>2023</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57275E84" w14:textId="77777777" w:rsidR="008E6885" w:rsidRDefault="00EA24E7">
            <w:pPr>
              <w:pStyle w:val="P68B1DB1-Normal19"/>
              <w:spacing w:before="120" w:after="120" w:line="240" w:lineRule="auto"/>
              <w:jc w:val="both"/>
              <w:rPr>
                <w:rFonts w:cs="Times New Roman"/>
                <w:noProof/>
              </w:rPr>
            </w:pPr>
            <w:r>
              <w:rPr>
                <w:noProof/>
              </w:rPr>
              <w:t xml:space="preserve">L’Agence nationale pour l’emploi a élaboré et mis en œuvre un outil d’évaluation numérique pour un système amélioré de profilage des compétences, qui doit garantir l’évaluation des aptitudes et des compétences des clients de l’agence, afin de compléter une offre appropriée de recyclage et d’acquisition de compétences, en fonction du niveau de connaissances et de compétences de la personne. </w:t>
            </w:r>
          </w:p>
          <w:p w14:paraId="1C61D309" w14:textId="77777777" w:rsidR="008E6885" w:rsidRDefault="00EA24E7">
            <w:pPr>
              <w:pStyle w:val="P68B1DB1-Normal19"/>
              <w:spacing w:before="120" w:after="120" w:line="240" w:lineRule="auto"/>
              <w:jc w:val="both"/>
              <w:rPr>
                <w:rFonts w:cs="Times New Roman"/>
                <w:noProof/>
              </w:rPr>
            </w:pPr>
            <w:r>
              <w:rPr>
                <w:noProof/>
              </w:rPr>
              <w:t xml:space="preserve">La méthode de profilage du client actuellement utilisée par l’agence est complétée par un outil d’évaluation des compétences numériques (tests) et les résultats des tests sont utilisés dans le processus d’orientation professionnelle du client et dans la préparation de l’offre de formation individuelle. </w:t>
            </w:r>
          </w:p>
        </w:tc>
      </w:tr>
      <w:tr w:rsidR="008E6885" w14:paraId="568C10A7"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73D255DB" w14:textId="77777777" w:rsidR="008E6885" w:rsidRDefault="00EA24E7">
            <w:pPr>
              <w:pStyle w:val="P68B1DB1-Normal19"/>
              <w:spacing w:before="120" w:after="120" w:line="240" w:lineRule="auto"/>
              <w:rPr>
                <w:rFonts w:cs="Times New Roman"/>
                <w:noProof/>
              </w:rPr>
            </w:pPr>
            <w:r>
              <w:rPr>
                <w:noProof/>
              </w:rPr>
              <w:t>130</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6734B90E" w14:textId="77777777" w:rsidR="008E6885" w:rsidRDefault="00EA24E7">
            <w:pPr>
              <w:pStyle w:val="P68B1DB1-Normal17"/>
              <w:spacing w:before="120" w:after="120" w:line="240" w:lineRule="auto"/>
              <w:rPr>
                <w:rFonts w:cs="Times New Roman"/>
                <w:noProof/>
              </w:rPr>
            </w:pPr>
            <w:r>
              <w:rPr>
                <w:noProof/>
              </w:rPr>
              <w:t xml:space="preserve">3.1.2.5.i. Participation au marché du travail des chômeurs, des demandeurs d'emploi et des personnes menacées de chômage </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6CAC29B9" w14:textId="77777777" w:rsidR="008E6885" w:rsidRDefault="00EA24E7">
            <w:pPr>
              <w:pStyle w:val="P68B1DB1-Normal19"/>
              <w:spacing w:before="120" w:after="120" w:line="240" w:lineRule="auto"/>
              <w:rPr>
                <w:rFonts w:cs="Times New Roman"/>
                <w:noProof/>
              </w:rPr>
            </w:pPr>
            <w:r>
              <w:rPr>
                <w:noProof/>
              </w:rPr>
              <w:t xml:space="preserve">Objectif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23C97DAB" w14:textId="77777777" w:rsidR="008E6885" w:rsidRDefault="00EA24E7">
            <w:pPr>
              <w:pStyle w:val="P68B1DB1-Normal19"/>
              <w:spacing w:before="120" w:after="120" w:line="240" w:lineRule="auto"/>
              <w:rPr>
                <w:rFonts w:cs="Times New Roman"/>
                <w:noProof/>
              </w:rPr>
            </w:pPr>
            <w:r>
              <w:rPr>
                <w:noProof/>
              </w:rPr>
              <w:t>Personnes participant à la formation</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03E6CC7C" w14:textId="77777777" w:rsidR="008E6885" w:rsidRDefault="00EA24E7">
            <w:pPr>
              <w:pStyle w:val="P68B1DB1-Normal19"/>
              <w:spacing w:before="120" w:after="120" w:line="240" w:lineRule="auto"/>
              <w:jc w:val="center"/>
              <w:rPr>
                <w:rFonts w:cs="Times New Roman"/>
                <w:noProof/>
              </w:rPr>
            </w:pPr>
            <w:r>
              <w:rPr>
                <w:noProof/>
              </w:rPr>
              <w:t>Sans objet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483F6FD6" w14:textId="77777777" w:rsidR="008E6885" w:rsidRDefault="00EA24E7">
            <w:pPr>
              <w:pStyle w:val="P68B1DB1-Normal19"/>
              <w:spacing w:before="120" w:after="120" w:line="240" w:lineRule="auto"/>
              <w:jc w:val="center"/>
              <w:rPr>
                <w:rFonts w:cs="Times New Roman"/>
                <w:noProof/>
              </w:rPr>
            </w:pPr>
            <w:r>
              <w:rPr>
                <w:noProof/>
              </w:rPr>
              <w:t>Nombre de personnes</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44B246D3" w14:textId="77777777" w:rsidR="008E6885" w:rsidRDefault="00EA24E7">
            <w:pPr>
              <w:pStyle w:val="P68B1DB1-Normal19"/>
              <w:spacing w:before="120" w:after="120" w:line="240" w:lineRule="auto"/>
              <w:jc w:val="center"/>
              <w:rPr>
                <w:noProof/>
              </w:rPr>
            </w:pPr>
            <w:r>
              <w:rPr>
                <w:noProof/>
              </w:rPr>
              <w:t>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0653DD94" w14:textId="77777777" w:rsidR="008E6885" w:rsidRDefault="00EA24E7">
            <w:pPr>
              <w:pStyle w:val="P68B1DB1-Normal19"/>
              <w:spacing w:before="120" w:after="120" w:line="240" w:lineRule="auto"/>
              <w:jc w:val="center"/>
              <w:rPr>
                <w:rFonts w:cs="Times New Roman"/>
                <w:noProof/>
              </w:rPr>
            </w:pPr>
            <w:r>
              <w:rPr>
                <w:noProof/>
              </w:rPr>
              <w:t>20 450</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5A6830D5" w14:textId="77777777" w:rsidR="008E6885" w:rsidRDefault="00EA24E7">
            <w:pPr>
              <w:pStyle w:val="P68B1DB1-Normal19"/>
              <w:spacing w:before="120"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A2652D0" w14:textId="77777777" w:rsidR="008E6885" w:rsidRDefault="00EA24E7">
            <w:pPr>
              <w:pStyle w:val="P68B1DB1-Normal19"/>
              <w:spacing w:before="120" w:after="120" w:line="240" w:lineRule="auto"/>
              <w:jc w:val="center"/>
              <w:rPr>
                <w:rFonts w:cs="Times New Roman"/>
                <w:noProof/>
              </w:rPr>
            </w:pPr>
            <w:r>
              <w:rPr>
                <w:noProof/>
              </w:rPr>
              <w:t>2025</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5B43E3EE" w14:textId="77777777" w:rsidR="008E6885" w:rsidRDefault="00EA24E7">
            <w:pPr>
              <w:pStyle w:val="P68B1DB1-Normal19"/>
              <w:spacing w:before="120" w:after="120" w:line="240" w:lineRule="auto"/>
              <w:jc w:val="both"/>
              <w:rPr>
                <w:noProof/>
              </w:rPr>
            </w:pPr>
            <w:r>
              <w:rPr>
                <w:noProof/>
              </w:rPr>
              <w:t>20 450 personnes ont participé à la formation.</w:t>
            </w:r>
          </w:p>
        </w:tc>
      </w:tr>
      <w:tr w:rsidR="008E6885" w14:paraId="3FBA123F" w14:textId="77777777" w:rsidTr="00D57C89">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C6EFCE"/>
          </w:tcPr>
          <w:p w14:paraId="5667C5C9" w14:textId="77777777" w:rsidR="008E6885" w:rsidRDefault="00EA24E7">
            <w:pPr>
              <w:pStyle w:val="P68B1DB1-Normal19"/>
              <w:spacing w:before="120" w:after="120" w:line="240" w:lineRule="auto"/>
              <w:rPr>
                <w:rFonts w:cs="Times New Roman"/>
                <w:noProof/>
              </w:rPr>
            </w:pPr>
            <w:r>
              <w:rPr>
                <w:noProof/>
              </w:rPr>
              <w:t>130a</w:t>
            </w:r>
          </w:p>
        </w:tc>
        <w:tc>
          <w:tcPr>
            <w:tcW w:w="1625" w:type="dxa"/>
            <w:tcBorders>
              <w:top w:val="single" w:sz="4" w:space="0" w:color="auto"/>
              <w:left w:val="single" w:sz="4" w:space="0" w:color="auto"/>
              <w:bottom w:val="single" w:sz="4" w:space="0" w:color="auto"/>
              <w:right w:val="single" w:sz="4" w:space="0" w:color="auto"/>
            </w:tcBorders>
            <w:shd w:val="clear" w:color="auto" w:fill="C6EFCE"/>
          </w:tcPr>
          <w:p w14:paraId="661B982B" w14:textId="77777777" w:rsidR="008E6885" w:rsidRDefault="00EA24E7">
            <w:pPr>
              <w:pStyle w:val="P68B1DB1-Normal17"/>
              <w:spacing w:before="120" w:after="120" w:line="240" w:lineRule="auto"/>
              <w:rPr>
                <w:rFonts w:cs="Times New Roman"/>
                <w:noProof/>
              </w:rPr>
            </w:pPr>
            <w:r>
              <w:rPr>
                <w:noProof/>
              </w:rPr>
              <w:t>3.1.2.6.i. Faciliter la disponibilité des aides techniques</w:t>
            </w:r>
          </w:p>
        </w:tc>
        <w:tc>
          <w:tcPr>
            <w:tcW w:w="1088" w:type="dxa"/>
            <w:tcBorders>
              <w:top w:val="single" w:sz="4" w:space="0" w:color="auto"/>
              <w:left w:val="single" w:sz="4" w:space="0" w:color="auto"/>
              <w:bottom w:val="single" w:sz="4" w:space="0" w:color="auto"/>
              <w:right w:val="single" w:sz="4" w:space="0" w:color="auto"/>
            </w:tcBorders>
            <w:shd w:val="clear" w:color="auto" w:fill="C6EFCE"/>
          </w:tcPr>
          <w:p w14:paraId="4BA995E4" w14:textId="77777777" w:rsidR="008E6885" w:rsidRDefault="00EA24E7">
            <w:pPr>
              <w:pStyle w:val="P68B1DB1-Normal19"/>
              <w:spacing w:before="120" w:after="120" w:line="240" w:lineRule="auto"/>
              <w:rPr>
                <w:rFonts w:cs="Times New Roman"/>
                <w:noProof/>
              </w:rPr>
            </w:pPr>
            <w:r>
              <w:rPr>
                <w:noProof/>
              </w:rPr>
              <w:t>Objectif</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43E837BA" w14:textId="2FD7B90B" w:rsidR="008E6885" w:rsidRDefault="00EA24E7">
            <w:pPr>
              <w:pStyle w:val="P68B1DB1-Normal9"/>
              <w:spacing w:before="120" w:after="120" w:line="240" w:lineRule="auto"/>
              <w:rPr>
                <w:noProof/>
              </w:rPr>
            </w:pPr>
            <w:r>
              <w:rPr>
                <w:noProof/>
              </w:rPr>
              <w:t>7,6 millions d’EUR versés au CNRC «Vaivari» pour faciliter la disponibilité d’aides techniques</w:t>
            </w:r>
          </w:p>
        </w:tc>
        <w:tc>
          <w:tcPr>
            <w:tcW w:w="1492" w:type="dxa"/>
            <w:tcBorders>
              <w:top w:val="single" w:sz="4" w:space="0" w:color="auto"/>
              <w:left w:val="single" w:sz="4" w:space="0" w:color="auto"/>
              <w:bottom w:val="single" w:sz="4" w:space="0" w:color="auto"/>
              <w:right w:val="single" w:sz="4" w:space="0" w:color="auto"/>
            </w:tcBorders>
            <w:shd w:val="clear" w:color="auto" w:fill="C6EFCE"/>
          </w:tcPr>
          <w:p w14:paraId="3EAEA3A0" w14:textId="77777777" w:rsidR="008E6885" w:rsidRDefault="00EA24E7">
            <w:pPr>
              <w:pStyle w:val="P68B1DB1-Normal19"/>
              <w:spacing w:before="120" w:after="120" w:line="240" w:lineRule="auto"/>
              <w:jc w:val="center"/>
              <w:rPr>
                <w:rFonts w:cs="Times New Roman"/>
                <w:noProof/>
              </w:rPr>
            </w:pPr>
            <w:r>
              <w:rPr>
                <w:noProof/>
              </w:rPr>
              <w:t>Sans objet</w:t>
            </w:r>
          </w:p>
        </w:tc>
        <w:tc>
          <w:tcPr>
            <w:tcW w:w="1221" w:type="dxa"/>
            <w:tcBorders>
              <w:top w:val="single" w:sz="4" w:space="0" w:color="auto"/>
              <w:left w:val="single" w:sz="4" w:space="0" w:color="auto"/>
              <w:bottom w:val="single" w:sz="4" w:space="0" w:color="auto"/>
              <w:right w:val="single" w:sz="4" w:space="0" w:color="auto"/>
            </w:tcBorders>
            <w:shd w:val="clear" w:color="auto" w:fill="C6EFCE"/>
          </w:tcPr>
          <w:p w14:paraId="4CC80EC9" w14:textId="77777777" w:rsidR="008E6885" w:rsidRDefault="00EA24E7">
            <w:pPr>
              <w:pStyle w:val="P68B1DB1-Normal19"/>
              <w:spacing w:before="120" w:after="120" w:line="240" w:lineRule="auto"/>
              <w:jc w:val="center"/>
              <w:rPr>
                <w:rFonts w:cs="Times New Roman"/>
                <w:noProof/>
              </w:rPr>
            </w:pPr>
            <w:r>
              <w:rPr>
                <w:noProof/>
              </w:rPr>
              <w:t>millions d'euros</w:t>
            </w:r>
          </w:p>
        </w:tc>
        <w:tc>
          <w:tcPr>
            <w:tcW w:w="954" w:type="dxa"/>
            <w:tcBorders>
              <w:top w:val="single" w:sz="4" w:space="0" w:color="auto"/>
              <w:left w:val="single" w:sz="4" w:space="0" w:color="auto"/>
              <w:bottom w:val="single" w:sz="4" w:space="0" w:color="auto"/>
              <w:right w:val="single" w:sz="4" w:space="0" w:color="auto"/>
            </w:tcBorders>
            <w:shd w:val="clear" w:color="auto" w:fill="C6EFCE"/>
          </w:tcPr>
          <w:p w14:paraId="31EC10CF" w14:textId="77777777" w:rsidR="008E6885" w:rsidRDefault="00EA24E7">
            <w:pPr>
              <w:pStyle w:val="P68B1DB1-Normal19"/>
              <w:spacing w:before="120" w:after="120" w:line="240" w:lineRule="auto"/>
              <w:jc w:val="center"/>
              <w:rPr>
                <w:rFonts w:cs="Times New Roman"/>
                <w:noProof/>
              </w:rPr>
            </w:pPr>
            <w:r>
              <w:rPr>
                <w:noProof/>
              </w:rPr>
              <w:t>0</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484D9C3B" w14:textId="77777777" w:rsidR="008E6885" w:rsidRDefault="00EA24E7">
            <w:pPr>
              <w:pStyle w:val="P68B1DB1-Normal19"/>
              <w:spacing w:before="120" w:after="120" w:line="240" w:lineRule="auto"/>
              <w:jc w:val="center"/>
              <w:rPr>
                <w:rFonts w:cs="Times New Roman"/>
                <w:noProof/>
              </w:rPr>
            </w:pPr>
            <w:r>
              <w:rPr>
                <w:noProof/>
              </w:rPr>
              <w:t>7.6</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646F64C3" w14:textId="77777777" w:rsidR="008E6885" w:rsidRDefault="00EA24E7">
            <w:pPr>
              <w:pStyle w:val="P68B1DB1-Normal19"/>
              <w:spacing w:before="120" w:after="120" w:line="240" w:lineRule="auto"/>
              <w:jc w:val="center"/>
              <w:rPr>
                <w:rFonts w:eastAsia="Times New Roman" w:cs="Times New Roman"/>
                <w:noProof/>
                <w:highlight w:val="yellow"/>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0798B2C" w14:textId="77777777" w:rsidR="008E6885" w:rsidRDefault="00EA24E7">
            <w:pPr>
              <w:pStyle w:val="P68B1DB1-Normal19"/>
              <w:spacing w:before="120" w:after="120" w:line="240" w:lineRule="auto"/>
              <w:jc w:val="center"/>
              <w:rPr>
                <w:rFonts w:cs="Times New Roman"/>
                <w:noProof/>
              </w:rPr>
            </w:pPr>
            <w:r>
              <w:rPr>
                <w:noProof/>
              </w:rPr>
              <w:t>2026</w:t>
            </w:r>
          </w:p>
        </w:tc>
        <w:tc>
          <w:tcPr>
            <w:tcW w:w="2746" w:type="dxa"/>
            <w:tcBorders>
              <w:top w:val="single" w:sz="4" w:space="0" w:color="auto"/>
              <w:left w:val="single" w:sz="4" w:space="0" w:color="auto"/>
              <w:bottom w:val="single" w:sz="4" w:space="0" w:color="auto"/>
              <w:right w:val="single" w:sz="4" w:space="0" w:color="auto"/>
            </w:tcBorders>
            <w:shd w:val="clear" w:color="auto" w:fill="C6EFCE"/>
          </w:tcPr>
          <w:p w14:paraId="71DCD3E6" w14:textId="77777777" w:rsidR="008E6885" w:rsidRDefault="00EA24E7">
            <w:pPr>
              <w:pStyle w:val="P68B1DB1-Normal9"/>
              <w:spacing w:before="120" w:after="120" w:line="240" w:lineRule="auto"/>
              <w:jc w:val="both"/>
              <w:rPr>
                <w:noProof/>
              </w:rPr>
            </w:pPr>
            <w:r>
              <w:rPr>
                <w:noProof/>
              </w:rPr>
              <w:t>une lettre de l’agence centrale de financement et de passation des marchés informant des paiements effectués au(x) bénéficiaire(s) et un rapport du système d’information sur la gestion du Fonds de la politique de cohésion confirmant le montant versé par l’agence centrale de financement et de passation des marchés.</w:t>
            </w:r>
          </w:p>
        </w:tc>
      </w:tr>
    </w:tbl>
    <w:p w14:paraId="2923CEA5" w14:textId="77777777" w:rsidR="008E6885" w:rsidRDefault="008E6885">
      <w:pPr>
        <w:spacing w:before="120" w:after="120" w:line="240" w:lineRule="auto"/>
        <w:jc w:val="both"/>
        <w:rPr>
          <w:rFonts w:ascii="Times New Roman" w:eastAsia="Calibri" w:hAnsi="Times New Roman" w:cs="Arial"/>
          <w:b/>
          <w:noProof/>
          <w:kern w:val="0"/>
          <w:szCs w:val="22"/>
          <w:u w:val="single"/>
          <w14:ligatures w14:val="none"/>
        </w:rPr>
        <w:sectPr w:rsidR="008E6885" w:rsidSect="0048758A">
          <w:headerReference w:type="default" r:id="rId29"/>
          <w:footerReference w:type="default" r:id="rId30"/>
          <w:pgSz w:w="16838" w:h="11906" w:orient="landscape"/>
          <w:pgMar w:top="1440" w:right="1440" w:bottom="1440" w:left="1440" w:header="708" w:footer="708" w:gutter="0"/>
          <w:cols w:space="708"/>
          <w:docGrid w:linePitch="360"/>
        </w:sectPr>
      </w:pPr>
    </w:p>
    <w:p w14:paraId="5DCAC4F9" w14:textId="70423693" w:rsidR="008E6885" w:rsidRDefault="00EA24E7">
      <w:pPr>
        <w:pStyle w:val="P68B1DB1-Normal3"/>
        <w:keepNext/>
        <w:spacing w:before="480" w:after="360" w:line="240" w:lineRule="auto"/>
        <w:outlineLvl w:val="0"/>
        <w:rPr>
          <w:rFonts w:eastAsia="MS Gothic" w:cs="Times New Roman"/>
          <w:noProof/>
          <w:szCs w:val="28"/>
        </w:rPr>
      </w:pPr>
      <w:r>
        <w:rPr>
          <w:noProof/>
        </w:rPr>
        <w:t xml:space="preserve">D. Élément 4: SANTÉ </w:t>
      </w:r>
    </w:p>
    <w:p w14:paraId="46F37CB8" w14:textId="77777777" w:rsidR="008E6885" w:rsidRDefault="00EA24E7">
      <w:pPr>
        <w:pStyle w:val="P68B1DB1-Normal5"/>
        <w:spacing w:before="120" w:after="120" w:line="240" w:lineRule="auto"/>
        <w:jc w:val="both"/>
        <w:rPr>
          <w:rFonts w:eastAsia="Times New Roman" w:cs="Times New Roman"/>
          <w:noProof/>
        </w:rPr>
      </w:pPr>
      <w:r>
        <w:rPr>
          <w:noProof/>
        </w:rPr>
        <w:t>Ce volet du plan letton pour la reprise et la résilience contribue à relever les défis liés à la résilience, à l’accessibilité, à la qualité et au rapport coût-efficacité du système de santé et de ses ressources humaines. L’accès aux soins de santé en temps utile et sur un pied d’égalité est limité, en particulier pour les groupes vulnérables. La Lettonie fait état de besoins élevés non satisfaits en matière de soins de santé et d’importants paiements directs. Les modes de vie malsains sont une autre raison importante des mauvais résultats de santé. La pénurie de personnel de santé entrave la fourniture de soins de santé publics et menace le succès des réformes des soins de santé. Ces défis ont été exacerbés en particulier par la crise causée par la pandémie de COVID-19.</w:t>
      </w:r>
    </w:p>
    <w:p w14:paraId="060466C7" w14:textId="77777777" w:rsidR="008E6885" w:rsidRDefault="00EA24E7">
      <w:pPr>
        <w:pStyle w:val="P68B1DB1-Normal5"/>
        <w:spacing w:before="120" w:after="120" w:line="240" w:lineRule="auto"/>
        <w:jc w:val="both"/>
        <w:rPr>
          <w:rFonts w:cs="Times New Roman"/>
          <w:iCs/>
          <w:noProof/>
        </w:rPr>
      </w:pPr>
      <w:r>
        <w:rPr>
          <w:noProof/>
        </w:rPr>
        <w:t>Les objectifs du volet sont d’améliorer la résilience et l’accessibilité des soins de santé i) en élaborant un cadre et l’infrastructure nécessaire pour la fourniture de services de santé intégrés, en garantissant la capacité des établissements de santé à s’adapter aux situations de crise, ii) en développant de meilleurs modèles de prestation de services et iii) en améliorant la fourniture de ressources humaines et le système de perfectionnement professionnel pour les professionnels de la santé.</w:t>
      </w:r>
    </w:p>
    <w:p w14:paraId="71E7A227" w14:textId="77777777" w:rsidR="008E6885" w:rsidRDefault="00EA24E7">
      <w:pPr>
        <w:pStyle w:val="P68B1DB1-Normal5"/>
        <w:spacing w:before="120" w:after="120" w:line="240" w:lineRule="auto"/>
        <w:jc w:val="both"/>
        <w:rPr>
          <w:rFonts w:cs="Times New Roman"/>
          <w:iCs/>
          <w:noProof/>
        </w:rPr>
      </w:pPr>
      <w:r>
        <w:rPr>
          <w:noProof/>
        </w:rPr>
        <w:t xml:space="preserve">Le volet soutient la mise en œuvre des recommandations par pays visant à renforcer la résilience et l’accessibilité du système de santé, notamment en fournissant des ressources humaines et financières supplémentaires (recommandation par pays no 1, 2020) et à accroître l’accessibilité, la qualité et le rapport coût-efficacité du système de soins de santé (recommandation par pays no 2, 2019). </w:t>
      </w:r>
    </w:p>
    <w:p w14:paraId="5E44A568" w14:textId="77777777" w:rsidR="008E6885" w:rsidRDefault="00EA24E7">
      <w:pPr>
        <w:pStyle w:val="P68B1DB1-Normal5"/>
        <w:spacing w:after="240" w:line="240" w:lineRule="auto"/>
        <w:jc w:val="both"/>
        <w:rPr>
          <w:rFonts w:eastAsia="Times New Roman"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0A8A6EB6" w14:textId="77777777" w:rsidR="008E6885" w:rsidRDefault="00EA24E7">
      <w:pPr>
        <w:pStyle w:val="P68B1DB1-Normal1"/>
        <w:keepNext/>
        <w:keepLines/>
        <w:spacing w:after="240" w:line="240" w:lineRule="auto"/>
        <w:jc w:val="both"/>
        <w:outlineLvl w:val="1"/>
        <w:rPr>
          <w:rFonts w:eastAsia="Times New Roman" w:cs="Times New Roman"/>
          <w:noProof/>
        </w:rPr>
      </w:pPr>
      <w:r>
        <w:rPr>
          <w:noProof/>
        </w:rPr>
        <w:t>D.1. Description des réformes et des investissements pour le soutien financier non remboursable</w:t>
      </w:r>
    </w:p>
    <w:p w14:paraId="7BC5ED1E" w14:textId="77777777" w:rsidR="008E6885" w:rsidRDefault="00EA24E7">
      <w:pPr>
        <w:pStyle w:val="P68B1DB1-Normal15"/>
        <w:keepNext/>
        <w:keepLines/>
        <w:spacing w:after="240" w:line="240" w:lineRule="auto"/>
        <w:jc w:val="both"/>
        <w:rPr>
          <w:rFonts w:eastAsia="Times New Roman" w:cs="Times New Roman"/>
          <w:bCs/>
          <w:noProof/>
        </w:rPr>
      </w:pPr>
      <w:r>
        <w:rPr>
          <w:noProof/>
        </w:rPr>
        <w:t xml:space="preserve">Réforme: 4.1.1.r. Durabilité et résilience d’un système de soins de santé intégré, global et centré sur l’humain </w:t>
      </w:r>
    </w:p>
    <w:p w14:paraId="73269028" w14:textId="77777777" w:rsidR="008E6885" w:rsidRDefault="00EA24E7">
      <w:pPr>
        <w:pStyle w:val="P68B1DB1-Normal4"/>
        <w:spacing w:before="120" w:after="120" w:line="240" w:lineRule="auto"/>
        <w:jc w:val="both"/>
        <w:rPr>
          <w:rFonts w:cs="Times New Roman"/>
          <w:noProof/>
        </w:rPr>
      </w:pPr>
      <w:r>
        <w:rPr>
          <w:noProof/>
        </w:rPr>
        <w:t xml:space="preserve">L’objectif de la mesure est d’évoluer vers un système de soins de santé centré sur l’humain, complet et intégré, et d’assurer sa durabilité et sa résilience. </w:t>
      </w:r>
    </w:p>
    <w:p w14:paraId="29753CE7" w14:textId="77777777" w:rsidR="008E6885" w:rsidRDefault="00EA24E7">
      <w:pPr>
        <w:pStyle w:val="P68B1DB1-Normal4"/>
        <w:spacing w:after="240" w:line="240" w:lineRule="auto"/>
        <w:jc w:val="both"/>
        <w:rPr>
          <w:rFonts w:cs="Times New Roman"/>
          <w:noProof/>
        </w:rPr>
      </w:pPr>
      <w:r>
        <w:rPr>
          <w:noProof/>
        </w:rPr>
        <w:t>La mesure consiste en l’adoption d’une stratégie de santé numérique, le développement d’un modèle intégré de prestation de soins de santé, l’établissement d’une référence génomique et l’introduction d’une nouvelle gestion méthodologique en oncologie.</w:t>
      </w:r>
    </w:p>
    <w:p w14:paraId="11AE32D4" w14:textId="77777777" w:rsidR="008E6885" w:rsidRDefault="00EA24E7">
      <w:pPr>
        <w:pStyle w:val="P68B1DB1-Normal15"/>
        <w:keepNext/>
        <w:keepLines/>
        <w:spacing w:after="240" w:line="240" w:lineRule="auto"/>
        <w:jc w:val="both"/>
        <w:rPr>
          <w:rFonts w:cs="Times New Roman"/>
          <w:iCs/>
          <w:noProof/>
        </w:rPr>
      </w:pPr>
      <w:r>
        <w:rPr>
          <w:noProof/>
        </w:rPr>
        <w:t>Investissement: 4.1.1.1.i. Appui à la recherche en santé publique</w:t>
      </w:r>
    </w:p>
    <w:p w14:paraId="62E09860" w14:textId="77777777" w:rsidR="008E6885" w:rsidRDefault="00EA24E7">
      <w:pPr>
        <w:pStyle w:val="P68B1DB1-Normal4"/>
        <w:spacing w:before="120" w:after="120" w:line="240" w:lineRule="auto"/>
        <w:jc w:val="both"/>
        <w:rPr>
          <w:noProof/>
        </w:rPr>
      </w:pPr>
      <w:r>
        <w:rPr>
          <w:noProof/>
        </w:rPr>
        <w:t>L’objectif de la mesure est de réviser les politiques de santé publique.</w:t>
      </w:r>
    </w:p>
    <w:p w14:paraId="5D427EE7" w14:textId="77777777" w:rsidR="008E6885" w:rsidRDefault="00EA24E7">
      <w:pPr>
        <w:pStyle w:val="P68B1DB1-Normal4"/>
        <w:spacing w:after="240" w:line="240" w:lineRule="auto"/>
        <w:jc w:val="both"/>
        <w:rPr>
          <w:noProof/>
          <w:highlight w:val="cyan"/>
        </w:rPr>
      </w:pPr>
      <w:r>
        <w:rPr>
          <w:noProof/>
        </w:rPr>
        <w:t>La mesure consiste en l’entrée en vigueur d’un ou de plusieurs actes juridiques et en la publication de recommandations relatives aux politiques de santé publique, ainsi qu’en la publication d’études sur la résistance aux antimicrobiens, sur les raisons de la non-vaccination et sur les maladies infectieuses.</w:t>
      </w:r>
    </w:p>
    <w:p w14:paraId="5B0B5090" w14:textId="77777777" w:rsidR="008E6885" w:rsidRDefault="00EA24E7">
      <w:pPr>
        <w:pStyle w:val="P68B1DB1-Normal7"/>
        <w:keepNext/>
        <w:keepLines/>
        <w:spacing w:after="240" w:line="240" w:lineRule="auto"/>
        <w:jc w:val="both"/>
        <w:rPr>
          <w:rFonts w:cs="Times New Roman"/>
          <w:noProof/>
        </w:rPr>
      </w:pPr>
      <w:r>
        <w:rPr>
          <w:noProof/>
        </w:rPr>
        <w:t xml:space="preserve">Investissement: 4.1.1.2.i. Soutien à l'infrastructure ou à l'équipement des hôpitaux </w:t>
      </w:r>
    </w:p>
    <w:p w14:paraId="5C1E8CB0" w14:textId="77777777" w:rsidR="008E6885" w:rsidRDefault="00EA24E7">
      <w:pPr>
        <w:pStyle w:val="P68B1DB1-Normal4"/>
        <w:spacing w:before="120" w:after="120" w:line="240" w:lineRule="auto"/>
        <w:jc w:val="both"/>
        <w:rPr>
          <w:noProof/>
        </w:rPr>
      </w:pPr>
      <w:r>
        <w:rPr>
          <w:noProof/>
        </w:rPr>
        <w:t xml:space="preserve">L’objectif de la mesure est d’accroître la résilience du secteur de la santé et la disponibilité des services. </w:t>
      </w:r>
    </w:p>
    <w:p w14:paraId="1B0816C1" w14:textId="77777777" w:rsidR="008E6885" w:rsidRDefault="00EA24E7">
      <w:pPr>
        <w:pStyle w:val="P68B1DB1-Normal4"/>
        <w:spacing w:before="120" w:after="120" w:line="240" w:lineRule="auto"/>
        <w:jc w:val="both"/>
        <w:rPr>
          <w:noProof/>
        </w:rPr>
      </w:pPr>
      <w:r>
        <w:rPr>
          <w:noProof/>
        </w:rPr>
        <w:t>La mesure consiste en des investissements dans des infrastructures ou des équipements hospitaliers.</w:t>
      </w:r>
    </w:p>
    <w:p w14:paraId="205DA349" w14:textId="77777777" w:rsidR="008E6885" w:rsidRDefault="00EA24E7">
      <w:pPr>
        <w:pStyle w:val="P68B1DB1-Normal4"/>
        <w:spacing w:after="240" w:line="240" w:lineRule="auto"/>
        <w:jc w:val="both"/>
        <w:rPr>
          <w:rFonts w:cs="Times New Roman"/>
          <w:noProof/>
        </w:rPr>
      </w:pPr>
      <w:r>
        <w:rPr>
          <w:noProof/>
        </w:rPr>
        <w:t xml:space="preserve">La FRR prend en charge une partie des coûts de l’investissement dans les hôpitaux, qui peuvent également bénéficier d’un soutien d’autres programmes ou instruments de l’Union pour des coûts qui ne sont pas soutenus par la FRR. </w:t>
      </w:r>
    </w:p>
    <w:p w14:paraId="434DF1B3" w14:textId="77777777" w:rsidR="008E6885" w:rsidRDefault="00EA24E7">
      <w:pPr>
        <w:pStyle w:val="P68B1DB1-Normal7"/>
        <w:keepNext/>
        <w:keepLines/>
        <w:spacing w:after="240" w:line="240" w:lineRule="auto"/>
        <w:jc w:val="both"/>
        <w:rPr>
          <w:rFonts w:cs="Times New Roman"/>
          <w:noProof/>
        </w:rPr>
      </w:pPr>
      <w:r>
        <w:rPr>
          <w:noProof/>
        </w:rPr>
        <w:t xml:space="preserve">Investissement: 4.1.1.3.i. Soutien aux infrastructures ou aux équipements des prestataires de services de soins ambulatoires secondaires </w:t>
      </w:r>
    </w:p>
    <w:p w14:paraId="203E3320" w14:textId="77777777" w:rsidR="008E6885" w:rsidRDefault="00EA24E7">
      <w:pPr>
        <w:pStyle w:val="P68B1DB1-Normal4"/>
        <w:spacing w:before="120" w:after="120" w:line="240" w:lineRule="auto"/>
        <w:jc w:val="both"/>
        <w:rPr>
          <w:rFonts w:cs="Times New Roman"/>
          <w:noProof/>
        </w:rPr>
      </w:pPr>
      <w:r>
        <w:rPr>
          <w:noProof/>
        </w:rPr>
        <w:t xml:space="preserve">L’objectif de la mesure est de renforcer l’infrastructure ou l’équipement des prestataires de services ambulatoires secondaires. </w:t>
      </w:r>
    </w:p>
    <w:p w14:paraId="0D3C16F7" w14:textId="77777777" w:rsidR="008E6885" w:rsidRDefault="00EA24E7">
      <w:pPr>
        <w:pStyle w:val="P68B1DB1-Normal4"/>
        <w:spacing w:after="240" w:line="240" w:lineRule="auto"/>
        <w:jc w:val="both"/>
        <w:rPr>
          <w:rFonts w:cs="Times New Roman"/>
          <w:b/>
          <w:bCs/>
          <w:noProof/>
        </w:rPr>
      </w:pPr>
      <w:r>
        <w:rPr>
          <w:noProof/>
        </w:rPr>
        <w:t xml:space="preserve">La mesure consiste en des investissements dans des infrastructures ou des équipements destinés aux prestataires de services de soins de santé ambulatoires secondaires. </w:t>
      </w:r>
    </w:p>
    <w:p w14:paraId="5549A805" w14:textId="77777777" w:rsidR="008E6885" w:rsidRDefault="00EA24E7">
      <w:pPr>
        <w:pStyle w:val="P68B1DB1-Normal15"/>
        <w:keepNext/>
        <w:keepLines/>
        <w:spacing w:after="240" w:line="240" w:lineRule="auto"/>
        <w:jc w:val="both"/>
        <w:rPr>
          <w:rFonts w:cs="Times New Roman"/>
          <w:iCs/>
          <w:noProof/>
        </w:rPr>
      </w:pPr>
      <w:r>
        <w:rPr>
          <w:noProof/>
        </w:rPr>
        <w:t>Réforme: 4.2.1.r. Mise à disposition de ressources humaines et renforcement des compétences</w:t>
      </w:r>
    </w:p>
    <w:p w14:paraId="05BF9AB1" w14:textId="77777777" w:rsidR="008E6885" w:rsidRDefault="00EA24E7">
      <w:pPr>
        <w:pStyle w:val="P68B1DB1-Normal4"/>
        <w:spacing w:before="120" w:after="120" w:line="240" w:lineRule="auto"/>
        <w:jc w:val="both"/>
        <w:rPr>
          <w:rFonts w:cs="Times New Roman"/>
          <w:noProof/>
        </w:rPr>
      </w:pPr>
      <w:r>
        <w:rPr>
          <w:noProof/>
        </w:rPr>
        <w:t>L’objectif de la mesure est de réviser la gestion des ressources humaines et de soutenir le renforcement des compétences dans le secteur de la santé.</w:t>
      </w:r>
    </w:p>
    <w:p w14:paraId="229E27BC" w14:textId="77777777" w:rsidR="008E6885" w:rsidRDefault="00EA24E7">
      <w:pPr>
        <w:pStyle w:val="P68B1DB1-Normal4"/>
        <w:spacing w:after="240" w:line="240" w:lineRule="auto"/>
        <w:jc w:val="both"/>
        <w:rPr>
          <w:rFonts w:cs="Times New Roman"/>
          <w:noProof/>
        </w:rPr>
      </w:pPr>
      <w:r>
        <w:rPr>
          <w:noProof/>
        </w:rPr>
        <w:t>La mesure consiste en l’élaboration d’une stratégie en matière de ressources humaines, l’introduction d’un nouveau modèle de rémunération pour le personnel de santé et l’adoption d’un modèle de prévision des besoins en personnel de santé.</w:t>
      </w:r>
    </w:p>
    <w:p w14:paraId="286709F3" w14:textId="77777777" w:rsidR="008E6885" w:rsidRDefault="00EA24E7">
      <w:pPr>
        <w:pStyle w:val="P68B1DB1-Normal15"/>
        <w:keepNext/>
        <w:keepLines/>
        <w:spacing w:after="240" w:line="240" w:lineRule="auto"/>
        <w:jc w:val="both"/>
        <w:rPr>
          <w:rFonts w:cs="Times New Roman"/>
          <w:iCs/>
          <w:noProof/>
        </w:rPr>
      </w:pPr>
      <w:r>
        <w:rPr>
          <w:noProof/>
        </w:rPr>
        <w:t>Investissement: 4.2.1.1.i Appui à la mise en œuvre du système de mise en valeur des ressources humaines</w:t>
      </w:r>
    </w:p>
    <w:p w14:paraId="13F58107" w14:textId="77777777" w:rsidR="008E6885" w:rsidRDefault="00EA24E7">
      <w:pPr>
        <w:pStyle w:val="P68B1DB1-Normal4"/>
        <w:spacing w:before="120" w:after="120" w:line="240" w:lineRule="auto"/>
        <w:jc w:val="both"/>
        <w:rPr>
          <w:rFonts w:cs="Times New Roman"/>
          <w:noProof/>
        </w:rPr>
      </w:pPr>
      <w:r>
        <w:rPr>
          <w:noProof/>
        </w:rPr>
        <w:t>L’objectif de la mesure est d’introduire une approche commune pour la formation continue dans le domaine de la santé et d’introduire une approche de simulation dans le système d’éducation à la santé.</w:t>
      </w:r>
    </w:p>
    <w:p w14:paraId="4C63A389" w14:textId="77777777" w:rsidR="008E6885" w:rsidRDefault="00EA24E7">
      <w:pPr>
        <w:pStyle w:val="P68B1DB1-Normal4"/>
        <w:spacing w:after="240" w:line="240" w:lineRule="auto"/>
        <w:jc w:val="both"/>
        <w:rPr>
          <w:rFonts w:cs="Times New Roman"/>
          <w:noProof/>
        </w:rPr>
      </w:pPr>
      <w:r>
        <w:rPr>
          <w:noProof/>
        </w:rPr>
        <w:t xml:space="preserve">La mesure consiste en la mise en place d'un mécanisme de coordination pour la gestion du processus de formation continue et l'approbation d'une stratégie pour l'introduction de simulations dans la formation médicale. </w:t>
      </w:r>
    </w:p>
    <w:p w14:paraId="2585AF3D" w14:textId="77777777" w:rsidR="008E6885" w:rsidRDefault="00EA24E7">
      <w:pPr>
        <w:pStyle w:val="P68B1DB1-Normal7"/>
        <w:keepNext/>
        <w:keepLines/>
        <w:spacing w:after="240" w:line="240" w:lineRule="auto"/>
        <w:jc w:val="both"/>
        <w:rPr>
          <w:rFonts w:cs="Times New Roman"/>
          <w:iCs/>
          <w:noProof/>
        </w:rPr>
      </w:pPr>
      <w:r>
        <w:rPr>
          <w:noProof/>
        </w:rPr>
        <w:t>Réforme: 4.3.1.r. Durabilité des soins de santé et utilisation efficace des ressources de santé</w:t>
      </w:r>
    </w:p>
    <w:p w14:paraId="14A0834A" w14:textId="77777777" w:rsidR="008E6885" w:rsidRDefault="00EA24E7">
      <w:pPr>
        <w:pStyle w:val="P68B1DB1-Normal4"/>
        <w:spacing w:before="120" w:after="120" w:line="240" w:lineRule="auto"/>
        <w:jc w:val="both"/>
        <w:rPr>
          <w:rFonts w:cs="Times New Roman"/>
          <w:noProof/>
        </w:rPr>
      </w:pPr>
      <w:r>
        <w:rPr>
          <w:noProof/>
        </w:rPr>
        <w:t>L’objectif de la mesure est d’accroître l’efficacité de la fourniture de services de santé financés par l’État.</w:t>
      </w:r>
    </w:p>
    <w:p w14:paraId="6D9DB3E1" w14:textId="1E3875A5" w:rsidR="008E6885" w:rsidRDefault="00EA24E7">
      <w:pPr>
        <w:pStyle w:val="P68B1DB1-Normal4"/>
        <w:keepNext/>
        <w:keepLines/>
        <w:widowControl w:val="0"/>
        <w:spacing w:after="240" w:line="240" w:lineRule="auto"/>
        <w:contextualSpacing/>
        <w:jc w:val="both"/>
        <w:rPr>
          <w:noProof/>
        </w:rPr>
      </w:pPr>
      <w:r>
        <w:rPr>
          <w:noProof/>
        </w:rPr>
        <w:t>La mesure consiste à mettre en place une unité de coordination et à tester de nouveaux modèles de prestation de services de santé.</w:t>
      </w:r>
    </w:p>
    <w:p w14:paraId="5C9DACF4" w14:textId="77777777" w:rsidR="008E6885" w:rsidRDefault="008E6885">
      <w:pPr>
        <w:keepNext/>
        <w:keepLines/>
        <w:widowControl w:val="0"/>
        <w:spacing w:after="240" w:line="240" w:lineRule="auto"/>
        <w:contextualSpacing/>
        <w:jc w:val="both"/>
        <w:rPr>
          <w:rFonts w:ascii="Times New Roman" w:eastAsia="Calibri" w:hAnsi="Times New Roman" w:cs="Arial"/>
          <w:noProof/>
          <w:kern w:val="0"/>
          <w14:ligatures w14:val="none"/>
        </w:rPr>
      </w:pPr>
    </w:p>
    <w:p w14:paraId="560ABBA5" w14:textId="77777777" w:rsidR="008E6885" w:rsidRDefault="00EA24E7">
      <w:pPr>
        <w:pStyle w:val="P68B1DB1-Normal15"/>
        <w:keepNext/>
        <w:keepLines/>
        <w:widowControl w:val="0"/>
        <w:spacing w:after="240" w:line="240" w:lineRule="auto"/>
        <w:contextualSpacing/>
        <w:jc w:val="both"/>
        <w:rPr>
          <w:rFonts w:cs="Times New Roman"/>
          <w:iCs/>
          <w:noProof/>
        </w:rPr>
      </w:pPr>
      <w:r>
        <w:rPr>
          <w:noProof/>
        </w:rPr>
        <w:t>Investissement: 4.3.1.1.i. Soutien à l'évaluation et à l'amélioration de la qualité et de l'accessibilité des soins de santé secondaires non hospitaliers</w:t>
      </w:r>
    </w:p>
    <w:p w14:paraId="74CD7AFC" w14:textId="77777777" w:rsidR="008E6885" w:rsidRDefault="00EA24E7">
      <w:pPr>
        <w:pStyle w:val="P68B1DB1-Normal4"/>
        <w:spacing w:before="120" w:after="120" w:line="240" w:lineRule="auto"/>
        <w:jc w:val="both"/>
        <w:rPr>
          <w:rFonts w:cs="Times New Roman"/>
          <w:noProof/>
        </w:rPr>
      </w:pPr>
      <w:r>
        <w:rPr>
          <w:noProof/>
        </w:rPr>
        <w:t xml:space="preserve">L’objectif de la mesure est d’identifier les points faibles de la fourniture de services de soins de santé secondaires non hospitaliers rémunérés par l’État. </w:t>
      </w:r>
    </w:p>
    <w:p w14:paraId="09F411C8" w14:textId="77777777" w:rsidR="008E6885" w:rsidRDefault="00EA24E7">
      <w:pPr>
        <w:pStyle w:val="P68B1DB1-Normal4"/>
        <w:spacing w:before="120" w:after="120" w:line="240" w:lineRule="auto"/>
        <w:jc w:val="both"/>
        <w:rPr>
          <w:noProof/>
        </w:rPr>
      </w:pPr>
      <w:r>
        <w:rPr>
          <w:noProof/>
        </w:rPr>
        <w:t>La mesure consiste à mener une étude sur les services de soins de santé secondaires non hospitaliers, à modifier des actes juridiques relatifs aux politiques de santé publique et à publier des recommandations et des documents de planification de la prestation de services.</w:t>
      </w:r>
    </w:p>
    <w:p w14:paraId="5EC3729D" w14:textId="77777777" w:rsidR="008E6885" w:rsidRDefault="008E6885">
      <w:pPr>
        <w:spacing w:before="120" w:after="120" w:line="240" w:lineRule="auto"/>
        <w:jc w:val="both"/>
        <w:rPr>
          <w:rFonts w:ascii="Times New Roman" w:eastAsia="Calibri" w:hAnsi="Times New Roman" w:cs="Arial"/>
          <w:b/>
          <w:noProof/>
          <w:kern w:val="0"/>
          <w:szCs w:val="22"/>
          <w:u w:val="single"/>
          <w14:ligatures w14:val="none"/>
        </w:rPr>
        <w:sectPr w:rsidR="008E6885" w:rsidSect="0048758A">
          <w:headerReference w:type="default" r:id="rId31"/>
          <w:footerReference w:type="default" r:id="rId32"/>
          <w:pgSz w:w="11906" w:h="16838"/>
          <w:pgMar w:top="1440" w:right="1440" w:bottom="1440" w:left="1440" w:header="708" w:footer="708" w:gutter="0"/>
          <w:cols w:space="708"/>
          <w:docGrid w:linePitch="360"/>
        </w:sectPr>
      </w:pPr>
    </w:p>
    <w:p w14:paraId="1197EFB3" w14:textId="22F26F1F" w:rsidR="008E6885" w:rsidRDefault="00EA24E7">
      <w:pPr>
        <w:pStyle w:val="P68B1DB1-Normal1"/>
        <w:spacing w:before="120" w:after="120" w:line="240" w:lineRule="auto"/>
        <w:jc w:val="center"/>
        <w:rPr>
          <w:noProof/>
        </w:rPr>
      </w:pPr>
      <w:r>
        <w:rPr>
          <w:noProof/>
        </w:rPr>
        <w:t>D.2. Étapes, cibles, indicateurs et calendrier pour le suivi et la mise en œuvre du soutien financier non remboursable</w:t>
      </w:r>
    </w:p>
    <w:tbl>
      <w:tblPr>
        <w:tblW w:w="50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
        <w:gridCol w:w="1760"/>
        <w:gridCol w:w="1099"/>
        <w:gridCol w:w="1884"/>
        <w:gridCol w:w="1626"/>
        <w:gridCol w:w="1026"/>
        <w:gridCol w:w="992"/>
        <w:gridCol w:w="850"/>
        <w:gridCol w:w="993"/>
        <w:gridCol w:w="708"/>
        <w:gridCol w:w="2594"/>
        <w:gridCol w:w="6"/>
      </w:tblGrid>
      <w:tr w:rsidR="008E6885" w14:paraId="25D5530D" w14:textId="77777777" w:rsidTr="00D57C89">
        <w:trPr>
          <w:tblHeader/>
        </w:trPr>
        <w:tc>
          <w:tcPr>
            <w:tcW w:w="686" w:type="dxa"/>
            <w:vMerge w:val="restart"/>
            <w:shd w:val="clear" w:color="auto" w:fill="BDD7EE"/>
            <w:vAlign w:val="center"/>
          </w:tcPr>
          <w:p w14:paraId="72D3C373" w14:textId="77777777" w:rsidR="008E6885" w:rsidRDefault="00EA24E7">
            <w:pPr>
              <w:pStyle w:val="P68B1DB1-Normal17"/>
              <w:spacing w:before="120" w:after="120" w:line="240" w:lineRule="auto"/>
              <w:jc w:val="center"/>
              <w:rPr>
                <w:rFonts w:cs="Times New Roman"/>
                <w:noProof/>
              </w:rPr>
            </w:pPr>
            <w:r>
              <w:rPr>
                <w:noProof/>
              </w:rPr>
              <w:t>Nr.</w:t>
            </w:r>
          </w:p>
        </w:tc>
        <w:tc>
          <w:tcPr>
            <w:tcW w:w="1760" w:type="dxa"/>
            <w:vMerge w:val="restart"/>
            <w:shd w:val="clear" w:color="auto" w:fill="BDD7EE"/>
            <w:vAlign w:val="center"/>
          </w:tcPr>
          <w:p w14:paraId="40FE12FB" w14:textId="77777777" w:rsidR="008E6885" w:rsidRDefault="00EA24E7">
            <w:pPr>
              <w:pStyle w:val="P68B1DB1-Normal17"/>
              <w:spacing w:before="120" w:after="120" w:line="240" w:lineRule="auto"/>
              <w:jc w:val="center"/>
              <w:rPr>
                <w:rFonts w:cs="Times New Roman"/>
                <w:noProof/>
              </w:rPr>
            </w:pPr>
            <w:r>
              <w:rPr>
                <w:noProof/>
              </w:rPr>
              <w:t>Mesure connexe (réforme ou investissement)</w:t>
            </w:r>
          </w:p>
        </w:tc>
        <w:tc>
          <w:tcPr>
            <w:tcW w:w="1099" w:type="dxa"/>
            <w:vMerge w:val="restart"/>
            <w:shd w:val="clear" w:color="auto" w:fill="BDD7EE"/>
            <w:vAlign w:val="center"/>
          </w:tcPr>
          <w:p w14:paraId="6E2AF8EE" w14:textId="77777777" w:rsidR="008E6885" w:rsidRDefault="00EA24E7">
            <w:pPr>
              <w:pStyle w:val="P68B1DB1-Normal17"/>
              <w:spacing w:before="120" w:after="120" w:line="240" w:lineRule="auto"/>
              <w:jc w:val="center"/>
              <w:rPr>
                <w:rFonts w:cs="Times New Roman"/>
                <w:noProof/>
              </w:rPr>
            </w:pPr>
            <w:r>
              <w:rPr>
                <w:noProof/>
              </w:rPr>
              <w:t>Étape/cible</w:t>
            </w:r>
          </w:p>
        </w:tc>
        <w:tc>
          <w:tcPr>
            <w:tcW w:w="1884" w:type="dxa"/>
            <w:vMerge w:val="restart"/>
            <w:shd w:val="clear" w:color="auto" w:fill="BDD7EE"/>
            <w:vAlign w:val="center"/>
          </w:tcPr>
          <w:p w14:paraId="019CA2D3" w14:textId="77777777" w:rsidR="008E6885" w:rsidRDefault="00EA24E7">
            <w:pPr>
              <w:pStyle w:val="P68B1DB1-Normal17"/>
              <w:spacing w:before="120" w:after="120" w:line="240" w:lineRule="auto"/>
              <w:jc w:val="center"/>
              <w:rPr>
                <w:rFonts w:cs="Times New Roman"/>
                <w:noProof/>
              </w:rPr>
            </w:pPr>
            <w:r>
              <w:rPr>
                <w:noProof/>
              </w:rPr>
              <w:t>Nom</w:t>
            </w:r>
          </w:p>
        </w:tc>
        <w:tc>
          <w:tcPr>
            <w:tcW w:w="1626" w:type="dxa"/>
            <w:vMerge w:val="restart"/>
            <w:shd w:val="clear" w:color="auto" w:fill="BDD7EE"/>
            <w:vAlign w:val="center"/>
          </w:tcPr>
          <w:p w14:paraId="711F1C8A" w14:textId="77777777" w:rsidR="008E6885" w:rsidRDefault="00EA24E7">
            <w:pPr>
              <w:pStyle w:val="P68B1DB1-Normal18"/>
              <w:spacing w:before="120" w:after="120" w:line="240" w:lineRule="auto"/>
              <w:jc w:val="center"/>
              <w:rPr>
                <w:rFonts w:ascii="Times New Roman" w:eastAsia="Calibri" w:hAnsi="Times New Roman" w:cs="Times New Roman"/>
                <w:noProof/>
              </w:rPr>
            </w:pPr>
            <w:r>
              <w:rPr>
                <w:rFonts w:ascii="Times New Roman" w:eastAsia="Calibri" w:hAnsi="Times New Roman" w:cs="Arial"/>
                <w:b/>
                <w:noProof/>
              </w:rPr>
              <w:t>Indicateurs qualitatifs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(pour les jalons)</w:t>
            </w:r>
          </w:p>
        </w:tc>
        <w:tc>
          <w:tcPr>
            <w:tcW w:w="2868" w:type="dxa"/>
            <w:gridSpan w:val="3"/>
            <w:shd w:val="clear" w:color="auto" w:fill="BDD7EE"/>
            <w:vAlign w:val="center"/>
          </w:tcPr>
          <w:p w14:paraId="5196DA8F" w14:textId="77777777" w:rsidR="008E6885" w:rsidRDefault="00EA24E7">
            <w:pPr>
              <w:pStyle w:val="P68B1DB1-Normal18"/>
              <w:spacing w:before="120" w:after="120" w:line="240" w:lineRule="auto"/>
              <w:jc w:val="center"/>
              <w:rPr>
                <w:rFonts w:ascii="Times New Roman" w:eastAsia="Calibri" w:hAnsi="Times New Roman" w:cs="Times New Roman"/>
                <w:noProof/>
              </w:rPr>
            </w:pPr>
            <w:r>
              <w:rPr>
                <w:rFonts w:ascii="Times New Roman" w:eastAsia="Calibri" w:hAnsi="Times New Roman" w:cs="Arial"/>
                <w:b/>
                <w:noProof/>
              </w:rPr>
              <w:t>Indicateurs quantitatifs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(pour les objectifs)</w:t>
            </w:r>
          </w:p>
        </w:tc>
        <w:tc>
          <w:tcPr>
            <w:tcW w:w="1701" w:type="dxa"/>
            <w:gridSpan w:val="2"/>
            <w:shd w:val="clear" w:color="auto" w:fill="BDD7EE"/>
            <w:vAlign w:val="center"/>
          </w:tcPr>
          <w:p w14:paraId="234B9211" w14:textId="77777777" w:rsidR="008E6885" w:rsidRDefault="00EA24E7">
            <w:pPr>
              <w:pStyle w:val="P68B1DB1-Normal17"/>
              <w:spacing w:before="120" w:after="120" w:line="240" w:lineRule="auto"/>
              <w:jc w:val="center"/>
              <w:rPr>
                <w:rFonts w:cs="Times New Roman"/>
                <w:noProof/>
              </w:rPr>
            </w:pPr>
            <w:r>
              <w:rPr>
                <w:noProof/>
              </w:rPr>
              <w:t>Calendrier indicatif d'achèvement</w:t>
            </w:r>
          </w:p>
        </w:tc>
        <w:tc>
          <w:tcPr>
            <w:tcW w:w="2600" w:type="dxa"/>
            <w:gridSpan w:val="2"/>
            <w:vMerge w:val="restart"/>
            <w:shd w:val="clear" w:color="auto" w:fill="BDD7EE"/>
            <w:vAlign w:val="center"/>
          </w:tcPr>
          <w:p w14:paraId="252F6228" w14:textId="77777777" w:rsidR="008E6885" w:rsidRDefault="00EA24E7">
            <w:pPr>
              <w:pStyle w:val="P68B1DB1-Normal17"/>
              <w:spacing w:before="120" w:after="120" w:line="240" w:lineRule="auto"/>
              <w:jc w:val="center"/>
              <w:rPr>
                <w:rFonts w:cs="Times New Roman"/>
                <w:noProof/>
              </w:rPr>
            </w:pPr>
            <w:r>
              <w:rPr>
                <w:noProof/>
              </w:rPr>
              <w:t>Description de chaque jalon et cible</w:t>
            </w:r>
          </w:p>
        </w:tc>
      </w:tr>
      <w:tr w:rsidR="008E6885" w14:paraId="34A21860" w14:textId="77777777" w:rsidTr="00D57C89">
        <w:trPr>
          <w:tblHeader/>
        </w:trPr>
        <w:tc>
          <w:tcPr>
            <w:tcW w:w="686" w:type="dxa"/>
            <w:vMerge/>
            <w:vAlign w:val="center"/>
          </w:tcPr>
          <w:p w14:paraId="03DFEE3F" w14:textId="77777777" w:rsidR="008E6885" w:rsidRDefault="008E6885">
            <w:pPr>
              <w:spacing w:before="120" w:after="120" w:line="240" w:lineRule="auto"/>
              <w:jc w:val="both"/>
              <w:rPr>
                <w:rFonts w:ascii="Times New Roman" w:eastAsia="Calibri" w:hAnsi="Times New Roman" w:cs="Times New Roman"/>
                <w:noProof/>
                <w:kern w:val="0"/>
                <w:sz w:val="18"/>
                <w:szCs w:val="18"/>
                <w14:ligatures w14:val="none"/>
              </w:rPr>
            </w:pPr>
          </w:p>
        </w:tc>
        <w:tc>
          <w:tcPr>
            <w:tcW w:w="1760" w:type="dxa"/>
            <w:vMerge/>
            <w:vAlign w:val="center"/>
          </w:tcPr>
          <w:p w14:paraId="40C3962B" w14:textId="77777777" w:rsidR="008E6885" w:rsidRDefault="008E6885">
            <w:pPr>
              <w:spacing w:before="120" w:after="120" w:line="240" w:lineRule="auto"/>
              <w:jc w:val="both"/>
              <w:rPr>
                <w:rFonts w:ascii="Times New Roman" w:eastAsia="Calibri" w:hAnsi="Times New Roman" w:cs="Times New Roman"/>
                <w:noProof/>
                <w:kern w:val="0"/>
                <w:sz w:val="18"/>
                <w:szCs w:val="18"/>
                <w14:ligatures w14:val="none"/>
              </w:rPr>
            </w:pPr>
          </w:p>
        </w:tc>
        <w:tc>
          <w:tcPr>
            <w:tcW w:w="1099" w:type="dxa"/>
            <w:vMerge/>
            <w:vAlign w:val="center"/>
          </w:tcPr>
          <w:p w14:paraId="2A64BAB3" w14:textId="77777777" w:rsidR="008E6885" w:rsidRDefault="008E6885">
            <w:pPr>
              <w:spacing w:before="120" w:after="120" w:line="240" w:lineRule="auto"/>
              <w:jc w:val="both"/>
              <w:rPr>
                <w:rFonts w:ascii="Times New Roman" w:eastAsia="Calibri" w:hAnsi="Times New Roman" w:cs="Times New Roman"/>
                <w:noProof/>
                <w:kern w:val="0"/>
                <w:sz w:val="18"/>
                <w:szCs w:val="18"/>
                <w14:ligatures w14:val="none"/>
              </w:rPr>
            </w:pPr>
          </w:p>
        </w:tc>
        <w:tc>
          <w:tcPr>
            <w:tcW w:w="1884" w:type="dxa"/>
            <w:vMerge/>
            <w:vAlign w:val="center"/>
          </w:tcPr>
          <w:p w14:paraId="755B3F03" w14:textId="77777777" w:rsidR="008E6885" w:rsidRDefault="008E6885">
            <w:pPr>
              <w:spacing w:before="120" w:after="120" w:line="240" w:lineRule="auto"/>
              <w:jc w:val="both"/>
              <w:rPr>
                <w:rFonts w:ascii="Times New Roman" w:eastAsia="Calibri" w:hAnsi="Times New Roman" w:cs="Times New Roman"/>
                <w:noProof/>
                <w:kern w:val="0"/>
                <w:sz w:val="18"/>
                <w:szCs w:val="18"/>
                <w14:ligatures w14:val="none"/>
              </w:rPr>
            </w:pPr>
          </w:p>
        </w:tc>
        <w:tc>
          <w:tcPr>
            <w:tcW w:w="1626" w:type="dxa"/>
            <w:vMerge/>
            <w:vAlign w:val="center"/>
          </w:tcPr>
          <w:p w14:paraId="488D5C10" w14:textId="77777777" w:rsidR="008E6885" w:rsidRDefault="008E6885">
            <w:pPr>
              <w:spacing w:before="120" w:after="120" w:line="240" w:lineRule="auto"/>
              <w:jc w:val="both"/>
              <w:rPr>
                <w:rFonts w:ascii="Times New Roman" w:eastAsia="Calibri" w:hAnsi="Times New Roman" w:cs="Times New Roman"/>
                <w:noProof/>
                <w:kern w:val="0"/>
                <w:sz w:val="18"/>
                <w:szCs w:val="18"/>
                <w14:ligatures w14:val="none"/>
              </w:rPr>
            </w:pPr>
          </w:p>
        </w:tc>
        <w:tc>
          <w:tcPr>
            <w:tcW w:w="1026" w:type="dxa"/>
            <w:shd w:val="clear" w:color="auto" w:fill="BDD7EE"/>
            <w:vAlign w:val="center"/>
          </w:tcPr>
          <w:p w14:paraId="7211A2F5" w14:textId="77777777" w:rsidR="008E6885" w:rsidRDefault="00EA24E7">
            <w:pPr>
              <w:pStyle w:val="P68B1DB1-Normal17"/>
              <w:spacing w:before="120" w:after="120" w:line="240" w:lineRule="auto"/>
              <w:jc w:val="center"/>
              <w:rPr>
                <w:rFonts w:cs="Times New Roman"/>
                <w:noProof/>
              </w:rPr>
            </w:pPr>
            <w:r>
              <w:rPr>
                <w:noProof/>
              </w:rPr>
              <w:t>Unité de mesure</w:t>
            </w:r>
          </w:p>
        </w:tc>
        <w:tc>
          <w:tcPr>
            <w:tcW w:w="992" w:type="dxa"/>
            <w:shd w:val="clear" w:color="auto" w:fill="BDD7EE"/>
            <w:vAlign w:val="center"/>
          </w:tcPr>
          <w:p w14:paraId="29A58658" w14:textId="77777777" w:rsidR="008E6885" w:rsidRDefault="00EA24E7">
            <w:pPr>
              <w:pStyle w:val="P68B1DB1-Normal17"/>
              <w:spacing w:before="120" w:after="120" w:line="240" w:lineRule="auto"/>
              <w:jc w:val="center"/>
              <w:rPr>
                <w:rFonts w:cs="Times New Roman"/>
                <w:noProof/>
              </w:rPr>
            </w:pPr>
            <w:r>
              <w:rPr>
                <w:noProof/>
              </w:rPr>
              <w:t>Données de référence</w:t>
            </w:r>
          </w:p>
        </w:tc>
        <w:tc>
          <w:tcPr>
            <w:tcW w:w="850" w:type="dxa"/>
            <w:shd w:val="clear" w:color="auto" w:fill="BDD7EE"/>
            <w:vAlign w:val="center"/>
          </w:tcPr>
          <w:p w14:paraId="4E1FA2D4" w14:textId="77777777" w:rsidR="008E6885" w:rsidRDefault="00EA24E7">
            <w:pPr>
              <w:pStyle w:val="P68B1DB1-Normal17"/>
              <w:spacing w:before="120" w:after="120" w:line="240" w:lineRule="auto"/>
              <w:jc w:val="center"/>
              <w:rPr>
                <w:rFonts w:cs="Times New Roman"/>
                <w:noProof/>
              </w:rPr>
            </w:pPr>
            <w:r>
              <w:rPr>
                <w:noProof/>
              </w:rPr>
              <w:t>Objectif</w:t>
            </w:r>
          </w:p>
        </w:tc>
        <w:tc>
          <w:tcPr>
            <w:tcW w:w="993" w:type="dxa"/>
            <w:shd w:val="clear" w:color="auto" w:fill="BDD7EE"/>
            <w:vAlign w:val="center"/>
          </w:tcPr>
          <w:p w14:paraId="2EB67615" w14:textId="77777777" w:rsidR="008E6885" w:rsidRDefault="00EA24E7">
            <w:pPr>
              <w:pStyle w:val="P68B1DB1-Normal17"/>
              <w:spacing w:before="120" w:after="120" w:line="240" w:lineRule="auto"/>
              <w:jc w:val="center"/>
              <w:rPr>
                <w:rFonts w:cs="Times New Roman"/>
                <w:noProof/>
              </w:rPr>
            </w:pPr>
            <w:r>
              <w:rPr>
                <w:noProof/>
              </w:rPr>
              <w:t>Trimestre</w:t>
            </w:r>
          </w:p>
        </w:tc>
        <w:tc>
          <w:tcPr>
            <w:tcW w:w="708" w:type="dxa"/>
            <w:shd w:val="clear" w:color="auto" w:fill="BDD7EE"/>
            <w:vAlign w:val="center"/>
          </w:tcPr>
          <w:p w14:paraId="28DCE004" w14:textId="77777777" w:rsidR="008E6885" w:rsidRDefault="00EA24E7">
            <w:pPr>
              <w:pStyle w:val="P68B1DB1-Normal17"/>
              <w:spacing w:before="120" w:after="120" w:line="240" w:lineRule="auto"/>
              <w:jc w:val="center"/>
              <w:rPr>
                <w:rFonts w:cs="Times New Roman"/>
                <w:noProof/>
              </w:rPr>
            </w:pPr>
            <w:r>
              <w:rPr>
                <w:noProof/>
              </w:rPr>
              <w:t>Année</w:t>
            </w:r>
          </w:p>
        </w:tc>
        <w:tc>
          <w:tcPr>
            <w:tcW w:w="2600" w:type="dxa"/>
            <w:gridSpan w:val="2"/>
            <w:vMerge/>
            <w:vAlign w:val="center"/>
          </w:tcPr>
          <w:p w14:paraId="3C8AD1DE" w14:textId="77777777" w:rsidR="008E6885" w:rsidRDefault="008E6885">
            <w:pPr>
              <w:spacing w:before="120" w:after="120" w:line="240" w:lineRule="auto"/>
              <w:jc w:val="both"/>
              <w:rPr>
                <w:rFonts w:ascii="Times New Roman" w:eastAsia="Calibri" w:hAnsi="Times New Roman" w:cs="Times New Roman"/>
                <w:noProof/>
                <w:kern w:val="0"/>
                <w:sz w:val="18"/>
                <w:szCs w:val="18"/>
                <w14:ligatures w14:val="none"/>
              </w:rPr>
            </w:pPr>
          </w:p>
        </w:tc>
      </w:tr>
      <w:tr w:rsidR="008E6885" w14:paraId="003C23CA" w14:textId="77777777" w:rsidTr="00D57C89">
        <w:trPr>
          <w:gridAfter w:val="1"/>
          <w:wAfter w:w="6" w:type="dxa"/>
        </w:trPr>
        <w:tc>
          <w:tcPr>
            <w:tcW w:w="686" w:type="dxa"/>
            <w:shd w:val="clear" w:color="auto" w:fill="C6EFCE"/>
          </w:tcPr>
          <w:p w14:paraId="498DF5D6" w14:textId="77777777" w:rsidR="008E6885" w:rsidRDefault="00EA24E7">
            <w:pPr>
              <w:pStyle w:val="P68B1DB1-Normal19"/>
              <w:spacing w:before="120" w:after="120" w:line="240" w:lineRule="auto"/>
              <w:rPr>
                <w:rFonts w:cs="Times New Roman"/>
                <w:noProof/>
              </w:rPr>
            </w:pPr>
            <w:r>
              <w:rPr>
                <w:noProof/>
              </w:rPr>
              <w:t>131</w:t>
            </w:r>
          </w:p>
        </w:tc>
        <w:tc>
          <w:tcPr>
            <w:tcW w:w="1760" w:type="dxa"/>
            <w:shd w:val="clear" w:color="auto" w:fill="C6EFCE"/>
          </w:tcPr>
          <w:p w14:paraId="661D0036" w14:textId="77777777" w:rsidR="008E6885" w:rsidRDefault="00EA24E7">
            <w:pPr>
              <w:pStyle w:val="P68B1DB1-Normal17"/>
              <w:spacing w:before="120" w:after="120" w:line="240" w:lineRule="auto"/>
              <w:contextualSpacing/>
              <w:rPr>
                <w:rFonts w:cs="Times New Roman"/>
                <w:bCs/>
                <w:noProof/>
              </w:rPr>
            </w:pPr>
            <w:r>
              <w:rPr>
                <w:noProof/>
              </w:rPr>
              <w:t xml:space="preserve">4.1.1.r. </w:t>
            </w:r>
          </w:p>
          <w:p w14:paraId="019DFFEC" w14:textId="77777777" w:rsidR="008E6885" w:rsidRDefault="00EA24E7">
            <w:pPr>
              <w:pStyle w:val="P68B1DB1-Normal17"/>
              <w:spacing w:before="120" w:after="120" w:line="240" w:lineRule="auto"/>
              <w:contextualSpacing/>
              <w:rPr>
                <w:rFonts w:cs="Times New Roman"/>
                <w:noProof/>
              </w:rPr>
            </w:pPr>
            <w:r>
              <w:rPr>
                <w:noProof/>
              </w:rPr>
              <w:t>Durabilité et résilience d'un système de soins de santé global, intégré et centré sur l'humain</w:t>
            </w:r>
          </w:p>
        </w:tc>
        <w:tc>
          <w:tcPr>
            <w:tcW w:w="1099" w:type="dxa"/>
            <w:shd w:val="clear" w:color="auto" w:fill="C6EFCE"/>
          </w:tcPr>
          <w:p w14:paraId="256FAE38"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487B57A3" w14:textId="77777777" w:rsidR="008E6885" w:rsidRDefault="00EA24E7">
            <w:pPr>
              <w:pStyle w:val="P68B1DB1-Normal19"/>
              <w:spacing w:before="120" w:after="120" w:line="240" w:lineRule="auto"/>
              <w:rPr>
                <w:rFonts w:cs="Times New Roman"/>
                <w:noProof/>
              </w:rPr>
            </w:pPr>
            <w:r>
              <w:rPr>
                <w:noProof/>
              </w:rPr>
              <w:t>Adoption d’une stratégie en matière de santé numérique</w:t>
            </w:r>
          </w:p>
        </w:tc>
        <w:tc>
          <w:tcPr>
            <w:tcW w:w="1626" w:type="dxa"/>
            <w:shd w:val="clear" w:color="auto" w:fill="C6EFCE"/>
          </w:tcPr>
          <w:p w14:paraId="3EDDDD85" w14:textId="77777777" w:rsidR="008E6885" w:rsidRDefault="00EA24E7">
            <w:pPr>
              <w:pStyle w:val="P68B1DB1-Normal19"/>
              <w:spacing w:before="120" w:after="120" w:line="240" w:lineRule="auto"/>
              <w:rPr>
                <w:rFonts w:cs="Times New Roman"/>
                <w:noProof/>
              </w:rPr>
            </w:pPr>
            <w:r>
              <w:rPr>
                <w:noProof/>
              </w:rPr>
              <w:t>Stratégie de santé numérique adoptée par le ministère de la Santé</w:t>
            </w:r>
          </w:p>
        </w:tc>
        <w:tc>
          <w:tcPr>
            <w:tcW w:w="1026" w:type="dxa"/>
            <w:shd w:val="clear" w:color="auto" w:fill="C6EFCE"/>
          </w:tcPr>
          <w:p w14:paraId="60881C9E"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60BEC96A"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1241D68E"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02D0C069" w14:textId="77777777" w:rsidR="008E6885" w:rsidRDefault="00EA24E7">
            <w:pPr>
              <w:pStyle w:val="P68B1DB1-Normal19"/>
              <w:spacing w:before="120" w:after="120" w:line="240" w:lineRule="auto"/>
              <w:jc w:val="center"/>
              <w:rPr>
                <w:rFonts w:cs="Times New Roman"/>
                <w:noProof/>
              </w:rPr>
            </w:pPr>
            <w:r>
              <w:rPr>
                <w:noProof/>
              </w:rPr>
              <w:t>T3</w:t>
            </w:r>
          </w:p>
        </w:tc>
        <w:tc>
          <w:tcPr>
            <w:tcW w:w="708" w:type="dxa"/>
            <w:shd w:val="clear" w:color="auto" w:fill="C6EFCE"/>
          </w:tcPr>
          <w:p w14:paraId="1D721FD0" w14:textId="77777777" w:rsidR="008E6885" w:rsidRDefault="00EA24E7">
            <w:pPr>
              <w:pStyle w:val="P68B1DB1-Normal19"/>
              <w:spacing w:before="120" w:after="120" w:line="240" w:lineRule="auto"/>
              <w:jc w:val="center"/>
              <w:rPr>
                <w:rFonts w:cs="Times New Roman"/>
                <w:noProof/>
              </w:rPr>
            </w:pPr>
            <w:r>
              <w:rPr>
                <w:noProof/>
              </w:rPr>
              <w:t>2022</w:t>
            </w:r>
          </w:p>
        </w:tc>
        <w:tc>
          <w:tcPr>
            <w:tcW w:w="2594" w:type="dxa"/>
            <w:shd w:val="clear" w:color="auto" w:fill="C6EFCE"/>
          </w:tcPr>
          <w:p w14:paraId="3E3B33B9" w14:textId="77777777" w:rsidR="008E6885" w:rsidRDefault="00EA24E7">
            <w:pPr>
              <w:pStyle w:val="P68B1DB1-Normal19"/>
              <w:spacing w:before="120" w:after="120" w:line="240" w:lineRule="auto"/>
              <w:jc w:val="both"/>
              <w:rPr>
                <w:rFonts w:cs="Times New Roman"/>
                <w:noProof/>
              </w:rPr>
            </w:pPr>
            <w:r>
              <w:rPr>
                <w:noProof/>
              </w:rPr>
              <w:t>Le jalon est réputé atteint après l’approbation de la stratégie en matière de santé numérique par le ministère de la santé. La stratégie est élaborée conformément aux lignes directrices en matière de santé publique pour la période 2021-2027 et aux lignes directrices pour la transformation numérique pour la période 2021-2027. La stratégie contient un plan d'action et un cadre de suivi. La stratégie couvre des aspects tels que les soins de santé, l’utilisation des données à des fins de recherche, l’utilisation commune des données, la gestion des données, les systèmes et solutions informatiques du secteur de la santé publique, les systèmes informatiques privés, l’échange transfrontière de données et les compétences numériques.</w:t>
            </w:r>
          </w:p>
        </w:tc>
      </w:tr>
      <w:tr w:rsidR="008E6885" w14:paraId="07AAD1F4" w14:textId="77777777" w:rsidTr="00D57C89">
        <w:trPr>
          <w:gridAfter w:val="1"/>
          <w:wAfter w:w="6" w:type="dxa"/>
        </w:trPr>
        <w:tc>
          <w:tcPr>
            <w:tcW w:w="686" w:type="dxa"/>
            <w:shd w:val="clear" w:color="auto" w:fill="C6EFCE"/>
          </w:tcPr>
          <w:p w14:paraId="1E35BF39" w14:textId="77777777" w:rsidR="008E6885" w:rsidRDefault="00EA24E7">
            <w:pPr>
              <w:pStyle w:val="P68B1DB1-Normal19"/>
              <w:spacing w:before="120" w:after="120" w:line="240" w:lineRule="auto"/>
              <w:rPr>
                <w:rFonts w:cs="Times New Roman"/>
                <w:noProof/>
              </w:rPr>
            </w:pPr>
            <w:r>
              <w:rPr>
                <w:noProof/>
              </w:rPr>
              <w:t>132</w:t>
            </w:r>
          </w:p>
        </w:tc>
        <w:tc>
          <w:tcPr>
            <w:tcW w:w="1760" w:type="dxa"/>
            <w:shd w:val="clear" w:color="auto" w:fill="C6EFCE"/>
          </w:tcPr>
          <w:p w14:paraId="0EF5A216" w14:textId="77777777" w:rsidR="008E6885" w:rsidRDefault="00EA24E7">
            <w:pPr>
              <w:pStyle w:val="P68B1DB1-Normal17"/>
              <w:spacing w:before="120" w:after="120" w:line="240" w:lineRule="auto"/>
              <w:contextualSpacing/>
              <w:rPr>
                <w:rFonts w:cs="Times New Roman"/>
                <w:bCs/>
                <w:noProof/>
              </w:rPr>
            </w:pPr>
            <w:r>
              <w:rPr>
                <w:noProof/>
              </w:rPr>
              <w:t xml:space="preserve">4.1.1.r. </w:t>
            </w:r>
          </w:p>
          <w:p w14:paraId="0057E696" w14:textId="77777777" w:rsidR="008E6885" w:rsidRDefault="00EA24E7">
            <w:pPr>
              <w:pStyle w:val="P68B1DB1-Normal17"/>
              <w:spacing w:before="120" w:after="120" w:line="240" w:lineRule="auto"/>
              <w:contextualSpacing/>
              <w:rPr>
                <w:rFonts w:cs="Times New Roman"/>
                <w:noProof/>
              </w:rPr>
            </w:pPr>
            <w:r>
              <w:rPr>
                <w:noProof/>
              </w:rPr>
              <w:t>Durabilité et résilience d'un système de soins de santé global, intégré et centré sur l'humain</w:t>
            </w:r>
          </w:p>
        </w:tc>
        <w:tc>
          <w:tcPr>
            <w:tcW w:w="1099" w:type="dxa"/>
            <w:shd w:val="clear" w:color="auto" w:fill="C6EFCE"/>
          </w:tcPr>
          <w:p w14:paraId="4735ABA2"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710646F5" w14:textId="77777777" w:rsidR="008E6885" w:rsidRDefault="00EA24E7">
            <w:pPr>
              <w:pStyle w:val="P68B1DB1-Normal19"/>
              <w:spacing w:before="120" w:after="120" w:line="240" w:lineRule="auto"/>
              <w:rPr>
                <w:rFonts w:cs="Times New Roman"/>
                <w:noProof/>
              </w:rPr>
            </w:pPr>
            <w:r>
              <w:rPr>
                <w:noProof/>
              </w:rPr>
              <w:t>Élaboration d'un modèle de prestation de soins de santé axé sur l'humain, complet et intégré grâce à l'élaboration d'une stratégie d'investissement et de recommandations pour l'élaboration de soins de santé intégrés et épidémiologiquement sûrs</w:t>
            </w:r>
          </w:p>
        </w:tc>
        <w:tc>
          <w:tcPr>
            <w:tcW w:w="1626" w:type="dxa"/>
            <w:shd w:val="clear" w:color="auto" w:fill="C6EFCE"/>
          </w:tcPr>
          <w:p w14:paraId="18DD1CD1" w14:textId="77777777" w:rsidR="008E6885" w:rsidRDefault="00EA24E7">
            <w:pPr>
              <w:pStyle w:val="P68B1DB1-Normal19"/>
              <w:spacing w:before="120" w:after="120" w:line="240" w:lineRule="auto"/>
              <w:rPr>
                <w:rFonts w:cs="Times New Roman"/>
                <w:noProof/>
              </w:rPr>
            </w:pPr>
            <w:r>
              <w:rPr>
                <w:noProof/>
              </w:rPr>
              <w:t xml:space="preserve">Documents modèles de soins de santé intégrés approuvés par le ministère de la Santé </w:t>
            </w:r>
          </w:p>
        </w:tc>
        <w:tc>
          <w:tcPr>
            <w:tcW w:w="1026" w:type="dxa"/>
            <w:shd w:val="clear" w:color="auto" w:fill="C6EFCE"/>
          </w:tcPr>
          <w:p w14:paraId="75A7427B"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2CAE709B"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3B22B0F7"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3CEBD896" w14:textId="77777777" w:rsidR="008E6885" w:rsidRDefault="00EA24E7">
            <w:pPr>
              <w:pStyle w:val="P68B1DB1-Normal19"/>
              <w:spacing w:before="120" w:after="120" w:line="240" w:lineRule="auto"/>
              <w:jc w:val="center"/>
              <w:rPr>
                <w:rFonts w:cs="Times New Roman"/>
                <w:noProof/>
              </w:rPr>
            </w:pPr>
            <w:r>
              <w:rPr>
                <w:noProof/>
              </w:rPr>
              <w:t>T4</w:t>
            </w:r>
          </w:p>
        </w:tc>
        <w:tc>
          <w:tcPr>
            <w:tcW w:w="708" w:type="dxa"/>
            <w:shd w:val="clear" w:color="auto" w:fill="C6EFCE"/>
          </w:tcPr>
          <w:p w14:paraId="3EE0B8B3" w14:textId="77777777" w:rsidR="008E6885" w:rsidRDefault="00EA24E7">
            <w:pPr>
              <w:pStyle w:val="P68B1DB1-Normal19"/>
              <w:spacing w:before="120" w:after="120" w:line="240" w:lineRule="auto"/>
              <w:jc w:val="center"/>
              <w:rPr>
                <w:rFonts w:cs="Times New Roman"/>
                <w:noProof/>
              </w:rPr>
            </w:pPr>
            <w:r>
              <w:rPr>
                <w:noProof/>
              </w:rPr>
              <w:t>2022</w:t>
            </w:r>
          </w:p>
        </w:tc>
        <w:tc>
          <w:tcPr>
            <w:tcW w:w="2594" w:type="dxa"/>
            <w:shd w:val="clear" w:color="auto" w:fill="C6EFCE"/>
          </w:tcPr>
          <w:p w14:paraId="4E1A8C6F" w14:textId="77777777" w:rsidR="008E6885" w:rsidRDefault="00EA24E7">
            <w:pPr>
              <w:pStyle w:val="P68B1DB1-Normal19"/>
              <w:spacing w:before="120" w:after="120" w:line="240" w:lineRule="auto"/>
              <w:jc w:val="both"/>
              <w:rPr>
                <w:rFonts w:cs="Times New Roman"/>
                <w:noProof/>
              </w:rPr>
            </w:pPr>
            <w:r>
              <w:rPr>
                <w:noProof/>
              </w:rPr>
              <w:t>Les soins de santé intégrés sont établis une fois que les documents suivants ont été élaborés et approuvés par le ministère de la santé:</w:t>
            </w:r>
          </w:p>
          <w:p w14:paraId="6B8A5D42" w14:textId="77777777" w:rsidR="008E6885" w:rsidRDefault="00EA24E7">
            <w:pPr>
              <w:pStyle w:val="P68B1DB1-Normal19"/>
              <w:spacing w:before="120" w:after="120" w:line="240" w:lineRule="auto"/>
              <w:jc w:val="both"/>
              <w:rPr>
                <w:rFonts w:cs="Times New Roman"/>
                <w:noProof/>
              </w:rPr>
            </w:pPr>
            <w:r>
              <w:rPr>
                <w:noProof/>
              </w:rPr>
              <w:t>1) une stratégie d'investissement pour les investissements dans les infrastructures destinées à la fourniture de services de santé financés par des fonds publics, y compris une cartographie des hôpitaux, est incluse afin d'assurer la poursuite de la réforme du réseau hospitalier, y compris en tenant compte de l'évaluation des niveaux hospitaliers;</w:t>
            </w:r>
          </w:p>
          <w:p w14:paraId="36288C23" w14:textId="77777777" w:rsidR="008E6885" w:rsidRDefault="00EA24E7">
            <w:pPr>
              <w:pStyle w:val="P68B1DB1-Normal19"/>
              <w:spacing w:before="120" w:after="120" w:line="240" w:lineRule="auto"/>
              <w:jc w:val="both"/>
              <w:rPr>
                <w:rFonts w:cs="Times New Roman"/>
                <w:noProof/>
              </w:rPr>
            </w:pPr>
            <w:r>
              <w:rPr>
                <w:noProof/>
              </w:rPr>
              <w:t>2) des recommandations pour la mise en œuvre de l'approche intégrée des soins;</w:t>
            </w:r>
          </w:p>
          <w:p w14:paraId="4C94E891" w14:textId="77777777" w:rsidR="008E6885" w:rsidRDefault="00EA24E7">
            <w:pPr>
              <w:pStyle w:val="P68B1DB1-Normal19"/>
              <w:spacing w:before="120" w:after="120" w:line="240" w:lineRule="auto"/>
              <w:jc w:val="both"/>
              <w:rPr>
                <w:rFonts w:ascii="Calibri" w:hAnsi="Calibri"/>
                <w:noProof/>
              </w:rPr>
            </w:pPr>
            <w:r>
              <w:rPr>
                <w:noProof/>
              </w:rPr>
              <w:t>3) un ensemble de recommandations pour les exigences épidémiologiques</w:t>
            </w:r>
          </w:p>
        </w:tc>
      </w:tr>
      <w:tr w:rsidR="008E6885" w14:paraId="2AE03283" w14:textId="77777777" w:rsidTr="00D57C89">
        <w:trPr>
          <w:gridAfter w:val="1"/>
          <w:wAfter w:w="6" w:type="dxa"/>
        </w:trPr>
        <w:tc>
          <w:tcPr>
            <w:tcW w:w="686" w:type="dxa"/>
            <w:shd w:val="clear" w:color="auto" w:fill="C6EFCE"/>
          </w:tcPr>
          <w:p w14:paraId="3F4537DC" w14:textId="77777777" w:rsidR="008E6885" w:rsidRDefault="00EA24E7">
            <w:pPr>
              <w:pStyle w:val="P68B1DB1-Normal19"/>
              <w:spacing w:before="120" w:after="120" w:line="240" w:lineRule="auto"/>
              <w:rPr>
                <w:rFonts w:cs="Times New Roman"/>
                <w:noProof/>
              </w:rPr>
            </w:pPr>
            <w:r>
              <w:rPr>
                <w:noProof/>
              </w:rPr>
              <w:t>133</w:t>
            </w:r>
          </w:p>
        </w:tc>
        <w:tc>
          <w:tcPr>
            <w:tcW w:w="1760" w:type="dxa"/>
            <w:shd w:val="clear" w:color="auto" w:fill="C6EFCE"/>
          </w:tcPr>
          <w:p w14:paraId="5D7CD1EE" w14:textId="77777777" w:rsidR="008E6885" w:rsidRDefault="00EA24E7">
            <w:pPr>
              <w:pStyle w:val="P68B1DB1-Normal17"/>
              <w:spacing w:before="120" w:after="120" w:line="240" w:lineRule="auto"/>
              <w:contextualSpacing/>
              <w:rPr>
                <w:rFonts w:cs="Times New Roman"/>
                <w:bCs/>
                <w:noProof/>
              </w:rPr>
            </w:pPr>
            <w:r>
              <w:rPr>
                <w:noProof/>
              </w:rPr>
              <w:t xml:space="preserve">4.1.1.r. </w:t>
            </w:r>
          </w:p>
          <w:p w14:paraId="188E7D97" w14:textId="77777777" w:rsidR="008E6885" w:rsidRDefault="00EA24E7">
            <w:pPr>
              <w:pStyle w:val="P68B1DB1-Normal17"/>
              <w:spacing w:before="120" w:after="120" w:line="240" w:lineRule="auto"/>
              <w:contextualSpacing/>
              <w:rPr>
                <w:rFonts w:cs="Times New Roman"/>
                <w:noProof/>
              </w:rPr>
            </w:pPr>
            <w:r>
              <w:rPr>
                <w:noProof/>
              </w:rPr>
              <w:t>Durabilité et résilience d'un système de soins de santé global, intégré et centré sur l'humain</w:t>
            </w:r>
          </w:p>
        </w:tc>
        <w:tc>
          <w:tcPr>
            <w:tcW w:w="1099" w:type="dxa"/>
            <w:shd w:val="clear" w:color="auto" w:fill="C6EFCE"/>
          </w:tcPr>
          <w:p w14:paraId="2D74D370"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75E03166" w14:textId="77777777" w:rsidR="008E6885" w:rsidRDefault="00EA24E7">
            <w:pPr>
              <w:pStyle w:val="P68B1DB1-Normal19"/>
              <w:spacing w:before="120" w:after="120" w:line="240" w:lineRule="auto"/>
              <w:rPr>
                <w:rFonts w:cs="Times New Roman"/>
                <w:noProof/>
              </w:rPr>
            </w:pPr>
            <w:r>
              <w:rPr>
                <w:noProof/>
              </w:rPr>
              <w:t xml:space="preserve">Référence génomique de la population lettone </w:t>
            </w:r>
          </w:p>
        </w:tc>
        <w:tc>
          <w:tcPr>
            <w:tcW w:w="1626" w:type="dxa"/>
            <w:shd w:val="clear" w:color="auto" w:fill="C6EFCE"/>
          </w:tcPr>
          <w:p w14:paraId="34D3FB5C" w14:textId="77777777" w:rsidR="008E6885" w:rsidRDefault="00EA24E7">
            <w:pPr>
              <w:pStyle w:val="P68B1DB1-Normal19"/>
              <w:spacing w:before="120" w:after="120" w:line="240" w:lineRule="auto"/>
              <w:rPr>
                <w:rFonts w:cs="Times New Roman"/>
                <w:noProof/>
              </w:rPr>
            </w:pPr>
            <w:r>
              <w:rPr>
                <w:noProof/>
              </w:rPr>
              <w:t xml:space="preserve">Référence génomique établie </w:t>
            </w:r>
          </w:p>
        </w:tc>
        <w:tc>
          <w:tcPr>
            <w:tcW w:w="1026" w:type="dxa"/>
            <w:shd w:val="clear" w:color="auto" w:fill="C6EFCE"/>
          </w:tcPr>
          <w:p w14:paraId="435EC214"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254841F3"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6016C218"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6421031C" w14:textId="77777777" w:rsidR="008E6885" w:rsidRDefault="00EA24E7">
            <w:pPr>
              <w:pStyle w:val="P68B1DB1-Normal19"/>
              <w:spacing w:before="120" w:after="120" w:line="240" w:lineRule="auto"/>
              <w:jc w:val="center"/>
              <w:rPr>
                <w:rFonts w:cs="Times New Roman"/>
                <w:noProof/>
              </w:rPr>
            </w:pPr>
            <w:r>
              <w:rPr>
                <w:noProof/>
              </w:rPr>
              <w:t>T1</w:t>
            </w:r>
          </w:p>
        </w:tc>
        <w:tc>
          <w:tcPr>
            <w:tcW w:w="708" w:type="dxa"/>
            <w:shd w:val="clear" w:color="auto" w:fill="C6EFCE"/>
          </w:tcPr>
          <w:p w14:paraId="618134B1" w14:textId="77777777" w:rsidR="008E6885" w:rsidRDefault="00EA24E7">
            <w:pPr>
              <w:pStyle w:val="P68B1DB1-Normal19"/>
              <w:spacing w:before="120" w:after="120" w:line="240" w:lineRule="auto"/>
              <w:jc w:val="center"/>
              <w:rPr>
                <w:rFonts w:cs="Times New Roman"/>
                <w:noProof/>
              </w:rPr>
            </w:pPr>
            <w:r>
              <w:rPr>
                <w:noProof/>
              </w:rPr>
              <w:t>2024</w:t>
            </w:r>
          </w:p>
        </w:tc>
        <w:tc>
          <w:tcPr>
            <w:tcW w:w="2594" w:type="dxa"/>
            <w:shd w:val="clear" w:color="auto" w:fill="C6EFCE"/>
          </w:tcPr>
          <w:p w14:paraId="34CF5D3E" w14:textId="77777777" w:rsidR="008E6885" w:rsidRDefault="00EA24E7">
            <w:pPr>
              <w:pStyle w:val="P68B1DB1-Normal19"/>
              <w:spacing w:before="120" w:after="120" w:line="240" w:lineRule="auto"/>
              <w:jc w:val="both"/>
              <w:rPr>
                <w:rFonts w:cs="Times New Roman"/>
                <w:noProof/>
              </w:rPr>
            </w:pPr>
            <w:r>
              <w:rPr>
                <w:noProof/>
              </w:rPr>
              <w:t>La documentation relative à la conception génomique démontrant l’établissement de la référence du génome de la population lettone est approuvée par le ministère de la santé.</w:t>
            </w:r>
          </w:p>
          <w:p w14:paraId="1238DF6E" w14:textId="77777777" w:rsidR="008E6885" w:rsidRDefault="008E6885">
            <w:pPr>
              <w:spacing w:before="120" w:after="120" w:line="240" w:lineRule="auto"/>
              <w:jc w:val="both"/>
              <w:rPr>
                <w:rFonts w:ascii="Times New Roman" w:eastAsia="Calibri" w:hAnsi="Times New Roman" w:cs="Times New Roman"/>
                <w:noProof/>
                <w:kern w:val="0"/>
                <w:sz w:val="18"/>
                <w:szCs w:val="18"/>
                <w14:ligatures w14:val="none"/>
              </w:rPr>
            </w:pPr>
          </w:p>
        </w:tc>
      </w:tr>
      <w:tr w:rsidR="008E6885" w14:paraId="63D40913" w14:textId="77777777" w:rsidTr="00D57C89">
        <w:trPr>
          <w:gridAfter w:val="1"/>
          <w:wAfter w:w="6" w:type="dxa"/>
        </w:trPr>
        <w:tc>
          <w:tcPr>
            <w:tcW w:w="686" w:type="dxa"/>
            <w:shd w:val="clear" w:color="auto" w:fill="C6EFCE"/>
          </w:tcPr>
          <w:p w14:paraId="75FEA43A" w14:textId="77777777" w:rsidR="008E6885" w:rsidRDefault="00EA24E7">
            <w:pPr>
              <w:pStyle w:val="P68B1DB1-Normal19"/>
              <w:spacing w:before="120" w:after="120" w:line="240" w:lineRule="auto"/>
              <w:rPr>
                <w:rFonts w:cs="Times New Roman"/>
                <w:noProof/>
              </w:rPr>
            </w:pPr>
            <w:r>
              <w:rPr>
                <w:noProof/>
              </w:rPr>
              <w:t>134</w:t>
            </w:r>
          </w:p>
        </w:tc>
        <w:tc>
          <w:tcPr>
            <w:tcW w:w="1760" w:type="dxa"/>
            <w:shd w:val="clear" w:color="auto" w:fill="C6EFCE"/>
          </w:tcPr>
          <w:p w14:paraId="44EF40B4" w14:textId="77777777" w:rsidR="008E6885" w:rsidRDefault="00EA24E7">
            <w:pPr>
              <w:pStyle w:val="P68B1DB1-Normal17"/>
              <w:spacing w:before="120" w:after="120" w:line="240" w:lineRule="auto"/>
              <w:contextualSpacing/>
              <w:rPr>
                <w:rFonts w:cs="Times New Roman"/>
                <w:bCs/>
                <w:noProof/>
              </w:rPr>
            </w:pPr>
            <w:r>
              <w:rPr>
                <w:noProof/>
              </w:rPr>
              <w:t xml:space="preserve">4.1.1.r. </w:t>
            </w:r>
          </w:p>
          <w:p w14:paraId="29920824" w14:textId="77777777" w:rsidR="008E6885" w:rsidRDefault="00EA24E7">
            <w:pPr>
              <w:pStyle w:val="P68B1DB1-Normal17"/>
              <w:spacing w:before="120" w:after="120" w:line="240" w:lineRule="auto"/>
              <w:contextualSpacing/>
              <w:rPr>
                <w:rFonts w:cs="Times New Roman"/>
                <w:noProof/>
              </w:rPr>
            </w:pPr>
            <w:r>
              <w:rPr>
                <w:noProof/>
              </w:rPr>
              <w:t>Durabilité et résilience d'un système de soins de santé global, intégré et centré sur l'humain</w:t>
            </w:r>
          </w:p>
        </w:tc>
        <w:tc>
          <w:tcPr>
            <w:tcW w:w="1099" w:type="dxa"/>
            <w:shd w:val="clear" w:color="auto" w:fill="C6EFCE"/>
          </w:tcPr>
          <w:p w14:paraId="624F233E"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1107FD62" w14:textId="77777777" w:rsidR="008E6885" w:rsidRDefault="00EA24E7">
            <w:pPr>
              <w:pStyle w:val="P68B1DB1-Normal19"/>
              <w:spacing w:before="120" w:after="120" w:line="240" w:lineRule="auto"/>
              <w:rPr>
                <w:rFonts w:cs="Times New Roman"/>
                <w:noProof/>
              </w:rPr>
            </w:pPr>
            <w:r>
              <w:rPr>
                <w:noProof/>
              </w:rPr>
              <w:t xml:space="preserve">Gestion méthodologique dans le domaine de l'oncologie </w:t>
            </w:r>
          </w:p>
        </w:tc>
        <w:tc>
          <w:tcPr>
            <w:tcW w:w="1626" w:type="dxa"/>
            <w:shd w:val="clear" w:color="auto" w:fill="C6EFCE"/>
          </w:tcPr>
          <w:p w14:paraId="7A9055BD" w14:textId="77777777" w:rsidR="008E6885" w:rsidRDefault="00EA24E7">
            <w:pPr>
              <w:pStyle w:val="P68B1DB1-Normal19"/>
              <w:spacing w:before="120" w:after="120" w:line="240" w:lineRule="auto"/>
              <w:rPr>
                <w:rFonts w:cs="Times New Roman"/>
                <w:noProof/>
              </w:rPr>
            </w:pPr>
            <w:r>
              <w:rPr>
                <w:noProof/>
              </w:rPr>
              <w:t xml:space="preserve">Documents méthodologiques approuvés </w:t>
            </w:r>
          </w:p>
        </w:tc>
        <w:tc>
          <w:tcPr>
            <w:tcW w:w="1026" w:type="dxa"/>
            <w:shd w:val="clear" w:color="auto" w:fill="C6EFCE"/>
          </w:tcPr>
          <w:p w14:paraId="0E363C42"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51B2688C"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4461A205"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70916784" w14:textId="77777777" w:rsidR="008E6885" w:rsidRDefault="00EA24E7">
            <w:pPr>
              <w:pStyle w:val="P68B1DB1-Normal19"/>
              <w:spacing w:before="120" w:after="120" w:line="240" w:lineRule="auto"/>
              <w:jc w:val="center"/>
              <w:rPr>
                <w:rFonts w:cs="Times New Roman"/>
                <w:noProof/>
              </w:rPr>
            </w:pPr>
            <w:r>
              <w:rPr>
                <w:noProof/>
              </w:rPr>
              <w:t>T3</w:t>
            </w:r>
          </w:p>
        </w:tc>
        <w:tc>
          <w:tcPr>
            <w:tcW w:w="708" w:type="dxa"/>
            <w:shd w:val="clear" w:color="auto" w:fill="C6EFCE"/>
          </w:tcPr>
          <w:p w14:paraId="153D1AA8" w14:textId="77777777" w:rsidR="008E6885" w:rsidRDefault="00EA24E7">
            <w:pPr>
              <w:pStyle w:val="P68B1DB1-Normal19"/>
              <w:spacing w:before="120" w:after="120" w:line="240" w:lineRule="auto"/>
              <w:jc w:val="center"/>
              <w:rPr>
                <w:noProof/>
              </w:rPr>
            </w:pPr>
            <w:r>
              <w:rPr>
                <w:noProof/>
              </w:rPr>
              <w:t>2026</w:t>
            </w:r>
          </w:p>
        </w:tc>
        <w:tc>
          <w:tcPr>
            <w:tcW w:w="2594" w:type="dxa"/>
            <w:shd w:val="clear" w:color="auto" w:fill="C6EFCE"/>
          </w:tcPr>
          <w:p w14:paraId="6434617E" w14:textId="77777777" w:rsidR="008E6885" w:rsidRDefault="00EA24E7">
            <w:pPr>
              <w:pStyle w:val="P68B1DB1-Normal19"/>
              <w:spacing w:before="120" w:after="120" w:line="240" w:lineRule="auto"/>
              <w:jc w:val="both"/>
              <w:rPr>
                <w:rFonts w:cs="Times New Roman"/>
                <w:noProof/>
              </w:rPr>
            </w:pPr>
            <w:r>
              <w:rPr>
                <w:noProof/>
              </w:rPr>
              <w:t>Les documents introduisant une nouvelle gestion méthodologique dans le domaine de l'oncologie sont approuvés.</w:t>
            </w:r>
          </w:p>
          <w:p w14:paraId="488CFD08" w14:textId="77777777" w:rsidR="008E6885" w:rsidRDefault="008E6885">
            <w:pPr>
              <w:spacing w:after="200" w:line="276" w:lineRule="auto"/>
              <w:jc w:val="both"/>
              <w:rPr>
                <w:rFonts w:ascii="Times New Roman" w:eastAsia="Calibri" w:hAnsi="Times New Roman" w:cs="Times New Roman"/>
                <w:noProof/>
                <w:kern w:val="0"/>
                <w:sz w:val="18"/>
                <w:szCs w:val="18"/>
                <w14:ligatures w14:val="none"/>
              </w:rPr>
            </w:pPr>
          </w:p>
        </w:tc>
      </w:tr>
      <w:tr w:rsidR="008E6885" w14:paraId="13F648FC" w14:textId="77777777" w:rsidTr="00D57C89">
        <w:trPr>
          <w:gridAfter w:val="1"/>
          <w:wAfter w:w="6" w:type="dxa"/>
        </w:trPr>
        <w:tc>
          <w:tcPr>
            <w:tcW w:w="686" w:type="dxa"/>
            <w:shd w:val="clear" w:color="auto" w:fill="C6EFCE"/>
          </w:tcPr>
          <w:p w14:paraId="586D10B1" w14:textId="77777777" w:rsidR="008E6885" w:rsidRDefault="00EA24E7">
            <w:pPr>
              <w:pStyle w:val="P68B1DB1-Normal19"/>
              <w:spacing w:before="120" w:after="120" w:line="240" w:lineRule="auto"/>
              <w:rPr>
                <w:rFonts w:cs="Times New Roman"/>
                <w:noProof/>
              </w:rPr>
            </w:pPr>
            <w:r>
              <w:rPr>
                <w:noProof/>
              </w:rPr>
              <w:t>135</w:t>
            </w:r>
          </w:p>
        </w:tc>
        <w:tc>
          <w:tcPr>
            <w:tcW w:w="1760" w:type="dxa"/>
            <w:shd w:val="clear" w:color="auto" w:fill="C6EFCE"/>
          </w:tcPr>
          <w:p w14:paraId="6B263AA1" w14:textId="77777777" w:rsidR="008E6885" w:rsidRDefault="00EA24E7">
            <w:pPr>
              <w:pStyle w:val="P68B1DB1-Normal17"/>
              <w:spacing w:before="120" w:after="120" w:line="240" w:lineRule="auto"/>
              <w:contextualSpacing/>
              <w:rPr>
                <w:rFonts w:cs="Times New Roman"/>
                <w:bCs/>
                <w:noProof/>
              </w:rPr>
            </w:pPr>
            <w:r>
              <w:rPr>
                <w:noProof/>
              </w:rPr>
              <w:t xml:space="preserve">4.1.1.1.i. </w:t>
            </w:r>
          </w:p>
          <w:p w14:paraId="34A414A5" w14:textId="77777777" w:rsidR="008E6885" w:rsidRDefault="00EA24E7">
            <w:pPr>
              <w:pStyle w:val="P68B1DB1-Normal17"/>
              <w:spacing w:before="120" w:after="120" w:line="240" w:lineRule="auto"/>
              <w:contextualSpacing/>
              <w:rPr>
                <w:rFonts w:cs="Times New Roman"/>
                <w:noProof/>
              </w:rPr>
            </w:pPr>
            <w:r>
              <w:rPr>
                <w:noProof/>
              </w:rPr>
              <w:t>Soutien à la recherche en santé publique</w:t>
            </w:r>
          </w:p>
        </w:tc>
        <w:tc>
          <w:tcPr>
            <w:tcW w:w="1099" w:type="dxa"/>
            <w:shd w:val="clear" w:color="auto" w:fill="C6EFCE"/>
          </w:tcPr>
          <w:p w14:paraId="15B8D5FC"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6EF5E86E" w14:textId="77777777" w:rsidR="008E6885" w:rsidRDefault="00EA24E7">
            <w:pPr>
              <w:pStyle w:val="P68B1DB1-Normal19"/>
              <w:spacing w:before="120" w:after="120" w:line="240" w:lineRule="auto"/>
              <w:rPr>
                <w:rFonts w:cs="Times New Roman"/>
                <w:noProof/>
              </w:rPr>
            </w:pPr>
            <w:r>
              <w:rPr>
                <w:noProof/>
              </w:rPr>
              <w:t>Adoption d’une méthodologie pour trois études visant à améliorer la planification et la mise en œuvre des politiques de santé publique dans le domaine de la résistance aux antimicrobiens, de la vaccination et des maladies infectieuses</w:t>
            </w:r>
          </w:p>
        </w:tc>
        <w:tc>
          <w:tcPr>
            <w:tcW w:w="1626" w:type="dxa"/>
            <w:shd w:val="clear" w:color="auto" w:fill="C6EFCE"/>
          </w:tcPr>
          <w:p w14:paraId="6AE2B387" w14:textId="77777777" w:rsidR="008E6885" w:rsidRDefault="00EA24E7">
            <w:pPr>
              <w:pStyle w:val="P68B1DB1-Normal19"/>
              <w:spacing w:before="120" w:after="120" w:line="240" w:lineRule="auto"/>
              <w:rPr>
                <w:rFonts w:cs="Times New Roman"/>
                <w:noProof/>
              </w:rPr>
            </w:pPr>
            <w:r>
              <w:rPr>
                <w:noProof/>
              </w:rPr>
              <w:t xml:space="preserve">Adoption de la méthodologie par le Ministère de la santé </w:t>
            </w:r>
          </w:p>
        </w:tc>
        <w:tc>
          <w:tcPr>
            <w:tcW w:w="1026" w:type="dxa"/>
            <w:shd w:val="clear" w:color="auto" w:fill="C6EFCE"/>
          </w:tcPr>
          <w:p w14:paraId="160E2DB8"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38FCA012"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4E959D2B"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5CBB5129" w14:textId="77777777" w:rsidR="008E6885" w:rsidRDefault="00EA24E7">
            <w:pPr>
              <w:pStyle w:val="P68B1DB1-Normal19"/>
              <w:spacing w:before="120" w:after="120" w:line="240" w:lineRule="auto"/>
              <w:jc w:val="center"/>
              <w:rPr>
                <w:rFonts w:cs="Times New Roman"/>
                <w:noProof/>
              </w:rPr>
            </w:pPr>
            <w:r>
              <w:rPr>
                <w:noProof/>
              </w:rPr>
              <w:t>T3</w:t>
            </w:r>
          </w:p>
        </w:tc>
        <w:tc>
          <w:tcPr>
            <w:tcW w:w="708" w:type="dxa"/>
            <w:shd w:val="clear" w:color="auto" w:fill="C6EFCE"/>
          </w:tcPr>
          <w:p w14:paraId="19258A3B" w14:textId="77777777" w:rsidR="008E6885" w:rsidRDefault="00EA24E7">
            <w:pPr>
              <w:pStyle w:val="P68B1DB1-Normal19"/>
              <w:spacing w:before="120" w:after="120" w:line="240" w:lineRule="auto"/>
              <w:jc w:val="center"/>
              <w:rPr>
                <w:rFonts w:cs="Times New Roman"/>
                <w:noProof/>
              </w:rPr>
            </w:pPr>
            <w:r>
              <w:rPr>
                <w:noProof/>
              </w:rPr>
              <w:t>2022</w:t>
            </w:r>
          </w:p>
        </w:tc>
        <w:tc>
          <w:tcPr>
            <w:tcW w:w="2594" w:type="dxa"/>
            <w:shd w:val="clear" w:color="auto" w:fill="C6EFCE"/>
          </w:tcPr>
          <w:p w14:paraId="5034C855" w14:textId="77777777" w:rsidR="008E6885" w:rsidRDefault="00EA24E7">
            <w:pPr>
              <w:pStyle w:val="P68B1DB1-Normal19"/>
              <w:spacing w:before="120" w:after="120" w:line="240" w:lineRule="auto"/>
              <w:jc w:val="both"/>
              <w:rPr>
                <w:rFonts w:cs="Times New Roman"/>
                <w:noProof/>
              </w:rPr>
            </w:pPr>
            <w:r>
              <w:rPr>
                <w:noProof/>
              </w:rPr>
              <w:t>Le jalon est considéré comme atteint à la suite de l’élaboration par une institution subordonnée du ministère de la santé et de l’adoption par le ministère de la santé d’une méthodologie harmonisée pour la recherche dans les domaines de la résistance aux antimicrobiens (RAM), de la vaccination et de la réduction des infections.</w:t>
            </w:r>
          </w:p>
        </w:tc>
      </w:tr>
      <w:tr w:rsidR="008E6885" w14:paraId="5874E9DD" w14:textId="77777777" w:rsidTr="00D57C89">
        <w:trPr>
          <w:gridAfter w:val="1"/>
          <w:wAfter w:w="6" w:type="dxa"/>
        </w:trPr>
        <w:tc>
          <w:tcPr>
            <w:tcW w:w="686" w:type="dxa"/>
            <w:shd w:val="clear" w:color="auto" w:fill="C6EFCE"/>
          </w:tcPr>
          <w:p w14:paraId="6A5AB8CC" w14:textId="77777777" w:rsidR="008E6885" w:rsidRDefault="00EA24E7">
            <w:pPr>
              <w:pStyle w:val="P68B1DB1-Normal19"/>
              <w:spacing w:before="120" w:after="120" w:line="240" w:lineRule="auto"/>
              <w:rPr>
                <w:rFonts w:cs="Times New Roman"/>
                <w:noProof/>
              </w:rPr>
            </w:pPr>
            <w:r>
              <w:rPr>
                <w:noProof/>
              </w:rPr>
              <w:t xml:space="preserve">137 </w:t>
            </w:r>
          </w:p>
        </w:tc>
        <w:tc>
          <w:tcPr>
            <w:tcW w:w="1760" w:type="dxa"/>
            <w:shd w:val="clear" w:color="auto" w:fill="C6EFCE"/>
          </w:tcPr>
          <w:p w14:paraId="35704E5D" w14:textId="77777777" w:rsidR="008E6885" w:rsidRDefault="00EA24E7">
            <w:pPr>
              <w:pStyle w:val="P68B1DB1-Normal17"/>
              <w:spacing w:before="120" w:after="120" w:line="240" w:lineRule="auto"/>
              <w:contextualSpacing/>
              <w:rPr>
                <w:rFonts w:cs="Times New Roman"/>
                <w:bCs/>
                <w:noProof/>
              </w:rPr>
            </w:pPr>
            <w:r>
              <w:rPr>
                <w:noProof/>
              </w:rPr>
              <w:t xml:space="preserve">4.1.1.1.i. </w:t>
            </w:r>
          </w:p>
          <w:p w14:paraId="307B20F9" w14:textId="77777777" w:rsidR="008E6885" w:rsidRDefault="00EA24E7">
            <w:pPr>
              <w:pStyle w:val="P68B1DB1-Normal17"/>
              <w:spacing w:before="120" w:after="120" w:line="240" w:lineRule="auto"/>
              <w:contextualSpacing/>
              <w:rPr>
                <w:rFonts w:cs="Times New Roman"/>
                <w:noProof/>
              </w:rPr>
            </w:pPr>
            <w:r>
              <w:rPr>
                <w:noProof/>
              </w:rPr>
              <w:t>Soutien à la recherche en santé publique</w:t>
            </w:r>
          </w:p>
        </w:tc>
        <w:tc>
          <w:tcPr>
            <w:tcW w:w="1099" w:type="dxa"/>
            <w:shd w:val="clear" w:color="auto" w:fill="C6EFCE"/>
          </w:tcPr>
          <w:p w14:paraId="7EACCC77"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462CF388" w14:textId="77777777" w:rsidR="008E6885" w:rsidRDefault="00EA24E7">
            <w:pPr>
              <w:pStyle w:val="P68B1DB1-Normal19"/>
              <w:spacing w:before="120" w:after="120" w:line="240" w:lineRule="auto"/>
              <w:rPr>
                <w:rFonts w:cs="Times New Roman"/>
                <w:noProof/>
              </w:rPr>
            </w:pPr>
            <w:r>
              <w:rPr>
                <w:noProof/>
              </w:rPr>
              <w:t>Politiques et études de santé publique</w:t>
            </w:r>
          </w:p>
        </w:tc>
        <w:tc>
          <w:tcPr>
            <w:tcW w:w="1626" w:type="dxa"/>
            <w:shd w:val="clear" w:color="auto" w:fill="C6EFCE"/>
          </w:tcPr>
          <w:p w14:paraId="45877D73" w14:textId="77777777" w:rsidR="008E6885" w:rsidRDefault="00EA24E7">
            <w:pPr>
              <w:pStyle w:val="P68B1DB1-Normal19"/>
              <w:spacing w:before="120" w:after="120" w:line="240" w:lineRule="auto"/>
              <w:rPr>
                <w:rFonts w:cs="Times New Roman"/>
                <w:noProof/>
              </w:rPr>
            </w:pPr>
            <w:r>
              <w:rPr>
                <w:noProof/>
              </w:rPr>
              <w:t xml:space="preserve">Entrée en vigueur du ou des actes juridiques et publication des recommandations relatives aux politiques de santé publique </w:t>
            </w:r>
          </w:p>
        </w:tc>
        <w:tc>
          <w:tcPr>
            <w:tcW w:w="1026" w:type="dxa"/>
            <w:shd w:val="clear" w:color="auto" w:fill="C6EFCE"/>
          </w:tcPr>
          <w:p w14:paraId="79E484D5"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4EC8DA56"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0A6CF1EF"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108A0564" w14:textId="77777777" w:rsidR="008E6885" w:rsidRDefault="00EA24E7">
            <w:pPr>
              <w:pStyle w:val="P68B1DB1-Normal19"/>
              <w:spacing w:before="120" w:after="120" w:line="240" w:lineRule="auto"/>
              <w:jc w:val="center"/>
              <w:rPr>
                <w:rFonts w:cs="Times New Roman"/>
                <w:noProof/>
              </w:rPr>
            </w:pPr>
            <w:r>
              <w:rPr>
                <w:noProof/>
              </w:rPr>
              <w:t>T3</w:t>
            </w:r>
          </w:p>
        </w:tc>
        <w:tc>
          <w:tcPr>
            <w:tcW w:w="708" w:type="dxa"/>
            <w:shd w:val="clear" w:color="auto" w:fill="C6EFCE"/>
          </w:tcPr>
          <w:p w14:paraId="19FD7D36" w14:textId="77777777" w:rsidR="008E6885" w:rsidRDefault="00EA24E7">
            <w:pPr>
              <w:pStyle w:val="P68B1DB1-Normal19"/>
              <w:spacing w:before="120" w:after="120" w:line="240" w:lineRule="auto"/>
              <w:jc w:val="center"/>
              <w:rPr>
                <w:rFonts w:cs="Times New Roman"/>
                <w:noProof/>
              </w:rPr>
            </w:pPr>
            <w:r>
              <w:rPr>
                <w:noProof/>
              </w:rPr>
              <w:t>2026</w:t>
            </w:r>
          </w:p>
        </w:tc>
        <w:tc>
          <w:tcPr>
            <w:tcW w:w="2594" w:type="dxa"/>
            <w:shd w:val="clear" w:color="auto" w:fill="C6EFCE"/>
          </w:tcPr>
          <w:p w14:paraId="2CB936B8" w14:textId="77777777" w:rsidR="008E6885" w:rsidRDefault="00EA24E7">
            <w:pPr>
              <w:pStyle w:val="P68B1DB1-Normal19"/>
              <w:spacing w:before="120" w:after="120" w:line="240" w:lineRule="auto"/>
              <w:jc w:val="both"/>
              <w:rPr>
                <w:rFonts w:cs="Times New Roman"/>
                <w:noProof/>
              </w:rPr>
            </w:pPr>
            <w:r>
              <w:rPr>
                <w:noProof/>
              </w:rPr>
              <w:t xml:space="preserve">Entrée en vigueur du ou des actes juridiques et publication des recommandations relatives aux politiques de santé publique. Des études sur la résistance aux antimicrobiens (RAM), sur les raisons de la non-vaccination et sur les maladies infectieuses sont publiées. </w:t>
            </w:r>
          </w:p>
        </w:tc>
      </w:tr>
      <w:tr w:rsidR="008E6885" w14:paraId="07FF1A75" w14:textId="77777777" w:rsidTr="00D57C89">
        <w:trPr>
          <w:gridAfter w:val="1"/>
          <w:wAfter w:w="6" w:type="dxa"/>
        </w:trPr>
        <w:tc>
          <w:tcPr>
            <w:tcW w:w="686" w:type="dxa"/>
            <w:shd w:val="clear" w:color="auto" w:fill="C6EFCE"/>
          </w:tcPr>
          <w:p w14:paraId="183CA5E5" w14:textId="77777777" w:rsidR="008E6885" w:rsidRDefault="00EA24E7">
            <w:pPr>
              <w:pStyle w:val="P68B1DB1-Normal19"/>
              <w:spacing w:before="120" w:after="120" w:line="240" w:lineRule="auto"/>
              <w:rPr>
                <w:rFonts w:cs="Times New Roman"/>
                <w:noProof/>
              </w:rPr>
            </w:pPr>
            <w:r>
              <w:rPr>
                <w:noProof/>
              </w:rPr>
              <w:t>138</w:t>
            </w:r>
          </w:p>
        </w:tc>
        <w:tc>
          <w:tcPr>
            <w:tcW w:w="1760" w:type="dxa"/>
            <w:shd w:val="clear" w:color="auto" w:fill="C6EFCE"/>
          </w:tcPr>
          <w:p w14:paraId="69B4F72A" w14:textId="77777777" w:rsidR="008E6885" w:rsidRDefault="00EA24E7">
            <w:pPr>
              <w:pStyle w:val="P68B1DB1-Normal17"/>
              <w:spacing w:before="120" w:after="120" w:line="240" w:lineRule="auto"/>
              <w:contextualSpacing/>
              <w:rPr>
                <w:rFonts w:cs="Times New Roman"/>
                <w:bCs/>
                <w:noProof/>
              </w:rPr>
            </w:pPr>
            <w:r>
              <w:rPr>
                <w:noProof/>
              </w:rPr>
              <w:t xml:space="preserve">4.1.1.2.i. </w:t>
            </w:r>
          </w:p>
          <w:p w14:paraId="5E7AF034" w14:textId="77777777" w:rsidR="008E6885" w:rsidRDefault="00EA24E7">
            <w:pPr>
              <w:pStyle w:val="P68B1DB1-Normal17"/>
              <w:spacing w:before="120" w:after="120" w:line="240" w:lineRule="auto"/>
              <w:contextualSpacing/>
              <w:rPr>
                <w:rFonts w:cs="Times New Roman"/>
                <w:noProof/>
              </w:rPr>
            </w:pPr>
            <w:r>
              <w:rPr>
                <w:noProof/>
              </w:rPr>
              <w:t>Soutien à l'infrastructure ou à l'équipement des hôpitaux</w:t>
            </w:r>
          </w:p>
        </w:tc>
        <w:tc>
          <w:tcPr>
            <w:tcW w:w="1099" w:type="dxa"/>
            <w:shd w:val="clear" w:color="auto" w:fill="C6EFCE"/>
          </w:tcPr>
          <w:p w14:paraId="2D5DF4F3" w14:textId="77777777" w:rsidR="008E6885" w:rsidRDefault="00EA24E7">
            <w:pPr>
              <w:pStyle w:val="P68B1DB1-Normal19"/>
              <w:spacing w:before="120" w:after="120" w:line="240" w:lineRule="auto"/>
              <w:rPr>
                <w:rFonts w:cs="Times New Roman"/>
                <w:noProof/>
              </w:rPr>
            </w:pPr>
            <w:r>
              <w:rPr>
                <w:noProof/>
              </w:rPr>
              <w:t>Objectif</w:t>
            </w:r>
          </w:p>
        </w:tc>
        <w:tc>
          <w:tcPr>
            <w:tcW w:w="1884" w:type="dxa"/>
            <w:shd w:val="clear" w:color="auto" w:fill="C6EFCE"/>
          </w:tcPr>
          <w:p w14:paraId="088AE400" w14:textId="77777777" w:rsidR="008E6885" w:rsidRDefault="00EA24E7">
            <w:pPr>
              <w:pStyle w:val="P68B1DB1-Normal19"/>
              <w:spacing w:before="120" w:after="120" w:line="240" w:lineRule="auto"/>
              <w:rPr>
                <w:rFonts w:cs="Times New Roman"/>
                <w:noProof/>
              </w:rPr>
            </w:pPr>
            <w:r>
              <w:rPr>
                <w:noProof/>
              </w:rPr>
              <w:t>Nombre de projets ayant reçu un avis favorable de la commission technologique sur l’éligibilité des équipements à la fourniture des services concernés financés par l’État</w:t>
            </w:r>
          </w:p>
        </w:tc>
        <w:tc>
          <w:tcPr>
            <w:tcW w:w="1626" w:type="dxa"/>
            <w:shd w:val="clear" w:color="auto" w:fill="C6EFCE"/>
          </w:tcPr>
          <w:p w14:paraId="53597FAF" w14:textId="77777777" w:rsidR="008E6885" w:rsidRDefault="00EA24E7">
            <w:pPr>
              <w:pStyle w:val="P68B1DB1-Normal19"/>
              <w:spacing w:before="120" w:after="120" w:line="240" w:lineRule="auto"/>
              <w:jc w:val="center"/>
              <w:rPr>
                <w:rFonts w:cs="Times New Roman"/>
                <w:noProof/>
              </w:rPr>
            </w:pPr>
            <w:r>
              <w:rPr>
                <w:noProof/>
              </w:rPr>
              <w:t>Sans objet</w:t>
            </w:r>
          </w:p>
        </w:tc>
        <w:tc>
          <w:tcPr>
            <w:tcW w:w="1026" w:type="dxa"/>
            <w:shd w:val="clear" w:color="auto" w:fill="C6EFCE"/>
          </w:tcPr>
          <w:p w14:paraId="2B843272" w14:textId="77777777" w:rsidR="008E6885" w:rsidRDefault="00EA24E7">
            <w:pPr>
              <w:pStyle w:val="P68B1DB1-Normal19"/>
              <w:spacing w:before="120" w:after="120" w:line="240" w:lineRule="auto"/>
              <w:jc w:val="center"/>
              <w:rPr>
                <w:rFonts w:cs="Times New Roman"/>
                <w:noProof/>
              </w:rPr>
            </w:pPr>
            <w:r>
              <w:rPr>
                <w:noProof/>
              </w:rPr>
              <w:t>Numéro</w:t>
            </w:r>
          </w:p>
        </w:tc>
        <w:tc>
          <w:tcPr>
            <w:tcW w:w="992" w:type="dxa"/>
            <w:shd w:val="clear" w:color="auto" w:fill="C6EFCE"/>
          </w:tcPr>
          <w:p w14:paraId="098FF90A" w14:textId="77777777" w:rsidR="008E6885" w:rsidRDefault="00EA24E7">
            <w:pPr>
              <w:pStyle w:val="P68B1DB1-Normal19"/>
              <w:spacing w:before="120" w:after="120" w:line="240" w:lineRule="auto"/>
              <w:jc w:val="center"/>
              <w:rPr>
                <w:rFonts w:cs="Times New Roman"/>
                <w:noProof/>
              </w:rPr>
            </w:pPr>
            <w:r>
              <w:rPr>
                <w:noProof/>
              </w:rPr>
              <w:t>0</w:t>
            </w:r>
          </w:p>
        </w:tc>
        <w:tc>
          <w:tcPr>
            <w:tcW w:w="850" w:type="dxa"/>
            <w:shd w:val="clear" w:color="auto" w:fill="C6EFCE"/>
          </w:tcPr>
          <w:p w14:paraId="73519BE4" w14:textId="77777777" w:rsidR="008E6885" w:rsidRDefault="00EA24E7">
            <w:pPr>
              <w:pStyle w:val="P68B1DB1-Normal19"/>
              <w:spacing w:before="120" w:after="120" w:line="240" w:lineRule="auto"/>
              <w:jc w:val="center"/>
              <w:rPr>
                <w:rFonts w:cs="Times New Roman"/>
                <w:noProof/>
              </w:rPr>
            </w:pPr>
            <w:r>
              <w:rPr>
                <w:noProof/>
              </w:rPr>
              <w:t>10</w:t>
            </w:r>
          </w:p>
        </w:tc>
        <w:tc>
          <w:tcPr>
            <w:tcW w:w="993" w:type="dxa"/>
            <w:shd w:val="clear" w:color="auto" w:fill="C6EFCE"/>
          </w:tcPr>
          <w:p w14:paraId="1CD680ED" w14:textId="77777777" w:rsidR="008E6885" w:rsidRDefault="00EA24E7">
            <w:pPr>
              <w:pStyle w:val="P68B1DB1-Normal19"/>
              <w:spacing w:before="120" w:after="120" w:line="240" w:lineRule="auto"/>
              <w:jc w:val="center"/>
              <w:rPr>
                <w:rFonts w:cs="Times New Roman"/>
                <w:noProof/>
              </w:rPr>
            </w:pPr>
            <w:r>
              <w:rPr>
                <w:noProof/>
              </w:rPr>
              <w:t>T4</w:t>
            </w:r>
          </w:p>
        </w:tc>
        <w:tc>
          <w:tcPr>
            <w:tcW w:w="708" w:type="dxa"/>
            <w:shd w:val="clear" w:color="auto" w:fill="C6EFCE"/>
          </w:tcPr>
          <w:p w14:paraId="6C1CCAC1" w14:textId="77777777" w:rsidR="008E6885" w:rsidRDefault="00EA24E7">
            <w:pPr>
              <w:pStyle w:val="P68B1DB1-Normal19"/>
              <w:spacing w:before="120" w:after="120" w:line="240" w:lineRule="auto"/>
              <w:jc w:val="center"/>
              <w:rPr>
                <w:rFonts w:cs="Times New Roman"/>
                <w:noProof/>
              </w:rPr>
            </w:pPr>
            <w:r>
              <w:rPr>
                <w:noProof/>
              </w:rPr>
              <w:t>2022</w:t>
            </w:r>
          </w:p>
        </w:tc>
        <w:tc>
          <w:tcPr>
            <w:tcW w:w="2594" w:type="dxa"/>
            <w:shd w:val="clear" w:color="auto" w:fill="C6EFCE"/>
          </w:tcPr>
          <w:p w14:paraId="279B32F8" w14:textId="77777777" w:rsidR="008E6885" w:rsidRDefault="00EA24E7">
            <w:pPr>
              <w:pStyle w:val="P68B1DB1-Normal19"/>
              <w:spacing w:before="120" w:after="120" w:line="240" w:lineRule="auto"/>
              <w:jc w:val="both"/>
              <w:rPr>
                <w:rFonts w:cs="Times New Roman"/>
                <w:noProof/>
              </w:rPr>
            </w:pPr>
            <w:r>
              <w:rPr>
                <w:noProof/>
              </w:rPr>
              <w:t>L’objectif est considéré comme atteint par la décision positive du ministère de la santé sur l’harmonisation de l’acquisition de technologies médicales dans chacun des dix projets soutenant les infrastructures de santé des hôpitaux universitaires et régionaux. Cette décision est préparée pour tous les projets. Si de telles acquisitions ne sont pas prévues, une décision à cet effet est nécessaire. Si un projet implique l'achat de technologie médicale, il nécessite un avis positif de la Commission de la technologie.</w:t>
            </w:r>
          </w:p>
        </w:tc>
      </w:tr>
      <w:tr w:rsidR="008E6885" w14:paraId="16B79644" w14:textId="77777777" w:rsidTr="00D57C89">
        <w:trPr>
          <w:gridAfter w:val="1"/>
          <w:wAfter w:w="6" w:type="dxa"/>
        </w:trPr>
        <w:tc>
          <w:tcPr>
            <w:tcW w:w="686" w:type="dxa"/>
            <w:shd w:val="clear" w:color="auto" w:fill="C6EFCE"/>
          </w:tcPr>
          <w:p w14:paraId="60A69D1E" w14:textId="77777777" w:rsidR="008E6885" w:rsidRDefault="00EA24E7">
            <w:pPr>
              <w:pStyle w:val="P68B1DB1-Normal19"/>
              <w:spacing w:before="120" w:after="120" w:line="240" w:lineRule="auto"/>
              <w:rPr>
                <w:rFonts w:cs="Times New Roman"/>
                <w:noProof/>
              </w:rPr>
            </w:pPr>
            <w:r>
              <w:rPr>
                <w:noProof/>
              </w:rPr>
              <w:t>140</w:t>
            </w:r>
          </w:p>
        </w:tc>
        <w:tc>
          <w:tcPr>
            <w:tcW w:w="1760" w:type="dxa"/>
            <w:shd w:val="clear" w:color="auto" w:fill="C6EFCE"/>
          </w:tcPr>
          <w:p w14:paraId="72E684F3" w14:textId="77777777" w:rsidR="008E6885" w:rsidRDefault="00EA24E7">
            <w:pPr>
              <w:pStyle w:val="P68B1DB1-Normal17"/>
              <w:spacing w:before="120" w:after="120" w:line="240" w:lineRule="auto"/>
              <w:contextualSpacing/>
              <w:rPr>
                <w:rFonts w:cs="Times New Roman"/>
                <w:bCs/>
                <w:noProof/>
              </w:rPr>
            </w:pPr>
            <w:r>
              <w:rPr>
                <w:noProof/>
              </w:rPr>
              <w:t>4.1.1.2.i.</w:t>
            </w:r>
          </w:p>
          <w:p w14:paraId="1087648D" w14:textId="77777777" w:rsidR="008E6885" w:rsidRDefault="00EA24E7">
            <w:pPr>
              <w:pStyle w:val="P68B1DB1-Normal17"/>
              <w:spacing w:before="120" w:after="120" w:line="240" w:lineRule="auto"/>
              <w:contextualSpacing/>
              <w:rPr>
                <w:rFonts w:cs="Times New Roman"/>
                <w:noProof/>
              </w:rPr>
            </w:pPr>
            <w:r>
              <w:rPr>
                <w:noProof/>
              </w:rPr>
              <w:t>Soutien à l'infrastructure ou à l'équipement des hôpitaux</w:t>
            </w:r>
          </w:p>
        </w:tc>
        <w:tc>
          <w:tcPr>
            <w:tcW w:w="1099" w:type="dxa"/>
            <w:shd w:val="clear" w:color="auto" w:fill="C6EFCE"/>
          </w:tcPr>
          <w:p w14:paraId="35293BE2"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09EB0B98" w14:textId="77777777" w:rsidR="008E6885" w:rsidRDefault="00EA24E7">
            <w:pPr>
              <w:pStyle w:val="P68B1DB1-Normal19"/>
              <w:spacing w:before="120" w:after="120" w:line="240" w:lineRule="auto"/>
              <w:rPr>
                <w:rFonts w:eastAsia="Times New Roman" w:cs="Times New Roman"/>
                <w:noProof/>
              </w:rPr>
            </w:pPr>
            <w:r>
              <w:rPr>
                <w:noProof/>
              </w:rPr>
              <w:t>Infrastructure ou équipement hospitalier</w:t>
            </w:r>
          </w:p>
        </w:tc>
        <w:tc>
          <w:tcPr>
            <w:tcW w:w="1626" w:type="dxa"/>
            <w:shd w:val="clear" w:color="auto" w:fill="C6EFCE"/>
          </w:tcPr>
          <w:p w14:paraId="19288C6E" w14:textId="77777777" w:rsidR="008E6885" w:rsidRDefault="00EA24E7">
            <w:pPr>
              <w:pStyle w:val="P68B1DB1-Normal19"/>
              <w:spacing w:before="120" w:after="120" w:line="240" w:lineRule="auto"/>
              <w:rPr>
                <w:noProof/>
              </w:rPr>
            </w:pPr>
            <w:r>
              <w:rPr>
                <w:noProof/>
              </w:rPr>
              <w:t>Lettres d'achèvement</w:t>
            </w:r>
          </w:p>
        </w:tc>
        <w:tc>
          <w:tcPr>
            <w:tcW w:w="1026" w:type="dxa"/>
            <w:shd w:val="clear" w:color="auto" w:fill="C6EFCE"/>
          </w:tcPr>
          <w:p w14:paraId="43A01301"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6F05EC4B"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5146FEC5"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2BA8996B" w14:textId="77777777" w:rsidR="008E6885" w:rsidRDefault="00EA24E7">
            <w:pPr>
              <w:pStyle w:val="P68B1DB1-Normal19"/>
              <w:spacing w:before="120" w:after="120" w:line="240" w:lineRule="auto"/>
              <w:jc w:val="center"/>
              <w:rPr>
                <w:rFonts w:cs="Times New Roman"/>
                <w:noProof/>
              </w:rPr>
            </w:pPr>
            <w:r>
              <w:rPr>
                <w:noProof/>
              </w:rPr>
              <w:t>T3</w:t>
            </w:r>
          </w:p>
        </w:tc>
        <w:tc>
          <w:tcPr>
            <w:tcW w:w="708" w:type="dxa"/>
            <w:shd w:val="clear" w:color="auto" w:fill="C6EFCE"/>
          </w:tcPr>
          <w:p w14:paraId="7E126D24" w14:textId="77777777" w:rsidR="008E6885" w:rsidRDefault="00EA24E7">
            <w:pPr>
              <w:pStyle w:val="P68B1DB1-Normal19"/>
              <w:spacing w:before="120" w:after="120" w:line="240" w:lineRule="auto"/>
              <w:jc w:val="center"/>
              <w:rPr>
                <w:rFonts w:cs="Times New Roman"/>
                <w:noProof/>
              </w:rPr>
            </w:pPr>
            <w:r>
              <w:rPr>
                <w:noProof/>
              </w:rPr>
              <w:t>2026</w:t>
            </w:r>
          </w:p>
        </w:tc>
        <w:tc>
          <w:tcPr>
            <w:tcW w:w="2594" w:type="dxa"/>
            <w:shd w:val="clear" w:color="auto" w:fill="C6EFCE"/>
          </w:tcPr>
          <w:p w14:paraId="23F20507" w14:textId="77777777" w:rsidR="008E6885" w:rsidRDefault="00EA24E7">
            <w:pPr>
              <w:pStyle w:val="P68B1DB1-Normal19"/>
              <w:spacing w:before="120" w:after="120" w:line="240" w:lineRule="auto"/>
              <w:jc w:val="both"/>
              <w:rPr>
                <w:rFonts w:eastAsia="Times New Roman" w:cs="Times New Roman"/>
                <w:noProof/>
                <w:color w:val="D13438"/>
                <w:u w:val="single"/>
              </w:rPr>
            </w:pPr>
            <w:r>
              <w:rPr>
                <w:noProof/>
              </w:rPr>
              <w:t>Lettres d’achèvement délivrées par l’Agence centrale de financement et de passation des marchés pour les projets finalisés dans 15 hôpitaux, concernant les infrastructures et les équipements, correspondant aux contrats financés par la FRR.</w:t>
            </w:r>
          </w:p>
        </w:tc>
      </w:tr>
      <w:tr w:rsidR="008E6885" w14:paraId="31A82491" w14:textId="77777777" w:rsidTr="00D57C89">
        <w:trPr>
          <w:gridAfter w:val="1"/>
          <w:wAfter w:w="6" w:type="dxa"/>
        </w:trPr>
        <w:tc>
          <w:tcPr>
            <w:tcW w:w="686" w:type="dxa"/>
            <w:shd w:val="clear" w:color="auto" w:fill="C6EFCE"/>
          </w:tcPr>
          <w:p w14:paraId="1C0C7570" w14:textId="77777777" w:rsidR="008E6885" w:rsidRDefault="00EA24E7">
            <w:pPr>
              <w:pStyle w:val="P68B1DB1-Normal19"/>
              <w:spacing w:before="120" w:after="120" w:line="240" w:lineRule="auto"/>
              <w:rPr>
                <w:rFonts w:cs="Times New Roman"/>
                <w:noProof/>
              </w:rPr>
            </w:pPr>
            <w:r>
              <w:rPr>
                <w:noProof/>
              </w:rPr>
              <w:t>141</w:t>
            </w:r>
          </w:p>
        </w:tc>
        <w:tc>
          <w:tcPr>
            <w:tcW w:w="1760" w:type="dxa"/>
            <w:shd w:val="clear" w:color="auto" w:fill="C6EFCE"/>
          </w:tcPr>
          <w:p w14:paraId="25020F26" w14:textId="77777777" w:rsidR="008E6885" w:rsidRDefault="00EA24E7">
            <w:pPr>
              <w:pStyle w:val="P68B1DB1-Normal17"/>
              <w:spacing w:before="120" w:after="120" w:line="240" w:lineRule="auto"/>
              <w:contextualSpacing/>
              <w:rPr>
                <w:rFonts w:cs="Times New Roman"/>
                <w:bCs/>
                <w:noProof/>
              </w:rPr>
            </w:pPr>
            <w:bookmarkStart w:id="4" w:name="_Hlk187937416"/>
            <w:r>
              <w:rPr>
                <w:noProof/>
              </w:rPr>
              <w:t xml:space="preserve">4.1.1.3.i. </w:t>
            </w:r>
          </w:p>
          <w:bookmarkEnd w:id="4"/>
          <w:p w14:paraId="5B0BE6E4" w14:textId="77777777" w:rsidR="008E6885" w:rsidRDefault="00EA24E7">
            <w:pPr>
              <w:pStyle w:val="P68B1DB1-Normal17"/>
              <w:spacing w:before="120" w:after="120" w:line="240" w:lineRule="auto"/>
              <w:contextualSpacing/>
              <w:rPr>
                <w:rFonts w:cs="Times New Roman"/>
                <w:bCs/>
                <w:noProof/>
              </w:rPr>
            </w:pPr>
            <w:r>
              <w:rPr>
                <w:noProof/>
              </w:rPr>
              <w:t>Soutien aux infrastructures ou équipements des prestataires de services de soins ambulatoires secondaires</w:t>
            </w:r>
          </w:p>
        </w:tc>
        <w:tc>
          <w:tcPr>
            <w:tcW w:w="1099" w:type="dxa"/>
            <w:shd w:val="clear" w:color="auto" w:fill="C6EFCE"/>
          </w:tcPr>
          <w:p w14:paraId="72A59A9B" w14:textId="77777777" w:rsidR="008E6885" w:rsidRDefault="00EA24E7">
            <w:pPr>
              <w:pStyle w:val="P68B1DB1-Normal19"/>
              <w:spacing w:before="120" w:after="120" w:line="240" w:lineRule="auto"/>
              <w:rPr>
                <w:rFonts w:cs="Times New Roman"/>
                <w:noProof/>
              </w:rPr>
            </w:pPr>
            <w:r>
              <w:rPr>
                <w:noProof/>
              </w:rPr>
              <w:t>Objectif</w:t>
            </w:r>
          </w:p>
        </w:tc>
        <w:tc>
          <w:tcPr>
            <w:tcW w:w="1884" w:type="dxa"/>
            <w:shd w:val="clear" w:color="auto" w:fill="C6EFCE"/>
          </w:tcPr>
          <w:p w14:paraId="56292E15" w14:textId="77777777" w:rsidR="008E6885" w:rsidRDefault="00EA24E7">
            <w:pPr>
              <w:pStyle w:val="P68B1DB1-Normal19"/>
              <w:spacing w:before="120" w:after="120" w:line="240" w:lineRule="auto"/>
              <w:rPr>
                <w:noProof/>
              </w:rPr>
            </w:pPr>
            <w:r>
              <w:rPr>
                <w:noProof/>
              </w:rPr>
              <w:t>Prestataires de soins de santé ambulatoires secondaires</w:t>
            </w:r>
          </w:p>
        </w:tc>
        <w:tc>
          <w:tcPr>
            <w:tcW w:w="1626" w:type="dxa"/>
            <w:shd w:val="clear" w:color="auto" w:fill="C6EFCE"/>
          </w:tcPr>
          <w:p w14:paraId="04D9CC8D" w14:textId="77777777" w:rsidR="008E6885" w:rsidRDefault="00EA24E7">
            <w:pPr>
              <w:pStyle w:val="P68B1DB1-Normal19"/>
              <w:spacing w:before="120" w:after="120" w:line="240" w:lineRule="auto"/>
              <w:jc w:val="center"/>
              <w:rPr>
                <w:rFonts w:cs="Times New Roman"/>
                <w:noProof/>
              </w:rPr>
            </w:pPr>
            <w:r>
              <w:rPr>
                <w:noProof/>
              </w:rPr>
              <w:t>Sans objet</w:t>
            </w:r>
          </w:p>
        </w:tc>
        <w:tc>
          <w:tcPr>
            <w:tcW w:w="1026" w:type="dxa"/>
            <w:shd w:val="clear" w:color="auto" w:fill="C6EFCE"/>
          </w:tcPr>
          <w:p w14:paraId="3288E66F" w14:textId="77777777" w:rsidR="008E6885" w:rsidRDefault="00EA24E7">
            <w:pPr>
              <w:pStyle w:val="P68B1DB1-Normal19"/>
              <w:spacing w:before="120" w:after="120" w:line="240" w:lineRule="auto"/>
              <w:jc w:val="center"/>
              <w:rPr>
                <w:rFonts w:cs="Times New Roman"/>
                <w:noProof/>
              </w:rPr>
            </w:pPr>
            <w:r>
              <w:rPr>
                <w:noProof/>
              </w:rPr>
              <w:t>Numéro</w:t>
            </w:r>
          </w:p>
        </w:tc>
        <w:tc>
          <w:tcPr>
            <w:tcW w:w="992" w:type="dxa"/>
            <w:shd w:val="clear" w:color="auto" w:fill="C6EFCE"/>
          </w:tcPr>
          <w:p w14:paraId="48FD066B" w14:textId="77777777" w:rsidR="008E6885" w:rsidRDefault="00EA24E7">
            <w:pPr>
              <w:pStyle w:val="P68B1DB1-Normal19"/>
              <w:spacing w:before="120" w:after="120" w:line="240" w:lineRule="auto"/>
              <w:jc w:val="center"/>
              <w:rPr>
                <w:rFonts w:cs="Times New Roman"/>
                <w:noProof/>
              </w:rPr>
            </w:pPr>
            <w:r>
              <w:rPr>
                <w:noProof/>
              </w:rPr>
              <w:t>0</w:t>
            </w:r>
          </w:p>
        </w:tc>
        <w:tc>
          <w:tcPr>
            <w:tcW w:w="850" w:type="dxa"/>
            <w:shd w:val="clear" w:color="auto" w:fill="C6EFCE"/>
          </w:tcPr>
          <w:p w14:paraId="2DEC0566" w14:textId="77777777" w:rsidR="008E6885" w:rsidRDefault="00EA24E7">
            <w:pPr>
              <w:pStyle w:val="P68B1DB1-Normal19"/>
              <w:spacing w:before="120" w:after="120" w:line="240" w:lineRule="auto"/>
              <w:jc w:val="center"/>
              <w:rPr>
                <w:rFonts w:cs="Times New Roman"/>
                <w:noProof/>
              </w:rPr>
            </w:pPr>
            <w:r>
              <w:rPr>
                <w:noProof/>
              </w:rPr>
              <w:t>20</w:t>
            </w:r>
          </w:p>
        </w:tc>
        <w:tc>
          <w:tcPr>
            <w:tcW w:w="993" w:type="dxa"/>
            <w:shd w:val="clear" w:color="auto" w:fill="C6EFCE"/>
          </w:tcPr>
          <w:p w14:paraId="5297DB51" w14:textId="77777777" w:rsidR="008E6885" w:rsidRDefault="00EA24E7">
            <w:pPr>
              <w:pStyle w:val="P68B1DB1-Normal19"/>
              <w:spacing w:before="120" w:after="120" w:line="240" w:lineRule="auto"/>
              <w:jc w:val="center"/>
              <w:rPr>
                <w:rFonts w:cs="Times New Roman"/>
                <w:noProof/>
              </w:rPr>
            </w:pPr>
            <w:r>
              <w:rPr>
                <w:noProof/>
              </w:rPr>
              <w:t>T4</w:t>
            </w:r>
          </w:p>
        </w:tc>
        <w:tc>
          <w:tcPr>
            <w:tcW w:w="708" w:type="dxa"/>
            <w:shd w:val="clear" w:color="auto" w:fill="C6EFCE"/>
          </w:tcPr>
          <w:p w14:paraId="26C59449" w14:textId="77777777" w:rsidR="008E6885" w:rsidRDefault="00EA24E7">
            <w:pPr>
              <w:pStyle w:val="P68B1DB1-Normal19"/>
              <w:spacing w:before="120" w:after="120" w:line="240" w:lineRule="auto"/>
              <w:jc w:val="center"/>
              <w:rPr>
                <w:rFonts w:cs="Times New Roman"/>
                <w:noProof/>
              </w:rPr>
            </w:pPr>
            <w:r>
              <w:rPr>
                <w:noProof/>
              </w:rPr>
              <w:t>2024</w:t>
            </w:r>
          </w:p>
        </w:tc>
        <w:tc>
          <w:tcPr>
            <w:tcW w:w="2594" w:type="dxa"/>
            <w:shd w:val="clear" w:color="auto" w:fill="C6EFCE"/>
          </w:tcPr>
          <w:p w14:paraId="04D6708B" w14:textId="77777777" w:rsidR="008E6885" w:rsidRDefault="00EA24E7">
            <w:pPr>
              <w:pStyle w:val="P68B1DB1-Normal19"/>
              <w:spacing w:before="120" w:after="120" w:line="240" w:lineRule="auto"/>
              <w:jc w:val="both"/>
              <w:rPr>
                <w:rFonts w:eastAsia="Times New Roman" w:cs="Times New Roman"/>
                <w:noProof/>
                <w:color w:val="751D20"/>
                <w:u w:val="single"/>
              </w:rPr>
            </w:pPr>
            <w:r>
              <w:rPr>
                <w:noProof/>
              </w:rPr>
              <w:t>Lettres d'achèvement délivrées par l'Agence centrale de financement et de passation des marchés pour les projets finalisés dans 20 prestataires de services ambulatoires secondaires, concernant les infrastructures et les équipements.</w:t>
            </w:r>
          </w:p>
        </w:tc>
      </w:tr>
      <w:tr w:rsidR="008E6885" w14:paraId="5883C495" w14:textId="77777777" w:rsidTr="00D57C89">
        <w:trPr>
          <w:gridAfter w:val="1"/>
          <w:wAfter w:w="6" w:type="dxa"/>
        </w:trPr>
        <w:tc>
          <w:tcPr>
            <w:tcW w:w="686" w:type="dxa"/>
            <w:shd w:val="clear" w:color="auto" w:fill="C6EFCE"/>
          </w:tcPr>
          <w:p w14:paraId="1A8F9EA0" w14:textId="77777777" w:rsidR="008E6885" w:rsidRDefault="00EA24E7">
            <w:pPr>
              <w:pStyle w:val="P68B1DB1-Normal19"/>
              <w:spacing w:before="120" w:after="120" w:line="240" w:lineRule="auto"/>
              <w:rPr>
                <w:rFonts w:cs="Times New Roman"/>
                <w:noProof/>
              </w:rPr>
            </w:pPr>
            <w:r>
              <w:rPr>
                <w:noProof/>
              </w:rPr>
              <w:t>142</w:t>
            </w:r>
          </w:p>
        </w:tc>
        <w:tc>
          <w:tcPr>
            <w:tcW w:w="1760" w:type="dxa"/>
            <w:shd w:val="clear" w:color="auto" w:fill="C6EFCE"/>
          </w:tcPr>
          <w:p w14:paraId="12C532B3" w14:textId="77777777" w:rsidR="008E6885" w:rsidRDefault="00EA24E7">
            <w:pPr>
              <w:pStyle w:val="P68B1DB1-Normal17"/>
              <w:spacing w:before="120" w:after="120" w:line="240" w:lineRule="auto"/>
              <w:contextualSpacing/>
              <w:rPr>
                <w:rFonts w:cs="Times New Roman"/>
                <w:bCs/>
                <w:noProof/>
              </w:rPr>
            </w:pPr>
            <w:r>
              <w:rPr>
                <w:noProof/>
              </w:rPr>
              <w:t xml:space="preserve">4.1.1.3.i. </w:t>
            </w:r>
          </w:p>
          <w:p w14:paraId="3236B6F3" w14:textId="77777777" w:rsidR="008E6885" w:rsidRDefault="00EA24E7">
            <w:pPr>
              <w:pStyle w:val="P68B1DB1-Normal17"/>
              <w:spacing w:before="120" w:after="120" w:line="240" w:lineRule="auto"/>
              <w:contextualSpacing/>
              <w:rPr>
                <w:rFonts w:cs="Times New Roman"/>
                <w:bCs/>
                <w:noProof/>
              </w:rPr>
            </w:pPr>
            <w:r>
              <w:rPr>
                <w:noProof/>
              </w:rPr>
              <w:t>Soutien aux infrastructures ou équipements des prestataires de services de soins ambulatoires secondaires</w:t>
            </w:r>
          </w:p>
        </w:tc>
        <w:tc>
          <w:tcPr>
            <w:tcW w:w="1099" w:type="dxa"/>
            <w:shd w:val="clear" w:color="auto" w:fill="C6EFCE"/>
          </w:tcPr>
          <w:p w14:paraId="78154B69" w14:textId="77777777" w:rsidR="008E6885" w:rsidRDefault="00EA24E7">
            <w:pPr>
              <w:pStyle w:val="P68B1DB1-Normal19"/>
              <w:spacing w:before="120" w:after="120" w:line="240" w:lineRule="auto"/>
              <w:rPr>
                <w:rFonts w:cs="Times New Roman"/>
                <w:noProof/>
              </w:rPr>
            </w:pPr>
            <w:r>
              <w:rPr>
                <w:noProof/>
              </w:rPr>
              <w:t>Objectif</w:t>
            </w:r>
          </w:p>
        </w:tc>
        <w:tc>
          <w:tcPr>
            <w:tcW w:w="1884" w:type="dxa"/>
            <w:shd w:val="clear" w:color="auto" w:fill="C6EFCE"/>
          </w:tcPr>
          <w:p w14:paraId="63FAF1C1" w14:textId="77777777" w:rsidR="008E6885" w:rsidRDefault="00EA24E7">
            <w:pPr>
              <w:pStyle w:val="P68B1DB1-Normal19"/>
              <w:spacing w:before="120" w:after="120" w:line="240" w:lineRule="auto"/>
              <w:rPr>
                <w:noProof/>
              </w:rPr>
            </w:pPr>
            <w:r>
              <w:rPr>
                <w:noProof/>
              </w:rPr>
              <w:t>Prestataires de soins de santé ambulatoires secondaires</w:t>
            </w:r>
          </w:p>
        </w:tc>
        <w:tc>
          <w:tcPr>
            <w:tcW w:w="1626" w:type="dxa"/>
            <w:shd w:val="clear" w:color="auto" w:fill="C6EFCE"/>
          </w:tcPr>
          <w:p w14:paraId="2D1967A2" w14:textId="77777777" w:rsidR="008E6885" w:rsidRDefault="00EA24E7">
            <w:pPr>
              <w:pStyle w:val="P68B1DB1-Normal19"/>
              <w:spacing w:before="120" w:after="120" w:line="240" w:lineRule="auto"/>
              <w:jc w:val="center"/>
              <w:rPr>
                <w:rFonts w:cs="Times New Roman"/>
                <w:noProof/>
              </w:rPr>
            </w:pPr>
            <w:r>
              <w:rPr>
                <w:noProof/>
              </w:rPr>
              <w:t>Sans objet</w:t>
            </w:r>
          </w:p>
        </w:tc>
        <w:tc>
          <w:tcPr>
            <w:tcW w:w="1026" w:type="dxa"/>
            <w:shd w:val="clear" w:color="auto" w:fill="C6EFCE"/>
          </w:tcPr>
          <w:p w14:paraId="42A9889E" w14:textId="77777777" w:rsidR="008E6885" w:rsidRDefault="00EA24E7">
            <w:pPr>
              <w:pStyle w:val="P68B1DB1-Normal19"/>
              <w:spacing w:before="120" w:after="120" w:line="240" w:lineRule="auto"/>
              <w:jc w:val="center"/>
              <w:rPr>
                <w:rFonts w:cs="Times New Roman"/>
                <w:noProof/>
              </w:rPr>
            </w:pPr>
            <w:r>
              <w:rPr>
                <w:noProof/>
              </w:rPr>
              <w:t>Numéro</w:t>
            </w:r>
          </w:p>
        </w:tc>
        <w:tc>
          <w:tcPr>
            <w:tcW w:w="992" w:type="dxa"/>
            <w:shd w:val="clear" w:color="auto" w:fill="C6EFCE"/>
          </w:tcPr>
          <w:p w14:paraId="7CEAFC46" w14:textId="77777777" w:rsidR="008E6885" w:rsidRDefault="00EA24E7">
            <w:pPr>
              <w:pStyle w:val="P68B1DB1-Normal19"/>
              <w:spacing w:before="120" w:after="120" w:line="240" w:lineRule="auto"/>
              <w:jc w:val="center"/>
              <w:rPr>
                <w:rFonts w:cs="Times New Roman"/>
                <w:noProof/>
              </w:rPr>
            </w:pPr>
            <w:r>
              <w:rPr>
                <w:noProof/>
              </w:rPr>
              <w:t>20</w:t>
            </w:r>
          </w:p>
        </w:tc>
        <w:tc>
          <w:tcPr>
            <w:tcW w:w="850" w:type="dxa"/>
            <w:shd w:val="clear" w:color="auto" w:fill="C6EFCE"/>
          </w:tcPr>
          <w:p w14:paraId="5DDCF254" w14:textId="77777777" w:rsidR="008E6885" w:rsidRDefault="00EA24E7">
            <w:pPr>
              <w:pStyle w:val="P68B1DB1-Normal19"/>
              <w:spacing w:before="120" w:after="120" w:line="240" w:lineRule="auto"/>
              <w:jc w:val="center"/>
              <w:rPr>
                <w:rFonts w:cs="Times New Roman"/>
                <w:noProof/>
              </w:rPr>
            </w:pPr>
            <w:r>
              <w:rPr>
                <w:noProof/>
              </w:rPr>
              <w:t>40</w:t>
            </w:r>
          </w:p>
        </w:tc>
        <w:tc>
          <w:tcPr>
            <w:tcW w:w="993" w:type="dxa"/>
            <w:shd w:val="clear" w:color="auto" w:fill="C6EFCE"/>
          </w:tcPr>
          <w:p w14:paraId="004965BF" w14:textId="77777777" w:rsidR="008E6885" w:rsidRDefault="00EA24E7">
            <w:pPr>
              <w:pStyle w:val="P68B1DB1-Normal19"/>
              <w:spacing w:before="120" w:after="120" w:line="240" w:lineRule="auto"/>
              <w:jc w:val="center"/>
              <w:rPr>
                <w:rFonts w:cs="Times New Roman"/>
                <w:noProof/>
              </w:rPr>
            </w:pPr>
            <w:r>
              <w:rPr>
                <w:noProof/>
              </w:rPr>
              <w:t>T3</w:t>
            </w:r>
          </w:p>
        </w:tc>
        <w:tc>
          <w:tcPr>
            <w:tcW w:w="708" w:type="dxa"/>
            <w:shd w:val="clear" w:color="auto" w:fill="C6EFCE"/>
          </w:tcPr>
          <w:p w14:paraId="1AD11313" w14:textId="77777777" w:rsidR="008E6885" w:rsidRDefault="00EA24E7">
            <w:pPr>
              <w:pStyle w:val="P68B1DB1-Normal19"/>
              <w:spacing w:before="120" w:after="120" w:line="240" w:lineRule="auto"/>
              <w:jc w:val="center"/>
              <w:rPr>
                <w:rFonts w:cs="Times New Roman"/>
                <w:noProof/>
              </w:rPr>
            </w:pPr>
            <w:r>
              <w:rPr>
                <w:noProof/>
              </w:rPr>
              <w:t>2026</w:t>
            </w:r>
          </w:p>
        </w:tc>
        <w:tc>
          <w:tcPr>
            <w:tcW w:w="2594" w:type="dxa"/>
            <w:shd w:val="clear" w:color="auto" w:fill="C6EFCE"/>
          </w:tcPr>
          <w:p w14:paraId="61D58CB4" w14:textId="77777777" w:rsidR="008E6885" w:rsidRDefault="00EA24E7">
            <w:pPr>
              <w:pStyle w:val="P68B1DB1-Normal19"/>
              <w:spacing w:before="120" w:after="120" w:line="240" w:lineRule="auto"/>
              <w:jc w:val="both"/>
              <w:rPr>
                <w:noProof/>
              </w:rPr>
            </w:pPr>
            <w:r>
              <w:rPr>
                <w:noProof/>
              </w:rPr>
              <w:t>Lettres d'achèvement délivrées par l'Agence centrale de financement et de passation des marchés pour les projets finalisés dans 20 prestataires de services ambulatoires secondaires, concernant les infrastructures et les équipements.</w:t>
            </w:r>
          </w:p>
        </w:tc>
      </w:tr>
      <w:tr w:rsidR="008E6885" w14:paraId="5D6C8272" w14:textId="77777777" w:rsidTr="00D57C89">
        <w:trPr>
          <w:gridAfter w:val="1"/>
          <w:wAfter w:w="6" w:type="dxa"/>
        </w:trPr>
        <w:tc>
          <w:tcPr>
            <w:tcW w:w="686" w:type="dxa"/>
            <w:shd w:val="clear" w:color="auto" w:fill="C6EFCE"/>
          </w:tcPr>
          <w:p w14:paraId="5219773F" w14:textId="77777777" w:rsidR="008E6885" w:rsidRDefault="00EA24E7">
            <w:pPr>
              <w:pStyle w:val="P68B1DB1-Normal19"/>
              <w:spacing w:before="120" w:after="120" w:line="240" w:lineRule="auto"/>
              <w:rPr>
                <w:rFonts w:cs="Times New Roman"/>
                <w:noProof/>
              </w:rPr>
            </w:pPr>
            <w:r>
              <w:rPr>
                <w:noProof/>
              </w:rPr>
              <w:t>143</w:t>
            </w:r>
          </w:p>
        </w:tc>
        <w:tc>
          <w:tcPr>
            <w:tcW w:w="1760" w:type="dxa"/>
            <w:shd w:val="clear" w:color="auto" w:fill="C6EFCE"/>
          </w:tcPr>
          <w:p w14:paraId="3600940A" w14:textId="77777777" w:rsidR="008E6885" w:rsidRDefault="00EA24E7">
            <w:pPr>
              <w:pStyle w:val="P68B1DB1-Normal17"/>
              <w:spacing w:before="120" w:after="120" w:line="240" w:lineRule="auto"/>
              <w:contextualSpacing/>
              <w:rPr>
                <w:rFonts w:cs="Times New Roman"/>
                <w:bCs/>
                <w:noProof/>
              </w:rPr>
            </w:pPr>
            <w:r>
              <w:rPr>
                <w:noProof/>
              </w:rPr>
              <w:t xml:space="preserve">4.2.1.r. </w:t>
            </w:r>
          </w:p>
          <w:p w14:paraId="4F3C098A" w14:textId="77777777" w:rsidR="008E6885" w:rsidRDefault="00EA24E7">
            <w:pPr>
              <w:pStyle w:val="P68B1DB1-Normal17"/>
              <w:spacing w:before="120" w:after="120" w:line="240" w:lineRule="auto"/>
              <w:contextualSpacing/>
              <w:rPr>
                <w:rFonts w:cs="Times New Roman"/>
                <w:noProof/>
              </w:rPr>
            </w:pPr>
            <w:r>
              <w:rPr>
                <w:noProof/>
              </w:rPr>
              <w:t>Mise à disposition de ressources humaines et renforcement des compétences</w:t>
            </w:r>
          </w:p>
        </w:tc>
        <w:tc>
          <w:tcPr>
            <w:tcW w:w="1099" w:type="dxa"/>
            <w:shd w:val="clear" w:color="auto" w:fill="C6EFCE"/>
          </w:tcPr>
          <w:p w14:paraId="4D46DF07"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32E6FEF6" w14:textId="77777777" w:rsidR="008E6885" w:rsidRDefault="00EA24E7">
            <w:pPr>
              <w:pStyle w:val="P68B1DB1-Normal19"/>
              <w:spacing w:before="120" w:after="120" w:line="240" w:lineRule="auto"/>
              <w:rPr>
                <w:rFonts w:cs="Times New Roman"/>
                <w:noProof/>
              </w:rPr>
            </w:pPr>
            <w:r>
              <w:rPr>
                <w:noProof/>
              </w:rPr>
              <w:t>Stratégie de mise en valeur des ressources humaines</w:t>
            </w:r>
          </w:p>
        </w:tc>
        <w:tc>
          <w:tcPr>
            <w:tcW w:w="1626" w:type="dxa"/>
            <w:shd w:val="clear" w:color="auto" w:fill="C6EFCE"/>
          </w:tcPr>
          <w:p w14:paraId="62D00107" w14:textId="77777777" w:rsidR="008E6885" w:rsidRDefault="00EA24E7">
            <w:pPr>
              <w:pStyle w:val="P68B1DB1-Normal19"/>
              <w:spacing w:before="120" w:after="120" w:line="240" w:lineRule="auto"/>
              <w:rPr>
                <w:rFonts w:cs="Times New Roman"/>
                <w:noProof/>
              </w:rPr>
            </w:pPr>
            <w:r>
              <w:rPr>
                <w:noProof/>
              </w:rPr>
              <w:t>Les autorités lettones ont adopté une stratégie globale en matière de personnel de santé, qui comprend des modèles d’apprentissage tout au long de la vie et de planification du personnel de santé.</w:t>
            </w:r>
          </w:p>
        </w:tc>
        <w:tc>
          <w:tcPr>
            <w:tcW w:w="1026" w:type="dxa"/>
            <w:shd w:val="clear" w:color="auto" w:fill="C6EFCE"/>
          </w:tcPr>
          <w:p w14:paraId="60C44554"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64A494E9"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18F18FFB"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062D41CA" w14:textId="77777777" w:rsidR="008E6885" w:rsidRDefault="00EA24E7">
            <w:pPr>
              <w:pStyle w:val="P68B1DB1-Normal19"/>
              <w:spacing w:before="120" w:after="120" w:line="240" w:lineRule="auto"/>
              <w:jc w:val="center"/>
              <w:rPr>
                <w:rFonts w:cs="Times New Roman"/>
                <w:noProof/>
              </w:rPr>
            </w:pPr>
            <w:r>
              <w:rPr>
                <w:noProof/>
              </w:rPr>
              <w:t>T2</w:t>
            </w:r>
          </w:p>
        </w:tc>
        <w:tc>
          <w:tcPr>
            <w:tcW w:w="708" w:type="dxa"/>
            <w:shd w:val="clear" w:color="auto" w:fill="C6EFCE"/>
          </w:tcPr>
          <w:p w14:paraId="11419F4D" w14:textId="77777777" w:rsidR="008E6885" w:rsidRDefault="00EA24E7">
            <w:pPr>
              <w:pStyle w:val="P68B1DB1-Normal19"/>
              <w:spacing w:before="120" w:after="120" w:line="240" w:lineRule="auto"/>
              <w:jc w:val="center"/>
              <w:rPr>
                <w:rFonts w:cs="Times New Roman"/>
                <w:noProof/>
              </w:rPr>
            </w:pPr>
            <w:r>
              <w:rPr>
                <w:noProof/>
              </w:rPr>
              <w:t>2023</w:t>
            </w:r>
          </w:p>
        </w:tc>
        <w:tc>
          <w:tcPr>
            <w:tcW w:w="2594" w:type="dxa"/>
            <w:shd w:val="clear" w:color="auto" w:fill="C6EFCE"/>
          </w:tcPr>
          <w:p w14:paraId="1D891A4D" w14:textId="77777777" w:rsidR="008E6885" w:rsidRDefault="00EA24E7">
            <w:pPr>
              <w:pStyle w:val="P68B1DB1-Normal19"/>
              <w:spacing w:before="120" w:after="120" w:line="240" w:lineRule="auto"/>
              <w:jc w:val="both"/>
              <w:rPr>
                <w:rFonts w:cs="Times New Roman"/>
                <w:noProof/>
              </w:rPr>
            </w:pPr>
            <w:r>
              <w:rPr>
                <w:noProof/>
              </w:rPr>
              <w:t>Une stratégie de développement des ressources humaines a été adoptée, en consultation avec les partenaires sociaux et d’autres parties prenantes, conformément au règlement intérieur du cabinet des ministres.</w:t>
            </w:r>
          </w:p>
          <w:p w14:paraId="2FC2C0D5" w14:textId="77777777" w:rsidR="008E6885" w:rsidRDefault="00EA24E7">
            <w:pPr>
              <w:pStyle w:val="P68B1DB1-Normal19"/>
              <w:spacing w:before="120" w:after="120" w:line="240" w:lineRule="auto"/>
              <w:jc w:val="both"/>
              <w:rPr>
                <w:rFonts w:cs="Times New Roman"/>
                <w:noProof/>
              </w:rPr>
            </w:pPr>
            <w:r>
              <w:rPr>
                <w:noProof/>
              </w:rPr>
              <w:t>La stratégie en matière de personnel de santé fournit un cadre pour le développement d’un mécanisme de planification du personnel de santé, y compris les besoins en places d’études de premier cycle et de troisième cycle, un système d’information solide qui comprend des informations actualisées au niveau individuel sur le développement des aptitudes et des compétences des médecins au cours de leur carrière et une planification et une gestion efficaces de l’apprentissage tout au long de la vie. La stratégie définit également les principes du modèle de rémunération des soins de santé.</w:t>
            </w:r>
          </w:p>
        </w:tc>
      </w:tr>
      <w:tr w:rsidR="008E6885" w14:paraId="0A398DD1" w14:textId="77777777" w:rsidTr="00D57C89">
        <w:trPr>
          <w:gridAfter w:val="1"/>
          <w:wAfter w:w="6" w:type="dxa"/>
        </w:trPr>
        <w:tc>
          <w:tcPr>
            <w:tcW w:w="686" w:type="dxa"/>
            <w:shd w:val="clear" w:color="auto" w:fill="C6EFCE"/>
          </w:tcPr>
          <w:p w14:paraId="26D52BCD" w14:textId="77777777" w:rsidR="008E6885" w:rsidRDefault="00EA24E7">
            <w:pPr>
              <w:pStyle w:val="P68B1DB1-Normal19"/>
              <w:spacing w:before="120" w:after="120" w:line="240" w:lineRule="auto"/>
              <w:rPr>
                <w:rFonts w:cs="Times New Roman"/>
                <w:noProof/>
              </w:rPr>
            </w:pPr>
            <w:r>
              <w:rPr>
                <w:noProof/>
              </w:rPr>
              <w:t>144</w:t>
            </w:r>
          </w:p>
        </w:tc>
        <w:tc>
          <w:tcPr>
            <w:tcW w:w="1760" w:type="dxa"/>
            <w:shd w:val="clear" w:color="auto" w:fill="C6EFCE"/>
          </w:tcPr>
          <w:p w14:paraId="5AFE2FE3" w14:textId="77777777" w:rsidR="008E6885" w:rsidRDefault="00EA24E7">
            <w:pPr>
              <w:pStyle w:val="P68B1DB1-Normal17"/>
              <w:spacing w:before="120" w:after="120" w:line="240" w:lineRule="auto"/>
              <w:contextualSpacing/>
              <w:rPr>
                <w:rFonts w:cs="Times New Roman"/>
                <w:bCs/>
                <w:noProof/>
              </w:rPr>
            </w:pPr>
            <w:r>
              <w:rPr>
                <w:noProof/>
              </w:rPr>
              <w:t xml:space="preserve">4.2.1.r. </w:t>
            </w:r>
          </w:p>
          <w:p w14:paraId="647FFE31" w14:textId="77777777" w:rsidR="008E6885" w:rsidRDefault="00EA24E7">
            <w:pPr>
              <w:pStyle w:val="P68B1DB1-Normal17"/>
              <w:spacing w:before="120" w:after="120" w:line="240" w:lineRule="auto"/>
              <w:contextualSpacing/>
              <w:rPr>
                <w:rFonts w:cs="Times New Roman"/>
                <w:noProof/>
              </w:rPr>
            </w:pPr>
            <w:r>
              <w:rPr>
                <w:noProof/>
              </w:rPr>
              <w:t>Mise à disposition de ressources humaines et renforcement des compétences</w:t>
            </w:r>
          </w:p>
        </w:tc>
        <w:tc>
          <w:tcPr>
            <w:tcW w:w="1099" w:type="dxa"/>
            <w:shd w:val="clear" w:color="auto" w:fill="C6EFCE"/>
          </w:tcPr>
          <w:p w14:paraId="1D4778C4"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59F0BE4F" w14:textId="77777777" w:rsidR="008E6885" w:rsidRDefault="00EA24E7">
            <w:pPr>
              <w:pStyle w:val="P68B1DB1-Normal19"/>
              <w:spacing w:before="120" w:after="120" w:line="240" w:lineRule="auto"/>
              <w:rPr>
                <w:rFonts w:cs="Times New Roman"/>
                <w:noProof/>
              </w:rPr>
            </w:pPr>
            <w:r>
              <w:rPr>
                <w:noProof/>
              </w:rPr>
              <w:t xml:space="preserve">Adoption de la cartographie des ressources humaines dans les soins de santé </w:t>
            </w:r>
          </w:p>
        </w:tc>
        <w:tc>
          <w:tcPr>
            <w:tcW w:w="1626" w:type="dxa"/>
            <w:shd w:val="clear" w:color="auto" w:fill="C6EFCE"/>
          </w:tcPr>
          <w:p w14:paraId="03C1C501" w14:textId="77777777" w:rsidR="008E6885" w:rsidRDefault="00EA24E7">
            <w:pPr>
              <w:pStyle w:val="P68B1DB1-Normal19"/>
              <w:spacing w:before="120" w:after="120" w:line="240" w:lineRule="auto"/>
              <w:rPr>
                <w:rFonts w:cs="Times New Roman"/>
                <w:noProof/>
              </w:rPr>
            </w:pPr>
            <w:r>
              <w:rPr>
                <w:noProof/>
              </w:rPr>
              <w:t>Cartographie des ressources humaines élaborée et approuvée par le Ministère de la santé</w:t>
            </w:r>
          </w:p>
        </w:tc>
        <w:tc>
          <w:tcPr>
            <w:tcW w:w="1026" w:type="dxa"/>
            <w:shd w:val="clear" w:color="auto" w:fill="C6EFCE"/>
          </w:tcPr>
          <w:p w14:paraId="3BAF64D8"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52BC961F"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27D8136E"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276E3994" w14:textId="77777777" w:rsidR="008E6885" w:rsidRDefault="00EA24E7">
            <w:pPr>
              <w:pStyle w:val="P68B1DB1-Normal19"/>
              <w:spacing w:before="120" w:after="120" w:line="240" w:lineRule="auto"/>
              <w:jc w:val="center"/>
              <w:rPr>
                <w:rFonts w:cs="Times New Roman"/>
                <w:noProof/>
              </w:rPr>
            </w:pPr>
            <w:r>
              <w:rPr>
                <w:noProof/>
              </w:rPr>
              <w:t>T4</w:t>
            </w:r>
          </w:p>
        </w:tc>
        <w:tc>
          <w:tcPr>
            <w:tcW w:w="708" w:type="dxa"/>
            <w:shd w:val="clear" w:color="auto" w:fill="C6EFCE"/>
          </w:tcPr>
          <w:p w14:paraId="4AA3BBB5" w14:textId="77777777" w:rsidR="008E6885" w:rsidRDefault="00EA24E7">
            <w:pPr>
              <w:pStyle w:val="P68B1DB1-Normal19"/>
              <w:spacing w:before="120" w:after="120" w:line="240" w:lineRule="auto"/>
              <w:jc w:val="center"/>
              <w:rPr>
                <w:rFonts w:cs="Times New Roman"/>
                <w:noProof/>
              </w:rPr>
            </w:pPr>
            <w:r>
              <w:rPr>
                <w:noProof/>
              </w:rPr>
              <w:t>2023</w:t>
            </w:r>
          </w:p>
        </w:tc>
        <w:tc>
          <w:tcPr>
            <w:tcW w:w="2594" w:type="dxa"/>
            <w:shd w:val="clear" w:color="auto" w:fill="C6EFCE"/>
          </w:tcPr>
          <w:p w14:paraId="0664D989" w14:textId="77777777" w:rsidR="008E6885" w:rsidRDefault="00EA24E7">
            <w:pPr>
              <w:pStyle w:val="P68B1DB1-Normal19"/>
              <w:spacing w:after="0" w:line="240" w:lineRule="auto"/>
              <w:jc w:val="both"/>
              <w:rPr>
                <w:rFonts w:cs="Times New Roman"/>
                <w:noProof/>
              </w:rPr>
            </w:pPr>
            <w:r>
              <w:rPr>
                <w:noProof/>
              </w:rPr>
              <w:t xml:space="preserve">Les ressources humaines dans la cartographie des soins de santé ont été achevées. </w:t>
            </w:r>
          </w:p>
          <w:p w14:paraId="3E3294ED" w14:textId="77777777" w:rsidR="008E6885" w:rsidRDefault="00EA24E7">
            <w:pPr>
              <w:pStyle w:val="P68B1DB1-Normal19"/>
              <w:spacing w:after="0" w:line="240" w:lineRule="auto"/>
              <w:jc w:val="both"/>
              <w:rPr>
                <w:noProof/>
              </w:rPr>
            </w:pPr>
            <w:r>
              <w:rPr>
                <w:noProof/>
              </w:rPr>
              <w:t xml:space="preserve">La cartographie comprend des informations détaillées sur le nombre de professionnels de la santé travaillant dans différentes disciplines, dans le secteur public et dans le secteur privé, à tous les niveaux de soins. </w:t>
            </w:r>
          </w:p>
          <w:p w14:paraId="46E64032" w14:textId="4892AE39" w:rsidR="008E6885" w:rsidRDefault="00EA24E7">
            <w:pPr>
              <w:pStyle w:val="P68B1DB1-Normal19"/>
              <w:spacing w:after="0" w:line="240" w:lineRule="auto"/>
              <w:jc w:val="both"/>
              <w:rPr>
                <w:rFonts w:cs="Times New Roman"/>
                <w:noProof/>
              </w:rPr>
            </w:pPr>
            <w:r>
              <w:rPr>
                <w:noProof/>
              </w:rPr>
              <w:t xml:space="preserve">La cartographie comprend également des informations détaillées sur la charge de travail supportée par les professionnels de la santé et sur la formation continue, mettant en évidence les aspects critiques des niveaux de qualification évalués et de la volonté de faire face à l’innovation technologique et organisationnelle. </w:t>
            </w:r>
          </w:p>
        </w:tc>
      </w:tr>
      <w:tr w:rsidR="008E6885" w14:paraId="0F75BD1A" w14:textId="77777777" w:rsidTr="00D57C89">
        <w:trPr>
          <w:gridAfter w:val="1"/>
          <w:wAfter w:w="6" w:type="dxa"/>
        </w:trPr>
        <w:tc>
          <w:tcPr>
            <w:tcW w:w="686" w:type="dxa"/>
            <w:shd w:val="clear" w:color="auto" w:fill="C6EFCE"/>
          </w:tcPr>
          <w:p w14:paraId="5D02419F" w14:textId="77777777" w:rsidR="008E6885" w:rsidRDefault="00EA24E7">
            <w:pPr>
              <w:pStyle w:val="P68B1DB1-Normal19"/>
              <w:spacing w:before="120" w:after="120" w:line="240" w:lineRule="auto"/>
              <w:rPr>
                <w:rFonts w:cs="Times New Roman"/>
                <w:noProof/>
              </w:rPr>
            </w:pPr>
            <w:r>
              <w:rPr>
                <w:noProof/>
              </w:rPr>
              <w:t>145</w:t>
            </w:r>
          </w:p>
        </w:tc>
        <w:tc>
          <w:tcPr>
            <w:tcW w:w="1760" w:type="dxa"/>
            <w:shd w:val="clear" w:color="auto" w:fill="C6EFCE"/>
          </w:tcPr>
          <w:p w14:paraId="3A9C6188" w14:textId="77777777" w:rsidR="008E6885" w:rsidRDefault="00EA24E7">
            <w:pPr>
              <w:pStyle w:val="P68B1DB1-Normal17"/>
              <w:spacing w:before="120" w:after="120" w:line="240" w:lineRule="auto"/>
              <w:contextualSpacing/>
              <w:rPr>
                <w:rFonts w:cs="Times New Roman"/>
                <w:bCs/>
                <w:noProof/>
              </w:rPr>
            </w:pPr>
            <w:r>
              <w:rPr>
                <w:noProof/>
              </w:rPr>
              <w:t xml:space="preserve">4.2.1.r. </w:t>
            </w:r>
          </w:p>
          <w:p w14:paraId="1C56600C" w14:textId="77777777" w:rsidR="008E6885" w:rsidRDefault="00EA24E7">
            <w:pPr>
              <w:pStyle w:val="P68B1DB1-Normal17"/>
              <w:spacing w:before="120" w:after="120" w:line="240" w:lineRule="auto"/>
              <w:contextualSpacing/>
              <w:rPr>
                <w:rFonts w:cs="Times New Roman"/>
                <w:noProof/>
              </w:rPr>
            </w:pPr>
            <w:r>
              <w:rPr>
                <w:noProof/>
              </w:rPr>
              <w:t>Mise à disposition de ressources humaines et renforcement des compétences</w:t>
            </w:r>
          </w:p>
        </w:tc>
        <w:tc>
          <w:tcPr>
            <w:tcW w:w="1099" w:type="dxa"/>
            <w:shd w:val="clear" w:color="auto" w:fill="C6EFCE"/>
          </w:tcPr>
          <w:p w14:paraId="38AF6455"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3BA8DEA8" w14:textId="77777777" w:rsidR="008E6885" w:rsidRDefault="00EA24E7">
            <w:pPr>
              <w:pStyle w:val="P68B1DB1-Normal19"/>
              <w:spacing w:before="120" w:after="120" w:line="240" w:lineRule="auto"/>
              <w:rPr>
                <w:rFonts w:cs="Times New Roman"/>
                <w:noProof/>
              </w:rPr>
            </w:pPr>
            <w:r>
              <w:rPr>
                <w:noProof/>
              </w:rPr>
              <w:t xml:space="preserve">Nouveau modèle de rémunération du personnel de santé </w:t>
            </w:r>
          </w:p>
        </w:tc>
        <w:tc>
          <w:tcPr>
            <w:tcW w:w="1626" w:type="dxa"/>
            <w:shd w:val="clear" w:color="auto" w:fill="C6EFCE"/>
          </w:tcPr>
          <w:p w14:paraId="58729B56" w14:textId="77777777" w:rsidR="008E6885" w:rsidRDefault="00EA24E7">
            <w:pPr>
              <w:pStyle w:val="P68B1DB1-Normal19"/>
              <w:spacing w:before="120" w:after="120" w:line="240" w:lineRule="auto"/>
              <w:rPr>
                <w:noProof/>
              </w:rPr>
            </w:pPr>
            <w:r>
              <w:rPr>
                <w:noProof/>
              </w:rPr>
              <w:t>Entrée en vigueur du ou des actes juridiques</w:t>
            </w:r>
          </w:p>
        </w:tc>
        <w:tc>
          <w:tcPr>
            <w:tcW w:w="1026" w:type="dxa"/>
            <w:shd w:val="clear" w:color="auto" w:fill="C6EFCE"/>
          </w:tcPr>
          <w:p w14:paraId="3FBE16F2"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7A83208C"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13848483"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5DDC4D8F" w14:textId="77777777" w:rsidR="008E6885" w:rsidRDefault="00EA24E7">
            <w:pPr>
              <w:pStyle w:val="P68B1DB1-Normal19"/>
              <w:spacing w:before="120" w:after="120" w:line="240" w:lineRule="auto"/>
              <w:jc w:val="center"/>
              <w:rPr>
                <w:noProof/>
              </w:rPr>
            </w:pPr>
            <w:r>
              <w:rPr>
                <w:noProof/>
              </w:rPr>
              <w:t>T2</w:t>
            </w:r>
          </w:p>
        </w:tc>
        <w:tc>
          <w:tcPr>
            <w:tcW w:w="708" w:type="dxa"/>
            <w:shd w:val="clear" w:color="auto" w:fill="C6EFCE"/>
          </w:tcPr>
          <w:p w14:paraId="67985B16" w14:textId="77777777" w:rsidR="008E6885" w:rsidRDefault="00EA24E7">
            <w:pPr>
              <w:pStyle w:val="P68B1DB1-Normal19"/>
              <w:spacing w:before="120" w:after="120" w:line="240" w:lineRule="auto"/>
              <w:jc w:val="center"/>
              <w:rPr>
                <w:rFonts w:cs="Times New Roman"/>
                <w:noProof/>
              </w:rPr>
            </w:pPr>
            <w:r>
              <w:rPr>
                <w:noProof/>
              </w:rPr>
              <w:t>2024</w:t>
            </w:r>
          </w:p>
        </w:tc>
        <w:tc>
          <w:tcPr>
            <w:tcW w:w="2594" w:type="dxa"/>
            <w:shd w:val="clear" w:color="auto" w:fill="C6EFCE"/>
          </w:tcPr>
          <w:p w14:paraId="5AEB49A9" w14:textId="77777777" w:rsidR="008E6885" w:rsidRDefault="00EA24E7">
            <w:pPr>
              <w:pStyle w:val="P68B1DB1-Normal19"/>
              <w:spacing w:before="120" w:after="120" w:line="240" w:lineRule="auto"/>
              <w:jc w:val="both"/>
              <w:rPr>
                <w:rFonts w:cs="Times New Roman"/>
                <w:noProof/>
              </w:rPr>
            </w:pPr>
            <w:r>
              <w:rPr>
                <w:noProof/>
              </w:rPr>
              <w:t>Le nouveau modèle de rémunération du personnel de santé comprend un mécanisme transparent de calcul des salaires et rationalise les salaires dans les services de soins hospitaliers financés par l’État dans le but de garantir l’équité. Le salaire minimum du personnel de santé est augmenté.</w:t>
            </w:r>
          </w:p>
        </w:tc>
      </w:tr>
      <w:tr w:rsidR="008E6885" w14:paraId="2168C788" w14:textId="77777777" w:rsidTr="00D57C89">
        <w:trPr>
          <w:gridAfter w:val="1"/>
          <w:wAfter w:w="6" w:type="dxa"/>
        </w:trPr>
        <w:tc>
          <w:tcPr>
            <w:tcW w:w="686" w:type="dxa"/>
            <w:shd w:val="clear" w:color="auto" w:fill="C6EFCE"/>
          </w:tcPr>
          <w:p w14:paraId="32E446B8" w14:textId="77777777" w:rsidR="008E6885" w:rsidRDefault="00EA24E7">
            <w:pPr>
              <w:pStyle w:val="P68B1DB1-Normal19"/>
              <w:spacing w:before="120" w:after="120" w:line="240" w:lineRule="auto"/>
              <w:rPr>
                <w:rFonts w:cs="Times New Roman"/>
                <w:noProof/>
              </w:rPr>
            </w:pPr>
            <w:r>
              <w:rPr>
                <w:noProof/>
              </w:rPr>
              <w:t>146</w:t>
            </w:r>
          </w:p>
        </w:tc>
        <w:tc>
          <w:tcPr>
            <w:tcW w:w="1760" w:type="dxa"/>
            <w:shd w:val="clear" w:color="auto" w:fill="C6EFCE"/>
          </w:tcPr>
          <w:p w14:paraId="7A79C420" w14:textId="77777777" w:rsidR="008E6885" w:rsidRDefault="00EA24E7">
            <w:pPr>
              <w:pStyle w:val="P68B1DB1-Normal17"/>
              <w:spacing w:before="120" w:after="120" w:line="240" w:lineRule="auto"/>
              <w:contextualSpacing/>
              <w:rPr>
                <w:rFonts w:cs="Times New Roman"/>
                <w:bCs/>
                <w:noProof/>
              </w:rPr>
            </w:pPr>
            <w:r>
              <w:rPr>
                <w:noProof/>
              </w:rPr>
              <w:t xml:space="preserve">4.2.1.r. </w:t>
            </w:r>
          </w:p>
          <w:p w14:paraId="2C66042D" w14:textId="77777777" w:rsidR="008E6885" w:rsidRDefault="00EA24E7">
            <w:pPr>
              <w:pStyle w:val="P68B1DB1-Normal17"/>
              <w:spacing w:before="120" w:after="120" w:line="240" w:lineRule="auto"/>
              <w:contextualSpacing/>
              <w:rPr>
                <w:rFonts w:cs="Times New Roman"/>
                <w:noProof/>
              </w:rPr>
            </w:pPr>
            <w:r>
              <w:rPr>
                <w:noProof/>
              </w:rPr>
              <w:t>Mise à disposition de ressources humaines et renforcement des compétences</w:t>
            </w:r>
          </w:p>
        </w:tc>
        <w:tc>
          <w:tcPr>
            <w:tcW w:w="1099" w:type="dxa"/>
            <w:shd w:val="clear" w:color="auto" w:fill="C6EFCE"/>
          </w:tcPr>
          <w:p w14:paraId="60BAF243" w14:textId="77777777" w:rsidR="008E6885" w:rsidRDefault="00EA24E7">
            <w:pPr>
              <w:pStyle w:val="P68B1DB1-Normal19"/>
              <w:spacing w:before="120" w:after="120" w:line="240" w:lineRule="auto"/>
              <w:rPr>
                <w:rFonts w:cs="Times New Roman"/>
                <w:noProof/>
              </w:rPr>
            </w:pPr>
            <w:r>
              <w:rPr>
                <w:noProof/>
              </w:rPr>
              <w:t xml:space="preserve">Étape </w:t>
            </w:r>
          </w:p>
        </w:tc>
        <w:tc>
          <w:tcPr>
            <w:tcW w:w="1884" w:type="dxa"/>
            <w:shd w:val="clear" w:color="auto" w:fill="C6EFCE"/>
          </w:tcPr>
          <w:p w14:paraId="7EECCBDA" w14:textId="77777777" w:rsidR="008E6885" w:rsidRDefault="00EA24E7">
            <w:pPr>
              <w:pStyle w:val="P68B1DB1-Normal19"/>
              <w:spacing w:before="120" w:after="120" w:line="240" w:lineRule="auto"/>
              <w:rPr>
                <w:rFonts w:cs="Times New Roman"/>
                <w:noProof/>
              </w:rPr>
            </w:pPr>
            <w:r>
              <w:rPr>
                <w:noProof/>
              </w:rPr>
              <w:t>Adoption d'un modèle de planification du personnel de santé</w:t>
            </w:r>
          </w:p>
        </w:tc>
        <w:tc>
          <w:tcPr>
            <w:tcW w:w="1626" w:type="dxa"/>
            <w:shd w:val="clear" w:color="auto" w:fill="C6EFCE"/>
          </w:tcPr>
          <w:p w14:paraId="5D557064" w14:textId="77777777" w:rsidR="008E6885" w:rsidRDefault="00EA24E7">
            <w:pPr>
              <w:pStyle w:val="P68B1DB1-Normal19"/>
              <w:spacing w:before="120" w:after="120" w:line="240" w:lineRule="auto"/>
              <w:rPr>
                <w:rFonts w:cs="Times New Roman"/>
                <w:noProof/>
              </w:rPr>
            </w:pPr>
            <w:r>
              <w:rPr>
                <w:noProof/>
              </w:rPr>
              <w:t xml:space="preserve">Adoption et déploiement d'un modèle de prévision des besoins futurs en personnel de santé </w:t>
            </w:r>
          </w:p>
        </w:tc>
        <w:tc>
          <w:tcPr>
            <w:tcW w:w="1026" w:type="dxa"/>
            <w:shd w:val="clear" w:color="auto" w:fill="C6EFCE"/>
          </w:tcPr>
          <w:p w14:paraId="31C59275"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03905C16"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542979B4"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562ED3B1" w14:textId="77777777" w:rsidR="008E6885" w:rsidRDefault="00EA24E7">
            <w:pPr>
              <w:pStyle w:val="P68B1DB1-Normal19"/>
              <w:spacing w:before="120" w:after="120" w:line="240" w:lineRule="auto"/>
              <w:jc w:val="center"/>
              <w:rPr>
                <w:rFonts w:cs="Times New Roman"/>
                <w:noProof/>
              </w:rPr>
            </w:pPr>
            <w:r>
              <w:rPr>
                <w:noProof/>
              </w:rPr>
              <w:t>T4</w:t>
            </w:r>
          </w:p>
        </w:tc>
        <w:tc>
          <w:tcPr>
            <w:tcW w:w="708" w:type="dxa"/>
            <w:shd w:val="clear" w:color="auto" w:fill="C6EFCE"/>
          </w:tcPr>
          <w:p w14:paraId="5D7C1D51" w14:textId="77777777" w:rsidR="008E6885" w:rsidRDefault="00EA24E7">
            <w:pPr>
              <w:pStyle w:val="P68B1DB1-Normal19"/>
              <w:spacing w:before="120" w:after="120" w:line="240" w:lineRule="auto"/>
              <w:jc w:val="center"/>
              <w:rPr>
                <w:rFonts w:cs="Times New Roman"/>
                <w:noProof/>
              </w:rPr>
            </w:pPr>
            <w:r>
              <w:rPr>
                <w:noProof/>
              </w:rPr>
              <w:t>2024</w:t>
            </w:r>
          </w:p>
        </w:tc>
        <w:tc>
          <w:tcPr>
            <w:tcW w:w="2594" w:type="dxa"/>
            <w:shd w:val="clear" w:color="auto" w:fill="C6EFCE"/>
          </w:tcPr>
          <w:p w14:paraId="7D7D9B77" w14:textId="77777777" w:rsidR="008E6885" w:rsidRDefault="00EA24E7">
            <w:pPr>
              <w:pStyle w:val="P68B1DB1-Normal19"/>
              <w:spacing w:before="120" w:after="120" w:line="240" w:lineRule="auto"/>
              <w:jc w:val="both"/>
              <w:rPr>
                <w:rFonts w:cs="Times New Roman"/>
                <w:noProof/>
              </w:rPr>
            </w:pPr>
            <w:r>
              <w:rPr>
                <w:noProof/>
              </w:rPr>
              <w:t xml:space="preserve">Un modèle (outil informatique) pour prévoir les besoins futurs du personnel de santé fourni et approuvé par le ministère de la Santé. Le modèle doit être utilisé à des fins de planification. Le modèle fournit des estimations, fondées sur les besoins prévisionnels en matière de soins de santé de la population et sur l’organisation de la prestation de services de soins de santé, concernant: </w:t>
            </w:r>
          </w:p>
          <w:p w14:paraId="56C22BC6" w14:textId="77777777" w:rsidR="008E6885" w:rsidRDefault="00EA24E7">
            <w:pPr>
              <w:pStyle w:val="P68B1DB1-Normal19"/>
              <w:numPr>
                <w:ilvl w:val="0"/>
                <w:numId w:val="8"/>
              </w:numPr>
              <w:spacing w:before="120" w:after="200" w:line="259" w:lineRule="auto"/>
              <w:ind w:left="163" w:hanging="142"/>
              <w:contextualSpacing/>
              <w:jc w:val="both"/>
              <w:rPr>
                <w:rFonts w:eastAsia="MS Mincho" w:cs="Times New Roman"/>
                <w:noProof/>
              </w:rPr>
            </w:pPr>
            <w:r>
              <w:rPr>
                <w:noProof/>
              </w:rPr>
              <w:t xml:space="preserve">Le besoin de professionnels de la santé, par spécialité et zone géographique / lieu de pratique; </w:t>
            </w:r>
          </w:p>
          <w:p w14:paraId="72163B65" w14:textId="77777777" w:rsidR="008E6885" w:rsidRDefault="00EA24E7">
            <w:pPr>
              <w:pStyle w:val="P68B1DB1-Normal19"/>
              <w:numPr>
                <w:ilvl w:val="0"/>
                <w:numId w:val="8"/>
              </w:numPr>
              <w:spacing w:before="120" w:after="200" w:line="259" w:lineRule="auto"/>
              <w:ind w:left="163" w:hanging="142"/>
              <w:contextualSpacing/>
              <w:jc w:val="both"/>
              <w:rPr>
                <w:rFonts w:eastAsia="MS Mincho" w:cs="Times New Roman"/>
                <w:noProof/>
              </w:rPr>
            </w:pPr>
            <w:r>
              <w:rPr>
                <w:noProof/>
              </w:rPr>
              <w:t>La nécessité du perfectionnement professionnel des professionnels de la santé,</w:t>
            </w:r>
          </w:p>
          <w:p w14:paraId="59F1842E" w14:textId="77777777" w:rsidR="008E6885" w:rsidRDefault="00EA24E7">
            <w:pPr>
              <w:pStyle w:val="P68B1DB1-Normal19"/>
              <w:numPr>
                <w:ilvl w:val="0"/>
                <w:numId w:val="8"/>
              </w:numPr>
              <w:spacing w:before="120" w:after="200" w:line="259" w:lineRule="auto"/>
              <w:ind w:left="163" w:hanging="142"/>
              <w:contextualSpacing/>
              <w:jc w:val="both"/>
              <w:rPr>
                <w:rFonts w:eastAsia="MS Mincho" w:cs="Times New Roman"/>
                <w:noProof/>
              </w:rPr>
            </w:pPr>
            <w:r>
              <w:rPr>
                <w:noProof/>
              </w:rPr>
              <w:t>Lacunes attendues dans l'offre de main-d'œuvre.</w:t>
            </w:r>
          </w:p>
        </w:tc>
      </w:tr>
      <w:tr w:rsidR="008E6885" w14:paraId="1D8E9984" w14:textId="77777777" w:rsidTr="00D57C89">
        <w:trPr>
          <w:gridAfter w:val="1"/>
          <w:wAfter w:w="6" w:type="dxa"/>
        </w:trPr>
        <w:tc>
          <w:tcPr>
            <w:tcW w:w="686" w:type="dxa"/>
            <w:shd w:val="clear" w:color="auto" w:fill="C6EFCE"/>
          </w:tcPr>
          <w:p w14:paraId="4BBB78AF" w14:textId="77777777" w:rsidR="008E6885" w:rsidRDefault="00EA24E7">
            <w:pPr>
              <w:pStyle w:val="P68B1DB1-Normal19"/>
              <w:spacing w:before="120" w:after="120" w:line="240" w:lineRule="auto"/>
              <w:rPr>
                <w:rFonts w:cs="Times New Roman"/>
                <w:noProof/>
              </w:rPr>
            </w:pPr>
            <w:r>
              <w:rPr>
                <w:noProof/>
              </w:rPr>
              <w:t>147</w:t>
            </w:r>
          </w:p>
        </w:tc>
        <w:tc>
          <w:tcPr>
            <w:tcW w:w="1760" w:type="dxa"/>
            <w:shd w:val="clear" w:color="auto" w:fill="C6EFCE"/>
          </w:tcPr>
          <w:p w14:paraId="7211A7F7" w14:textId="77777777" w:rsidR="008E6885" w:rsidRDefault="00EA24E7">
            <w:pPr>
              <w:pStyle w:val="P68B1DB1-Normal17"/>
              <w:spacing w:before="120" w:after="120" w:line="240" w:lineRule="auto"/>
              <w:contextualSpacing/>
              <w:rPr>
                <w:rFonts w:cs="Times New Roman"/>
                <w:bCs/>
                <w:noProof/>
              </w:rPr>
            </w:pPr>
            <w:r>
              <w:rPr>
                <w:noProof/>
              </w:rPr>
              <w:t xml:space="preserve">4.2.1.1.i. </w:t>
            </w:r>
          </w:p>
          <w:p w14:paraId="2A659921" w14:textId="77777777" w:rsidR="008E6885" w:rsidRDefault="00EA24E7">
            <w:pPr>
              <w:pStyle w:val="P68B1DB1-Normal17"/>
              <w:spacing w:before="120" w:after="120" w:line="240" w:lineRule="auto"/>
              <w:contextualSpacing/>
              <w:rPr>
                <w:rFonts w:cs="Times New Roman"/>
                <w:noProof/>
              </w:rPr>
            </w:pPr>
            <w:r>
              <w:rPr>
                <w:noProof/>
              </w:rPr>
              <w:t>Appui à la mise en œuvre du système de mise en valeur des ressources humaines</w:t>
            </w:r>
          </w:p>
        </w:tc>
        <w:tc>
          <w:tcPr>
            <w:tcW w:w="1099" w:type="dxa"/>
            <w:shd w:val="clear" w:color="auto" w:fill="C6EFCE"/>
          </w:tcPr>
          <w:p w14:paraId="16B05E22"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0717FB59" w14:textId="77777777" w:rsidR="008E6885" w:rsidRDefault="00EA24E7">
            <w:pPr>
              <w:pStyle w:val="P68B1DB1-Normal19"/>
              <w:spacing w:before="120" w:after="120" w:line="240" w:lineRule="auto"/>
              <w:rPr>
                <w:rFonts w:cs="Times New Roman"/>
                <w:noProof/>
              </w:rPr>
            </w:pPr>
            <w:r>
              <w:rPr>
                <w:noProof/>
              </w:rPr>
              <w:t>Mise en place d'un mécanisme de coordination pour la formation du personnel de santé</w:t>
            </w:r>
          </w:p>
        </w:tc>
        <w:tc>
          <w:tcPr>
            <w:tcW w:w="1626" w:type="dxa"/>
            <w:shd w:val="clear" w:color="auto" w:fill="C6EFCE"/>
          </w:tcPr>
          <w:p w14:paraId="3E123343" w14:textId="77777777" w:rsidR="008E6885" w:rsidRDefault="00EA24E7">
            <w:pPr>
              <w:pStyle w:val="P68B1DB1-Normal19"/>
              <w:spacing w:before="120" w:after="120" w:line="240" w:lineRule="auto"/>
              <w:rPr>
                <w:rFonts w:cs="Times New Roman"/>
                <w:noProof/>
              </w:rPr>
            </w:pPr>
            <w:r>
              <w:rPr>
                <w:noProof/>
              </w:rPr>
              <w:t xml:space="preserve">Un mécanisme de coordination pour la formation continue du personnel de santé assurant la coopération entre les institutions concernées, la gestion méthodologique et le contrôle de la qualité mis en place par le ministère de la santé </w:t>
            </w:r>
          </w:p>
        </w:tc>
        <w:tc>
          <w:tcPr>
            <w:tcW w:w="1026" w:type="dxa"/>
            <w:shd w:val="clear" w:color="auto" w:fill="C6EFCE"/>
          </w:tcPr>
          <w:p w14:paraId="5B457871"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132A5E7F"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5B77E0A3"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20F1B764" w14:textId="77777777" w:rsidR="008E6885" w:rsidRDefault="00EA24E7">
            <w:pPr>
              <w:pStyle w:val="P68B1DB1-Normal19"/>
              <w:spacing w:before="120" w:after="120" w:line="240" w:lineRule="auto"/>
              <w:jc w:val="center"/>
              <w:rPr>
                <w:rFonts w:cs="Times New Roman"/>
                <w:noProof/>
              </w:rPr>
            </w:pPr>
            <w:r>
              <w:rPr>
                <w:noProof/>
              </w:rPr>
              <w:t>T4</w:t>
            </w:r>
          </w:p>
        </w:tc>
        <w:tc>
          <w:tcPr>
            <w:tcW w:w="708" w:type="dxa"/>
            <w:shd w:val="clear" w:color="auto" w:fill="C6EFCE"/>
          </w:tcPr>
          <w:p w14:paraId="74153990" w14:textId="77777777" w:rsidR="008E6885" w:rsidRDefault="00EA24E7">
            <w:pPr>
              <w:pStyle w:val="P68B1DB1-Normal19"/>
              <w:spacing w:before="120" w:after="120" w:line="240" w:lineRule="auto"/>
              <w:jc w:val="center"/>
              <w:rPr>
                <w:rFonts w:cs="Times New Roman"/>
                <w:noProof/>
              </w:rPr>
            </w:pPr>
            <w:r>
              <w:rPr>
                <w:noProof/>
              </w:rPr>
              <w:t>2023</w:t>
            </w:r>
          </w:p>
        </w:tc>
        <w:tc>
          <w:tcPr>
            <w:tcW w:w="2594" w:type="dxa"/>
            <w:shd w:val="clear" w:color="auto" w:fill="C6EFCE"/>
          </w:tcPr>
          <w:p w14:paraId="6D4E3907" w14:textId="77777777" w:rsidR="008E6885" w:rsidRDefault="00EA24E7">
            <w:pPr>
              <w:pStyle w:val="P68B1DB1-Normal19"/>
              <w:spacing w:before="120" w:after="120" w:line="240" w:lineRule="auto"/>
              <w:jc w:val="both"/>
              <w:rPr>
                <w:rFonts w:cs="Times New Roman"/>
                <w:noProof/>
              </w:rPr>
            </w:pPr>
            <w:r>
              <w:rPr>
                <w:noProof/>
              </w:rPr>
              <w:t xml:space="preserve">La mise en place d'un mécanisme de coordination pour la gestion du processus de formation continue, comme en témoignent les documents justificatifs pertinents du ministère de la santé (par exemple, ordonnances, décisions). </w:t>
            </w:r>
          </w:p>
          <w:p w14:paraId="6CEEBB26" w14:textId="77777777" w:rsidR="008E6885" w:rsidRDefault="00EA24E7">
            <w:pPr>
              <w:pStyle w:val="P68B1DB1-Normal19"/>
              <w:spacing w:before="120" w:after="120" w:line="240" w:lineRule="auto"/>
              <w:jc w:val="both"/>
              <w:rPr>
                <w:rFonts w:cs="Times New Roman"/>
                <w:noProof/>
              </w:rPr>
            </w:pPr>
            <w:r>
              <w:rPr>
                <w:noProof/>
              </w:rPr>
              <w:t>Le modèle organisationnel de la formation continue est élaboré, en mettant l’accent sur le contenu de la formation, la forme de la formation, les installations et équipements nécessaires (par exemple, simulations, utilisation de la réalité virtuelle, etc.), ainsi que les mécanismes de coopération entre les établissements d’enseignement, les hôpitaux universitaires cliniques, les hôpitaux régionaux et d’autres parties prenantes clés. Le modèle organisationnel, une structure de gouvernance et des lignes claires de responsabilité et de responsabilisation sont établis. Lignes directrices pour l'acquisition de services de formation, ainsi que normes de qualité pour la formation et système de suivi et d'évaluation.</w:t>
            </w:r>
          </w:p>
        </w:tc>
      </w:tr>
      <w:tr w:rsidR="008E6885" w14:paraId="3FDD2501" w14:textId="77777777" w:rsidTr="00D57C89">
        <w:trPr>
          <w:gridAfter w:val="1"/>
          <w:wAfter w:w="6" w:type="dxa"/>
        </w:trPr>
        <w:tc>
          <w:tcPr>
            <w:tcW w:w="686" w:type="dxa"/>
            <w:shd w:val="clear" w:color="auto" w:fill="C6EFCE"/>
          </w:tcPr>
          <w:p w14:paraId="02A42869" w14:textId="77777777" w:rsidR="008E6885" w:rsidRDefault="00EA24E7">
            <w:pPr>
              <w:pStyle w:val="P68B1DB1-Normal19"/>
              <w:spacing w:before="120" w:after="120" w:line="240" w:lineRule="auto"/>
              <w:rPr>
                <w:rFonts w:cs="Times New Roman"/>
                <w:noProof/>
              </w:rPr>
            </w:pPr>
            <w:r>
              <w:rPr>
                <w:noProof/>
              </w:rPr>
              <w:t>148</w:t>
            </w:r>
          </w:p>
        </w:tc>
        <w:tc>
          <w:tcPr>
            <w:tcW w:w="1760" w:type="dxa"/>
            <w:shd w:val="clear" w:color="auto" w:fill="C6EFCE"/>
          </w:tcPr>
          <w:p w14:paraId="6EAEF43F" w14:textId="77777777" w:rsidR="008E6885" w:rsidRDefault="00EA24E7">
            <w:pPr>
              <w:pStyle w:val="P68B1DB1-Normal17"/>
              <w:spacing w:before="120" w:after="120" w:line="240" w:lineRule="auto"/>
              <w:contextualSpacing/>
              <w:rPr>
                <w:rFonts w:cs="Times New Roman"/>
                <w:bCs/>
                <w:noProof/>
              </w:rPr>
            </w:pPr>
            <w:r>
              <w:rPr>
                <w:noProof/>
              </w:rPr>
              <w:t xml:space="preserve">4.2.1.1.i. </w:t>
            </w:r>
          </w:p>
          <w:p w14:paraId="48DD0641" w14:textId="77777777" w:rsidR="008E6885" w:rsidRDefault="00EA24E7">
            <w:pPr>
              <w:pStyle w:val="P68B1DB1-Normal17"/>
              <w:spacing w:before="120" w:after="120" w:line="240" w:lineRule="auto"/>
              <w:contextualSpacing/>
              <w:rPr>
                <w:rFonts w:cs="Times New Roman"/>
                <w:noProof/>
              </w:rPr>
            </w:pPr>
            <w:r>
              <w:rPr>
                <w:noProof/>
              </w:rPr>
              <w:t>Appui à la mise en œuvre du système de mise en valeur des ressources humaines</w:t>
            </w:r>
          </w:p>
        </w:tc>
        <w:tc>
          <w:tcPr>
            <w:tcW w:w="1099" w:type="dxa"/>
            <w:shd w:val="clear" w:color="auto" w:fill="C6EFCE"/>
          </w:tcPr>
          <w:p w14:paraId="6245D5A3"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2C21A8E1" w14:textId="77777777" w:rsidR="008E6885" w:rsidRDefault="00EA24E7">
            <w:pPr>
              <w:pStyle w:val="P68B1DB1-Normal19"/>
              <w:spacing w:before="120" w:after="120" w:line="240" w:lineRule="auto"/>
              <w:rPr>
                <w:rFonts w:cs="Times New Roman"/>
                <w:noProof/>
              </w:rPr>
            </w:pPr>
            <w:r>
              <w:rPr>
                <w:noProof/>
              </w:rPr>
              <w:t>Simulations en éducation médicale</w:t>
            </w:r>
          </w:p>
        </w:tc>
        <w:tc>
          <w:tcPr>
            <w:tcW w:w="1626" w:type="dxa"/>
            <w:shd w:val="clear" w:color="auto" w:fill="C6EFCE"/>
          </w:tcPr>
          <w:p w14:paraId="22589156" w14:textId="77777777" w:rsidR="008E6885" w:rsidRDefault="00EA24E7">
            <w:pPr>
              <w:pStyle w:val="P68B1DB1-Normal19"/>
              <w:spacing w:before="120" w:after="120" w:line="240" w:lineRule="auto"/>
              <w:rPr>
                <w:noProof/>
              </w:rPr>
            </w:pPr>
            <w:r>
              <w:rPr>
                <w:noProof/>
              </w:rPr>
              <w:t>Stratégie approuvée</w:t>
            </w:r>
          </w:p>
        </w:tc>
        <w:tc>
          <w:tcPr>
            <w:tcW w:w="1026" w:type="dxa"/>
            <w:shd w:val="clear" w:color="auto" w:fill="C6EFCE"/>
          </w:tcPr>
          <w:p w14:paraId="3ACC62AA"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4DF1E61A"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54156530"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53D7B1EF" w14:textId="77777777" w:rsidR="008E6885" w:rsidRDefault="00EA24E7">
            <w:pPr>
              <w:pStyle w:val="P68B1DB1-Normal19"/>
              <w:spacing w:before="120" w:after="120" w:line="240" w:lineRule="auto"/>
              <w:jc w:val="center"/>
              <w:rPr>
                <w:rFonts w:cs="Times New Roman"/>
                <w:noProof/>
              </w:rPr>
            </w:pPr>
            <w:r>
              <w:rPr>
                <w:noProof/>
              </w:rPr>
              <w:t>T3</w:t>
            </w:r>
          </w:p>
        </w:tc>
        <w:tc>
          <w:tcPr>
            <w:tcW w:w="708" w:type="dxa"/>
            <w:shd w:val="clear" w:color="auto" w:fill="C6EFCE"/>
          </w:tcPr>
          <w:p w14:paraId="14D21351" w14:textId="77777777" w:rsidR="008E6885" w:rsidRDefault="00EA24E7">
            <w:pPr>
              <w:pStyle w:val="P68B1DB1-Normal19"/>
              <w:spacing w:before="120" w:after="120" w:line="240" w:lineRule="auto"/>
              <w:jc w:val="center"/>
              <w:rPr>
                <w:rFonts w:cs="Times New Roman"/>
                <w:noProof/>
              </w:rPr>
            </w:pPr>
            <w:r>
              <w:rPr>
                <w:noProof/>
              </w:rPr>
              <w:t>2026</w:t>
            </w:r>
          </w:p>
        </w:tc>
        <w:tc>
          <w:tcPr>
            <w:tcW w:w="2594" w:type="dxa"/>
            <w:shd w:val="clear" w:color="auto" w:fill="C6EFCE"/>
          </w:tcPr>
          <w:p w14:paraId="5A3BB6B5" w14:textId="77777777" w:rsidR="008E6885" w:rsidRDefault="00EA24E7">
            <w:pPr>
              <w:pStyle w:val="P68B1DB1-Normal19"/>
              <w:spacing w:before="120" w:after="120" w:line="240" w:lineRule="auto"/>
              <w:jc w:val="both"/>
              <w:rPr>
                <w:noProof/>
              </w:rPr>
            </w:pPr>
            <w:r>
              <w:rPr>
                <w:noProof/>
              </w:rPr>
              <w:t>La stratégie d'introduction des simulations dans l'enseignement médical doit être approuvée par le Ministère de la santé.</w:t>
            </w:r>
          </w:p>
        </w:tc>
      </w:tr>
      <w:tr w:rsidR="008E6885" w14:paraId="0305E58D" w14:textId="77777777" w:rsidTr="00D57C89">
        <w:trPr>
          <w:gridAfter w:val="1"/>
          <w:wAfter w:w="6" w:type="dxa"/>
        </w:trPr>
        <w:tc>
          <w:tcPr>
            <w:tcW w:w="686" w:type="dxa"/>
            <w:shd w:val="clear" w:color="auto" w:fill="C6EFCE"/>
          </w:tcPr>
          <w:p w14:paraId="21E17CBE" w14:textId="77777777" w:rsidR="008E6885" w:rsidRDefault="00EA24E7">
            <w:pPr>
              <w:pStyle w:val="P68B1DB1-Normal19"/>
              <w:spacing w:before="120" w:after="120" w:line="240" w:lineRule="auto"/>
              <w:rPr>
                <w:rFonts w:cs="Times New Roman"/>
                <w:noProof/>
              </w:rPr>
            </w:pPr>
            <w:r>
              <w:rPr>
                <w:noProof/>
              </w:rPr>
              <w:t>149</w:t>
            </w:r>
          </w:p>
        </w:tc>
        <w:tc>
          <w:tcPr>
            <w:tcW w:w="1760" w:type="dxa"/>
            <w:shd w:val="clear" w:color="auto" w:fill="C6EFCE"/>
          </w:tcPr>
          <w:p w14:paraId="627B55A5" w14:textId="77777777" w:rsidR="008E6885" w:rsidRDefault="00EA24E7">
            <w:pPr>
              <w:pStyle w:val="P68B1DB1-Normal17"/>
              <w:spacing w:before="120" w:after="120" w:line="240" w:lineRule="auto"/>
              <w:contextualSpacing/>
              <w:rPr>
                <w:rFonts w:cs="Times New Roman"/>
                <w:bCs/>
                <w:noProof/>
              </w:rPr>
            </w:pPr>
            <w:r>
              <w:rPr>
                <w:noProof/>
              </w:rPr>
              <w:t>4.3.1.r.</w:t>
            </w:r>
          </w:p>
          <w:p w14:paraId="309185DE" w14:textId="77777777" w:rsidR="008E6885" w:rsidRDefault="00EA24E7">
            <w:pPr>
              <w:pStyle w:val="P68B1DB1-Normal17"/>
              <w:spacing w:before="120" w:after="120" w:line="240" w:lineRule="auto"/>
              <w:contextualSpacing/>
              <w:rPr>
                <w:rFonts w:cs="Times New Roman"/>
                <w:noProof/>
              </w:rPr>
            </w:pPr>
            <w:r>
              <w:rPr>
                <w:noProof/>
              </w:rPr>
              <w:t>Durabilité des soins de santé et utilisation efficace des ressources de santé</w:t>
            </w:r>
          </w:p>
        </w:tc>
        <w:tc>
          <w:tcPr>
            <w:tcW w:w="1099" w:type="dxa"/>
            <w:shd w:val="clear" w:color="auto" w:fill="C6EFCE"/>
          </w:tcPr>
          <w:p w14:paraId="59C950D7"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1B2F34FB" w14:textId="77777777" w:rsidR="008E6885" w:rsidRDefault="00EA24E7">
            <w:pPr>
              <w:pStyle w:val="P68B1DB1-Normal19"/>
              <w:spacing w:before="120" w:after="120" w:line="240" w:lineRule="auto"/>
              <w:rPr>
                <w:rFonts w:cs="Times New Roman"/>
                <w:noProof/>
              </w:rPr>
            </w:pPr>
            <w:r>
              <w:rPr>
                <w:noProof/>
              </w:rPr>
              <w:t>Mécanisme de coordination approuvé pour évaluer, développer et mettre en œuvre de nouveaux modèles de prestation de services de soins de santé</w:t>
            </w:r>
          </w:p>
        </w:tc>
        <w:tc>
          <w:tcPr>
            <w:tcW w:w="1626" w:type="dxa"/>
            <w:shd w:val="clear" w:color="auto" w:fill="C6EFCE"/>
          </w:tcPr>
          <w:p w14:paraId="7D1031BC" w14:textId="77777777" w:rsidR="008E6885" w:rsidRDefault="00EA24E7">
            <w:pPr>
              <w:pStyle w:val="P68B1DB1-Normal19"/>
              <w:spacing w:before="120" w:after="120" w:line="240" w:lineRule="auto"/>
              <w:rPr>
                <w:rFonts w:cs="Times New Roman"/>
                <w:noProof/>
              </w:rPr>
            </w:pPr>
            <w:r>
              <w:rPr>
                <w:noProof/>
              </w:rPr>
              <w:t>Mécanisme de coordination pour évaluer et mettre en œuvre de nouveaux modèles de prestation de services de santé élaborés et approuvés par le ministère de la Santé</w:t>
            </w:r>
          </w:p>
        </w:tc>
        <w:tc>
          <w:tcPr>
            <w:tcW w:w="1026" w:type="dxa"/>
            <w:shd w:val="clear" w:color="auto" w:fill="C6EFCE"/>
          </w:tcPr>
          <w:p w14:paraId="7150EE1B"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48CB88E7"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434FF2F0"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6D27C60A" w14:textId="77777777" w:rsidR="008E6885" w:rsidRDefault="00EA24E7">
            <w:pPr>
              <w:pStyle w:val="P68B1DB1-Normal19"/>
              <w:spacing w:before="120" w:after="120" w:line="240" w:lineRule="auto"/>
              <w:jc w:val="center"/>
              <w:rPr>
                <w:rFonts w:cs="Times New Roman"/>
                <w:noProof/>
              </w:rPr>
            </w:pPr>
            <w:r>
              <w:rPr>
                <w:noProof/>
              </w:rPr>
              <w:t>T4</w:t>
            </w:r>
          </w:p>
        </w:tc>
        <w:tc>
          <w:tcPr>
            <w:tcW w:w="708" w:type="dxa"/>
            <w:shd w:val="clear" w:color="auto" w:fill="C6EFCE"/>
          </w:tcPr>
          <w:p w14:paraId="29E55A35" w14:textId="77777777" w:rsidR="008E6885" w:rsidRDefault="00EA24E7">
            <w:pPr>
              <w:pStyle w:val="P68B1DB1-Normal19"/>
              <w:spacing w:before="120" w:after="120" w:line="240" w:lineRule="auto"/>
              <w:jc w:val="center"/>
              <w:rPr>
                <w:rFonts w:cs="Times New Roman"/>
                <w:noProof/>
              </w:rPr>
            </w:pPr>
            <w:r>
              <w:rPr>
                <w:noProof/>
              </w:rPr>
              <w:t>2022</w:t>
            </w:r>
          </w:p>
        </w:tc>
        <w:tc>
          <w:tcPr>
            <w:tcW w:w="2594" w:type="dxa"/>
            <w:shd w:val="clear" w:color="auto" w:fill="C6EFCE"/>
          </w:tcPr>
          <w:p w14:paraId="5EC25E5F" w14:textId="77777777" w:rsidR="008E6885" w:rsidRDefault="00EA24E7">
            <w:pPr>
              <w:pStyle w:val="P68B1DB1-Normal19"/>
              <w:spacing w:before="120" w:after="120" w:line="240" w:lineRule="auto"/>
              <w:jc w:val="both"/>
              <w:rPr>
                <w:rFonts w:cs="Times New Roman"/>
                <w:noProof/>
              </w:rPr>
            </w:pPr>
            <w:r>
              <w:rPr>
                <w:noProof/>
              </w:rPr>
              <w:t>Une unité de coordination au sein du ministère de la santé ou de son organe subordonné est en place. Il veille à ce que les représentants de l'industrie soient associés à l'élaboration des propositions en tant qu'experts (par exemple, un groupe de travail ou un conseil de surveillance).</w:t>
            </w:r>
          </w:p>
          <w:p w14:paraId="61AB486A" w14:textId="77777777" w:rsidR="008E6885" w:rsidRDefault="00EA24E7">
            <w:pPr>
              <w:pStyle w:val="P68B1DB1-Normal19"/>
              <w:spacing w:before="120" w:after="120" w:line="240" w:lineRule="auto"/>
              <w:jc w:val="both"/>
              <w:rPr>
                <w:rFonts w:cs="Times New Roman"/>
                <w:noProof/>
              </w:rPr>
            </w:pPr>
            <w:r>
              <w:rPr>
                <w:noProof/>
              </w:rPr>
              <w:t>L’objectif de l’unité est de coordonner les travaux d’élaboration, de mise en œuvre et d’évaluation de nouveaux modèles de prestation de services de santé visant à améliorer et à rendre plus efficace la fourniture de services de santé financés par l’État à tous les niveaux, en garantissant la disponibilité et la qualité des services grâce à la mise en place d’un mécanisme de changement de système pour les services rémunérés par l’État.</w:t>
            </w:r>
          </w:p>
        </w:tc>
      </w:tr>
      <w:tr w:rsidR="008E6885" w14:paraId="50FEFBE2" w14:textId="77777777" w:rsidTr="00D57C89">
        <w:trPr>
          <w:gridAfter w:val="1"/>
          <w:wAfter w:w="6" w:type="dxa"/>
        </w:trPr>
        <w:tc>
          <w:tcPr>
            <w:tcW w:w="686" w:type="dxa"/>
            <w:shd w:val="clear" w:color="auto" w:fill="C6EFCE"/>
          </w:tcPr>
          <w:p w14:paraId="1443F9F0" w14:textId="77777777" w:rsidR="008E6885" w:rsidRDefault="00EA24E7">
            <w:pPr>
              <w:pStyle w:val="P68B1DB1-Normal19"/>
              <w:spacing w:before="120" w:after="120" w:line="240" w:lineRule="auto"/>
              <w:rPr>
                <w:rFonts w:cs="Times New Roman"/>
                <w:noProof/>
              </w:rPr>
            </w:pPr>
            <w:r>
              <w:rPr>
                <w:noProof/>
              </w:rPr>
              <w:t>150</w:t>
            </w:r>
          </w:p>
        </w:tc>
        <w:tc>
          <w:tcPr>
            <w:tcW w:w="1760" w:type="dxa"/>
            <w:shd w:val="clear" w:color="auto" w:fill="C6EFCE"/>
          </w:tcPr>
          <w:p w14:paraId="0ED82A02" w14:textId="77777777" w:rsidR="008E6885" w:rsidRDefault="00EA24E7">
            <w:pPr>
              <w:pStyle w:val="P68B1DB1-Normal17"/>
              <w:spacing w:before="120" w:after="120" w:line="240" w:lineRule="auto"/>
              <w:contextualSpacing/>
              <w:rPr>
                <w:rFonts w:cs="Times New Roman"/>
                <w:bCs/>
                <w:noProof/>
              </w:rPr>
            </w:pPr>
            <w:r>
              <w:rPr>
                <w:noProof/>
              </w:rPr>
              <w:t xml:space="preserve">4.3.1.r. </w:t>
            </w:r>
          </w:p>
          <w:p w14:paraId="15D05397" w14:textId="77777777" w:rsidR="008E6885" w:rsidRDefault="00EA24E7">
            <w:pPr>
              <w:pStyle w:val="P68B1DB1-Normal17"/>
              <w:spacing w:before="120" w:after="120" w:line="240" w:lineRule="auto"/>
              <w:contextualSpacing/>
              <w:rPr>
                <w:rFonts w:cs="Times New Roman"/>
                <w:noProof/>
              </w:rPr>
            </w:pPr>
            <w:r>
              <w:rPr>
                <w:noProof/>
              </w:rPr>
              <w:t>Durabilité des soins de santé et utilisation efficace des ressources de santé</w:t>
            </w:r>
          </w:p>
        </w:tc>
        <w:tc>
          <w:tcPr>
            <w:tcW w:w="1099" w:type="dxa"/>
            <w:shd w:val="clear" w:color="auto" w:fill="C6EFCE"/>
          </w:tcPr>
          <w:p w14:paraId="7423788E" w14:textId="77777777" w:rsidR="008E6885" w:rsidRDefault="00EA24E7">
            <w:pPr>
              <w:pStyle w:val="P68B1DB1-Normal19"/>
              <w:spacing w:before="120" w:after="120" w:line="240" w:lineRule="auto"/>
              <w:rPr>
                <w:rFonts w:cs="Times New Roman"/>
                <w:noProof/>
              </w:rPr>
            </w:pPr>
            <w:r>
              <w:rPr>
                <w:noProof/>
              </w:rPr>
              <w:t>Objectif</w:t>
            </w:r>
          </w:p>
        </w:tc>
        <w:tc>
          <w:tcPr>
            <w:tcW w:w="1884" w:type="dxa"/>
            <w:shd w:val="clear" w:color="auto" w:fill="C6EFCE"/>
          </w:tcPr>
          <w:p w14:paraId="0FD4E257" w14:textId="77777777" w:rsidR="008E6885" w:rsidRDefault="00EA24E7">
            <w:pPr>
              <w:pStyle w:val="P68B1DB1-Normal19"/>
              <w:spacing w:before="120" w:after="120" w:line="240" w:lineRule="auto"/>
              <w:rPr>
                <w:rFonts w:cs="Times New Roman"/>
                <w:noProof/>
              </w:rPr>
            </w:pPr>
            <w:r>
              <w:rPr>
                <w:noProof/>
              </w:rPr>
              <w:t>Nouveaux modèles de prestation de services de santé</w:t>
            </w:r>
          </w:p>
        </w:tc>
        <w:tc>
          <w:tcPr>
            <w:tcW w:w="1626" w:type="dxa"/>
            <w:shd w:val="clear" w:color="auto" w:fill="C6EFCE"/>
          </w:tcPr>
          <w:p w14:paraId="74FBD5BB" w14:textId="77777777" w:rsidR="008E6885" w:rsidRDefault="00EA24E7">
            <w:pPr>
              <w:pStyle w:val="P68B1DB1-Normal19"/>
              <w:spacing w:before="120" w:after="120" w:line="240" w:lineRule="auto"/>
              <w:jc w:val="center"/>
              <w:rPr>
                <w:rFonts w:cs="Times New Roman"/>
                <w:noProof/>
              </w:rPr>
            </w:pPr>
            <w:r>
              <w:rPr>
                <w:noProof/>
              </w:rPr>
              <w:t>Sans objet</w:t>
            </w:r>
          </w:p>
        </w:tc>
        <w:tc>
          <w:tcPr>
            <w:tcW w:w="1026" w:type="dxa"/>
            <w:shd w:val="clear" w:color="auto" w:fill="C6EFCE"/>
          </w:tcPr>
          <w:p w14:paraId="7C4354A0" w14:textId="77777777" w:rsidR="008E6885" w:rsidRDefault="00EA24E7">
            <w:pPr>
              <w:pStyle w:val="P68B1DB1-Normal19"/>
              <w:spacing w:before="120" w:after="120" w:line="240" w:lineRule="auto"/>
              <w:jc w:val="center"/>
              <w:rPr>
                <w:rFonts w:cs="Times New Roman"/>
                <w:noProof/>
              </w:rPr>
            </w:pPr>
            <w:r>
              <w:rPr>
                <w:noProof/>
              </w:rPr>
              <w:t>Numéro</w:t>
            </w:r>
          </w:p>
        </w:tc>
        <w:tc>
          <w:tcPr>
            <w:tcW w:w="992" w:type="dxa"/>
            <w:shd w:val="clear" w:color="auto" w:fill="C6EFCE"/>
          </w:tcPr>
          <w:p w14:paraId="3E127B55" w14:textId="77777777" w:rsidR="008E6885" w:rsidRDefault="00EA24E7">
            <w:pPr>
              <w:pStyle w:val="P68B1DB1-Normal19"/>
              <w:spacing w:before="120" w:after="120" w:line="240" w:lineRule="auto"/>
              <w:jc w:val="center"/>
              <w:rPr>
                <w:rFonts w:cs="Times New Roman"/>
                <w:noProof/>
              </w:rPr>
            </w:pPr>
            <w:r>
              <w:rPr>
                <w:noProof/>
              </w:rPr>
              <w:t>0</w:t>
            </w:r>
          </w:p>
        </w:tc>
        <w:tc>
          <w:tcPr>
            <w:tcW w:w="850" w:type="dxa"/>
            <w:shd w:val="clear" w:color="auto" w:fill="C6EFCE"/>
          </w:tcPr>
          <w:p w14:paraId="6612336F" w14:textId="77777777" w:rsidR="008E6885" w:rsidRDefault="00EA24E7">
            <w:pPr>
              <w:pStyle w:val="P68B1DB1-Normal19"/>
              <w:spacing w:before="120" w:after="120" w:line="240" w:lineRule="auto"/>
              <w:jc w:val="center"/>
              <w:rPr>
                <w:rFonts w:cs="Times New Roman"/>
                <w:noProof/>
              </w:rPr>
            </w:pPr>
            <w:r>
              <w:rPr>
                <w:noProof/>
              </w:rPr>
              <w:t>10</w:t>
            </w:r>
          </w:p>
        </w:tc>
        <w:tc>
          <w:tcPr>
            <w:tcW w:w="993" w:type="dxa"/>
            <w:shd w:val="clear" w:color="auto" w:fill="C6EFCE"/>
          </w:tcPr>
          <w:p w14:paraId="634C1512" w14:textId="77777777" w:rsidR="008E6885" w:rsidRDefault="00EA24E7">
            <w:pPr>
              <w:pStyle w:val="P68B1DB1-Normal19"/>
              <w:spacing w:before="120" w:after="120" w:line="240" w:lineRule="auto"/>
              <w:jc w:val="center"/>
              <w:rPr>
                <w:rFonts w:cs="Times New Roman"/>
                <w:noProof/>
              </w:rPr>
            </w:pPr>
            <w:r>
              <w:rPr>
                <w:noProof/>
              </w:rPr>
              <w:t>T3</w:t>
            </w:r>
          </w:p>
        </w:tc>
        <w:tc>
          <w:tcPr>
            <w:tcW w:w="708" w:type="dxa"/>
            <w:shd w:val="clear" w:color="auto" w:fill="C6EFCE"/>
          </w:tcPr>
          <w:p w14:paraId="78D13505" w14:textId="77777777" w:rsidR="008E6885" w:rsidRDefault="00EA24E7">
            <w:pPr>
              <w:pStyle w:val="P68B1DB1-Normal19"/>
              <w:spacing w:before="120" w:after="120" w:line="240" w:lineRule="auto"/>
              <w:jc w:val="center"/>
              <w:rPr>
                <w:rFonts w:cs="Times New Roman"/>
                <w:noProof/>
              </w:rPr>
            </w:pPr>
            <w:r>
              <w:rPr>
                <w:noProof/>
              </w:rPr>
              <w:t>2026</w:t>
            </w:r>
          </w:p>
        </w:tc>
        <w:tc>
          <w:tcPr>
            <w:tcW w:w="2594" w:type="dxa"/>
            <w:shd w:val="clear" w:color="auto" w:fill="C6EFCE"/>
          </w:tcPr>
          <w:p w14:paraId="0CEBE6B9" w14:textId="77777777" w:rsidR="008E6885" w:rsidRDefault="00EA24E7">
            <w:pPr>
              <w:pStyle w:val="P68B1DB1-Normal19"/>
              <w:spacing w:before="120" w:after="120" w:line="240" w:lineRule="auto"/>
              <w:jc w:val="both"/>
              <w:rPr>
                <w:rFonts w:cs="Times New Roman"/>
                <w:noProof/>
              </w:rPr>
            </w:pPr>
            <w:r>
              <w:rPr>
                <w:noProof/>
              </w:rPr>
              <w:t xml:space="preserve">Pour chacun des dix nouveaux modèles de prestation de services de santé, un rapport démontrant que le modèle a été testé doit être préparé. </w:t>
            </w:r>
          </w:p>
        </w:tc>
      </w:tr>
      <w:tr w:rsidR="008E6885" w14:paraId="5B752339" w14:textId="77777777" w:rsidTr="00D57C89">
        <w:trPr>
          <w:gridAfter w:val="1"/>
          <w:wAfter w:w="6" w:type="dxa"/>
        </w:trPr>
        <w:tc>
          <w:tcPr>
            <w:tcW w:w="686" w:type="dxa"/>
            <w:shd w:val="clear" w:color="auto" w:fill="C6EFCE"/>
          </w:tcPr>
          <w:p w14:paraId="6111DB2D" w14:textId="77777777" w:rsidR="008E6885" w:rsidRDefault="00EA24E7">
            <w:pPr>
              <w:pStyle w:val="P68B1DB1-Normal19"/>
              <w:spacing w:before="120" w:after="120" w:line="240" w:lineRule="auto"/>
              <w:rPr>
                <w:rFonts w:cs="Times New Roman"/>
                <w:noProof/>
              </w:rPr>
            </w:pPr>
            <w:r>
              <w:rPr>
                <w:noProof/>
              </w:rPr>
              <w:t>151</w:t>
            </w:r>
          </w:p>
        </w:tc>
        <w:tc>
          <w:tcPr>
            <w:tcW w:w="1760" w:type="dxa"/>
            <w:shd w:val="clear" w:color="auto" w:fill="C6EFCE"/>
          </w:tcPr>
          <w:p w14:paraId="05123188" w14:textId="77777777" w:rsidR="008E6885" w:rsidRDefault="00EA24E7">
            <w:pPr>
              <w:pStyle w:val="P68B1DB1-Normal17"/>
              <w:spacing w:before="120" w:after="120" w:line="240" w:lineRule="auto"/>
              <w:contextualSpacing/>
              <w:rPr>
                <w:rFonts w:cs="Times New Roman"/>
                <w:noProof/>
              </w:rPr>
            </w:pPr>
            <w:r>
              <w:rPr>
                <w:noProof/>
              </w:rPr>
              <w:t xml:space="preserve">4.3.1.1.i. </w:t>
            </w:r>
          </w:p>
          <w:p w14:paraId="2602DC44" w14:textId="77777777" w:rsidR="008E6885" w:rsidRDefault="00EA24E7">
            <w:pPr>
              <w:pStyle w:val="P68B1DB1-Normal17"/>
              <w:spacing w:before="120" w:after="120" w:line="240" w:lineRule="auto"/>
              <w:contextualSpacing/>
              <w:rPr>
                <w:rFonts w:cs="Times New Roman"/>
                <w:noProof/>
              </w:rPr>
            </w:pPr>
            <w:r>
              <w:rPr>
                <w:noProof/>
              </w:rPr>
              <w:t>Soutien à l’évaluation et à l’amélioration de la qualité et de l’accessibilité des soins de santé secondaires non hospitaliers</w:t>
            </w:r>
          </w:p>
        </w:tc>
        <w:tc>
          <w:tcPr>
            <w:tcW w:w="1099" w:type="dxa"/>
            <w:shd w:val="clear" w:color="auto" w:fill="C6EFCE"/>
          </w:tcPr>
          <w:p w14:paraId="56C8D679"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71D8BB84" w14:textId="77777777" w:rsidR="008E6885" w:rsidRDefault="00EA24E7">
            <w:pPr>
              <w:pStyle w:val="P68B1DB1-Normal19"/>
              <w:spacing w:before="120" w:after="120" w:line="240" w:lineRule="auto"/>
              <w:rPr>
                <w:rFonts w:cs="Times New Roman"/>
                <w:noProof/>
              </w:rPr>
            </w:pPr>
            <w:r>
              <w:rPr>
                <w:noProof/>
              </w:rPr>
              <w:t xml:space="preserve">Adoption d’une méthodologie pour l’étude sur la qualité et la disponibilité des soins de santé secondaires non hospitaliers </w:t>
            </w:r>
          </w:p>
        </w:tc>
        <w:tc>
          <w:tcPr>
            <w:tcW w:w="1626" w:type="dxa"/>
            <w:shd w:val="clear" w:color="auto" w:fill="C6EFCE"/>
          </w:tcPr>
          <w:p w14:paraId="229EB5CF" w14:textId="77777777" w:rsidR="008E6885" w:rsidRDefault="00EA24E7">
            <w:pPr>
              <w:pStyle w:val="P68B1DB1-Normal19"/>
              <w:spacing w:before="120" w:after="120" w:line="240" w:lineRule="auto"/>
              <w:rPr>
                <w:rFonts w:cs="Times New Roman"/>
                <w:noProof/>
              </w:rPr>
            </w:pPr>
            <w:r>
              <w:rPr>
                <w:noProof/>
              </w:rPr>
              <w:t>Adoption d ' une méthodologie par le Ministère de la santé</w:t>
            </w:r>
          </w:p>
        </w:tc>
        <w:tc>
          <w:tcPr>
            <w:tcW w:w="1026" w:type="dxa"/>
            <w:shd w:val="clear" w:color="auto" w:fill="C6EFCE"/>
          </w:tcPr>
          <w:p w14:paraId="3DB18D9B"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5F92511E"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0B3ED5A0"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049619EB" w14:textId="77777777" w:rsidR="008E6885" w:rsidRDefault="00EA24E7">
            <w:pPr>
              <w:pStyle w:val="P68B1DB1-Normal19"/>
              <w:spacing w:before="120" w:after="120" w:line="240" w:lineRule="auto"/>
              <w:jc w:val="center"/>
              <w:rPr>
                <w:rFonts w:cs="Times New Roman"/>
                <w:noProof/>
              </w:rPr>
            </w:pPr>
            <w:r>
              <w:rPr>
                <w:noProof/>
              </w:rPr>
              <w:t>T4</w:t>
            </w:r>
          </w:p>
        </w:tc>
        <w:tc>
          <w:tcPr>
            <w:tcW w:w="708" w:type="dxa"/>
            <w:shd w:val="clear" w:color="auto" w:fill="C6EFCE"/>
          </w:tcPr>
          <w:p w14:paraId="0D6D0818" w14:textId="77777777" w:rsidR="008E6885" w:rsidRDefault="00EA24E7">
            <w:pPr>
              <w:pStyle w:val="P68B1DB1-Normal19"/>
              <w:spacing w:before="120" w:after="120" w:line="240" w:lineRule="auto"/>
              <w:jc w:val="center"/>
              <w:rPr>
                <w:rFonts w:cs="Times New Roman"/>
                <w:noProof/>
              </w:rPr>
            </w:pPr>
            <w:r>
              <w:rPr>
                <w:noProof/>
              </w:rPr>
              <w:t>2022</w:t>
            </w:r>
          </w:p>
        </w:tc>
        <w:tc>
          <w:tcPr>
            <w:tcW w:w="2594" w:type="dxa"/>
            <w:shd w:val="clear" w:color="auto" w:fill="C6EFCE"/>
          </w:tcPr>
          <w:p w14:paraId="2ADC2B48" w14:textId="77777777" w:rsidR="008E6885" w:rsidRDefault="00EA24E7">
            <w:pPr>
              <w:pStyle w:val="P68B1DB1-Normal19"/>
              <w:spacing w:before="120" w:after="120" w:line="240" w:lineRule="auto"/>
              <w:jc w:val="both"/>
              <w:rPr>
                <w:rFonts w:cs="Times New Roman"/>
                <w:noProof/>
              </w:rPr>
            </w:pPr>
            <w:r>
              <w:rPr>
                <w:noProof/>
              </w:rPr>
              <w:t>Le jalon est considéré comme atteint après l’approbation par le ministère de la santé d’une méthodologie nécessaire à la réalisation de l’étude visant à évaluer la qualité et l’accessibilité des soins de santé, y compris la cartographie du niveau des services de santé secondaires non hospitaliers et l’impact de la réforme territoriale administrative.</w:t>
            </w:r>
          </w:p>
        </w:tc>
      </w:tr>
      <w:tr w:rsidR="008E6885" w14:paraId="008017FB" w14:textId="77777777" w:rsidTr="00D57C89">
        <w:trPr>
          <w:gridAfter w:val="1"/>
          <w:wAfter w:w="6" w:type="dxa"/>
        </w:trPr>
        <w:tc>
          <w:tcPr>
            <w:tcW w:w="686" w:type="dxa"/>
            <w:shd w:val="clear" w:color="auto" w:fill="C6EFCE"/>
          </w:tcPr>
          <w:p w14:paraId="37D53925" w14:textId="77777777" w:rsidR="008E6885" w:rsidRDefault="00EA24E7">
            <w:pPr>
              <w:pStyle w:val="P68B1DB1-Normal19"/>
              <w:spacing w:before="120" w:after="120" w:line="240" w:lineRule="auto"/>
              <w:rPr>
                <w:rFonts w:cs="Times New Roman"/>
                <w:noProof/>
              </w:rPr>
            </w:pPr>
            <w:r>
              <w:rPr>
                <w:noProof/>
              </w:rPr>
              <w:t>152</w:t>
            </w:r>
          </w:p>
        </w:tc>
        <w:tc>
          <w:tcPr>
            <w:tcW w:w="1760" w:type="dxa"/>
            <w:shd w:val="clear" w:color="auto" w:fill="C6EFCE"/>
          </w:tcPr>
          <w:p w14:paraId="09FE0873" w14:textId="77777777" w:rsidR="008E6885" w:rsidRDefault="00EA24E7">
            <w:pPr>
              <w:pStyle w:val="P68B1DB1-Normal17"/>
              <w:spacing w:before="120" w:after="120" w:line="240" w:lineRule="auto"/>
              <w:contextualSpacing/>
              <w:rPr>
                <w:rFonts w:cs="Times New Roman"/>
                <w:noProof/>
              </w:rPr>
            </w:pPr>
            <w:r>
              <w:rPr>
                <w:noProof/>
              </w:rPr>
              <w:t>4.3.1.1.i.</w:t>
            </w:r>
          </w:p>
          <w:p w14:paraId="7196EC9B" w14:textId="77777777" w:rsidR="008E6885" w:rsidRDefault="00EA24E7">
            <w:pPr>
              <w:pStyle w:val="P68B1DB1-Normal17"/>
              <w:spacing w:before="120" w:after="120" w:line="240" w:lineRule="auto"/>
              <w:contextualSpacing/>
              <w:rPr>
                <w:rFonts w:cs="Times New Roman"/>
                <w:noProof/>
              </w:rPr>
            </w:pPr>
            <w:r>
              <w:rPr>
                <w:noProof/>
              </w:rPr>
              <w:t>Soutien à l’évaluation et à l’amélioration de la qualité et de l’accessibilité des soins de santé secondaires non hospitaliers</w:t>
            </w:r>
          </w:p>
        </w:tc>
        <w:tc>
          <w:tcPr>
            <w:tcW w:w="1099" w:type="dxa"/>
            <w:shd w:val="clear" w:color="auto" w:fill="C6EFCE"/>
          </w:tcPr>
          <w:p w14:paraId="45FFE56D"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05116ED4" w14:textId="77777777" w:rsidR="008E6885" w:rsidRDefault="00EA24E7">
            <w:pPr>
              <w:pStyle w:val="P68B1DB1-Normal19"/>
              <w:spacing w:before="120" w:after="120" w:line="240" w:lineRule="auto"/>
              <w:rPr>
                <w:rFonts w:cs="Times New Roman"/>
                <w:noProof/>
              </w:rPr>
            </w:pPr>
            <w:r>
              <w:rPr>
                <w:noProof/>
              </w:rPr>
              <w:t xml:space="preserve">Étude sur la qualité, l’accessibilité et la disponibilité des soins de santé secondaires non hospitaliers </w:t>
            </w:r>
          </w:p>
        </w:tc>
        <w:tc>
          <w:tcPr>
            <w:tcW w:w="1626" w:type="dxa"/>
            <w:shd w:val="clear" w:color="auto" w:fill="C6EFCE"/>
          </w:tcPr>
          <w:p w14:paraId="08D56188" w14:textId="77777777" w:rsidR="008E6885" w:rsidRDefault="00EA24E7">
            <w:pPr>
              <w:pStyle w:val="P68B1DB1-Normal19"/>
              <w:spacing w:before="120" w:after="120" w:line="240" w:lineRule="auto"/>
              <w:rPr>
                <w:rFonts w:cs="Times New Roman"/>
                <w:noProof/>
              </w:rPr>
            </w:pPr>
            <w:r>
              <w:rPr>
                <w:noProof/>
              </w:rPr>
              <w:t xml:space="preserve">Une étude sur la qualité de l'accessibilité et de la disponibilité des soins de santé secondaires non hospitaliers publiée par le ministère de la Santé </w:t>
            </w:r>
          </w:p>
        </w:tc>
        <w:tc>
          <w:tcPr>
            <w:tcW w:w="1026" w:type="dxa"/>
            <w:shd w:val="clear" w:color="auto" w:fill="C6EFCE"/>
          </w:tcPr>
          <w:p w14:paraId="7D0B5FD1"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3867C4B8"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7FF2A0FB"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1A16AABB" w14:textId="77777777" w:rsidR="008E6885" w:rsidRDefault="00EA24E7">
            <w:pPr>
              <w:pStyle w:val="P68B1DB1-Normal19"/>
              <w:spacing w:before="120" w:after="120" w:line="240" w:lineRule="auto"/>
              <w:jc w:val="center"/>
              <w:rPr>
                <w:rFonts w:cs="Times New Roman"/>
                <w:noProof/>
              </w:rPr>
            </w:pPr>
            <w:r>
              <w:rPr>
                <w:noProof/>
              </w:rPr>
              <w:t>T4</w:t>
            </w:r>
          </w:p>
        </w:tc>
        <w:tc>
          <w:tcPr>
            <w:tcW w:w="708" w:type="dxa"/>
            <w:shd w:val="clear" w:color="auto" w:fill="C6EFCE"/>
          </w:tcPr>
          <w:p w14:paraId="72A090FC" w14:textId="77777777" w:rsidR="008E6885" w:rsidRDefault="00EA24E7">
            <w:pPr>
              <w:pStyle w:val="P68B1DB1-Normal19"/>
              <w:spacing w:before="120" w:after="120" w:line="240" w:lineRule="auto"/>
              <w:jc w:val="center"/>
              <w:rPr>
                <w:rFonts w:cs="Times New Roman"/>
                <w:noProof/>
              </w:rPr>
            </w:pPr>
            <w:r>
              <w:rPr>
                <w:noProof/>
              </w:rPr>
              <w:t>2023</w:t>
            </w:r>
          </w:p>
        </w:tc>
        <w:tc>
          <w:tcPr>
            <w:tcW w:w="2594" w:type="dxa"/>
            <w:shd w:val="clear" w:color="auto" w:fill="C6EFCE"/>
          </w:tcPr>
          <w:p w14:paraId="14E71793" w14:textId="77777777" w:rsidR="008E6885" w:rsidRDefault="00EA24E7">
            <w:pPr>
              <w:pStyle w:val="P68B1DB1-Normal19"/>
              <w:spacing w:before="120" w:after="120" w:line="240" w:lineRule="auto"/>
              <w:jc w:val="both"/>
              <w:rPr>
                <w:rFonts w:cs="Times New Roman"/>
                <w:noProof/>
              </w:rPr>
            </w:pPr>
            <w:r>
              <w:rPr>
                <w:noProof/>
              </w:rPr>
              <w:t>Étude réalisée et publiée par le ministère de la santé portant sur l’évaluation de la qualité, de la disponibilité et de l’accessibilité des soins secondaires non hospitaliers, y compris la cartographie du niveau des services de santé secondaires non hospitaliers et l’impact de la réforme administrative territoriale. L'étude comprend une évaluation du système de santé et des propositions d'amélioration systémique.</w:t>
            </w:r>
          </w:p>
        </w:tc>
      </w:tr>
      <w:tr w:rsidR="008E6885" w14:paraId="70F7CC5A" w14:textId="77777777" w:rsidTr="00D57C89">
        <w:trPr>
          <w:gridAfter w:val="1"/>
          <w:wAfter w:w="6" w:type="dxa"/>
        </w:trPr>
        <w:tc>
          <w:tcPr>
            <w:tcW w:w="686" w:type="dxa"/>
            <w:shd w:val="clear" w:color="auto" w:fill="C6EFCE"/>
          </w:tcPr>
          <w:p w14:paraId="4D24A6CA" w14:textId="77777777" w:rsidR="008E6885" w:rsidRDefault="00EA24E7">
            <w:pPr>
              <w:pStyle w:val="P68B1DB1-Normal19"/>
              <w:spacing w:before="120" w:after="120" w:line="240" w:lineRule="auto"/>
              <w:rPr>
                <w:rFonts w:cs="Times New Roman"/>
                <w:noProof/>
              </w:rPr>
            </w:pPr>
            <w:r>
              <w:rPr>
                <w:noProof/>
              </w:rPr>
              <w:t>153</w:t>
            </w:r>
          </w:p>
        </w:tc>
        <w:tc>
          <w:tcPr>
            <w:tcW w:w="1760" w:type="dxa"/>
            <w:shd w:val="clear" w:color="auto" w:fill="C6EFCE"/>
          </w:tcPr>
          <w:p w14:paraId="121F6C7A" w14:textId="77777777" w:rsidR="008E6885" w:rsidRDefault="00EA24E7">
            <w:pPr>
              <w:pStyle w:val="P68B1DB1-Normal17"/>
              <w:spacing w:before="120" w:after="120" w:line="240" w:lineRule="auto"/>
              <w:contextualSpacing/>
              <w:rPr>
                <w:rFonts w:cs="Times New Roman"/>
                <w:noProof/>
              </w:rPr>
            </w:pPr>
            <w:r>
              <w:rPr>
                <w:noProof/>
              </w:rPr>
              <w:t xml:space="preserve">4.3.1.1.i. </w:t>
            </w:r>
          </w:p>
          <w:p w14:paraId="5A914223" w14:textId="77777777" w:rsidR="008E6885" w:rsidRDefault="00EA24E7">
            <w:pPr>
              <w:pStyle w:val="P68B1DB1-Normal17"/>
              <w:spacing w:before="120" w:after="120" w:line="240" w:lineRule="auto"/>
              <w:contextualSpacing/>
              <w:rPr>
                <w:rFonts w:cs="Times New Roman"/>
                <w:noProof/>
              </w:rPr>
            </w:pPr>
            <w:r>
              <w:rPr>
                <w:noProof/>
              </w:rPr>
              <w:t>Soutien à l’évaluation et à l’amélioration de la qualité et de l’accessibilité des soins de santé secondaires non hospitaliers</w:t>
            </w:r>
          </w:p>
        </w:tc>
        <w:tc>
          <w:tcPr>
            <w:tcW w:w="1099" w:type="dxa"/>
            <w:shd w:val="clear" w:color="auto" w:fill="C6EFCE"/>
          </w:tcPr>
          <w:p w14:paraId="11A30CF0" w14:textId="77777777" w:rsidR="008E6885" w:rsidRDefault="00EA24E7">
            <w:pPr>
              <w:pStyle w:val="P68B1DB1-Normal19"/>
              <w:spacing w:before="120" w:after="120" w:line="240" w:lineRule="auto"/>
              <w:rPr>
                <w:rFonts w:cs="Times New Roman"/>
                <w:noProof/>
              </w:rPr>
            </w:pPr>
            <w:r>
              <w:rPr>
                <w:noProof/>
              </w:rPr>
              <w:t>Étape</w:t>
            </w:r>
          </w:p>
        </w:tc>
        <w:tc>
          <w:tcPr>
            <w:tcW w:w="1884" w:type="dxa"/>
            <w:shd w:val="clear" w:color="auto" w:fill="C6EFCE"/>
          </w:tcPr>
          <w:p w14:paraId="37340CF5" w14:textId="77777777" w:rsidR="008E6885" w:rsidRDefault="00EA24E7">
            <w:pPr>
              <w:pStyle w:val="P68B1DB1-Normal19"/>
              <w:spacing w:before="120" w:after="120" w:line="240" w:lineRule="auto"/>
              <w:rPr>
                <w:rFonts w:cs="Times New Roman"/>
                <w:noProof/>
              </w:rPr>
            </w:pPr>
            <w:r>
              <w:rPr>
                <w:noProof/>
              </w:rPr>
              <w:t>Politiques de santé publique</w:t>
            </w:r>
          </w:p>
        </w:tc>
        <w:tc>
          <w:tcPr>
            <w:tcW w:w="1626" w:type="dxa"/>
            <w:shd w:val="clear" w:color="auto" w:fill="C6EFCE"/>
          </w:tcPr>
          <w:p w14:paraId="62E1EE91" w14:textId="77777777" w:rsidR="008E6885" w:rsidRDefault="00EA24E7">
            <w:pPr>
              <w:pStyle w:val="P68B1DB1-Normal19"/>
              <w:spacing w:before="120" w:after="120" w:line="240" w:lineRule="auto"/>
              <w:rPr>
                <w:rFonts w:cs="Times New Roman"/>
                <w:noProof/>
              </w:rPr>
            </w:pPr>
            <w:r>
              <w:rPr>
                <w:noProof/>
              </w:rPr>
              <w:t xml:space="preserve">Entrée en vigueur des modifications apportées aux actes juridiques et publication des recommandations et des documents de planification de la prestation de services </w:t>
            </w:r>
          </w:p>
        </w:tc>
        <w:tc>
          <w:tcPr>
            <w:tcW w:w="1026" w:type="dxa"/>
            <w:shd w:val="clear" w:color="auto" w:fill="C6EFCE"/>
          </w:tcPr>
          <w:p w14:paraId="108A092B" w14:textId="77777777" w:rsidR="008E6885" w:rsidRDefault="00EA24E7">
            <w:pPr>
              <w:pStyle w:val="P68B1DB1-Normal19"/>
              <w:spacing w:before="120" w:after="120" w:line="240" w:lineRule="auto"/>
              <w:jc w:val="center"/>
              <w:rPr>
                <w:rFonts w:cs="Times New Roman"/>
                <w:noProof/>
              </w:rPr>
            </w:pPr>
            <w:r>
              <w:rPr>
                <w:noProof/>
              </w:rPr>
              <w:t>Sans objet</w:t>
            </w:r>
          </w:p>
        </w:tc>
        <w:tc>
          <w:tcPr>
            <w:tcW w:w="992" w:type="dxa"/>
            <w:shd w:val="clear" w:color="auto" w:fill="C6EFCE"/>
          </w:tcPr>
          <w:p w14:paraId="1A8E7DF5" w14:textId="77777777" w:rsidR="008E6885" w:rsidRDefault="00EA24E7">
            <w:pPr>
              <w:pStyle w:val="P68B1DB1-Normal19"/>
              <w:spacing w:before="120" w:after="120" w:line="240" w:lineRule="auto"/>
              <w:jc w:val="center"/>
              <w:rPr>
                <w:rFonts w:cs="Times New Roman"/>
                <w:noProof/>
              </w:rPr>
            </w:pPr>
            <w:r>
              <w:rPr>
                <w:noProof/>
              </w:rPr>
              <w:t>Sans objet</w:t>
            </w:r>
          </w:p>
        </w:tc>
        <w:tc>
          <w:tcPr>
            <w:tcW w:w="850" w:type="dxa"/>
            <w:shd w:val="clear" w:color="auto" w:fill="C6EFCE"/>
          </w:tcPr>
          <w:p w14:paraId="6782D07B" w14:textId="77777777" w:rsidR="008E6885" w:rsidRDefault="00EA24E7">
            <w:pPr>
              <w:pStyle w:val="P68B1DB1-Normal19"/>
              <w:spacing w:before="120" w:after="120" w:line="240" w:lineRule="auto"/>
              <w:jc w:val="center"/>
              <w:rPr>
                <w:rFonts w:cs="Times New Roman"/>
                <w:noProof/>
              </w:rPr>
            </w:pPr>
            <w:r>
              <w:rPr>
                <w:noProof/>
              </w:rPr>
              <w:t>Sans objet</w:t>
            </w:r>
          </w:p>
        </w:tc>
        <w:tc>
          <w:tcPr>
            <w:tcW w:w="993" w:type="dxa"/>
            <w:shd w:val="clear" w:color="auto" w:fill="C6EFCE"/>
          </w:tcPr>
          <w:p w14:paraId="2084EC88" w14:textId="77777777" w:rsidR="008E6885" w:rsidRDefault="00EA24E7">
            <w:pPr>
              <w:pStyle w:val="P68B1DB1-Normal19"/>
              <w:spacing w:before="120" w:after="120" w:line="240" w:lineRule="auto"/>
              <w:jc w:val="center"/>
              <w:rPr>
                <w:rFonts w:cs="Times New Roman"/>
                <w:noProof/>
              </w:rPr>
            </w:pPr>
            <w:r>
              <w:rPr>
                <w:noProof/>
              </w:rPr>
              <w:t>T4</w:t>
            </w:r>
          </w:p>
        </w:tc>
        <w:tc>
          <w:tcPr>
            <w:tcW w:w="708" w:type="dxa"/>
            <w:shd w:val="clear" w:color="auto" w:fill="C6EFCE"/>
          </w:tcPr>
          <w:p w14:paraId="2672DBD3" w14:textId="77777777" w:rsidR="008E6885" w:rsidRDefault="00EA24E7">
            <w:pPr>
              <w:pStyle w:val="P68B1DB1-Normal19"/>
              <w:spacing w:before="120" w:after="120" w:line="240" w:lineRule="auto"/>
              <w:jc w:val="center"/>
              <w:rPr>
                <w:rFonts w:cs="Times New Roman"/>
                <w:noProof/>
              </w:rPr>
            </w:pPr>
            <w:r>
              <w:rPr>
                <w:noProof/>
              </w:rPr>
              <w:t>2024</w:t>
            </w:r>
          </w:p>
        </w:tc>
        <w:tc>
          <w:tcPr>
            <w:tcW w:w="2594" w:type="dxa"/>
            <w:shd w:val="clear" w:color="auto" w:fill="C6EFCE"/>
          </w:tcPr>
          <w:p w14:paraId="1F67ECE5" w14:textId="77777777" w:rsidR="008E6885" w:rsidRDefault="00EA24E7">
            <w:pPr>
              <w:pStyle w:val="P68B1DB1-Normal19"/>
              <w:spacing w:before="120" w:after="120" w:line="240" w:lineRule="auto"/>
              <w:jc w:val="both"/>
              <w:rPr>
                <w:rFonts w:cs="Times New Roman"/>
                <w:noProof/>
              </w:rPr>
            </w:pPr>
            <w:r>
              <w:rPr>
                <w:noProof/>
              </w:rPr>
              <w:t>Sur la base des résultats de la recherche sur la qualité, la disponibilité et l’accessibilité des soins secondaires non hospitaliers, l’entrée en vigueur de modifications d’actes juridiques liés aux politiques de santé publique et la publication de recommandations pour les hôpitaux et de documents de planification de la prestation de services.</w:t>
            </w:r>
          </w:p>
        </w:tc>
      </w:tr>
    </w:tbl>
    <w:p w14:paraId="38E42C56" w14:textId="77777777" w:rsidR="008E6885" w:rsidRDefault="008E6885">
      <w:pPr>
        <w:spacing w:before="120" w:after="120" w:line="240" w:lineRule="auto"/>
        <w:jc w:val="both"/>
        <w:rPr>
          <w:rFonts w:ascii="Times New Roman" w:eastAsia="Calibri" w:hAnsi="Times New Roman" w:cs="Arial"/>
          <w:b/>
          <w:noProof/>
          <w:kern w:val="0"/>
          <w:szCs w:val="22"/>
          <w:u w:val="single"/>
          <w14:ligatures w14:val="none"/>
        </w:rPr>
      </w:pPr>
    </w:p>
    <w:p w14:paraId="48AF7750" w14:textId="77777777" w:rsidR="008E6885" w:rsidRDefault="008E6885">
      <w:pPr>
        <w:spacing w:before="120" w:after="120" w:line="240" w:lineRule="auto"/>
        <w:jc w:val="both"/>
        <w:rPr>
          <w:rFonts w:ascii="Times New Roman" w:eastAsia="Calibri" w:hAnsi="Times New Roman" w:cs="Times New Roman"/>
          <w:noProof/>
          <w:kern w:val="0"/>
          <w14:ligatures w14:val="none"/>
        </w:rPr>
        <w:sectPr w:rsidR="008E6885" w:rsidSect="0048758A">
          <w:headerReference w:type="default" r:id="rId33"/>
          <w:footerReference w:type="default" r:id="rId34"/>
          <w:pgSz w:w="16838" w:h="11906" w:orient="landscape"/>
          <w:pgMar w:top="1440" w:right="1440" w:bottom="1440" w:left="1440" w:header="708" w:footer="708" w:gutter="0"/>
          <w:cols w:space="708"/>
          <w:docGrid w:linePitch="360"/>
        </w:sectPr>
      </w:pPr>
    </w:p>
    <w:p w14:paraId="7558FF72" w14:textId="77777777" w:rsidR="008E6885" w:rsidRDefault="00EA24E7">
      <w:pPr>
        <w:pStyle w:val="P68B1DB1-Normal3"/>
        <w:keepNext/>
        <w:spacing w:after="240" w:line="240" w:lineRule="auto"/>
        <w:outlineLvl w:val="0"/>
        <w:rPr>
          <w:rFonts w:eastAsia="MS Gothic" w:cs="Times New Roman"/>
          <w:noProof/>
          <w:szCs w:val="28"/>
        </w:rPr>
      </w:pPr>
      <w:r>
        <w:rPr>
          <w:noProof/>
        </w:rPr>
        <w:t xml:space="preserve">E. Élément 5: RÉFORME DE LA TRANSFORMATION ET DE LA PRODUCTIVITÉ ÉCONOMIQUES </w:t>
      </w:r>
    </w:p>
    <w:p w14:paraId="724CA2A9" w14:textId="77777777" w:rsidR="008E6885" w:rsidRDefault="00EA24E7">
      <w:pPr>
        <w:pStyle w:val="P68B1DB1-Normal5"/>
        <w:spacing w:before="120" w:after="120" w:line="256" w:lineRule="auto"/>
        <w:jc w:val="both"/>
        <w:rPr>
          <w:rFonts w:cs="Times New Roman"/>
          <w:noProof/>
        </w:rPr>
      </w:pPr>
      <w:r>
        <w:rPr>
          <w:noProof/>
        </w:rPr>
        <w:t>Ce volet du plan letton pour la reprise et la résilience se compose de deux sous-parties qui traitent respectivement des principaux défis en matière d’innovation et d’enseignement supérieur. Les principaux défis liés à l'innovation sont le faible investissement dans l'innovation, en particulier dans le secteur privé, la faiblesse des liens entre la science et les entreprises, la pénurie de ressources humaines hautement qualifiées et la fragmentation de la gouvernance du système d'innovation. Le principal défi lié à l'enseignement supérieur est un paysage fragmenté de l'enseignement supérieur, composé d'un nombre relativement important de petits établissements dont le financement est à la fois insuffisant et inefficace. Cela signifie que la plupart des établissements d'enseignement supérieur (EES) manquent de ressources pour dispenser une éducation de bonne qualité et créer une masse critique pour une recherche de haute qualité. En outre, il existe un modèle de gouvernance universitaire sous-optimal avec une faible représentation des parties prenantes externes et un manque de possibilités de carrière universitaire attrayantes, limitant les ressources humaines pour l’éducation, la recherche et l’innovation.</w:t>
      </w:r>
    </w:p>
    <w:p w14:paraId="0109340B" w14:textId="77777777" w:rsidR="008E6885" w:rsidRDefault="00EA24E7">
      <w:pPr>
        <w:pStyle w:val="P68B1DB1-Normal5"/>
        <w:spacing w:before="120" w:after="120" w:line="256" w:lineRule="auto"/>
        <w:jc w:val="both"/>
        <w:rPr>
          <w:rFonts w:cs="Times New Roman"/>
          <w:noProof/>
        </w:rPr>
      </w:pPr>
      <w:r>
        <w:rPr>
          <w:noProof/>
        </w:rPr>
        <w:t xml:space="preserve">Les objectifs du volet sont d’accroître la productivité grâce à des investissements plus importants dans la R&amp;D, de stimuler la compétitivité et de favoriser la coopération entre le secteur public, les entreprises, les universités et les instituts de recherche. Les modifications apportées à la gouvernance du système d’innovation et aux régimes d’aide qui les accompagnent pour les investissements privés dans la R&amp;D visent à créer des écosystèmes d’innovation durables, favorisant ainsi des investissements globaux plus élevés dans l’innovation. La vaste réforme de l’enseignement supérieur vise à renforcer la qualité et l’efficacité de l’enseignement supérieur, la compétitivité de la recherche lettone et à améliorer les compétences de la population lettone à long terme. </w:t>
      </w:r>
    </w:p>
    <w:p w14:paraId="591E4D35" w14:textId="77777777" w:rsidR="008E6885" w:rsidRDefault="00EA24E7">
      <w:pPr>
        <w:pStyle w:val="P68B1DB1-Normal5"/>
        <w:spacing w:before="120" w:after="120" w:line="256" w:lineRule="auto"/>
        <w:jc w:val="both"/>
        <w:rPr>
          <w:rFonts w:cs="Times New Roman"/>
          <w:noProof/>
        </w:rPr>
      </w:pPr>
      <w:r>
        <w:rPr>
          <w:noProof/>
        </w:rPr>
        <w:t xml:space="preserve">Le volet soutient la mise en œuvre des recommandations par pays visant à axer la politique économique liée à l’investissement sur l’innovation (recommandation par pays no 3, 2019, recommandation par pays no 3, 2020) et à accroître la qualité et l’efficacité de l’éducation et de la formation (recommandation par pays no 2, 2019). </w:t>
      </w:r>
    </w:p>
    <w:p w14:paraId="7A84C178" w14:textId="77777777" w:rsidR="008E6885" w:rsidRDefault="00EA24E7">
      <w:pPr>
        <w:pStyle w:val="P68B1DB1-Normal5"/>
        <w:spacing w:after="240" w:line="256"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51FF0E61" w14:textId="77777777" w:rsidR="008E6885" w:rsidRDefault="00EA24E7">
      <w:pPr>
        <w:pStyle w:val="P68B1DB1-Normal28"/>
        <w:keepNext/>
        <w:keepLines/>
        <w:spacing w:after="240" w:line="240" w:lineRule="auto"/>
        <w:jc w:val="both"/>
        <w:outlineLvl w:val="1"/>
        <w:rPr>
          <w:rFonts w:ascii="Times New Roman" w:eastAsia="Times New Roman" w:hAnsi="Times New Roman" w:cs="Times New Roman"/>
          <w:b/>
          <w:noProof/>
        </w:rPr>
      </w:pPr>
      <w:r>
        <w:rPr>
          <w:rFonts w:ascii="Times New Roman" w:eastAsia="Calibri" w:hAnsi="Times New Roman" w:cs="Arial"/>
          <w:b/>
          <w:noProof/>
        </w:rPr>
        <w:t>E.1.</w:t>
      </w:r>
      <w:r>
        <w:rPr>
          <w:rFonts w:ascii="Calibri" w:eastAsia="Calibri" w:hAnsi="Calibri" w:cs="Arial"/>
          <w:noProof/>
          <w:sz w:val="22"/>
        </w:rPr>
        <w:tab/>
      </w:r>
      <w:r>
        <w:rPr>
          <w:rFonts w:ascii="Times New Roman" w:eastAsia="Calibri" w:hAnsi="Times New Roman" w:cs="Arial"/>
          <w:b/>
          <w:noProof/>
        </w:rPr>
        <w:t>Description des réformes et des investissements pour le soutien financier non remboursable</w:t>
      </w:r>
    </w:p>
    <w:p w14:paraId="40D78DC2" w14:textId="77777777" w:rsidR="008E6885" w:rsidRDefault="00EA24E7">
      <w:pPr>
        <w:pStyle w:val="P68B1DB1-Normal7"/>
        <w:keepNext/>
        <w:keepLines/>
        <w:spacing w:after="120" w:line="240" w:lineRule="auto"/>
        <w:jc w:val="both"/>
        <w:rPr>
          <w:rFonts w:cs="Times New Roman"/>
          <w:iCs/>
          <w:noProof/>
        </w:rPr>
      </w:pPr>
      <w:r>
        <w:rPr>
          <w:noProof/>
        </w:rPr>
        <w:t>Réforme: 5.1.r. Gouvernance du système d'innovation et motivation des investissements privés dans la recherche et le développement</w:t>
      </w:r>
    </w:p>
    <w:p w14:paraId="2866223F" w14:textId="77777777" w:rsidR="008E6885" w:rsidRDefault="00EA24E7">
      <w:pPr>
        <w:pStyle w:val="P68B1DB1-Normal5"/>
        <w:spacing w:after="120" w:line="256" w:lineRule="auto"/>
        <w:jc w:val="both"/>
        <w:rPr>
          <w:rFonts w:cs="Times New Roman"/>
          <w:noProof/>
        </w:rPr>
      </w:pPr>
      <w:r>
        <w:rPr>
          <w:noProof/>
        </w:rPr>
        <w:t xml:space="preserve">L’objectif de la mesure est d’introduire une approche écosystémique dans la gouvernance de l’innovation. Il vise à mettre en place un instrument de soutien qui permettra d'accroître les capacités de R&amp;D dans les entreprises, de promouvoir la coopération intersectorielle, d'accroître la part des entreprises innovantes et, partant, de promouvoir l'investissement privé dans l'innovation. </w:t>
      </w:r>
    </w:p>
    <w:p w14:paraId="713C8B66" w14:textId="77777777" w:rsidR="008E6885" w:rsidRDefault="00EA24E7">
      <w:pPr>
        <w:pStyle w:val="P68B1DB1-Normal5"/>
        <w:spacing w:after="120" w:line="256" w:lineRule="auto"/>
        <w:jc w:val="both"/>
        <w:rPr>
          <w:rFonts w:cs="Times New Roman"/>
          <w:noProof/>
        </w:rPr>
      </w:pPr>
      <w:r>
        <w:rPr>
          <w:noProof/>
        </w:rPr>
        <w:t xml:space="preserve">La réforme consiste en la création d’un modèle de gouvernance de l’innovation, qui implique l’attribution de tâches spécifiques aux institutions concernées représentant le gouvernement, l’industrie et le monde universitaire. Les principales tâches du système d’innovation sont la détermination de la stratégie, la gestion du fonds pour l’innovation, la collecte de données, la mesure et le suivi des performances, ainsi que la réévaluation périodique du modèle de gouvernance. </w:t>
      </w:r>
    </w:p>
    <w:p w14:paraId="3ABCB0F4" w14:textId="77777777" w:rsidR="008E6885" w:rsidRDefault="00EA24E7">
      <w:pPr>
        <w:pStyle w:val="P68B1DB1-Normal5"/>
        <w:spacing w:after="240" w:line="256" w:lineRule="auto"/>
        <w:jc w:val="both"/>
        <w:rPr>
          <w:rFonts w:cs="Times New Roman"/>
          <w:noProof/>
        </w:rPr>
      </w:pPr>
      <w:r>
        <w:rPr>
          <w:noProof/>
        </w:rPr>
        <w:t xml:space="preserve">La réforme est mise en œuvre au plus tard le 31 décembre 2022. </w:t>
      </w:r>
    </w:p>
    <w:p w14:paraId="73DD65DE" w14:textId="77777777" w:rsidR="008E6885" w:rsidRDefault="00EA24E7">
      <w:pPr>
        <w:pStyle w:val="P68B1DB1-Normal15"/>
        <w:keepNext/>
        <w:keepLines/>
        <w:spacing w:after="120" w:line="240" w:lineRule="auto"/>
        <w:jc w:val="both"/>
        <w:rPr>
          <w:rFonts w:cs="Times New Roman"/>
          <w:noProof/>
        </w:rPr>
      </w:pPr>
      <w:r>
        <w:rPr>
          <w:noProof/>
        </w:rPr>
        <w:t>Investissement: 5.1.1.1.i. Appui à un modèle de gouvernance du système d'innovation à part entière</w:t>
      </w:r>
    </w:p>
    <w:p w14:paraId="0F99DEB4" w14:textId="77777777" w:rsidR="008E6885" w:rsidRDefault="00EA24E7">
      <w:pPr>
        <w:pStyle w:val="P68B1DB1-Normal5"/>
        <w:spacing w:after="120" w:line="256" w:lineRule="auto"/>
        <w:jc w:val="both"/>
        <w:rPr>
          <w:rFonts w:cs="Times New Roman"/>
          <w:noProof/>
        </w:rPr>
      </w:pPr>
      <w:r>
        <w:rPr>
          <w:noProof/>
        </w:rPr>
        <w:t xml:space="preserve">L’objectif de la mesure est de soutenir le nouveau modèle de gouvernance du système d’innovation. </w:t>
      </w:r>
    </w:p>
    <w:p w14:paraId="1D0145FB" w14:textId="77777777" w:rsidR="008E6885" w:rsidRDefault="00EA24E7">
      <w:pPr>
        <w:pStyle w:val="P68B1DB1-Normal4"/>
        <w:spacing w:after="120" w:line="256" w:lineRule="auto"/>
        <w:jc w:val="both"/>
        <w:rPr>
          <w:rFonts w:cs="Times New Roman"/>
          <w:noProof/>
        </w:rPr>
      </w:pPr>
      <w:r>
        <w:rPr>
          <w:noProof/>
        </w:rPr>
        <w:t>La mesure consiste à nommer des personnes pour la performance du modèle de gouvernance du système d’innovation et à publier des rapports de suivi.</w:t>
      </w:r>
    </w:p>
    <w:p w14:paraId="54E67690" w14:textId="77777777" w:rsidR="008E6885" w:rsidRDefault="00EA24E7">
      <w:pPr>
        <w:pStyle w:val="P68B1DB1-Normal7"/>
        <w:keepNext/>
        <w:keepLines/>
        <w:spacing w:after="120" w:line="240" w:lineRule="auto"/>
        <w:jc w:val="both"/>
        <w:rPr>
          <w:rFonts w:cs="Times New Roman"/>
          <w:noProof/>
        </w:rPr>
      </w:pPr>
      <w:r>
        <w:rPr>
          <w:noProof/>
        </w:rPr>
        <w:t xml:space="preserve">Investissement: 5.1.1.2.i. Instrument de soutien à la recherche et à l'internationalisation </w:t>
      </w:r>
    </w:p>
    <w:p w14:paraId="285F5DFC" w14:textId="77777777" w:rsidR="008E6885" w:rsidRDefault="00EA24E7">
      <w:pPr>
        <w:pStyle w:val="P68B1DB1-Normal5"/>
        <w:tabs>
          <w:tab w:val="left" w:pos="709"/>
        </w:tabs>
        <w:spacing w:after="120" w:line="240" w:lineRule="auto"/>
        <w:jc w:val="both"/>
        <w:rPr>
          <w:rFonts w:cs="Times New Roman"/>
          <w:noProof/>
        </w:rPr>
      </w:pPr>
      <w:r>
        <w:rPr>
          <w:noProof/>
        </w:rPr>
        <w:t>L'objectif de la mesure est de stimuler les investissements privés dans la recherche et le développement ainsi que le transfert de connaissances au sein de l'économie.</w:t>
      </w:r>
    </w:p>
    <w:p w14:paraId="6DA5670F" w14:textId="77777777" w:rsidR="008E6885" w:rsidRDefault="00EA24E7">
      <w:pPr>
        <w:pStyle w:val="P68B1DB1-Normal4"/>
        <w:tabs>
          <w:tab w:val="left" w:pos="709"/>
        </w:tabs>
        <w:spacing w:after="240" w:line="240" w:lineRule="auto"/>
        <w:jc w:val="both"/>
        <w:rPr>
          <w:rFonts w:cs="Times New Roman"/>
          <w:noProof/>
        </w:rPr>
      </w:pPr>
      <w:r>
        <w:rPr>
          <w:noProof/>
        </w:rPr>
        <w:t xml:space="preserve">La mesure se compose de quatre programmes concernant i) les centres de compétences, ii) la recherche, iii) les réseaux de coopération et iv) la participation à des projets importants d'intérêt européen commun (PIIEC). </w:t>
      </w:r>
    </w:p>
    <w:p w14:paraId="7D6F9478" w14:textId="77777777" w:rsidR="008E6885" w:rsidRDefault="00EA24E7">
      <w:pPr>
        <w:pStyle w:val="P68B1DB1-Normal15"/>
        <w:keepNext/>
        <w:keepLines/>
        <w:spacing w:after="120" w:line="240" w:lineRule="auto"/>
        <w:jc w:val="both"/>
        <w:rPr>
          <w:rFonts w:cs="Times New Roman"/>
          <w:noProof/>
        </w:rPr>
      </w:pPr>
      <w:r>
        <w:rPr>
          <w:noProof/>
        </w:rPr>
        <w:t>Réforme: 5.2.1.r. Réforme de l'enseignement supérieur, de l'excellence scientifique et de la gouvernance</w:t>
      </w:r>
    </w:p>
    <w:p w14:paraId="3C9FC0B2" w14:textId="77777777" w:rsidR="008E6885" w:rsidRDefault="00EA24E7">
      <w:pPr>
        <w:pStyle w:val="P68B1DB1-Normal5"/>
        <w:tabs>
          <w:tab w:val="left" w:pos="709"/>
        </w:tabs>
        <w:spacing w:after="120" w:line="240" w:lineRule="auto"/>
        <w:jc w:val="both"/>
        <w:rPr>
          <w:rFonts w:cs="Times New Roman"/>
          <w:noProof/>
        </w:rPr>
      </w:pPr>
      <w:r>
        <w:rPr>
          <w:noProof/>
        </w:rPr>
        <w:t xml:space="preserve">L’objectif de la mesure est d’accroître la compétitivité internationale des établissements d’enseignement supérieur. </w:t>
      </w:r>
    </w:p>
    <w:p w14:paraId="57B0454E" w14:textId="77777777" w:rsidR="008E6885" w:rsidRDefault="00EA24E7">
      <w:pPr>
        <w:pStyle w:val="P68B1DB1-Normal5"/>
        <w:tabs>
          <w:tab w:val="left" w:pos="709"/>
        </w:tabs>
        <w:spacing w:after="240" w:line="240" w:lineRule="auto"/>
        <w:jc w:val="both"/>
        <w:rPr>
          <w:rFonts w:cs="Times New Roman"/>
          <w:noProof/>
        </w:rPr>
      </w:pPr>
      <w:r>
        <w:rPr>
          <w:noProof/>
        </w:rPr>
        <w:t>La mesure consiste en une réforme qui lie le financement des universités aux résultats obtenus; développer un nouveau modèle de carrière unifié pour le personnel académique; introduction d'un nouveau modèle de doctorat; et une réforme de la gouvernance des établissements d’enseignement supérieur.</w:t>
      </w:r>
    </w:p>
    <w:p w14:paraId="205F969B" w14:textId="77777777" w:rsidR="008E6885" w:rsidRDefault="00EA24E7">
      <w:pPr>
        <w:pStyle w:val="P68B1DB1-Normal7"/>
        <w:keepNext/>
        <w:keepLines/>
        <w:spacing w:after="120" w:line="240" w:lineRule="auto"/>
        <w:jc w:val="both"/>
        <w:rPr>
          <w:rFonts w:cs="Times New Roman"/>
          <w:noProof/>
        </w:rPr>
      </w:pPr>
      <w:r>
        <w:rPr>
          <w:noProof/>
        </w:rPr>
        <w:t>Investissement: 5.2.1.1.i. Subventions de recherche, de développement et de consolidation</w:t>
      </w:r>
    </w:p>
    <w:p w14:paraId="0E2186E9" w14:textId="77777777" w:rsidR="008E6885" w:rsidRDefault="00EA24E7">
      <w:pPr>
        <w:pStyle w:val="P68B1DB1-Normal4"/>
        <w:tabs>
          <w:tab w:val="left" w:pos="709"/>
        </w:tabs>
        <w:spacing w:after="120" w:line="240" w:lineRule="auto"/>
        <w:jc w:val="both"/>
        <w:rPr>
          <w:noProof/>
        </w:rPr>
      </w:pPr>
      <w:r>
        <w:rPr>
          <w:noProof/>
        </w:rPr>
        <w:t>L'objectif de la mesure est d'apporter des changements structurels aux établissements d'enseignement supérieur et aux instituts scientifiques en les consolidant.</w:t>
      </w:r>
    </w:p>
    <w:p w14:paraId="374160E0" w14:textId="77777777" w:rsidR="008E6885" w:rsidRDefault="00EA24E7">
      <w:pPr>
        <w:pStyle w:val="P68B1DB1-Normal5"/>
        <w:tabs>
          <w:tab w:val="left" w:pos="709"/>
        </w:tabs>
        <w:spacing w:after="120" w:line="240" w:lineRule="auto"/>
        <w:jc w:val="both"/>
        <w:rPr>
          <w:rFonts w:cs="Times New Roman"/>
          <w:iCs/>
          <w:noProof/>
        </w:rPr>
      </w:pPr>
      <w:r>
        <w:rPr>
          <w:noProof/>
        </w:rPr>
        <w:t xml:space="preserve">La mesure consiste à consolider quatre établissements d’enseignement supérieur ou établissements scientifiques et à signer des conventions de subvention. </w:t>
      </w:r>
    </w:p>
    <w:p w14:paraId="445643AC" w14:textId="77777777" w:rsidR="008E6885" w:rsidRDefault="008E6885">
      <w:pPr>
        <w:spacing w:before="120" w:after="120" w:line="240" w:lineRule="auto"/>
        <w:jc w:val="both"/>
        <w:rPr>
          <w:rFonts w:ascii="Times New Roman" w:eastAsia="Calibri" w:hAnsi="Times New Roman" w:cs="Times New Roman"/>
          <w:noProof/>
          <w:kern w:val="0"/>
          <w14:ligatures w14:val="none"/>
        </w:rPr>
        <w:sectPr w:rsidR="008E6885" w:rsidSect="0048758A">
          <w:headerReference w:type="default" r:id="rId35"/>
          <w:footerReference w:type="default" r:id="rId36"/>
          <w:pgSz w:w="11906" w:h="16838"/>
          <w:pgMar w:top="1440" w:right="1440" w:bottom="1440" w:left="1440" w:header="708" w:footer="708" w:gutter="0"/>
          <w:cols w:space="708"/>
          <w:docGrid w:linePitch="360"/>
        </w:sectPr>
      </w:pPr>
    </w:p>
    <w:p w14:paraId="39870F92" w14:textId="07BCC0B5" w:rsidR="008E6885" w:rsidRDefault="00EA24E7">
      <w:pPr>
        <w:pStyle w:val="P68B1DB1-Normal1"/>
        <w:spacing w:before="120" w:after="120" w:line="240" w:lineRule="auto"/>
        <w:jc w:val="center"/>
        <w:rPr>
          <w:noProof/>
        </w:rPr>
      </w:pPr>
      <w:r>
        <w:rPr>
          <w:noProof/>
        </w:rPr>
        <w:t>E.2. Étapes, cibles, indicateurs et calendrier pour le suivi et la mise en œuvre du soutien financier non remboursable</w:t>
      </w:r>
    </w:p>
    <w:tbl>
      <w:tblPr>
        <w:tblW w:w="530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020"/>
        <w:gridCol w:w="1382"/>
        <w:gridCol w:w="1333"/>
        <w:gridCol w:w="1762"/>
        <w:gridCol w:w="1358"/>
        <w:gridCol w:w="954"/>
        <w:gridCol w:w="972"/>
        <w:gridCol w:w="992"/>
        <w:gridCol w:w="709"/>
        <w:gridCol w:w="2757"/>
      </w:tblGrid>
      <w:tr w:rsidR="008E6885" w14:paraId="5ED2490A" w14:textId="77777777" w:rsidTr="00D57C89">
        <w:trPr>
          <w:tblHeader/>
        </w:trPr>
        <w:tc>
          <w:tcPr>
            <w:tcW w:w="568" w:type="dxa"/>
            <w:vMerge w:val="restart"/>
            <w:shd w:val="clear" w:color="auto" w:fill="BDD7EE"/>
            <w:vAlign w:val="center"/>
            <w:hideMark/>
          </w:tcPr>
          <w:p w14:paraId="59C31C2D" w14:textId="77777777" w:rsidR="008E6885" w:rsidRDefault="00EA24E7">
            <w:pPr>
              <w:pStyle w:val="P68B1DB1-Normal8"/>
              <w:spacing w:after="0" w:line="240" w:lineRule="auto"/>
              <w:jc w:val="center"/>
              <w:rPr>
                <w:rFonts w:eastAsia="Times New Roman"/>
                <w:bCs/>
                <w:noProof/>
              </w:rPr>
            </w:pPr>
            <w:r>
              <w:rPr>
                <w:noProof/>
              </w:rPr>
              <w:t>Nr</w:t>
            </w:r>
          </w:p>
        </w:tc>
        <w:tc>
          <w:tcPr>
            <w:tcW w:w="2020" w:type="dxa"/>
            <w:vMerge w:val="restart"/>
            <w:shd w:val="clear" w:color="auto" w:fill="BDD7EE"/>
            <w:vAlign w:val="center"/>
            <w:hideMark/>
          </w:tcPr>
          <w:p w14:paraId="2D1CD413" w14:textId="77777777" w:rsidR="008E6885" w:rsidRDefault="00EA24E7">
            <w:pPr>
              <w:pStyle w:val="P68B1DB1-Normal8"/>
              <w:spacing w:after="0" w:line="240" w:lineRule="auto"/>
              <w:jc w:val="center"/>
              <w:rPr>
                <w:rFonts w:eastAsia="Times New Roman"/>
                <w:bCs/>
                <w:noProof/>
              </w:rPr>
            </w:pPr>
            <w:r>
              <w:rPr>
                <w:noProof/>
              </w:rPr>
              <w:t>Mesure connexe (réforme ou investissement)</w:t>
            </w:r>
          </w:p>
        </w:tc>
        <w:tc>
          <w:tcPr>
            <w:tcW w:w="1382" w:type="dxa"/>
            <w:vMerge w:val="restart"/>
            <w:shd w:val="clear" w:color="auto" w:fill="BDD7EE"/>
            <w:vAlign w:val="center"/>
            <w:hideMark/>
          </w:tcPr>
          <w:p w14:paraId="46009BB1" w14:textId="77777777" w:rsidR="008E6885" w:rsidRDefault="00EA24E7">
            <w:pPr>
              <w:pStyle w:val="P68B1DB1-Normal8"/>
              <w:spacing w:after="0" w:line="240" w:lineRule="auto"/>
              <w:jc w:val="center"/>
              <w:rPr>
                <w:rFonts w:eastAsia="Times New Roman"/>
                <w:bCs/>
                <w:noProof/>
              </w:rPr>
            </w:pPr>
            <w:r>
              <w:rPr>
                <w:noProof/>
              </w:rPr>
              <w:t>Étape/objectif</w:t>
            </w:r>
          </w:p>
        </w:tc>
        <w:tc>
          <w:tcPr>
            <w:tcW w:w="1333" w:type="dxa"/>
            <w:vMerge w:val="restart"/>
            <w:shd w:val="clear" w:color="auto" w:fill="BDD7EE"/>
            <w:vAlign w:val="center"/>
            <w:hideMark/>
          </w:tcPr>
          <w:p w14:paraId="2061B762" w14:textId="77777777" w:rsidR="008E6885" w:rsidRDefault="00EA24E7">
            <w:pPr>
              <w:pStyle w:val="P68B1DB1-Normal8"/>
              <w:spacing w:after="0" w:line="240" w:lineRule="auto"/>
              <w:jc w:val="center"/>
              <w:rPr>
                <w:rFonts w:eastAsia="Times New Roman"/>
                <w:bCs/>
                <w:noProof/>
              </w:rPr>
            </w:pPr>
            <w:r>
              <w:rPr>
                <w:noProof/>
              </w:rPr>
              <w:t>Nom</w:t>
            </w:r>
          </w:p>
        </w:tc>
        <w:tc>
          <w:tcPr>
            <w:tcW w:w="1762" w:type="dxa"/>
            <w:vMerge w:val="restart"/>
            <w:shd w:val="clear" w:color="auto" w:fill="BDD7EE"/>
            <w:vAlign w:val="center"/>
            <w:hideMark/>
          </w:tcPr>
          <w:p w14:paraId="5FC4FB86" w14:textId="77777777" w:rsidR="008E6885" w:rsidRDefault="00EA24E7">
            <w:pPr>
              <w:pStyle w:val="P68B1DB1-Normal9"/>
              <w:spacing w:after="0" w:line="240" w:lineRule="auto"/>
              <w:jc w:val="center"/>
              <w:rPr>
                <w:rFonts w:eastAsia="Times New Roman"/>
                <w:b/>
                <w:noProof/>
              </w:rPr>
            </w:pPr>
            <w:r>
              <w:rPr>
                <w:b/>
                <w:noProof/>
              </w:rPr>
              <w:t>Indicateurs qualitatifs</w:t>
            </w:r>
            <w:r>
              <w:rPr>
                <w:noProof/>
              </w:rPr>
              <w:t xml:space="preserve"> </w:t>
            </w:r>
            <w:r>
              <w:rPr>
                <w:noProof/>
              </w:rPr>
              <w:br/>
            </w:r>
            <w:r>
              <w:rPr>
                <w:b/>
                <w:noProof/>
              </w:rPr>
              <w:t>(pour les jalons)</w:t>
            </w:r>
          </w:p>
        </w:tc>
        <w:tc>
          <w:tcPr>
            <w:tcW w:w="3284" w:type="dxa"/>
            <w:gridSpan w:val="3"/>
            <w:shd w:val="clear" w:color="auto" w:fill="BDD7EE"/>
            <w:vAlign w:val="center"/>
            <w:hideMark/>
          </w:tcPr>
          <w:p w14:paraId="22F2241D" w14:textId="77777777" w:rsidR="008E6885" w:rsidRDefault="00EA24E7">
            <w:pPr>
              <w:pStyle w:val="P68B1DB1-Normal9"/>
              <w:spacing w:after="0" w:line="240" w:lineRule="auto"/>
              <w:jc w:val="center"/>
              <w:rPr>
                <w:rFonts w:eastAsia="Times New Roman"/>
                <w:b/>
                <w:noProof/>
              </w:rPr>
            </w:pPr>
            <w:r>
              <w:rPr>
                <w:b/>
                <w:noProof/>
              </w:rPr>
              <w:t>Indicateurs quantitatifs</w:t>
            </w:r>
            <w:r>
              <w:rPr>
                <w:noProof/>
              </w:rPr>
              <w:t xml:space="preserve"> </w:t>
            </w:r>
            <w:r>
              <w:rPr>
                <w:noProof/>
              </w:rPr>
              <w:br/>
            </w:r>
            <w:r>
              <w:rPr>
                <w:b/>
                <w:noProof/>
              </w:rPr>
              <w:t>(pour les objectifs)</w:t>
            </w:r>
          </w:p>
        </w:tc>
        <w:tc>
          <w:tcPr>
            <w:tcW w:w="1701" w:type="dxa"/>
            <w:gridSpan w:val="2"/>
            <w:shd w:val="clear" w:color="auto" w:fill="BDD7EE"/>
            <w:vAlign w:val="center"/>
            <w:hideMark/>
          </w:tcPr>
          <w:p w14:paraId="3E603D9C" w14:textId="77777777" w:rsidR="008E6885" w:rsidRDefault="00EA24E7">
            <w:pPr>
              <w:pStyle w:val="P68B1DB1-Normal8"/>
              <w:spacing w:after="0" w:line="240" w:lineRule="auto"/>
              <w:jc w:val="center"/>
              <w:rPr>
                <w:rFonts w:eastAsia="Times New Roman"/>
                <w:bCs/>
                <w:noProof/>
              </w:rPr>
            </w:pPr>
            <w:r>
              <w:rPr>
                <w:noProof/>
              </w:rPr>
              <w:t>Calendrier indicatif d'achèvement</w:t>
            </w:r>
          </w:p>
        </w:tc>
        <w:tc>
          <w:tcPr>
            <w:tcW w:w="2757" w:type="dxa"/>
            <w:vMerge w:val="restart"/>
            <w:shd w:val="clear" w:color="auto" w:fill="BDD7EE"/>
            <w:vAlign w:val="center"/>
            <w:hideMark/>
          </w:tcPr>
          <w:p w14:paraId="0D2851AE" w14:textId="77777777" w:rsidR="008E6885" w:rsidRDefault="00EA24E7">
            <w:pPr>
              <w:pStyle w:val="P68B1DB1-Normal8"/>
              <w:spacing w:after="0" w:line="240" w:lineRule="auto"/>
              <w:jc w:val="center"/>
              <w:rPr>
                <w:rFonts w:eastAsia="Times New Roman"/>
                <w:bCs/>
                <w:noProof/>
              </w:rPr>
            </w:pPr>
            <w:r>
              <w:rPr>
                <w:noProof/>
              </w:rPr>
              <w:t>Description et définition claire de chaque jalon et cible</w:t>
            </w:r>
          </w:p>
        </w:tc>
      </w:tr>
      <w:tr w:rsidR="008E6885" w14:paraId="355A21D5" w14:textId="77777777" w:rsidTr="00D57C89">
        <w:trPr>
          <w:tblHeader/>
        </w:trPr>
        <w:tc>
          <w:tcPr>
            <w:tcW w:w="568" w:type="dxa"/>
            <w:vMerge/>
            <w:vAlign w:val="center"/>
            <w:hideMark/>
          </w:tcPr>
          <w:p w14:paraId="4448F3C0" w14:textId="77777777" w:rsidR="008E6885" w:rsidRDefault="008E6885">
            <w:pPr>
              <w:spacing w:after="0" w:line="240" w:lineRule="auto"/>
              <w:rPr>
                <w:rFonts w:ascii="Times New Roman" w:eastAsia="Times New Roman" w:hAnsi="Times New Roman" w:cs="Times New Roman"/>
                <w:b/>
                <w:bCs/>
                <w:noProof/>
                <w:kern w:val="0"/>
                <w:sz w:val="18"/>
                <w:szCs w:val="18"/>
                <w14:ligatures w14:val="none"/>
              </w:rPr>
            </w:pPr>
          </w:p>
        </w:tc>
        <w:tc>
          <w:tcPr>
            <w:tcW w:w="2020" w:type="dxa"/>
            <w:vMerge/>
            <w:vAlign w:val="center"/>
            <w:hideMark/>
          </w:tcPr>
          <w:p w14:paraId="3DBBF4E7" w14:textId="77777777" w:rsidR="008E6885" w:rsidRDefault="008E6885">
            <w:pPr>
              <w:spacing w:after="0" w:line="240" w:lineRule="auto"/>
              <w:rPr>
                <w:rFonts w:ascii="Times New Roman" w:eastAsia="Times New Roman" w:hAnsi="Times New Roman" w:cs="Times New Roman"/>
                <w:b/>
                <w:bCs/>
                <w:noProof/>
                <w:kern w:val="0"/>
                <w:sz w:val="18"/>
                <w:szCs w:val="18"/>
                <w14:ligatures w14:val="none"/>
              </w:rPr>
            </w:pPr>
          </w:p>
        </w:tc>
        <w:tc>
          <w:tcPr>
            <w:tcW w:w="1382" w:type="dxa"/>
            <w:vMerge/>
            <w:vAlign w:val="center"/>
            <w:hideMark/>
          </w:tcPr>
          <w:p w14:paraId="6EAF07D3" w14:textId="77777777" w:rsidR="008E6885" w:rsidRDefault="008E6885">
            <w:pPr>
              <w:spacing w:after="0" w:line="240" w:lineRule="auto"/>
              <w:rPr>
                <w:rFonts w:ascii="Times New Roman" w:eastAsia="Times New Roman" w:hAnsi="Times New Roman" w:cs="Times New Roman"/>
                <w:b/>
                <w:bCs/>
                <w:noProof/>
                <w:kern w:val="0"/>
                <w:sz w:val="18"/>
                <w:szCs w:val="18"/>
                <w14:ligatures w14:val="none"/>
              </w:rPr>
            </w:pPr>
          </w:p>
        </w:tc>
        <w:tc>
          <w:tcPr>
            <w:tcW w:w="1333" w:type="dxa"/>
            <w:vMerge/>
            <w:vAlign w:val="center"/>
            <w:hideMark/>
          </w:tcPr>
          <w:p w14:paraId="4BCC158C" w14:textId="77777777" w:rsidR="008E6885" w:rsidRDefault="008E6885">
            <w:pPr>
              <w:spacing w:after="0" w:line="240" w:lineRule="auto"/>
              <w:rPr>
                <w:rFonts w:ascii="Times New Roman" w:eastAsia="Times New Roman" w:hAnsi="Times New Roman" w:cs="Times New Roman"/>
                <w:b/>
                <w:bCs/>
                <w:noProof/>
                <w:kern w:val="0"/>
                <w:sz w:val="18"/>
                <w:szCs w:val="18"/>
                <w14:ligatures w14:val="none"/>
              </w:rPr>
            </w:pPr>
          </w:p>
        </w:tc>
        <w:tc>
          <w:tcPr>
            <w:tcW w:w="1762" w:type="dxa"/>
            <w:vMerge/>
            <w:vAlign w:val="center"/>
            <w:hideMark/>
          </w:tcPr>
          <w:p w14:paraId="6F638B46" w14:textId="77777777" w:rsidR="008E6885" w:rsidRDefault="008E6885">
            <w:pPr>
              <w:spacing w:after="0" w:line="240" w:lineRule="auto"/>
              <w:rPr>
                <w:rFonts w:ascii="Times New Roman" w:eastAsia="Times New Roman" w:hAnsi="Times New Roman" w:cs="Times New Roman"/>
                <w:b/>
                <w:bCs/>
                <w:noProof/>
                <w:kern w:val="0"/>
                <w:sz w:val="18"/>
                <w:szCs w:val="18"/>
                <w14:ligatures w14:val="none"/>
              </w:rPr>
            </w:pPr>
          </w:p>
        </w:tc>
        <w:tc>
          <w:tcPr>
            <w:tcW w:w="1358" w:type="dxa"/>
            <w:shd w:val="clear" w:color="auto" w:fill="BDD7EE"/>
            <w:vAlign w:val="center"/>
            <w:hideMark/>
          </w:tcPr>
          <w:p w14:paraId="58E30074" w14:textId="77777777" w:rsidR="008E6885" w:rsidRDefault="00EA24E7">
            <w:pPr>
              <w:pStyle w:val="P68B1DB1-Normal8"/>
              <w:spacing w:after="0" w:line="240" w:lineRule="auto"/>
              <w:jc w:val="center"/>
              <w:rPr>
                <w:rFonts w:eastAsia="Times New Roman"/>
                <w:bCs/>
                <w:noProof/>
              </w:rPr>
            </w:pPr>
            <w:r>
              <w:rPr>
                <w:noProof/>
              </w:rPr>
              <w:t>Unité de mesure</w:t>
            </w:r>
          </w:p>
        </w:tc>
        <w:tc>
          <w:tcPr>
            <w:tcW w:w="954" w:type="dxa"/>
            <w:shd w:val="clear" w:color="auto" w:fill="BDD7EE"/>
            <w:vAlign w:val="center"/>
            <w:hideMark/>
          </w:tcPr>
          <w:p w14:paraId="17953E15" w14:textId="77777777" w:rsidR="008E6885" w:rsidRDefault="00EA24E7">
            <w:pPr>
              <w:pStyle w:val="P68B1DB1-Normal8"/>
              <w:spacing w:after="0" w:line="240" w:lineRule="auto"/>
              <w:jc w:val="center"/>
              <w:rPr>
                <w:rFonts w:eastAsia="Times New Roman"/>
                <w:bCs/>
                <w:noProof/>
              </w:rPr>
            </w:pPr>
            <w:r>
              <w:rPr>
                <w:noProof/>
              </w:rPr>
              <w:t>Données de référence</w:t>
            </w:r>
          </w:p>
        </w:tc>
        <w:tc>
          <w:tcPr>
            <w:tcW w:w="972" w:type="dxa"/>
            <w:shd w:val="clear" w:color="auto" w:fill="BDD7EE"/>
            <w:vAlign w:val="center"/>
            <w:hideMark/>
          </w:tcPr>
          <w:p w14:paraId="537B5A3C" w14:textId="77777777" w:rsidR="008E6885" w:rsidRDefault="00EA24E7">
            <w:pPr>
              <w:pStyle w:val="P68B1DB1-Normal8"/>
              <w:spacing w:after="0" w:line="240" w:lineRule="auto"/>
              <w:jc w:val="center"/>
              <w:rPr>
                <w:rFonts w:eastAsia="Times New Roman"/>
                <w:bCs/>
                <w:noProof/>
              </w:rPr>
            </w:pPr>
            <w:r>
              <w:rPr>
                <w:noProof/>
              </w:rPr>
              <w:t>Objectif</w:t>
            </w:r>
          </w:p>
        </w:tc>
        <w:tc>
          <w:tcPr>
            <w:tcW w:w="992" w:type="dxa"/>
            <w:shd w:val="clear" w:color="auto" w:fill="BDD7EE"/>
            <w:vAlign w:val="center"/>
            <w:hideMark/>
          </w:tcPr>
          <w:p w14:paraId="3E4188E3" w14:textId="77777777" w:rsidR="008E6885" w:rsidRDefault="00EA24E7">
            <w:pPr>
              <w:pStyle w:val="P68B1DB1-Normal8"/>
              <w:spacing w:after="0" w:line="240" w:lineRule="auto"/>
              <w:jc w:val="center"/>
              <w:rPr>
                <w:rFonts w:eastAsia="Times New Roman"/>
                <w:bCs/>
                <w:noProof/>
              </w:rPr>
            </w:pPr>
            <w:r>
              <w:rPr>
                <w:noProof/>
              </w:rPr>
              <w:t>Trimestre</w:t>
            </w:r>
          </w:p>
        </w:tc>
        <w:tc>
          <w:tcPr>
            <w:tcW w:w="709" w:type="dxa"/>
            <w:shd w:val="clear" w:color="auto" w:fill="BDD7EE"/>
            <w:vAlign w:val="center"/>
            <w:hideMark/>
          </w:tcPr>
          <w:p w14:paraId="732D452D" w14:textId="77777777" w:rsidR="008E6885" w:rsidRDefault="00EA24E7">
            <w:pPr>
              <w:pStyle w:val="P68B1DB1-Normal8"/>
              <w:spacing w:after="0" w:line="240" w:lineRule="auto"/>
              <w:jc w:val="center"/>
              <w:rPr>
                <w:rFonts w:eastAsia="Times New Roman"/>
                <w:bCs/>
                <w:noProof/>
              </w:rPr>
            </w:pPr>
            <w:r>
              <w:rPr>
                <w:noProof/>
              </w:rPr>
              <w:t>Année</w:t>
            </w:r>
          </w:p>
        </w:tc>
        <w:tc>
          <w:tcPr>
            <w:tcW w:w="2757" w:type="dxa"/>
            <w:vMerge/>
            <w:vAlign w:val="center"/>
            <w:hideMark/>
          </w:tcPr>
          <w:p w14:paraId="2AC3D1F3" w14:textId="77777777" w:rsidR="008E6885" w:rsidRDefault="008E6885">
            <w:pPr>
              <w:spacing w:after="0" w:line="240" w:lineRule="auto"/>
              <w:jc w:val="both"/>
              <w:rPr>
                <w:rFonts w:ascii="Times New Roman" w:eastAsia="Times New Roman" w:hAnsi="Times New Roman" w:cs="Times New Roman"/>
                <w:b/>
                <w:bCs/>
                <w:noProof/>
                <w:kern w:val="0"/>
                <w:sz w:val="18"/>
                <w:szCs w:val="18"/>
                <w14:ligatures w14:val="none"/>
              </w:rPr>
            </w:pPr>
          </w:p>
        </w:tc>
      </w:tr>
      <w:tr w:rsidR="008E6885" w14:paraId="2EF556DD" w14:textId="77777777" w:rsidTr="00D57C89">
        <w:tc>
          <w:tcPr>
            <w:tcW w:w="568" w:type="dxa"/>
            <w:shd w:val="clear" w:color="auto" w:fill="C6EFCE"/>
            <w:hideMark/>
          </w:tcPr>
          <w:p w14:paraId="5DD0B7F4" w14:textId="77777777" w:rsidR="008E6885" w:rsidRDefault="00EA24E7">
            <w:pPr>
              <w:pStyle w:val="P68B1DB1-Normal9"/>
              <w:spacing w:after="0" w:line="240" w:lineRule="auto"/>
              <w:jc w:val="both"/>
              <w:rPr>
                <w:rFonts w:eastAsia="Times New Roman"/>
                <w:noProof/>
              </w:rPr>
            </w:pPr>
            <w:r>
              <w:rPr>
                <w:noProof/>
              </w:rPr>
              <w:t>154</w:t>
            </w:r>
          </w:p>
        </w:tc>
        <w:tc>
          <w:tcPr>
            <w:tcW w:w="2020" w:type="dxa"/>
            <w:shd w:val="clear" w:color="auto" w:fill="C6EFCE"/>
            <w:hideMark/>
          </w:tcPr>
          <w:p w14:paraId="2B2DE1BC" w14:textId="77777777" w:rsidR="008E6885" w:rsidRDefault="00EA24E7">
            <w:pPr>
              <w:pStyle w:val="P68B1DB1-Normal8"/>
              <w:spacing w:after="0" w:line="240" w:lineRule="auto"/>
              <w:rPr>
                <w:rFonts w:eastAsia="Times New Roman"/>
                <w:bCs/>
                <w:noProof/>
              </w:rPr>
            </w:pPr>
            <w:r>
              <w:rPr>
                <w:noProof/>
              </w:rPr>
              <w:t>5.1.r. Gouvernance du système d'innovation et motivation des investissements privés dans la recherche et le développement</w:t>
            </w:r>
          </w:p>
        </w:tc>
        <w:tc>
          <w:tcPr>
            <w:tcW w:w="1382" w:type="dxa"/>
            <w:shd w:val="clear" w:color="auto" w:fill="C6EFCE"/>
            <w:hideMark/>
          </w:tcPr>
          <w:p w14:paraId="1A39B7D3" w14:textId="77777777" w:rsidR="008E6885" w:rsidRDefault="00EA24E7">
            <w:pPr>
              <w:pStyle w:val="P68B1DB1-Normal9"/>
              <w:spacing w:after="0" w:line="240" w:lineRule="auto"/>
              <w:rPr>
                <w:rFonts w:eastAsia="Times New Roman"/>
                <w:noProof/>
              </w:rPr>
            </w:pPr>
            <w:r>
              <w:rPr>
                <w:noProof/>
              </w:rPr>
              <w:t>Étape</w:t>
            </w:r>
          </w:p>
        </w:tc>
        <w:tc>
          <w:tcPr>
            <w:tcW w:w="1333" w:type="dxa"/>
            <w:shd w:val="clear" w:color="auto" w:fill="C6EFCE"/>
            <w:hideMark/>
          </w:tcPr>
          <w:p w14:paraId="334DDAEA" w14:textId="77777777" w:rsidR="008E6885" w:rsidRDefault="00EA24E7">
            <w:pPr>
              <w:pStyle w:val="P68B1DB1-Normal9"/>
              <w:spacing w:after="0" w:line="240" w:lineRule="auto"/>
              <w:rPr>
                <w:rFonts w:eastAsia="Times New Roman"/>
                <w:noProof/>
              </w:rPr>
            </w:pPr>
            <w:r>
              <w:rPr>
                <w:noProof/>
              </w:rPr>
              <w:t>Élaboration d'une stratégie nationale à long terme pour chacun des domaines RIS3 et mise en place d'un comité de pilotage stratégique pour chacun des domaines RIS3</w:t>
            </w:r>
          </w:p>
        </w:tc>
        <w:tc>
          <w:tcPr>
            <w:tcW w:w="1762" w:type="dxa"/>
            <w:shd w:val="clear" w:color="auto" w:fill="C6EFCE"/>
            <w:hideMark/>
          </w:tcPr>
          <w:p w14:paraId="4CD424DD" w14:textId="77777777" w:rsidR="008E6885" w:rsidRDefault="00EA24E7">
            <w:pPr>
              <w:pStyle w:val="P68B1DB1-Normal9"/>
              <w:spacing w:after="0" w:line="240" w:lineRule="auto"/>
              <w:rPr>
                <w:rFonts w:eastAsia="Times New Roman"/>
                <w:noProof/>
              </w:rPr>
            </w:pPr>
            <w:r>
              <w:rPr>
                <w:noProof/>
              </w:rPr>
              <w:t>La stratégie a été convenue avec toutes les parties prenantes et approuvée. Les comités de pilotage stratégique des RIS3 ont été mis en place et leurs représentants élus.</w:t>
            </w:r>
          </w:p>
        </w:tc>
        <w:tc>
          <w:tcPr>
            <w:tcW w:w="1358" w:type="dxa"/>
            <w:shd w:val="clear" w:color="auto" w:fill="C6EFCE"/>
            <w:hideMark/>
          </w:tcPr>
          <w:p w14:paraId="019714AC" w14:textId="77777777" w:rsidR="008E6885" w:rsidRDefault="00EA24E7">
            <w:pPr>
              <w:pStyle w:val="P68B1DB1-Normal9"/>
              <w:spacing w:after="0" w:line="240" w:lineRule="auto"/>
              <w:jc w:val="center"/>
              <w:rPr>
                <w:rFonts w:eastAsia="Times New Roman"/>
                <w:noProof/>
              </w:rPr>
            </w:pPr>
            <w:r>
              <w:rPr>
                <w:noProof/>
              </w:rPr>
              <w:t>Sans objet</w:t>
            </w:r>
          </w:p>
        </w:tc>
        <w:tc>
          <w:tcPr>
            <w:tcW w:w="954" w:type="dxa"/>
            <w:shd w:val="clear" w:color="auto" w:fill="C6EFCE"/>
            <w:hideMark/>
          </w:tcPr>
          <w:p w14:paraId="1C00AA8E" w14:textId="77777777" w:rsidR="008E6885" w:rsidRDefault="00EA24E7">
            <w:pPr>
              <w:pStyle w:val="P68B1DB1-Normal9"/>
              <w:spacing w:after="0" w:line="240" w:lineRule="auto"/>
              <w:jc w:val="center"/>
              <w:rPr>
                <w:rFonts w:eastAsia="Times New Roman"/>
                <w:noProof/>
              </w:rPr>
            </w:pPr>
            <w:r>
              <w:rPr>
                <w:noProof/>
              </w:rPr>
              <w:t>Sans objet</w:t>
            </w:r>
          </w:p>
        </w:tc>
        <w:tc>
          <w:tcPr>
            <w:tcW w:w="972" w:type="dxa"/>
            <w:shd w:val="clear" w:color="auto" w:fill="C6EFCE"/>
            <w:hideMark/>
          </w:tcPr>
          <w:p w14:paraId="609BD989" w14:textId="77777777" w:rsidR="008E6885" w:rsidRDefault="00EA24E7">
            <w:pPr>
              <w:pStyle w:val="P68B1DB1-Normal9"/>
              <w:spacing w:after="0" w:line="240" w:lineRule="auto"/>
              <w:jc w:val="center"/>
              <w:rPr>
                <w:rFonts w:eastAsia="Times New Roman"/>
                <w:noProof/>
              </w:rPr>
            </w:pPr>
            <w:r>
              <w:rPr>
                <w:noProof/>
              </w:rPr>
              <w:t>Sans objet</w:t>
            </w:r>
          </w:p>
        </w:tc>
        <w:tc>
          <w:tcPr>
            <w:tcW w:w="992" w:type="dxa"/>
            <w:shd w:val="clear" w:color="auto" w:fill="C6EFCE"/>
            <w:hideMark/>
          </w:tcPr>
          <w:p w14:paraId="55F53AD7" w14:textId="77777777" w:rsidR="008E6885" w:rsidRDefault="00EA24E7">
            <w:pPr>
              <w:pStyle w:val="P68B1DB1-Normal9"/>
              <w:spacing w:after="0" w:line="240" w:lineRule="auto"/>
              <w:jc w:val="center"/>
              <w:rPr>
                <w:rFonts w:eastAsia="Times New Roman"/>
                <w:noProof/>
              </w:rPr>
            </w:pPr>
            <w:r>
              <w:rPr>
                <w:noProof/>
              </w:rPr>
              <w:t>T4</w:t>
            </w:r>
          </w:p>
        </w:tc>
        <w:tc>
          <w:tcPr>
            <w:tcW w:w="709" w:type="dxa"/>
            <w:shd w:val="clear" w:color="auto" w:fill="C6EFCE"/>
            <w:hideMark/>
          </w:tcPr>
          <w:p w14:paraId="3BDF3900" w14:textId="77777777" w:rsidR="008E6885" w:rsidRDefault="00EA24E7">
            <w:pPr>
              <w:pStyle w:val="P68B1DB1-Normal9"/>
              <w:spacing w:after="0" w:line="240" w:lineRule="auto"/>
              <w:jc w:val="center"/>
              <w:rPr>
                <w:rFonts w:eastAsia="Times New Roman"/>
                <w:noProof/>
              </w:rPr>
            </w:pPr>
            <w:r>
              <w:rPr>
                <w:noProof/>
              </w:rPr>
              <w:t>2022</w:t>
            </w:r>
          </w:p>
        </w:tc>
        <w:tc>
          <w:tcPr>
            <w:tcW w:w="2757" w:type="dxa"/>
            <w:shd w:val="clear" w:color="auto" w:fill="C6EFCE"/>
            <w:hideMark/>
          </w:tcPr>
          <w:p w14:paraId="7D9A883E" w14:textId="77777777" w:rsidR="008E6885" w:rsidRDefault="00EA24E7">
            <w:pPr>
              <w:pStyle w:val="P68B1DB1-Normal9"/>
              <w:spacing w:after="0" w:line="240" w:lineRule="auto"/>
              <w:jc w:val="both"/>
              <w:rPr>
                <w:rFonts w:eastAsia="Times New Roman"/>
                <w:noProof/>
              </w:rPr>
            </w:pPr>
            <w:r>
              <w:rPr>
                <w:noProof/>
              </w:rPr>
              <w:t>Les modifications de la législation pertinente conférant les fonctions suivantes aux institutions concernées entrent en vigueur:</w:t>
            </w:r>
          </w:p>
          <w:p w14:paraId="2C69AB29" w14:textId="77777777" w:rsidR="008E6885" w:rsidRDefault="008E6885">
            <w:pPr>
              <w:spacing w:after="0" w:line="240" w:lineRule="auto"/>
              <w:jc w:val="both"/>
              <w:rPr>
                <w:rFonts w:ascii="Times New Roman" w:eastAsia="Times New Roman" w:hAnsi="Times New Roman" w:cs="Times New Roman"/>
                <w:b/>
                <w:bCs/>
                <w:noProof/>
                <w:kern w:val="0"/>
                <w:sz w:val="18"/>
                <w:szCs w:val="18"/>
                <w14:ligatures w14:val="none"/>
              </w:rPr>
            </w:pPr>
          </w:p>
          <w:p w14:paraId="6CD80874" w14:textId="77777777" w:rsidR="008E6885" w:rsidRDefault="00EA24E7">
            <w:pPr>
              <w:pStyle w:val="P68B1DB1-Normal9"/>
              <w:spacing w:after="0" w:line="240" w:lineRule="auto"/>
              <w:jc w:val="both"/>
              <w:rPr>
                <w:rFonts w:eastAsia="Times New Roman"/>
                <w:noProof/>
              </w:rPr>
            </w:pPr>
            <w:r>
              <w:rPr>
                <w:noProof/>
              </w:rPr>
              <w:t>L'Agence lettone pour l'investissement et le développement (LIDA) est chargée:</w:t>
            </w:r>
          </w:p>
          <w:p w14:paraId="36C92BB3" w14:textId="77777777" w:rsidR="008E6885" w:rsidRDefault="00EA24E7">
            <w:pPr>
              <w:pStyle w:val="P68B1DB1-Normal9"/>
              <w:spacing w:after="0" w:line="240" w:lineRule="auto"/>
              <w:jc w:val="both"/>
              <w:rPr>
                <w:rFonts w:eastAsia="Times New Roman"/>
                <w:noProof/>
              </w:rPr>
            </w:pPr>
            <w:r>
              <w:rPr>
                <w:noProof/>
              </w:rPr>
              <w:t>- élaborer des stratégies à long terme au niveau national dans chacun des domaines RIS3;</w:t>
            </w:r>
          </w:p>
          <w:p w14:paraId="5E9E38AF" w14:textId="77777777" w:rsidR="008E6885" w:rsidRDefault="00EA24E7">
            <w:pPr>
              <w:pStyle w:val="P68B1DB1-Normal9"/>
              <w:spacing w:after="0" w:line="240" w:lineRule="auto"/>
              <w:jc w:val="both"/>
              <w:rPr>
                <w:rFonts w:eastAsia="Times New Roman"/>
                <w:noProof/>
              </w:rPr>
            </w:pPr>
            <w:r>
              <w:rPr>
                <w:noProof/>
              </w:rPr>
              <w:t>- Élaboration de plans d'action annuels pour chacun des domaines RIS3</w:t>
            </w:r>
          </w:p>
          <w:p w14:paraId="76F1766D" w14:textId="7033693E" w:rsidR="008E6885" w:rsidRDefault="00EA24E7">
            <w:pPr>
              <w:pStyle w:val="P68B1DB1-Normal9"/>
              <w:spacing w:after="0" w:line="240" w:lineRule="auto"/>
              <w:jc w:val="both"/>
              <w:rPr>
                <w:rFonts w:eastAsia="Times New Roman"/>
                <w:noProof/>
              </w:rPr>
            </w:pPr>
            <w:r>
              <w:rPr>
                <w:noProof/>
              </w:rPr>
              <w:t>- la mise en place d'un comité de pilotage stratégique pour chacun des domaines RIS3;</w:t>
            </w:r>
          </w:p>
          <w:p w14:paraId="2859202C" w14:textId="77777777" w:rsidR="008E6885" w:rsidRDefault="00EA24E7">
            <w:pPr>
              <w:pStyle w:val="P68B1DB1-Normal9"/>
              <w:spacing w:after="0" w:line="240" w:lineRule="auto"/>
              <w:jc w:val="both"/>
              <w:rPr>
                <w:rFonts w:eastAsia="Times New Roman"/>
                <w:noProof/>
              </w:rPr>
            </w:pPr>
            <w:r>
              <w:rPr>
                <w:noProof/>
              </w:rPr>
              <w:t>- Leadership et coordination des conseils établis;</w:t>
            </w:r>
          </w:p>
          <w:p w14:paraId="7E33F319" w14:textId="77777777" w:rsidR="008E6885" w:rsidRDefault="00EA24E7">
            <w:pPr>
              <w:pStyle w:val="P68B1DB1-Normal9"/>
              <w:spacing w:after="0" w:line="240" w:lineRule="auto"/>
              <w:jc w:val="both"/>
              <w:rPr>
                <w:rFonts w:eastAsia="Times New Roman"/>
                <w:noProof/>
              </w:rPr>
            </w:pPr>
            <w:r>
              <w:rPr>
                <w:noProof/>
              </w:rPr>
              <w:t>- Élaboration d’une méthodologie pour la sélection des chaînes de valeur des actifs, y compris l’établissement de critères quantitatifs pour l’élimination des chaînes de valeur.</w:t>
            </w:r>
          </w:p>
          <w:p w14:paraId="2A021259" w14:textId="77777777" w:rsidR="008E6885" w:rsidRDefault="008E6885">
            <w:pPr>
              <w:spacing w:after="0" w:line="240" w:lineRule="auto"/>
              <w:jc w:val="both"/>
              <w:rPr>
                <w:rFonts w:ascii="Times New Roman" w:eastAsia="Times New Roman" w:hAnsi="Times New Roman" w:cs="Times New Roman"/>
                <w:bCs/>
                <w:noProof/>
                <w:kern w:val="0"/>
                <w:sz w:val="18"/>
                <w:szCs w:val="18"/>
                <w14:ligatures w14:val="none"/>
              </w:rPr>
            </w:pPr>
          </w:p>
          <w:p w14:paraId="2C86BB5F" w14:textId="77777777" w:rsidR="008E6885" w:rsidRDefault="00EA24E7">
            <w:pPr>
              <w:pStyle w:val="P68B1DB1-Normal9"/>
              <w:spacing w:after="0" w:line="240" w:lineRule="auto"/>
              <w:jc w:val="both"/>
              <w:rPr>
                <w:rFonts w:eastAsia="Times New Roman"/>
                <w:noProof/>
              </w:rPr>
            </w:pPr>
            <w:r>
              <w:rPr>
                <w:noProof/>
              </w:rPr>
              <w:t>Comité de pilotage stratégique pour chaque domaine RIS3:</w:t>
            </w:r>
          </w:p>
          <w:p w14:paraId="47CEF996" w14:textId="629B059E" w:rsidR="008E6885" w:rsidRDefault="00EA24E7">
            <w:pPr>
              <w:pStyle w:val="P68B1DB1-Normal9"/>
              <w:spacing w:after="0" w:line="240" w:lineRule="auto"/>
              <w:jc w:val="both"/>
              <w:rPr>
                <w:rFonts w:eastAsia="Times New Roman"/>
                <w:noProof/>
              </w:rPr>
            </w:pPr>
            <w:r>
              <w:rPr>
                <w:noProof/>
              </w:rPr>
              <w:t>- Veiller à la compatibilité des investissements prévus avec les stratégies de spécialisation RIS3, les avantages concurrentiels nationaux;</w:t>
            </w:r>
          </w:p>
          <w:p w14:paraId="6A49D3AB" w14:textId="77777777" w:rsidR="008E6885" w:rsidRDefault="00EA24E7">
            <w:pPr>
              <w:pStyle w:val="P68B1DB1-Normal9"/>
              <w:spacing w:after="0" w:line="240" w:lineRule="auto"/>
              <w:jc w:val="both"/>
              <w:rPr>
                <w:rFonts w:eastAsia="Times New Roman"/>
                <w:noProof/>
              </w:rPr>
            </w:pPr>
            <w:r>
              <w:rPr>
                <w:noProof/>
              </w:rPr>
              <w:t>- se compose d'acteurs clés du secteur privé, du secteur public et de la recherche;</w:t>
            </w:r>
          </w:p>
          <w:p w14:paraId="2D4A41B5" w14:textId="5CCDEA1B" w:rsidR="008E6885" w:rsidRDefault="00EA24E7">
            <w:pPr>
              <w:pStyle w:val="P68B1DB1-Normal9"/>
              <w:spacing w:after="0" w:line="240" w:lineRule="auto"/>
              <w:jc w:val="both"/>
              <w:rPr>
                <w:rFonts w:eastAsia="Times New Roman"/>
                <w:noProof/>
              </w:rPr>
            </w:pPr>
            <w:r>
              <w:rPr>
                <w:noProof/>
              </w:rPr>
              <w:t>- est élu par la LIDA en accord avec les ministères concernés. Le comité de pilotage stratégique est réélu une fois par an;</w:t>
            </w:r>
          </w:p>
          <w:p w14:paraId="598A19AC" w14:textId="77777777" w:rsidR="008E6885" w:rsidRDefault="00EA24E7">
            <w:pPr>
              <w:pStyle w:val="P68B1DB1-Normal9"/>
              <w:spacing w:after="0" w:line="240" w:lineRule="auto"/>
              <w:jc w:val="both"/>
              <w:rPr>
                <w:noProof/>
              </w:rPr>
            </w:pPr>
            <w:r>
              <w:rPr>
                <w:noProof/>
              </w:rPr>
              <w:t>- Le comité de pilotage stratégique est chargé d’approuver les stratégies pour les domaines de spécialisation RIS3.</w:t>
            </w:r>
          </w:p>
          <w:p w14:paraId="7666F903" w14:textId="12797BAB" w:rsidR="008E6885" w:rsidRDefault="00EA24E7">
            <w:pPr>
              <w:pStyle w:val="P68B1DB1-Normal9"/>
              <w:spacing w:after="0" w:line="240" w:lineRule="auto"/>
              <w:jc w:val="both"/>
              <w:rPr>
                <w:rFonts w:eastAsia="Times New Roman"/>
                <w:noProof/>
              </w:rPr>
            </w:pPr>
            <w:r>
              <w:rPr>
                <w:noProof/>
              </w:rPr>
              <w:t xml:space="preserve">Le ministère de l'économie est chargé: </w:t>
            </w:r>
          </w:p>
          <w:p w14:paraId="676BD5C8" w14:textId="2207D16C" w:rsidR="008E6885" w:rsidRDefault="00EA24E7">
            <w:pPr>
              <w:pStyle w:val="P68B1DB1-Normal9"/>
              <w:spacing w:after="0" w:line="240" w:lineRule="auto"/>
              <w:jc w:val="both"/>
              <w:rPr>
                <w:rFonts w:eastAsia="Times New Roman"/>
                <w:noProof/>
              </w:rPr>
            </w:pPr>
            <w:r>
              <w:rPr>
                <w:noProof/>
              </w:rPr>
              <w:t>- développement d’un système d’analyse et de suivi pour le secteur des entreprises dans les domaines de spécialisation RIS3, élaboration de rapports de suivi.</w:t>
            </w:r>
          </w:p>
        </w:tc>
      </w:tr>
      <w:tr w:rsidR="008E6885" w14:paraId="3A1F536D" w14:textId="77777777" w:rsidTr="00D57C89">
        <w:tc>
          <w:tcPr>
            <w:tcW w:w="568" w:type="dxa"/>
            <w:shd w:val="clear" w:color="auto" w:fill="C6EFCE"/>
            <w:hideMark/>
          </w:tcPr>
          <w:p w14:paraId="151223C5" w14:textId="77777777" w:rsidR="008E6885" w:rsidRDefault="00EA24E7">
            <w:pPr>
              <w:pStyle w:val="P68B1DB1-Normal9"/>
              <w:spacing w:after="0" w:line="240" w:lineRule="auto"/>
              <w:jc w:val="both"/>
              <w:rPr>
                <w:rFonts w:eastAsia="Times New Roman"/>
                <w:noProof/>
              </w:rPr>
            </w:pPr>
            <w:r>
              <w:rPr>
                <w:noProof/>
              </w:rPr>
              <w:t>155</w:t>
            </w:r>
          </w:p>
        </w:tc>
        <w:tc>
          <w:tcPr>
            <w:tcW w:w="2020" w:type="dxa"/>
            <w:shd w:val="clear" w:color="auto" w:fill="C6EFCE"/>
            <w:hideMark/>
          </w:tcPr>
          <w:p w14:paraId="73F2FAFB" w14:textId="77777777" w:rsidR="008E6885" w:rsidRDefault="00EA24E7">
            <w:pPr>
              <w:pStyle w:val="P68B1DB1-Normal8"/>
              <w:spacing w:after="0" w:line="240" w:lineRule="auto"/>
              <w:rPr>
                <w:rFonts w:eastAsia="Times New Roman"/>
                <w:bCs/>
                <w:noProof/>
              </w:rPr>
            </w:pPr>
            <w:r>
              <w:rPr>
                <w:noProof/>
              </w:rPr>
              <w:t>5.1.1.1.i. Appui à un modèle de gouvernance du système d'innovation à part entière</w:t>
            </w:r>
          </w:p>
        </w:tc>
        <w:tc>
          <w:tcPr>
            <w:tcW w:w="1382" w:type="dxa"/>
            <w:shd w:val="clear" w:color="auto" w:fill="C6EFCE"/>
            <w:hideMark/>
          </w:tcPr>
          <w:p w14:paraId="4B9354C9" w14:textId="77777777" w:rsidR="008E6885" w:rsidRDefault="00EA24E7">
            <w:pPr>
              <w:pStyle w:val="P68B1DB1-Normal9"/>
              <w:spacing w:after="0" w:line="240" w:lineRule="auto"/>
              <w:rPr>
                <w:rFonts w:eastAsia="Times New Roman"/>
                <w:noProof/>
              </w:rPr>
            </w:pPr>
            <w:r>
              <w:rPr>
                <w:noProof/>
              </w:rPr>
              <w:t xml:space="preserve">Objectif </w:t>
            </w:r>
          </w:p>
        </w:tc>
        <w:tc>
          <w:tcPr>
            <w:tcW w:w="1333" w:type="dxa"/>
            <w:shd w:val="clear" w:color="auto" w:fill="C6EFCE"/>
            <w:hideMark/>
          </w:tcPr>
          <w:p w14:paraId="6E28888B" w14:textId="77777777" w:rsidR="008E6885" w:rsidRDefault="00EA24E7">
            <w:pPr>
              <w:pStyle w:val="P68B1DB1-Normal9"/>
              <w:spacing w:after="0" w:line="240" w:lineRule="auto"/>
              <w:rPr>
                <w:rFonts w:eastAsia="Times New Roman"/>
                <w:noProof/>
              </w:rPr>
            </w:pPr>
            <w:r>
              <w:rPr>
                <w:noProof/>
              </w:rPr>
              <w:t>Passation de marchés ou nomination des ressources humaines nécessaires</w:t>
            </w:r>
          </w:p>
        </w:tc>
        <w:tc>
          <w:tcPr>
            <w:tcW w:w="1762" w:type="dxa"/>
            <w:shd w:val="clear" w:color="auto" w:fill="C6EFCE"/>
            <w:hideMark/>
          </w:tcPr>
          <w:p w14:paraId="240B416C" w14:textId="77777777" w:rsidR="008E6885" w:rsidRDefault="00EA24E7">
            <w:pPr>
              <w:pStyle w:val="P68B1DB1-Normal9"/>
              <w:spacing w:after="0" w:line="240" w:lineRule="auto"/>
              <w:jc w:val="center"/>
              <w:rPr>
                <w:rFonts w:eastAsia="Times New Roman"/>
                <w:noProof/>
              </w:rPr>
            </w:pPr>
            <w:r>
              <w:rPr>
                <w:noProof/>
              </w:rPr>
              <w:t>Sans objet</w:t>
            </w:r>
          </w:p>
        </w:tc>
        <w:tc>
          <w:tcPr>
            <w:tcW w:w="1358" w:type="dxa"/>
            <w:shd w:val="clear" w:color="auto" w:fill="C6EFCE"/>
            <w:hideMark/>
          </w:tcPr>
          <w:p w14:paraId="5ED988B3" w14:textId="77777777" w:rsidR="008E6885" w:rsidRDefault="00EA24E7">
            <w:pPr>
              <w:pStyle w:val="P68B1DB1-Normal9"/>
              <w:spacing w:after="0" w:line="240" w:lineRule="auto"/>
              <w:jc w:val="center"/>
              <w:rPr>
                <w:rFonts w:eastAsia="Times New Roman"/>
                <w:noProof/>
              </w:rPr>
            </w:pPr>
            <w:r>
              <w:rPr>
                <w:noProof/>
              </w:rPr>
              <w:t>Nombre de personnes</w:t>
            </w:r>
          </w:p>
        </w:tc>
        <w:tc>
          <w:tcPr>
            <w:tcW w:w="954" w:type="dxa"/>
            <w:shd w:val="clear" w:color="auto" w:fill="C6EFCE"/>
            <w:hideMark/>
          </w:tcPr>
          <w:p w14:paraId="5A5E2B45" w14:textId="77777777" w:rsidR="008E6885" w:rsidRDefault="00EA24E7">
            <w:pPr>
              <w:pStyle w:val="P68B1DB1-Normal9"/>
              <w:spacing w:after="0" w:line="240" w:lineRule="auto"/>
              <w:jc w:val="center"/>
              <w:rPr>
                <w:rFonts w:eastAsia="Times New Roman"/>
                <w:noProof/>
              </w:rPr>
            </w:pPr>
            <w:r>
              <w:rPr>
                <w:noProof/>
              </w:rPr>
              <w:t>0</w:t>
            </w:r>
          </w:p>
        </w:tc>
        <w:tc>
          <w:tcPr>
            <w:tcW w:w="972" w:type="dxa"/>
            <w:shd w:val="clear" w:color="auto" w:fill="C6EFCE"/>
            <w:hideMark/>
          </w:tcPr>
          <w:p w14:paraId="69AED3A6" w14:textId="77777777" w:rsidR="008E6885" w:rsidRDefault="00EA24E7">
            <w:pPr>
              <w:pStyle w:val="P68B1DB1-Normal9"/>
              <w:spacing w:after="0" w:line="240" w:lineRule="auto"/>
              <w:jc w:val="center"/>
              <w:rPr>
                <w:rFonts w:eastAsia="Times New Roman"/>
                <w:noProof/>
              </w:rPr>
            </w:pPr>
            <w:r>
              <w:rPr>
                <w:noProof/>
              </w:rPr>
              <w:t>19</w:t>
            </w:r>
          </w:p>
        </w:tc>
        <w:tc>
          <w:tcPr>
            <w:tcW w:w="992" w:type="dxa"/>
            <w:shd w:val="clear" w:color="auto" w:fill="C6EFCE"/>
            <w:hideMark/>
          </w:tcPr>
          <w:p w14:paraId="72FA827C" w14:textId="77777777" w:rsidR="008E6885" w:rsidRDefault="00EA24E7">
            <w:pPr>
              <w:pStyle w:val="P68B1DB1-Normal9"/>
              <w:spacing w:after="0" w:line="240" w:lineRule="auto"/>
              <w:jc w:val="center"/>
              <w:rPr>
                <w:rFonts w:eastAsia="Times New Roman"/>
                <w:noProof/>
              </w:rPr>
            </w:pPr>
            <w:r>
              <w:rPr>
                <w:noProof/>
              </w:rPr>
              <w:t>T4</w:t>
            </w:r>
          </w:p>
        </w:tc>
        <w:tc>
          <w:tcPr>
            <w:tcW w:w="709" w:type="dxa"/>
            <w:shd w:val="clear" w:color="auto" w:fill="C6EFCE"/>
            <w:hideMark/>
          </w:tcPr>
          <w:p w14:paraId="0F6CC091" w14:textId="77777777" w:rsidR="008E6885" w:rsidRDefault="00EA24E7">
            <w:pPr>
              <w:pStyle w:val="P68B1DB1-Normal9"/>
              <w:spacing w:after="0" w:line="240" w:lineRule="auto"/>
              <w:jc w:val="center"/>
              <w:rPr>
                <w:rFonts w:eastAsia="Times New Roman"/>
                <w:noProof/>
              </w:rPr>
            </w:pPr>
            <w:r>
              <w:rPr>
                <w:noProof/>
              </w:rPr>
              <w:t>2023</w:t>
            </w:r>
          </w:p>
        </w:tc>
        <w:tc>
          <w:tcPr>
            <w:tcW w:w="2757" w:type="dxa"/>
            <w:shd w:val="clear" w:color="auto" w:fill="C6EFCE"/>
            <w:hideMark/>
          </w:tcPr>
          <w:p w14:paraId="5A243558" w14:textId="77777777" w:rsidR="008E6885" w:rsidRDefault="00EA24E7">
            <w:pPr>
              <w:pStyle w:val="P68B1DB1-Normal9"/>
              <w:spacing w:after="0" w:line="240" w:lineRule="auto"/>
              <w:jc w:val="both"/>
              <w:rPr>
                <w:rFonts w:eastAsia="Times New Roman"/>
                <w:noProof/>
              </w:rPr>
            </w:pPr>
            <w:r>
              <w:rPr>
                <w:noProof/>
              </w:rPr>
              <w:t>Le ministère de l’économie et l’Agence lettone pour l’investissement et le développement engagent ou désignent au moins 19 personnes pour assurer l’exécution des fonctions attribuées à ces institutions en ce qui concerne la gouvernance de l’innovation.</w:t>
            </w:r>
          </w:p>
        </w:tc>
      </w:tr>
      <w:tr w:rsidR="008E6885" w14:paraId="04FAD5C4" w14:textId="77777777" w:rsidTr="00D57C89">
        <w:tc>
          <w:tcPr>
            <w:tcW w:w="568" w:type="dxa"/>
            <w:shd w:val="clear" w:color="auto" w:fill="C6EFCE"/>
            <w:hideMark/>
          </w:tcPr>
          <w:p w14:paraId="5ED049FF" w14:textId="77777777" w:rsidR="008E6885" w:rsidRDefault="00EA24E7">
            <w:pPr>
              <w:pStyle w:val="P68B1DB1-Normal9"/>
              <w:spacing w:after="0" w:line="240" w:lineRule="auto"/>
              <w:jc w:val="both"/>
              <w:rPr>
                <w:rFonts w:eastAsia="Times New Roman"/>
                <w:noProof/>
              </w:rPr>
            </w:pPr>
            <w:r>
              <w:rPr>
                <w:noProof/>
              </w:rPr>
              <w:t>156</w:t>
            </w:r>
          </w:p>
        </w:tc>
        <w:tc>
          <w:tcPr>
            <w:tcW w:w="2020" w:type="dxa"/>
            <w:shd w:val="clear" w:color="auto" w:fill="C6EFCE"/>
            <w:hideMark/>
          </w:tcPr>
          <w:p w14:paraId="77B3ADD3" w14:textId="77777777" w:rsidR="008E6885" w:rsidRDefault="00EA24E7">
            <w:pPr>
              <w:pStyle w:val="P68B1DB1-Normal8"/>
              <w:spacing w:after="0" w:line="240" w:lineRule="auto"/>
              <w:rPr>
                <w:rFonts w:eastAsia="Times New Roman"/>
                <w:bCs/>
                <w:noProof/>
              </w:rPr>
            </w:pPr>
            <w:r>
              <w:rPr>
                <w:noProof/>
              </w:rPr>
              <w:t>5.1.1.1.i. Appui à un modèle de gouvernance du système d'innovation à part entière</w:t>
            </w:r>
          </w:p>
        </w:tc>
        <w:tc>
          <w:tcPr>
            <w:tcW w:w="1382" w:type="dxa"/>
            <w:shd w:val="clear" w:color="auto" w:fill="C6EFCE"/>
            <w:hideMark/>
          </w:tcPr>
          <w:p w14:paraId="432070F6" w14:textId="77777777" w:rsidR="008E6885" w:rsidRDefault="00EA24E7">
            <w:pPr>
              <w:pStyle w:val="P68B1DB1-Normal9"/>
              <w:spacing w:after="0" w:line="240" w:lineRule="auto"/>
              <w:rPr>
                <w:rFonts w:eastAsia="Times New Roman"/>
                <w:noProof/>
              </w:rPr>
            </w:pPr>
            <w:r>
              <w:rPr>
                <w:noProof/>
              </w:rPr>
              <w:t>Étape</w:t>
            </w:r>
          </w:p>
        </w:tc>
        <w:tc>
          <w:tcPr>
            <w:tcW w:w="1333" w:type="dxa"/>
            <w:shd w:val="clear" w:color="auto" w:fill="C6EFCE"/>
            <w:hideMark/>
          </w:tcPr>
          <w:p w14:paraId="4E9A6A34" w14:textId="77777777" w:rsidR="008E6885" w:rsidRDefault="00EA24E7">
            <w:pPr>
              <w:pStyle w:val="P68B1DB1-Normal9"/>
              <w:spacing w:after="0" w:line="240" w:lineRule="auto"/>
              <w:rPr>
                <w:rFonts w:eastAsia="Times New Roman"/>
                <w:noProof/>
              </w:rPr>
            </w:pPr>
            <w:r>
              <w:rPr>
                <w:noProof/>
              </w:rPr>
              <w:t xml:space="preserve">Rapports de suivi </w:t>
            </w:r>
          </w:p>
        </w:tc>
        <w:tc>
          <w:tcPr>
            <w:tcW w:w="1762" w:type="dxa"/>
            <w:shd w:val="clear" w:color="auto" w:fill="C6EFCE"/>
            <w:hideMark/>
          </w:tcPr>
          <w:p w14:paraId="14E928C1" w14:textId="77777777" w:rsidR="008E6885" w:rsidRDefault="00EA24E7">
            <w:pPr>
              <w:pStyle w:val="P68B1DB1-Normal9"/>
              <w:spacing w:after="0" w:line="240" w:lineRule="auto"/>
              <w:rPr>
                <w:rFonts w:eastAsia="Times New Roman"/>
                <w:noProof/>
              </w:rPr>
            </w:pPr>
            <w:r>
              <w:rPr>
                <w:noProof/>
              </w:rPr>
              <w:t xml:space="preserve">Publication des rapports de suivi </w:t>
            </w:r>
          </w:p>
        </w:tc>
        <w:tc>
          <w:tcPr>
            <w:tcW w:w="1358" w:type="dxa"/>
            <w:shd w:val="clear" w:color="auto" w:fill="C6EFCE"/>
            <w:hideMark/>
          </w:tcPr>
          <w:p w14:paraId="4FCD421D" w14:textId="77777777" w:rsidR="008E6885" w:rsidRDefault="00EA24E7">
            <w:pPr>
              <w:pStyle w:val="P68B1DB1-Normal9"/>
              <w:spacing w:after="0" w:line="240" w:lineRule="auto"/>
              <w:jc w:val="center"/>
              <w:rPr>
                <w:rFonts w:eastAsia="Times New Roman"/>
                <w:noProof/>
              </w:rPr>
            </w:pPr>
            <w:r>
              <w:rPr>
                <w:noProof/>
              </w:rPr>
              <w:t>Sans objet</w:t>
            </w:r>
          </w:p>
        </w:tc>
        <w:tc>
          <w:tcPr>
            <w:tcW w:w="954" w:type="dxa"/>
            <w:shd w:val="clear" w:color="auto" w:fill="C6EFCE"/>
            <w:hideMark/>
          </w:tcPr>
          <w:p w14:paraId="106E2FC0" w14:textId="77777777" w:rsidR="008E6885" w:rsidRDefault="00EA24E7">
            <w:pPr>
              <w:pStyle w:val="P68B1DB1-Normal9"/>
              <w:spacing w:after="0" w:line="240" w:lineRule="auto"/>
              <w:jc w:val="center"/>
              <w:rPr>
                <w:rFonts w:eastAsia="Times New Roman"/>
                <w:noProof/>
              </w:rPr>
            </w:pPr>
            <w:r>
              <w:rPr>
                <w:noProof/>
              </w:rPr>
              <w:t>Sans objet</w:t>
            </w:r>
          </w:p>
        </w:tc>
        <w:tc>
          <w:tcPr>
            <w:tcW w:w="972" w:type="dxa"/>
            <w:shd w:val="clear" w:color="auto" w:fill="C6EFCE"/>
            <w:hideMark/>
          </w:tcPr>
          <w:p w14:paraId="6E2A8ABA" w14:textId="77777777" w:rsidR="008E6885" w:rsidRDefault="00EA24E7">
            <w:pPr>
              <w:pStyle w:val="P68B1DB1-Normal9"/>
              <w:spacing w:after="0" w:line="240" w:lineRule="auto"/>
              <w:jc w:val="center"/>
              <w:rPr>
                <w:rFonts w:eastAsia="Times New Roman"/>
                <w:noProof/>
              </w:rPr>
            </w:pPr>
            <w:r>
              <w:rPr>
                <w:noProof/>
              </w:rPr>
              <w:t>Sans objet</w:t>
            </w:r>
          </w:p>
        </w:tc>
        <w:tc>
          <w:tcPr>
            <w:tcW w:w="992" w:type="dxa"/>
            <w:shd w:val="clear" w:color="auto" w:fill="C6EFCE"/>
            <w:hideMark/>
          </w:tcPr>
          <w:p w14:paraId="7118E153" w14:textId="77777777" w:rsidR="008E6885" w:rsidRDefault="00EA24E7">
            <w:pPr>
              <w:pStyle w:val="P68B1DB1-Normal9"/>
              <w:spacing w:after="0" w:line="240" w:lineRule="auto"/>
              <w:jc w:val="center"/>
              <w:rPr>
                <w:rFonts w:eastAsia="Times New Roman"/>
                <w:noProof/>
              </w:rPr>
            </w:pPr>
            <w:r>
              <w:rPr>
                <w:noProof/>
              </w:rPr>
              <w:t>T3</w:t>
            </w:r>
          </w:p>
        </w:tc>
        <w:tc>
          <w:tcPr>
            <w:tcW w:w="709" w:type="dxa"/>
            <w:shd w:val="clear" w:color="auto" w:fill="C6EFCE"/>
            <w:hideMark/>
          </w:tcPr>
          <w:p w14:paraId="628932BF" w14:textId="77777777" w:rsidR="008E6885" w:rsidRDefault="00EA24E7">
            <w:pPr>
              <w:pStyle w:val="P68B1DB1-Normal9"/>
              <w:spacing w:after="0" w:line="240" w:lineRule="auto"/>
              <w:jc w:val="center"/>
              <w:rPr>
                <w:rFonts w:eastAsia="Times New Roman"/>
                <w:noProof/>
              </w:rPr>
            </w:pPr>
            <w:r>
              <w:rPr>
                <w:noProof/>
              </w:rPr>
              <w:t>2026</w:t>
            </w:r>
          </w:p>
        </w:tc>
        <w:tc>
          <w:tcPr>
            <w:tcW w:w="2757" w:type="dxa"/>
            <w:shd w:val="clear" w:color="auto" w:fill="C6EFCE"/>
            <w:hideMark/>
          </w:tcPr>
          <w:p w14:paraId="446CC47E" w14:textId="77777777" w:rsidR="008E6885" w:rsidRDefault="00EA24E7">
            <w:pPr>
              <w:pStyle w:val="P68B1DB1-Normal9"/>
              <w:spacing w:after="0" w:line="240" w:lineRule="auto"/>
              <w:jc w:val="both"/>
              <w:rPr>
                <w:rFonts w:eastAsia="Times New Roman"/>
                <w:noProof/>
              </w:rPr>
            </w:pPr>
            <w:r>
              <w:rPr>
                <w:noProof/>
              </w:rPr>
              <w:t>Le ministère de l'économie publie:</w:t>
            </w:r>
          </w:p>
          <w:p w14:paraId="1BBB0053" w14:textId="5BDD4E26" w:rsidR="008E6885" w:rsidRDefault="00EA24E7">
            <w:pPr>
              <w:pStyle w:val="P68B1DB1-Normal9"/>
              <w:spacing w:after="0" w:line="240" w:lineRule="auto"/>
              <w:jc w:val="both"/>
              <w:rPr>
                <w:rFonts w:eastAsia="Times New Roman"/>
                <w:noProof/>
              </w:rPr>
            </w:pPr>
            <w:r>
              <w:rPr>
                <w:noProof/>
              </w:rPr>
              <w:t>- deux rapports sur les domaines RIS3, dont l'un au moins comprend également une évaluation du programme de soutien à l'innovation;</w:t>
            </w:r>
          </w:p>
          <w:p w14:paraId="70082EDD" w14:textId="77777777" w:rsidR="008E6885" w:rsidRDefault="00EA24E7">
            <w:pPr>
              <w:pStyle w:val="P68B1DB1-Normal9"/>
              <w:spacing w:after="0" w:line="240" w:lineRule="auto"/>
              <w:jc w:val="both"/>
              <w:rPr>
                <w:rFonts w:eastAsia="Times New Roman"/>
                <w:noProof/>
              </w:rPr>
            </w:pPr>
            <w:r>
              <w:rPr>
                <w:noProof/>
              </w:rPr>
              <w:t>- un rapport contenant une évaluation des performances des intermédiaires sélectionnés pour le programme de soutien à la recherche ou le programme de soutien aux réseaux de coopération, ainsi qu'une analyse du modèle de gouvernance de l'innovation.</w:t>
            </w:r>
          </w:p>
        </w:tc>
      </w:tr>
      <w:tr w:rsidR="008E6885" w14:paraId="2C6877C6" w14:textId="77777777" w:rsidTr="00D57C89">
        <w:tc>
          <w:tcPr>
            <w:tcW w:w="568" w:type="dxa"/>
            <w:shd w:val="clear" w:color="auto" w:fill="C6EFCE"/>
            <w:hideMark/>
          </w:tcPr>
          <w:p w14:paraId="25E76EE3" w14:textId="77777777" w:rsidR="008E6885" w:rsidRDefault="00EA24E7">
            <w:pPr>
              <w:pStyle w:val="P68B1DB1-Normal9"/>
              <w:spacing w:after="0" w:line="240" w:lineRule="auto"/>
              <w:jc w:val="both"/>
              <w:rPr>
                <w:rFonts w:eastAsia="Times New Roman"/>
                <w:noProof/>
              </w:rPr>
            </w:pPr>
            <w:r>
              <w:rPr>
                <w:noProof/>
              </w:rPr>
              <w:t>157</w:t>
            </w:r>
          </w:p>
        </w:tc>
        <w:tc>
          <w:tcPr>
            <w:tcW w:w="2020" w:type="dxa"/>
            <w:shd w:val="clear" w:color="auto" w:fill="C6EFCE"/>
            <w:hideMark/>
          </w:tcPr>
          <w:p w14:paraId="3A95B429" w14:textId="77777777" w:rsidR="008E6885" w:rsidRDefault="00EA24E7">
            <w:pPr>
              <w:pStyle w:val="P68B1DB1-Normal8"/>
              <w:spacing w:after="0" w:line="240" w:lineRule="auto"/>
              <w:rPr>
                <w:rFonts w:eastAsia="Times New Roman"/>
                <w:bCs/>
                <w:noProof/>
              </w:rPr>
            </w:pPr>
            <w:r>
              <w:rPr>
                <w:noProof/>
              </w:rPr>
              <w:t>5.1.1.2.i. Instrument de soutien à la recherche et à l'internationalisation</w:t>
            </w:r>
          </w:p>
        </w:tc>
        <w:tc>
          <w:tcPr>
            <w:tcW w:w="1382" w:type="dxa"/>
            <w:shd w:val="clear" w:color="auto" w:fill="C6EFCE"/>
            <w:hideMark/>
          </w:tcPr>
          <w:p w14:paraId="1C2D5D7E" w14:textId="77777777" w:rsidR="008E6885" w:rsidRDefault="00EA24E7">
            <w:pPr>
              <w:pStyle w:val="P68B1DB1-Normal9"/>
              <w:spacing w:after="0" w:line="240" w:lineRule="auto"/>
              <w:rPr>
                <w:rFonts w:eastAsia="Times New Roman"/>
                <w:noProof/>
              </w:rPr>
            </w:pPr>
            <w:r>
              <w:rPr>
                <w:noProof/>
              </w:rPr>
              <w:t>Étape</w:t>
            </w:r>
          </w:p>
        </w:tc>
        <w:tc>
          <w:tcPr>
            <w:tcW w:w="1333" w:type="dxa"/>
            <w:shd w:val="clear" w:color="auto" w:fill="C6EFCE"/>
            <w:hideMark/>
          </w:tcPr>
          <w:p w14:paraId="13686106" w14:textId="77777777" w:rsidR="008E6885" w:rsidRDefault="00EA24E7">
            <w:pPr>
              <w:pStyle w:val="P68B1DB1-Normal9"/>
              <w:spacing w:after="0" w:line="240" w:lineRule="auto"/>
              <w:rPr>
                <w:rFonts w:eastAsia="Times New Roman"/>
                <w:noProof/>
              </w:rPr>
            </w:pPr>
            <w:r>
              <w:rPr>
                <w:noProof/>
              </w:rPr>
              <w:t>Entrée en vigueur du ou des actes juridiques régissant quatre programmes d'aide</w:t>
            </w:r>
          </w:p>
        </w:tc>
        <w:tc>
          <w:tcPr>
            <w:tcW w:w="1762" w:type="dxa"/>
            <w:shd w:val="clear" w:color="auto" w:fill="C6EFCE"/>
            <w:hideMark/>
          </w:tcPr>
          <w:p w14:paraId="265EEA24" w14:textId="77777777" w:rsidR="008E6885" w:rsidRDefault="00EA24E7">
            <w:pPr>
              <w:pStyle w:val="P68B1DB1-Normal9"/>
              <w:spacing w:after="0" w:line="240" w:lineRule="auto"/>
              <w:rPr>
                <w:rFonts w:eastAsia="Times New Roman"/>
                <w:noProof/>
              </w:rPr>
            </w:pPr>
            <w:r>
              <w:rPr>
                <w:noProof/>
              </w:rPr>
              <w:t>Entrée en vigueur du ou des actes juridiques</w:t>
            </w:r>
          </w:p>
        </w:tc>
        <w:tc>
          <w:tcPr>
            <w:tcW w:w="1358" w:type="dxa"/>
            <w:shd w:val="clear" w:color="auto" w:fill="C6EFCE"/>
            <w:hideMark/>
          </w:tcPr>
          <w:p w14:paraId="22491B15" w14:textId="77777777" w:rsidR="008E6885" w:rsidRDefault="00EA24E7">
            <w:pPr>
              <w:pStyle w:val="P68B1DB1-Normal9"/>
              <w:spacing w:after="0" w:line="240" w:lineRule="auto"/>
              <w:jc w:val="center"/>
              <w:rPr>
                <w:rFonts w:eastAsia="Times New Roman"/>
                <w:noProof/>
              </w:rPr>
            </w:pPr>
            <w:r>
              <w:rPr>
                <w:noProof/>
              </w:rPr>
              <w:t>Sans objet</w:t>
            </w:r>
          </w:p>
        </w:tc>
        <w:tc>
          <w:tcPr>
            <w:tcW w:w="954" w:type="dxa"/>
            <w:shd w:val="clear" w:color="auto" w:fill="C6EFCE"/>
            <w:hideMark/>
          </w:tcPr>
          <w:p w14:paraId="69A0AA5A" w14:textId="77777777" w:rsidR="008E6885" w:rsidRDefault="00EA24E7">
            <w:pPr>
              <w:pStyle w:val="P68B1DB1-Normal9"/>
              <w:spacing w:after="0" w:line="240" w:lineRule="auto"/>
              <w:jc w:val="center"/>
              <w:rPr>
                <w:rFonts w:eastAsia="Times New Roman"/>
                <w:noProof/>
              </w:rPr>
            </w:pPr>
            <w:r>
              <w:rPr>
                <w:noProof/>
              </w:rPr>
              <w:t>Sans objet</w:t>
            </w:r>
          </w:p>
        </w:tc>
        <w:tc>
          <w:tcPr>
            <w:tcW w:w="972" w:type="dxa"/>
            <w:shd w:val="clear" w:color="auto" w:fill="C6EFCE"/>
            <w:hideMark/>
          </w:tcPr>
          <w:p w14:paraId="53B4219A" w14:textId="77777777" w:rsidR="008E6885" w:rsidRDefault="00EA24E7">
            <w:pPr>
              <w:pStyle w:val="P68B1DB1-Normal9"/>
              <w:spacing w:after="0" w:line="240" w:lineRule="auto"/>
              <w:jc w:val="center"/>
              <w:rPr>
                <w:rFonts w:eastAsia="Times New Roman"/>
                <w:noProof/>
              </w:rPr>
            </w:pPr>
            <w:r>
              <w:rPr>
                <w:noProof/>
              </w:rPr>
              <w:t>Sans objet</w:t>
            </w:r>
          </w:p>
        </w:tc>
        <w:tc>
          <w:tcPr>
            <w:tcW w:w="992" w:type="dxa"/>
            <w:shd w:val="clear" w:color="auto" w:fill="C6EFCE"/>
            <w:hideMark/>
          </w:tcPr>
          <w:p w14:paraId="4079E1CB" w14:textId="77777777" w:rsidR="008E6885" w:rsidRDefault="00EA24E7">
            <w:pPr>
              <w:pStyle w:val="P68B1DB1-Normal9"/>
              <w:spacing w:after="0" w:line="240" w:lineRule="auto"/>
              <w:jc w:val="center"/>
              <w:rPr>
                <w:rFonts w:eastAsia="Times New Roman"/>
                <w:noProof/>
              </w:rPr>
            </w:pPr>
            <w:r>
              <w:rPr>
                <w:noProof/>
              </w:rPr>
              <w:t>T1</w:t>
            </w:r>
          </w:p>
        </w:tc>
        <w:tc>
          <w:tcPr>
            <w:tcW w:w="709" w:type="dxa"/>
            <w:shd w:val="clear" w:color="auto" w:fill="C6EFCE"/>
            <w:hideMark/>
          </w:tcPr>
          <w:p w14:paraId="1ED80236" w14:textId="77777777" w:rsidR="008E6885" w:rsidRDefault="00EA24E7">
            <w:pPr>
              <w:pStyle w:val="P68B1DB1-Normal9"/>
              <w:spacing w:after="0" w:line="240" w:lineRule="auto"/>
              <w:jc w:val="center"/>
              <w:rPr>
                <w:rFonts w:eastAsia="Times New Roman"/>
                <w:noProof/>
              </w:rPr>
            </w:pPr>
            <w:r>
              <w:rPr>
                <w:noProof/>
              </w:rPr>
              <w:t>2024</w:t>
            </w:r>
          </w:p>
        </w:tc>
        <w:tc>
          <w:tcPr>
            <w:tcW w:w="2757" w:type="dxa"/>
            <w:shd w:val="clear" w:color="auto" w:fill="C6EFCE"/>
            <w:hideMark/>
          </w:tcPr>
          <w:p w14:paraId="3BE14132" w14:textId="7F597079" w:rsidR="008E6885" w:rsidRDefault="00EA24E7">
            <w:pPr>
              <w:pStyle w:val="P68B1DB1-Normal9"/>
              <w:spacing w:after="0" w:line="240" w:lineRule="auto"/>
              <w:jc w:val="both"/>
              <w:rPr>
                <w:rFonts w:eastAsia="Times New Roman"/>
                <w:noProof/>
              </w:rPr>
            </w:pPr>
            <w:r>
              <w:rPr>
                <w:noProof/>
              </w:rPr>
              <w:t>Le ou les actes juridiques régissant i) le programme de soutien aux centres de compétences, ii) le programme de soutien à la recherche, iii) le programme de soutien aux réseaux de coopération et iv) le programme de soutien à la participation aux PIIEC entrent en vigueur et:</w:t>
            </w:r>
          </w:p>
          <w:p w14:paraId="4B8EE784" w14:textId="77777777" w:rsidR="008E6885" w:rsidRDefault="00EA24E7">
            <w:pPr>
              <w:pStyle w:val="P68B1DB1-Normal9"/>
              <w:spacing w:after="0" w:line="240" w:lineRule="auto"/>
              <w:jc w:val="both"/>
              <w:rPr>
                <w:rFonts w:eastAsia="Times New Roman"/>
                <w:noProof/>
              </w:rPr>
            </w:pPr>
            <w:r>
              <w:rPr>
                <w:noProof/>
              </w:rPr>
              <w:t>- inclure des indicateurs permettant de mesurer la performance des intermédiaires sélectionnés, par exemple les investissements privés dans la R&amp;D attirés, l'augmentation des exportations parmi les bénéficiaires, le nombre de produits développés; et</w:t>
            </w:r>
          </w:p>
          <w:p w14:paraId="7B313356" w14:textId="253CC307" w:rsidR="008E6885" w:rsidRDefault="00EA24E7">
            <w:pPr>
              <w:pStyle w:val="P68B1DB1-Normal9"/>
              <w:spacing w:after="0" w:line="240" w:lineRule="auto"/>
              <w:jc w:val="both"/>
              <w:rPr>
                <w:rFonts w:eastAsia="Times New Roman"/>
                <w:noProof/>
              </w:rPr>
            </w:pPr>
            <w:r>
              <w:rPr>
                <w:noProof/>
              </w:rPr>
              <w:t>- définir la responsabilité des intermédiaires pour la collecte des données auprès des bénéficiaires finaux du programme.</w:t>
            </w:r>
          </w:p>
          <w:p w14:paraId="64264D18" w14:textId="27129AC4" w:rsidR="008E6885" w:rsidRDefault="00EA24E7">
            <w:pPr>
              <w:pStyle w:val="P68B1DB1-Normal9"/>
              <w:spacing w:after="0" w:line="240" w:lineRule="auto"/>
              <w:jc w:val="both"/>
              <w:rPr>
                <w:rFonts w:eastAsia="Times New Roman"/>
                <w:noProof/>
              </w:rPr>
            </w:pPr>
            <w:r>
              <w:rPr>
                <w:noProof/>
              </w:rPr>
              <w:t>Le ou les actes juridiques établissent que la sélection des intermédiaires pour le programme de soutien à la recherche et le programme de soutien aux réseaux de coopération tient compte de leur conformité avec la stratégie de spécialisation RIS3.</w:t>
            </w:r>
          </w:p>
        </w:tc>
      </w:tr>
      <w:tr w:rsidR="008E6885" w14:paraId="7C480677" w14:textId="77777777" w:rsidTr="00D57C89">
        <w:tc>
          <w:tcPr>
            <w:tcW w:w="568" w:type="dxa"/>
            <w:shd w:val="clear" w:color="auto" w:fill="C6EFCE"/>
            <w:hideMark/>
          </w:tcPr>
          <w:p w14:paraId="3EC7A98B" w14:textId="77777777" w:rsidR="008E6885" w:rsidRDefault="00EA24E7">
            <w:pPr>
              <w:pStyle w:val="P68B1DB1-Normal9"/>
              <w:spacing w:after="0" w:line="240" w:lineRule="auto"/>
              <w:jc w:val="both"/>
              <w:rPr>
                <w:rFonts w:eastAsia="Times New Roman"/>
                <w:noProof/>
              </w:rPr>
            </w:pPr>
            <w:r>
              <w:rPr>
                <w:noProof/>
              </w:rPr>
              <w:t>158</w:t>
            </w:r>
          </w:p>
        </w:tc>
        <w:tc>
          <w:tcPr>
            <w:tcW w:w="2020" w:type="dxa"/>
            <w:shd w:val="clear" w:color="auto" w:fill="C6EFCE"/>
            <w:hideMark/>
          </w:tcPr>
          <w:p w14:paraId="0CBFFF55" w14:textId="77777777" w:rsidR="008E6885" w:rsidRDefault="00EA24E7">
            <w:pPr>
              <w:pStyle w:val="P68B1DB1-Normal8"/>
              <w:spacing w:after="0" w:line="240" w:lineRule="auto"/>
              <w:rPr>
                <w:rFonts w:eastAsia="Times New Roman"/>
                <w:bCs/>
                <w:noProof/>
              </w:rPr>
            </w:pPr>
            <w:r>
              <w:rPr>
                <w:noProof/>
              </w:rPr>
              <w:t>5.1.1.2.i. Instrument de soutien à la recherche et à l'internationalisation</w:t>
            </w:r>
          </w:p>
        </w:tc>
        <w:tc>
          <w:tcPr>
            <w:tcW w:w="1382" w:type="dxa"/>
            <w:shd w:val="clear" w:color="auto" w:fill="C6EFCE"/>
            <w:hideMark/>
          </w:tcPr>
          <w:p w14:paraId="3CB31E72" w14:textId="77777777" w:rsidR="008E6885" w:rsidRDefault="00EA24E7">
            <w:pPr>
              <w:pStyle w:val="P68B1DB1-Normal9"/>
              <w:spacing w:after="0" w:line="240" w:lineRule="auto"/>
              <w:rPr>
                <w:rFonts w:eastAsia="Times New Roman"/>
                <w:noProof/>
              </w:rPr>
            </w:pPr>
            <w:r>
              <w:rPr>
                <w:noProof/>
              </w:rPr>
              <w:t>Objectif</w:t>
            </w:r>
          </w:p>
        </w:tc>
        <w:tc>
          <w:tcPr>
            <w:tcW w:w="1333" w:type="dxa"/>
            <w:shd w:val="clear" w:color="auto" w:fill="C6EFCE"/>
            <w:hideMark/>
          </w:tcPr>
          <w:p w14:paraId="3EA3C897" w14:textId="77777777" w:rsidR="008E6885" w:rsidRDefault="00EA24E7">
            <w:pPr>
              <w:pStyle w:val="P68B1DB1-Normal9"/>
              <w:spacing w:after="0" w:line="240" w:lineRule="auto"/>
              <w:rPr>
                <w:rFonts w:eastAsia="Times New Roman"/>
                <w:noProof/>
              </w:rPr>
            </w:pPr>
            <w:r>
              <w:rPr>
                <w:noProof/>
              </w:rPr>
              <w:t>Engagement de financement</w:t>
            </w:r>
          </w:p>
        </w:tc>
        <w:tc>
          <w:tcPr>
            <w:tcW w:w="1762" w:type="dxa"/>
            <w:shd w:val="clear" w:color="auto" w:fill="C6EFCE"/>
            <w:hideMark/>
          </w:tcPr>
          <w:p w14:paraId="2C532625" w14:textId="77777777" w:rsidR="008E6885" w:rsidRDefault="00EA24E7">
            <w:pPr>
              <w:pStyle w:val="P68B1DB1-Normal9"/>
              <w:spacing w:after="0" w:line="240" w:lineRule="auto"/>
              <w:jc w:val="center"/>
              <w:rPr>
                <w:rFonts w:eastAsia="Times New Roman"/>
                <w:noProof/>
              </w:rPr>
            </w:pPr>
            <w:r>
              <w:rPr>
                <w:noProof/>
              </w:rPr>
              <w:t>Sans objet</w:t>
            </w:r>
          </w:p>
        </w:tc>
        <w:tc>
          <w:tcPr>
            <w:tcW w:w="1358" w:type="dxa"/>
            <w:shd w:val="clear" w:color="auto" w:fill="C6EFCE"/>
            <w:hideMark/>
          </w:tcPr>
          <w:p w14:paraId="0CEB1264" w14:textId="77777777" w:rsidR="008E6885" w:rsidRDefault="00EA24E7">
            <w:pPr>
              <w:pStyle w:val="P68B1DB1-Normal9"/>
              <w:spacing w:after="0" w:line="240" w:lineRule="auto"/>
              <w:jc w:val="center"/>
              <w:rPr>
                <w:rFonts w:eastAsia="Times New Roman"/>
                <w:noProof/>
              </w:rPr>
            </w:pPr>
            <w:r>
              <w:rPr>
                <w:noProof/>
              </w:rPr>
              <w:t>millions d'euros</w:t>
            </w:r>
          </w:p>
        </w:tc>
        <w:tc>
          <w:tcPr>
            <w:tcW w:w="954" w:type="dxa"/>
            <w:shd w:val="clear" w:color="auto" w:fill="C6EFCE"/>
            <w:hideMark/>
          </w:tcPr>
          <w:p w14:paraId="312D3B9A" w14:textId="77777777" w:rsidR="008E6885" w:rsidRDefault="00EA24E7">
            <w:pPr>
              <w:pStyle w:val="P68B1DB1-Normal9"/>
              <w:spacing w:after="0" w:line="240" w:lineRule="auto"/>
              <w:jc w:val="center"/>
              <w:rPr>
                <w:rFonts w:eastAsia="Times New Roman"/>
                <w:noProof/>
              </w:rPr>
            </w:pPr>
            <w:r>
              <w:rPr>
                <w:noProof/>
              </w:rPr>
              <w:t>0</w:t>
            </w:r>
          </w:p>
        </w:tc>
        <w:tc>
          <w:tcPr>
            <w:tcW w:w="972" w:type="dxa"/>
            <w:shd w:val="clear" w:color="auto" w:fill="C6EFCE"/>
            <w:hideMark/>
          </w:tcPr>
          <w:p w14:paraId="2F546268" w14:textId="77777777" w:rsidR="008E6885" w:rsidRDefault="00EA24E7">
            <w:pPr>
              <w:pStyle w:val="P68B1DB1-Normal9"/>
              <w:spacing w:after="0" w:line="240" w:lineRule="auto"/>
              <w:jc w:val="center"/>
              <w:rPr>
                <w:rFonts w:eastAsia="Times New Roman"/>
                <w:noProof/>
              </w:rPr>
            </w:pPr>
            <w:r>
              <w:rPr>
                <w:noProof/>
              </w:rPr>
              <w:t>98</w:t>
            </w:r>
          </w:p>
        </w:tc>
        <w:tc>
          <w:tcPr>
            <w:tcW w:w="992" w:type="dxa"/>
            <w:shd w:val="clear" w:color="auto" w:fill="C6EFCE"/>
            <w:hideMark/>
          </w:tcPr>
          <w:p w14:paraId="534FF2FE" w14:textId="77777777" w:rsidR="008E6885" w:rsidRDefault="00EA24E7">
            <w:pPr>
              <w:pStyle w:val="P68B1DB1-Normal9"/>
              <w:spacing w:after="0" w:line="240" w:lineRule="auto"/>
              <w:jc w:val="center"/>
              <w:rPr>
                <w:rFonts w:eastAsia="Times New Roman"/>
                <w:noProof/>
              </w:rPr>
            </w:pPr>
            <w:r>
              <w:rPr>
                <w:noProof/>
              </w:rPr>
              <w:t>T2</w:t>
            </w:r>
          </w:p>
        </w:tc>
        <w:tc>
          <w:tcPr>
            <w:tcW w:w="709" w:type="dxa"/>
            <w:shd w:val="clear" w:color="auto" w:fill="C6EFCE"/>
            <w:hideMark/>
          </w:tcPr>
          <w:p w14:paraId="3D29D17E" w14:textId="77777777" w:rsidR="008E6885" w:rsidRDefault="00EA24E7">
            <w:pPr>
              <w:pStyle w:val="P68B1DB1-Normal9"/>
              <w:spacing w:after="0" w:line="240" w:lineRule="auto"/>
              <w:jc w:val="center"/>
              <w:rPr>
                <w:rFonts w:eastAsia="Times New Roman"/>
                <w:noProof/>
              </w:rPr>
            </w:pPr>
            <w:r>
              <w:rPr>
                <w:noProof/>
              </w:rPr>
              <w:t>2025</w:t>
            </w:r>
          </w:p>
        </w:tc>
        <w:tc>
          <w:tcPr>
            <w:tcW w:w="2757" w:type="dxa"/>
            <w:shd w:val="clear" w:color="auto" w:fill="C6EFCE"/>
          </w:tcPr>
          <w:p w14:paraId="085692BD" w14:textId="77777777" w:rsidR="008E6885" w:rsidRDefault="00EA24E7">
            <w:pPr>
              <w:pStyle w:val="P68B1DB1-Normal13"/>
              <w:spacing w:after="0" w:line="240" w:lineRule="auto"/>
              <w:jc w:val="both"/>
              <w:rPr>
                <w:rFonts w:eastAsia="Times New Roman"/>
                <w:noProof/>
              </w:rPr>
            </w:pPr>
            <w:r>
              <w:rPr>
                <w:noProof/>
              </w:rPr>
              <w:t xml:space="preserve">Signature de contrats attestant l’engagement par l’Agence centrale de financement et de passation de marchés d’au moins 98 millions d’EUR pour des projets liés à la R&amp;D, à la coopération et à l’internationalisation, ou PIIEC. </w:t>
            </w:r>
          </w:p>
        </w:tc>
      </w:tr>
      <w:tr w:rsidR="008E6885" w14:paraId="5F65239D" w14:textId="77777777" w:rsidTr="00D57C89">
        <w:tc>
          <w:tcPr>
            <w:tcW w:w="568" w:type="dxa"/>
            <w:shd w:val="clear" w:color="auto" w:fill="C6EFCE"/>
            <w:hideMark/>
          </w:tcPr>
          <w:p w14:paraId="722D1111" w14:textId="77777777" w:rsidR="008E6885" w:rsidRDefault="00EA24E7">
            <w:pPr>
              <w:pStyle w:val="P68B1DB1-Normal9"/>
              <w:spacing w:after="0" w:line="240" w:lineRule="auto"/>
              <w:jc w:val="both"/>
              <w:rPr>
                <w:rFonts w:eastAsia="Times New Roman"/>
                <w:noProof/>
              </w:rPr>
            </w:pPr>
            <w:r>
              <w:rPr>
                <w:noProof/>
              </w:rPr>
              <w:t>159</w:t>
            </w:r>
          </w:p>
        </w:tc>
        <w:tc>
          <w:tcPr>
            <w:tcW w:w="2020" w:type="dxa"/>
            <w:shd w:val="clear" w:color="auto" w:fill="C6EFCE"/>
            <w:hideMark/>
          </w:tcPr>
          <w:p w14:paraId="45F4B389" w14:textId="77777777" w:rsidR="008E6885" w:rsidRDefault="00EA24E7">
            <w:pPr>
              <w:pStyle w:val="P68B1DB1-Normal8"/>
              <w:spacing w:after="0" w:line="240" w:lineRule="auto"/>
              <w:rPr>
                <w:rFonts w:eastAsia="Times New Roman"/>
                <w:bCs/>
                <w:noProof/>
              </w:rPr>
            </w:pPr>
            <w:r>
              <w:rPr>
                <w:noProof/>
              </w:rPr>
              <w:t>5.2.1.r. Réforme de l'enseignement supérieur, de l'excellence scientifique et de la gouvernance</w:t>
            </w:r>
          </w:p>
        </w:tc>
        <w:tc>
          <w:tcPr>
            <w:tcW w:w="1382" w:type="dxa"/>
            <w:shd w:val="clear" w:color="auto" w:fill="C6EFCE"/>
            <w:hideMark/>
          </w:tcPr>
          <w:p w14:paraId="57985A12" w14:textId="77777777" w:rsidR="008E6885" w:rsidRDefault="00EA24E7">
            <w:pPr>
              <w:pStyle w:val="P68B1DB1-Normal9"/>
              <w:spacing w:after="0" w:line="240" w:lineRule="auto"/>
              <w:rPr>
                <w:rFonts w:eastAsia="Times New Roman"/>
                <w:noProof/>
              </w:rPr>
            </w:pPr>
            <w:r>
              <w:rPr>
                <w:noProof/>
              </w:rPr>
              <w:t>Étape</w:t>
            </w:r>
          </w:p>
        </w:tc>
        <w:tc>
          <w:tcPr>
            <w:tcW w:w="1333" w:type="dxa"/>
            <w:shd w:val="clear" w:color="auto" w:fill="C6EFCE"/>
            <w:hideMark/>
          </w:tcPr>
          <w:p w14:paraId="0AC45370" w14:textId="77777777" w:rsidR="008E6885" w:rsidRDefault="00EA24E7">
            <w:pPr>
              <w:pStyle w:val="P68B1DB1-Normal9"/>
              <w:spacing w:after="0" w:line="240" w:lineRule="auto"/>
              <w:rPr>
                <w:rFonts w:eastAsia="Times New Roman"/>
                <w:noProof/>
              </w:rPr>
            </w:pPr>
            <w:r>
              <w:rPr>
                <w:noProof/>
              </w:rPr>
              <w:t>Réforme de la gouvernance des établissements d'enseignement supérieur</w:t>
            </w:r>
          </w:p>
        </w:tc>
        <w:tc>
          <w:tcPr>
            <w:tcW w:w="1762" w:type="dxa"/>
            <w:shd w:val="clear" w:color="auto" w:fill="C6EFCE"/>
            <w:hideMark/>
          </w:tcPr>
          <w:p w14:paraId="28C19C92" w14:textId="77777777" w:rsidR="008E6885" w:rsidRDefault="00EA24E7">
            <w:pPr>
              <w:pStyle w:val="P68B1DB1-Normal9"/>
              <w:spacing w:after="0" w:line="240" w:lineRule="auto"/>
              <w:rPr>
                <w:rFonts w:eastAsia="Times New Roman"/>
                <w:noProof/>
              </w:rPr>
            </w:pPr>
            <w:r>
              <w:rPr>
                <w:noProof/>
              </w:rPr>
              <w:t>Des modifications législatives sont entrées en vigueur conformément à la réforme de la gouvernance des établissements d’enseignement supérieur</w:t>
            </w:r>
          </w:p>
        </w:tc>
        <w:tc>
          <w:tcPr>
            <w:tcW w:w="1358" w:type="dxa"/>
            <w:shd w:val="clear" w:color="auto" w:fill="C6EFCE"/>
            <w:hideMark/>
          </w:tcPr>
          <w:p w14:paraId="26A05F50" w14:textId="77777777" w:rsidR="008E6885" w:rsidRDefault="00EA24E7">
            <w:pPr>
              <w:pStyle w:val="P68B1DB1-Normal9"/>
              <w:spacing w:after="0" w:line="240" w:lineRule="auto"/>
              <w:jc w:val="center"/>
              <w:rPr>
                <w:rFonts w:eastAsia="Times New Roman"/>
                <w:noProof/>
              </w:rPr>
            </w:pPr>
            <w:r>
              <w:rPr>
                <w:noProof/>
              </w:rPr>
              <w:t>Sans objet</w:t>
            </w:r>
          </w:p>
        </w:tc>
        <w:tc>
          <w:tcPr>
            <w:tcW w:w="954" w:type="dxa"/>
            <w:shd w:val="clear" w:color="auto" w:fill="C6EFCE"/>
            <w:hideMark/>
          </w:tcPr>
          <w:p w14:paraId="71754478" w14:textId="77777777" w:rsidR="008E6885" w:rsidRDefault="00EA24E7">
            <w:pPr>
              <w:pStyle w:val="P68B1DB1-Normal9"/>
              <w:spacing w:after="0" w:line="240" w:lineRule="auto"/>
              <w:jc w:val="center"/>
              <w:rPr>
                <w:rFonts w:eastAsia="Times New Roman"/>
                <w:noProof/>
              </w:rPr>
            </w:pPr>
            <w:r>
              <w:rPr>
                <w:noProof/>
              </w:rPr>
              <w:t>Sans objet</w:t>
            </w:r>
          </w:p>
        </w:tc>
        <w:tc>
          <w:tcPr>
            <w:tcW w:w="972" w:type="dxa"/>
            <w:shd w:val="clear" w:color="auto" w:fill="C6EFCE"/>
            <w:hideMark/>
          </w:tcPr>
          <w:p w14:paraId="3AD0A994" w14:textId="77777777" w:rsidR="008E6885" w:rsidRDefault="00EA24E7">
            <w:pPr>
              <w:pStyle w:val="P68B1DB1-Normal9"/>
              <w:spacing w:after="0" w:line="240" w:lineRule="auto"/>
              <w:jc w:val="center"/>
              <w:rPr>
                <w:rFonts w:eastAsia="Times New Roman"/>
                <w:noProof/>
              </w:rPr>
            </w:pPr>
            <w:r>
              <w:rPr>
                <w:noProof/>
              </w:rPr>
              <w:t>Sans objet</w:t>
            </w:r>
          </w:p>
        </w:tc>
        <w:tc>
          <w:tcPr>
            <w:tcW w:w="992" w:type="dxa"/>
            <w:shd w:val="clear" w:color="auto" w:fill="C6EFCE"/>
            <w:hideMark/>
          </w:tcPr>
          <w:p w14:paraId="72066183" w14:textId="77777777" w:rsidR="008E6885" w:rsidRDefault="00EA24E7">
            <w:pPr>
              <w:pStyle w:val="P68B1DB1-Normal9"/>
              <w:spacing w:after="0" w:line="240" w:lineRule="auto"/>
              <w:jc w:val="center"/>
              <w:rPr>
                <w:rFonts w:eastAsia="Times New Roman"/>
                <w:noProof/>
              </w:rPr>
            </w:pPr>
            <w:r>
              <w:rPr>
                <w:noProof/>
              </w:rPr>
              <w:t>T4</w:t>
            </w:r>
          </w:p>
        </w:tc>
        <w:tc>
          <w:tcPr>
            <w:tcW w:w="709" w:type="dxa"/>
            <w:shd w:val="clear" w:color="auto" w:fill="C6EFCE"/>
            <w:hideMark/>
          </w:tcPr>
          <w:p w14:paraId="79D7DB1E" w14:textId="77777777" w:rsidR="008E6885" w:rsidRDefault="00EA24E7">
            <w:pPr>
              <w:pStyle w:val="P68B1DB1-Normal9"/>
              <w:spacing w:after="0" w:line="240" w:lineRule="auto"/>
              <w:jc w:val="center"/>
              <w:rPr>
                <w:rFonts w:eastAsia="Times New Roman"/>
                <w:noProof/>
              </w:rPr>
            </w:pPr>
            <w:r>
              <w:rPr>
                <w:noProof/>
              </w:rPr>
              <w:t>2022</w:t>
            </w:r>
          </w:p>
        </w:tc>
        <w:tc>
          <w:tcPr>
            <w:tcW w:w="2757" w:type="dxa"/>
            <w:shd w:val="clear" w:color="auto" w:fill="C6EFCE"/>
          </w:tcPr>
          <w:p w14:paraId="68FE09E7" w14:textId="77777777" w:rsidR="008E6885" w:rsidRDefault="00EA24E7">
            <w:pPr>
              <w:pStyle w:val="P68B1DB1-Normal9"/>
              <w:spacing w:after="0" w:line="240" w:lineRule="auto"/>
              <w:jc w:val="both"/>
              <w:rPr>
                <w:rFonts w:eastAsia="Times New Roman"/>
                <w:noProof/>
              </w:rPr>
            </w:pPr>
            <w:r>
              <w:rPr>
                <w:noProof/>
              </w:rPr>
              <w:t>Le cadre réglementaire pour la mise en œuvre de la réforme de la gouvernance du système d’enseignement supérieur est entré en vigueur, notamment:</w:t>
            </w:r>
          </w:p>
          <w:p w14:paraId="74CED46E" w14:textId="77777777" w:rsidR="008E6885" w:rsidRDefault="00EA24E7">
            <w:pPr>
              <w:pStyle w:val="P68B1DB1-Normal9"/>
              <w:spacing w:after="0" w:line="240" w:lineRule="auto"/>
              <w:jc w:val="both"/>
              <w:rPr>
                <w:rFonts w:eastAsia="Times New Roman"/>
                <w:noProof/>
              </w:rPr>
            </w:pPr>
            <w:r>
              <w:rPr>
                <w:noProof/>
              </w:rPr>
              <w:t>- les typologies universitaires et les critères d'éligibilité à un type particulier;</w:t>
            </w:r>
          </w:p>
          <w:p w14:paraId="3DB88748" w14:textId="77777777" w:rsidR="008E6885" w:rsidRDefault="00EA24E7">
            <w:pPr>
              <w:pStyle w:val="P68B1DB1-Normal9"/>
              <w:spacing w:after="0" w:line="240" w:lineRule="auto"/>
              <w:jc w:val="both"/>
              <w:rPr>
                <w:rFonts w:eastAsia="Times New Roman"/>
                <w:noProof/>
              </w:rPr>
            </w:pPr>
            <w:r>
              <w:rPr>
                <w:noProof/>
              </w:rPr>
              <w:t>- la procédure de création et d'approbation des conseils universitaires, la compétence des conseils, tout en clarifiant les compétences du Sénat, du Recteur et de l'Assemblée constitutionnelle;</w:t>
            </w:r>
          </w:p>
          <w:p w14:paraId="6B2AB0CB" w14:textId="77777777" w:rsidR="008E6885" w:rsidRDefault="00EA24E7">
            <w:pPr>
              <w:pStyle w:val="P68B1DB1-Normal9"/>
              <w:spacing w:after="0" w:line="240" w:lineRule="auto"/>
              <w:jc w:val="both"/>
              <w:rPr>
                <w:rFonts w:eastAsia="Times New Roman"/>
                <w:noProof/>
              </w:rPr>
            </w:pPr>
            <w:r>
              <w:rPr>
                <w:noProof/>
              </w:rPr>
              <w:t>- la procédure de sélection et d'approbation des nouveaux recteurs d'université;</w:t>
            </w:r>
          </w:p>
          <w:p w14:paraId="5FCD3B34" w14:textId="77777777" w:rsidR="008E6885" w:rsidRDefault="00EA24E7">
            <w:pPr>
              <w:pStyle w:val="P68B1DB1-Normal9"/>
              <w:spacing w:after="0" w:line="240" w:lineRule="auto"/>
              <w:jc w:val="both"/>
              <w:rPr>
                <w:rFonts w:eastAsia="Times New Roman"/>
                <w:noProof/>
              </w:rPr>
            </w:pPr>
            <w:r>
              <w:rPr>
                <w:noProof/>
              </w:rPr>
              <w:t>- Définir la spécialisation stratégique des universités.</w:t>
            </w:r>
          </w:p>
        </w:tc>
      </w:tr>
      <w:tr w:rsidR="008E6885" w14:paraId="40879515" w14:textId="77777777" w:rsidTr="00D57C89">
        <w:tc>
          <w:tcPr>
            <w:tcW w:w="568" w:type="dxa"/>
            <w:shd w:val="clear" w:color="auto" w:fill="C6EFCE"/>
            <w:hideMark/>
          </w:tcPr>
          <w:p w14:paraId="46142330" w14:textId="77777777" w:rsidR="008E6885" w:rsidRDefault="00EA24E7">
            <w:pPr>
              <w:pStyle w:val="P68B1DB1-Normal9"/>
              <w:spacing w:after="0" w:line="240" w:lineRule="auto"/>
              <w:jc w:val="both"/>
              <w:rPr>
                <w:rFonts w:eastAsia="Times New Roman"/>
                <w:noProof/>
              </w:rPr>
            </w:pPr>
            <w:r>
              <w:rPr>
                <w:noProof/>
              </w:rPr>
              <w:t>160</w:t>
            </w:r>
          </w:p>
        </w:tc>
        <w:tc>
          <w:tcPr>
            <w:tcW w:w="2020" w:type="dxa"/>
            <w:shd w:val="clear" w:color="auto" w:fill="C6EFCE"/>
            <w:hideMark/>
          </w:tcPr>
          <w:p w14:paraId="0D96CA86" w14:textId="77777777" w:rsidR="008E6885" w:rsidRDefault="00EA24E7">
            <w:pPr>
              <w:pStyle w:val="P68B1DB1-Normal8"/>
              <w:spacing w:after="0" w:line="240" w:lineRule="auto"/>
              <w:rPr>
                <w:rFonts w:eastAsia="Times New Roman"/>
                <w:bCs/>
                <w:noProof/>
              </w:rPr>
            </w:pPr>
            <w:r>
              <w:rPr>
                <w:noProof/>
              </w:rPr>
              <w:t>5.2.1.r. Réforme de l'enseignement supérieur, de l'excellence scientifique et de la gouvernance</w:t>
            </w:r>
          </w:p>
        </w:tc>
        <w:tc>
          <w:tcPr>
            <w:tcW w:w="1382" w:type="dxa"/>
            <w:shd w:val="clear" w:color="auto" w:fill="C6EFCE"/>
            <w:hideMark/>
          </w:tcPr>
          <w:p w14:paraId="6CE4213D" w14:textId="77777777" w:rsidR="008E6885" w:rsidRDefault="00EA24E7">
            <w:pPr>
              <w:pStyle w:val="P68B1DB1-Normal9"/>
              <w:spacing w:after="0" w:line="240" w:lineRule="auto"/>
              <w:rPr>
                <w:rFonts w:eastAsia="Times New Roman"/>
                <w:noProof/>
              </w:rPr>
            </w:pPr>
            <w:r>
              <w:rPr>
                <w:noProof/>
              </w:rPr>
              <w:t>Étape</w:t>
            </w:r>
          </w:p>
        </w:tc>
        <w:tc>
          <w:tcPr>
            <w:tcW w:w="1333" w:type="dxa"/>
            <w:shd w:val="clear" w:color="auto" w:fill="C6EFCE"/>
            <w:hideMark/>
          </w:tcPr>
          <w:p w14:paraId="06DC0199" w14:textId="77777777" w:rsidR="008E6885" w:rsidRDefault="00EA24E7">
            <w:pPr>
              <w:pStyle w:val="P68B1DB1-Normal9"/>
              <w:spacing w:after="0" w:line="240" w:lineRule="auto"/>
              <w:rPr>
                <w:rFonts w:eastAsia="Times New Roman"/>
                <w:noProof/>
              </w:rPr>
            </w:pPr>
            <w:r>
              <w:rPr>
                <w:noProof/>
              </w:rPr>
              <w:t>Réforme de l'enseignement supérieur</w:t>
            </w:r>
          </w:p>
        </w:tc>
        <w:tc>
          <w:tcPr>
            <w:tcW w:w="1762" w:type="dxa"/>
            <w:shd w:val="clear" w:color="auto" w:fill="C6EFCE"/>
            <w:hideMark/>
          </w:tcPr>
          <w:p w14:paraId="4135F55E" w14:textId="77777777" w:rsidR="008E6885" w:rsidRDefault="00EA24E7">
            <w:pPr>
              <w:pStyle w:val="P68B1DB1-Normal9"/>
              <w:spacing w:after="0" w:line="240" w:lineRule="auto"/>
              <w:rPr>
                <w:rFonts w:eastAsia="Times New Roman"/>
                <w:noProof/>
              </w:rPr>
            </w:pPr>
            <w:r>
              <w:rPr>
                <w:noProof/>
              </w:rPr>
              <w:t xml:space="preserve">Entrée en vigueur du ou des actes juridiques </w:t>
            </w:r>
          </w:p>
        </w:tc>
        <w:tc>
          <w:tcPr>
            <w:tcW w:w="1358" w:type="dxa"/>
            <w:shd w:val="clear" w:color="auto" w:fill="C6EFCE"/>
            <w:hideMark/>
          </w:tcPr>
          <w:p w14:paraId="4E12E61F" w14:textId="77777777" w:rsidR="008E6885" w:rsidRDefault="00EA24E7">
            <w:pPr>
              <w:pStyle w:val="P68B1DB1-Normal9"/>
              <w:spacing w:after="0" w:line="240" w:lineRule="auto"/>
              <w:jc w:val="center"/>
              <w:rPr>
                <w:rFonts w:eastAsia="Times New Roman"/>
                <w:noProof/>
              </w:rPr>
            </w:pPr>
            <w:r>
              <w:rPr>
                <w:noProof/>
              </w:rPr>
              <w:t>Sans objet</w:t>
            </w:r>
          </w:p>
        </w:tc>
        <w:tc>
          <w:tcPr>
            <w:tcW w:w="954" w:type="dxa"/>
            <w:shd w:val="clear" w:color="auto" w:fill="C6EFCE"/>
            <w:hideMark/>
          </w:tcPr>
          <w:p w14:paraId="46131E56" w14:textId="77777777" w:rsidR="008E6885" w:rsidRDefault="00EA24E7">
            <w:pPr>
              <w:pStyle w:val="P68B1DB1-Normal9"/>
              <w:spacing w:after="0" w:line="240" w:lineRule="auto"/>
              <w:jc w:val="center"/>
              <w:rPr>
                <w:rFonts w:eastAsia="Times New Roman"/>
                <w:noProof/>
              </w:rPr>
            </w:pPr>
            <w:r>
              <w:rPr>
                <w:noProof/>
              </w:rPr>
              <w:t>Sans objet</w:t>
            </w:r>
          </w:p>
        </w:tc>
        <w:tc>
          <w:tcPr>
            <w:tcW w:w="972" w:type="dxa"/>
            <w:shd w:val="clear" w:color="auto" w:fill="C6EFCE"/>
            <w:hideMark/>
          </w:tcPr>
          <w:p w14:paraId="667F925F" w14:textId="77777777" w:rsidR="008E6885" w:rsidRDefault="00EA24E7">
            <w:pPr>
              <w:pStyle w:val="P68B1DB1-Normal9"/>
              <w:spacing w:after="0" w:line="240" w:lineRule="auto"/>
              <w:jc w:val="center"/>
              <w:rPr>
                <w:rFonts w:eastAsia="Times New Roman"/>
                <w:noProof/>
              </w:rPr>
            </w:pPr>
            <w:r>
              <w:rPr>
                <w:noProof/>
              </w:rPr>
              <w:t>Sans objet</w:t>
            </w:r>
          </w:p>
        </w:tc>
        <w:tc>
          <w:tcPr>
            <w:tcW w:w="992" w:type="dxa"/>
            <w:shd w:val="clear" w:color="auto" w:fill="C6EFCE"/>
            <w:hideMark/>
          </w:tcPr>
          <w:p w14:paraId="471F2B24" w14:textId="77777777" w:rsidR="008E6885" w:rsidRDefault="00EA24E7">
            <w:pPr>
              <w:pStyle w:val="P68B1DB1-Normal9"/>
              <w:spacing w:after="0" w:line="240" w:lineRule="auto"/>
              <w:jc w:val="center"/>
              <w:rPr>
                <w:rFonts w:eastAsia="Times New Roman"/>
                <w:noProof/>
              </w:rPr>
            </w:pPr>
            <w:r>
              <w:rPr>
                <w:noProof/>
              </w:rPr>
              <w:t>T3</w:t>
            </w:r>
          </w:p>
        </w:tc>
        <w:tc>
          <w:tcPr>
            <w:tcW w:w="709" w:type="dxa"/>
            <w:shd w:val="clear" w:color="auto" w:fill="C6EFCE"/>
            <w:hideMark/>
          </w:tcPr>
          <w:p w14:paraId="11C6DBBF" w14:textId="77777777" w:rsidR="008E6885" w:rsidRDefault="00EA24E7">
            <w:pPr>
              <w:pStyle w:val="P68B1DB1-Normal9"/>
              <w:spacing w:after="0" w:line="240" w:lineRule="auto"/>
              <w:jc w:val="center"/>
              <w:rPr>
                <w:rFonts w:eastAsia="Times New Roman"/>
                <w:noProof/>
              </w:rPr>
            </w:pPr>
            <w:r>
              <w:rPr>
                <w:noProof/>
              </w:rPr>
              <w:t>2026</w:t>
            </w:r>
          </w:p>
        </w:tc>
        <w:tc>
          <w:tcPr>
            <w:tcW w:w="2757" w:type="dxa"/>
            <w:shd w:val="clear" w:color="auto" w:fill="C6EFCE"/>
            <w:hideMark/>
          </w:tcPr>
          <w:p w14:paraId="14E8F5CC" w14:textId="77777777" w:rsidR="008E6885" w:rsidRDefault="00EA24E7">
            <w:pPr>
              <w:pStyle w:val="P68B1DB1-Normal9"/>
              <w:spacing w:after="0" w:line="240" w:lineRule="auto"/>
              <w:jc w:val="both"/>
              <w:rPr>
                <w:noProof/>
              </w:rPr>
            </w:pPr>
            <w:r>
              <w:rPr>
                <w:noProof/>
              </w:rPr>
              <w:t>Entrée en vigueur du ou des actes juridiques introduisant:</w:t>
            </w:r>
          </w:p>
          <w:p w14:paraId="482A4A8E" w14:textId="77777777" w:rsidR="008E6885" w:rsidRDefault="00EA24E7">
            <w:pPr>
              <w:pStyle w:val="P68B1DB1-Normal9"/>
              <w:spacing w:after="0" w:line="240" w:lineRule="auto"/>
              <w:jc w:val="both"/>
              <w:rPr>
                <w:noProof/>
              </w:rPr>
            </w:pPr>
            <w:r>
              <w:rPr>
                <w:noProof/>
              </w:rPr>
              <w:t>i) un modèle de doctorat révisé;</w:t>
            </w:r>
          </w:p>
          <w:p w14:paraId="197B1350" w14:textId="77777777" w:rsidR="008E6885" w:rsidRDefault="00EA24E7">
            <w:pPr>
              <w:pStyle w:val="P68B1DB1-Normal9"/>
              <w:spacing w:after="0" w:line="240" w:lineRule="auto"/>
              <w:jc w:val="both"/>
              <w:rPr>
                <w:rFonts w:eastAsia="Times New Roman"/>
                <w:noProof/>
              </w:rPr>
            </w:pPr>
            <w:r>
              <w:rPr>
                <w:noProof/>
              </w:rPr>
              <w:t xml:space="preserve">ii) les principes régissant l'emploi du personnel universitaire; </w:t>
            </w:r>
          </w:p>
          <w:p w14:paraId="21A0A2DB" w14:textId="77777777" w:rsidR="008E6885" w:rsidRDefault="00EA24E7">
            <w:pPr>
              <w:pStyle w:val="P68B1DB1-Normal9"/>
              <w:spacing w:after="0" w:line="240" w:lineRule="auto"/>
              <w:jc w:val="both"/>
              <w:rPr>
                <w:rFonts w:eastAsia="Times New Roman"/>
                <w:noProof/>
              </w:rPr>
            </w:pPr>
            <w:r>
              <w:rPr>
                <w:noProof/>
              </w:rPr>
              <w:t>iii) le système cyclique d'accréditation institutionnelle;</w:t>
            </w:r>
          </w:p>
          <w:p w14:paraId="2A946747" w14:textId="77777777" w:rsidR="008E6885" w:rsidRDefault="00EA24E7">
            <w:pPr>
              <w:pStyle w:val="P68B1DB1-Normal9"/>
              <w:spacing w:after="0" w:line="240" w:lineRule="auto"/>
              <w:jc w:val="both"/>
              <w:rPr>
                <w:rFonts w:eastAsia="Times New Roman"/>
                <w:noProof/>
              </w:rPr>
            </w:pPr>
            <w:r>
              <w:rPr>
                <w:noProof/>
              </w:rPr>
              <w:t>iv) les bourses d ' excellence, les bourses sociales et les bourses d ' études;</w:t>
            </w:r>
          </w:p>
          <w:p w14:paraId="1A4ADFB8" w14:textId="77777777" w:rsidR="008E6885" w:rsidRDefault="00EA24E7">
            <w:pPr>
              <w:pStyle w:val="P68B1DB1-Normal9"/>
              <w:spacing w:after="0" w:line="240" w:lineRule="auto"/>
              <w:jc w:val="both"/>
              <w:rPr>
                <w:rFonts w:eastAsia="Times New Roman"/>
                <w:noProof/>
              </w:rPr>
            </w:pPr>
            <w:r>
              <w:rPr>
                <w:noProof/>
              </w:rPr>
              <w:t>v) une augmentation du volume du financement de la performance (pilier 2) et de nouveaux indicateurs de performance dans le pilier 1;</w:t>
            </w:r>
          </w:p>
          <w:p w14:paraId="45754FEA" w14:textId="77777777" w:rsidR="008E6885" w:rsidRDefault="00EA24E7">
            <w:pPr>
              <w:pStyle w:val="P68B1DB1-Normal9"/>
              <w:spacing w:after="0" w:line="240" w:lineRule="auto"/>
              <w:jc w:val="both"/>
              <w:rPr>
                <w:noProof/>
              </w:rPr>
            </w:pPr>
            <w:r>
              <w:rPr>
                <w:noProof/>
              </w:rPr>
              <w:t>vi) le lien entre le financement public et les résultats de l ' évaluation internationale des institutions scientifiques.</w:t>
            </w:r>
          </w:p>
        </w:tc>
      </w:tr>
      <w:tr w:rsidR="008E6885" w14:paraId="5B0E2917" w14:textId="77777777" w:rsidTr="00D57C89">
        <w:trPr>
          <w:trHeight w:val="1082"/>
        </w:trPr>
        <w:tc>
          <w:tcPr>
            <w:tcW w:w="568" w:type="dxa"/>
            <w:tcBorders>
              <w:top w:val="single" w:sz="4" w:space="0" w:color="auto"/>
              <w:left w:val="single" w:sz="4" w:space="0" w:color="auto"/>
              <w:bottom w:val="single" w:sz="4" w:space="0" w:color="auto"/>
              <w:right w:val="single" w:sz="4" w:space="0" w:color="auto"/>
            </w:tcBorders>
            <w:shd w:val="clear" w:color="auto" w:fill="C6EFCE"/>
            <w:hideMark/>
          </w:tcPr>
          <w:p w14:paraId="2C6F0EA3" w14:textId="77777777" w:rsidR="008E6885" w:rsidRDefault="00EA24E7">
            <w:pPr>
              <w:pStyle w:val="P68B1DB1-Normal9"/>
              <w:spacing w:after="0" w:line="240" w:lineRule="auto"/>
              <w:jc w:val="both"/>
              <w:rPr>
                <w:rFonts w:eastAsia="Times New Roman"/>
                <w:noProof/>
              </w:rPr>
            </w:pPr>
            <w:r>
              <w:rPr>
                <w:noProof/>
              </w:rPr>
              <w:t>161</w:t>
            </w:r>
          </w:p>
        </w:tc>
        <w:tc>
          <w:tcPr>
            <w:tcW w:w="2020" w:type="dxa"/>
            <w:tcBorders>
              <w:top w:val="single" w:sz="4" w:space="0" w:color="auto"/>
              <w:left w:val="single" w:sz="4" w:space="0" w:color="auto"/>
              <w:bottom w:val="single" w:sz="4" w:space="0" w:color="auto"/>
              <w:right w:val="single" w:sz="4" w:space="0" w:color="auto"/>
            </w:tcBorders>
            <w:shd w:val="clear" w:color="auto" w:fill="C6EFCE"/>
            <w:hideMark/>
          </w:tcPr>
          <w:p w14:paraId="3B914C0C" w14:textId="77777777" w:rsidR="008E6885" w:rsidRDefault="00EA24E7">
            <w:pPr>
              <w:pStyle w:val="P68B1DB1-Normal8"/>
              <w:spacing w:after="0" w:line="240" w:lineRule="auto"/>
              <w:rPr>
                <w:rFonts w:eastAsia="Times New Roman"/>
                <w:bCs/>
                <w:noProof/>
              </w:rPr>
            </w:pPr>
            <w:r>
              <w:rPr>
                <w:noProof/>
              </w:rPr>
              <w:t>5.2.1.r. Réforme de l'enseignement supérieur, de l'excellence scientifique et de la gouvernance</w:t>
            </w:r>
          </w:p>
        </w:tc>
        <w:tc>
          <w:tcPr>
            <w:tcW w:w="1382" w:type="dxa"/>
            <w:tcBorders>
              <w:top w:val="single" w:sz="4" w:space="0" w:color="auto"/>
              <w:left w:val="single" w:sz="4" w:space="0" w:color="auto"/>
              <w:bottom w:val="single" w:sz="4" w:space="0" w:color="auto"/>
              <w:right w:val="single" w:sz="4" w:space="0" w:color="auto"/>
            </w:tcBorders>
            <w:shd w:val="clear" w:color="auto" w:fill="C6EFCE"/>
            <w:hideMark/>
          </w:tcPr>
          <w:p w14:paraId="501F311D" w14:textId="77777777" w:rsidR="008E6885" w:rsidRDefault="00EA24E7">
            <w:pPr>
              <w:pStyle w:val="P68B1DB1-Normal9"/>
              <w:spacing w:after="0" w:line="240" w:lineRule="auto"/>
              <w:rPr>
                <w:rFonts w:eastAsia="Times New Roman"/>
                <w:noProof/>
              </w:rPr>
            </w:pPr>
            <w:r>
              <w:rPr>
                <w:noProof/>
              </w:rPr>
              <w:t>Objectif</w:t>
            </w:r>
          </w:p>
        </w:tc>
        <w:tc>
          <w:tcPr>
            <w:tcW w:w="1333" w:type="dxa"/>
            <w:tcBorders>
              <w:top w:val="single" w:sz="4" w:space="0" w:color="auto"/>
              <w:left w:val="single" w:sz="4" w:space="0" w:color="auto"/>
              <w:bottom w:val="single" w:sz="4" w:space="0" w:color="auto"/>
              <w:right w:val="single" w:sz="4" w:space="0" w:color="auto"/>
            </w:tcBorders>
            <w:shd w:val="clear" w:color="auto" w:fill="C6EFCE"/>
            <w:hideMark/>
          </w:tcPr>
          <w:p w14:paraId="57AC0DAF" w14:textId="77777777" w:rsidR="008E6885" w:rsidRDefault="00EA24E7">
            <w:pPr>
              <w:pStyle w:val="P68B1DB1-Normal9"/>
              <w:spacing w:after="0" w:line="240" w:lineRule="auto"/>
              <w:rPr>
                <w:rFonts w:eastAsia="Times New Roman"/>
                <w:noProof/>
              </w:rPr>
            </w:pPr>
            <w:r>
              <w:rPr>
                <w:noProof/>
              </w:rPr>
              <w:t>Consolidation des établissements d'enseignement supérieur</w:t>
            </w:r>
          </w:p>
        </w:tc>
        <w:tc>
          <w:tcPr>
            <w:tcW w:w="1762" w:type="dxa"/>
            <w:tcBorders>
              <w:top w:val="single" w:sz="4" w:space="0" w:color="auto"/>
              <w:left w:val="single" w:sz="4" w:space="0" w:color="auto"/>
              <w:bottom w:val="single" w:sz="4" w:space="0" w:color="auto"/>
              <w:right w:val="single" w:sz="4" w:space="0" w:color="auto"/>
            </w:tcBorders>
            <w:shd w:val="clear" w:color="auto" w:fill="C6EFCE"/>
            <w:hideMark/>
          </w:tcPr>
          <w:p w14:paraId="7E95DED8" w14:textId="77777777" w:rsidR="008E6885" w:rsidRDefault="00EA24E7">
            <w:pPr>
              <w:pStyle w:val="P68B1DB1-Normal9"/>
              <w:spacing w:after="0" w:line="240" w:lineRule="auto"/>
              <w:jc w:val="center"/>
              <w:rPr>
                <w:rFonts w:eastAsia="Times New Roman"/>
                <w:noProof/>
              </w:rPr>
            </w:pPr>
            <w:r>
              <w:rPr>
                <w:noProof/>
              </w:rPr>
              <w:t>Sans objet</w:t>
            </w:r>
          </w:p>
        </w:tc>
        <w:tc>
          <w:tcPr>
            <w:tcW w:w="1358" w:type="dxa"/>
            <w:tcBorders>
              <w:top w:val="single" w:sz="4" w:space="0" w:color="auto"/>
              <w:left w:val="single" w:sz="4" w:space="0" w:color="auto"/>
              <w:bottom w:val="single" w:sz="4" w:space="0" w:color="auto"/>
              <w:right w:val="single" w:sz="4" w:space="0" w:color="auto"/>
            </w:tcBorders>
            <w:shd w:val="clear" w:color="auto" w:fill="C6EFCE"/>
            <w:hideMark/>
          </w:tcPr>
          <w:p w14:paraId="5692F05D" w14:textId="77777777" w:rsidR="008E6885" w:rsidRDefault="00EA24E7">
            <w:pPr>
              <w:pStyle w:val="P68B1DB1-Normal9"/>
              <w:spacing w:after="0" w:line="240" w:lineRule="auto"/>
              <w:jc w:val="center"/>
              <w:rPr>
                <w:rFonts w:eastAsia="Times New Roman"/>
                <w:noProof/>
              </w:rPr>
            </w:pPr>
            <w:r>
              <w:rPr>
                <w:noProof/>
              </w:rPr>
              <w:t>Numéro</w:t>
            </w:r>
          </w:p>
        </w:tc>
        <w:tc>
          <w:tcPr>
            <w:tcW w:w="954" w:type="dxa"/>
            <w:tcBorders>
              <w:top w:val="single" w:sz="4" w:space="0" w:color="auto"/>
              <w:left w:val="single" w:sz="4" w:space="0" w:color="auto"/>
              <w:bottom w:val="single" w:sz="4" w:space="0" w:color="auto"/>
              <w:right w:val="single" w:sz="4" w:space="0" w:color="auto"/>
            </w:tcBorders>
            <w:shd w:val="clear" w:color="auto" w:fill="C6EFCE"/>
            <w:hideMark/>
          </w:tcPr>
          <w:p w14:paraId="5E1C0F34" w14:textId="77777777" w:rsidR="008E6885" w:rsidRDefault="00EA24E7">
            <w:pPr>
              <w:pStyle w:val="P68B1DB1-Normal9"/>
              <w:spacing w:after="0" w:line="240" w:lineRule="auto"/>
              <w:jc w:val="center"/>
              <w:rPr>
                <w:rFonts w:eastAsia="Times New Roman"/>
                <w:noProof/>
              </w:rPr>
            </w:pPr>
            <w:r>
              <w:rPr>
                <w:noProof/>
              </w:rPr>
              <w:t>0</w:t>
            </w:r>
          </w:p>
        </w:tc>
        <w:tc>
          <w:tcPr>
            <w:tcW w:w="972" w:type="dxa"/>
            <w:tcBorders>
              <w:top w:val="single" w:sz="4" w:space="0" w:color="auto"/>
              <w:left w:val="single" w:sz="4" w:space="0" w:color="auto"/>
              <w:bottom w:val="single" w:sz="4" w:space="0" w:color="auto"/>
              <w:right w:val="single" w:sz="4" w:space="0" w:color="auto"/>
            </w:tcBorders>
            <w:shd w:val="clear" w:color="auto" w:fill="C6EFCE"/>
            <w:hideMark/>
          </w:tcPr>
          <w:p w14:paraId="75801B8C" w14:textId="77777777" w:rsidR="008E6885" w:rsidRDefault="00EA24E7">
            <w:pPr>
              <w:pStyle w:val="P68B1DB1-Normal9"/>
              <w:spacing w:after="0" w:line="240" w:lineRule="auto"/>
              <w:jc w:val="center"/>
              <w:rPr>
                <w:rFonts w:eastAsia="Times New Roman"/>
                <w:noProof/>
              </w:rPr>
            </w:pPr>
            <w:r>
              <w:rPr>
                <w:noProof/>
              </w:rPr>
              <w:t>4</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4EADCC02" w14:textId="77777777" w:rsidR="008E6885" w:rsidRDefault="00EA24E7">
            <w:pPr>
              <w:pStyle w:val="P68B1DB1-Normal9"/>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hideMark/>
          </w:tcPr>
          <w:p w14:paraId="7C785632" w14:textId="77777777" w:rsidR="008E6885" w:rsidRDefault="00EA24E7">
            <w:pPr>
              <w:pStyle w:val="P68B1DB1-Normal9"/>
              <w:spacing w:after="0" w:line="240" w:lineRule="auto"/>
              <w:jc w:val="center"/>
              <w:rPr>
                <w:rFonts w:eastAsia="Times New Roman"/>
                <w:noProof/>
              </w:rPr>
            </w:pPr>
            <w:r>
              <w:rPr>
                <w:noProof/>
              </w:rPr>
              <w:t>2023</w:t>
            </w:r>
          </w:p>
        </w:tc>
        <w:tc>
          <w:tcPr>
            <w:tcW w:w="2757" w:type="dxa"/>
            <w:tcBorders>
              <w:top w:val="single" w:sz="4" w:space="0" w:color="auto"/>
              <w:left w:val="single" w:sz="4" w:space="0" w:color="auto"/>
              <w:bottom w:val="single" w:sz="4" w:space="0" w:color="auto"/>
              <w:right w:val="single" w:sz="4" w:space="0" w:color="auto"/>
            </w:tcBorders>
            <w:shd w:val="clear" w:color="auto" w:fill="C6EFCE"/>
          </w:tcPr>
          <w:p w14:paraId="2F8FA477" w14:textId="77777777" w:rsidR="008E6885" w:rsidRDefault="00EA24E7">
            <w:pPr>
              <w:pStyle w:val="P68B1DB1-Normal9"/>
              <w:spacing w:after="0" w:line="240" w:lineRule="auto"/>
              <w:jc w:val="both"/>
              <w:rPr>
                <w:rFonts w:eastAsia="Times New Roman"/>
                <w:noProof/>
              </w:rPr>
            </w:pPr>
            <w:r>
              <w:rPr>
                <w:noProof/>
              </w:rPr>
              <w:t>Plans de consolidation des établissements d'enseignement supérieur approuvés par le Ministère de l'éducation, y compris:</w:t>
            </w:r>
          </w:p>
          <w:p w14:paraId="34A53D14" w14:textId="77777777" w:rsidR="008E6885" w:rsidRDefault="00EA24E7">
            <w:pPr>
              <w:pStyle w:val="P68B1DB1-Normal9"/>
              <w:spacing w:after="0" w:line="240" w:lineRule="auto"/>
              <w:jc w:val="both"/>
              <w:rPr>
                <w:rFonts w:eastAsia="Times New Roman"/>
                <w:noProof/>
              </w:rPr>
            </w:pPr>
            <w:r>
              <w:rPr>
                <w:noProof/>
              </w:rPr>
              <w:t>- un plan d'investissement et le montant de la subvention de consolidation;</w:t>
            </w:r>
          </w:p>
          <w:p w14:paraId="1C8768C2" w14:textId="0FC82606" w:rsidR="008E6885" w:rsidRDefault="00EA24E7">
            <w:pPr>
              <w:pStyle w:val="P68B1DB1-Normal9"/>
              <w:spacing w:after="0" w:line="240" w:lineRule="auto"/>
              <w:jc w:val="both"/>
              <w:rPr>
                <w:rFonts w:eastAsia="Times New Roman"/>
                <w:noProof/>
              </w:rPr>
            </w:pPr>
            <w:r>
              <w:rPr>
                <w:noProof/>
              </w:rPr>
              <w:t>- les modalités et le calendrier de la consolidation interne ou externe de deux établissements d'enseignement supérieur ou plus, y compris par la formation de consortiums, si nécessaire pour la mise en œuvre de la consolidation externe.</w:t>
            </w:r>
          </w:p>
          <w:p w14:paraId="11CA8ABC" w14:textId="77777777" w:rsidR="008E6885" w:rsidRDefault="00EA24E7">
            <w:pPr>
              <w:pStyle w:val="P68B1DB1-Normal9"/>
              <w:spacing w:after="0" w:line="240" w:lineRule="auto"/>
              <w:jc w:val="both"/>
              <w:rPr>
                <w:rFonts w:eastAsia="Times New Roman"/>
                <w:noProof/>
              </w:rPr>
            </w:pPr>
            <w:r>
              <w:rPr>
                <w:noProof/>
              </w:rPr>
              <w:t>Les investissements suivants peuvent bénéficier d'un financement au titre de subventions à la consolidation:</w:t>
            </w:r>
          </w:p>
          <w:p w14:paraId="223900E0" w14:textId="77777777" w:rsidR="008E6885" w:rsidRDefault="00EA24E7">
            <w:pPr>
              <w:pStyle w:val="P68B1DB1-Normal9"/>
              <w:spacing w:after="0" w:line="240" w:lineRule="auto"/>
              <w:jc w:val="both"/>
              <w:rPr>
                <w:rFonts w:eastAsia="Times New Roman"/>
                <w:noProof/>
              </w:rPr>
            </w:pPr>
            <w:r>
              <w:rPr>
                <w:noProof/>
              </w:rPr>
              <w:t>1) les subventions pour les changements structurels;</w:t>
            </w:r>
          </w:p>
          <w:p w14:paraId="7FE35C26" w14:textId="798CC0D5" w:rsidR="008E6885" w:rsidRDefault="00EA24E7">
            <w:pPr>
              <w:pStyle w:val="P68B1DB1-Normal9"/>
              <w:spacing w:after="0" w:line="240" w:lineRule="auto"/>
              <w:jc w:val="both"/>
              <w:rPr>
                <w:rFonts w:eastAsia="Times New Roman"/>
                <w:noProof/>
              </w:rPr>
            </w:pPr>
            <w:r>
              <w:rPr>
                <w:noProof/>
              </w:rPr>
              <w:t>2) les subventions de «sortie» pour la cessation d'emploi avec du personnel académique âgé de plus de 65 ans;</w:t>
            </w:r>
          </w:p>
          <w:p w14:paraId="505328A5" w14:textId="77777777" w:rsidR="008E6885" w:rsidRDefault="00EA24E7">
            <w:pPr>
              <w:pStyle w:val="P68B1DB1-Normal9"/>
              <w:spacing w:after="0" w:line="240" w:lineRule="auto"/>
              <w:jc w:val="both"/>
              <w:rPr>
                <w:rFonts w:eastAsia="Times New Roman"/>
                <w:noProof/>
              </w:rPr>
            </w:pPr>
            <w:r>
              <w:rPr>
                <w:noProof/>
              </w:rPr>
              <w:t>3) Numérisation, développement technologique, amélioration des infrastructures de recherche et d'éducation (à l'exclusion de la construction);</w:t>
            </w:r>
          </w:p>
          <w:p w14:paraId="214B321C" w14:textId="77777777" w:rsidR="008E6885" w:rsidRDefault="00EA24E7">
            <w:pPr>
              <w:pStyle w:val="P68B1DB1-Normal9"/>
              <w:spacing w:after="0" w:line="240" w:lineRule="auto"/>
              <w:jc w:val="both"/>
              <w:rPr>
                <w:rFonts w:eastAsia="Times New Roman"/>
                <w:noProof/>
              </w:rPr>
            </w:pPr>
            <w:r>
              <w:rPr>
                <w:noProof/>
              </w:rPr>
              <w:t>4) Création de nouveaux programmes d'excellence.</w:t>
            </w:r>
          </w:p>
          <w:p w14:paraId="5CCE32CA" w14:textId="77777777" w:rsidR="008E6885" w:rsidRDefault="00EA24E7">
            <w:pPr>
              <w:pStyle w:val="P68B1DB1-Normal9"/>
              <w:spacing w:after="0" w:line="240" w:lineRule="auto"/>
              <w:jc w:val="both"/>
              <w:rPr>
                <w:rFonts w:eastAsia="Times New Roman"/>
                <w:noProof/>
              </w:rPr>
            </w:pPr>
            <w:r>
              <w:rPr>
                <w:noProof/>
              </w:rPr>
              <w:t>Les critères d'évaluation pour l'approbation des plans de consolidation comprennent:</w:t>
            </w:r>
          </w:p>
          <w:p w14:paraId="6D7F4852" w14:textId="77777777" w:rsidR="008E6885" w:rsidRDefault="00EA24E7">
            <w:pPr>
              <w:pStyle w:val="P68B1DB1-Normal9"/>
              <w:spacing w:after="0" w:line="240" w:lineRule="auto"/>
              <w:jc w:val="both"/>
              <w:rPr>
                <w:rFonts w:eastAsia="Times New Roman"/>
                <w:noProof/>
              </w:rPr>
            </w:pPr>
            <w:r>
              <w:rPr>
                <w:noProof/>
              </w:rPr>
              <w:t>- l'existence d'une stratégie commune de développement, le partage des ressources, l'élaboration de programmes d'études, la création de plateformes communes;</w:t>
            </w:r>
          </w:p>
          <w:p w14:paraId="470662EE" w14:textId="77777777" w:rsidR="008E6885" w:rsidRDefault="00EA24E7">
            <w:pPr>
              <w:pStyle w:val="P68B1DB1-Normal9"/>
              <w:spacing w:after="0" w:line="240" w:lineRule="auto"/>
              <w:jc w:val="both"/>
              <w:rPr>
                <w:rFonts w:eastAsia="Times New Roman"/>
                <w:noProof/>
              </w:rPr>
            </w:pPr>
            <w:r>
              <w:rPr>
                <w:noProof/>
              </w:rPr>
              <w:t>s'il existe un engagement en faveur d'une consolidation interne ou externe, y compris par la formation de consortiums, avec un calendrier clair.</w:t>
            </w:r>
          </w:p>
        </w:tc>
      </w:tr>
      <w:tr w:rsidR="008E6885" w14:paraId="14970F61" w14:textId="77777777" w:rsidTr="00D57C89">
        <w:tc>
          <w:tcPr>
            <w:tcW w:w="568" w:type="dxa"/>
            <w:shd w:val="clear" w:color="auto" w:fill="C6EFCE"/>
            <w:hideMark/>
          </w:tcPr>
          <w:p w14:paraId="494B2F05" w14:textId="77777777" w:rsidR="008E6885" w:rsidRDefault="00EA24E7">
            <w:pPr>
              <w:pStyle w:val="P68B1DB1-Normal9"/>
              <w:spacing w:after="0" w:line="240" w:lineRule="auto"/>
              <w:jc w:val="both"/>
              <w:rPr>
                <w:rFonts w:eastAsia="Times New Roman"/>
                <w:noProof/>
              </w:rPr>
            </w:pPr>
            <w:r>
              <w:rPr>
                <w:noProof/>
              </w:rPr>
              <w:t>162</w:t>
            </w:r>
          </w:p>
        </w:tc>
        <w:tc>
          <w:tcPr>
            <w:tcW w:w="2020" w:type="dxa"/>
            <w:shd w:val="clear" w:color="auto" w:fill="C6EFCE"/>
            <w:hideMark/>
          </w:tcPr>
          <w:p w14:paraId="6457C096" w14:textId="77777777" w:rsidR="008E6885" w:rsidRDefault="00EA24E7">
            <w:pPr>
              <w:pStyle w:val="P68B1DB1-Normal8"/>
              <w:spacing w:after="0" w:line="240" w:lineRule="auto"/>
              <w:rPr>
                <w:rFonts w:eastAsia="Times New Roman"/>
                <w:bCs/>
                <w:noProof/>
              </w:rPr>
            </w:pPr>
            <w:r>
              <w:rPr>
                <w:noProof/>
              </w:rPr>
              <w:t>5.2.1.r. Réforme de l'enseignement supérieur, de l'excellence scientifique et de la gouvernance</w:t>
            </w:r>
          </w:p>
        </w:tc>
        <w:tc>
          <w:tcPr>
            <w:tcW w:w="1382" w:type="dxa"/>
            <w:shd w:val="clear" w:color="auto" w:fill="C6EFCE"/>
            <w:hideMark/>
          </w:tcPr>
          <w:p w14:paraId="1584184E" w14:textId="77777777" w:rsidR="008E6885" w:rsidRDefault="00EA24E7">
            <w:pPr>
              <w:pStyle w:val="P68B1DB1-Normal9"/>
              <w:spacing w:after="0" w:line="240" w:lineRule="auto"/>
              <w:rPr>
                <w:rFonts w:eastAsia="Times New Roman"/>
                <w:noProof/>
              </w:rPr>
            </w:pPr>
            <w:r>
              <w:rPr>
                <w:noProof/>
              </w:rPr>
              <w:t>Objectif</w:t>
            </w:r>
          </w:p>
        </w:tc>
        <w:tc>
          <w:tcPr>
            <w:tcW w:w="1333" w:type="dxa"/>
            <w:shd w:val="clear" w:color="auto" w:fill="C6EFCE"/>
            <w:hideMark/>
          </w:tcPr>
          <w:p w14:paraId="07A52BB3" w14:textId="77777777" w:rsidR="008E6885" w:rsidRDefault="00EA24E7">
            <w:pPr>
              <w:pStyle w:val="P68B1DB1-Normal9"/>
              <w:spacing w:after="0" w:line="240" w:lineRule="auto"/>
              <w:rPr>
                <w:rFonts w:eastAsia="Times New Roman"/>
                <w:noProof/>
              </w:rPr>
            </w:pPr>
            <w:r>
              <w:rPr>
                <w:noProof/>
              </w:rPr>
              <w:t>Changements de gouvernance dans les universités publiques</w:t>
            </w:r>
          </w:p>
        </w:tc>
        <w:tc>
          <w:tcPr>
            <w:tcW w:w="1762" w:type="dxa"/>
            <w:shd w:val="clear" w:color="auto" w:fill="C6EFCE"/>
            <w:hideMark/>
          </w:tcPr>
          <w:p w14:paraId="668A30D1" w14:textId="77777777" w:rsidR="008E6885" w:rsidRDefault="00EA24E7">
            <w:pPr>
              <w:pStyle w:val="P68B1DB1-Normal9"/>
              <w:spacing w:after="0" w:line="240" w:lineRule="auto"/>
              <w:jc w:val="center"/>
              <w:rPr>
                <w:rFonts w:eastAsia="Times New Roman"/>
                <w:noProof/>
              </w:rPr>
            </w:pPr>
            <w:r>
              <w:rPr>
                <w:noProof/>
              </w:rPr>
              <w:t>Sans objet</w:t>
            </w:r>
          </w:p>
        </w:tc>
        <w:tc>
          <w:tcPr>
            <w:tcW w:w="1358" w:type="dxa"/>
            <w:shd w:val="clear" w:color="auto" w:fill="C6EFCE"/>
            <w:hideMark/>
          </w:tcPr>
          <w:p w14:paraId="5E7FA401" w14:textId="77777777" w:rsidR="008E6885" w:rsidRDefault="00EA24E7">
            <w:pPr>
              <w:pStyle w:val="P68B1DB1-Normal9"/>
              <w:spacing w:after="0" w:line="240" w:lineRule="auto"/>
              <w:jc w:val="center"/>
              <w:rPr>
                <w:rFonts w:eastAsia="Times New Roman"/>
                <w:noProof/>
              </w:rPr>
            </w:pPr>
            <w:r>
              <w:rPr>
                <w:noProof/>
              </w:rPr>
              <w:t>Numéro</w:t>
            </w:r>
          </w:p>
        </w:tc>
        <w:tc>
          <w:tcPr>
            <w:tcW w:w="954" w:type="dxa"/>
            <w:shd w:val="clear" w:color="auto" w:fill="C6EFCE"/>
            <w:hideMark/>
          </w:tcPr>
          <w:p w14:paraId="61C3B1A6" w14:textId="77777777" w:rsidR="008E6885" w:rsidRDefault="00EA24E7">
            <w:pPr>
              <w:pStyle w:val="P68B1DB1-Normal9"/>
              <w:spacing w:after="0" w:line="240" w:lineRule="auto"/>
              <w:jc w:val="center"/>
              <w:rPr>
                <w:rFonts w:eastAsia="Times New Roman"/>
                <w:noProof/>
              </w:rPr>
            </w:pPr>
            <w:r>
              <w:rPr>
                <w:noProof/>
              </w:rPr>
              <w:t>0</w:t>
            </w:r>
          </w:p>
        </w:tc>
        <w:tc>
          <w:tcPr>
            <w:tcW w:w="972" w:type="dxa"/>
            <w:shd w:val="clear" w:color="auto" w:fill="C6EFCE"/>
            <w:hideMark/>
          </w:tcPr>
          <w:p w14:paraId="2B830DBD" w14:textId="77777777" w:rsidR="008E6885" w:rsidRDefault="00EA24E7">
            <w:pPr>
              <w:pStyle w:val="P68B1DB1-Normal9"/>
              <w:spacing w:after="0" w:line="240" w:lineRule="auto"/>
              <w:jc w:val="center"/>
              <w:rPr>
                <w:rFonts w:eastAsia="Times New Roman"/>
                <w:noProof/>
              </w:rPr>
            </w:pPr>
            <w:r>
              <w:rPr>
                <w:noProof/>
              </w:rPr>
              <w:t>10</w:t>
            </w:r>
          </w:p>
        </w:tc>
        <w:tc>
          <w:tcPr>
            <w:tcW w:w="992" w:type="dxa"/>
            <w:shd w:val="clear" w:color="auto" w:fill="C6EFCE"/>
            <w:hideMark/>
          </w:tcPr>
          <w:p w14:paraId="5DB2DCBB" w14:textId="77777777" w:rsidR="008E6885" w:rsidRDefault="00EA24E7">
            <w:pPr>
              <w:pStyle w:val="P68B1DB1-Normal9"/>
              <w:spacing w:after="0" w:line="240" w:lineRule="auto"/>
              <w:jc w:val="center"/>
              <w:rPr>
                <w:noProof/>
              </w:rPr>
            </w:pPr>
            <w:r>
              <w:rPr>
                <w:noProof/>
              </w:rPr>
              <w:t>T3</w:t>
            </w:r>
          </w:p>
        </w:tc>
        <w:tc>
          <w:tcPr>
            <w:tcW w:w="709" w:type="dxa"/>
            <w:shd w:val="clear" w:color="auto" w:fill="C6EFCE"/>
            <w:hideMark/>
          </w:tcPr>
          <w:p w14:paraId="31CAE04E" w14:textId="77777777" w:rsidR="008E6885" w:rsidRDefault="00EA24E7">
            <w:pPr>
              <w:pStyle w:val="P68B1DB1-Normal9"/>
              <w:spacing w:after="0" w:line="240" w:lineRule="auto"/>
              <w:jc w:val="center"/>
              <w:rPr>
                <w:rFonts w:eastAsia="Times New Roman"/>
                <w:noProof/>
              </w:rPr>
            </w:pPr>
            <w:r>
              <w:rPr>
                <w:noProof/>
              </w:rPr>
              <w:t>2026</w:t>
            </w:r>
          </w:p>
        </w:tc>
        <w:tc>
          <w:tcPr>
            <w:tcW w:w="2757" w:type="dxa"/>
            <w:shd w:val="clear" w:color="auto" w:fill="C6EFCE"/>
            <w:hideMark/>
          </w:tcPr>
          <w:p w14:paraId="4F0BD92A" w14:textId="77777777" w:rsidR="008E6885" w:rsidRDefault="00EA24E7">
            <w:pPr>
              <w:pStyle w:val="P68B1DB1-Normal9"/>
              <w:spacing w:after="0" w:line="240" w:lineRule="auto"/>
              <w:jc w:val="both"/>
              <w:rPr>
                <w:rFonts w:eastAsia="Times New Roman"/>
                <w:noProof/>
              </w:rPr>
            </w:pPr>
            <w:r>
              <w:rPr>
                <w:noProof/>
              </w:rPr>
              <w:t>Des documents de gouvernance (par exemple des statuts) de 10 universités publiques seront créés ou mis à jour. Ils comprennent (i) les procédures d'élection du recteur et (ii) la répartition des responsabilités entre les organes directeurs internes, y compris la séparation de la prise de décision académique et de la prise de décision stratégique.</w:t>
            </w:r>
          </w:p>
        </w:tc>
      </w:tr>
      <w:tr w:rsidR="008E6885" w14:paraId="10E234B4" w14:textId="77777777" w:rsidTr="00D57C89">
        <w:tc>
          <w:tcPr>
            <w:tcW w:w="568" w:type="dxa"/>
            <w:shd w:val="clear" w:color="auto" w:fill="C6EFCE"/>
            <w:hideMark/>
          </w:tcPr>
          <w:p w14:paraId="0235BE08" w14:textId="77777777" w:rsidR="008E6885" w:rsidRDefault="00EA24E7">
            <w:pPr>
              <w:pStyle w:val="P68B1DB1-Normal9"/>
              <w:spacing w:after="0" w:line="240" w:lineRule="auto"/>
              <w:jc w:val="both"/>
              <w:rPr>
                <w:rFonts w:eastAsia="Times New Roman"/>
                <w:noProof/>
              </w:rPr>
            </w:pPr>
            <w:r>
              <w:rPr>
                <w:noProof/>
              </w:rPr>
              <w:t>163</w:t>
            </w:r>
          </w:p>
        </w:tc>
        <w:tc>
          <w:tcPr>
            <w:tcW w:w="2020" w:type="dxa"/>
            <w:shd w:val="clear" w:color="auto" w:fill="C6EFCE"/>
            <w:hideMark/>
          </w:tcPr>
          <w:p w14:paraId="62C7D873" w14:textId="77777777" w:rsidR="008E6885" w:rsidRDefault="00EA24E7">
            <w:pPr>
              <w:pStyle w:val="P68B1DB1-Normal8"/>
              <w:spacing w:after="0" w:line="240" w:lineRule="auto"/>
              <w:rPr>
                <w:rFonts w:eastAsia="Times New Roman"/>
                <w:bCs/>
                <w:noProof/>
              </w:rPr>
            </w:pPr>
            <w:r>
              <w:rPr>
                <w:noProof/>
              </w:rPr>
              <w:t>5.2.1.1.i. Subventions de recherche, de développement et de consolidation</w:t>
            </w:r>
          </w:p>
        </w:tc>
        <w:tc>
          <w:tcPr>
            <w:tcW w:w="1382" w:type="dxa"/>
            <w:shd w:val="clear" w:color="auto" w:fill="C6EFCE"/>
            <w:hideMark/>
          </w:tcPr>
          <w:p w14:paraId="27C79FAE" w14:textId="77777777" w:rsidR="008E6885" w:rsidRDefault="00EA24E7">
            <w:pPr>
              <w:pStyle w:val="P68B1DB1-Normal9"/>
              <w:spacing w:after="0" w:line="240" w:lineRule="auto"/>
              <w:rPr>
                <w:rFonts w:eastAsia="Times New Roman"/>
                <w:noProof/>
              </w:rPr>
            </w:pPr>
            <w:r>
              <w:rPr>
                <w:noProof/>
              </w:rPr>
              <w:t>Objectif</w:t>
            </w:r>
          </w:p>
        </w:tc>
        <w:tc>
          <w:tcPr>
            <w:tcW w:w="1333" w:type="dxa"/>
            <w:shd w:val="clear" w:color="auto" w:fill="C6EFCE"/>
            <w:hideMark/>
          </w:tcPr>
          <w:p w14:paraId="30458FE8" w14:textId="77777777" w:rsidR="008E6885" w:rsidRDefault="00EA24E7">
            <w:pPr>
              <w:pStyle w:val="P68B1DB1-Normal9"/>
              <w:spacing w:after="0" w:line="240" w:lineRule="auto"/>
              <w:rPr>
                <w:rFonts w:eastAsia="Times New Roman"/>
                <w:noProof/>
              </w:rPr>
            </w:pPr>
            <w:r>
              <w:rPr>
                <w:noProof/>
              </w:rPr>
              <w:t xml:space="preserve">Décisions de paiement finales pour les plans de consolidation </w:t>
            </w:r>
          </w:p>
        </w:tc>
        <w:tc>
          <w:tcPr>
            <w:tcW w:w="1762" w:type="dxa"/>
            <w:shd w:val="clear" w:color="auto" w:fill="C6EFCE"/>
            <w:hideMark/>
          </w:tcPr>
          <w:p w14:paraId="77AE8BDF" w14:textId="77777777" w:rsidR="008E6885" w:rsidRDefault="00EA24E7">
            <w:pPr>
              <w:pStyle w:val="P68B1DB1-Normal9"/>
              <w:spacing w:after="0" w:line="240" w:lineRule="auto"/>
              <w:jc w:val="center"/>
              <w:rPr>
                <w:rFonts w:eastAsia="Times New Roman"/>
                <w:noProof/>
              </w:rPr>
            </w:pPr>
            <w:r>
              <w:rPr>
                <w:noProof/>
              </w:rPr>
              <w:t>Sans objet</w:t>
            </w:r>
          </w:p>
        </w:tc>
        <w:tc>
          <w:tcPr>
            <w:tcW w:w="1358" w:type="dxa"/>
            <w:shd w:val="clear" w:color="auto" w:fill="C6EFCE"/>
            <w:hideMark/>
          </w:tcPr>
          <w:p w14:paraId="7E38ECFC" w14:textId="77777777" w:rsidR="008E6885" w:rsidRDefault="00EA24E7">
            <w:pPr>
              <w:pStyle w:val="P68B1DB1-Normal9"/>
              <w:spacing w:after="0" w:line="240" w:lineRule="auto"/>
              <w:jc w:val="center"/>
              <w:rPr>
                <w:rFonts w:eastAsia="Times New Roman"/>
                <w:noProof/>
              </w:rPr>
            </w:pPr>
            <w:r>
              <w:rPr>
                <w:noProof/>
              </w:rPr>
              <w:t>Nombre de décisions de paiement final pour les plans de consolidation</w:t>
            </w:r>
          </w:p>
        </w:tc>
        <w:tc>
          <w:tcPr>
            <w:tcW w:w="954" w:type="dxa"/>
            <w:shd w:val="clear" w:color="auto" w:fill="C6EFCE"/>
            <w:hideMark/>
          </w:tcPr>
          <w:p w14:paraId="68E86CDD" w14:textId="77777777" w:rsidR="008E6885" w:rsidRDefault="00EA24E7">
            <w:pPr>
              <w:pStyle w:val="P68B1DB1-Normal9"/>
              <w:spacing w:after="0" w:line="240" w:lineRule="auto"/>
              <w:jc w:val="center"/>
              <w:rPr>
                <w:rFonts w:eastAsia="Times New Roman"/>
                <w:noProof/>
              </w:rPr>
            </w:pPr>
            <w:r>
              <w:rPr>
                <w:noProof/>
              </w:rPr>
              <w:t>0</w:t>
            </w:r>
          </w:p>
        </w:tc>
        <w:tc>
          <w:tcPr>
            <w:tcW w:w="972" w:type="dxa"/>
            <w:shd w:val="clear" w:color="auto" w:fill="C6EFCE"/>
            <w:hideMark/>
          </w:tcPr>
          <w:p w14:paraId="37A55B16" w14:textId="77777777" w:rsidR="008E6885" w:rsidRDefault="00EA24E7">
            <w:pPr>
              <w:pStyle w:val="P68B1DB1-Normal9"/>
              <w:spacing w:after="0" w:line="240" w:lineRule="auto"/>
              <w:jc w:val="center"/>
              <w:rPr>
                <w:rFonts w:eastAsia="Times New Roman"/>
                <w:noProof/>
              </w:rPr>
            </w:pPr>
            <w:r>
              <w:rPr>
                <w:noProof/>
              </w:rPr>
              <w:t>4</w:t>
            </w:r>
          </w:p>
        </w:tc>
        <w:tc>
          <w:tcPr>
            <w:tcW w:w="992" w:type="dxa"/>
            <w:shd w:val="clear" w:color="auto" w:fill="C6EFCE"/>
            <w:hideMark/>
          </w:tcPr>
          <w:p w14:paraId="5DA43E0C" w14:textId="77777777" w:rsidR="008E6885" w:rsidRDefault="00EA24E7">
            <w:pPr>
              <w:pStyle w:val="P68B1DB1-Normal9"/>
              <w:spacing w:after="0" w:line="240" w:lineRule="auto"/>
              <w:jc w:val="center"/>
              <w:rPr>
                <w:noProof/>
              </w:rPr>
            </w:pPr>
            <w:r>
              <w:rPr>
                <w:noProof/>
              </w:rPr>
              <w:t>T3</w:t>
            </w:r>
          </w:p>
        </w:tc>
        <w:tc>
          <w:tcPr>
            <w:tcW w:w="709" w:type="dxa"/>
            <w:shd w:val="clear" w:color="auto" w:fill="C6EFCE"/>
            <w:hideMark/>
          </w:tcPr>
          <w:p w14:paraId="00ED3126" w14:textId="77777777" w:rsidR="008E6885" w:rsidRDefault="00EA24E7">
            <w:pPr>
              <w:pStyle w:val="P68B1DB1-Normal9"/>
              <w:spacing w:after="0" w:line="240" w:lineRule="auto"/>
              <w:jc w:val="center"/>
              <w:rPr>
                <w:rFonts w:eastAsia="Times New Roman"/>
                <w:noProof/>
              </w:rPr>
            </w:pPr>
            <w:r>
              <w:rPr>
                <w:noProof/>
              </w:rPr>
              <w:t>2026</w:t>
            </w:r>
          </w:p>
        </w:tc>
        <w:tc>
          <w:tcPr>
            <w:tcW w:w="2757" w:type="dxa"/>
            <w:shd w:val="clear" w:color="auto" w:fill="C6EFCE"/>
            <w:hideMark/>
          </w:tcPr>
          <w:p w14:paraId="268329AA" w14:textId="77777777" w:rsidR="008E6885" w:rsidRDefault="00EA24E7">
            <w:pPr>
              <w:pStyle w:val="P68B1DB1-Normal9"/>
              <w:spacing w:after="0" w:line="240" w:lineRule="auto"/>
              <w:jc w:val="both"/>
              <w:rPr>
                <w:rFonts w:eastAsia="Times New Roman"/>
                <w:noProof/>
              </w:rPr>
            </w:pPr>
            <w:r>
              <w:rPr>
                <w:noProof/>
              </w:rPr>
              <w:t>Décisions finales de paiement émises par l'Agence centrale de financement et de passation des contrats pour la consolidation de quatre établissements d'enseignement supérieur ou établissements scientifiques.</w:t>
            </w:r>
          </w:p>
        </w:tc>
      </w:tr>
      <w:tr w:rsidR="008E6885" w14:paraId="49A67278" w14:textId="77777777" w:rsidTr="00D57C89">
        <w:tc>
          <w:tcPr>
            <w:tcW w:w="568" w:type="dxa"/>
            <w:shd w:val="clear" w:color="auto" w:fill="C6EFCE"/>
            <w:hideMark/>
          </w:tcPr>
          <w:p w14:paraId="510CA97B" w14:textId="77777777" w:rsidR="008E6885" w:rsidRDefault="00EA24E7">
            <w:pPr>
              <w:pStyle w:val="P68B1DB1-Normal9"/>
              <w:spacing w:after="0" w:line="240" w:lineRule="auto"/>
              <w:jc w:val="both"/>
              <w:rPr>
                <w:rFonts w:eastAsia="Times New Roman"/>
                <w:noProof/>
              </w:rPr>
            </w:pPr>
            <w:r>
              <w:rPr>
                <w:noProof/>
              </w:rPr>
              <w:t>164</w:t>
            </w:r>
          </w:p>
        </w:tc>
        <w:tc>
          <w:tcPr>
            <w:tcW w:w="2020" w:type="dxa"/>
            <w:shd w:val="clear" w:color="auto" w:fill="C6EFCE"/>
            <w:hideMark/>
          </w:tcPr>
          <w:p w14:paraId="6DCEABD6" w14:textId="77777777" w:rsidR="008E6885" w:rsidRDefault="00EA24E7">
            <w:pPr>
              <w:pStyle w:val="P68B1DB1-Normal8"/>
              <w:spacing w:after="0" w:line="240" w:lineRule="auto"/>
              <w:rPr>
                <w:rFonts w:eastAsia="Times New Roman"/>
                <w:bCs/>
                <w:noProof/>
              </w:rPr>
            </w:pPr>
            <w:r>
              <w:rPr>
                <w:noProof/>
              </w:rPr>
              <w:t>5.2.1.1.i. Subventions de recherche, de développement et de consolidation</w:t>
            </w:r>
          </w:p>
        </w:tc>
        <w:tc>
          <w:tcPr>
            <w:tcW w:w="1382" w:type="dxa"/>
            <w:shd w:val="clear" w:color="auto" w:fill="C6EFCE"/>
            <w:hideMark/>
          </w:tcPr>
          <w:p w14:paraId="2CA3124D" w14:textId="77777777" w:rsidR="008E6885" w:rsidRDefault="00EA24E7">
            <w:pPr>
              <w:pStyle w:val="P68B1DB1-Normal9"/>
              <w:spacing w:after="0" w:line="240" w:lineRule="auto"/>
              <w:rPr>
                <w:rFonts w:eastAsia="Times New Roman"/>
                <w:noProof/>
              </w:rPr>
            </w:pPr>
            <w:r>
              <w:rPr>
                <w:noProof/>
              </w:rPr>
              <w:t>Objectif</w:t>
            </w:r>
          </w:p>
        </w:tc>
        <w:tc>
          <w:tcPr>
            <w:tcW w:w="1333" w:type="dxa"/>
            <w:shd w:val="clear" w:color="auto" w:fill="C6EFCE"/>
            <w:hideMark/>
          </w:tcPr>
          <w:p w14:paraId="0701DAA2" w14:textId="77777777" w:rsidR="008E6885" w:rsidRDefault="00EA24E7">
            <w:pPr>
              <w:pStyle w:val="P68B1DB1-Normal9"/>
              <w:spacing w:after="0" w:line="240" w:lineRule="auto"/>
              <w:rPr>
                <w:rFonts w:eastAsia="Times New Roman"/>
                <w:noProof/>
              </w:rPr>
            </w:pPr>
            <w:r>
              <w:rPr>
                <w:noProof/>
              </w:rPr>
              <w:t>Signature de conventions de subvention de carrière universitaire et de recherche</w:t>
            </w:r>
          </w:p>
        </w:tc>
        <w:tc>
          <w:tcPr>
            <w:tcW w:w="1762" w:type="dxa"/>
            <w:shd w:val="clear" w:color="auto" w:fill="C6EFCE"/>
            <w:hideMark/>
          </w:tcPr>
          <w:p w14:paraId="6D2D3757" w14:textId="77777777" w:rsidR="008E6885" w:rsidRDefault="00EA24E7">
            <w:pPr>
              <w:pStyle w:val="P68B1DB1-Normal9"/>
              <w:spacing w:after="0" w:line="240" w:lineRule="auto"/>
              <w:jc w:val="center"/>
              <w:rPr>
                <w:rFonts w:eastAsia="Times New Roman"/>
                <w:noProof/>
              </w:rPr>
            </w:pPr>
            <w:r>
              <w:rPr>
                <w:noProof/>
              </w:rPr>
              <w:t>Sans objet</w:t>
            </w:r>
          </w:p>
        </w:tc>
        <w:tc>
          <w:tcPr>
            <w:tcW w:w="1358" w:type="dxa"/>
            <w:shd w:val="clear" w:color="auto" w:fill="C6EFCE"/>
            <w:hideMark/>
          </w:tcPr>
          <w:p w14:paraId="7AB0F12C" w14:textId="77777777" w:rsidR="008E6885" w:rsidRDefault="00EA24E7">
            <w:pPr>
              <w:pStyle w:val="P68B1DB1-Normal9"/>
              <w:spacing w:after="0" w:line="240" w:lineRule="auto"/>
              <w:jc w:val="center"/>
              <w:rPr>
                <w:rFonts w:eastAsia="Times New Roman"/>
                <w:noProof/>
              </w:rPr>
            </w:pPr>
            <w:r>
              <w:rPr>
                <w:noProof/>
              </w:rPr>
              <w:t>Nombre de conventions de subvention de carrière universitaire et de recherche signées</w:t>
            </w:r>
          </w:p>
        </w:tc>
        <w:tc>
          <w:tcPr>
            <w:tcW w:w="954" w:type="dxa"/>
            <w:shd w:val="clear" w:color="auto" w:fill="C6EFCE"/>
            <w:hideMark/>
          </w:tcPr>
          <w:p w14:paraId="71212CD4" w14:textId="77777777" w:rsidR="008E6885" w:rsidRDefault="00EA24E7">
            <w:pPr>
              <w:pStyle w:val="P68B1DB1-Normal9"/>
              <w:spacing w:after="0" w:line="240" w:lineRule="auto"/>
              <w:jc w:val="center"/>
              <w:rPr>
                <w:rFonts w:eastAsia="Times New Roman"/>
                <w:noProof/>
              </w:rPr>
            </w:pPr>
            <w:r>
              <w:rPr>
                <w:noProof/>
              </w:rPr>
              <w:t>0</w:t>
            </w:r>
          </w:p>
        </w:tc>
        <w:tc>
          <w:tcPr>
            <w:tcW w:w="972" w:type="dxa"/>
            <w:shd w:val="clear" w:color="auto" w:fill="C6EFCE"/>
            <w:hideMark/>
          </w:tcPr>
          <w:p w14:paraId="20C1A6FF" w14:textId="77777777" w:rsidR="008E6885" w:rsidRDefault="00EA24E7">
            <w:pPr>
              <w:pStyle w:val="P68B1DB1-Normal9"/>
              <w:spacing w:after="0" w:line="240" w:lineRule="auto"/>
              <w:jc w:val="center"/>
              <w:rPr>
                <w:rFonts w:eastAsia="Times New Roman"/>
                <w:noProof/>
              </w:rPr>
            </w:pPr>
            <w:r>
              <w:rPr>
                <w:noProof/>
              </w:rPr>
              <w:t>405</w:t>
            </w:r>
          </w:p>
        </w:tc>
        <w:tc>
          <w:tcPr>
            <w:tcW w:w="992" w:type="dxa"/>
            <w:shd w:val="clear" w:color="auto" w:fill="C6EFCE"/>
            <w:hideMark/>
          </w:tcPr>
          <w:p w14:paraId="4030405B" w14:textId="77777777" w:rsidR="008E6885" w:rsidRDefault="00EA24E7">
            <w:pPr>
              <w:pStyle w:val="P68B1DB1-Normal9"/>
              <w:spacing w:after="0" w:line="240" w:lineRule="auto"/>
              <w:jc w:val="center"/>
              <w:rPr>
                <w:rFonts w:eastAsia="Times New Roman"/>
                <w:noProof/>
              </w:rPr>
            </w:pPr>
            <w:r>
              <w:rPr>
                <w:noProof/>
              </w:rPr>
              <w:t>T3</w:t>
            </w:r>
          </w:p>
        </w:tc>
        <w:tc>
          <w:tcPr>
            <w:tcW w:w="709" w:type="dxa"/>
            <w:shd w:val="clear" w:color="auto" w:fill="C6EFCE"/>
            <w:hideMark/>
          </w:tcPr>
          <w:p w14:paraId="1621B3FC" w14:textId="77777777" w:rsidR="008E6885" w:rsidRDefault="00EA24E7">
            <w:pPr>
              <w:pStyle w:val="P68B1DB1-Normal9"/>
              <w:spacing w:after="0" w:line="240" w:lineRule="auto"/>
              <w:jc w:val="center"/>
              <w:rPr>
                <w:rFonts w:eastAsia="Times New Roman"/>
                <w:noProof/>
              </w:rPr>
            </w:pPr>
            <w:r>
              <w:rPr>
                <w:noProof/>
              </w:rPr>
              <w:t>2026</w:t>
            </w:r>
          </w:p>
        </w:tc>
        <w:tc>
          <w:tcPr>
            <w:tcW w:w="2757" w:type="dxa"/>
            <w:shd w:val="clear" w:color="auto" w:fill="C6EFCE"/>
            <w:hideMark/>
          </w:tcPr>
          <w:p w14:paraId="2602849E" w14:textId="7099C3C1" w:rsidR="008E6885" w:rsidRDefault="00EA24E7">
            <w:pPr>
              <w:pStyle w:val="P68B1DB1-Normal9"/>
              <w:spacing w:after="0" w:line="240" w:lineRule="auto"/>
              <w:jc w:val="both"/>
              <w:rPr>
                <w:rFonts w:eastAsia="Times New Roman"/>
                <w:noProof/>
              </w:rPr>
            </w:pPr>
            <w:r>
              <w:rPr>
                <w:noProof/>
              </w:rPr>
              <w:t>Les établissements d'enseignement supérieur ou les instituts de recherche ont signé 315 conventions de subvention de carrière académique et 90 conventions de subvention pour la recherche.</w:t>
            </w:r>
          </w:p>
        </w:tc>
      </w:tr>
    </w:tbl>
    <w:p w14:paraId="200A5682" w14:textId="77777777" w:rsidR="008E6885" w:rsidRDefault="008E6885">
      <w:pPr>
        <w:spacing w:before="120" w:after="120" w:line="240" w:lineRule="auto"/>
        <w:jc w:val="both"/>
        <w:rPr>
          <w:rFonts w:ascii="Times New Roman" w:eastAsia="Calibri" w:hAnsi="Times New Roman" w:cs="Times New Roman"/>
          <w:noProof/>
          <w:kern w:val="0"/>
          <w14:ligatures w14:val="none"/>
        </w:rPr>
        <w:sectPr w:rsidR="008E6885" w:rsidSect="0048758A">
          <w:headerReference w:type="default" r:id="rId37"/>
          <w:footerReference w:type="default" r:id="rId38"/>
          <w:pgSz w:w="16838" w:h="11906" w:orient="landscape"/>
          <w:pgMar w:top="1440" w:right="1440" w:bottom="1440" w:left="1440" w:header="708" w:footer="708" w:gutter="0"/>
          <w:cols w:space="708"/>
          <w:docGrid w:linePitch="360"/>
        </w:sectPr>
      </w:pPr>
    </w:p>
    <w:p w14:paraId="3D3F481A" w14:textId="13013F55" w:rsidR="008E6885" w:rsidRDefault="00EA24E7">
      <w:pPr>
        <w:pStyle w:val="P68B1DB1-Normal3"/>
        <w:keepNext/>
        <w:spacing w:after="240" w:line="240" w:lineRule="auto"/>
        <w:outlineLvl w:val="0"/>
        <w:rPr>
          <w:rFonts w:eastAsia="MS Gothic" w:cs="Times New Roman"/>
          <w:noProof/>
          <w:szCs w:val="28"/>
        </w:rPr>
      </w:pPr>
      <w:r>
        <w:rPr>
          <w:noProof/>
        </w:rPr>
        <w:t>F. Élément 6: RÈGLE DE DROIT</w:t>
      </w:r>
    </w:p>
    <w:p w14:paraId="3FBDEBC8" w14:textId="77777777" w:rsidR="008E6885" w:rsidRDefault="00EA24E7">
      <w:pPr>
        <w:pStyle w:val="P68B1DB1-Normal5"/>
        <w:spacing w:after="120" w:line="240" w:lineRule="auto"/>
        <w:jc w:val="both"/>
        <w:rPr>
          <w:rFonts w:cs="Times New Roman"/>
          <w:noProof/>
        </w:rPr>
      </w:pPr>
      <w:r>
        <w:rPr>
          <w:noProof/>
        </w:rPr>
        <w:t xml:space="preserve">Ce volet du plan letton pour la reprise et la résilience se compose de quatre sous-parties qui traitent des principaux défis en matière de respect des obligations fiscales, de répression de la criminalité économique, d’administration publique et de marchés publics. Les principaux défis abordés en matière de conformité fiscale sont les salaires et l'emploi non déclarés, la fraude fiscale et la contrebande. Les principaux défis liés à la criminalité économique sont le manque d'enquêteurs, de procureurs et de juges possédant des connaissances spécifiques dans les domaines de la criminalité économique. Les principaux défis liés à l’administration publique sont la nécessité de renforcer et d’améliorer ses capacités, son efficacité, sa transparence et sa responsabilité. Si, dans l’ensemble, les performances de la Lettonie dans le domaine des marchés publics sont satisfaisantes, plusieurs défis nécessitent une attention accrue, à savoir la nécessité d’accroître l’efficacité, la transparence et la qualité des procédures de passation de marchés publics, de favoriser la concurrence et de renforcer les capacités humaines et analytiques, y compris les qualifications professionnelles des acheteurs. </w:t>
      </w:r>
    </w:p>
    <w:p w14:paraId="740B256E" w14:textId="77777777" w:rsidR="008E6885" w:rsidRDefault="00EA24E7">
      <w:pPr>
        <w:pStyle w:val="P68B1DB1-Normal5"/>
        <w:spacing w:after="120" w:line="240" w:lineRule="auto"/>
        <w:jc w:val="both"/>
        <w:rPr>
          <w:rFonts w:cs="Times New Roman"/>
          <w:noProof/>
        </w:rPr>
      </w:pPr>
      <w:r>
        <w:rPr>
          <w:noProof/>
        </w:rPr>
        <w:t>Les objectifs du volet sont de réduire l’économie souterraine et de favoriser un environnement plus équitable pour les entreprises, d’améliorer la qualité et l’efficacité du système judiciaire, en particulier en ce qui concerne la lutte contre la criminalité économique, de moderniser l’administration publique ainsi que d’améliorer la qualité, l’efficacité et l’intégrité des marchés publics.</w:t>
      </w:r>
    </w:p>
    <w:p w14:paraId="6AA7DBA1" w14:textId="77777777" w:rsidR="008E6885" w:rsidRDefault="00EA24E7">
      <w:pPr>
        <w:pStyle w:val="P68B1DB1-Normal5"/>
        <w:spacing w:after="120" w:line="240" w:lineRule="auto"/>
        <w:jc w:val="both"/>
        <w:rPr>
          <w:rFonts w:cs="Times New Roman"/>
          <w:noProof/>
        </w:rPr>
      </w:pPr>
      <w:r>
        <w:rPr>
          <w:noProof/>
        </w:rPr>
        <w:t xml:space="preserve">Le volet soutient la mise en œuvre des recommandations par pays visant à améliorer le respect des obligations fiscales (recommandation par pays no 1 de 2019), à renforcer la responsabilité et l’efficacité de l’administration publique (recommandation par pays no 4 de 2019) et à poursuivre les progrès en ce qui concerne le cadre de lutte contre le blanchiment de capitaux (recommandation par pays no 4 de 2020). </w:t>
      </w:r>
    </w:p>
    <w:p w14:paraId="44A19444" w14:textId="77777777" w:rsidR="008E6885" w:rsidRDefault="00EA24E7">
      <w:pPr>
        <w:pStyle w:val="P68B1DB1-Normal5"/>
        <w:spacing w:after="24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05C1DA4F" w14:textId="77777777" w:rsidR="008E6885" w:rsidRDefault="00EA24E7">
      <w:pPr>
        <w:pStyle w:val="P68B1DB1-Normal1"/>
        <w:keepNext/>
        <w:keepLines/>
        <w:spacing w:after="240" w:line="240" w:lineRule="auto"/>
        <w:jc w:val="both"/>
        <w:outlineLvl w:val="1"/>
        <w:rPr>
          <w:rFonts w:cs="Times New Roman"/>
          <w:noProof/>
        </w:rPr>
      </w:pPr>
      <w:r>
        <w:rPr>
          <w:noProof/>
        </w:rPr>
        <w:t>F.1. Description des réformes et des investissements pour le soutien financier non remboursable</w:t>
      </w:r>
    </w:p>
    <w:p w14:paraId="78E0C7DC" w14:textId="77777777" w:rsidR="008E6885" w:rsidRDefault="00EA24E7">
      <w:pPr>
        <w:pStyle w:val="P68B1DB1-Normal7"/>
        <w:keepNext/>
        <w:keepLines/>
        <w:spacing w:after="120" w:line="240" w:lineRule="auto"/>
        <w:jc w:val="both"/>
        <w:rPr>
          <w:rFonts w:cs="Times New Roman"/>
          <w:noProof/>
        </w:rPr>
      </w:pPr>
      <w:r>
        <w:rPr>
          <w:noProof/>
        </w:rPr>
        <w:t>Réforme: 6.1.1.r. Renforcer l'analyse et développer la gestion des données dans le domaine de l'administration fiscale et douanière</w:t>
      </w:r>
    </w:p>
    <w:p w14:paraId="626047D8" w14:textId="77777777" w:rsidR="008E6885" w:rsidRDefault="00EA24E7">
      <w:pPr>
        <w:pStyle w:val="P68B1DB1-Normal5"/>
        <w:spacing w:after="120" w:line="240" w:lineRule="auto"/>
        <w:jc w:val="both"/>
        <w:rPr>
          <w:rFonts w:cs="Times New Roman"/>
          <w:noProof/>
        </w:rPr>
      </w:pPr>
      <w:r>
        <w:rPr>
          <w:noProof/>
        </w:rPr>
        <w:t>L’objectif de cette mesure est d’améliorer la qualité et l’efficacité de la gestion des risques de conformité et d’autres activités liées à la lutte contre l’économie souterraine au moyen d’un large éventail de mesures, notamment l’adoption d’un plan d’action global pour lutter contre l’économie souterraine, l’introduction d’un nouveau système de segmentation des contribuables et l’ajustement des pratiques d’audit et de contrôle afin de mieux cibler le risque de non-conformité. La mesure comprend également des investissements dans la recherche sur le comportement des contribuables qui seront utilisés pour concevoir une réponse politique plus efficace à l’évasion et à la fraude fiscales.</w:t>
      </w:r>
    </w:p>
    <w:p w14:paraId="22B10C4D" w14:textId="77777777" w:rsidR="008E6885" w:rsidRDefault="00EA24E7">
      <w:pPr>
        <w:pStyle w:val="P68B1DB1-Normal5"/>
        <w:spacing w:after="120" w:line="240" w:lineRule="auto"/>
        <w:jc w:val="both"/>
        <w:rPr>
          <w:rFonts w:cs="Times New Roman"/>
          <w:noProof/>
        </w:rPr>
      </w:pPr>
      <w:r>
        <w:rPr>
          <w:noProof/>
        </w:rPr>
        <w:t>La réforme consiste à: a) l’adoption d’un plan de travail national visant à freiner l’économie souterraine pour la période 2021-2022, b) la mise en place d’un système de notation des contribuables et l’optimisation connexe des audits et des contrôles et l’adaptation des services du service public des recettes (SRS), c) l’élaboration d’un manuel de reconnaissance des risques liés aux salaires non déclarés, d) la commande de recherches et de recommandations stratégiques dans le domaine de l’économie souterraine.</w:t>
      </w:r>
    </w:p>
    <w:p w14:paraId="7D31AFD9" w14:textId="77777777" w:rsidR="008E6885" w:rsidRDefault="00EA24E7">
      <w:pPr>
        <w:pStyle w:val="P68B1DB1-Normal5"/>
        <w:spacing w:after="240" w:line="240" w:lineRule="auto"/>
        <w:jc w:val="both"/>
        <w:rPr>
          <w:rFonts w:cs="Times New Roman"/>
          <w:noProof/>
        </w:rPr>
      </w:pPr>
      <w:r>
        <w:rPr>
          <w:noProof/>
        </w:rPr>
        <w:t>La réforme est mise en œuvre au plus tard le 30 juin 2024.</w:t>
      </w:r>
    </w:p>
    <w:p w14:paraId="76341BC7" w14:textId="77777777" w:rsidR="008E6885" w:rsidRDefault="00EA24E7">
      <w:pPr>
        <w:pStyle w:val="P68B1DB1-Normal7"/>
        <w:keepNext/>
        <w:keepLines/>
        <w:spacing w:after="120" w:line="240" w:lineRule="auto"/>
        <w:jc w:val="both"/>
        <w:rPr>
          <w:rFonts w:cs="Times New Roman"/>
          <w:noProof/>
        </w:rPr>
      </w:pPr>
      <w:r>
        <w:rPr>
          <w:noProof/>
        </w:rPr>
        <w:t>Investissement: 6.1.1.1.i. Modernisation des solutions analytiques existantes</w:t>
      </w:r>
    </w:p>
    <w:p w14:paraId="481A9C8D" w14:textId="77777777" w:rsidR="008E6885" w:rsidRDefault="00EA24E7">
      <w:pPr>
        <w:pStyle w:val="P68B1DB1-Normal4"/>
        <w:spacing w:after="120" w:line="240" w:lineRule="auto"/>
        <w:jc w:val="both"/>
        <w:rPr>
          <w:noProof/>
        </w:rPr>
      </w:pPr>
      <w:r>
        <w:rPr>
          <w:noProof/>
        </w:rPr>
        <w:t xml:space="preserve">L’objectif de la mesure est de moderniser l’infrastructure des technologies de l’information (TI) au sein de l’administration fiscale. </w:t>
      </w:r>
    </w:p>
    <w:p w14:paraId="3FF49F6B" w14:textId="77777777" w:rsidR="008E6885" w:rsidRDefault="00EA24E7">
      <w:pPr>
        <w:pStyle w:val="P68B1DB1-Normal4"/>
        <w:spacing w:after="240" w:line="240" w:lineRule="auto"/>
        <w:jc w:val="both"/>
        <w:rPr>
          <w:rFonts w:cs="Times New Roman"/>
          <w:noProof/>
          <w:szCs w:val="22"/>
        </w:rPr>
      </w:pPr>
      <w:r>
        <w:rPr>
          <w:noProof/>
        </w:rPr>
        <w:t xml:space="preserve">La mesure consiste à modifier plusieurs systèmes informatiques. </w:t>
      </w:r>
    </w:p>
    <w:p w14:paraId="2694AFAD" w14:textId="77777777" w:rsidR="008E6885" w:rsidRDefault="00EA24E7">
      <w:pPr>
        <w:pStyle w:val="P68B1DB1-Normal7"/>
        <w:keepNext/>
        <w:keepLines/>
        <w:spacing w:after="120" w:line="240" w:lineRule="auto"/>
        <w:jc w:val="both"/>
        <w:rPr>
          <w:rFonts w:cs="Times New Roman"/>
          <w:noProof/>
        </w:rPr>
      </w:pPr>
      <w:r>
        <w:rPr>
          <w:noProof/>
        </w:rPr>
        <w:t>Investissement: 6.1.1.2.i. Mise au point de nouveaux systèmes analytiques</w:t>
      </w:r>
    </w:p>
    <w:p w14:paraId="31245797" w14:textId="77777777" w:rsidR="008E6885" w:rsidRDefault="00EA24E7">
      <w:pPr>
        <w:pStyle w:val="P68B1DB1-Normal4"/>
        <w:spacing w:after="120" w:line="240" w:lineRule="auto"/>
        <w:jc w:val="both"/>
        <w:rPr>
          <w:noProof/>
        </w:rPr>
      </w:pPr>
      <w:r>
        <w:rPr>
          <w:noProof/>
        </w:rPr>
        <w:t xml:space="preserve">L’objectif de la mesure est d’accroître le respect des obligations fiscales grâce à une plus grande transparence. </w:t>
      </w:r>
    </w:p>
    <w:p w14:paraId="5A410A3B" w14:textId="77777777" w:rsidR="008E6885" w:rsidRDefault="00EA24E7">
      <w:pPr>
        <w:pStyle w:val="P68B1DB1-Normal4"/>
        <w:spacing w:after="240" w:line="240" w:lineRule="auto"/>
        <w:jc w:val="both"/>
        <w:rPr>
          <w:rFonts w:cs="Times New Roman"/>
          <w:noProof/>
        </w:rPr>
      </w:pPr>
      <w:r>
        <w:rPr>
          <w:noProof/>
        </w:rPr>
        <w:t xml:space="preserve">La mesure consiste à créer un nouveau système de segmentation des contribuables et à l'intégrer au système d'analyse des contribuables à 360 degrés. </w:t>
      </w:r>
    </w:p>
    <w:p w14:paraId="0C325320" w14:textId="77777777" w:rsidR="008E6885" w:rsidRDefault="00EA24E7">
      <w:pPr>
        <w:pStyle w:val="P68B1DB1-Normal7"/>
        <w:keepNext/>
        <w:keepLines/>
        <w:spacing w:after="120" w:line="240" w:lineRule="auto"/>
        <w:jc w:val="both"/>
        <w:rPr>
          <w:rFonts w:cs="Times New Roman"/>
          <w:noProof/>
        </w:rPr>
      </w:pPr>
      <w:r>
        <w:rPr>
          <w:noProof/>
        </w:rPr>
        <w:t>Investissement: 6.1.1.3.i. Formation du personnel pour travailler avec une plate-forme d'analyse et de conseil</w:t>
      </w:r>
    </w:p>
    <w:p w14:paraId="01ABB65D" w14:textId="77777777" w:rsidR="008E6885" w:rsidRDefault="00EA24E7">
      <w:pPr>
        <w:pStyle w:val="P68B1DB1-Normal5"/>
        <w:spacing w:after="120" w:line="240" w:lineRule="auto"/>
        <w:jc w:val="both"/>
        <w:rPr>
          <w:rFonts w:cs="Times New Roman"/>
          <w:noProof/>
        </w:rPr>
      </w:pPr>
      <w:r>
        <w:rPr>
          <w:noProof/>
        </w:rPr>
        <w:t xml:space="preserve">L'objectif de cette mesure est de fournir une formation aux spécialistes SRS pour qu'ils puissent travailler avec la plate-forme technologique SAP HANA. </w:t>
      </w:r>
    </w:p>
    <w:p w14:paraId="337FC90E" w14:textId="77777777" w:rsidR="008E6885" w:rsidRDefault="00EA24E7">
      <w:pPr>
        <w:pStyle w:val="P68B1DB1-Normal5"/>
        <w:spacing w:after="120" w:line="240" w:lineRule="auto"/>
        <w:jc w:val="both"/>
        <w:rPr>
          <w:rFonts w:cs="Times New Roman"/>
          <w:noProof/>
        </w:rPr>
      </w:pPr>
      <w:r>
        <w:rPr>
          <w:noProof/>
        </w:rPr>
        <w:t>L'investissement consiste à former 50 spécialistes SRS pour travailler avec la plate-forme SAP HANA. La formation s'adresse aux analystes des risques et aux administrateurs de systèmes.</w:t>
      </w:r>
    </w:p>
    <w:p w14:paraId="4850EB90" w14:textId="77777777" w:rsidR="008E6885" w:rsidRDefault="00EA24E7">
      <w:pPr>
        <w:pStyle w:val="P68B1DB1-Normal5"/>
        <w:spacing w:after="240" w:line="240" w:lineRule="auto"/>
        <w:jc w:val="both"/>
        <w:rPr>
          <w:rFonts w:cs="Times New Roman"/>
          <w:noProof/>
        </w:rPr>
      </w:pPr>
      <w:r>
        <w:rPr>
          <w:noProof/>
        </w:rPr>
        <w:t>L’investissement est mis en œuvre au plus tard le 31 décembre 2023.</w:t>
      </w:r>
    </w:p>
    <w:p w14:paraId="6369DD1C" w14:textId="77777777" w:rsidR="008E6885" w:rsidRDefault="00EA24E7">
      <w:pPr>
        <w:pStyle w:val="P68B1DB1-Normal7"/>
        <w:keepNext/>
        <w:keepLines/>
        <w:spacing w:after="120" w:line="240" w:lineRule="auto"/>
        <w:jc w:val="both"/>
        <w:rPr>
          <w:noProof/>
        </w:rPr>
      </w:pPr>
      <w:r>
        <w:rPr>
          <w:noProof/>
        </w:rPr>
        <w:t>Investissement: 6.1.2.1.i. Raccordement des scanners ferroviaires à BAXE et création d'une plateforme d'analyse d'images par rayons X</w:t>
      </w:r>
    </w:p>
    <w:p w14:paraId="6F54674A" w14:textId="77777777" w:rsidR="008E6885" w:rsidRDefault="00EA24E7">
      <w:pPr>
        <w:pStyle w:val="P68B1DB1-Normal4"/>
        <w:spacing w:after="120" w:line="240" w:lineRule="auto"/>
        <w:jc w:val="both"/>
        <w:rPr>
          <w:rFonts w:cs="Times New Roman"/>
          <w:noProof/>
        </w:rPr>
      </w:pPr>
      <w:r>
        <w:rPr>
          <w:noProof/>
        </w:rPr>
        <w:t xml:space="preserve">L’objectif de la mesure est de garantir la capacité d’analyser à distance les images du fret ferroviaire scannées aux points de contrôle douanier d’Indra et de Karsava. </w:t>
      </w:r>
    </w:p>
    <w:p w14:paraId="140B8636" w14:textId="77777777" w:rsidR="008E6885" w:rsidRDefault="00EA24E7">
      <w:pPr>
        <w:pStyle w:val="P68B1DB1-Normal4"/>
        <w:spacing w:after="240" w:line="240" w:lineRule="auto"/>
        <w:jc w:val="both"/>
        <w:rPr>
          <w:rFonts w:cs="Times New Roman"/>
          <w:noProof/>
        </w:rPr>
      </w:pPr>
      <w:r>
        <w:rPr>
          <w:noProof/>
        </w:rPr>
        <w:t>La mesure consiste a) à connecter les scanners ferroviaires aux points de contrôle douanier d'Indra et de Karsava au système d'information BAXE et b) à créer une plate-forme d'analyse d'images par rayons X.</w:t>
      </w:r>
    </w:p>
    <w:p w14:paraId="192870B4" w14:textId="77777777" w:rsidR="008E6885" w:rsidRDefault="00EA24E7">
      <w:pPr>
        <w:pStyle w:val="P68B1DB1-Normal7"/>
        <w:keepNext/>
        <w:keepLines/>
        <w:spacing w:after="120" w:line="240" w:lineRule="auto"/>
        <w:jc w:val="both"/>
        <w:rPr>
          <w:rFonts w:cs="Times New Roman"/>
          <w:noProof/>
        </w:rPr>
      </w:pPr>
      <w:r>
        <w:rPr>
          <w:noProof/>
        </w:rPr>
        <w:t>Investissement: 6.1.2.2.i. Renforcement des capacités du laboratoire des douanes</w:t>
      </w:r>
    </w:p>
    <w:p w14:paraId="3F786DE0" w14:textId="77777777" w:rsidR="008E6885" w:rsidRDefault="00EA24E7">
      <w:pPr>
        <w:pStyle w:val="P68B1DB1-Normal5"/>
        <w:spacing w:after="120" w:line="240" w:lineRule="auto"/>
        <w:jc w:val="both"/>
        <w:rPr>
          <w:rFonts w:cs="Times New Roman"/>
          <w:noProof/>
        </w:rPr>
      </w:pPr>
      <w:r>
        <w:rPr>
          <w:noProof/>
        </w:rPr>
        <w:t xml:space="preserve">L'objectif de cette mesure est de permettre aux douanes de contrôler plus efficacement la contrebande, les produits contrefaits et les substances illégales. </w:t>
      </w:r>
    </w:p>
    <w:p w14:paraId="0A1C04F8" w14:textId="77777777" w:rsidR="008E6885" w:rsidRDefault="00EA24E7">
      <w:pPr>
        <w:pStyle w:val="P68B1DB1-Normal4"/>
        <w:spacing w:after="120" w:line="240" w:lineRule="auto"/>
        <w:jc w:val="both"/>
        <w:rPr>
          <w:rFonts w:cs="Times New Roman"/>
          <w:noProof/>
        </w:rPr>
      </w:pPr>
      <w:r>
        <w:rPr>
          <w:noProof/>
        </w:rPr>
        <w:t xml:space="preserve">L'investissement consiste à équiper le laboratoire douanier et le point de contrôle douanier de l'aéroport de Riga d'un spectrophotomètre. </w:t>
      </w:r>
    </w:p>
    <w:p w14:paraId="6FF7425B" w14:textId="77777777" w:rsidR="008E6885" w:rsidRDefault="00EA24E7">
      <w:pPr>
        <w:pStyle w:val="P68B1DB1-Normal5"/>
        <w:spacing w:after="240" w:line="240" w:lineRule="auto"/>
        <w:jc w:val="both"/>
        <w:rPr>
          <w:rFonts w:cs="Times New Roman"/>
          <w:noProof/>
        </w:rPr>
      </w:pPr>
      <w:r>
        <w:rPr>
          <w:noProof/>
        </w:rPr>
        <w:t>L’investissement est mis en œuvre au plus tard le 31 décembre 2022.</w:t>
      </w:r>
    </w:p>
    <w:p w14:paraId="7BB999F6" w14:textId="77777777" w:rsidR="008E6885" w:rsidRDefault="00EA24E7">
      <w:pPr>
        <w:pStyle w:val="P68B1DB1-Normal7"/>
        <w:keepNext/>
        <w:keepLines/>
        <w:spacing w:after="120" w:line="240" w:lineRule="auto"/>
        <w:jc w:val="both"/>
        <w:rPr>
          <w:rFonts w:cs="Times New Roman"/>
          <w:noProof/>
        </w:rPr>
      </w:pPr>
      <w:r>
        <w:rPr>
          <w:noProof/>
        </w:rPr>
        <w:t>Investissement: 6.1.2.3.i. Amélioration du contrôle douanier des envois postaux reçus au point de contrôle douanier de l'aéroport</w:t>
      </w:r>
    </w:p>
    <w:p w14:paraId="1A546AC8" w14:textId="77777777" w:rsidR="008E6885" w:rsidRDefault="00EA24E7">
      <w:pPr>
        <w:pStyle w:val="P68B1DB1-Normal4"/>
        <w:spacing w:after="120" w:line="240" w:lineRule="auto"/>
        <w:jc w:val="both"/>
        <w:rPr>
          <w:rFonts w:cs="Times New Roman"/>
          <w:noProof/>
        </w:rPr>
      </w:pPr>
      <w:r>
        <w:rPr>
          <w:noProof/>
        </w:rPr>
        <w:t xml:space="preserve">L’objectif de la mesure est d’accroître l’efficacité du contrôle des envois postaux entrants reçus au point de contrôle douanier de l’aéroport de Riga. </w:t>
      </w:r>
    </w:p>
    <w:p w14:paraId="33912A3D" w14:textId="77777777" w:rsidR="008E6885" w:rsidRDefault="00EA24E7">
      <w:pPr>
        <w:pStyle w:val="P68B1DB1-Normal4"/>
        <w:spacing w:after="240" w:line="240" w:lineRule="auto"/>
        <w:jc w:val="both"/>
        <w:rPr>
          <w:rFonts w:cs="Times New Roman"/>
          <w:noProof/>
        </w:rPr>
      </w:pPr>
      <w:r>
        <w:rPr>
          <w:noProof/>
        </w:rPr>
        <w:t xml:space="preserve">La mesure consiste en l'installation d'une ligne de numérisation et de tri du courrier à l'aéroport de Riga. </w:t>
      </w:r>
    </w:p>
    <w:p w14:paraId="630E26BF" w14:textId="77777777" w:rsidR="008E6885" w:rsidRDefault="00EA24E7">
      <w:pPr>
        <w:pStyle w:val="P68B1DB1-Normal15"/>
        <w:keepNext/>
        <w:keepLines/>
        <w:spacing w:after="240" w:line="240" w:lineRule="auto"/>
        <w:jc w:val="both"/>
        <w:rPr>
          <w:rFonts w:cs="Times New Roman"/>
          <w:iCs/>
          <w:noProof/>
        </w:rPr>
      </w:pPr>
      <w:r>
        <w:rPr>
          <w:noProof/>
        </w:rPr>
        <w:t>Investissement: 6.1.2.4.i. Création d'une infrastructure pour l'exécution des services de contrôle à Kundziņsala</w:t>
      </w:r>
    </w:p>
    <w:p w14:paraId="30F15D42" w14:textId="77777777" w:rsidR="008E6885" w:rsidRDefault="00EA24E7">
      <w:pPr>
        <w:pStyle w:val="P68B1DB1-Normal5"/>
        <w:spacing w:after="120" w:line="240" w:lineRule="auto"/>
        <w:jc w:val="both"/>
        <w:rPr>
          <w:rFonts w:cs="Times New Roman"/>
          <w:noProof/>
        </w:rPr>
      </w:pPr>
      <w:r>
        <w:rPr>
          <w:noProof/>
        </w:rPr>
        <w:t xml:space="preserve">L’objectif de la mesure est d’accroître l’efficacité des contrôles douaniers, de réduire la charge administrative pesant sur les utilisateurs des services de contrôle et d’éliminer le trafic inutile de transport lourd entre le port et les installations de contrôle. </w:t>
      </w:r>
    </w:p>
    <w:p w14:paraId="369367B9" w14:textId="77777777" w:rsidR="008E6885" w:rsidRDefault="00EA24E7">
      <w:pPr>
        <w:pStyle w:val="P68B1DB1-Normal4"/>
        <w:spacing w:after="240" w:line="240" w:lineRule="auto"/>
        <w:jc w:val="both"/>
        <w:rPr>
          <w:noProof/>
        </w:rPr>
      </w:pPr>
      <w:r>
        <w:rPr>
          <w:noProof/>
        </w:rPr>
        <w:t xml:space="preserve">La mesure consiste en la construction des structures portantes et enveloppantes du bâtiment; et la livraison d’équipements de contrôle du fret à rayons X. </w:t>
      </w:r>
    </w:p>
    <w:p w14:paraId="4FFEE744" w14:textId="77777777" w:rsidR="008E6885" w:rsidRDefault="00EA24E7">
      <w:pPr>
        <w:pStyle w:val="P68B1DB1-Normal7"/>
        <w:keepNext/>
        <w:keepLines/>
        <w:spacing w:after="120" w:line="240" w:lineRule="auto"/>
        <w:jc w:val="both"/>
        <w:rPr>
          <w:rFonts w:cs="Times New Roman"/>
          <w:noProof/>
        </w:rPr>
      </w:pPr>
      <w:r>
        <w:rPr>
          <w:noProof/>
        </w:rPr>
        <w:t>Réforme: 6.2.1.r. Modernisation du processus d’identification du blanchiment de capitaux, d’enquête sur les infractions économiques et de procédure judiciaire</w:t>
      </w:r>
    </w:p>
    <w:p w14:paraId="00FB0B5A" w14:textId="77777777" w:rsidR="008E6885" w:rsidRDefault="00EA24E7">
      <w:pPr>
        <w:pStyle w:val="P68B1DB1-Normal4"/>
        <w:spacing w:after="120" w:line="240" w:lineRule="auto"/>
        <w:jc w:val="both"/>
        <w:rPr>
          <w:rFonts w:cs="Times New Roman"/>
          <w:noProof/>
        </w:rPr>
      </w:pPr>
      <w:r>
        <w:rPr>
          <w:noProof/>
        </w:rPr>
        <w:t>L'objectif de cette mesure est d'améliorer l'efficacité du système de déclaration des transactions suspectes.</w:t>
      </w:r>
    </w:p>
    <w:p w14:paraId="39EF2189" w14:textId="77777777" w:rsidR="008E6885" w:rsidRDefault="00EA24E7">
      <w:pPr>
        <w:pStyle w:val="P68B1DB1-Normal5"/>
        <w:spacing w:after="120" w:line="240" w:lineRule="auto"/>
        <w:jc w:val="both"/>
        <w:rPr>
          <w:rFonts w:cs="Times New Roman"/>
          <w:noProof/>
        </w:rPr>
      </w:pPr>
      <w:r>
        <w:rPr>
          <w:noProof/>
        </w:rPr>
        <w:t>La réforme consiste à a) modifier la loi sur la prévention du blanchiment de capitaux et du financement du terrorisme et de la prolifération afin d'éliminer le signalement parallèle des transactions suspectes à la cellule de renseignement financier et au service des recettes publiques et d'introduire des dispositions relatives à un nouveau système de réception et d'analyse des données, b) adopter un règlement par le Conseil des ministres prescrivant la procédure et le contenu des déclarations de transactions suspectes et des déclarations de seuil.</w:t>
      </w:r>
    </w:p>
    <w:p w14:paraId="25E65432" w14:textId="77777777" w:rsidR="008E6885" w:rsidRDefault="00EA24E7">
      <w:pPr>
        <w:pStyle w:val="P68B1DB1-Normal4"/>
        <w:spacing w:after="240" w:line="240" w:lineRule="auto"/>
        <w:jc w:val="both"/>
        <w:rPr>
          <w:rFonts w:cs="Times New Roman"/>
          <w:noProof/>
        </w:rPr>
      </w:pPr>
      <w:r>
        <w:rPr>
          <w:noProof/>
        </w:rPr>
        <w:t>La réforme est mise en œuvre au plus tard le 30 juin 2021.</w:t>
      </w:r>
    </w:p>
    <w:p w14:paraId="1038D5CA" w14:textId="77777777" w:rsidR="008E6885" w:rsidRDefault="00EA24E7">
      <w:pPr>
        <w:pStyle w:val="P68B1DB1-Normal7"/>
        <w:keepNext/>
        <w:keepLines/>
        <w:spacing w:after="120" w:line="240" w:lineRule="auto"/>
        <w:jc w:val="both"/>
        <w:rPr>
          <w:rFonts w:cs="Times New Roman"/>
          <w:noProof/>
        </w:rPr>
      </w:pPr>
      <w:r>
        <w:rPr>
          <w:noProof/>
        </w:rPr>
        <w:t>Investissement: 6.2.1.1.i. Création d’un pôle d’innovation en matière de lutte contre le blanchiment de capitaux afin d’améliorer l’identification du blanchiment de capitaux</w:t>
      </w:r>
    </w:p>
    <w:p w14:paraId="6F6E4EC4" w14:textId="77777777" w:rsidR="008E6885" w:rsidRDefault="00EA24E7">
      <w:pPr>
        <w:pStyle w:val="P68B1DB1-Normal5"/>
        <w:spacing w:after="120" w:line="240" w:lineRule="auto"/>
        <w:jc w:val="both"/>
        <w:rPr>
          <w:rFonts w:cs="Times New Roman"/>
          <w:noProof/>
        </w:rPr>
      </w:pPr>
      <w:r>
        <w:rPr>
          <w:noProof/>
        </w:rPr>
        <w:t xml:space="preserve">L'objectif de la mesure est de faciliter la recherche et le partage d'informations entre les institutions impliquées dans la lutte contre le blanchiment de capitaux. </w:t>
      </w:r>
    </w:p>
    <w:p w14:paraId="75D0B1BB" w14:textId="0C98C3A5" w:rsidR="008E6885" w:rsidRDefault="00EA24E7">
      <w:pPr>
        <w:pStyle w:val="P68B1DB1-Normal4"/>
        <w:spacing w:after="240" w:line="240" w:lineRule="auto"/>
        <w:jc w:val="both"/>
        <w:rPr>
          <w:rFonts w:cs="Times New Roman"/>
          <w:noProof/>
        </w:rPr>
      </w:pPr>
      <w:r>
        <w:rPr>
          <w:noProof/>
        </w:rPr>
        <w:t>La mesure consiste en la mise en place de systèmes d’information, de salles de partage des connaissances et de coopération, de connexions intersystèmes pour l’échange de données et d’infrastructures de traitement des données.</w:t>
      </w:r>
    </w:p>
    <w:p w14:paraId="623F4EF0" w14:textId="77777777" w:rsidR="008E6885" w:rsidRDefault="00EA24E7">
      <w:pPr>
        <w:pStyle w:val="P68B1DB1-Normal7"/>
        <w:keepNext/>
        <w:keepLines/>
        <w:spacing w:after="120" w:line="240" w:lineRule="auto"/>
        <w:jc w:val="both"/>
        <w:rPr>
          <w:rFonts w:cs="Times New Roman"/>
          <w:noProof/>
        </w:rPr>
      </w:pPr>
      <w:r>
        <w:rPr>
          <w:noProof/>
        </w:rPr>
        <w:t>Investissement: 6.2.1.2.i. Renforcement de la capacité d'enquêter sur la criminalité économique</w:t>
      </w:r>
    </w:p>
    <w:p w14:paraId="31C43EB4" w14:textId="77777777" w:rsidR="008E6885" w:rsidRDefault="00EA24E7">
      <w:pPr>
        <w:pStyle w:val="P68B1DB1-Normal5"/>
        <w:spacing w:after="120" w:line="240" w:lineRule="auto"/>
        <w:jc w:val="both"/>
        <w:rPr>
          <w:rFonts w:cs="Times New Roman"/>
          <w:noProof/>
        </w:rPr>
      </w:pPr>
      <w:r>
        <w:rPr>
          <w:noProof/>
        </w:rPr>
        <w:t>L’objectif de la mesure est d’accroître la disponibilité et la capacité des agents des services répressifs chargés de lutter contre la criminalité économique.</w:t>
      </w:r>
    </w:p>
    <w:p w14:paraId="50A66059" w14:textId="77777777" w:rsidR="008E6885" w:rsidRDefault="00EA24E7">
      <w:pPr>
        <w:pStyle w:val="P68B1DB1-Normal4"/>
        <w:spacing w:after="240" w:line="240" w:lineRule="auto"/>
        <w:jc w:val="both"/>
        <w:rPr>
          <w:rFonts w:cs="Times New Roman"/>
          <w:noProof/>
        </w:rPr>
      </w:pPr>
      <w:r>
        <w:rPr>
          <w:noProof/>
        </w:rPr>
        <w:t>La mesure consiste à former les responsables de l'application des lois aux enquêtes sur le blanchiment d'argent et l'achat d'équipement.</w:t>
      </w:r>
    </w:p>
    <w:p w14:paraId="19CB11D2" w14:textId="77777777" w:rsidR="008E6885" w:rsidRDefault="00EA24E7">
      <w:pPr>
        <w:pStyle w:val="P68B1DB1-Normal7"/>
        <w:keepNext/>
        <w:keepLines/>
        <w:spacing w:before="360" w:after="120" w:line="240" w:lineRule="auto"/>
        <w:jc w:val="both"/>
        <w:rPr>
          <w:rFonts w:cs="Times New Roman"/>
          <w:noProof/>
        </w:rPr>
      </w:pPr>
      <w:r>
        <w:rPr>
          <w:noProof/>
        </w:rPr>
        <w:t xml:space="preserve">Investissement: 6.2.1.3.i. Création d'un centre de formation </w:t>
      </w:r>
    </w:p>
    <w:p w14:paraId="1E7776D0" w14:textId="77777777" w:rsidR="008E6885" w:rsidRDefault="00EA24E7">
      <w:pPr>
        <w:pStyle w:val="P68B1DB1-Normal4"/>
        <w:spacing w:before="120" w:after="120" w:line="240" w:lineRule="auto"/>
        <w:jc w:val="both"/>
        <w:rPr>
          <w:noProof/>
        </w:rPr>
      </w:pPr>
      <w:r>
        <w:rPr>
          <w:noProof/>
        </w:rPr>
        <w:t xml:space="preserve">L’objectif de la mesure est d’accroître les qualifications des ressources humaines du système judiciaire. </w:t>
      </w:r>
    </w:p>
    <w:p w14:paraId="6815D503" w14:textId="77777777" w:rsidR="008E6885" w:rsidRDefault="00EA24E7">
      <w:pPr>
        <w:pStyle w:val="P68B1DB1-Normal4"/>
        <w:spacing w:after="240" w:line="240" w:lineRule="auto"/>
        <w:jc w:val="both"/>
        <w:rPr>
          <w:rFonts w:cs="Times New Roman"/>
          <w:noProof/>
        </w:rPr>
      </w:pPr>
      <w:r>
        <w:rPr>
          <w:noProof/>
        </w:rPr>
        <w:t xml:space="preserve">La mesure consiste à créer un centre de formation et dix modules de formation. </w:t>
      </w:r>
    </w:p>
    <w:p w14:paraId="2899D0EC" w14:textId="77777777" w:rsidR="008E6885" w:rsidRDefault="00EA24E7">
      <w:pPr>
        <w:pStyle w:val="P68B1DB1-Normal7"/>
        <w:keepNext/>
        <w:keepLines/>
        <w:spacing w:after="120" w:line="240" w:lineRule="auto"/>
        <w:jc w:val="both"/>
        <w:rPr>
          <w:rFonts w:cs="Times New Roman"/>
          <w:noProof/>
        </w:rPr>
      </w:pPr>
      <w:r>
        <w:rPr>
          <w:noProof/>
        </w:rPr>
        <w:t>Réforme: 6.3.1.r. Modernisation de l'administration publique</w:t>
      </w:r>
    </w:p>
    <w:p w14:paraId="2FF0B8BD" w14:textId="77777777" w:rsidR="008E6885" w:rsidRDefault="00EA24E7">
      <w:pPr>
        <w:pStyle w:val="P68B1DB1-Normal4"/>
        <w:spacing w:after="120" w:line="240" w:lineRule="auto"/>
        <w:jc w:val="both"/>
        <w:rPr>
          <w:rFonts w:cs="Times New Roman"/>
          <w:noProof/>
        </w:rPr>
      </w:pPr>
      <w:r>
        <w:rPr>
          <w:noProof/>
        </w:rPr>
        <w:t xml:space="preserve">L’objectif de la mesure est de franchir la première étape de la modernisation de l’administration publique, c’est-à-dire de la rendre plus efficace et innovante et d’en faire un lieu de travail plus attrayant pour fournir de meilleures politiques et de meilleurs services aux citoyens, ainsi que pour relever les nouveaux défis apparus dans le contexte de la crise de la COVID-19. </w:t>
      </w:r>
    </w:p>
    <w:p w14:paraId="40EBFDAE" w14:textId="77777777" w:rsidR="008E6885" w:rsidRDefault="00EA24E7">
      <w:pPr>
        <w:pStyle w:val="P68B1DB1-Normal4"/>
        <w:spacing w:after="0" w:line="240" w:lineRule="auto"/>
        <w:jc w:val="both"/>
        <w:rPr>
          <w:rFonts w:cs="Times New Roman"/>
          <w:noProof/>
        </w:rPr>
      </w:pPr>
      <w:r>
        <w:rPr>
          <w:noProof/>
        </w:rPr>
        <w:t>La mesure consiste en a) l'adoption d'un plan de modernisation de l'administration publique, b) le développement d'un concept et sa mise en œuvre progressive d'un centre de services unique, en commençant la centralisation des fonctions d'appui à l'administration publique, qui fait partie du plan de modernisation.</w:t>
      </w:r>
    </w:p>
    <w:p w14:paraId="386FDFF1" w14:textId="77777777" w:rsidR="008E6885" w:rsidRDefault="00EA24E7">
      <w:pPr>
        <w:pStyle w:val="P68B1DB1-Normal5"/>
        <w:spacing w:after="240" w:line="240" w:lineRule="auto"/>
        <w:jc w:val="both"/>
        <w:rPr>
          <w:rFonts w:cs="Times New Roman"/>
          <w:noProof/>
          <w:u w:val="single"/>
        </w:rPr>
      </w:pPr>
      <w:r>
        <w:rPr>
          <w:noProof/>
        </w:rPr>
        <w:t>La réforme est mise en œuvre au plus tard le 31 août 2026.</w:t>
      </w:r>
    </w:p>
    <w:p w14:paraId="36EEF153" w14:textId="77777777" w:rsidR="008E6885" w:rsidRDefault="00EA24E7">
      <w:pPr>
        <w:pStyle w:val="P68B1DB1-Normal15"/>
        <w:keepNext/>
        <w:keepLines/>
        <w:spacing w:after="120" w:line="240" w:lineRule="auto"/>
        <w:jc w:val="both"/>
        <w:rPr>
          <w:rFonts w:cs="Times New Roman"/>
          <w:noProof/>
        </w:rPr>
      </w:pPr>
      <w:r>
        <w:rPr>
          <w:noProof/>
        </w:rPr>
        <w:t>Investissement: 6.3.1.1.i. Administration publique ouverte, transparente, équitable et responsable</w:t>
      </w:r>
    </w:p>
    <w:p w14:paraId="07ACCFA7" w14:textId="77777777" w:rsidR="008E6885" w:rsidRDefault="00EA24E7">
      <w:pPr>
        <w:pStyle w:val="P68B1DB1-Normal4"/>
        <w:spacing w:after="120" w:line="240" w:lineRule="auto"/>
        <w:jc w:val="both"/>
        <w:rPr>
          <w:rFonts w:cs="Times New Roman"/>
          <w:noProof/>
        </w:rPr>
      </w:pPr>
      <w:r>
        <w:rPr>
          <w:noProof/>
        </w:rPr>
        <w:t>L’objectif de la mesure est d’accroître les compétences des agents publics dans les domaines de l’éthique, de la lutte contre la corruption, de la prévention de la fraude et des conflits d’intérêts.</w:t>
      </w:r>
    </w:p>
    <w:p w14:paraId="0BA6EC9F" w14:textId="77777777" w:rsidR="008E6885" w:rsidRDefault="00EA24E7">
      <w:pPr>
        <w:pStyle w:val="P68B1DB1-Normal4"/>
        <w:spacing w:after="240" w:line="240" w:lineRule="auto"/>
        <w:jc w:val="both"/>
        <w:rPr>
          <w:rFonts w:cs="Times New Roman"/>
          <w:noProof/>
        </w:rPr>
      </w:pPr>
      <w:r>
        <w:rPr>
          <w:noProof/>
        </w:rPr>
        <w:t>La mesure consiste à mettre en place un cadre de compétences dans les domaines de l’éthique, de la lutte contre la corruption, de la prévention de la fraude et des conflits d’intérêts.</w:t>
      </w:r>
    </w:p>
    <w:p w14:paraId="1DD05705" w14:textId="77777777" w:rsidR="008E6885" w:rsidRDefault="00EA24E7">
      <w:pPr>
        <w:pStyle w:val="P68B1DB1-Normal7"/>
        <w:keepNext/>
        <w:keepLines/>
        <w:spacing w:after="120" w:line="240" w:lineRule="auto"/>
        <w:jc w:val="both"/>
        <w:rPr>
          <w:noProof/>
        </w:rPr>
      </w:pPr>
      <w:r>
        <w:rPr>
          <w:noProof/>
        </w:rPr>
        <w:t xml:space="preserve">Investissement: 6.3.1.2.i. Administration publique professionnelle, ouverte et responsable </w:t>
      </w:r>
    </w:p>
    <w:p w14:paraId="5CA72AB0" w14:textId="77777777" w:rsidR="008E6885" w:rsidRDefault="00EA24E7">
      <w:pPr>
        <w:pStyle w:val="P68B1DB1-Normal5"/>
        <w:spacing w:after="120" w:line="240" w:lineRule="auto"/>
        <w:jc w:val="both"/>
        <w:rPr>
          <w:rFonts w:cs="Times New Roman"/>
          <w:noProof/>
        </w:rPr>
      </w:pPr>
      <w:r>
        <w:rPr>
          <w:noProof/>
        </w:rPr>
        <w:t>L’objectif de la mesure est d’accroître les compétences des agents publics.</w:t>
      </w:r>
    </w:p>
    <w:p w14:paraId="141D93E8" w14:textId="77777777" w:rsidR="008E6885" w:rsidRDefault="00EA24E7">
      <w:pPr>
        <w:pStyle w:val="P68B1DB1-Normal4"/>
        <w:spacing w:after="240" w:line="240" w:lineRule="auto"/>
        <w:jc w:val="both"/>
        <w:rPr>
          <w:rFonts w:cs="Times New Roman"/>
          <w:noProof/>
        </w:rPr>
      </w:pPr>
      <w:r>
        <w:rPr>
          <w:noProof/>
        </w:rPr>
        <w:t xml:space="preserve">La mesure consiste à mettre en place des programmes de développement des compétences et de formation et à suivre des formations dans des domaines tels que le service à la clientèle, le développement du leadership, les compétences de base de l’administration publique, la gestion des marchés publics, les ressources humaines, la pratique juridique, la planification des politiques, l’éthique, la lutte contre la corruption, la prévention de la fraude et des conflits d’intérêts. </w:t>
      </w:r>
    </w:p>
    <w:p w14:paraId="4DBFE952" w14:textId="77777777" w:rsidR="008E6885" w:rsidRDefault="00EA24E7">
      <w:pPr>
        <w:pStyle w:val="P68B1DB1-Normal15"/>
        <w:keepNext/>
        <w:keepLines/>
        <w:spacing w:after="240" w:line="240" w:lineRule="auto"/>
        <w:jc w:val="both"/>
        <w:rPr>
          <w:rFonts w:cs="Times New Roman"/>
          <w:noProof/>
        </w:rPr>
      </w:pPr>
      <w:r>
        <w:rPr>
          <w:noProof/>
        </w:rPr>
        <w:t xml:space="preserve">Investissement: 6.3.1.3.i. Développement de l'écosystème d'innovation de l'administration publique </w:t>
      </w:r>
    </w:p>
    <w:p w14:paraId="5666D7EA" w14:textId="77777777" w:rsidR="008E6885" w:rsidRDefault="00EA24E7">
      <w:pPr>
        <w:pStyle w:val="P68B1DB1-Normal5"/>
        <w:spacing w:before="120" w:after="120" w:line="240" w:lineRule="auto"/>
        <w:jc w:val="both"/>
        <w:rPr>
          <w:rFonts w:cs="Times New Roman"/>
          <w:noProof/>
        </w:rPr>
      </w:pPr>
      <w:r>
        <w:rPr>
          <w:noProof/>
        </w:rPr>
        <w:t xml:space="preserve">L’objectif de la mesure est de favoriser la culture de l’innovation et d’accroître la production d’innovation au sein de l’administration publique. </w:t>
      </w:r>
    </w:p>
    <w:p w14:paraId="4275FFC7" w14:textId="77777777" w:rsidR="008E6885" w:rsidRDefault="00EA24E7">
      <w:pPr>
        <w:pStyle w:val="P68B1DB1-Normal4"/>
        <w:spacing w:after="240" w:line="240" w:lineRule="auto"/>
        <w:jc w:val="both"/>
        <w:rPr>
          <w:rFonts w:cs="Times New Roman"/>
          <w:noProof/>
        </w:rPr>
      </w:pPr>
      <w:r>
        <w:rPr>
          <w:noProof/>
        </w:rPr>
        <w:t xml:space="preserve">La mesure consiste en a) l’approbation du rapport d’information et b) la rénovation des locaux. </w:t>
      </w:r>
    </w:p>
    <w:p w14:paraId="43E251FB" w14:textId="77777777" w:rsidR="008E6885" w:rsidRDefault="00EA24E7">
      <w:pPr>
        <w:pStyle w:val="P68B1DB1-Normal15"/>
        <w:keepNext/>
        <w:keepLines/>
        <w:spacing w:after="120" w:line="240" w:lineRule="auto"/>
        <w:jc w:val="both"/>
        <w:rPr>
          <w:rFonts w:cs="Times New Roman"/>
          <w:noProof/>
        </w:rPr>
      </w:pPr>
      <w:r>
        <w:rPr>
          <w:noProof/>
        </w:rPr>
        <w:t>Investissement: 6.3.1.4.i. Croissance des organisations non gouvernementales pour renforcer la représentation de la sécurité sociale et surveiller les intérêts publics</w:t>
      </w:r>
    </w:p>
    <w:p w14:paraId="5C6FD81C" w14:textId="77777777" w:rsidR="008E6885" w:rsidRDefault="00EA24E7">
      <w:pPr>
        <w:pStyle w:val="P68B1DB1-Normal5"/>
        <w:spacing w:after="120" w:line="240" w:lineRule="auto"/>
        <w:jc w:val="both"/>
        <w:rPr>
          <w:rFonts w:cs="Times New Roman"/>
          <w:noProof/>
        </w:rPr>
      </w:pPr>
      <w:r>
        <w:rPr>
          <w:noProof/>
        </w:rPr>
        <w:t xml:space="preserve">L’objectif de la mesure est de soutenir les initiatives publiques et le dialogue dans les domaines de la résilience sociale et de la défense de l’intérêt public. </w:t>
      </w:r>
    </w:p>
    <w:p w14:paraId="49C2806A" w14:textId="77777777" w:rsidR="008E6885" w:rsidRDefault="00EA24E7">
      <w:pPr>
        <w:pStyle w:val="P68B1DB1-Normal5"/>
        <w:spacing w:after="240" w:line="240" w:lineRule="auto"/>
        <w:jc w:val="both"/>
        <w:rPr>
          <w:rFonts w:cs="Times New Roman"/>
          <w:noProof/>
        </w:rPr>
      </w:pPr>
      <w:r>
        <w:rPr>
          <w:noProof/>
        </w:rPr>
        <w:t xml:space="preserve">La mesure consiste à mettre en place un soutien aux organisations non gouvernementales. </w:t>
      </w:r>
    </w:p>
    <w:p w14:paraId="45C53EF8" w14:textId="77777777" w:rsidR="008E6885" w:rsidRDefault="00EA24E7">
      <w:pPr>
        <w:pStyle w:val="P68B1DB1-Normal15"/>
        <w:keepNext/>
        <w:keepLines/>
        <w:spacing w:after="120" w:line="240" w:lineRule="auto"/>
        <w:jc w:val="both"/>
        <w:rPr>
          <w:rFonts w:cs="Times New Roman"/>
          <w:noProof/>
        </w:rPr>
      </w:pPr>
      <w:r>
        <w:rPr>
          <w:noProof/>
        </w:rPr>
        <w:t>Réforme: 6.4.1.r. Création d'un registre des marchés publics</w:t>
      </w:r>
    </w:p>
    <w:p w14:paraId="3B0D8F7A" w14:textId="77777777" w:rsidR="008E6885" w:rsidRDefault="00EA24E7">
      <w:pPr>
        <w:pStyle w:val="P68B1DB1-Normal5"/>
        <w:spacing w:after="120" w:line="240" w:lineRule="auto"/>
        <w:jc w:val="both"/>
        <w:rPr>
          <w:rFonts w:cs="Times New Roman"/>
          <w:noProof/>
        </w:rPr>
      </w:pPr>
      <w:r>
        <w:rPr>
          <w:noProof/>
        </w:rPr>
        <w:t>L’objectif de cette mesure est d’accroître la transparence et la disponibilité des informations relatives à l’exécution et à l’exécution effective des contrats conclus, améliorant ainsi le comportement des acheteurs et des fournisseurs et réduisant les risques de corruption au cours de la phase de mise en œuvre des marchés publics.</w:t>
      </w:r>
    </w:p>
    <w:p w14:paraId="12461DEE" w14:textId="77777777" w:rsidR="008E6885" w:rsidRDefault="00EA24E7">
      <w:pPr>
        <w:pStyle w:val="P68B1DB1-Normal4"/>
        <w:spacing w:after="120" w:line="240" w:lineRule="auto"/>
        <w:jc w:val="both"/>
        <w:rPr>
          <w:rFonts w:cs="Times New Roman"/>
          <w:noProof/>
        </w:rPr>
      </w:pPr>
      <w:r>
        <w:rPr>
          <w:noProof/>
        </w:rPr>
        <w:t>La réforme consiste a) à modifier la loi sur les marchés publics en rendant obligatoire la publication des informations complémentaires pertinentes et b) à mettre au point une solution technique pour le registre des marchés publics et à le mettre à disposition en ligne.</w:t>
      </w:r>
    </w:p>
    <w:p w14:paraId="26F6E870" w14:textId="77777777" w:rsidR="008E6885" w:rsidRDefault="00EA24E7">
      <w:pPr>
        <w:pStyle w:val="P68B1DB1-Normal5"/>
        <w:spacing w:after="240" w:line="240" w:lineRule="auto"/>
        <w:jc w:val="both"/>
        <w:rPr>
          <w:rFonts w:cs="Times New Roman"/>
          <w:noProof/>
          <w:u w:val="single"/>
        </w:rPr>
      </w:pPr>
      <w:r>
        <w:rPr>
          <w:noProof/>
        </w:rPr>
        <w:t>La réforme est mise en œuvre au plus tard le 31 décembre 2022.</w:t>
      </w:r>
    </w:p>
    <w:p w14:paraId="693FD445" w14:textId="77777777" w:rsidR="008E6885" w:rsidRDefault="00EA24E7">
      <w:pPr>
        <w:pStyle w:val="P68B1DB1-Normal7"/>
        <w:keepNext/>
        <w:keepLines/>
        <w:spacing w:after="240" w:line="240" w:lineRule="auto"/>
        <w:jc w:val="both"/>
        <w:rPr>
          <w:rFonts w:cs="Times New Roman"/>
          <w:noProof/>
        </w:rPr>
      </w:pPr>
      <w:r>
        <w:rPr>
          <w:noProof/>
        </w:rPr>
        <w:t>Réforme: 6.4.2.r. Amélioration de l'environnement de la concurrence</w:t>
      </w:r>
    </w:p>
    <w:p w14:paraId="50BF5520" w14:textId="77777777" w:rsidR="008E6885" w:rsidRDefault="00EA24E7">
      <w:pPr>
        <w:pStyle w:val="P68B1DB1-Normal5"/>
        <w:spacing w:after="120" w:line="240" w:lineRule="auto"/>
        <w:jc w:val="both"/>
        <w:rPr>
          <w:rFonts w:cs="Times New Roman"/>
          <w:noProof/>
        </w:rPr>
      </w:pPr>
      <w:r>
        <w:rPr>
          <w:noProof/>
        </w:rPr>
        <w:t xml:space="preserve">L’objectif de cette mesure est d’améliorer la concurrence et de réduire les conflits d’intérêts et les risques de corruption dans les appels d’offres publics, ainsi que de généraliser l’utilisation des critères d’optimisation des ressources dans les marchés publics. </w:t>
      </w:r>
    </w:p>
    <w:p w14:paraId="57318258" w14:textId="77777777" w:rsidR="008E6885" w:rsidRDefault="00EA24E7">
      <w:pPr>
        <w:pStyle w:val="P68B1DB1-Normal5"/>
        <w:spacing w:after="120" w:line="240" w:lineRule="auto"/>
        <w:jc w:val="both"/>
        <w:rPr>
          <w:rFonts w:cs="Times New Roman"/>
          <w:noProof/>
        </w:rPr>
      </w:pPr>
      <w:r>
        <w:rPr>
          <w:noProof/>
        </w:rPr>
        <w:t xml:space="preserve">La réforme consiste à modifier les règles relatives aux exigences en matière de conflits d'intérêts des commissions d'approvisionnement, à imposer un recours plus large aux critères qualitatifs pour l'attribution des marchés, à imposer un recours plus large aux consultations du marché et à élargir les critères d'exclusion pour les soumissionnaires. </w:t>
      </w:r>
    </w:p>
    <w:p w14:paraId="21623C04" w14:textId="77777777" w:rsidR="008E6885" w:rsidRDefault="00EA24E7">
      <w:pPr>
        <w:pStyle w:val="P68B1DB1-Normal5"/>
        <w:spacing w:after="240" w:line="240" w:lineRule="auto"/>
        <w:jc w:val="both"/>
        <w:rPr>
          <w:rFonts w:cs="Times New Roman"/>
          <w:noProof/>
          <w:u w:val="single"/>
        </w:rPr>
      </w:pPr>
      <w:r>
        <w:rPr>
          <w:noProof/>
        </w:rPr>
        <w:t>La réforme est mise en œuvre au plus tard le 31 décembre 2021.</w:t>
      </w:r>
    </w:p>
    <w:p w14:paraId="50A53B52" w14:textId="77777777" w:rsidR="008E6885" w:rsidRDefault="00EA24E7">
      <w:pPr>
        <w:pStyle w:val="P68B1DB1-Normal7"/>
        <w:keepNext/>
        <w:keepLines/>
        <w:spacing w:after="120" w:line="240" w:lineRule="auto"/>
        <w:jc w:val="both"/>
        <w:rPr>
          <w:rFonts w:cs="Times New Roman"/>
          <w:noProof/>
        </w:rPr>
      </w:pPr>
      <w:r>
        <w:rPr>
          <w:noProof/>
        </w:rPr>
        <w:t xml:space="preserve">Réforme: 6.4.3.r. Élaboration et mise en œuvre d'une stratégie de professionnalisation </w:t>
      </w:r>
    </w:p>
    <w:p w14:paraId="6DE198C5" w14:textId="77777777" w:rsidR="008E6885" w:rsidRDefault="00EA24E7">
      <w:pPr>
        <w:pStyle w:val="P68B1DB1-Normal5"/>
        <w:spacing w:after="120" w:line="240" w:lineRule="auto"/>
        <w:jc w:val="both"/>
        <w:rPr>
          <w:rFonts w:cs="Times New Roman"/>
          <w:noProof/>
        </w:rPr>
      </w:pPr>
      <w:r>
        <w:rPr>
          <w:noProof/>
        </w:rPr>
        <w:t xml:space="preserve">L’objectif de la mesure est d’accroître la qualité et l’efficacité des marchés publics tout en optimisant les ressources utilisées par le développement des compétences, des aptitudes et des capacités des acheteurs publics. </w:t>
      </w:r>
    </w:p>
    <w:p w14:paraId="02AEB18F" w14:textId="3E6FC075" w:rsidR="008E6885" w:rsidRDefault="00EA24E7">
      <w:pPr>
        <w:pStyle w:val="P68B1DB1-Normal4"/>
        <w:spacing w:after="240" w:line="240" w:lineRule="auto"/>
        <w:jc w:val="both"/>
        <w:rPr>
          <w:rFonts w:cs="Times New Roman"/>
          <w:noProof/>
        </w:rPr>
      </w:pPr>
      <w:r>
        <w:rPr>
          <w:noProof/>
        </w:rPr>
        <w:t>La mesure consiste a) à établir des exigences de qualification normalisées pour les fournisseurs de certains services, qui doivent encore être précisées, b) à exiger l’utilisation de documents normalisés de réception-transfert dans les marchés publics de construction, c) à élaborer un programme de formation unifié pour les acheteurs publics, d) à fixer des exigences relatives à la compétence de la commission des marchés publics dans les marchés publics atteignant un certain seuil de prix contractuels.</w:t>
      </w:r>
    </w:p>
    <w:p w14:paraId="02DE7553" w14:textId="77777777" w:rsidR="008E6885" w:rsidRDefault="00EA24E7">
      <w:pPr>
        <w:pStyle w:val="P68B1DB1-Normal7"/>
        <w:keepNext/>
        <w:keepLines/>
        <w:spacing w:after="120" w:line="240" w:lineRule="auto"/>
        <w:jc w:val="both"/>
        <w:rPr>
          <w:rFonts w:cs="Times New Roman"/>
          <w:noProof/>
        </w:rPr>
      </w:pPr>
      <w:r>
        <w:rPr>
          <w:noProof/>
        </w:rPr>
        <w:t>Réforme: 6.4.4.r. Renforcement des capacités informatiques et analytiques de l'IUB</w:t>
      </w:r>
    </w:p>
    <w:p w14:paraId="2B479160" w14:textId="77777777" w:rsidR="008E6885" w:rsidRDefault="00EA24E7">
      <w:pPr>
        <w:pStyle w:val="P68B1DB1-Normal4"/>
        <w:spacing w:after="120" w:line="240" w:lineRule="auto"/>
        <w:jc w:val="both"/>
        <w:rPr>
          <w:rFonts w:cs="Times New Roman"/>
          <w:noProof/>
        </w:rPr>
      </w:pPr>
      <w:r>
        <w:rPr>
          <w:noProof/>
        </w:rPr>
        <w:t xml:space="preserve">L’objectif de la mesure est de réexaminer les mesures préventives afin de garantir l’identification en temps utile des marchés publics à risque. </w:t>
      </w:r>
    </w:p>
    <w:p w14:paraId="73A0DE64" w14:textId="77777777" w:rsidR="008E6885" w:rsidRDefault="00EA24E7">
      <w:pPr>
        <w:pStyle w:val="P68B1DB1-Normal5"/>
        <w:spacing w:after="120" w:line="240" w:lineRule="auto"/>
        <w:jc w:val="both"/>
        <w:rPr>
          <w:rFonts w:cs="Times New Roman"/>
          <w:noProof/>
        </w:rPr>
      </w:pPr>
      <w:r>
        <w:rPr>
          <w:noProof/>
        </w:rPr>
        <w:t>La mesure consiste en a) l'établissement de critères permettant d'identifier les secteurs de marché, les clients et les achats à risque, et b) la mise à disposition d'un système de gestion des publications.</w:t>
      </w:r>
    </w:p>
    <w:p w14:paraId="51E89ABA" w14:textId="77777777" w:rsidR="008E6885" w:rsidRDefault="008E6885">
      <w:pPr>
        <w:spacing w:before="120" w:after="120" w:line="240" w:lineRule="auto"/>
        <w:jc w:val="both"/>
        <w:rPr>
          <w:rFonts w:ascii="Times New Roman" w:eastAsia="Calibri" w:hAnsi="Times New Roman" w:cs="Times New Roman"/>
          <w:noProof/>
          <w:kern w:val="0"/>
          <w14:ligatures w14:val="none"/>
        </w:rPr>
        <w:sectPr w:rsidR="008E6885" w:rsidSect="0048758A">
          <w:headerReference w:type="default" r:id="rId39"/>
          <w:footerReference w:type="default" r:id="rId40"/>
          <w:pgSz w:w="11906" w:h="16838"/>
          <w:pgMar w:top="1440" w:right="1440" w:bottom="1440" w:left="1440" w:header="708" w:footer="708" w:gutter="0"/>
          <w:cols w:space="708"/>
          <w:docGrid w:linePitch="360"/>
        </w:sectPr>
      </w:pPr>
    </w:p>
    <w:p w14:paraId="102C74F7" w14:textId="2AEF9B58" w:rsidR="008E6885" w:rsidRDefault="00EA24E7">
      <w:pPr>
        <w:pStyle w:val="P68B1DB1-Normal1"/>
        <w:spacing w:before="120" w:after="120" w:line="240" w:lineRule="auto"/>
        <w:jc w:val="center"/>
        <w:rPr>
          <w:noProof/>
        </w:rPr>
      </w:pPr>
      <w:r>
        <w:rPr>
          <w:noProof/>
        </w:rPr>
        <w:t>F.2. Étapes, cibles, indicateurs et calendrier pour le suivi et la mise en œuvre du soutien financier non remboursable</w:t>
      </w:r>
    </w:p>
    <w:tbl>
      <w:tblPr>
        <w:tblW w:w="1531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2139"/>
        <w:gridCol w:w="1418"/>
        <w:gridCol w:w="1559"/>
        <w:gridCol w:w="1843"/>
        <w:gridCol w:w="1419"/>
        <w:gridCol w:w="991"/>
        <w:gridCol w:w="851"/>
        <w:gridCol w:w="992"/>
        <w:gridCol w:w="709"/>
        <w:gridCol w:w="2835"/>
      </w:tblGrid>
      <w:tr w:rsidR="008E6885" w14:paraId="31990124" w14:textId="77777777" w:rsidTr="00D57C89">
        <w:trPr>
          <w:trHeight w:val="300"/>
          <w:tblHeader/>
        </w:trPr>
        <w:tc>
          <w:tcPr>
            <w:tcW w:w="555" w:type="dxa"/>
            <w:vMerge w:val="restart"/>
            <w:shd w:val="clear" w:color="auto" w:fill="BDD7EE"/>
            <w:vAlign w:val="center"/>
            <w:hideMark/>
          </w:tcPr>
          <w:p w14:paraId="7018B6C2" w14:textId="77777777" w:rsidR="008E6885" w:rsidRDefault="00EA24E7">
            <w:pPr>
              <w:pStyle w:val="P68B1DB1-Normal17"/>
              <w:spacing w:after="0" w:line="240" w:lineRule="auto"/>
              <w:jc w:val="center"/>
              <w:rPr>
                <w:rFonts w:eastAsia="Times New Roman" w:cs="Times New Roman"/>
                <w:noProof/>
              </w:rPr>
            </w:pPr>
            <w:r>
              <w:rPr>
                <w:noProof/>
              </w:rPr>
              <w:t>Nr</w:t>
            </w:r>
          </w:p>
        </w:tc>
        <w:tc>
          <w:tcPr>
            <w:tcW w:w="2139" w:type="dxa"/>
            <w:vMerge w:val="restart"/>
            <w:shd w:val="clear" w:color="auto" w:fill="BDD7EE"/>
            <w:vAlign w:val="center"/>
            <w:hideMark/>
          </w:tcPr>
          <w:p w14:paraId="7F282117" w14:textId="77777777" w:rsidR="008E6885" w:rsidRDefault="00EA24E7">
            <w:pPr>
              <w:pStyle w:val="P68B1DB1-Normal17"/>
              <w:spacing w:after="0" w:line="240" w:lineRule="auto"/>
              <w:jc w:val="center"/>
              <w:rPr>
                <w:rFonts w:eastAsia="Times New Roman" w:cs="Times New Roman"/>
                <w:bCs/>
                <w:noProof/>
              </w:rPr>
            </w:pPr>
            <w:r>
              <w:rPr>
                <w:noProof/>
              </w:rPr>
              <w:t>Mesure connexe (réforme ou investissement)</w:t>
            </w:r>
          </w:p>
        </w:tc>
        <w:tc>
          <w:tcPr>
            <w:tcW w:w="1418" w:type="dxa"/>
            <w:vMerge w:val="restart"/>
            <w:shd w:val="clear" w:color="auto" w:fill="BDD7EE"/>
            <w:vAlign w:val="center"/>
            <w:hideMark/>
          </w:tcPr>
          <w:p w14:paraId="418A6FDC" w14:textId="77777777" w:rsidR="008E6885" w:rsidRDefault="00EA24E7">
            <w:pPr>
              <w:pStyle w:val="P68B1DB1-Normal17"/>
              <w:spacing w:after="0" w:line="240" w:lineRule="auto"/>
              <w:jc w:val="center"/>
              <w:rPr>
                <w:rFonts w:eastAsia="Times New Roman" w:cs="Times New Roman"/>
                <w:bCs/>
                <w:noProof/>
              </w:rPr>
            </w:pPr>
            <w:r>
              <w:rPr>
                <w:noProof/>
              </w:rPr>
              <w:t>Étape/objectif</w:t>
            </w:r>
          </w:p>
        </w:tc>
        <w:tc>
          <w:tcPr>
            <w:tcW w:w="1559" w:type="dxa"/>
            <w:vMerge w:val="restart"/>
            <w:shd w:val="clear" w:color="auto" w:fill="BDD7EE"/>
            <w:vAlign w:val="center"/>
            <w:hideMark/>
          </w:tcPr>
          <w:p w14:paraId="76F2122D" w14:textId="77777777" w:rsidR="008E6885" w:rsidRDefault="00EA24E7">
            <w:pPr>
              <w:pStyle w:val="P68B1DB1-Normal17"/>
              <w:spacing w:after="0" w:line="240" w:lineRule="auto"/>
              <w:jc w:val="center"/>
              <w:rPr>
                <w:rFonts w:eastAsia="Times New Roman" w:cs="Times New Roman"/>
                <w:bCs/>
                <w:noProof/>
              </w:rPr>
            </w:pPr>
            <w:r>
              <w:rPr>
                <w:noProof/>
              </w:rPr>
              <w:t>Nom</w:t>
            </w:r>
          </w:p>
        </w:tc>
        <w:tc>
          <w:tcPr>
            <w:tcW w:w="1843" w:type="dxa"/>
            <w:vMerge w:val="restart"/>
            <w:shd w:val="clear" w:color="auto" w:fill="BDD7EE"/>
            <w:vAlign w:val="center"/>
            <w:hideMark/>
          </w:tcPr>
          <w:p w14:paraId="3FB03E96" w14:textId="77777777" w:rsidR="008E6885" w:rsidRDefault="00EA24E7">
            <w:pPr>
              <w:pStyle w:val="P68B1DB1-Normal18"/>
              <w:spacing w:after="0" w:line="240" w:lineRule="auto"/>
              <w:jc w:val="center"/>
              <w:rPr>
                <w:rFonts w:ascii="Times New Roman" w:eastAsia="Times New Roman" w:hAnsi="Times New Roman" w:cs="Times New Roman"/>
                <w:b/>
                <w:bCs/>
                <w:noProof/>
              </w:rPr>
            </w:pPr>
            <w:r>
              <w:rPr>
                <w:rFonts w:ascii="Times New Roman" w:eastAsia="Calibri" w:hAnsi="Times New Roman" w:cs="Arial"/>
                <w:b/>
                <w:noProof/>
              </w:rPr>
              <w:t>Indicateurs qualitatifs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(pour les jalons)</w:t>
            </w:r>
          </w:p>
        </w:tc>
        <w:tc>
          <w:tcPr>
            <w:tcW w:w="3261" w:type="dxa"/>
            <w:gridSpan w:val="3"/>
            <w:shd w:val="clear" w:color="auto" w:fill="BDD7EE"/>
            <w:vAlign w:val="center"/>
            <w:hideMark/>
          </w:tcPr>
          <w:p w14:paraId="675DCC3E" w14:textId="77777777" w:rsidR="008E6885" w:rsidRDefault="00EA24E7">
            <w:pPr>
              <w:pStyle w:val="P68B1DB1-Normal18"/>
              <w:spacing w:after="0" w:line="240" w:lineRule="auto"/>
              <w:jc w:val="center"/>
              <w:rPr>
                <w:rFonts w:ascii="Times New Roman" w:eastAsia="Times New Roman" w:hAnsi="Times New Roman" w:cs="Times New Roman"/>
                <w:b/>
                <w:bCs/>
                <w:noProof/>
              </w:rPr>
            </w:pPr>
            <w:r>
              <w:rPr>
                <w:rFonts w:ascii="Times New Roman" w:eastAsia="Calibri" w:hAnsi="Times New Roman" w:cs="Arial"/>
                <w:b/>
                <w:noProof/>
              </w:rPr>
              <w:t>Indicateurs quantitatifs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(pour les objectifs)</w:t>
            </w:r>
          </w:p>
        </w:tc>
        <w:tc>
          <w:tcPr>
            <w:tcW w:w="1701" w:type="dxa"/>
            <w:gridSpan w:val="2"/>
            <w:shd w:val="clear" w:color="auto" w:fill="BDD7EE"/>
            <w:vAlign w:val="center"/>
            <w:hideMark/>
          </w:tcPr>
          <w:p w14:paraId="147158DE" w14:textId="77777777" w:rsidR="008E6885" w:rsidRDefault="00EA24E7">
            <w:pPr>
              <w:pStyle w:val="P68B1DB1-Normal17"/>
              <w:spacing w:after="0" w:line="240" w:lineRule="auto"/>
              <w:jc w:val="center"/>
              <w:rPr>
                <w:rFonts w:eastAsia="Times New Roman" w:cs="Times New Roman"/>
                <w:bCs/>
                <w:noProof/>
              </w:rPr>
            </w:pPr>
            <w:r>
              <w:rPr>
                <w:noProof/>
              </w:rPr>
              <w:t>Calendrier indicatif d'achèvement</w:t>
            </w:r>
          </w:p>
        </w:tc>
        <w:tc>
          <w:tcPr>
            <w:tcW w:w="2835" w:type="dxa"/>
            <w:vMerge w:val="restart"/>
            <w:shd w:val="clear" w:color="auto" w:fill="BDD7EE"/>
            <w:vAlign w:val="center"/>
            <w:hideMark/>
          </w:tcPr>
          <w:p w14:paraId="5B6AF72B" w14:textId="77777777" w:rsidR="008E6885" w:rsidRDefault="00EA24E7">
            <w:pPr>
              <w:pStyle w:val="P68B1DB1-Normal17"/>
              <w:spacing w:after="0" w:line="240" w:lineRule="auto"/>
              <w:jc w:val="center"/>
              <w:rPr>
                <w:rFonts w:eastAsia="Times New Roman" w:cs="Times New Roman"/>
                <w:bCs/>
                <w:noProof/>
              </w:rPr>
            </w:pPr>
            <w:r>
              <w:rPr>
                <w:noProof/>
              </w:rPr>
              <w:t>Description et définition claire de chaque jalon et cible</w:t>
            </w:r>
          </w:p>
        </w:tc>
      </w:tr>
      <w:tr w:rsidR="008E6885" w14:paraId="424E60E8" w14:textId="77777777" w:rsidTr="00D57C89">
        <w:trPr>
          <w:trHeight w:val="300"/>
          <w:tblHeader/>
        </w:trPr>
        <w:tc>
          <w:tcPr>
            <w:tcW w:w="555" w:type="dxa"/>
            <w:vMerge/>
            <w:vAlign w:val="center"/>
            <w:hideMark/>
          </w:tcPr>
          <w:p w14:paraId="55CD97B8" w14:textId="77777777" w:rsidR="008E6885" w:rsidRDefault="008E6885">
            <w:pPr>
              <w:spacing w:after="0" w:line="240" w:lineRule="auto"/>
              <w:jc w:val="both"/>
              <w:rPr>
                <w:rFonts w:ascii="Times New Roman" w:eastAsia="Times New Roman" w:hAnsi="Times New Roman" w:cs="Times New Roman"/>
                <w:b/>
                <w:bCs/>
                <w:noProof/>
                <w:kern w:val="0"/>
                <w:sz w:val="18"/>
                <w:szCs w:val="18"/>
                <w14:ligatures w14:val="none"/>
              </w:rPr>
            </w:pPr>
          </w:p>
        </w:tc>
        <w:tc>
          <w:tcPr>
            <w:tcW w:w="2139" w:type="dxa"/>
            <w:vMerge/>
            <w:vAlign w:val="center"/>
            <w:hideMark/>
          </w:tcPr>
          <w:p w14:paraId="4B425F49" w14:textId="77777777" w:rsidR="008E6885" w:rsidRDefault="008E6885">
            <w:pPr>
              <w:spacing w:after="0" w:line="240" w:lineRule="auto"/>
              <w:rPr>
                <w:rFonts w:ascii="Times New Roman" w:eastAsia="Times New Roman" w:hAnsi="Times New Roman" w:cs="Times New Roman"/>
                <w:b/>
                <w:bCs/>
                <w:noProof/>
                <w:kern w:val="0"/>
                <w:sz w:val="18"/>
                <w:szCs w:val="18"/>
                <w14:ligatures w14:val="none"/>
              </w:rPr>
            </w:pPr>
          </w:p>
        </w:tc>
        <w:tc>
          <w:tcPr>
            <w:tcW w:w="1418" w:type="dxa"/>
            <w:vMerge/>
            <w:vAlign w:val="center"/>
            <w:hideMark/>
          </w:tcPr>
          <w:p w14:paraId="4C4E4D82" w14:textId="77777777" w:rsidR="008E6885" w:rsidRDefault="008E6885">
            <w:pPr>
              <w:spacing w:after="0" w:line="240" w:lineRule="auto"/>
              <w:rPr>
                <w:rFonts w:ascii="Times New Roman" w:eastAsia="Times New Roman" w:hAnsi="Times New Roman" w:cs="Times New Roman"/>
                <w:b/>
                <w:bCs/>
                <w:noProof/>
                <w:kern w:val="0"/>
                <w:sz w:val="18"/>
                <w:szCs w:val="18"/>
                <w14:ligatures w14:val="none"/>
              </w:rPr>
            </w:pPr>
          </w:p>
        </w:tc>
        <w:tc>
          <w:tcPr>
            <w:tcW w:w="1559" w:type="dxa"/>
            <w:vMerge/>
            <w:vAlign w:val="center"/>
            <w:hideMark/>
          </w:tcPr>
          <w:p w14:paraId="730053D5" w14:textId="77777777" w:rsidR="008E6885" w:rsidRDefault="008E6885">
            <w:pPr>
              <w:spacing w:after="0" w:line="240" w:lineRule="auto"/>
              <w:rPr>
                <w:rFonts w:ascii="Times New Roman" w:eastAsia="Times New Roman" w:hAnsi="Times New Roman" w:cs="Times New Roman"/>
                <w:b/>
                <w:bCs/>
                <w:noProof/>
                <w:kern w:val="0"/>
                <w:sz w:val="18"/>
                <w:szCs w:val="18"/>
                <w14:ligatures w14:val="none"/>
              </w:rPr>
            </w:pPr>
          </w:p>
        </w:tc>
        <w:tc>
          <w:tcPr>
            <w:tcW w:w="1843" w:type="dxa"/>
            <w:vMerge/>
            <w:vAlign w:val="center"/>
            <w:hideMark/>
          </w:tcPr>
          <w:p w14:paraId="6E9D09E3" w14:textId="77777777" w:rsidR="008E6885" w:rsidRDefault="008E6885">
            <w:pPr>
              <w:spacing w:after="0" w:line="240" w:lineRule="auto"/>
              <w:rPr>
                <w:rFonts w:ascii="Times New Roman" w:eastAsia="Times New Roman" w:hAnsi="Times New Roman" w:cs="Times New Roman"/>
                <w:b/>
                <w:bCs/>
                <w:noProof/>
                <w:kern w:val="0"/>
                <w:sz w:val="18"/>
                <w:szCs w:val="18"/>
                <w14:ligatures w14:val="none"/>
              </w:rPr>
            </w:pPr>
          </w:p>
        </w:tc>
        <w:tc>
          <w:tcPr>
            <w:tcW w:w="1419" w:type="dxa"/>
            <w:shd w:val="clear" w:color="auto" w:fill="BDD7EE"/>
            <w:vAlign w:val="center"/>
            <w:hideMark/>
          </w:tcPr>
          <w:p w14:paraId="19913EE1" w14:textId="77777777" w:rsidR="008E6885" w:rsidRDefault="00EA24E7">
            <w:pPr>
              <w:pStyle w:val="P68B1DB1-Normal17"/>
              <w:spacing w:after="0" w:line="240" w:lineRule="auto"/>
              <w:jc w:val="center"/>
              <w:rPr>
                <w:rFonts w:eastAsia="Times New Roman" w:cs="Times New Roman"/>
                <w:bCs/>
                <w:noProof/>
              </w:rPr>
            </w:pPr>
            <w:r>
              <w:rPr>
                <w:noProof/>
              </w:rPr>
              <w:t>Unité de mesure</w:t>
            </w:r>
          </w:p>
        </w:tc>
        <w:tc>
          <w:tcPr>
            <w:tcW w:w="991" w:type="dxa"/>
            <w:shd w:val="clear" w:color="auto" w:fill="BDD7EE"/>
            <w:vAlign w:val="center"/>
            <w:hideMark/>
          </w:tcPr>
          <w:p w14:paraId="7426097D" w14:textId="77777777" w:rsidR="008E6885" w:rsidRDefault="00EA24E7">
            <w:pPr>
              <w:pStyle w:val="P68B1DB1-Normal17"/>
              <w:spacing w:after="0" w:line="240" w:lineRule="auto"/>
              <w:jc w:val="center"/>
              <w:rPr>
                <w:rFonts w:eastAsia="Times New Roman" w:cs="Times New Roman"/>
                <w:bCs/>
                <w:noProof/>
              </w:rPr>
            </w:pPr>
            <w:r>
              <w:rPr>
                <w:noProof/>
              </w:rPr>
              <w:t>Données de référence</w:t>
            </w:r>
          </w:p>
        </w:tc>
        <w:tc>
          <w:tcPr>
            <w:tcW w:w="851" w:type="dxa"/>
            <w:shd w:val="clear" w:color="auto" w:fill="BDD7EE"/>
            <w:vAlign w:val="center"/>
            <w:hideMark/>
          </w:tcPr>
          <w:p w14:paraId="7246F2BF" w14:textId="77777777" w:rsidR="008E6885" w:rsidRDefault="00EA24E7">
            <w:pPr>
              <w:pStyle w:val="P68B1DB1-Normal17"/>
              <w:spacing w:after="0" w:line="240" w:lineRule="auto"/>
              <w:jc w:val="center"/>
              <w:rPr>
                <w:rFonts w:eastAsia="Times New Roman" w:cs="Times New Roman"/>
                <w:bCs/>
                <w:noProof/>
              </w:rPr>
            </w:pPr>
            <w:r>
              <w:rPr>
                <w:noProof/>
              </w:rPr>
              <w:t>Objectif</w:t>
            </w:r>
          </w:p>
        </w:tc>
        <w:tc>
          <w:tcPr>
            <w:tcW w:w="992" w:type="dxa"/>
            <w:shd w:val="clear" w:color="auto" w:fill="BDD7EE"/>
            <w:vAlign w:val="center"/>
            <w:hideMark/>
          </w:tcPr>
          <w:p w14:paraId="26DB90C9" w14:textId="77777777" w:rsidR="008E6885" w:rsidRDefault="00EA24E7">
            <w:pPr>
              <w:pStyle w:val="P68B1DB1-Normal17"/>
              <w:spacing w:after="0" w:line="240" w:lineRule="auto"/>
              <w:jc w:val="center"/>
              <w:rPr>
                <w:rFonts w:eastAsia="Times New Roman" w:cs="Times New Roman"/>
                <w:bCs/>
                <w:noProof/>
              </w:rPr>
            </w:pPr>
            <w:r>
              <w:rPr>
                <w:noProof/>
              </w:rPr>
              <w:t>Trimestre</w:t>
            </w:r>
          </w:p>
        </w:tc>
        <w:tc>
          <w:tcPr>
            <w:tcW w:w="709" w:type="dxa"/>
            <w:shd w:val="clear" w:color="auto" w:fill="BDD7EE"/>
            <w:vAlign w:val="center"/>
            <w:hideMark/>
          </w:tcPr>
          <w:p w14:paraId="504E2B30" w14:textId="77777777" w:rsidR="008E6885" w:rsidRDefault="00EA24E7">
            <w:pPr>
              <w:pStyle w:val="P68B1DB1-Normal17"/>
              <w:spacing w:after="0" w:line="240" w:lineRule="auto"/>
              <w:jc w:val="center"/>
              <w:rPr>
                <w:rFonts w:eastAsia="Times New Roman" w:cs="Times New Roman"/>
                <w:bCs/>
                <w:noProof/>
              </w:rPr>
            </w:pPr>
            <w:r>
              <w:rPr>
                <w:noProof/>
              </w:rPr>
              <w:t>Année</w:t>
            </w:r>
          </w:p>
        </w:tc>
        <w:tc>
          <w:tcPr>
            <w:tcW w:w="2835" w:type="dxa"/>
            <w:vMerge/>
            <w:vAlign w:val="center"/>
            <w:hideMark/>
          </w:tcPr>
          <w:p w14:paraId="61DBA4CE" w14:textId="77777777" w:rsidR="008E6885" w:rsidRDefault="008E6885">
            <w:pPr>
              <w:spacing w:after="0" w:line="240" w:lineRule="auto"/>
              <w:jc w:val="both"/>
              <w:rPr>
                <w:rFonts w:ascii="Times New Roman" w:eastAsia="Times New Roman" w:hAnsi="Times New Roman" w:cs="Times New Roman"/>
                <w:b/>
                <w:bCs/>
                <w:noProof/>
                <w:kern w:val="0"/>
                <w:sz w:val="18"/>
                <w:szCs w:val="18"/>
                <w14:ligatures w14:val="none"/>
              </w:rPr>
            </w:pPr>
          </w:p>
        </w:tc>
      </w:tr>
      <w:tr w:rsidR="008E6885" w14:paraId="2CC75066" w14:textId="77777777" w:rsidTr="00D57C89">
        <w:trPr>
          <w:trHeight w:val="300"/>
        </w:trPr>
        <w:tc>
          <w:tcPr>
            <w:tcW w:w="555" w:type="dxa"/>
            <w:shd w:val="clear" w:color="auto" w:fill="C6EFCE"/>
            <w:hideMark/>
          </w:tcPr>
          <w:p w14:paraId="53E8779A" w14:textId="77777777" w:rsidR="008E6885" w:rsidRDefault="00EA24E7">
            <w:pPr>
              <w:pStyle w:val="P68B1DB1-Normal19"/>
              <w:spacing w:after="0" w:line="240" w:lineRule="auto"/>
              <w:jc w:val="both"/>
              <w:rPr>
                <w:rFonts w:eastAsia="Times New Roman" w:cs="Times New Roman"/>
                <w:noProof/>
              </w:rPr>
            </w:pPr>
            <w:r>
              <w:rPr>
                <w:noProof/>
              </w:rPr>
              <w:t>166</w:t>
            </w:r>
          </w:p>
        </w:tc>
        <w:tc>
          <w:tcPr>
            <w:tcW w:w="2139" w:type="dxa"/>
            <w:shd w:val="clear" w:color="auto" w:fill="C6EFCE"/>
            <w:hideMark/>
          </w:tcPr>
          <w:p w14:paraId="18412830" w14:textId="77777777" w:rsidR="008E6885" w:rsidRDefault="00EA24E7">
            <w:pPr>
              <w:pStyle w:val="P68B1DB1-Normal17"/>
              <w:spacing w:after="0" w:line="240" w:lineRule="auto"/>
              <w:rPr>
                <w:rFonts w:eastAsia="Times New Roman" w:cs="Times New Roman"/>
                <w:bCs/>
                <w:noProof/>
              </w:rPr>
            </w:pPr>
            <w:r>
              <w:rPr>
                <w:noProof/>
              </w:rPr>
              <w:t>6.1.1.r. Renforcer l'analyse et développer la gestion des données dans le domaine de l'administration fiscale et douanière</w:t>
            </w:r>
          </w:p>
        </w:tc>
        <w:tc>
          <w:tcPr>
            <w:tcW w:w="1418" w:type="dxa"/>
            <w:shd w:val="clear" w:color="auto" w:fill="C6EFCE"/>
            <w:hideMark/>
          </w:tcPr>
          <w:p w14:paraId="16AF79BB"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64DDA890" w14:textId="77777777" w:rsidR="008E6885" w:rsidRDefault="00EA24E7">
            <w:pPr>
              <w:pStyle w:val="P68B1DB1-Normal19"/>
              <w:spacing w:after="0" w:line="240" w:lineRule="auto"/>
              <w:rPr>
                <w:rFonts w:eastAsia="Times New Roman" w:cs="Times New Roman"/>
                <w:noProof/>
              </w:rPr>
            </w:pPr>
            <w:r>
              <w:rPr>
                <w:noProof/>
              </w:rPr>
              <w:t>Adoption d’un plan de travail pour les autorités publiques afin de freiner l’économie souterraine 2021-2022</w:t>
            </w:r>
          </w:p>
        </w:tc>
        <w:tc>
          <w:tcPr>
            <w:tcW w:w="1843" w:type="dxa"/>
            <w:shd w:val="clear" w:color="auto" w:fill="C6EFCE"/>
            <w:hideMark/>
          </w:tcPr>
          <w:p w14:paraId="26988DE8" w14:textId="77777777" w:rsidR="008E6885" w:rsidRDefault="00EA24E7">
            <w:pPr>
              <w:pStyle w:val="P68B1DB1-Normal19"/>
              <w:spacing w:after="0" w:line="240" w:lineRule="auto"/>
              <w:rPr>
                <w:rFonts w:eastAsia="Times New Roman" w:cs="Times New Roman"/>
                <w:noProof/>
              </w:rPr>
            </w:pPr>
            <w:r>
              <w:rPr>
                <w:noProof/>
              </w:rPr>
              <w:t xml:space="preserve">Adoption du plan de travail des autorités nationales visant à limiter l’économie souterraine pour 2021-2022 </w:t>
            </w:r>
          </w:p>
        </w:tc>
        <w:tc>
          <w:tcPr>
            <w:tcW w:w="1419" w:type="dxa"/>
            <w:shd w:val="clear" w:color="auto" w:fill="C6EFCE"/>
            <w:hideMark/>
          </w:tcPr>
          <w:p w14:paraId="4588BED8"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2A0E3BD6"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7F1A52A3"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2FE12583"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6B68D473" w14:textId="77777777" w:rsidR="008E6885" w:rsidRDefault="00EA24E7">
            <w:pPr>
              <w:pStyle w:val="P68B1DB1-Normal19"/>
              <w:spacing w:after="0" w:line="240" w:lineRule="auto"/>
              <w:jc w:val="center"/>
              <w:rPr>
                <w:rFonts w:eastAsia="Times New Roman" w:cs="Times New Roman"/>
                <w:noProof/>
              </w:rPr>
            </w:pPr>
            <w:r>
              <w:rPr>
                <w:noProof/>
              </w:rPr>
              <w:t>2022</w:t>
            </w:r>
          </w:p>
        </w:tc>
        <w:tc>
          <w:tcPr>
            <w:tcW w:w="2835" w:type="dxa"/>
            <w:shd w:val="clear" w:color="auto" w:fill="C6EFCE"/>
            <w:hideMark/>
          </w:tcPr>
          <w:p w14:paraId="14EA07E1" w14:textId="77777777" w:rsidR="008E6885" w:rsidRDefault="00EA24E7">
            <w:pPr>
              <w:pStyle w:val="P68B1DB1-Normal19"/>
              <w:spacing w:after="0" w:line="240" w:lineRule="auto"/>
              <w:jc w:val="both"/>
              <w:rPr>
                <w:rFonts w:eastAsia="Times New Roman" w:cs="Times New Roman"/>
                <w:noProof/>
              </w:rPr>
            </w:pPr>
            <w:r>
              <w:rPr>
                <w:noProof/>
              </w:rPr>
              <w:t>Le plan de travail des institutions nationales visant à freiner l’économie souterraine pour 2021-2022 est adopté. Il comprend les activités suivantes:</w:t>
            </w:r>
          </w:p>
          <w:p w14:paraId="252435E6" w14:textId="77777777" w:rsidR="008E6885" w:rsidRDefault="00EA24E7">
            <w:pPr>
              <w:pStyle w:val="P68B1DB1-ListParagraph27"/>
              <w:numPr>
                <w:ilvl w:val="0"/>
                <w:numId w:val="31"/>
              </w:numPr>
              <w:spacing w:after="0" w:line="240" w:lineRule="auto"/>
              <w:ind w:left="175" w:hanging="175"/>
              <w:jc w:val="both"/>
              <w:rPr>
                <w:rFonts w:eastAsia="Times New Roman" w:cs="Times New Roman"/>
                <w:noProof/>
              </w:rPr>
            </w:pPr>
            <w:r>
              <w:rPr>
                <w:noProof/>
              </w:rPr>
              <w:t>Activité économique non enregistrée/illégale;</w:t>
            </w:r>
          </w:p>
          <w:p w14:paraId="0E2D23BC" w14:textId="77777777" w:rsidR="008E6885" w:rsidRDefault="00EA24E7">
            <w:pPr>
              <w:pStyle w:val="P68B1DB1-ListParagraph27"/>
              <w:numPr>
                <w:ilvl w:val="0"/>
                <w:numId w:val="31"/>
              </w:numPr>
              <w:spacing w:after="0" w:line="240" w:lineRule="auto"/>
              <w:ind w:left="175" w:hanging="175"/>
              <w:jc w:val="both"/>
              <w:rPr>
                <w:rFonts w:eastAsia="Times New Roman" w:cs="Times New Roman"/>
                <w:noProof/>
              </w:rPr>
            </w:pPr>
            <w:r>
              <w:rPr>
                <w:noProof/>
              </w:rPr>
              <w:t>l'emploi non déclaré;</w:t>
            </w:r>
          </w:p>
          <w:p w14:paraId="7795E373" w14:textId="77777777" w:rsidR="008E6885" w:rsidRDefault="00EA24E7">
            <w:pPr>
              <w:pStyle w:val="P68B1DB1-ListParagraph27"/>
              <w:numPr>
                <w:ilvl w:val="0"/>
                <w:numId w:val="31"/>
              </w:numPr>
              <w:spacing w:after="0" w:line="240" w:lineRule="auto"/>
              <w:ind w:left="175" w:hanging="175"/>
              <w:jc w:val="both"/>
              <w:rPr>
                <w:rFonts w:eastAsia="Times New Roman" w:cs="Times New Roman"/>
                <w:noProof/>
              </w:rPr>
            </w:pPr>
            <w:r>
              <w:rPr>
                <w:noProof/>
              </w:rPr>
              <w:t>les transactions non enregistrées et les mouvements illicites de marchandises;</w:t>
            </w:r>
          </w:p>
          <w:p w14:paraId="509AE272" w14:textId="77777777" w:rsidR="008E6885" w:rsidRDefault="00EA24E7">
            <w:pPr>
              <w:pStyle w:val="P68B1DB1-ListParagraph27"/>
              <w:numPr>
                <w:ilvl w:val="0"/>
                <w:numId w:val="31"/>
              </w:numPr>
              <w:spacing w:after="0" w:line="240" w:lineRule="auto"/>
              <w:ind w:left="175" w:hanging="175"/>
              <w:jc w:val="both"/>
              <w:rPr>
                <w:rFonts w:eastAsia="Times New Roman" w:cs="Times New Roman"/>
                <w:noProof/>
              </w:rPr>
            </w:pPr>
            <w:r>
              <w:rPr>
                <w:noProof/>
              </w:rPr>
              <w:t>Mouvements d’espèces non enregistrés/non contrôlés;</w:t>
            </w:r>
          </w:p>
          <w:p w14:paraId="1CB5E2DB" w14:textId="1A29CC9A" w:rsidR="008E6885" w:rsidRDefault="00EA24E7">
            <w:pPr>
              <w:pStyle w:val="P68B1DB1-ListParagraph27"/>
              <w:numPr>
                <w:ilvl w:val="0"/>
                <w:numId w:val="31"/>
              </w:numPr>
              <w:spacing w:after="0" w:line="240" w:lineRule="auto"/>
              <w:ind w:left="175" w:hanging="175"/>
              <w:jc w:val="both"/>
              <w:rPr>
                <w:rFonts w:eastAsia="Times New Roman" w:cs="Times New Roman"/>
                <w:noProof/>
              </w:rPr>
            </w:pPr>
            <w:r>
              <w:rPr>
                <w:noProof/>
              </w:rPr>
              <w:t>Fraude fiscale.</w:t>
            </w:r>
          </w:p>
          <w:p w14:paraId="08CC9D9D" w14:textId="77777777" w:rsidR="008E6885" w:rsidRDefault="00EA24E7">
            <w:pPr>
              <w:pStyle w:val="P68B1DB1-Normal19"/>
              <w:spacing w:after="0" w:line="240" w:lineRule="auto"/>
              <w:jc w:val="both"/>
              <w:rPr>
                <w:rFonts w:eastAsia="Times New Roman" w:cs="Times New Roman"/>
                <w:noProof/>
              </w:rPr>
            </w:pPr>
            <w:r>
              <w:rPr>
                <w:noProof/>
              </w:rPr>
              <w:t>Elle se concentre sur les secteurs économiques présentant le risque d’économie souterraine le plus élevé, tels que la construction, le commerce, les services, la sécurité, la restauration et l’hôtellerie, les transports.</w:t>
            </w:r>
          </w:p>
        </w:tc>
      </w:tr>
      <w:tr w:rsidR="008E6885" w14:paraId="76E67E25" w14:textId="77777777" w:rsidTr="00D57C89">
        <w:trPr>
          <w:trHeight w:val="300"/>
        </w:trPr>
        <w:tc>
          <w:tcPr>
            <w:tcW w:w="555" w:type="dxa"/>
            <w:shd w:val="clear" w:color="auto" w:fill="C6EFCE"/>
            <w:hideMark/>
          </w:tcPr>
          <w:p w14:paraId="75643404" w14:textId="77777777" w:rsidR="008E6885" w:rsidRDefault="00EA24E7">
            <w:pPr>
              <w:pStyle w:val="P68B1DB1-Normal19"/>
              <w:spacing w:after="0" w:line="240" w:lineRule="auto"/>
              <w:jc w:val="both"/>
              <w:rPr>
                <w:rFonts w:eastAsia="Times New Roman" w:cs="Times New Roman"/>
                <w:noProof/>
              </w:rPr>
            </w:pPr>
            <w:r>
              <w:rPr>
                <w:noProof/>
              </w:rPr>
              <w:t>167</w:t>
            </w:r>
          </w:p>
        </w:tc>
        <w:tc>
          <w:tcPr>
            <w:tcW w:w="2139" w:type="dxa"/>
            <w:shd w:val="clear" w:color="auto" w:fill="C6EFCE"/>
            <w:hideMark/>
          </w:tcPr>
          <w:p w14:paraId="202C6AED" w14:textId="77777777" w:rsidR="008E6885" w:rsidRDefault="00EA24E7">
            <w:pPr>
              <w:pStyle w:val="P68B1DB1-Normal17"/>
              <w:spacing w:after="0" w:line="240" w:lineRule="auto"/>
              <w:rPr>
                <w:rFonts w:eastAsia="Times New Roman" w:cs="Times New Roman"/>
                <w:bCs/>
                <w:noProof/>
              </w:rPr>
            </w:pPr>
            <w:r>
              <w:rPr>
                <w:noProof/>
              </w:rPr>
              <w:t>6.1.1.r. Renforcer l'analyse et développer la gestion des données dans le domaine de l'administration fiscale et douanière</w:t>
            </w:r>
          </w:p>
        </w:tc>
        <w:tc>
          <w:tcPr>
            <w:tcW w:w="1418" w:type="dxa"/>
            <w:shd w:val="clear" w:color="auto" w:fill="C6EFCE"/>
            <w:hideMark/>
          </w:tcPr>
          <w:p w14:paraId="630EC81C"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491FB4FC" w14:textId="77777777" w:rsidR="008E6885" w:rsidRDefault="00EA24E7">
            <w:pPr>
              <w:pStyle w:val="P68B1DB1-Normal19"/>
              <w:spacing w:after="0" w:line="240" w:lineRule="auto"/>
              <w:rPr>
                <w:rFonts w:eastAsia="Times New Roman" w:cs="Times New Roman"/>
                <w:noProof/>
              </w:rPr>
            </w:pPr>
            <w:r>
              <w:rPr>
                <w:noProof/>
              </w:rPr>
              <w:t>Mise en service d'un système de notation des contribuables, optimisation des contrôles</w:t>
            </w:r>
          </w:p>
        </w:tc>
        <w:tc>
          <w:tcPr>
            <w:tcW w:w="1843" w:type="dxa"/>
            <w:shd w:val="clear" w:color="auto" w:fill="C6EFCE"/>
            <w:hideMark/>
          </w:tcPr>
          <w:p w14:paraId="606F0714" w14:textId="77777777" w:rsidR="008E6885" w:rsidRDefault="00EA24E7">
            <w:pPr>
              <w:pStyle w:val="P68B1DB1-Normal19"/>
              <w:spacing w:after="0" w:line="240" w:lineRule="auto"/>
              <w:rPr>
                <w:rFonts w:eastAsia="Times New Roman" w:cs="Times New Roman"/>
                <w:noProof/>
              </w:rPr>
            </w:pPr>
            <w:r>
              <w:rPr>
                <w:noProof/>
              </w:rPr>
              <w:t>Entrée en vigueur des actes juridiques</w:t>
            </w:r>
          </w:p>
        </w:tc>
        <w:tc>
          <w:tcPr>
            <w:tcW w:w="1419" w:type="dxa"/>
            <w:shd w:val="clear" w:color="auto" w:fill="C6EFCE"/>
            <w:hideMark/>
          </w:tcPr>
          <w:p w14:paraId="1E6F7ACF"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35C72A4C"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34AE69F2"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22233591"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3BCACE8C" w14:textId="77777777" w:rsidR="008E6885" w:rsidRDefault="00EA24E7">
            <w:pPr>
              <w:pStyle w:val="P68B1DB1-Normal19"/>
              <w:spacing w:after="0" w:line="240" w:lineRule="auto"/>
              <w:jc w:val="center"/>
              <w:rPr>
                <w:rFonts w:eastAsia="Times New Roman" w:cs="Times New Roman"/>
                <w:noProof/>
              </w:rPr>
            </w:pPr>
            <w:r>
              <w:rPr>
                <w:noProof/>
              </w:rPr>
              <w:t>2022</w:t>
            </w:r>
          </w:p>
        </w:tc>
        <w:tc>
          <w:tcPr>
            <w:tcW w:w="2835" w:type="dxa"/>
            <w:shd w:val="clear" w:color="auto" w:fill="C6EFCE"/>
            <w:hideMark/>
          </w:tcPr>
          <w:p w14:paraId="6E62A6A6" w14:textId="77777777" w:rsidR="008E6885" w:rsidRDefault="00EA24E7">
            <w:pPr>
              <w:pStyle w:val="P68B1DB1-Normal19"/>
              <w:spacing w:after="0" w:line="240" w:lineRule="auto"/>
              <w:jc w:val="both"/>
              <w:rPr>
                <w:rFonts w:eastAsia="Times New Roman" w:cs="Times New Roman"/>
                <w:noProof/>
              </w:rPr>
            </w:pPr>
            <w:r>
              <w:rPr>
                <w:noProof/>
              </w:rPr>
              <w:t>Entrée en vigueur des modifications apportées aux actes juridiques, y compris:</w:t>
            </w:r>
          </w:p>
          <w:p w14:paraId="59A02DAE" w14:textId="77777777" w:rsidR="008E6885" w:rsidRDefault="00EA24E7">
            <w:pPr>
              <w:pStyle w:val="P68B1DB1-Normal19"/>
              <w:spacing w:after="0" w:line="240" w:lineRule="auto"/>
              <w:jc w:val="both"/>
              <w:rPr>
                <w:rFonts w:eastAsia="Times New Roman" w:cs="Times New Roman"/>
                <w:noProof/>
              </w:rPr>
            </w:pPr>
            <w:r>
              <w:rPr>
                <w:noProof/>
              </w:rPr>
              <w:t>- le cadre juridique du système de notation des contribuables a été inclus, prévoyant la publication de leur évaluation.</w:t>
            </w:r>
          </w:p>
          <w:p w14:paraId="71056451" w14:textId="77777777" w:rsidR="008E6885" w:rsidRDefault="00EA24E7">
            <w:pPr>
              <w:pStyle w:val="P68B1DB1-Normal19"/>
              <w:spacing w:after="0" w:line="240" w:lineRule="auto"/>
              <w:jc w:val="both"/>
              <w:rPr>
                <w:rFonts w:eastAsia="Times New Roman" w:cs="Times New Roman"/>
                <w:noProof/>
              </w:rPr>
            </w:pPr>
            <w:r>
              <w:rPr>
                <w:noProof/>
              </w:rPr>
              <w:t>- l'optimisation des types de contrôles et d'inspections fiscaux afin d'améliorer l'efficacité des contrôles et des inspections fiscaux.</w:t>
            </w:r>
          </w:p>
        </w:tc>
      </w:tr>
      <w:tr w:rsidR="008E6885" w14:paraId="3E2FB615" w14:textId="77777777" w:rsidTr="00D57C89">
        <w:trPr>
          <w:trHeight w:val="300"/>
        </w:trPr>
        <w:tc>
          <w:tcPr>
            <w:tcW w:w="555" w:type="dxa"/>
            <w:shd w:val="clear" w:color="auto" w:fill="C6EFCE"/>
            <w:hideMark/>
          </w:tcPr>
          <w:p w14:paraId="03824210" w14:textId="77777777" w:rsidR="008E6885" w:rsidRDefault="00EA24E7">
            <w:pPr>
              <w:pStyle w:val="P68B1DB1-Normal19"/>
              <w:spacing w:after="0" w:line="240" w:lineRule="auto"/>
              <w:jc w:val="both"/>
              <w:rPr>
                <w:rFonts w:eastAsia="Times New Roman" w:cs="Times New Roman"/>
                <w:noProof/>
              </w:rPr>
            </w:pPr>
            <w:r>
              <w:rPr>
                <w:noProof/>
              </w:rPr>
              <w:t>168</w:t>
            </w:r>
          </w:p>
        </w:tc>
        <w:tc>
          <w:tcPr>
            <w:tcW w:w="2139" w:type="dxa"/>
            <w:shd w:val="clear" w:color="auto" w:fill="C6EFCE"/>
            <w:hideMark/>
          </w:tcPr>
          <w:p w14:paraId="372D1397" w14:textId="77777777" w:rsidR="008E6885" w:rsidRDefault="00EA24E7">
            <w:pPr>
              <w:pStyle w:val="P68B1DB1-Normal17"/>
              <w:spacing w:after="0" w:line="240" w:lineRule="auto"/>
              <w:rPr>
                <w:rFonts w:eastAsia="Times New Roman" w:cs="Times New Roman"/>
                <w:bCs/>
                <w:noProof/>
              </w:rPr>
            </w:pPr>
            <w:r>
              <w:rPr>
                <w:noProof/>
              </w:rPr>
              <w:t>6.1.1.r. Renforcer l'analyse et développer la gestion des données dans le domaine de l'administration fiscale et douanière</w:t>
            </w:r>
          </w:p>
        </w:tc>
        <w:tc>
          <w:tcPr>
            <w:tcW w:w="1418" w:type="dxa"/>
            <w:shd w:val="clear" w:color="auto" w:fill="C6EFCE"/>
            <w:hideMark/>
          </w:tcPr>
          <w:p w14:paraId="57554F09"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7EC5FB89" w14:textId="77777777" w:rsidR="008E6885" w:rsidRDefault="00EA24E7">
            <w:pPr>
              <w:pStyle w:val="P68B1DB1-Normal19"/>
              <w:spacing w:after="0" w:line="240" w:lineRule="auto"/>
              <w:rPr>
                <w:rFonts w:eastAsia="Times New Roman" w:cs="Times New Roman"/>
                <w:noProof/>
              </w:rPr>
            </w:pPr>
            <w:r>
              <w:rPr>
                <w:noProof/>
              </w:rPr>
              <w:t>Mise en service d’un panier de services fondés sur des données pour chaque groupe de segmentation de contribuables</w:t>
            </w:r>
          </w:p>
        </w:tc>
        <w:tc>
          <w:tcPr>
            <w:tcW w:w="1843" w:type="dxa"/>
            <w:shd w:val="clear" w:color="auto" w:fill="C6EFCE"/>
            <w:hideMark/>
          </w:tcPr>
          <w:p w14:paraId="0C4FACDC" w14:textId="77777777" w:rsidR="008E6885" w:rsidRDefault="00EA24E7">
            <w:pPr>
              <w:pStyle w:val="P68B1DB1-Normal19"/>
              <w:spacing w:after="0" w:line="240" w:lineRule="auto"/>
              <w:rPr>
                <w:rFonts w:eastAsia="Times New Roman" w:cs="Times New Roman"/>
                <w:noProof/>
              </w:rPr>
            </w:pPr>
            <w:r>
              <w:rPr>
                <w:noProof/>
              </w:rPr>
              <w:t>Modification des règles internes de l’administration fiscale et/ou de la ou des plateformes de prestation de services</w:t>
            </w:r>
          </w:p>
        </w:tc>
        <w:tc>
          <w:tcPr>
            <w:tcW w:w="1419" w:type="dxa"/>
            <w:shd w:val="clear" w:color="auto" w:fill="C6EFCE"/>
            <w:hideMark/>
          </w:tcPr>
          <w:p w14:paraId="67A73196"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14263424"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18AB0B18"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74D54C2A" w14:textId="77777777" w:rsidR="008E6885" w:rsidRDefault="00EA24E7">
            <w:pPr>
              <w:pStyle w:val="P68B1DB1-Normal19"/>
              <w:spacing w:after="0" w:line="240" w:lineRule="auto"/>
              <w:jc w:val="center"/>
              <w:rPr>
                <w:rFonts w:eastAsia="Times New Roman" w:cs="Times New Roman"/>
                <w:noProof/>
              </w:rPr>
            </w:pPr>
            <w:r>
              <w:rPr>
                <w:noProof/>
              </w:rPr>
              <w:t>T2</w:t>
            </w:r>
          </w:p>
        </w:tc>
        <w:tc>
          <w:tcPr>
            <w:tcW w:w="709" w:type="dxa"/>
            <w:shd w:val="clear" w:color="auto" w:fill="C6EFCE"/>
            <w:hideMark/>
          </w:tcPr>
          <w:p w14:paraId="35D7ED28" w14:textId="77777777" w:rsidR="008E6885" w:rsidRDefault="00EA24E7">
            <w:pPr>
              <w:pStyle w:val="P68B1DB1-Normal19"/>
              <w:spacing w:after="0" w:line="240" w:lineRule="auto"/>
              <w:jc w:val="center"/>
              <w:rPr>
                <w:rFonts w:eastAsia="Times New Roman" w:cs="Times New Roman"/>
                <w:noProof/>
              </w:rPr>
            </w:pPr>
            <w:r>
              <w:rPr>
                <w:noProof/>
              </w:rPr>
              <w:t>2024</w:t>
            </w:r>
          </w:p>
        </w:tc>
        <w:tc>
          <w:tcPr>
            <w:tcW w:w="2835" w:type="dxa"/>
            <w:shd w:val="clear" w:color="auto" w:fill="C6EFCE"/>
            <w:hideMark/>
          </w:tcPr>
          <w:p w14:paraId="37B1E1C9" w14:textId="77777777" w:rsidR="008E6885" w:rsidRDefault="00EA24E7">
            <w:pPr>
              <w:pStyle w:val="P68B1DB1-Normal19"/>
              <w:spacing w:after="0" w:line="240" w:lineRule="auto"/>
              <w:jc w:val="both"/>
              <w:rPr>
                <w:rFonts w:eastAsia="Times New Roman" w:cs="Times New Roman"/>
                <w:noProof/>
              </w:rPr>
            </w:pPr>
            <w:r>
              <w:rPr>
                <w:noProof/>
              </w:rPr>
              <w:t>Mise en service d'un panier de services fondé sur des données pour chaque groupe de segmentation de contribuables.</w:t>
            </w:r>
          </w:p>
        </w:tc>
      </w:tr>
      <w:tr w:rsidR="008E6885" w14:paraId="54CBB2C8" w14:textId="77777777" w:rsidTr="00D57C89">
        <w:trPr>
          <w:trHeight w:val="300"/>
        </w:trPr>
        <w:tc>
          <w:tcPr>
            <w:tcW w:w="555" w:type="dxa"/>
            <w:shd w:val="clear" w:color="auto" w:fill="C6EFCE"/>
            <w:hideMark/>
          </w:tcPr>
          <w:p w14:paraId="47692A35" w14:textId="77777777" w:rsidR="008E6885" w:rsidRDefault="00EA24E7">
            <w:pPr>
              <w:pStyle w:val="P68B1DB1-Normal19"/>
              <w:spacing w:after="0" w:line="240" w:lineRule="auto"/>
              <w:jc w:val="both"/>
              <w:rPr>
                <w:rFonts w:eastAsia="Times New Roman" w:cs="Times New Roman"/>
                <w:noProof/>
              </w:rPr>
            </w:pPr>
            <w:r>
              <w:rPr>
                <w:noProof/>
              </w:rPr>
              <w:t>169</w:t>
            </w:r>
          </w:p>
        </w:tc>
        <w:tc>
          <w:tcPr>
            <w:tcW w:w="2139" w:type="dxa"/>
            <w:shd w:val="clear" w:color="auto" w:fill="C6EFCE"/>
            <w:hideMark/>
          </w:tcPr>
          <w:p w14:paraId="28850048" w14:textId="77777777" w:rsidR="008E6885" w:rsidRDefault="00EA24E7">
            <w:pPr>
              <w:pStyle w:val="P68B1DB1-Normal17"/>
              <w:spacing w:after="0" w:line="240" w:lineRule="auto"/>
              <w:rPr>
                <w:rFonts w:eastAsia="Times New Roman" w:cs="Times New Roman"/>
                <w:bCs/>
                <w:noProof/>
              </w:rPr>
            </w:pPr>
            <w:r>
              <w:rPr>
                <w:noProof/>
              </w:rPr>
              <w:t>6.1.1.r. Renforcer l'analyse et développer la gestion des données dans le domaine de l'administration fiscale et douanière</w:t>
            </w:r>
          </w:p>
        </w:tc>
        <w:tc>
          <w:tcPr>
            <w:tcW w:w="1418" w:type="dxa"/>
            <w:shd w:val="clear" w:color="auto" w:fill="C6EFCE"/>
            <w:hideMark/>
          </w:tcPr>
          <w:p w14:paraId="11689982"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74D5D169" w14:textId="77777777" w:rsidR="008E6885" w:rsidRDefault="00EA24E7">
            <w:pPr>
              <w:pStyle w:val="P68B1DB1-Normal19"/>
              <w:spacing w:after="0" w:line="240" w:lineRule="auto"/>
              <w:rPr>
                <w:rFonts w:eastAsia="Times New Roman" w:cs="Times New Roman"/>
                <w:noProof/>
              </w:rPr>
            </w:pPr>
            <w:r>
              <w:rPr>
                <w:noProof/>
              </w:rPr>
              <w:t xml:space="preserve">Publication d'un manuel sur la gestion des risques de conformité </w:t>
            </w:r>
          </w:p>
        </w:tc>
        <w:tc>
          <w:tcPr>
            <w:tcW w:w="1843" w:type="dxa"/>
            <w:shd w:val="clear" w:color="auto" w:fill="C6EFCE"/>
            <w:hideMark/>
          </w:tcPr>
          <w:p w14:paraId="49CFAA65" w14:textId="77777777" w:rsidR="008E6885" w:rsidRDefault="00EA24E7">
            <w:pPr>
              <w:pStyle w:val="P68B1DB1-Normal19"/>
              <w:spacing w:after="0" w:line="240" w:lineRule="auto"/>
              <w:rPr>
                <w:rFonts w:eastAsia="Times New Roman" w:cs="Times New Roman"/>
                <w:noProof/>
              </w:rPr>
            </w:pPr>
            <w:r>
              <w:rPr>
                <w:noProof/>
              </w:rPr>
              <w:t>Modifications du règlement intérieur de l’administration fiscale</w:t>
            </w:r>
          </w:p>
        </w:tc>
        <w:tc>
          <w:tcPr>
            <w:tcW w:w="1419" w:type="dxa"/>
            <w:shd w:val="clear" w:color="auto" w:fill="C6EFCE"/>
            <w:hideMark/>
          </w:tcPr>
          <w:p w14:paraId="3EC8CB45"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382AE318"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6056DF11"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7FB876B9" w14:textId="77777777" w:rsidR="008E6885" w:rsidRDefault="00EA24E7">
            <w:pPr>
              <w:pStyle w:val="P68B1DB1-Normal19"/>
              <w:spacing w:after="0" w:line="240" w:lineRule="auto"/>
              <w:jc w:val="center"/>
              <w:rPr>
                <w:rFonts w:eastAsia="Times New Roman" w:cs="Times New Roman"/>
                <w:noProof/>
              </w:rPr>
            </w:pPr>
            <w:r>
              <w:rPr>
                <w:noProof/>
              </w:rPr>
              <w:t>T3</w:t>
            </w:r>
          </w:p>
        </w:tc>
        <w:tc>
          <w:tcPr>
            <w:tcW w:w="709" w:type="dxa"/>
            <w:shd w:val="clear" w:color="auto" w:fill="C6EFCE"/>
            <w:hideMark/>
          </w:tcPr>
          <w:p w14:paraId="62AF9875" w14:textId="77777777" w:rsidR="008E6885" w:rsidRDefault="00EA24E7">
            <w:pPr>
              <w:pStyle w:val="P68B1DB1-Normal19"/>
              <w:spacing w:after="0" w:line="240" w:lineRule="auto"/>
              <w:jc w:val="center"/>
              <w:rPr>
                <w:rFonts w:eastAsia="Times New Roman" w:cs="Times New Roman"/>
                <w:noProof/>
              </w:rPr>
            </w:pPr>
            <w:r>
              <w:rPr>
                <w:noProof/>
              </w:rPr>
              <w:t>2023</w:t>
            </w:r>
          </w:p>
        </w:tc>
        <w:tc>
          <w:tcPr>
            <w:tcW w:w="2835" w:type="dxa"/>
            <w:shd w:val="clear" w:color="auto" w:fill="C6EFCE"/>
            <w:hideMark/>
          </w:tcPr>
          <w:p w14:paraId="0578A716" w14:textId="77777777" w:rsidR="008E6885" w:rsidRDefault="00EA24E7">
            <w:pPr>
              <w:pStyle w:val="P68B1DB1-Normal19"/>
              <w:spacing w:after="0" w:line="240" w:lineRule="auto"/>
              <w:jc w:val="both"/>
              <w:rPr>
                <w:rFonts w:eastAsia="Times New Roman" w:cs="Times New Roman"/>
                <w:noProof/>
              </w:rPr>
            </w:pPr>
            <w:r>
              <w:rPr>
                <w:noProof/>
              </w:rPr>
              <w:t>Un manuel pour la gestion méthodologique du risque de conformité des salaires non déclarés a été publié, notamment:</w:t>
            </w:r>
          </w:p>
          <w:p w14:paraId="00AE9DA9" w14:textId="77777777" w:rsidR="008E6885" w:rsidRDefault="00EA24E7">
            <w:pPr>
              <w:pStyle w:val="P68B1DB1-Normal19"/>
              <w:spacing w:after="0" w:line="240" w:lineRule="auto"/>
              <w:jc w:val="both"/>
              <w:rPr>
                <w:rFonts w:eastAsia="Times New Roman" w:cs="Times New Roman"/>
                <w:noProof/>
              </w:rPr>
            </w:pPr>
            <w:r>
              <w:rPr>
                <w:noProof/>
              </w:rPr>
              <w:t>- lignes directrices en matière d'évaluation des risques</w:t>
            </w:r>
          </w:p>
          <w:p w14:paraId="45E30561" w14:textId="77777777" w:rsidR="008E6885" w:rsidRDefault="00EA24E7">
            <w:pPr>
              <w:pStyle w:val="P68B1DB1-Normal19"/>
              <w:spacing w:after="0" w:line="240" w:lineRule="auto"/>
              <w:jc w:val="both"/>
              <w:rPr>
                <w:rFonts w:eastAsia="Times New Roman" w:cs="Times New Roman"/>
                <w:noProof/>
              </w:rPr>
            </w:pPr>
            <w:r>
              <w:rPr>
                <w:noProof/>
              </w:rPr>
              <w:t>- aspects des typologies des «payeurs de l’enveloppe»</w:t>
            </w:r>
          </w:p>
          <w:p w14:paraId="315241CB" w14:textId="77777777" w:rsidR="008E6885" w:rsidRDefault="00EA24E7">
            <w:pPr>
              <w:pStyle w:val="P68B1DB1-Normal19"/>
              <w:spacing w:after="0" w:line="240" w:lineRule="auto"/>
              <w:jc w:val="both"/>
              <w:rPr>
                <w:rFonts w:eastAsia="Times New Roman" w:cs="Times New Roman"/>
                <w:noProof/>
              </w:rPr>
            </w:pPr>
            <w:r>
              <w:rPr>
                <w:noProof/>
              </w:rPr>
              <w:t>- aspects des outils de prévention et de contrôle disponibles</w:t>
            </w:r>
          </w:p>
          <w:p w14:paraId="3BB2C8BC" w14:textId="77777777" w:rsidR="008E6885" w:rsidRDefault="00EA24E7">
            <w:pPr>
              <w:pStyle w:val="P68B1DB1-Normal19"/>
              <w:spacing w:after="0" w:line="240" w:lineRule="auto"/>
              <w:jc w:val="both"/>
              <w:rPr>
                <w:rFonts w:eastAsia="Times New Roman" w:cs="Times New Roman"/>
                <w:noProof/>
              </w:rPr>
            </w:pPr>
            <w:r>
              <w:rPr>
                <w:noProof/>
              </w:rPr>
              <w:t>- analyse des décisions de justice dans le domaine des salaires non déclarés.</w:t>
            </w:r>
          </w:p>
        </w:tc>
      </w:tr>
      <w:tr w:rsidR="008E6885" w14:paraId="477DE01C" w14:textId="77777777" w:rsidTr="00D57C89">
        <w:trPr>
          <w:trHeight w:val="300"/>
        </w:trPr>
        <w:tc>
          <w:tcPr>
            <w:tcW w:w="555" w:type="dxa"/>
            <w:shd w:val="clear" w:color="auto" w:fill="C6EFCE"/>
            <w:hideMark/>
          </w:tcPr>
          <w:p w14:paraId="25967E5F" w14:textId="77777777" w:rsidR="008E6885" w:rsidRDefault="00EA24E7">
            <w:pPr>
              <w:pStyle w:val="P68B1DB1-Normal19"/>
              <w:spacing w:after="0" w:line="240" w:lineRule="auto"/>
              <w:jc w:val="both"/>
              <w:rPr>
                <w:rFonts w:eastAsia="Times New Roman" w:cs="Times New Roman"/>
                <w:noProof/>
              </w:rPr>
            </w:pPr>
            <w:r>
              <w:rPr>
                <w:noProof/>
              </w:rPr>
              <w:t>170</w:t>
            </w:r>
          </w:p>
        </w:tc>
        <w:tc>
          <w:tcPr>
            <w:tcW w:w="2139" w:type="dxa"/>
            <w:shd w:val="clear" w:color="auto" w:fill="C6EFCE"/>
            <w:hideMark/>
          </w:tcPr>
          <w:p w14:paraId="197AC294" w14:textId="77777777" w:rsidR="008E6885" w:rsidRDefault="00EA24E7">
            <w:pPr>
              <w:pStyle w:val="P68B1DB1-Normal17"/>
              <w:spacing w:after="0" w:line="240" w:lineRule="auto"/>
              <w:rPr>
                <w:rFonts w:eastAsia="Times New Roman" w:cs="Times New Roman"/>
                <w:bCs/>
                <w:noProof/>
              </w:rPr>
            </w:pPr>
            <w:r>
              <w:rPr>
                <w:noProof/>
              </w:rPr>
              <w:t>6.1.1.r. Renforcer l'analyse et développer la gestion des données dans le domaine de l'administration fiscale et douanière</w:t>
            </w:r>
          </w:p>
        </w:tc>
        <w:tc>
          <w:tcPr>
            <w:tcW w:w="1418" w:type="dxa"/>
            <w:shd w:val="clear" w:color="auto" w:fill="C6EFCE"/>
            <w:hideMark/>
          </w:tcPr>
          <w:p w14:paraId="158766DC" w14:textId="77777777" w:rsidR="008E6885" w:rsidRDefault="00EA24E7">
            <w:pPr>
              <w:pStyle w:val="P68B1DB1-Normal19"/>
              <w:spacing w:after="0" w:line="240" w:lineRule="auto"/>
              <w:rPr>
                <w:rFonts w:eastAsia="Times New Roman" w:cs="Times New Roman"/>
                <w:noProof/>
              </w:rPr>
            </w:pPr>
            <w:r>
              <w:rPr>
                <w:noProof/>
              </w:rPr>
              <w:t>Objectif</w:t>
            </w:r>
          </w:p>
        </w:tc>
        <w:tc>
          <w:tcPr>
            <w:tcW w:w="1559" w:type="dxa"/>
            <w:shd w:val="clear" w:color="auto" w:fill="C6EFCE"/>
            <w:hideMark/>
          </w:tcPr>
          <w:p w14:paraId="0681B727" w14:textId="77777777" w:rsidR="008E6885" w:rsidRDefault="00EA24E7">
            <w:pPr>
              <w:pStyle w:val="P68B1DB1-Normal19"/>
              <w:spacing w:after="0" w:line="240" w:lineRule="auto"/>
              <w:rPr>
                <w:rFonts w:eastAsia="Times New Roman" w:cs="Times New Roman"/>
                <w:noProof/>
              </w:rPr>
            </w:pPr>
            <w:r>
              <w:rPr>
                <w:noProof/>
              </w:rPr>
              <w:t>Mise en œuvre du programme national de recherche «Réduire l’économie souterraine pour assurer le développement durable du pays»</w:t>
            </w:r>
          </w:p>
        </w:tc>
        <w:tc>
          <w:tcPr>
            <w:tcW w:w="1843" w:type="dxa"/>
            <w:shd w:val="clear" w:color="auto" w:fill="C6EFCE"/>
            <w:hideMark/>
          </w:tcPr>
          <w:p w14:paraId="395C139B"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1419" w:type="dxa"/>
            <w:shd w:val="clear" w:color="auto" w:fill="C6EFCE"/>
            <w:hideMark/>
          </w:tcPr>
          <w:p w14:paraId="1C69033E" w14:textId="77777777" w:rsidR="008E6885" w:rsidRDefault="00EA24E7">
            <w:pPr>
              <w:pStyle w:val="P68B1DB1-Normal19"/>
              <w:spacing w:after="0" w:line="240" w:lineRule="auto"/>
              <w:jc w:val="center"/>
              <w:rPr>
                <w:rFonts w:eastAsia="Times New Roman" w:cs="Times New Roman"/>
                <w:noProof/>
              </w:rPr>
            </w:pPr>
            <w:r>
              <w:rPr>
                <w:noProof/>
              </w:rPr>
              <w:t>Nombre de rapports d'étude</w:t>
            </w:r>
          </w:p>
        </w:tc>
        <w:tc>
          <w:tcPr>
            <w:tcW w:w="991" w:type="dxa"/>
            <w:shd w:val="clear" w:color="auto" w:fill="C6EFCE"/>
            <w:hideMark/>
          </w:tcPr>
          <w:p w14:paraId="03AE2483" w14:textId="77777777" w:rsidR="008E6885" w:rsidRDefault="00EA24E7">
            <w:pPr>
              <w:pStyle w:val="P68B1DB1-Normal19"/>
              <w:spacing w:after="0" w:line="240" w:lineRule="auto"/>
              <w:jc w:val="center"/>
              <w:rPr>
                <w:rFonts w:eastAsia="Times New Roman" w:cs="Times New Roman"/>
                <w:noProof/>
              </w:rPr>
            </w:pPr>
            <w:r>
              <w:rPr>
                <w:noProof/>
              </w:rPr>
              <w:t>0</w:t>
            </w:r>
          </w:p>
        </w:tc>
        <w:tc>
          <w:tcPr>
            <w:tcW w:w="851" w:type="dxa"/>
            <w:shd w:val="clear" w:color="auto" w:fill="C6EFCE"/>
            <w:hideMark/>
          </w:tcPr>
          <w:p w14:paraId="4ABB77E7" w14:textId="77777777" w:rsidR="008E6885" w:rsidRDefault="00EA24E7">
            <w:pPr>
              <w:pStyle w:val="P68B1DB1-Normal19"/>
              <w:spacing w:after="0" w:line="240" w:lineRule="auto"/>
              <w:jc w:val="center"/>
              <w:rPr>
                <w:rFonts w:eastAsia="Times New Roman" w:cs="Times New Roman"/>
                <w:noProof/>
              </w:rPr>
            </w:pPr>
            <w:r>
              <w:rPr>
                <w:noProof/>
              </w:rPr>
              <w:t>5</w:t>
            </w:r>
          </w:p>
        </w:tc>
        <w:tc>
          <w:tcPr>
            <w:tcW w:w="992" w:type="dxa"/>
            <w:shd w:val="clear" w:color="auto" w:fill="C6EFCE"/>
            <w:hideMark/>
          </w:tcPr>
          <w:p w14:paraId="14F3A93E"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62B07E92" w14:textId="77777777" w:rsidR="008E6885" w:rsidRDefault="00EA24E7">
            <w:pPr>
              <w:pStyle w:val="P68B1DB1-Normal19"/>
              <w:spacing w:after="0" w:line="240" w:lineRule="auto"/>
              <w:jc w:val="center"/>
              <w:rPr>
                <w:rFonts w:eastAsia="Times New Roman" w:cs="Times New Roman"/>
                <w:noProof/>
              </w:rPr>
            </w:pPr>
            <w:r>
              <w:rPr>
                <w:noProof/>
              </w:rPr>
              <w:t>2022</w:t>
            </w:r>
          </w:p>
        </w:tc>
        <w:tc>
          <w:tcPr>
            <w:tcW w:w="2835" w:type="dxa"/>
            <w:shd w:val="clear" w:color="auto" w:fill="C6EFCE"/>
            <w:hideMark/>
          </w:tcPr>
          <w:p w14:paraId="27F49915" w14:textId="77777777" w:rsidR="008E6885" w:rsidRDefault="00EA24E7">
            <w:pPr>
              <w:pStyle w:val="P68B1DB1-Normal19"/>
              <w:spacing w:after="0" w:line="240" w:lineRule="auto"/>
              <w:jc w:val="both"/>
              <w:rPr>
                <w:rFonts w:eastAsia="Times New Roman" w:cs="Times New Roman"/>
                <w:noProof/>
              </w:rPr>
            </w:pPr>
            <w:r>
              <w:rPr>
                <w:noProof/>
              </w:rPr>
              <w:t>Les recherches suivantes dans le domaine du respect des obligations fiscales sont effectuées:</w:t>
            </w:r>
          </w:p>
          <w:p w14:paraId="36FA041C" w14:textId="77777777" w:rsidR="008E6885" w:rsidRDefault="00EA24E7">
            <w:pPr>
              <w:pStyle w:val="P68B1DB1-ListParagraph27"/>
              <w:numPr>
                <w:ilvl w:val="0"/>
                <w:numId w:val="32"/>
              </w:numPr>
              <w:spacing w:after="0" w:line="240" w:lineRule="auto"/>
              <w:ind w:left="175" w:hanging="175"/>
              <w:jc w:val="both"/>
              <w:rPr>
                <w:rFonts w:eastAsia="Times New Roman" w:cs="Times New Roman"/>
                <w:noProof/>
              </w:rPr>
            </w:pPr>
            <w:r>
              <w:rPr>
                <w:noProof/>
              </w:rPr>
              <w:t>Rapport sur les facteurs influençant l’économie souterraine en Lettonie, en mettant l’accent sur les secteurs les plus importants;</w:t>
            </w:r>
          </w:p>
          <w:p w14:paraId="3F54EBCD" w14:textId="77777777" w:rsidR="008E6885" w:rsidRDefault="00EA24E7">
            <w:pPr>
              <w:pStyle w:val="P68B1DB1-ListParagraph27"/>
              <w:numPr>
                <w:ilvl w:val="0"/>
                <w:numId w:val="32"/>
              </w:numPr>
              <w:spacing w:after="0" w:line="240" w:lineRule="auto"/>
              <w:ind w:left="175" w:hanging="175"/>
              <w:jc w:val="both"/>
              <w:rPr>
                <w:rFonts w:eastAsia="Times New Roman" w:cs="Times New Roman"/>
                <w:noProof/>
              </w:rPr>
            </w:pPr>
            <w:r>
              <w:rPr>
                <w:noProof/>
              </w:rPr>
              <w:t>Rapport sur les déterminants de l’évasion fiscale des particuliers, y compris une analyse de l’incidence du niveau de l’économie souterraine sur le respect des obligations fiscales;</w:t>
            </w:r>
          </w:p>
          <w:p w14:paraId="4481C6B8" w14:textId="77777777" w:rsidR="008E6885" w:rsidRDefault="00EA24E7">
            <w:pPr>
              <w:pStyle w:val="P68B1DB1-ListParagraph27"/>
              <w:numPr>
                <w:ilvl w:val="0"/>
                <w:numId w:val="32"/>
              </w:numPr>
              <w:spacing w:after="0" w:line="240" w:lineRule="auto"/>
              <w:ind w:left="175" w:hanging="175"/>
              <w:jc w:val="both"/>
              <w:rPr>
                <w:rFonts w:eastAsia="Times New Roman" w:cs="Times New Roman"/>
                <w:noProof/>
              </w:rPr>
            </w:pPr>
            <w:r>
              <w:rPr>
                <w:noProof/>
              </w:rPr>
              <w:t>rapport contenant des recommandations stratégiques en vue d’améliorations législatives, organisationnelles, technologiques et autres visant à améliorer le respect des obligations fiscales, y compris une évaluation de l’incidence financière des recommandations proposées;</w:t>
            </w:r>
          </w:p>
          <w:p w14:paraId="0226D10C" w14:textId="77777777" w:rsidR="008E6885" w:rsidRDefault="00EA24E7">
            <w:pPr>
              <w:pStyle w:val="P68B1DB1-ListParagraph27"/>
              <w:numPr>
                <w:ilvl w:val="0"/>
                <w:numId w:val="32"/>
              </w:numPr>
              <w:spacing w:after="0" w:line="240" w:lineRule="auto"/>
              <w:ind w:left="175" w:hanging="175"/>
              <w:jc w:val="both"/>
              <w:rPr>
                <w:rFonts w:eastAsia="Times New Roman" w:cs="Times New Roman"/>
                <w:noProof/>
              </w:rPr>
            </w:pPr>
            <w:r>
              <w:rPr>
                <w:noProof/>
              </w:rPr>
              <w:t>Rapport évaluant le manque à gagner en recettes budgétaires résultant d'activités illégales, y compris des recommandations législatives visant à réduire les risques de circulation illicite de l'argent;</w:t>
            </w:r>
          </w:p>
          <w:p w14:paraId="7C50EC15" w14:textId="359A7928" w:rsidR="008E6885" w:rsidRDefault="00EA24E7">
            <w:pPr>
              <w:pStyle w:val="P68B1DB1-ListParagraph27"/>
              <w:numPr>
                <w:ilvl w:val="0"/>
                <w:numId w:val="32"/>
              </w:numPr>
              <w:spacing w:after="0" w:line="240" w:lineRule="auto"/>
              <w:ind w:left="175" w:hanging="175"/>
              <w:jc w:val="both"/>
              <w:rPr>
                <w:rFonts w:eastAsia="Times New Roman" w:cs="Times New Roman"/>
                <w:noProof/>
              </w:rPr>
            </w:pPr>
            <w:r>
              <w:rPr>
                <w:noProof/>
              </w:rPr>
              <w:t xml:space="preserve">Développement d'une méthodologie pour la mesure de l'économie souterraine, à l'aide d'un modèle dynamique "multi-indicateur - multi-cause", comprenant une ventilation par type d'impôt, taille de l'entreprise et secteurs. </w:t>
            </w:r>
          </w:p>
        </w:tc>
      </w:tr>
      <w:tr w:rsidR="008E6885" w14:paraId="1802C8DA" w14:textId="77777777" w:rsidTr="00D57C89">
        <w:trPr>
          <w:trHeight w:val="300"/>
        </w:trPr>
        <w:tc>
          <w:tcPr>
            <w:tcW w:w="555" w:type="dxa"/>
            <w:shd w:val="clear" w:color="auto" w:fill="C6EFCE"/>
            <w:hideMark/>
          </w:tcPr>
          <w:p w14:paraId="430B5D06" w14:textId="77777777" w:rsidR="008E6885" w:rsidRDefault="00EA24E7">
            <w:pPr>
              <w:pStyle w:val="P68B1DB1-Normal19"/>
              <w:spacing w:after="0" w:line="240" w:lineRule="auto"/>
              <w:jc w:val="both"/>
              <w:rPr>
                <w:rFonts w:eastAsia="Times New Roman" w:cs="Times New Roman"/>
                <w:noProof/>
              </w:rPr>
            </w:pPr>
            <w:r>
              <w:rPr>
                <w:noProof/>
              </w:rPr>
              <w:t>171</w:t>
            </w:r>
          </w:p>
        </w:tc>
        <w:tc>
          <w:tcPr>
            <w:tcW w:w="2139" w:type="dxa"/>
            <w:shd w:val="clear" w:color="auto" w:fill="C6EFCE"/>
            <w:hideMark/>
          </w:tcPr>
          <w:p w14:paraId="25FC9AA1" w14:textId="77777777" w:rsidR="008E6885" w:rsidRDefault="00EA24E7">
            <w:pPr>
              <w:pStyle w:val="P68B1DB1-Normal17"/>
              <w:spacing w:after="0" w:line="240" w:lineRule="auto"/>
              <w:rPr>
                <w:rFonts w:eastAsia="Times New Roman" w:cs="Times New Roman"/>
                <w:bCs/>
                <w:noProof/>
              </w:rPr>
            </w:pPr>
            <w:r>
              <w:rPr>
                <w:noProof/>
              </w:rPr>
              <w:t>6.1.1.r. Renforcer l'analyse et développer la gestion des données dans le domaine de l'administration fiscale et douanière</w:t>
            </w:r>
          </w:p>
        </w:tc>
        <w:tc>
          <w:tcPr>
            <w:tcW w:w="1418" w:type="dxa"/>
            <w:shd w:val="clear" w:color="auto" w:fill="C6EFCE"/>
            <w:hideMark/>
          </w:tcPr>
          <w:p w14:paraId="66C4D818"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28A3071B" w14:textId="77777777" w:rsidR="008E6885" w:rsidRDefault="00EA24E7">
            <w:pPr>
              <w:pStyle w:val="P68B1DB1-Normal19"/>
              <w:spacing w:after="0" w:line="240" w:lineRule="auto"/>
              <w:rPr>
                <w:rFonts w:eastAsia="Times New Roman" w:cs="Times New Roman"/>
                <w:noProof/>
              </w:rPr>
            </w:pPr>
            <w:r>
              <w:rPr>
                <w:noProof/>
              </w:rPr>
              <w:t>Mise en œuvre des résultats de la recherche</w:t>
            </w:r>
          </w:p>
        </w:tc>
        <w:tc>
          <w:tcPr>
            <w:tcW w:w="1843" w:type="dxa"/>
            <w:shd w:val="clear" w:color="auto" w:fill="C6EFCE"/>
            <w:hideMark/>
          </w:tcPr>
          <w:p w14:paraId="1154705A" w14:textId="77777777" w:rsidR="008E6885" w:rsidRDefault="00EA24E7">
            <w:pPr>
              <w:pStyle w:val="P68B1DB1-Normal19"/>
              <w:spacing w:after="0" w:line="240" w:lineRule="auto"/>
              <w:rPr>
                <w:rFonts w:eastAsia="Times New Roman" w:cs="Times New Roman"/>
                <w:noProof/>
              </w:rPr>
            </w:pPr>
            <w:r>
              <w:rPr>
                <w:noProof/>
              </w:rPr>
              <w:t>Publication du rapport d’évaluation de l’économie souterraine</w:t>
            </w:r>
          </w:p>
        </w:tc>
        <w:tc>
          <w:tcPr>
            <w:tcW w:w="1419" w:type="dxa"/>
            <w:shd w:val="clear" w:color="auto" w:fill="C6EFCE"/>
            <w:hideMark/>
          </w:tcPr>
          <w:p w14:paraId="6F66E27E"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590BE5A5"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3875DE1B"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1CD6929E"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6EC384F2" w14:textId="77777777" w:rsidR="008E6885" w:rsidRDefault="00EA24E7">
            <w:pPr>
              <w:pStyle w:val="P68B1DB1-Normal19"/>
              <w:spacing w:after="0" w:line="240" w:lineRule="auto"/>
              <w:jc w:val="center"/>
              <w:rPr>
                <w:rFonts w:eastAsia="Times New Roman" w:cs="Times New Roman"/>
                <w:noProof/>
              </w:rPr>
            </w:pPr>
            <w:r>
              <w:rPr>
                <w:noProof/>
              </w:rPr>
              <w:t>2023</w:t>
            </w:r>
          </w:p>
        </w:tc>
        <w:tc>
          <w:tcPr>
            <w:tcW w:w="2835" w:type="dxa"/>
            <w:shd w:val="clear" w:color="auto" w:fill="C6EFCE"/>
            <w:hideMark/>
          </w:tcPr>
          <w:p w14:paraId="5DD0380A" w14:textId="77777777" w:rsidR="008E6885" w:rsidRDefault="00EA24E7">
            <w:pPr>
              <w:pStyle w:val="P68B1DB1-Normal19"/>
              <w:spacing w:after="0" w:line="240" w:lineRule="auto"/>
              <w:jc w:val="both"/>
              <w:rPr>
                <w:rFonts w:eastAsia="Times New Roman" w:cs="Times New Roman"/>
                <w:noProof/>
              </w:rPr>
            </w:pPr>
            <w:r>
              <w:rPr>
                <w:noProof/>
              </w:rPr>
              <w:t>Un premier rapport d’évaluation de la taille de l’économie souterraine fondé sur la méthodologie élaborée en 2022 est publié.</w:t>
            </w:r>
          </w:p>
        </w:tc>
      </w:tr>
      <w:tr w:rsidR="008E6885" w14:paraId="74B9767F" w14:textId="77777777" w:rsidTr="00D57C89">
        <w:trPr>
          <w:trHeight w:val="300"/>
        </w:trPr>
        <w:tc>
          <w:tcPr>
            <w:tcW w:w="555" w:type="dxa"/>
            <w:shd w:val="clear" w:color="auto" w:fill="C6EFCE"/>
            <w:hideMark/>
          </w:tcPr>
          <w:p w14:paraId="3DE01848" w14:textId="77777777" w:rsidR="008E6885" w:rsidRDefault="00EA24E7">
            <w:pPr>
              <w:pStyle w:val="P68B1DB1-Normal19"/>
              <w:spacing w:after="0" w:line="240" w:lineRule="auto"/>
              <w:jc w:val="both"/>
              <w:rPr>
                <w:rFonts w:eastAsia="Times New Roman" w:cs="Times New Roman"/>
                <w:noProof/>
              </w:rPr>
            </w:pPr>
            <w:r>
              <w:rPr>
                <w:noProof/>
              </w:rPr>
              <w:t>172</w:t>
            </w:r>
          </w:p>
        </w:tc>
        <w:tc>
          <w:tcPr>
            <w:tcW w:w="2139" w:type="dxa"/>
            <w:shd w:val="clear" w:color="auto" w:fill="C6EFCE"/>
            <w:hideMark/>
          </w:tcPr>
          <w:p w14:paraId="591047C3" w14:textId="77777777" w:rsidR="008E6885" w:rsidRDefault="00EA24E7">
            <w:pPr>
              <w:pStyle w:val="P68B1DB1-Normal17"/>
              <w:spacing w:after="0" w:line="240" w:lineRule="auto"/>
              <w:rPr>
                <w:rFonts w:eastAsia="Times New Roman" w:cs="Times New Roman"/>
                <w:bCs/>
                <w:noProof/>
              </w:rPr>
            </w:pPr>
            <w:r>
              <w:rPr>
                <w:noProof/>
              </w:rPr>
              <w:t>6.1.1.1.i. Modernisation des solutions analytiques existantes</w:t>
            </w:r>
          </w:p>
        </w:tc>
        <w:tc>
          <w:tcPr>
            <w:tcW w:w="1418" w:type="dxa"/>
            <w:shd w:val="clear" w:color="auto" w:fill="C6EFCE"/>
            <w:hideMark/>
          </w:tcPr>
          <w:p w14:paraId="609DFA3A"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27955C9D" w14:textId="77777777" w:rsidR="008E6885" w:rsidRDefault="00EA24E7">
            <w:pPr>
              <w:pStyle w:val="P68B1DB1-Normal19"/>
              <w:spacing w:after="0" w:line="240" w:lineRule="auto"/>
              <w:rPr>
                <w:rFonts w:eastAsia="Times New Roman" w:cs="Times New Roman"/>
                <w:noProof/>
              </w:rPr>
            </w:pPr>
            <w:r>
              <w:rPr>
                <w:noProof/>
              </w:rPr>
              <w:t xml:space="preserve">Modifications apportées aux systèmes informatiques </w:t>
            </w:r>
          </w:p>
        </w:tc>
        <w:tc>
          <w:tcPr>
            <w:tcW w:w="1843" w:type="dxa"/>
            <w:shd w:val="clear" w:color="auto" w:fill="C6EFCE"/>
            <w:hideMark/>
          </w:tcPr>
          <w:p w14:paraId="280EA8D6" w14:textId="77777777" w:rsidR="008E6885" w:rsidRDefault="00EA24E7">
            <w:pPr>
              <w:pStyle w:val="P68B1DB1-Normal19"/>
              <w:spacing w:after="0" w:line="240" w:lineRule="auto"/>
              <w:rPr>
                <w:rFonts w:eastAsia="Times New Roman" w:cs="Times New Roman"/>
                <w:noProof/>
              </w:rPr>
            </w:pPr>
            <w:r>
              <w:rPr>
                <w:noProof/>
              </w:rPr>
              <w:t>Systèmes d'analyse des risques migrés ou créés</w:t>
            </w:r>
          </w:p>
        </w:tc>
        <w:tc>
          <w:tcPr>
            <w:tcW w:w="1419" w:type="dxa"/>
            <w:shd w:val="clear" w:color="auto" w:fill="C6EFCE"/>
            <w:hideMark/>
          </w:tcPr>
          <w:p w14:paraId="556FDD40"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3F87D357"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58C38A71"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60A30916" w14:textId="77777777" w:rsidR="008E6885" w:rsidRDefault="00EA24E7">
            <w:pPr>
              <w:pStyle w:val="P68B1DB1-Normal19"/>
              <w:spacing w:after="0" w:line="240" w:lineRule="auto"/>
              <w:jc w:val="center"/>
              <w:rPr>
                <w:rFonts w:eastAsia="Times New Roman" w:cs="Times New Roman"/>
                <w:noProof/>
              </w:rPr>
            </w:pPr>
            <w:r>
              <w:rPr>
                <w:noProof/>
              </w:rPr>
              <w:t>T2</w:t>
            </w:r>
          </w:p>
        </w:tc>
        <w:tc>
          <w:tcPr>
            <w:tcW w:w="709" w:type="dxa"/>
            <w:shd w:val="clear" w:color="auto" w:fill="C6EFCE"/>
            <w:hideMark/>
          </w:tcPr>
          <w:p w14:paraId="69A06A61" w14:textId="77777777" w:rsidR="008E6885" w:rsidRDefault="00EA24E7">
            <w:pPr>
              <w:pStyle w:val="P68B1DB1-Normal19"/>
              <w:spacing w:after="0" w:line="240" w:lineRule="auto"/>
              <w:jc w:val="center"/>
              <w:rPr>
                <w:rFonts w:eastAsia="Times New Roman" w:cs="Times New Roman"/>
                <w:noProof/>
              </w:rPr>
            </w:pPr>
            <w:r>
              <w:rPr>
                <w:noProof/>
              </w:rPr>
              <w:t>2024</w:t>
            </w:r>
          </w:p>
        </w:tc>
        <w:tc>
          <w:tcPr>
            <w:tcW w:w="2835" w:type="dxa"/>
            <w:shd w:val="clear" w:color="auto" w:fill="C6EFCE"/>
            <w:hideMark/>
          </w:tcPr>
          <w:p w14:paraId="4A1DFFD4" w14:textId="77777777" w:rsidR="008E6885" w:rsidRDefault="00EA24E7">
            <w:pPr>
              <w:pStyle w:val="P68B1DB1-Normal19"/>
              <w:spacing w:after="0" w:line="240" w:lineRule="auto"/>
              <w:jc w:val="both"/>
              <w:rPr>
                <w:rFonts w:eastAsia="Times New Roman" w:cs="Times New Roman"/>
                <w:noProof/>
              </w:rPr>
            </w:pPr>
            <w:r>
              <w:rPr>
                <w:noProof/>
              </w:rPr>
              <w:t>Les systèmes de gestion des risques existants ont été transférés vers une plate-forme analytique unique.</w:t>
            </w:r>
          </w:p>
          <w:p w14:paraId="7BEC33C4" w14:textId="77777777" w:rsidR="008E6885" w:rsidRDefault="00EA24E7">
            <w:pPr>
              <w:pStyle w:val="P68B1DB1-Normal19"/>
              <w:spacing w:after="0" w:line="240" w:lineRule="auto"/>
              <w:jc w:val="both"/>
              <w:rPr>
                <w:rFonts w:eastAsia="Times New Roman" w:cs="Times New Roman"/>
                <w:noProof/>
              </w:rPr>
            </w:pPr>
            <w:r>
              <w:rPr>
                <w:noProof/>
              </w:rPr>
              <w:t xml:space="preserve">Un système de risques pour les contribuables individuels a été créé. </w:t>
            </w:r>
          </w:p>
          <w:p w14:paraId="2F8AD88C" w14:textId="77777777" w:rsidR="008E6885" w:rsidRDefault="00EA24E7">
            <w:pPr>
              <w:pStyle w:val="P68B1DB1-Normal19"/>
              <w:spacing w:after="0" w:line="240" w:lineRule="auto"/>
              <w:jc w:val="both"/>
              <w:rPr>
                <w:rFonts w:eastAsia="Times New Roman" w:cs="Times New Roman"/>
                <w:noProof/>
              </w:rPr>
            </w:pPr>
            <w:r>
              <w:rPr>
                <w:noProof/>
              </w:rPr>
              <w:t xml:space="preserve">Un système de gestion des risques liés à la taxe d'accise a été créé. </w:t>
            </w:r>
          </w:p>
          <w:p w14:paraId="7CA22D86" w14:textId="77777777" w:rsidR="008E6885" w:rsidRDefault="00EA24E7">
            <w:pPr>
              <w:pStyle w:val="P68B1DB1-Normal19"/>
              <w:spacing w:after="0" w:line="240" w:lineRule="auto"/>
              <w:jc w:val="both"/>
              <w:rPr>
                <w:rFonts w:eastAsia="Times New Roman" w:cs="Times New Roman"/>
                <w:noProof/>
              </w:rPr>
            </w:pPr>
            <w:r>
              <w:rPr>
                <w:noProof/>
              </w:rPr>
              <w:t>Le système ESKORT a été transféré dans la base de données SAP HANA.</w:t>
            </w:r>
          </w:p>
        </w:tc>
      </w:tr>
      <w:tr w:rsidR="008E6885" w14:paraId="192833F7" w14:textId="77777777" w:rsidTr="00D57C89">
        <w:trPr>
          <w:trHeight w:val="300"/>
        </w:trPr>
        <w:tc>
          <w:tcPr>
            <w:tcW w:w="555" w:type="dxa"/>
            <w:shd w:val="clear" w:color="auto" w:fill="C6EFCE"/>
            <w:hideMark/>
          </w:tcPr>
          <w:p w14:paraId="0A03DA0E" w14:textId="77777777" w:rsidR="008E6885" w:rsidRDefault="00EA24E7">
            <w:pPr>
              <w:pStyle w:val="P68B1DB1-Normal19"/>
              <w:spacing w:after="0" w:line="240" w:lineRule="auto"/>
              <w:jc w:val="both"/>
              <w:rPr>
                <w:rFonts w:eastAsia="Times New Roman" w:cs="Times New Roman"/>
                <w:noProof/>
              </w:rPr>
            </w:pPr>
            <w:r>
              <w:rPr>
                <w:noProof/>
              </w:rPr>
              <w:t>173</w:t>
            </w:r>
          </w:p>
        </w:tc>
        <w:tc>
          <w:tcPr>
            <w:tcW w:w="2139" w:type="dxa"/>
            <w:shd w:val="clear" w:color="auto" w:fill="C6EFCE"/>
            <w:hideMark/>
          </w:tcPr>
          <w:p w14:paraId="50D0FE90" w14:textId="77777777" w:rsidR="008E6885" w:rsidRDefault="00EA24E7">
            <w:pPr>
              <w:pStyle w:val="P68B1DB1-Normal17"/>
              <w:spacing w:after="0" w:line="240" w:lineRule="auto"/>
              <w:rPr>
                <w:rFonts w:eastAsia="Times New Roman" w:cs="Times New Roman"/>
                <w:bCs/>
                <w:noProof/>
              </w:rPr>
            </w:pPr>
            <w:r>
              <w:rPr>
                <w:noProof/>
              </w:rPr>
              <w:t>6.1.1.2.i. Mise au point de nouveaux systèmes analytiques</w:t>
            </w:r>
          </w:p>
        </w:tc>
        <w:tc>
          <w:tcPr>
            <w:tcW w:w="1418" w:type="dxa"/>
            <w:shd w:val="clear" w:color="auto" w:fill="C6EFCE"/>
            <w:hideMark/>
          </w:tcPr>
          <w:p w14:paraId="7CC2ABFB"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534CBBEF" w14:textId="77777777" w:rsidR="008E6885" w:rsidRDefault="00EA24E7">
            <w:pPr>
              <w:pStyle w:val="P68B1DB1-Normal19"/>
              <w:spacing w:after="0" w:line="240" w:lineRule="auto"/>
              <w:rPr>
                <w:rFonts w:eastAsia="Times New Roman" w:cs="Times New Roman"/>
                <w:noProof/>
              </w:rPr>
            </w:pPr>
            <w:r>
              <w:rPr>
                <w:noProof/>
              </w:rPr>
              <w:t>Système de segmentation des contribuables</w:t>
            </w:r>
          </w:p>
        </w:tc>
        <w:tc>
          <w:tcPr>
            <w:tcW w:w="1843" w:type="dxa"/>
            <w:shd w:val="clear" w:color="auto" w:fill="C6EFCE"/>
            <w:hideMark/>
          </w:tcPr>
          <w:p w14:paraId="41D2B47D" w14:textId="77777777" w:rsidR="008E6885" w:rsidRDefault="00EA24E7">
            <w:pPr>
              <w:pStyle w:val="P68B1DB1-Normal19"/>
              <w:spacing w:after="0" w:line="240" w:lineRule="auto"/>
              <w:rPr>
                <w:rFonts w:eastAsia="Times New Roman" w:cs="Times New Roman"/>
                <w:noProof/>
              </w:rPr>
            </w:pPr>
            <w:r>
              <w:rPr>
                <w:noProof/>
              </w:rPr>
              <w:t xml:space="preserve">Nouveau système informatique créé </w:t>
            </w:r>
          </w:p>
        </w:tc>
        <w:tc>
          <w:tcPr>
            <w:tcW w:w="1419" w:type="dxa"/>
            <w:shd w:val="clear" w:color="auto" w:fill="C6EFCE"/>
            <w:hideMark/>
          </w:tcPr>
          <w:p w14:paraId="4B62F221"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2DEFCA36"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632D3482"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58445696" w14:textId="77777777" w:rsidR="008E6885" w:rsidRDefault="00EA24E7">
            <w:pPr>
              <w:pStyle w:val="P68B1DB1-Normal19"/>
              <w:spacing w:after="0" w:line="240" w:lineRule="auto"/>
              <w:jc w:val="center"/>
              <w:rPr>
                <w:rFonts w:eastAsia="Times New Roman" w:cs="Times New Roman"/>
                <w:noProof/>
              </w:rPr>
            </w:pPr>
            <w:r>
              <w:rPr>
                <w:noProof/>
              </w:rPr>
              <w:t>T2</w:t>
            </w:r>
          </w:p>
        </w:tc>
        <w:tc>
          <w:tcPr>
            <w:tcW w:w="709" w:type="dxa"/>
            <w:shd w:val="clear" w:color="auto" w:fill="C6EFCE"/>
            <w:hideMark/>
          </w:tcPr>
          <w:p w14:paraId="50BA9FE4" w14:textId="77777777" w:rsidR="008E6885" w:rsidRDefault="00EA24E7">
            <w:pPr>
              <w:pStyle w:val="P68B1DB1-Normal19"/>
              <w:spacing w:after="0" w:line="240" w:lineRule="auto"/>
              <w:jc w:val="center"/>
              <w:rPr>
                <w:rFonts w:eastAsia="Times New Roman" w:cs="Times New Roman"/>
                <w:noProof/>
              </w:rPr>
            </w:pPr>
            <w:r>
              <w:rPr>
                <w:noProof/>
              </w:rPr>
              <w:t>2024</w:t>
            </w:r>
          </w:p>
        </w:tc>
        <w:tc>
          <w:tcPr>
            <w:tcW w:w="2835" w:type="dxa"/>
            <w:shd w:val="clear" w:color="auto" w:fill="C6EFCE"/>
            <w:hideMark/>
          </w:tcPr>
          <w:p w14:paraId="2294E125" w14:textId="77777777" w:rsidR="008E6885" w:rsidRDefault="00EA24E7">
            <w:pPr>
              <w:pStyle w:val="P68B1DB1-Normal19"/>
              <w:spacing w:after="0" w:line="240" w:lineRule="auto"/>
              <w:jc w:val="both"/>
              <w:rPr>
                <w:rFonts w:eastAsia="Times New Roman" w:cs="Times New Roman"/>
                <w:noProof/>
              </w:rPr>
            </w:pPr>
            <w:r>
              <w:rPr>
                <w:noProof/>
              </w:rPr>
              <w:t xml:space="preserve">Un système informatique de segmentation des contribuables est créé. </w:t>
            </w:r>
          </w:p>
          <w:p w14:paraId="448E10D2" w14:textId="77777777" w:rsidR="008E6885" w:rsidRDefault="00EA24E7">
            <w:pPr>
              <w:pStyle w:val="P68B1DB1-Normal19"/>
              <w:spacing w:after="0" w:line="240" w:lineRule="auto"/>
              <w:jc w:val="both"/>
              <w:rPr>
                <w:rFonts w:eastAsia="Times New Roman" w:cs="Times New Roman"/>
                <w:noProof/>
              </w:rPr>
            </w:pPr>
            <w:r>
              <w:rPr>
                <w:noProof/>
              </w:rPr>
              <w:t>Le nouveau système est intégré à l'analyse à 360 degrés du contribuable.</w:t>
            </w:r>
          </w:p>
        </w:tc>
      </w:tr>
      <w:tr w:rsidR="008E6885" w14:paraId="4E99B659" w14:textId="77777777" w:rsidTr="00D57C89">
        <w:trPr>
          <w:trHeight w:val="300"/>
        </w:trPr>
        <w:tc>
          <w:tcPr>
            <w:tcW w:w="555" w:type="dxa"/>
            <w:shd w:val="clear" w:color="auto" w:fill="C6EFCE"/>
            <w:hideMark/>
          </w:tcPr>
          <w:p w14:paraId="365E3EE2" w14:textId="77777777" w:rsidR="008E6885" w:rsidRDefault="00EA24E7">
            <w:pPr>
              <w:pStyle w:val="P68B1DB1-Normal19"/>
              <w:spacing w:after="0" w:line="240" w:lineRule="auto"/>
              <w:jc w:val="both"/>
              <w:rPr>
                <w:rFonts w:eastAsia="Times New Roman" w:cs="Times New Roman"/>
                <w:noProof/>
              </w:rPr>
            </w:pPr>
            <w:r>
              <w:rPr>
                <w:noProof/>
              </w:rPr>
              <w:t>174</w:t>
            </w:r>
          </w:p>
        </w:tc>
        <w:tc>
          <w:tcPr>
            <w:tcW w:w="2139" w:type="dxa"/>
            <w:shd w:val="clear" w:color="auto" w:fill="C6EFCE"/>
            <w:hideMark/>
          </w:tcPr>
          <w:p w14:paraId="589F27C3" w14:textId="77777777" w:rsidR="008E6885" w:rsidRDefault="00EA24E7">
            <w:pPr>
              <w:pStyle w:val="P68B1DB1-Normal17"/>
              <w:spacing w:after="0" w:line="240" w:lineRule="auto"/>
              <w:rPr>
                <w:rFonts w:eastAsia="Times New Roman" w:cs="Times New Roman"/>
                <w:bCs/>
                <w:noProof/>
              </w:rPr>
            </w:pPr>
            <w:r>
              <w:rPr>
                <w:noProof/>
              </w:rPr>
              <w:t xml:space="preserve">6.1.1.3.i. </w:t>
            </w:r>
          </w:p>
          <w:p w14:paraId="6CC53E80" w14:textId="77777777" w:rsidR="008E6885" w:rsidRDefault="00EA24E7">
            <w:pPr>
              <w:pStyle w:val="P68B1DB1-Normal17"/>
              <w:spacing w:after="0" w:line="240" w:lineRule="auto"/>
              <w:rPr>
                <w:rFonts w:eastAsia="Times New Roman" w:cs="Times New Roman"/>
                <w:bCs/>
                <w:noProof/>
              </w:rPr>
            </w:pPr>
            <w:r>
              <w:rPr>
                <w:noProof/>
              </w:rPr>
              <w:t>Formation du personnel avec plate-forme d'analyse et de conseil</w:t>
            </w:r>
          </w:p>
        </w:tc>
        <w:tc>
          <w:tcPr>
            <w:tcW w:w="1418" w:type="dxa"/>
            <w:shd w:val="clear" w:color="auto" w:fill="C6EFCE"/>
            <w:hideMark/>
          </w:tcPr>
          <w:p w14:paraId="65FBAC75" w14:textId="77777777" w:rsidR="008E6885" w:rsidRDefault="00EA24E7">
            <w:pPr>
              <w:pStyle w:val="P68B1DB1-Normal19"/>
              <w:spacing w:after="0" w:line="240" w:lineRule="auto"/>
              <w:rPr>
                <w:rFonts w:eastAsia="Times New Roman" w:cs="Times New Roman"/>
                <w:noProof/>
              </w:rPr>
            </w:pPr>
            <w:r>
              <w:rPr>
                <w:noProof/>
              </w:rPr>
              <w:t>Objectif</w:t>
            </w:r>
          </w:p>
        </w:tc>
        <w:tc>
          <w:tcPr>
            <w:tcW w:w="1559" w:type="dxa"/>
            <w:shd w:val="clear" w:color="auto" w:fill="C6EFCE"/>
            <w:hideMark/>
          </w:tcPr>
          <w:p w14:paraId="0313FD5E" w14:textId="77777777" w:rsidR="008E6885" w:rsidRDefault="00EA24E7">
            <w:pPr>
              <w:pStyle w:val="P68B1DB1-Normal19"/>
              <w:spacing w:after="0" w:line="240" w:lineRule="auto"/>
              <w:rPr>
                <w:rFonts w:eastAsia="Times New Roman" w:cs="Times New Roman"/>
                <w:noProof/>
              </w:rPr>
            </w:pPr>
            <w:r>
              <w:rPr>
                <w:noProof/>
              </w:rPr>
              <w:t>Formation du personnel pour travailler avec la plate-forme analytique</w:t>
            </w:r>
          </w:p>
        </w:tc>
        <w:tc>
          <w:tcPr>
            <w:tcW w:w="1843" w:type="dxa"/>
            <w:shd w:val="clear" w:color="auto" w:fill="C6EFCE"/>
            <w:hideMark/>
          </w:tcPr>
          <w:p w14:paraId="30EBB21A" w14:textId="77777777" w:rsidR="008E6885" w:rsidRDefault="00EA24E7">
            <w:pPr>
              <w:pStyle w:val="P68B1DB1-Normal19"/>
              <w:spacing w:after="0" w:line="240" w:lineRule="auto"/>
              <w:rPr>
                <w:rFonts w:eastAsia="Times New Roman" w:cs="Times New Roman"/>
                <w:noProof/>
              </w:rPr>
            </w:pPr>
            <w:r>
              <w:rPr>
                <w:noProof/>
              </w:rPr>
              <w:t>Sans objet</w:t>
            </w:r>
          </w:p>
        </w:tc>
        <w:tc>
          <w:tcPr>
            <w:tcW w:w="1419" w:type="dxa"/>
            <w:shd w:val="clear" w:color="auto" w:fill="C6EFCE"/>
            <w:hideMark/>
          </w:tcPr>
          <w:p w14:paraId="5D1C56B4" w14:textId="77777777" w:rsidR="008E6885" w:rsidRDefault="00EA24E7">
            <w:pPr>
              <w:pStyle w:val="P68B1DB1-Normal19"/>
              <w:spacing w:after="0" w:line="240" w:lineRule="auto"/>
              <w:jc w:val="center"/>
              <w:rPr>
                <w:rFonts w:eastAsia="Times New Roman" w:cs="Times New Roman"/>
                <w:noProof/>
              </w:rPr>
            </w:pPr>
            <w:r>
              <w:rPr>
                <w:noProof/>
              </w:rPr>
              <w:t>Nombre de certificats de formation</w:t>
            </w:r>
          </w:p>
        </w:tc>
        <w:tc>
          <w:tcPr>
            <w:tcW w:w="991" w:type="dxa"/>
            <w:shd w:val="clear" w:color="auto" w:fill="C6EFCE"/>
            <w:hideMark/>
          </w:tcPr>
          <w:p w14:paraId="23371E45" w14:textId="77777777" w:rsidR="008E6885" w:rsidRDefault="00EA24E7">
            <w:pPr>
              <w:pStyle w:val="P68B1DB1-Normal19"/>
              <w:spacing w:after="0" w:line="240" w:lineRule="auto"/>
              <w:jc w:val="center"/>
              <w:rPr>
                <w:rFonts w:eastAsia="Times New Roman" w:cs="Times New Roman"/>
                <w:noProof/>
              </w:rPr>
            </w:pPr>
            <w:r>
              <w:rPr>
                <w:noProof/>
              </w:rPr>
              <w:t>0</w:t>
            </w:r>
          </w:p>
        </w:tc>
        <w:tc>
          <w:tcPr>
            <w:tcW w:w="851" w:type="dxa"/>
            <w:shd w:val="clear" w:color="auto" w:fill="C6EFCE"/>
            <w:hideMark/>
          </w:tcPr>
          <w:p w14:paraId="1490FF9B" w14:textId="77777777" w:rsidR="008E6885" w:rsidRDefault="00EA24E7">
            <w:pPr>
              <w:pStyle w:val="P68B1DB1-Normal19"/>
              <w:spacing w:after="0" w:line="240" w:lineRule="auto"/>
              <w:jc w:val="center"/>
              <w:rPr>
                <w:rFonts w:eastAsia="Times New Roman" w:cs="Times New Roman"/>
                <w:noProof/>
              </w:rPr>
            </w:pPr>
            <w:r>
              <w:rPr>
                <w:noProof/>
              </w:rPr>
              <w:t>50</w:t>
            </w:r>
          </w:p>
        </w:tc>
        <w:tc>
          <w:tcPr>
            <w:tcW w:w="992" w:type="dxa"/>
            <w:shd w:val="clear" w:color="auto" w:fill="C6EFCE"/>
            <w:hideMark/>
          </w:tcPr>
          <w:p w14:paraId="19AA9C2D"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41362D09" w14:textId="77777777" w:rsidR="008E6885" w:rsidRDefault="00EA24E7">
            <w:pPr>
              <w:pStyle w:val="P68B1DB1-Normal19"/>
              <w:spacing w:after="0" w:line="240" w:lineRule="auto"/>
              <w:jc w:val="center"/>
              <w:rPr>
                <w:rFonts w:eastAsia="Times New Roman" w:cs="Times New Roman"/>
                <w:noProof/>
              </w:rPr>
            </w:pPr>
            <w:r>
              <w:rPr>
                <w:noProof/>
              </w:rPr>
              <w:t>2023</w:t>
            </w:r>
          </w:p>
        </w:tc>
        <w:tc>
          <w:tcPr>
            <w:tcW w:w="2835" w:type="dxa"/>
            <w:shd w:val="clear" w:color="auto" w:fill="C6EFCE"/>
            <w:hideMark/>
          </w:tcPr>
          <w:p w14:paraId="566A7F12" w14:textId="77777777" w:rsidR="008E6885" w:rsidRDefault="00EA24E7">
            <w:pPr>
              <w:pStyle w:val="P68B1DB1-Normal19"/>
              <w:spacing w:after="0" w:line="240" w:lineRule="auto"/>
              <w:jc w:val="both"/>
              <w:rPr>
                <w:rFonts w:eastAsia="Times New Roman" w:cs="Times New Roman"/>
                <w:noProof/>
              </w:rPr>
            </w:pPr>
            <w:r>
              <w:rPr>
                <w:noProof/>
              </w:rPr>
              <w:t>50 spécialistes SRS ont été formés pour travailler avec la plateforme SAP HANA. La formation se concentrera sur les compétences nécessaires pour travailler avec le cadre SAP HANA et les compétences pratiques en administration du système.</w:t>
            </w:r>
          </w:p>
        </w:tc>
      </w:tr>
      <w:tr w:rsidR="008E6885" w14:paraId="00E20DE2" w14:textId="77777777" w:rsidTr="00D57C89">
        <w:trPr>
          <w:trHeight w:val="300"/>
        </w:trPr>
        <w:tc>
          <w:tcPr>
            <w:tcW w:w="555" w:type="dxa"/>
            <w:shd w:val="clear" w:color="auto" w:fill="C6EFCE"/>
            <w:hideMark/>
          </w:tcPr>
          <w:p w14:paraId="79F541E1" w14:textId="77777777" w:rsidR="008E6885" w:rsidRDefault="00EA24E7">
            <w:pPr>
              <w:pStyle w:val="P68B1DB1-Normal19"/>
              <w:spacing w:after="0" w:line="240" w:lineRule="auto"/>
              <w:jc w:val="both"/>
              <w:rPr>
                <w:rFonts w:eastAsia="Times New Roman" w:cs="Times New Roman"/>
                <w:noProof/>
              </w:rPr>
            </w:pPr>
            <w:r>
              <w:rPr>
                <w:noProof/>
              </w:rPr>
              <w:t>176</w:t>
            </w:r>
          </w:p>
        </w:tc>
        <w:tc>
          <w:tcPr>
            <w:tcW w:w="2139" w:type="dxa"/>
            <w:shd w:val="clear" w:color="auto" w:fill="C6EFCE"/>
            <w:hideMark/>
          </w:tcPr>
          <w:p w14:paraId="50ED54DD" w14:textId="77777777" w:rsidR="008E6885" w:rsidRDefault="00EA24E7">
            <w:pPr>
              <w:pStyle w:val="P68B1DB1-Normal17"/>
              <w:spacing w:after="0" w:line="240" w:lineRule="auto"/>
              <w:rPr>
                <w:rFonts w:eastAsia="Times New Roman" w:cs="Times New Roman"/>
                <w:bCs/>
                <w:noProof/>
              </w:rPr>
            </w:pPr>
            <w:r>
              <w:rPr>
                <w:noProof/>
              </w:rPr>
              <w:t xml:space="preserve">6.1.2.1.i. </w:t>
            </w:r>
          </w:p>
          <w:p w14:paraId="3BDD9381" w14:textId="77777777" w:rsidR="008E6885" w:rsidRDefault="00EA24E7">
            <w:pPr>
              <w:pStyle w:val="P68B1DB1-Normal17"/>
              <w:spacing w:after="0" w:line="240" w:lineRule="auto"/>
              <w:rPr>
                <w:rFonts w:eastAsia="Times New Roman" w:cs="Times New Roman"/>
                <w:bCs/>
                <w:noProof/>
              </w:rPr>
            </w:pPr>
            <w:r>
              <w:rPr>
                <w:noProof/>
              </w:rPr>
              <w:t xml:space="preserve">Connecter les scanners ferroviaires à BAXE et créer une plate-forme d'analyse d'images à rayons X </w:t>
            </w:r>
          </w:p>
        </w:tc>
        <w:tc>
          <w:tcPr>
            <w:tcW w:w="1418" w:type="dxa"/>
            <w:shd w:val="clear" w:color="auto" w:fill="C6EFCE"/>
            <w:hideMark/>
          </w:tcPr>
          <w:p w14:paraId="3E7080F3"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7D0FAFE2" w14:textId="77777777" w:rsidR="008E6885" w:rsidRDefault="00EA24E7">
            <w:pPr>
              <w:pStyle w:val="P68B1DB1-Normal19"/>
              <w:spacing w:after="0" w:line="240" w:lineRule="auto"/>
              <w:rPr>
                <w:rFonts w:eastAsia="Times New Roman" w:cs="Times New Roman"/>
                <w:noProof/>
              </w:rPr>
            </w:pPr>
            <w:r>
              <w:rPr>
                <w:noProof/>
              </w:rPr>
              <w:t>Scanners ferroviaires connectés au système d'information BAXE</w:t>
            </w:r>
          </w:p>
        </w:tc>
        <w:tc>
          <w:tcPr>
            <w:tcW w:w="1843" w:type="dxa"/>
            <w:shd w:val="clear" w:color="auto" w:fill="C6EFCE"/>
            <w:hideMark/>
          </w:tcPr>
          <w:p w14:paraId="5DDB677D" w14:textId="77777777" w:rsidR="008E6885" w:rsidRDefault="00EA24E7">
            <w:pPr>
              <w:pStyle w:val="P68B1DB1-Normal19"/>
              <w:spacing w:after="0" w:line="240" w:lineRule="auto"/>
              <w:rPr>
                <w:rFonts w:eastAsia="Times New Roman" w:cs="Times New Roman"/>
                <w:noProof/>
              </w:rPr>
            </w:pPr>
            <w:r>
              <w:rPr>
                <w:noProof/>
              </w:rPr>
              <w:t>Certificat(s) d'achèvement signé(s)</w:t>
            </w:r>
          </w:p>
        </w:tc>
        <w:tc>
          <w:tcPr>
            <w:tcW w:w="1419" w:type="dxa"/>
            <w:shd w:val="clear" w:color="auto" w:fill="C6EFCE"/>
            <w:hideMark/>
          </w:tcPr>
          <w:p w14:paraId="451DFFF3"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2AF0E971"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7738578F"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4783FC0A" w14:textId="77777777" w:rsidR="008E6885" w:rsidRDefault="00EA24E7">
            <w:pPr>
              <w:pStyle w:val="P68B1DB1-Normal19"/>
              <w:spacing w:after="0" w:line="240" w:lineRule="auto"/>
              <w:jc w:val="center"/>
              <w:rPr>
                <w:rFonts w:eastAsia="Times New Roman" w:cs="Times New Roman"/>
                <w:noProof/>
              </w:rPr>
            </w:pPr>
            <w:r>
              <w:rPr>
                <w:noProof/>
              </w:rPr>
              <w:t>T1</w:t>
            </w:r>
          </w:p>
        </w:tc>
        <w:tc>
          <w:tcPr>
            <w:tcW w:w="709" w:type="dxa"/>
            <w:shd w:val="clear" w:color="auto" w:fill="C6EFCE"/>
            <w:hideMark/>
          </w:tcPr>
          <w:p w14:paraId="2D68E579" w14:textId="77777777" w:rsidR="008E6885" w:rsidRDefault="00EA24E7">
            <w:pPr>
              <w:pStyle w:val="P68B1DB1-Normal19"/>
              <w:spacing w:after="0" w:line="240" w:lineRule="auto"/>
              <w:jc w:val="center"/>
              <w:rPr>
                <w:rFonts w:eastAsia="Times New Roman" w:cs="Times New Roman"/>
                <w:noProof/>
              </w:rPr>
            </w:pPr>
            <w:r>
              <w:rPr>
                <w:noProof/>
              </w:rPr>
              <w:t>2026</w:t>
            </w:r>
          </w:p>
        </w:tc>
        <w:tc>
          <w:tcPr>
            <w:tcW w:w="2835" w:type="dxa"/>
            <w:shd w:val="clear" w:color="auto" w:fill="C6EFCE"/>
            <w:hideMark/>
          </w:tcPr>
          <w:p w14:paraId="2C3824A1" w14:textId="77777777" w:rsidR="008E6885" w:rsidRDefault="00EA24E7">
            <w:pPr>
              <w:pStyle w:val="P68B1DB1-Normal19"/>
              <w:spacing w:after="0" w:line="240" w:lineRule="auto"/>
              <w:jc w:val="both"/>
              <w:rPr>
                <w:rFonts w:eastAsia="Times New Roman" w:cs="Times New Roman"/>
                <w:noProof/>
              </w:rPr>
            </w:pPr>
            <w:r>
              <w:rPr>
                <w:noProof/>
              </w:rPr>
              <w:t>Certificat(s) d’achèvement signé(s) pour la connexion des scanners ferroviaires aux points de contrôle douanier d’Indra et de Karsava au système d’information BAXE.</w:t>
            </w:r>
          </w:p>
        </w:tc>
      </w:tr>
      <w:tr w:rsidR="008E6885" w14:paraId="426B4C7E" w14:textId="77777777" w:rsidTr="00D57C89">
        <w:trPr>
          <w:trHeight w:val="300"/>
        </w:trPr>
        <w:tc>
          <w:tcPr>
            <w:tcW w:w="555" w:type="dxa"/>
            <w:shd w:val="clear" w:color="auto" w:fill="C6EFCE"/>
            <w:hideMark/>
          </w:tcPr>
          <w:p w14:paraId="7B3B3EF6" w14:textId="77777777" w:rsidR="008E6885" w:rsidRDefault="00EA24E7">
            <w:pPr>
              <w:pStyle w:val="P68B1DB1-Normal19"/>
              <w:spacing w:after="0" w:line="240" w:lineRule="auto"/>
              <w:jc w:val="both"/>
              <w:rPr>
                <w:rFonts w:eastAsia="Times New Roman" w:cs="Times New Roman"/>
                <w:noProof/>
              </w:rPr>
            </w:pPr>
            <w:r>
              <w:rPr>
                <w:noProof/>
              </w:rPr>
              <w:t>177</w:t>
            </w:r>
          </w:p>
        </w:tc>
        <w:tc>
          <w:tcPr>
            <w:tcW w:w="2139" w:type="dxa"/>
            <w:shd w:val="clear" w:color="auto" w:fill="C6EFCE"/>
            <w:hideMark/>
          </w:tcPr>
          <w:p w14:paraId="2AEB557C" w14:textId="77777777" w:rsidR="008E6885" w:rsidRDefault="00EA24E7">
            <w:pPr>
              <w:pStyle w:val="P68B1DB1-Normal17"/>
              <w:spacing w:after="0" w:line="240" w:lineRule="auto"/>
              <w:rPr>
                <w:rFonts w:eastAsia="Times New Roman" w:cs="Times New Roman"/>
                <w:bCs/>
                <w:noProof/>
              </w:rPr>
            </w:pPr>
            <w:r>
              <w:rPr>
                <w:noProof/>
              </w:rPr>
              <w:t xml:space="preserve">6.1.2.1.i. </w:t>
            </w:r>
          </w:p>
          <w:p w14:paraId="213B4DA4" w14:textId="77777777" w:rsidR="008E6885" w:rsidRDefault="00EA24E7">
            <w:pPr>
              <w:pStyle w:val="P68B1DB1-Normal17"/>
              <w:spacing w:after="0" w:line="240" w:lineRule="auto"/>
              <w:rPr>
                <w:rFonts w:eastAsia="Times New Roman" w:cs="Times New Roman"/>
                <w:bCs/>
                <w:noProof/>
              </w:rPr>
            </w:pPr>
            <w:r>
              <w:rPr>
                <w:noProof/>
              </w:rPr>
              <w:t>Connecter les scanners ferroviaires à BAXE et créer une plate-forme d'analyse d'images à rayons X</w:t>
            </w:r>
          </w:p>
        </w:tc>
        <w:tc>
          <w:tcPr>
            <w:tcW w:w="1418" w:type="dxa"/>
            <w:shd w:val="clear" w:color="auto" w:fill="C6EFCE"/>
            <w:hideMark/>
          </w:tcPr>
          <w:p w14:paraId="7B1E4D03"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547D7462" w14:textId="77777777" w:rsidR="008E6885" w:rsidRDefault="00EA24E7">
            <w:pPr>
              <w:pStyle w:val="P68B1DB1-Normal19"/>
              <w:spacing w:after="0" w:line="240" w:lineRule="auto"/>
              <w:rPr>
                <w:rFonts w:eastAsia="Times New Roman" w:cs="Times New Roman"/>
                <w:noProof/>
              </w:rPr>
            </w:pPr>
            <w:r>
              <w:rPr>
                <w:noProof/>
              </w:rPr>
              <w:t xml:space="preserve">Plateforme d'analyse d'images à rayons X </w:t>
            </w:r>
          </w:p>
        </w:tc>
        <w:tc>
          <w:tcPr>
            <w:tcW w:w="1843" w:type="dxa"/>
            <w:shd w:val="clear" w:color="auto" w:fill="C6EFCE"/>
            <w:hideMark/>
          </w:tcPr>
          <w:p w14:paraId="6BE6BD06" w14:textId="77777777" w:rsidR="008E6885" w:rsidRDefault="00EA24E7">
            <w:pPr>
              <w:pStyle w:val="P68B1DB1-Normal19"/>
              <w:spacing w:after="0" w:line="240" w:lineRule="auto"/>
              <w:rPr>
                <w:rFonts w:eastAsia="Times New Roman" w:cs="Times New Roman"/>
                <w:noProof/>
              </w:rPr>
            </w:pPr>
            <w:r>
              <w:rPr>
                <w:noProof/>
              </w:rPr>
              <w:t>Certificat(s) d'achèvement signé(s)</w:t>
            </w:r>
          </w:p>
        </w:tc>
        <w:tc>
          <w:tcPr>
            <w:tcW w:w="1419" w:type="dxa"/>
            <w:shd w:val="clear" w:color="auto" w:fill="C6EFCE"/>
            <w:hideMark/>
          </w:tcPr>
          <w:p w14:paraId="0DEE7ED4"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11843102"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1758D0BA"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454C2F7C" w14:textId="77777777" w:rsidR="008E6885" w:rsidRDefault="00EA24E7">
            <w:pPr>
              <w:pStyle w:val="P68B1DB1-Normal19"/>
              <w:spacing w:after="0" w:line="240" w:lineRule="auto"/>
              <w:jc w:val="center"/>
              <w:rPr>
                <w:rFonts w:eastAsia="Times New Roman" w:cs="Times New Roman"/>
                <w:noProof/>
              </w:rPr>
            </w:pPr>
            <w:r>
              <w:rPr>
                <w:noProof/>
              </w:rPr>
              <w:t>T1</w:t>
            </w:r>
          </w:p>
        </w:tc>
        <w:tc>
          <w:tcPr>
            <w:tcW w:w="709" w:type="dxa"/>
            <w:shd w:val="clear" w:color="auto" w:fill="C6EFCE"/>
            <w:hideMark/>
          </w:tcPr>
          <w:p w14:paraId="16C67F91" w14:textId="77777777" w:rsidR="008E6885" w:rsidRDefault="00EA24E7">
            <w:pPr>
              <w:pStyle w:val="P68B1DB1-Normal19"/>
              <w:spacing w:after="0" w:line="240" w:lineRule="auto"/>
              <w:jc w:val="center"/>
              <w:rPr>
                <w:rFonts w:eastAsia="Times New Roman" w:cs="Times New Roman"/>
                <w:noProof/>
              </w:rPr>
            </w:pPr>
            <w:r>
              <w:rPr>
                <w:noProof/>
              </w:rPr>
              <w:t>2026</w:t>
            </w:r>
          </w:p>
        </w:tc>
        <w:tc>
          <w:tcPr>
            <w:tcW w:w="2835" w:type="dxa"/>
            <w:shd w:val="clear" w:color="auto" w:fill="C6EFCE"/>
            <w:hideMark/>
          </w:tcPr>
          <w:p w14:paraId="58189725" w14:textId="77777777" w:rsidR="008E6885" w:rsidRDefault="00EA24E7">
            <w:pPr>
              <w:pStyle w:val="P68B1DB1-Normal19"/>
              <w:spacing w:after="0" w:line="240" w:lineRule="auto"/>
              <w:jc w:val="both"/>
              <w:rPr>
                <w:rFonts w:eastAsia="Times New Roman" w:cs="Times New Roman"/>
                <w:noProof/>
              </w:rPr>
            </w:pPr>
            <w:r>
              <w:rPr>
                <w:noProof/>
              </w:rPr>
              <w:t>Certificat(s) d'achèvement signé(s) pour une plateforme automatisée d'analyse d'images radiographiques.</w:t>
            </w:r>
          </w:p>
        </w:tc>
      </w:tr>
      <w:tr w:rsidR="008E6885" w14:paraId="0CA66260" w14:textId="77777777" w:rsidTr="00D57C89">
        <w:trPr>
          <w:trHeight w:val="300"/>
        </w:trPr>
        <w:tc>
          <w:tcPr>
            <w:tcW w:w="555" w:type="dxa"/>
            <w:shd w:val="clear" w:color="auto" w:fill="C6EFCE"/>
            <w:hideMark/>
          </w:tcPr>
          <w:p w14:paraId="296266C0" w14:textId="77777777" w:rsidR="008E6885" w:rsidRDefault="00EA24E7">
            <w:pPr>
              <w:pStyle w:val="P68B1DB1-Normal19"/>
              <w:spacing w:after="0" w:line="240" w:lineRule="auto"/>
              <w:jc w:val="both"/>
              <w:rPr>
                <w:rFonts w:eastAsia="Times New Roman" w:cs="Times New Roman"/>
                <w:noProof/>
              </w:rPr>
            </w:pPr>
            <w:r>
              <w:rPr>
                <w:noProof/>
              </w:rPr>
              <w:t>178</w:t>
            </w:r>
          </w:p>
        </w:tc>
        <w:tc>
          <w:tcPr>
            <w:tcW w:w="2139" w:type="dxa"/>
            <w:shd w:val="clear" w:color="auto" w:fill="C6EFCE"/>
            <w:hideMark/>
          </w:tcPr>
          <w:p w14:paraId="3F0C9995" w14:textId="77777777" w:rsidR="008E6885" w:rsidRDefault="00EA24E7">
            <w:pPr>
              <w:pStyle w:val="P68B1DB1-Normal17"/>
              <w:spacing w:after="0" w:line="240" w:lineRule="auto"/>
              <w:rPr>
                <w:rFonts w:eastAsia="Times New Roman" w:cs="Times New Roman"/>
                <w:bCs/>
                <w:noProof/>
              </w:rPr>
            </w:pPr>
            <w:r>
              <w:rPr>
                <w:noProof/>
              </w:rPr>
              <w:t xml:space="preserve">6.1.2.2.i. </w:t>
            </w:r>
          </w:p>
          <w:p w14:paraId="616CCE0E" w14:textId="77777777" w:rsidR="008E6885" w:rsidRDefault="00EA24E7">
            <w:pPr>
              <w:pStyle w:val="P68B1DB1-Normal17"/>
              <w:spacing w:after="0" w:line="240" w:lineRule="auto"/>
              <w:rPr>
                <w:rFonts w:eastAsia="Times New Roman" w:cs="Times New Roman"/>
                <w:bCs/>
                <w:noProof/>
              </w:rPr>
            </w:pPr>
            <w:r>
              <w:rPr>
                <w:noProof/>
              </w:rPr>
              <w:t>Renforcement des capacités du laboratoire des douanes</w:t>
            </w:r>
          </w:p>
        </w:tc>
        <w:tc>
          <w:tcPr>
            <w:tcW w:w="1418" w:type="dxa"/>
            <w:shd w:val="clear" w:color="auto" w:fill="C6EFCE"/>
            <w:hideMark/>
          </w:tcPr>
          <w:p w14:paraId="2629E2A1"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2FE7F169" w14:textId="77777777" w:rsidR="008E6885" w:rsidRDefault="00EA24E7">
            <w:pPr>
              <w:pStyle w:val="P68B1DB1-Normal19"/>
              <w:spacing w:after="0" w:line="240" w:lineRule="auto"/>
              <w:rPr>
                <w:rFonts w:eastAsia="Times New Roman" w:cs="Times New Roman"/>
                <w:noProof/>
              </w:rPr>
            </w:pPr>
            <w:r>
              <w:rPr>
                <w:noProof/>
              </w:rPr>
              <w:t xml:space="preserve">Spectrophotomètre acheté et installé pour utilisation dans le laboratoire des douanes </w:t>
            </w:r>
          </w:p>
        </w:tc>
        <w:tc>
          <w:tcPr>
            <w:tcW w:w="1843" w:type="dxa"/>
            <w:shd w:val="clear" w:color="auto" w:fill="C6EFCE"/>
            <w:hideMark/>
          </w:tcPr>
          <w:p w14:paraId="70252873" w14:textId="77777777" w:rsidR="008E6885" w:rsidRDefault="00EA24E7">
            <w:pPr>
              <w:pStyle w:val="P68B1DB1-Normal19"/>
              <w:spacing w:after="0" w:line="240" w:lineRule="auto"/>
              <w:rPr>
                <w:rFonts w:eastAsia="Times New Roman" w:cs="Times New Roman"/>
                <w:noProof/>
              </w:rPr>
            </w:pPr>
            <w:r>
              <w:rPr>
                <w:noProof/>
              </w:rPr>
              <w:t>Acte d'acceptation signé</w:t>
            </w:r>
          </w:p>
        </w:tc>
        <w:tc>
          <w:tcPr>
            <w:tcW w:w="1419" w:type="dxa"/>
            <w:shd w:val="clear" w:color="auto" w:fill="C6EFCE"/>
            <w:hideMark/>
          </w:tcPr>
          <w:p w14:paraId="5C8DC5C7"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45E942D4"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20B58932"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6F5D1642"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612BCCAC" w14:textId="77777777" w:rsidR="008E6885" w:rsidRDefault="00EA24E7">
            <w:pPr>
              <w:pStyle w:val="P68B1DB1-Normal19"/>
              <w:spacing w:after="0" w:line="240" w:lineRule="auto"/>
              <w:jc w:val="center"/>
              <w:rPr>
                <w:rFonts w:eastAsia="Times New Roman" w:cs="Times New Roman"/>
                <w:noProof/>
              </w:rPr>
            </w:pPr>
            <w:r>
              <w:rPr>
                <w:noProof/>
              </w:rPr>
              <w:t>2022</w:t>
            </w:r>
          </w:p>
        </w:tc>
        <w:tc>
          <w:tcPr>
            <w:tcW w:w="2835" w:type="dxa"/>
            <w:shd w:val="clear" w:color="auto" w:fill="C6EFCE"/>
            <w:hideMark/>
          </w:tcPr>
          <w:p w14:paraId="6857D57F" w14:textId="77777777" w:rsidR="008E6885" w:rsidRDefault="00EA24E7">
            <w:pPr>
              <w:pStyle w:val="P68B1DB1-Normal19"/>
              <w:spacing w:after="0" w:line="240" w:lineRule="auto"/>
              <w:jc w:val="both"/>
              <w:rPr>
                <w:rFonts w:eastAsia="Times New Roman" w:cs="Times New Roman"/>
                <w:noProof/>
              </w:rPr>
            </w:pPr>
            <w:r>
              <w:rPr>
                <w:noProof/>
              </w:rPr>
              <w:t>Un spectrophotomètre est installé et utilisé au laboratoire des douanes.</w:t>
            </w:r>
          </w:p>
        </w:tc>
      </w:tr>
      <w:tr w:rsidR="008E6885" w14:paraId="0835AD4B" w14:textId="77777777" w:rsidTr="00D57C89">
        <w:trPr>
          <w:trHeight w:val="300"/>
        </w:trPr>
        <w:tc>
          <w:tcPr>
            <w:tcW w:w="555" w:type="dxa"/>
            <w:shd w:val="clear" w:color="auto" w:fill="C6EFCE"/>
            <w:hideMark/>
          </w:tcPr>
          <w:p w14:paraId="6618AC4D" w14:textId="77777777" w:rsidR="008E6885" w:rsidRDefault="00EA24E7">
            <w:pPr>
              <w:pStyle w:val="P68B1DB1-Normal19"/>
              <w:spacing w:after="0" w:line="240" w:lineRule="auto"/>
              <w:jc w:val="both"/>
              <w:rPr>
                <w:rFonts w:eastAsia="Times New Roman" w:cs="Times New Roman"/>
                <w:noProof/>
              </w:rPr>
            </w:pPr>
            <w:r>
              <w:rPr>
                <w:noProof/>
              </w:rPr>
              <w:t>179</w:t>
            </w:r>
          </w:p>
        </w:tc>
        <w:tc>
          <w:tcPr>
            <w:tcW w:w="2139" w:type="dxa"/>
            <w:shd w:val="clear" w:color="auto" w:fill="C6EFCE"/>
            <w:hideMark/>
          </w:tcPr>
          <w:p w14:paraId="5B970559" w14:textId="77777777" w:rsidR="008E6885" w:rsidRDefault="00EA24E7">
            <w:pPr>
              <w:pStyle w:val="P68B1DB1-Normal17"/>
              <w:spacing w:after="0" w:line="240" w:lineRule="auto"/>
              <w:rPr>
                <w:rFonts w:eastAsia="Times New Roman" w:cs="Times New Roman"/>
                <w:bCs/>
                <w:noProof/>
              </w:rPr>
            </w:pPr>
            <w:r>
              <w:rPr>
                <w:noProof/>
              </w:rPr>
              <w:t xml:space="preserve">6.1.2.2.i. </w:t>
            </w:r>
          </w:p>
          <w:p w14:paraId="4BB51F71" w14:textId="77777777" w:rsidR="008E6885" w:rsidRDefault="00EA24E7">
            <w:pPr>
              <w:pStyle w:val="P68B1DB1-Normal17"/>
              <w:spacing w:after="0" w:line="240" w:lineRule="auto"/>
              <w:rPr>
                <w:rFonts w:eastAsia="Times New Roman" w:cs="Times New Roman"/>
                <w:bCs/>
                <w:noProof/>
              </w:rPr>
            </w:pPr>
            <w:r>
              <w:rPr>
                <w:noProof/>
              </w:rPr>
              <w:t>Renforcement des capacités du laboratoire des douanes</w:t>
            </w:r>
          </w:p>
        </w:tc>
        <w:tc>
          <w:tcPr>
            <w:tcW w:w="1418" w:type="dxa"/>
            <w:shd w:val="clear" w:color="auto" w:fill="C6EFCE"/>
            <w:hideMark/>
          </w:tcPr>
          <w:p w14:paraId="7E841268"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2BC31040" w14:textId="77777777" w:rsidR="008E6885" w:rsidRDefault="00EA24E7">
            <w:pPr>
              <w:pStyle w:val="P68B1DB1-Normal19"/>
              <w:spacing w:after="0" w:line="240" w:lineRule="auto"/>
              <w:rPr>
                <w:rFonts w:eastAsia="Times New Roman" w:cs="Times New Roman"/>
                <w:noProof/>
              </w:rPr>
            </w:pPr>
            <w:r>
              <w:rPr>
                <w:noProof/>
              </w:rPr>
              <w:t>Spectrophotomètre acheté et installé pour utilisation au point de contrôle douanier de l'aéroport</w:t>
            </w:r>
          </w:p>
        </w:tc>
        <w:tc>
          <w:tcPr>
            <w:tcW w:w="1843" w:type="dxa"/>
            <w:shd w:val="clear" w:color="auto" w:fill="C6EFCE"/>
            <w:hideMark/>
          </w:tcPr>
          <w:p w14:paraId="75533373" w14:textId="77777777" w:rsidR="008E6885" w:rsidRDefault="00EA24E7">
            <w:pPr>
              <w:pStyle w:val="P68B1DB1-Normal19"/>
              <w:spacing w:after="0" w:line="240" w:lineRule="auto"/>
              <w:rPr>
                <w:rFonts w:eastAsia="Times New Roman" w:cs="Times New Roman"/>
                <w:noProof/>
              </w:rPr>
            </w:pPr>
            <w:r>
              <w:rPr>
                <w:noProof/>
              </w:rPr>
              <w:t>Acte d'acceptation signé</w:t>
            </w:r>
          </w:p>
        </w:tc>
        <w:tc>
          <w:tcPr>
            <w:tcW w:w="1419" w:type="dxa"/>
            <w:shd w:val="clear" w:color="auto" w:fill="C6EFCE"/>
            <w:hideMark/>
          </w:tcPr>
          <w:p w14:paraId="13E9B891"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085A5AD6"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0D5B7426"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08839652"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3B2A8A53" w14:textId="77777777" w:rsidR="008E6885" w:rsidRDefault="00EA24E7">
            <w:pPr>
              <w:pStyle w:val="P68B1DB1-Normal19"/>
              <w:spacing w:after="0" w:line="240" w:lineRule="auto"/>
              <w:jc w:val="center"/>
              <w:rPr>
                <w:rFonts w:eastAsia="Times New Roman" w:cs="Times New Roman"/>
                <w:noProof/>
              </w:rPr>
            </w:pPr>
            <w:r>
              <w:rPr>
                <w:noProof/>
              </w:rPr>
              <w:t>2022</w:t>
            </w:r>
          </w:p>
        </w:tc>
        <w:tc>
          <w:tcPr>
            <w:tcW w:w="2835" w:type="dxa"/>
            <w:shd w:val="clear" w:color="auto" w:fill="C6EFCE"/>
            <w:hideMark/>
          </w:tcPr>
          <w:p w14:paraId="6A097761" w14:textId="77777777" w:rsidR="008E6885" w:rsidRDefault="00EA24E7">
            <w:pPr>
              <w:pStyle w:val="P68B1DB1-Normal19"/>
              <w:spacing w:after="0" w:line="240" w:lineRule="auto"/>
              <w:jc w:val="both"/>
              <w:rPr>
                <w:rFonts w:eastAsia="Times New Roman" w:cs="Times New Roman"/>
                <w:noProof/>
              </w:rPr>
            </w:pPr>
            <w:r>
              <w:rPr>
                <w:noProof/>
              </w:rPr>
              <w:t>Un spectrophotomètre est installé et utilisé au point de contrôle douanier de l'aéroport.</w:t>
            </w:r>
          </w:p>
        </w:tc>
      </w:tr>
      <w:tr w:rsidR="008E6885" w14:paraId="3AF760E3" w14:textId="77777777" w:rsidTr="00D57C89">
        <w:trPr>
          <w:trHeight w:val="300"/>
        </w:trPr>
        <w:tc>
          <w:tcPr>
            <w:tcW w:w="555" w:type="dxa"/>
            <w:shd w:val="clear" w:color="auto" w:fill="C6EFCE"/>
            <w:hideMark/>
          </w:tcPr>
          <w:p w14:paraId="0E45BCB0" w14:textId="77777777" w:rsidR="008E6885" w:rsidRDefault="00EA24E7">
            <w:pPr>
              <w:pStyle w:val="P68B1DB1-Normal19"/>
              <w:spacing w:after="0" w:line="240" w:lineRule="auto"/>
              <w:jc w:val="both"/>
              <w:rPr>
                <w:rFonts w:eastAsia="Times New Roman" w:cs="Times New Roman"/>
                <w:noProof/>
              </w:rPr>
            </w:pPr>
            <w:r>
              <w:rPr>
                <w:noProof/>
              </w:rPr>
              <w:t>180</w:t>
            </w:r>
          </w:p>
        </w:tc>
        <w:tc>
          <w:tcPr>
            <w:tcW w:w="2139" w:type="dxa"/>
            <w:shd w:val="clear" w:color="auto" w:fill="C6EFCE"/>
            <w:hideMark/>
          </w:tcPr>
          <w:p w14:paraId="24646662" w14:textId="77777777" w:rsidR="008E6885" w:rsidRDefault="00EA24E7">
            <w:pPr>
              <w:pStyle w:val="P68B1DB1-Normal17"/>
              <w:spacing w:after="0" w:line="240" w:lineRule="auto"/>
              <w:rPr>
                <w:rFonts w:eastAsia="Times New Roman" w:cs="Times New Roman"/>
                <w:bCs/>
                <w:noProof/>
              </w:rPr>
            </w:pPr>
            <w:r>
              <w:rPr>
                <w:noProof/>
              </w:rPr>
              <w:t>6.1.2.3.i. Amélioration du contrôle douanier des envois postaux reçus au point de contrôle douanier de l'aéroport</w:t>
            </w:r>
          </w:p>
        </w:tc>
        <w:tc>
          <w:tcPr>
            <w:tcW w:w="1418" w:type="dxa"/>
            <w:shd w:val="clear" w:color="auto" w:fill="C6EFCE"/>
            <w:hideMark/>
          </w:tcPr>
          <w:p w14:paraId="3AB88B27"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54BF30EE" w14:textId="77777777" w:rsidR="008E6885" w:rsidRDefault="00EA24E7">
            <w:pPr>
              <w:pStyle w:val="P68B1DB1-Normal19"/>
              <w:spacing w:after="0" w:line="240" w:lineRule="auto"/>
              <w:rPr>
                <w:rFonts w:eastAsia="Times New Roman" w:cs="Times New Roman"/>
                <w:noProof/>
              </w:rPr>
            </w:pPr>
            <w:r>
              <w:rPr>
                <w:noProof/>
              </w:rPr>
              <w:t xml:space="preserve">Ligne de scannage et de tri du courrier à l'aéroport de Riga </w:t>
            </w:r>
          </w:p>
        </w:tc>
        <w:tc>
          <w:tcPr>
            <w:tcW w:w="1843" w:type="dxa"/>
            <w:shd w:val="clear" w:color="auto" w:fill="C6EFCE"/>
            <w:hideMark/>
          </w:tcPr>
          <w:p w14:paraId="45C50B87" w14:textId="77777777" w:rsidR="008E6885" w:rsidRDefault="00EA24E7">
            <w:pPr>
              <w:pStyle w:val="P68B1DB1-Normal19"/>
              <w:spacing w:after="0" w:line="240" w:lineRule="auto"/>
              <w:rPr>
                <w:rFonts w:eastAsia="Times New Roman" w:cs="Times New Roman"/>
                <w:noProof/>
              </w:rPr>
            </w:pPr>
            <w:r>
              <w:rPr>
                <w:noProof/>
              </w:rPr>
              <w:t>Certificat(s) d'achèvement signé(s)</w:t>
            </w:r>
          </w:p>
        </w:tc>
        <w:tc>
          <w:tcPr>
            <w:tcW w:w="1419" w:type="dxa"/>
            <w:shd w:val="clear" w:color="auto" w:fill="C6EFCE"/>
            <w:hideMark/>
          </w:tcPr>
          <w:p w14:paraId="3358178E"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558C706F"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07C247F7"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434F88F3" w14:textId="77777777" w:rsidR="008E6885" w:rsidRDefault="00EA24E7">
            <w:pPr>
              <w:pStyle w:val="P68B1DB1-Normal19"/>
              <w:spacing w:after="0" w:line="240" w:lineRule="auto"/>
              <w:jc w:val="center"/>
              <w:rPr>
                <w:rFonts w:eastAsia="Times New Roman" w:cs="Times New Roman"/>
                <w:noProof/>
              </w:rPr>
            </w:pPr>
            <w:r>
              <w:rPr>
                <w:noProof/>
              </w:rPr>
              <w:t>T1</w:t>
            </w:r>
          </w:p>
        </w:tc>
        <w:tc>
          <w:tcPr>
            <w:tcW w:w="709" w:type="dxa"/>
            <w:shd w:val="clear" w:color="auto" w:fill="C6EFCE"/>
            <w:hideMark/>
          </w:tcPr>
          <w:p w14:paraId="5D45B149" w14:textId="77777777" w:rsidR="008E6885" w:rsidRDefault="00EA24E7">
            <w:pPr>
              <w:pStyle w:val="P68B1DB1-Normal19"/>
              <w:spacing w:after="0" w:line="240" w:lineRule="auto"/>
              <w:jc w:val="center"/>
              <w:rPr>
                <w:rFonts w:eastAsia="Times New Roman" w:cs="Times New Roman"/>
                <w:noProof/>
              </w:rPr>
            </w:pPr>
            <w:r>
              <w:rPr>
                <w:noProof/>
              </w:rPr>
              <w:t>2025</w:t>
            </w:r>
          </w:p>
        </w:tc>
        <w:tc>
          <w:tcPr>
            <w:tcW w:w="2835" w:type="dxa"/>
            <w:shd w:val="clear" w:color="auto" w:fill="C6EFCE"/>
            <w:hideMark/>
          </w:tcPr>
          <w:p w14:paraId="55AF23A5" w14:textId="77777777" w:rsidR="008E6885" w:rsidRDefault="00EA24E7">
            <w:pPr>
              <w:pStyle w:val="P68B1DB1-Normal19"/>
              <w:spacing w:after="0" w:line="240" w:lineRule="auto"/>
              <w:jc w:val="both"/>
              <w:rPr>
                <w:rFonts w:eastAsia="Times New Roman" w:cs="Times New Roman"/>
                <w:noProof/>
              </w:rPr>
            </w:pPr>
            <w:r>
              <w:rPr>
                <w:noProof/>
              </w:rPr>
              <w:t>Certificat(s) d’achèvement signé(s) pour l’installation d’une ligne de numérisation et de tri du courrier au point de contrôle douanier de l’aéroport de Riga.</w:t>
            </w:r>
          </w:p>
        </w:tc>
      </w:tr>
      <w:tr w:rsidR="008E6885" w14:paraId="534A844E" w14:textId="77777777" w:rsidTr="00D57C89">
        <w:trPr>
          <w:trHeight w:val="300"/>
        </w:trPr>
        <w:tc>
          <w:tcPr>
            <w:tcW w:w="555" w:type="dxa"/>
            <w:shd w:val="clear" w:color="auto" w:fill="C6EFCE"/>
            <w:hideMark/>
          </w:tcPr>
          <w:p w14:paraId="3F4CA62D" w14:textId="77777777" w:rsidR="008E6885" w:rsidRDefault="00EA24E7">
            <w:pPr>
              <w:pStyle w:val="P68B1DB1-Normal19"/>
              <w:spacing w:after="0" w:line="240" w:lineRule="auto"/>
              <w:jc w:val="both"/>
              <w:rPr>
                <w:rFonts w:eastAsia="Times New Roman" w:cs="Times New Roman"/>
                <w:noProof/>
              </w:rPr>
            </w:pPr>
            <w:r>
              <w:rPr>
                <w:noProof/>
              </w:rPr>
              <w:t>181</w:t>
            </w:r>
          </w:p>
        </w:tc>
        <w:tc>
          <w:tcPr>
            <w:tcW w:w="2139" w:type="dxa"/>
            <w:shd w:val="clear" w:color="auto" w:fill="C6EFCE"/>
            <w:hideMark/>
          </w:tcPr>
          <w:p w14:paraId="7A8FF1A6" w14:textId="77777777" w:rsidR="008E6885" w:rsidRDefault="00EA24E7">
            <w:pPr>
              <w:pStyle w:val="P68B1DB1-Normal17"/>
              <w:spacing w:after="0" w:line="240" w:lineRule="auto"/>
              <w:rPr>
                <w:rFonts w:eastAsia="Times New Roman" w:cs="Times New Roman"/>
                <w:bCs/>
                <w:noProof/>
              </w:rPr>
            </w:pPr>
            <w:r>
              <w:rPr>
                <w:noProof/>
              </w:rPr>
              <w:t xml:space="preserve">6.1.2.4.i. </w:t>
            </w:r>
          </w:p>
          <w:p w14:paraId="7F365D52" w14:textId="77777777" w:rsidR="008E6885" w:rsidRDefault="00EA24E7">
            <w:pPr>
              <w:pStyle w:val="P68B1DB1-Normal17"/>
              <w:spacing w:after="0" w:line="240" w:lineRule="auto"/>
              <w:rPr>
                <w:rFonts w:eastAsia="Times New Roman" w:cs="Times New Roman"/>
                <w:bCs/>
                <w:noProof/>
              </w:rPr>
            </w:pPr>
            <w:r>
              <w:rPr>
                <w:noProof/>
              </w:rPr>
              <w:t>Création d'infrastructures pour la prestation de services de contrôle à Kundziņsala</w:t>
            </w:r>
          </w:p>
        </w:tc>
        <w:tc>
          <w:tcPr>
            <w:tcW w:w="1418" w:type="dxa"/>
            <w:shd w:val="clear" w:color="auto" w:fill="C6EFCE"/>
            <w:hideMark/>
          </w:tcPr>
          <w:p w14:paraId="63A701E8"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19010982" w14:textId="77777777" w:rsidR="008E6885" w:rsidRDefault="00EA24E7">
            <w:pPr>
              <w:pStyle w:val="P68B1DB1-Normal19"/>
              <w:spacing w:after="0" w:line="240" w:lineRule="auto"/>
              <w:rPr>
                <w:rFonts w:eastAsia="Times New Roman" w:cs="Times New Roman"/>
                <w:noProof/>
              </w:rPr>
            </w:pPr>
            <w:r>
              <w:rPr>
                <w:noProof/>
              </w:rPr>
              <w:t>Conception conjointe – signature du contrat de construction</w:t>
            </w:r>
          </w:p>
        </w:tc>
        <w:tc>
          <w:tcPr>
            <w:tcW w:w="1843" w:type="dxa"/>
            <w:shd w:val="clear" w:color="auto" w:fill="C6EFCE"/>
            <w:hideMark/>
          </w:tcPr>
          <w:p w14:paraId="57D68D1A" w14:textId="77777777" w:rsidR="008E6885" w:rsidRDefault="00EA24E7">
            <w:pPr>
              <w:pStyle w:val="P68B1DB1-Normal19"/>
              <w:spacing w:after="0" w:line="240" w:lineRule="auto"/>
              <w:rPr>
                <w:rFonts w:eastAsia="Times New Roman" w:cs="Times New Roman"/>
                <w:noProof/>
              </w:rPr>
            </w:pPr>
            <w:r>
              <w:rPr>
                <w:noProof/>
              </w:rPr>
              <w:t>Signature du contrat de construction et de conception</w:t>
            </w:r>
          </w:p>
        </w:tc>
        <w:tc>
          <w:tcPr>
            <w:tcW w:w="1419" w:type="dxa"/>
            <w:shd w:val="clear" w:color="auto" w:fill="C6EFCE"/>
            <w:hideMark/>
          </w:tcPr>
          <w:p w14:paraId="5CF00638"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7F2B8222"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432C52DB"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167362D1" w14:textId="77777777" w:rsidR="008E6885" w:rsidRDefault="00EA24E7">
            <w:pPr>
              <w:pStyle w:val="P68B1DB1-Normal19"/>
              <w:spacing w:after="0" w:line="240" w:lineRule="auto"/>
              <w:jc w:val="center"/>
              <w:rPr>
                <w:rFonts w:eastAsia="Times New Roman" w:cs="Times New Roman"/>
                <w:noProof/>
              </w:rPr>
            </w:pPr>
            <w:r>
              <w:rPr>
                <w:noProof/>
              </w:rPr>
              <w:t>T3</w:t>
            </w:r>
          </w:p>
        </w:tc>
        <w:tc>
          <w:tcPr>
            <w:tcW w:w="709" w:type="dxa"/>
            <w:shd w:val="clear" w:color="auto" w:fill="C6EFCE"/>
            <w:hideMark/>
          </w:tcPr>
          <w:p w14:paraId="63A2BBCC" w14:textId="77777777" w:rsidR="008E6885" w:rsidRDefault="00EA24E7">
            <w:pPr>
              <w:pStyle w:val="P68B1DB1-Normal19"/>
              <w:spacing w:after="0" w:line="240" w:lineRule="auto"/>
              <w:jc w:val="center"/>
              <w:rPr>
                <w:rFonts w:eastAsia="Times New Roman" w:cs="Times New Roman"/>
                <w:noProof/>
              </w:rPr>
            </w:pPr>
            <w:r>
              <w:rPr>
                <w:noProof/>
              </w:rPr>
              <w:t>2023</w:t>
            </w:r>
          </w:p>
        </w:tc>
        <w:tc>
          <w:tcPr>
            <w:tcW w:w="2835" w:type="dxa"/>
            <w:shd w:val="clear" w:color="auto" w:fill="C6EFCE"/>
            <w:hideMark/>
          </w:tcPr>
          <w:p w14:paraId="750B7313" w14:textId="77777777" w:rsidR="008E6885" w:rsidRDefault="00EA24E7">
            <w:pPr>
              <w:pStyle w:val="P68B1DB1-Normal19"/>
              <w:spacing w:after="0" w:line="240" w:lineRule="auto"/>
              <w:jc w:val="both"/>
              <w:rPr>
                <w:rFonts w:eastAsia="Times New Roman" w:cs="Times New Roman"/>
                <w:noProof/>
              </w:rPr>
            </w:pPr>
            <w:r>
              <w:rPr>
                <w:noProof/>
              </w:rPr>
              <w:t>Un contrat pour la conception et la construction d'infrastructures pour les services de contrôle à Kundzinsala a été signé à la suite d'une procédure d'appel d'offres.</w:t>
            </w:r>
          </w:p>
        </w:tc>
      </w:tr>
      <w:tr w:rsidR="008E6885" w14:paraId="6238D572" w14:textId="77777777" w:rsidTr="00D57C89">
        <w:trPr>
          <w:trHeight w:val="300"/>
        </w:trPr>
        <w:tc>
          <w:tcPr>
            <w:tcW w:w="555" w:type="dxa"/>
            <w:shd w:val="clear" w:color="auto" w:fill="C6EFCE"/>
            <w:hideMark/>
          </w:tcPr>
          <w:p w14:paraId="6CC28D75" w14:textId="77777777" w:rsidR="008E6885" w:rsidRDefault="00EA24E7">
            <w:pPr>
              <w:pStyle w:val="P68B1DB1-Normal19"/>
              <w:spacing w:after="0" w:line="240" w:lineRule="auto"/>
              <w:jc w:val="both"/>
              <w:rPr>
                <w:rFonts w:eastAsia="Times New Roman" w:cs="Times New Roman"/>
                <w:noProof/>
              </w:rPr>
            </w:pPr>
            <w:r>
              <w:rPr>
                <w:noProof/>
              </w:rPr>
              <w:t>182</w:t>
            </w:r>
          </w:p>
        </w:tc>
        <w:tc>
          <w:tcPr>
            <w:tcW w:w="2139" w:type="dxa"/>
            <w:shd w:val="clear" w:color="auto" w:fill="C6EFCE"/>
            <w:hideMark/>
          </w:tcPr>
          <w:p w14:paraId="7EB9BBA2" w14:textId="77777777" w:rsidR="008E6885" w:rsidRDefault="00EA24E7">
            <w:pPr>
              <w:pStyle w:val="P68B1DB1-Normal17"/>
              <w:spacing w:after="0" w:line="240" w:lineRule="auto"/>
              <w:rPr>
                <w:rFonts w:eastAsia="Times New Roman" w:cs="Times New Roman"/>
                <w:bCs/>
                <w:noProof/>
              </w:rPr>
            </w:pPr>
            <w:r>
              <w:rPr>
                <w:noProof/>
              </w:rPr>
              <w:t xml:space="preserve">6.1.2.4.i. </w:t>
            </w:r>
          </w:p>
          <w:p w14:paraId="3660390D" w14:textId="77777777" w:rsidR="008E6885" w:rsidRDefault="00EA24E7">
            <w:pPr>
              <w:pStyle w:val="P68B1DB1-Normal17"/>
              <w:spacing w:after="0" w:line="240" w:lineRule="auto"/>
              <w:rPr>
                <w:rFonts w:eastAsia="Times New Roman" w:cs="Times New Roman"/>
                <w:bCs/>
                <w:noProof/>
              </w:rPr>
            </w:pPr>
            <w:r>
              <w:rPr>
                <w:noProof/>
              </w:rPr>
              <w:t>Création d'infrastructures pour la prestation de services de contrôle à Kundziņsala</w:t>
            </w:r>
          </w:p>
        </w:tc>
        <w:tc>
          <w:tcPr>
            <w:tcW w:w="1418" w:type="dxa"/>
            <w:shd w:val="clear" w:color="auto" w:fill="C6EFCE"/>
            <w:hideMark/>
          </w:tcPr>
          <w:p w14:paraId="247983A9"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64BCBF5C" w14:textId="77777777" w:rsidR="008E6885" w:rsidRDefault="00EA24E7">
            <w:pPr>
              <w:pStyle w:val="P68B1DB1-Normal19"/>
              <w:spacing w:after="0" w:line="240" w:lineRule="auto"/>
              <w:rPr>
                <w:rFonts w:eastAsia="Times New Roman" w:cs="Times New Roman"/>
                <w:noProof/>
              </w:rPr>
            </w:pPr>
            <w:r>
              <w:rPr>
                <w:noProof/>
              </w:rPr>
              <w:t>Permis de construire reçu</w:t>
            </w:r>
          </w:p>
        </w:tc>
        <w:tc>
          <w:tcPr>
            <w:tcW w:w="1843" w:type="dxa"/>
            <w:shd w:val="clear" w:color="auto" w:fill="C6EFCE"/>
            <w:hideMark/>
          </w:tcPr>
          <w:p w14:paraId="38062BE0" w14:textId="77777777" w:rsidR="008E6885" w:rsidRDefault="00EA24E7">
            <w:pPr>
              <w:pStyle w:val="P68B1DB1-Normal19"/>
              <w:spacing w:after="0" w:line="240" w:lineRule="auto"/>
              <w:rPr>
                <w:rFonts w:eastAsia="Times New Roman" w:cs="Times New Roman"/>
                <w:noProof/>
              </w:rPr>
            </w:pPr>
            <w:r>
              <w:rPr>
                <w:noProof/>
              </w:rPr>
              <w:t>Notification de la décision d’approbation de l’autorisation</w:t>
            </w:r>
          </w:p>
        </w:tc>
        <w:tc>
          <w:tcPr>
            <w:tcW w:w="1419" w:type="dxa"/>
            <w:shd w:val="clear" w:color="auto" w:fill="C6EFCE"/>
            <w:hideMark/>
          </w:tcPr>
          <w:p w14:paraId="5FCE0917"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7E3F9397"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680DF8B2"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7B0AB3C8" w14:textId="77777777" w:rsidR="008E6885" w:rsidRDefault="00EA24E7">
            <w:pPr>
              <w:pStyle w:val="P68B1DB1-Normal19"/>
              <w:spacing w:after="0" w:line="240" w:lineRule="auto"/>
              <w:jc w:val="center"/>
              <w:rPr>
                <w:rFonts w:eastAsia="Times New Roman" w:cs="Times New Roman"/>
                <w:noProof/>
              </w:rPr>
            </w:pPr>
            <w:r>
              <w:rPr>
                <w:noProof/>
              </w:rPr>
              <w:t>T3</w:t>
            </w:r>
          </w:p>
        </w:tc>
        <w:tc>
          <w:tcPr>
            <w:tcW w:w="709" w:type="dxa"/>
            <w:shd w:val="clear" w:color="auto" w:fill="C6EFCE"/>
            <w:hideMark/>
          </w:tcPr>
          <w:p w14:paraId="649FE7CE" w14:textId="77777777" w:rsidR="008E6885" w:rsidRDefault="00EA24E7">
            <w:pPr>
              <w:pStyle w:val="P68B1DB1-Normal19"/>
              <w:spacing w:after="0" w:line="240" w:lineRule="auto"/>
              <w:jc w:val="center"/>
              <w:rPr>
                <w:rFonts w:eastAsia="Times New Roman" w:cs="Times New Roman"/>
                <w:noProof/>
              </w:rPr>
            </w:pPr>
            <w:r>
              <w:rPr>
                <w:noProof/>
              </w:rPr>
              <w:t>2024</w:t>
            </w:r>
          </w:p>
        </w:tc>
        <w:tc>
          <w:tcPr>
            <w:tcW w:w="2835" w:type="dxa"/>
            <w:shd w:val="clear" w:color="auto" w:fill="C6EFCE"/>
            <w:hideMark/>
          </w:tcPr>
          <w:p w14:paraId="658CB641" w14:textId="77777777" w:rsidR="008E6885" w:rsidRDefault="00EA24E7">
            <w:pPr>
              <w:pStyle w:val="P68B1DB1-Normal19"/>
              <w:spacing w:after="0" w:line="240" w:lineRule="auto"/>
              <w:jc w:val="both"/>
              <w:rPr>
                <w:rFonts w:eastAsia="Times New Roman" w:cs="Times New Roman"/>
                <w:noProof/>
              </w:rPr>
            </w:pPr>
            <w:r>
              <w:rPr>
                <w:noProof/>
              </w:rPr>
              <w:t>Un permis de construire a été reçu de l'Office de la construction.</w:t>
            </w:r>
          </w:p>
        </w:tc>
      </w:tr>
      <w:tr w:rsidR="008E6885" w14:paraId="1626BBAA" w14:textId="77777777" w:rsidTr="00D57C89">
        <w:trPr>
          <w:trHeight w:val="300"/>
        </w:trPr>
        <w:tc>
          <w:tcPr>
            <w:tcW w:w="555" w:type="dxa"/>
            <w:shd w:val="clear" w:color="auto" w:fill="C6EFCE"/>
            <w:hideMark/>
          </w:tcPr>
          <w:p w14:paraId="39615D97" w14:textId="77777777" w:rsidR="008E6885" w:rsidRDefault="00EA24E7">
            <w:pPr>
              <w:pStyle w:val="P68B1DB1-Normal19"/>
              <w:spacing w:after="0" w:line="240" w:lineRule="auto"/>
              <w:jc w:val="both"/>
              <w:rPr>
                <w:rFonts w:eastAsia="Times New Roman" w:cs="Times New Roman"/>
                <w:noProof/>
              </w:rPr>
            </w:pPr>
            <w:r>
              <w:rPr>
                <w:noProof/>
              </w:rPr>
              <w:t>183</w:t>
            </w:r>
          </w:p>
        </w:tc>
        <w:tc>
          <w:tcPr>
            <w:tcW w:w="2139" w:type="dxa"/>
            <w:shd w:val="clear" w:color="auto" w:fill="C6EFCE"/>
            <w:hideMark/>
          </w:tcPr>
          <w:p w14:paraId="67504843" w14:textId="77777777" w:rsidR="008E6885" w:rsidRDefault="00EA24E7">
            <w:pPr>
              <w:pStyle w:val="P68B1DB1-Normal17"/>
              <w:spacing w:after="0" w:line="240" w:lineRule="auto"/>
              <w:rPr>
                <w:rFonts w:eastAsia="Times New Roman" w:cs="Times New Roman"/>
                <w:bCs/>
                <w:noProof/>
              </w:rPr>
            </w:pPr>
            <w:r>
              <w:rPr>
                <w:noProof/>
              </w:rPr>
              <w:t xml:space="preserve">6.1.2.4.i. </w:t>
            </w:r>
          </w:p>
          <w:p w14:paraId="0DF12D73" w14:textId="77777777" w:rsidR="008E6885" w:rsidRDefault="00EA24E7">
            <w:pPr>
              <w:pStyle w:val="P68B1DB1-Normal17"/>
              <w:spacing w:after="0" w:line="240" w:lineRule="auto"/>
              <w:rPr>
                <w:rFonts w:eastAsia="Times New Roman" w:cs="Times New Roman"/>
                <w:bCs/>
                <w:noProof/>
              </w:rPr>
            </w:pPr>
            <w:r>
              <w:rPr>
                <w:noProof/>
              </w:rPr>
              <w:t>Création d'infrastructures pour la prestation de services de contrôle à Kundziņsala</w:t>
            </w:r>
          </w:p>
        </w:tc>
        <w:tc>
          <w:tcPr>
            <w:tcW w:w="1418" w:type="dxa"/>
            <w:shd w:val="clear" w:color="auto" w:fill="C6EFCE"/>
            <w:hideMark/>
          </w:tcPr>
          <w:p w14:paraId="786958F5"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7C86BA71" w14:textId="77777777" w:rsidR="008E6885" w:rsidRDefault="00EA24E7">
            <w:pPr>
              <w:pStyle w:val="P68B1DB1-Normal19"/>
              <w:spacing w:after="0" w:line="240" w:lineRule="auto"/>
              <w:rPr>
                <w:rFonts w:eastAsia="Times New Roman" w:cs="Times New Roman"/>
                <w:noProof/>
              </w:rPr>
            </w:pPr>
            <w:r>
              <w:rPr>
                <w:noProof/>
              </w:rPr>
              <w:t xml:space="preserve">Structures et équipements de roulement et de fermeture </w:t>
            </w:r>
          </w:p>
        </w:tc>
        <w:tc>
          <w:tcPr>
            <w:tcW w:w="1843" w:type="dxa"/>
            <w:shd w:val="clear" w:color="auto" w:fill="C6EFCE"/>
            <w:hideMark/>
          </w:tcPr>
          <w:p w14:paraId="57AB829A" w14:textId="77777777" w:rsidR="008E6885" w:rsidRDefault="00EA24E7">
            <w:pPr>
              <w:pStyle w:val="P68B1DB1-Normal19"/>
              <w:spacing w:after="0" w:line="240" w:lineRule="auto"/>
              <w:rPr>
                <w:rFonts w:eastAsia="Times New Roman" w:cs="Times New Roman"/>
                <w:noProof/>
              </w:rPr>
            </w:pPr>
            <w:r>
              <w:rPr>
                <w:noProof/>
              </w:rPr>
              <w:t>Acte de construction (formulaire 2 et formulaire 3) émis et facture signée</w:t>
            </w:r>
          </w:p>
        </w:tc>
        <w:tc>
          <w:tcPr>
            <w:tcW w:w="1419" w:type="dxa"/>
            <w:shd w:val="clear" w:color="auto" w:fill="C6EFCE"/>
            <w:hideMark/>
          </w:tcPr>
          <w:p w14:paraId="69BE2A08"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3F5F57D0"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47B89769"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0F95709D" w14:textId="77777777" w:rsidR="008E6885" w:rsidRDefault="00EA24E7">
            <w:pPr>
              <w:pStyle w:val="P68B1DB1-Normal19"/>
              <w:spacing w:after="0" w:line="240" w:lineRule="auto"/>
              <w:jc w:val="center"/>
              <w:rPr>
                <w:rFonts w:eastAsia="Times New Roman" w:cs="Times New Roman"/>
                <w:noProof/>
              </w:rPr>
            </w:pPr>
            <w:r>
              <w:rPr>
                <w:noProof/>
              </w:rPr>
              <w:t>T3</w:t>
            </w:r>
          </w:p>
        </w:tc>
        <w:tc>
          <w:tcPr>
            <w:tcW w:w="709" w:type="dxa"/>
            <w:shd w:val="clear" w:color="auto" w:fill="C6EFCE"/>
            <w:hideMark/>
          </w:tcPr>
          <w:p w14:paraId="730DE5DD" w14:textId="77777777" w:rsidR="008E6885" w:rsidRDefault="00EA24E7">
            <w:pPr>
              <w:pStyle w:val="P68B1DB1-Normal19"/>
              <w:spacing w:after="0" w:line="240" w:lineRule="auto"/>
              <w:jc w:val="center"/>
              <w:rPr>
                <w:rFonts w:eastAsia="Times New Roman" w:cs="Times New Roman"/>
                <w:noProof/>
              </w:rPr>
            </w:pPr>
            <w:r>
              <w:rPr>
                <w:noProof/>
              </w:rPr>
              <w:t>2026</w:t>
            </w:r>
          </w:p>
        </w:tc>
        <w:tc>
          <w:tcPr>
            <w:tcW w:w="2835" w:type="dxa"/>
            <w:shd w:val="clear" w:color="auto" w:fill="C6EFCE"/>
            <w:hideMark/>
          </w:tcPr>
          <w:p w14:paraId="77383D47" w14:textId="77777777" w:rsidR="008E6885" w:rsidRDefault="00EA24E7">
            <w:pPr>
              <w:pStyle w:val="P68B1DB1-Normal19"/>
              <w:spacing w:after="0" w:line="240" w:lineRule="auto"/>
              <w:jc w:val="both"/>
              <w:rPr>
                <w:noProof/>
              </w:rPr>
            </w:pPr>
            <w:r>
              <w:rPr>
                <w:noProof/>
              </w:rPr>
              <w:t xml:space="preserve">L’acte de construction (formulaire 2 et formulaire 3) est délivré pour la construction des structures portantes et enveloppantes du bâtiment, y compris la toiture. </w:t>
            </w:r>
          </w:p>
          <w:p w14:paraId="4393BF82" w14:textId="77777777" w:rsidR="008E6885" w:rsidRDefault="00EA24E7">
            <w:pPr>
              <w:pStyle w:val="P68B1DB1-Normal19"/>
              <w:spacing w:after="0" w:line="240" w:lineRule="auto"/>
              <w:jc w:val="both"/>
              <w:rPr>
                <w:rFonts w:eastAsia="Times New Roman" w:cs="Times New Roman"/>
                <w:noProof/>
              </w:rPr>
            </w:pPr>
            <w:r>
              <w:rPr>
                <w:noProof/>
              </w:rPr>
              <w:t xml:space="preserve">Facture signée pour la livraison d'équipements de contrôle du fret à rayons X. </w:t>
            </w:r>
          </w:p>
        </w:tc>
      </w:tr>
      <w:tr w:rsidR="008E6885" w14:paraId="47805D8D" w14:textId="77777777" w:rsidTr="00D57C89">
        <w:trPr>
          <w:trHeight w:val="300"/>
        </w:trPr>
        <w:tc>
          <w:tcPr>
            <w:tcW w:w="555" w:type="dxa"/>
            <w:shd w:val="clear" w:color="auto" w:fill="C6EFCE"/>
            <w:hideMark/>
          </w:tcPr>
          <w:p w14:paraId="66FA2FA3" w14:textId="77777777" w:rsidR="008E6885" w:rsidRDefault="00EA24E7">
            <w:pPr>
              <w:pStyle w:val="P68B1DB1-Normal19"/>
              <w:spacing w:after="0" w:line="240" w:lineRule="auto"/>
              <w:jc w:val="both"/>
              <w:rPr>
                <w:rFonts w:eastAsia="Times New Roman" w:cs="Times New Roman"/>
                <w:noProof/>
              </w:rPr>
            </w:pPr>
            <w:r>
              <w:rPr>
                <w:noProof/>
              </w:rPr>
              <w:t>184</w:t>
            </w:r>
          </w:p>
        </w:tc>
        <w:tc>
          <w:tcPr>
            <w:tcW w:w="2139" w:type="dxa"/>
            <w:shd w:val="clear" w:color="auto" w:fill="C6EFCE"/>
            <w:hideMark/>
          </w:tcPr>
          <w:p w14:paraId="270279FA" w14:textId="77777777" w:rsidR="008E6885" w:rsidRDefault="00EA24E7">
            <w:pPr>
              <w:pStyle w:val="P68B1DB1-Normal17"/>
              <w:spacing w:after="0" w:line="240" w:lineRule="auto"/>
              <w:rPr>
                <w:rFonts w:eastAsia="Times New Roman" w:cs="Times New Roman"/>
                <w:bCs/>
                <w:noProof/>
              </w:rPr>
            </w:pPr>
            <w:r>
              <w:rPr>
                <w:noProof/>
              </w:rPr>
              <w:t xml:space="preserve">6.1.2.4.i. </w:t>
            </w:r>
          </w:p>
          <w:p w14:paraId="250E25AB" w14:textId="77777777" w:rsidR="008E6885" w:rsidRDefault="00EA24E7">
            <w:pPr>
              <w:pStyle w:val="P68B1DB1-Normal17"/>
              <w:spacing w:after="0" w:line="240" w:lineRule="auto"/>
              <w:rPr>
                <w:rFonts w:eastAsia="Times New Roman" w:cs="Times New Roman"/>
                <w:bCs/>
                <w:noProof/>
              </w:rPr>
            </w:pPr>
            <w:r>
              <w:rPr>
                <w:noProof/>
              </w:rPr>
              <w:t>Création d'infrastructures pour la prestation de services de contrôle à Kundziņsala</w:t>
            </w:r>
          </w:p>
        </w:tc>
        <w:tc>
          <w:tcPr>
            <w:tcW w:w="1418" w:type="dxa"/>
            <w:shd w:val="clear" w:color="auto" w:fill="C6EFCE"/>
            <w:hideMark/>
          </w:tcPr>
          <w:p w14:paraId="2AC7CD4A"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4E1B6440" w14:textId="77777777" w:rsidR="008E6885" w:rsidRDefault="00EA24E7">
            <w:pPr>
              <w:pStyle w:val="P68B1DB1-Normal19"/>
              <w:spacing w:after="0" w:line="240" w:lineRule="auto"/>
              <w:rPr>
                <w:rFonts w:eastAsia="Times New Roman" w:cs="Times New Roman"/>
                <w:noProof/>
              </w:rPr>
            </w:pPr>
            <w:r>
              <w:rPr>
                <w:noProof/>
              </w:rPr>
              <w:t>Achat et conclusion d'un contrat pour la fourniture et l'installation d'équipements de contrôle du fret à rayons X</w:t>
            </w:r>
          </w:p>
        </w:tc>
        <w:tc>
          <w:tcPr>
            <w:tcW w:w="1843" w:type="dxa"/>
            <w:shd w:val="clear" w:color="auto" w:fill="C6EFCE"/>
            <w:hideMark/>
          </w:tcPr>
          <w:p w14:paraId="0BE1D953" w14:textId="77777777" w:rsidR="008E6885" w:rsidRDefault="00EA24E7">
            <w:pPr>
              <w:pStyle w:val="P68B1DB1-Normal19"/>
              <w:spacing w:after="0" w:line="240" w:lineRule="auto"/>
              <w:rPr>
                <w:rFonts w:eastAsia="Times New Roman" w:cs="Times New Roman"/>
                <w:noProof/>
              </w:rPr>
            </w:pPr>
            <w:r>
              <w:rPr>
                <w:noProof/>
              </w:rPr>
              <w:t>Signature du contrat</w:t>
            </w:r>
          </w:p>
        </w:tc>
        <w:tc>
          <w:tcPr>
            <w:tcW w:w="1419" w:type="dxa"/>
            <w:shd w:val="clear" w:color="auto" w:fill="C6EFCE"/>
            <w:hideMark/>
          </w:tcPr>
          <w:p w14:paraId="725AF21B"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2606F56A"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7401A3DE"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7DF87CF9" w14:textId="77777777" w:rsidR="008E6885" w:rsidRDefault="00EA24E7">
            <w:pPr>
              <w:pStyle w:val="P68B1DB1-Normal19"/>
              <w:spacing w:after="0" w:line="240" w:lineRule="auto"/>
              <w:jc w:val="center"/>
              <w:rPr>
                <w:rFonts w:eastAsia="Times New Roman" w:cs="Times New Roman"/>
                <w:noProof/>
              </w:rPr>
            </w:pPr>
            <w:r>
              <w:rPr>
                <w:noProof/>
              </w:rPr>
              <w:t>T3</w:t>
            </w:r>
          </w:p>
        </w:tc>
        <w:tc>
          <w:tcPr>
            <w:tcW w:w="709" w:type="dxa"/>
            <w:shd w:val="clear" w:color="auto" w:fill="C6EFCE"/>
            <w:hideMark/>
          </w:tcPr>
          <w:p w14:paraId="40DF4A14" w14:textId="77777777" w:rsidR="008E6885" w:rsidRDefault="00EA24E7">
            <w:pPr>
              <w:pStyle w:val="P68B1DB1-Normal19"/>
              <w:spacing w:after="0" w:line="240" w:lineRule="auto"/>
              <w:jc w:val="center"/>
              <w:rPr>
                <w:rFonts w:eastAsia="Times New Roman" w:cs="Times New Roman"/>
                <w:noProof/>
              </w:rPr>
            </w:pPr>
            <w:r>
              <w:rPr>
                <w:noProof/>
              </w:rPr>
              <w:t>2023</w:t>
            </w:r>
          </w:p>
        </w:tc>
        <w:tc>
          <w:tcPr>
            <w:tcW w:w="2835" w:type="dxa"/>
            <w:shd w:val="clear" w:color="auto" w:fill="C6EFCE"/>
            <w:hideMark/>
          </w:tcPr>
          <w:p w14:paraId="5129B137" w14:textId="77777777" w:rsidR="008E6885" w:rsidRDefault="00EA24E7">
            <w:pPr>
              <w:pStyle w:val="P68B1DB1-Normal19"/>
              <w:spacing w:after="0" w:line="240" w:lineRule="auto"/>
              <w:jc w:val="both"/>
              <w:rPr>
                <w:rFonts w:eastAsia="Times New Roman" w:cs="Times New Roman"/>
                <w:noProof/>
              </w:rPr>
            </w:pPr>
            <w:r>
              <w:rPr>
                <w:noProof/>
              </w:rPr>
              <w:t>Un contrat pour la fourniture et l'installation d'équipements de contrôle du fret à rayons X a été signé à la suite d'une procédure d'appel d'offres.</w:t>
            </w:r>
          </w:p>
        </w:tc>
      </w:tr>
      <w:tr w:rsidR="008E6885" w14:paraId="57607C40" w14:textId="77777777" w:rsidTr="00D57C89">
        <w:trPr>
          <w:trHeight w:val="300"/>
        </w:trPr>
        <w:tc>
          <w:tcPr>
            <w:tcW w:w="555" w:type="dxa"/>
            <w:shd w:val="clear" w:color="auto" w:fill="C6EFCE"/>
            <w:hideMark/>
          </w:tcPr>
          <w:p w14:paraId="2291CA82" w14:textId="77777777" w:rsidR="008E6885" w:rsidRDefault="00EA24E7">
            <w:pPr>
              <w:pStyle w:val="P68B1DB1-Normal19"/>
              <w:spacing w:after="0" w:line="240" w:lineRule="auto"/>
              <w:jc w:val="both"/>
              <w:rPr>
                <w:rFonts w:eastAsia="Times New Roman" w:cs="Times New Roman"/>
                <w:noProof/>
              </w:rPr>
            </w:pPr>
            <w:r>
              <w:rPr>
                <w:noProof/>
              </w:rPr>
              <w:t>186</w:t>
            </w:r>
          </w:p>
        </w:tc>
        <w:tc>
          <w:tcPr>
            <w:tcW w:w="2139" w:type="dxa"/>
            <w:shd w:val="clear" w:color="auto" w:fill="C6EFCE"/>
            <w:hideMark/>
          </w:tcPr>
          <w:p w14:paraId="4E12A05D" w14:textId="77777777" w:rsidR="008E6885" w:rsidRDefault="00EA24E7">
            <w:pPr>
              <w:pStyle w:val="P68B1DB1-Normal17"/>
              <w:spacing w:after="0" w:line="240" w:lineRule="auto"/>
              <w:rPr>
                <w:rFonts w:eastAsia="Times New Roman" w:cs="Times New Roman"/>
                <w:bCs/>
                <w:noProof/>
              </w:rPr>
            </w:pPr>
            <w:r>
              <w:rPr>
                <w:noProof/>
              </w:rPr>
              <w:t>6.2.1.r. Modernisation du processus d’identification du blanchiment de capitaux, d’enquête sur les infractions économiques et de procédure judiciaire</w:t>
            </w:r>
          </w:p>
        </w:tc>
        <w:tc>
          <w:tcPr>
            <w:tcW w:w="1418" w:type="dxa"/>
            <w:shd w:val="clear" w:color="auto" w:fill="C6EFCE"/>
            <w:hideMark/>
          </w:tcPr>
          <w:p w14:paraId="3B9EE009"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59058159" w14:textId="77777777" w:rsidR="008E6885" w:rsidRDefault="00EA24E7">
            <w:pPr>
              <w:pStyle w:val="P68B1DB1-Normal19"/>
              <w:spacing w:after="0" w:line="240" w:lineRule="auto"/>
              <w:rPr>
                <w:rFonts w:eastAsia="Times New Roman" w:cs="Times New Roman"/>
                <w:noProof/>
              </w:rPr>
            </w:pPr>
            <w:r>
              <w:rPr>
                <w:noProof/>
              </w:rPr>
              <w:t xml:space="preserve">Entrée en vigueur des modifications apportées à la loi sur la prévention du blanchiment de capitaux et du financement du terrorisme et de la prolifération </w:t>
            </w:r>
          </w:p>
        </w:tc>
        <w:tc>
          <w:tcPr>
            <w:tcW w:w="1843" w:type="dxa"/>
            <w:shd w:val="clear" w:color="auto" w:fill="C6EFCE"/>
            <w:hideMark/>
          </w:tcPr>
          <w:p w14:paraId="4340297E" w14:textId="77777777" w:rsidR="008E6885" w:rsidRDefault="00EA24E7">
            <w:pPr>
              <w:pStyle w:val="P68B1DB1-Normal19"/>
              <w:spacing w:after="0" w:line="240" w:lineRule="auto"/>
              <w:rPr>
                <w:rFonts w:eastAsia="Times New Roman" w:cs="Times New Roman"/>
                <w:noProof/>
              </w:rPr>
            </w:pPr>
            <w:r>
              <w:rPr>
                <w:noProof/>
              </w:rPr>
              <w:t>Entrée en vigueur des amendements à la loi NILLTPFN</w:t>
            </w:r>
          </w:p>
        </w:tc>
        <w:tc>
          <w:tcPr>
            <w:tcW w:w="1419" w:type="dxa"/>
            <w:shd w:val="clear" w:color="auto" w:fill="C6EFCE"/>
            <w:hideMark/>
          </w:tcPr>
          <w:p w14:paraId="0F84B1C6"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70A4BB17"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7AAA4A1A"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71E9C53F" w14:textId="77777777" w:rsidR="008E6885" w:rsidRDefault="00EA24E7">
            <w:pPr>
              <w:pStyle w:val="P68B1DB1-Normal19"/>
              <w:spacing w:after="0" w:line="240" w:lineRule="auto"/>
              <w:jc w:val="center"/>
              <w:rPr>
                <w:rFonts w:eastAsia="Times New Roman" w:cs="Times New Roman"/>
                <w:noProof/>
              </w:rPr>
            </w:pPr>
            <w:r>
              <w:rPr>
                <w:noProof/>
              </w:rPr>
              <w:t>T2</w:t>
            </w:r>
          </w:p>
        </w:tc>
        <w:tc>
          <w:tcPr>
            <w:tcW w:w="709" w:type="dxa"/>
            <w:shd w:val="clear" w:color="auto" w:fill="C6EFCE"/>
            <w:hideMark/>
          </w:tcPr>
          <w:p w14:paraId="30410131" w14:textId="77777777" w:rsidR="008E6885" w:rsidRDefault="00EA24E7">
            <w:pPr>
              <w:pStyle w:val="P68B1DB1-Normal19"/>
              <w:spacing w:after="0" w:line="240" w:lineRule="auto"/>
              <w:jc w:val="center"/>
              <w:rPr>
                <w:rFonts w:eastAsia="Times New Roman" w:cs="Times New Roman"/>
                <w:noProof/>
              </w:rPr>
            </w:pPr>
            <w:r>
              <w:rPr>
                <w:noProof/>
              </w:rPr>
              <w:t>2021</w:t>
            </w:r>
          </w:p>
        </w:tc>
        <w:tc>
          <w:tcPr>
            <w:tcW w:w="2835" w:type="dxa"/>
            <w:shd w:val="clear" w:color="auto" w:fill="C6EFCE"/>
            <w:hideMark/>
          </w:tcPr>
          <w:p w14:paraId="48D77FA7" w14:textId="77777777" w:rsidR="008E6885" w:rsidRDefault="00EA24E7">
            <w:pPr>
              <w:pStyle w:val="P68B1DB1-Normal19"/>
              <w:spacing w:after="0" w:line="240" w:lineRule="auto"/>
              <w:jc w:val="both"/>
              <w:rPr>
                <w:rFonts w:eastAsia="Times New Roman" w:cs="Times New Roman"/>
                <w:noProof/>
              </w:rPr>
            </w:pPr>
            <w:r>
              <w:rPr>
                <w:noProof/>
              </w:rPr>
              <w:t>Des amendements à la loi sur la prévention du blanchiment de capitaux et du financement du terrorisme et de la prolifération sont entrés en vigueur, notamment:</w:t>
            </w:r>
          </w:p>
          <w:p w14:paraId="0E49151E" w14:textId="77777777" w:rsidR="008E6885" w:rsidRDefault="00EA24E7">
            <w:pPr>
              <w:pStyle w:val="P68B1DB1-Normal19"/>
              <w:spacing w:after="0" w:line="240" w:lineRule="auto"/>
              <w:jc w:val="both"/>
              <w:rPr>
                <w:rFonts w:eastAsia="Times New Roman" w:cs="Times New Roman"/>
                <w:noProof/>
              </w:rPr>
            </w:pPr>
            <w:r>
              <w:rPr>
                <w:noProof/>
              </w:rPr>
              <w:t xml:space="preserve">- l’introduction d’un nouveau système de réception et d’analyse des données de la cellule de renseignement financier (CRF) et la suppression d’un système de déclaration parallèle pour la CRF et le service des recettes de l’État (SRS), prévoyant uniquement la déclaration à la CRF. </w:t>
            </w:r>
          </w:p>
          <w:p w14:paraId="24BBE582" w14:textId="77777777" w:rsidR="008E6885" w:rsidRDefault="00EA24E7">
            <w:pPr>
              <w:pStyle w:val="P68B1DB1-Normal19"/>
              <w:spacing w:after="0" w:line="240" w:lineRule="auto"/>
              <w:jc w:val="both"/>
              <w:rPr>
                <w:rFonts w:eastAsia="Times New Roman" w:cs="Times New Roman"/>
                <w:noProof/>
              </w:rPr>
            </w:pPr>
            <w:r>
              <w:rPr>
                <w:noProof/>
              </w:rPr>
              <w:t>Le Conseil des ministres a adopté un règlement sur la procédure et le contenu des déclarations d'opérations suspectes et des déclarations de seuil.</w:t>
            </w:r>
          </w:p>
        </w:tc>
      </w:tr>
      <w:tr w:rsidR="008E6885" w14:paraId="6D3AAD59" w14:textId="77777777" w:rsidTr="00D57C89">
        <w:trPr>
          <w:trHeight w:val="300"/>
        </w:trPr>
        <w:tc>
          <w:tcPr>
            <w:tcW w:w="555" w:type="dxa"/>
            <w:shd w:val="clear" w:color="auto" w:fill="C6EFCE"/>
            <w:hideMark/>
          </w:tcPr>
          <w:p w14:paraId="2B8B7CCA" w14:textId="77777777" w:rsidR="008E6885" w:rsidRDefault="00EA24E7">
            <w:pPr>
              <w:pStyle w:val="P68B1DB1-Normal19"/>
              <w:spacing w:after="0" w:line="240" w:lineRule="auto"/>
              <w:jc w:val="both"/>
              <w:rPr>
                <w:rFonts w:eastAsia="Times New Roman" w:cs="Times New Roman"/>
                <w:noProof/>
              </w:rPr>
            </w:pPr>
            <w:r>
              <w:rPr>
                <w:noProof/>
              </w:rPr>
              <w:t>187</w:t>
            </w:r>
          </w:p>
        </w:tc>
        <w:tc>
          <w:tcPr>
            <w:tcW w:w="2139" w:type="dxa"/>
            <w:shd w:val="clear" w:color="auto" w:fill="C6EFCE"/>
            <w:hideMark/>
          </w:tcPr>
          <w:p w14:paraId="213F2D8C" w14:textId="77777777" w:rsidR="008E6885" w:rsidRDefault="00EA24E7">
            <w:pPr>
              <w:pStyle w:val="P68B1DB1-Normal17"/>
              <w:spacing w:after="0" w:line="240" w:lineRule="auto"/>
              <w:rPr>
                <w:rFonts w:eastAsia="Times New Roman" w:cs="Times New Roman"/>
                <w:bCs/>
                <w:noProof/>
              </w:rPr>
            </w:pPr>
            <w:r>
              <w:rPr>
                <w:noProof/>
              </w:rPr>
              <w:t>6.2.1.1.i. Création d’un pôle d’innovation en matière de lutte contre le blanchiment de capitaux afin d’améliorer l’identification du blanchiment de capitaux</w:t>
            </w:r>
          </w:p>
        </w:tc>
        <w:tc>
          <w:tcPr>
            <w:tcW w:w="1418" w:type="dxa"/>
            <w:shd w:val="clear" w:color="auto" w:fill="C6EFCE"/>
            <w:hideMark/>
          </w:tcPr>
          <w:p w14:paraId="0FC3175F"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4A64643D" w14:textId="77777777" w:rsidR="008E6885" w:rsidRDefault="00EA24E7">
            <w:pPr>
              <w:pStyle w:val="P68B1DB1-Normal19"/>
              <w:spacing w:after="0" w:line="240" w:lineRule="auto"/>
              <w:rPr>
                <w:rFonts w:eastAsia="Times New Roman" w:cs="Times New Roman"/>
                <w:noProof/>
              </w:rPr>
            </w:pPr>
            <w:r>
              <w:rPr>
                <w:noProof/>
              </w:rPr>
              <w:t xml:space="preserve">Plateforme de coopération pour le renseignement financier et le partage des connaissances en matière d'identification du blanchiment d'argent </w:t>
            </w:r>
          </w:p>
        </w:tc>
        <w:tc>
          <w:tcPr>
            <w:tcW w:w="1843" w:type="dxa"/>
            <w:shd w:val="clear" w:color="auto" w:fill="C6EFCE"/>
            <w:hideMark/>
          </w:tcPr>
          <w:p w14:paraId="08665201" w14:textId="77777777" w:rsidR="008E6885" w:rsidRDefault="00EA24E7">
            <w:pPr>
              <w:pStyle w:val="P68B1DB1-Normal19"/>
              <w:spacing w:after="0" w:line="240" w:lineRule="auto"/>
              <w:rPr>
                <w:noProof/>
              </w:rPr>
            </w:pPr>
            <w:r>
              <w:rPr>
                <w:noProof/>
              </w:rPr>
              <w:t>Certificat(s) d'achèvement ou facture signée</w:t>
            </w:r>
          </w:p>
        </w:tc>
        <w:tc>
          <w:tcPr>
            <w:tcW w:w="1419" w:type="dxa"/>
            <w:shd w:val="clear" w:color="auto" w:fill="C6EFCE"/>
            <w:hideMark/>
          </w:tcPr>
          <w:p w14:paraId="58649BAC"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26B4EEE0"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063CD59B"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66DB40B2" w14:textId="77777777" w:rsidR="008E6885" w:rsidRDefault="00EA24E7">
            <w:pPr>
              <w:pStyle w:val="P68B1DB1-Normal19"/>
              <w:spacing w:after="0" w:line="240" w:lineRule="auto"/>
              <w:jc w:val="center"/>
              <w:rPr>
                <w:rFonts w:eastAsia="Times New Roman" w:cs="Times New Roman"/>
                <w:noProof/>
              </w:rPr>
            </w:pPr>
            <w:r>
              <w:rPr>
                <w:noProof/>
              </w:rPr>
              <w:t>T1</w:t>
            </w:r>
          </w:p>
        </w:tc>
        <w:tc>
          <w:tcPr>
            <w:tcW w:w="709" w:type="dxa"/>
            <w:shd w:val="clear" w:color="auto" w:fill="C6EFCE"/>
            <w:hideMark/>
          </w:tcPr>
          <w:p w14:paraId="044DDF02" w14:textId="77777777" w:rsidR="008E6885" w:rsidRDefault="00EA24E7">
            <w:pPr>
              <w:pStyle w:val="P68B1DB1-Normal19"/>
              <w:spacing w:after="0" w:line="240" w:lineRule="auto"/>
              <w:jc w:val="center"/>
              <w:rPr>
                <w:rFonts w:eastAsia="Times New Roman" w:cs="Times New Roman"/>
                <w:noProof/>
              </w:rPr>
            </w:pPr>
            <w:r>
              <w:rPr>
                <w:noProof/>
              </w:rPr>
              <w:t>2025</w:t>
            </w:r>
          </w:p>
        </w:tc>
        <w:tc>
          <w:tcPr>
            <w:tcW w:w="2835" w:type="dxa"/>
            <w:shd w:val="clear" w:color="auto" w:fill="C6EFCE"/>
            <w:hideMark/>
          </w:tcPr>
          <w:p w14:paraId="3A710A3F" w14:textId="77777777" w:rsidR="008E6885" w:rsidRDefault="00EA24E7">
            <w:pPr>
              <w:pStyle w:val="P68B1DB1-Normal19"/>
              <w:spacing w:after="0" w:line="240" w:lineRule="auto"/>
              <w:jc w:val="both"/>
              <w:rPr>
                <w:rFonts w:eastAsia="Times New Roman" w:cs="Times New Roman"/>
                <w:noProof/>
              </w:rPr>
            </w:pPr>
            <w:r>
              <w:rPr>
                <w:noProof/>
              </w:rPr>
              <w:t>Il est établi ce qui suit:</w:t>
            </w:r>
          </w:p>
          <w:p w14:paraId="1DA2E769" w14:textId="77777777" w:rsidR="008E6885" w:rsidRDefault="00EA24E7">
            <w:pPr>
              <w:pStyle w:val="P68B1DB1-Normal19"/>
              <w:spacing w:after="0" w:line="240" w:lineRule="auto"/>
              <w:jc w:val="both"/>
              <w:rPr>
                <w:rFonts w:eastAsia="Times New Roman" w:cs="Times New Roman"/>
                <w:noProof/>
              </w:rPr>
            </w:pPr>
            <w:r>
              <w:rPr>
                <w:noProof/>
              </w:rPr>
              <w:t>a) cinq systèmes d'information dans le domaine du blanchiment de capitaux;</w:t>
            </w:r>
          </w:p>
          <w:p w14:paraId="0D94566D" w14:textId="77777777" w:rsidR="008E6885" w:rsidRDefault="00EA24E7">
            <w:pPr>
              <w:pStyle w:val="P68B1DB1-Normal19"/>
              <w:spacing w:after="0" w:line="240" w:lineRule="auto"/>
              <w:jc w:val="both"/>
              <w:rPr>
                <w:rFonts w:eastAsia="Times New Roman" w:cs="Times New Roman"/>
                <w:noProof/>
              </w:rPr>
            </w:pPr>
            <w:r>
              <w:rPr>
                <w:noProof/>
              </w:rPr>
              <w:t>b) 3 salles pour le partage des connaissances et la coopération;</w:t>
            </w:r>
          </w:p>
          <w:p w14:paraId="0EC45EAE" w14:textId="77777777" w:rsidR="008E6885" w:rsidRDefault="00EA24E7">
            <w:pPr>
              <w:pStyle w:val="P68B1DB1-Normal19"/>
              <w:spacing w:after="0" w:line="240" w:lineRule="auto"/>
              <w:jc w:val="both"/>
              <w:rPr>
                <w:rFonts w:eastAsia="Times New Roman" w:cs="Times New Roman"/>
                <w:noProof/>
              </w:rPr>
            </w:pPr>
            <w:r>
              <w:rPr>
                <w:noProof/>
              </w:rPr>
              <w:t>c) 5 connexions intersystèmes pour l ' échange de données;</w:t>
            </w:r>
          </w:p>
          <w:p w14:paraId="1E70ECD7" w14:textId="77777777" w:rsidR="008E6885" w:rsidRDefault="00EA24E7">
            <w:pPr>
              <w:pStyle w:val="P68B1DB1-Normal19"/>
              <w:spacing w:after="0" w:line="240" w:lineRule="auto"/>
              <w:jc w:val="both"/>
              <w:rPr>
                <w:rFonts w:eastAsia="Times New Roman" w:cs="Times New Roman"/>
                <w:noProof/>
              </w:rPr>
            </w:pPr>
            <w:r>
              <w:rPr>
                <w:noProof/>
              </w:rPr>
              <w:t>d) une infrastructure de traitement des données fondée sur six solutions techniques.</w:t>
            </w:r>
          </w:p>
        </w:tc>
      </w:tr>
      <w:tr w:rsidR="008E6885" w14:paraId="0764F93A" w14:textId="77777777" w:rsidTr="00D57C89">
        <w:trPr>
          <w:trHeight w:val="300"/>
        </w:trPr>
        <w:tc>
          <w:tcPr>
            <w:tcW w:w="555" w:type="dxa"/>
            <w:shd w:val="clear" w:color="auto" w:fill="C6EFCE"/>
            <w:hideMark/>
          </w:tcPr>
          <w:p w14:paraId="7F1926D7" w14:textId="77777777" w:rsidR="008E6885" w:rsidRDefault="00EA24E7">
            <w:pPr>
              <w:pStyle w:val="P68B1DB1-Normal19"/>
              <w:spacing w:after="0" w:line="240" w:lineRule="auto"/>
              <w:jc w:val="both"/>
              <w:rPr>
                <w:rFonts w:eastAsia="Times New Roman" w:cs="Times New Roman"/>
                <w:noProof/>
              </w:rPr>
            </w:pPr>
            <w:r>
              <w:rPr>
                <w:noProof/>
              </w:rPr>
              <w:t>190</w:t>
            </w:r>
          </w:p>
        </w:tc>
        <w:tc>
          <w:tcPr>
            <w:tcW w:w="2139" w:type="dxa"/>
            <w:shd w:val="clear" w:color="auto" w:fill="C6EFCE"/>
            <w:hideMark/>
          </w:tcPr>
          <w:p w14:paraId="02F3FB86" w14:textId="77777777" w:rsidR="008E6885" w:rsidRDefault="00EA24E7">
            <w:pPr>
              <w:pStyle w:val="P68B1DB1-Normal17"/>
              <w:spacing w:after="0" w:line="240" w:lineRule="auto"/>
              <w:rPr>
                <w:rFonts w:eastAsia="Times New Roman" w:cs="Times New Roman"/>
                <w:bCs/>
                <w:noProof/>
              </w:rPr>
            </w:pPr>
            <w:r>
              <w:rPr>
                <w:noProof/>
              </w:rPr>
              <w:t>6.2.1.2.i. Renforcement de la capacité d'enquêter sur la criminalité économique</w:t>
            </w:r>
          </w:p>
        </w:tc>
        <w:tc>
          <w:tcPr>
            <w:tcW w:w="1418" w:type="dxa"/>
            <w:shd w:val="clear" w:color="auto" w:fill="C6EFCE"/>
            <w:hideMark/>
          </w:tcPr>
          <w:p w14:paraId="6504E911" w14:textId="77777777" w:rsidR="008E6885" w:rsidRDefault="00EA24E7">
            <w:pPr>
              <w:pStyle w:val="P68B1DB1-Normal19"/>
              <w:spacing w:after="0" w:line="240" w:lineRule="auto"/>
              <w:rPr>
                <w:rFonts w:eastAsia="Times New Roman" w:cs="Times New Roman"/>
                <w:noProof/>
              </w:rPr>
            </w:pPr>
            <w:r>
              <w:rPr>
                <w:noProof/>
              </w:rPr>
              <w:t>Objectif</w:t>
            </w:r>
          </w:p>
        </w:tc>
        <w:tc>
          <w:tcPr>
            <w:tcW w:w="1559" w:type="dxa"/>
            <w:shd w:val="clear" w:color="auto" w:fill="C6EFCE"/>
            <w:hideMark/>
          </w:tcPr>
          <w:p w14:paraId="086E2386" w14:textId="77777777" w:rsidR="008E6885" w:rsidRDefault="00EA24E7">
            <w:pPr>
              <w:pStyle w:val="P68B1DB1-Normal19"/>
              <w:spacing w:after="0" w:line="240" w:lineRule="auto"/>
              <w:rPr>
                <w:rFonts w:eastAsia="Times New Roman" w:cs="Times New Roman"/>
                <w:noProof/>
              </w:rPr>
            </w:pPr>
            <w:r>
              <w:rPr>
                <w:noProof/>
              </w:rPr>
              <w:t>Nombre d’agents des services répressifs titulaires d’un certificat d’enquête sur le blanchiment de capitaux</w:t>
            </w:r>
          </w:p>
        </w:tc>
        <w:tc>
          <w:tcPr>
            <w:tcW w:w="1843" w:type="dxa"/>
            <w:shd w:val="clear" w:color="auto" w:fill="C6EFCE"/>
            <w:hideMark/>
          </w:tcPr>
          <w:p w14:paraId="045576D8"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1419" w:type="dxa"/>
            <w:shd w:val="clear" w:color="auto" w:fill="C6EFCE"/>
            <w:hideMark/>
          </w:tcPr>
          <w:p w14:paraId="5DBCE18F" w14:textId="77777777" w:rsidR="008E6885" w:rsidRDefault="00EA24E7">
            <w:pPr>
              <w:pStyle w:val="P68B1DB1-Normal19"/>
              <w:spacing w:after="0" w:line="240" w:lineRule="auto"/>
              <w:jc w:val="center"/>
              <w:rPr>
                <w:rFonts w:eastAsia="Times New Roman" w:cs="Times New Roman"/>
                <w:noProof/>
              </w:rPr>
            </w:pPr>
            <w:r>
              <w:rPr>
                <w:noProof/>
              </w:rPr>
              <w:t>Numéro</w:t>
            </w:r>
          </w:p>
        </w:tc>
        <w:tc>
          <w:tcPr>
            <w:tcW w:w="991" w:type="dxa"/>
            <w:shd w:val="clear" w:color="auto" w:fill="C6EFCE"/>
            <w:hideMark/>
          </w:tcPr>
          <w:p w14:paraId="3226016B" w14:textId="77777777" w:rsidR="008E6885" w:rsidRDefault="00EA24E7">
            <w:pPr>
              <w:pStyle w:val="P68B1DB1-Normal19"/>
              <w:spacing w:after="0" w:line="240" w:lineRule="auto"/>
              <w:jc w:val="center"/>
              <w:rPr>
                <w:rFonts w:eastAsia="Times New Roman" w:cs="Times New Roman"/>
                <w:noProof/>
              </w:rPr>
            </w:pPr>
            <w:r>
              <w:rPr>
                <w:noProof/>
              </w:rPr>
              <w:t>0</w:t>
            </w:r>
          </w:p>
        </w:tc>
        <w:tc>
          <w:tcPr>
            <w:tcW w:w="851" w:type="dxa"/>
            <w:shd w:val="clear" w:color="auto" w:fill="C6EFCE"/>
            <w:hideMark/>
          </w:tcPr>
          <w:p w14:paraId="771130DF" w14:textId="77777777" w:rsidR="008E6885" w:rsidRDefault="00EA24E7">
            <w:pPr>
              <w:pStyle w:val="P68B1DB1-Normal19"/>
              <w:spacing w:after="0" w:line="240" w:lineRule="auto"/>
              <w:jc w:val="center"/>
              <w:rPr>
                <w:rFonts w:eastAsia="Times New Roman" w:cs="Times New Roman"/>
                <w:noProof/>
                <w:highlight w:val="yellow"/>
              </w:rPr>
            </w:pPr>
            <w:r>
              <w:rPr>
                <w:noProof/>
              </w:rPr>
              <w:t>30</w:t>
            </w:r>
          </w:p>
        </w:tc>
        <w:tc>
          <w:tcPr>
            <w:tcW w:w="992" w:type="dxa"/>
            <w:shd w:val="clear" w:color="auto" w:fill="C6EFCE"/>
            <w:hideMark/>
          </w:tcPr>
          <w:p w14:paraId="698CD465" w14:textId="77777777" w:rsidR="008E6885" w:rsidRDefault="00EA24E7">
            <w:pPr>
              <w:pStyle w:val="P68B1DB1-Normal19"/>
              <w:spacing w:after="0" w:line="240" w:lineRule="auto"/>
              <w:jc w:val="center"/>
              <w:rPr>
                <w:rFonts w:eastAsia="Times New Roman" w:cs="Times New Roman"/>
                <w:noProof/>
              </w:rPr>
            </w:pPr>
            <w:r>
              <w:rPr>
                <w:noProof/>
              </w:rPr>
              <w:t>T1</w:t>
            </w:r>
          </w:p>
        </w:tc>
        <w:tc>
          <w:tcPr>
            <w:tcW w:w="709" w:type="dxa"/>
            <w:shd w:val="clear" w:color="auto" w:fill="C6EFCE"/>
            <w:hideMark/>
          </w:tcPr>
          <w:p w14:paraId="5ABD0A6B" w14:textId="77777777" w:rsidR="008E6885" w:rsidRDefault="00EA24E7">
            <w:pPr>
              <w:pStyle w:val="P68B1DB1-Normal19"/>
              <w:spacing w:after="0" w:line="240" w:lineRule="auto"/>
              <w:jc w:val="center"/>
              <w:rPr>
                <w:rFonts w:eastAsia="Times New Roman" w:cs="Times New Roman"/>
                <w:noProof/>
              </w:rPr>
            </w:pPr>
            <w:r>
              <w:rPr>
                <w:noProof/>
              </w:rPr>
              <w:t>2025</w:t>
            </w:r>
          </w:p>
        </w:tc>
        <w:tc>
          <w:tcPr>
            <w:tcW w:w="2835" w:type="dxa"/>
            <w:shd w:val="clear" w:color="auto" w:fill="C6EFCE"/>
            <w:hideMark/>
          </w:tcPr>
          <w:p w14:paraId="2145A202" w14:textId="77777777" w:rsidR="008E6885" w:rsidRDefault="00EA24E7">
            <w:pPr>
              <w:pStyle w:val="P68B1DB1-Normal19"/>
              <w:spacing w:after="0" w:line="240" w:lineRule="auto"/>
              <w:jc w:val="both"/>
              <w:rPr>
                <w:rFonts w:eastAsia="Times New Roman" w:cs="Times New Roman"/>
                <w:noProof/>
              </w:rPr>
            </w:pPr>
            <w:r>
              <w:rPr>
                <w:noProof/>
              </w:rPr>
              <w:t xml:space="preserve">Au moins 30 agents des forces de l'ordre certifiés par la police d'État doivent avoir obtenu un certificat d'enquête sur le blanchiment d'argent. </w:t>
            </w:r>
          </w:p>
        </w:tc>
      </w:tr>
      <w:tr w:rsidR="008E6885" w14:paraId="1CD6DCF8" w14:textId="77777777" w:rsidTr="00D57C89">
        <w:trPr>
          <w:trHeight w:val="300"/>
        </w:trPr>
        <w:tc>
          <w:tcPr>
            <w:tcW w:w="555" w:type="dxa"/>
            <w:shd w:val="clear" w:color="auto" w:fill="C6EFCE"/>
            <w:hideMark/>
          </w:tcPr>
          <w:p w14:paraId="47B9D905" w14:textId="77777777" w:rsidR="008E6885" w:rsidRDefault="00EA24E7">
            <w:pPr>
              <w:pStyle w:val="P68B1DB1-Normal19"/>
              <w:spacing w:after="0" w:line="240" w:lineRule="auto"/>
              <w:jc w:val="both"/>
              <w:rPr>
                <w:rFonts w:eastAsia="Times New Roman" w:cs="Times New Roman"/>
                <w:noProof/>
              </w:rPr>
            </w:pPr>
            <w:r>
              <w:rPr>
                <w:noProof/>
              </w:rPr>
              <w:t>191</w:t>
            </w:r>
          </w:p>
        </w:tc>
        <w:tc>
          <w:tcPr>
            <w:tcW w:w="2139" w:type="dxa"/>
            <w:shd w:val="clear" w:color="auto" w:fill="C6EFCE"/>
            <w:hideMark/>
          </w:tcPr>
          <w:p w14:paraId="3FC78270" w14:textId="77777777" w:rsidR="008E6885" w:rsidRDefault="00EA24E7">
            <w:pPr>
              <w:pStyle w:val="P68B1DB1-Normal17"/>
              <w:spacing w:after="0" w:line="240" w:lineRule="auto"/>
              <w:rPr>
                <w:rFonts w:eastAsia="Times New Roman" w:cs="Times New Roman"/>
                <w:bCs/>
                <w:noProof/>
              </w:rPr>
            </w:pPr>
            <w:r>
              <w:rPr>
                <w:noProof/>
              </w:rPr>
              <w:t>6.2.1.2.i. Renforcement de la capacité d'enquêter sur la criminalité économique</w:t>
            </w:r>
          </w:p>
        </w:tc>
        <w:tc>
          <w:tcPr>
            <w:tcW w:w="1418" w:type="dxa"/>
            <w:shd w:val="clear" w:color="auto" w:fill="C6EFCE"/>
            <w:hideMark/>
          </w:tcPr>
          <w:p w14:paraId="63E3D28F"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3611A9EB" w14:textId="77777777" w:rsidR="008E6885" w:rsidRDefault="00EA24E7">
            <w:pPr>
              <w:pStyle w:val="P68B1DB1-Normal19"/>
              <w:spacing w:after="0" w:line="240" w:lineRule="auto"/>
              <w:rPr>
                <w:rFonts w:eastAsia="Times New Roman" w:cs="Times New Roman"/>
                <w:noProof/>
              </w:rPr>
            </w:pPr>
            <w:r>
              <w:rPr>
                <w:noProof/>
              </w:rPr>
              <w:t xml:space="preserve">Équipement pour les responsables de l'application de la loi </w:t>
            </w:r>
          </w:p>
        </w:tc>
        <w:tc>
          <w:tcPr>
            <w:tcW w:w="1843" w:type="dxa"/>
            <w:shd w:val="clear" w:color="auto" w:fill="C6EFCE"/>
            <w:hideMark/>
          </w:tcPr>
          <w:p w14:paraId="5EB05A69" w14:textId="77777777" w:rsidR="008E6885" w:rsidRDefault="00EA24E7">
            <w:pPr>
              <w:pStyle w:val="P68B1DB1-Normal19"/>
              <w:spacing w:after="0" w:line="240" w:lineRule="auto"/>
              <w:rPr>
                <w:noProof/>
              </w:rPr>
            </w:pPr>
            <w:r>
              <w:rPr>
                <w:noProof/>
              </w:rPr>
              <w:t>Facture(s)</w:t>
            </w:r>
          </w:p>
        </w:tc>
        <w:tc>
          <w:tcPr>
            <w:tcW w:w="1419" w:type="dxa"/>
            <w:shd w:val="clear" w:color="auto" w:fill="C6EFCE"/>
            <w:hideMark/>
          </w:tcPr>
          <w:p w14:paraId="2E895745"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65E5C5D6"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3AE37F6E"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449C6CE3" w14:textId="77777777" w:rsidR="008E6885" w:rsidRDefault="00EA24E7">
            <w:pPr>
              <w:pStyle w:val="P68B1DB1-Normal19"/>
              <w:spacing w:after="0" w:line="240" w:lineRule="auto"/>
              <w:jc w:val="center"/>
              <w:rPr>
                <w:rFonts w:eastAsia="Times New Roman" w:cs="Times New Roman"/>
                <w:noProof/>
              </w:rPr>
            </w:pPr>
            <w:r>
              <w:rPr>
                <w:noProof/>
              </w:rPr>
              <w:t>T1</w:t>
            </w:r>
          </w:p>
        </w:tc>
        <w:tc>
          <w:tcPr>
            <w:tcW w:w="709" w:type="dxa"/>
            <w:shd w:val="clear" w:color="auto" w:fill="C6EFCE"/>
            <w:hideMark/>
          </w:tcPr>
          <w:p w14:paraId="400A16B5" w14:textId="77777777" w:rsidR="008E6885" w:rsidRDefault="00EA24E7">
            <w:pPr>
              <w:pStyle w:val="P68B1DB1-Normal19"/>
              <w:spacing w:after="0" w:line="240" w:lineRule="auto"/>
              <w:jc w:val="center"/>
              <w:rPr>
                <w:rFonts w:eastAsia="Times New Roman" w:cs="Times New Roman"/>
                <w:noProof/>
              </w:rPr>
            </w:pPr>
            <w:r>
              <w:rPr>
                <w:noProof/>
              </w:rPr>
              <w:t>2025</w:t>
            </w:r>
          </w:p>
        </w:tc>
        <w:tc>
          <w:tcPr>
            <w:tcW w:w="2835" w:type="dxa"/>
            <w:shd w:val="clear" w:color="auto" w:fill="C6EFCE"/>
            <w:hideMark/>
          </w:tcPr>
          <w:p w14:paraId="5B3D022F" w14:textId="77777777" w:rsidR="008E6885" w:rsidRDefault="00EA24E7">
            <w:pPr>
              <w:pStyle w:val="P68B1DB1-Normal19"/>
              <w:spacing w:after="0" w:line="240" w:lineRule="auto"/>
              <w:jc w:val="both"/>
              <w:rPr>
                <w:rFonts w:eastAsia="Times New Roman" w:cs="Times New Roman"/>
                <w:noProof/>
              </w:rPr>
            </w:pPr>
            <w:r>
              <w:rPr>
                <w:noProof/>
              </w:rPr>
              <w:t>Facture(s) signée(s) pour l'achat des équipements suivants:</w:t>
            </w:r>
          </w:p>
          <w:p w14:paraId="650AAC8D" w14:textId="77777777" w:rsidR="008E6885" w:rsidRDefault="00EA24E7">
            <w:pPr>
              <w:pStyle w:val="P68B1DB1-ListParagraph27"/>
              <w:numPr>
                <w:ilvl w:val="0"/>
                <w:numId w:val="33"/>
              </w:numPr>
              <w:spacing w:after="0" w:line="240" w:lineRule="auto"/>
              <w:ind w:left="175" w:hanging="175"/>
              <w:jc w:val="both"/>
              <w:rPr>
                <w:rFonts w:eastAsia="Times New Roman" w:cs="Times New Roman"/>
                <w:noProof/>
              </w:rPr>
            </w:pPr>
            <w:r>
              <w:rPr>
                <w:noProof/>
              </w:rPr>
              <w:t>200 postes de travail mobiles;</w:t>
            </w:r>
          </w:p>
          <w:p w14:paraId="740689C6" w14:textId="77777777" w:rsidR="008E6885" w:rsidRDefault="00EA24E7">
            <w:pPr>
              <w:pStyle w:val="P68B1DB1-ListParagraph27"/>
              <w:numPr>
                <w:ilvl w:val="0"/>
                <w:numId w:val="33"/>
              </w:numPr>
              <w:spacing w:after="0" w:line="240" w:lineRule="auto"/>
              <w:ind w:left="175" w:hanging="175"/>
              <w:jc w:val="both"/>
              <w:rPr>
                <w:rFonts w:eastAsia="Times New Roman" w:cs="Times New Roman"/>
                <w:noProof/>
              </w:rPr>
            </w:pPr>
            <w:r>
              <w:rPr>
                <w:noProof/>
              </w:rPr>
              <w:t xml:space="preserve">30 imprimantes portables; </w:t>
            </w:r>
          </w:p>
          <w:p w14:paraId="7F0384E4" w14:textId="77777777" w:rsidR="008E6885" w:rsidRDefault="00EA24E7">
            <w:pPr>
              <w:pStyle w:val="P68B1DB1-ListParagraph27"/>
              <w:numPr>
                <w:ilvl w:val="0"/>
                <w:numId w:val="33"/>
              </w:numPr>
              <w:spacing w:after="0" w:line="240" w:lineRule="auto"/>
              <w:ind w:left="175" w:hanging="175"/>
              <w:jc w:val="both"/>
              <w:rPr>
                <w:rFonts w:eastAsia="Times New Roman" w:cs="Times New Roman"/>
                <w:noProof/>
              </w:rPr>
            </w:pPr>
            <w:r>
              <w:rPr>
                <w:noProof/>
              </w:rPr>
              <w:t>4 composants pour serveurs à grande échelle;</w:t>
            </w:r>
          </w:p>
          <w:p w14:paraId="1A375612" w14:textId="77777777" w:rsidR="008E6885" w:rsidRDefault="00EA24E7">
            <w:pPr>
              <w:pStyle w:val="P68B1DB1-ListParagraph27"/>
              <w:numPr>
                <w:ilvl w:val="0"/>
                <w:numId w:val="33"/>
              </w:numPr>
              <w:spacing w:after="0" w:line="240" w:lineRule="auto"/>
              <w:ind w:left="175" w:hanging="175"/>
              <w:jc w:val="both"/>
              <w:rPr>
                <w:rFonts w:eastAsia="Times New Roman" w:cs="Times New Roman"/>
                <w:noProof/>
              </w:rPr>
            </w:pPr>
            <w:r>
              <w:rPr>
                <w:noProof/>
              </w:rPr>
              <w:t>matériel de visioconférence;</w:t>
            </w:r>
          </w:p>
          <w:p w14:paraId="4AF7BB3C" w14:textId="57EDC176" w:rsidR="008E6885" w:rsidRDefault="00EA24E7">
            <w:pPr>
              <w:pStyle w:val="P68B1DB1-ListParagraph29"/>
              <w:numPr>
                <w:ilvl w:val="0"/>
                <w:numId w:val="33"/>
              </w:numPr>
              <w:spacing w:after="0" w:line="240" w:lineRule="auto"/>
              <w:ind w:left="175" w:hanging="175"/>
              <w:jc w:val="both"/>
              <w:rPr>
                <w:rFonts w:ascii="Times New Roman" w:eastAsia="Calibri" w:hAnsi="Times New Roman" w:cs="Arial"/>
                <w:noProof/>
              </w:rPr>
            </w:pPr>
            <w:r>
              <w:rPr>
                <w:rFonts w:ascii="Times New Roman" w:eastAsia="Calibri" w:hAnsi="Times New Roman" w:cs="Arial"/>
                <w:noProof/>
              </w:rPr>
              <w:t xml:space="preserve">la formation d'un </w:t>
            </w:r>
            <w:r>
              <w:rPr>
                <w:rFonts w:ascii="Times New Roman" w:eastAsia="Times New Roman" w:hAnsi="Times New Roman" w:cs="Times New Roman"/>
                <w:noProof/>
                <w:color w:val="000000"/>
              </w:rPr>
              <w:t>outil informatique de reconnaissance vocale.</w:t>
            </w:r>
          </w:p>
        </w:tc>
      </w:tr>
      <w:tr w:rsidR="008E6885" w14:paraId="1491CEA2" w14:textId="77777777" w:rsidTr="00D57C89">
        <w:trPr>
          <w:trHeight w:val="300"/>
        </w:trPr>
        <w:tc>
          <w:tcPr>
            <w:tcW w:w="555" w:type="dxa"/>
            <w:shd w:val="clear" w:color="auto" w:fill="C6EFCE"/>
            <w:hideMark/>
          </w:tcPr>
          <w:p w14:paraId="79E7C658" w14:textId="77777777" w:rsidR="008E6885" w:rsidRDefault="00EA24E7">
            <w:pPr>
              <w:pStyle w:val="P68B1DB1-Normal19"/>
              <w:spacing w:after="0" w:line="240" w:lineRule="auto"/>
              <w:jc w:val="both"/>
              <w:rPr>
                <w:rFonts w:eastAsia="Times New Roman" w:cs="Times New Roman"/>
                <w:noProof/>
              </w:rPr>
            </w:pPr>
            <w:r>
              <w:rPr>
                <w:noProof/>
              </w:rPr>
              <w:t>192</w:t>
            </w:r>
          </w:p>
        </w:tc>
        <w:tc>
          <w:tcPr>
            <w:tcW w:w="2139" w:type="dxa"/>
            <w:shd w:val="clear" w:color="auto" w:fill="C6EFCE"/>
            <w:hideMark/>
          </w:tcPr>
          <w:p w14:paraId="4BB11D46" w14:textId="55F7A771" w:rsidR="008E6885" w:rsidRDefault="00EA24E7">
            <w:pPr>
              <w:pStyle w:val="P68B1DB1-Normal17"/>
              <w:spacing w:after="0" w:line="240" w:lineRule="auto"/>
              <w:rPr>
                <w:rFonts w:eastAsia="Times New Roman" w:cs="Times New Roman"/>
                <w:bCs/>
                <w:noProof/>
              </w:rPr>
            </w:pPr>
            <w:r>
              <w:rPr>
                <w:noProof/>
              </w:rPr>
              <w:t>6.2.1.3.i. Création d'un centre de formation</w:t>
            </w:r>
          </w:p>
        </w:tc>
        <w:tc>
          <w:tcPr>
            <w:tcW w:w="1418" w:type="dxa"/>
            <w:shd w:val="clear" w:color="auto" w:fill="C6EFCE"/>
            <w:hideMark/>
          </w:tcPr>
          <w:p w14:paraId="64BCD148"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3AB5A29B" w14:textId="77777777" w:rsidR="008E6885" w:rsidRDefault="00EA24E7">
            <w:pPr>
              <w:pStyle w:val="P68B1DB1-Normal19"/>
              <w:spacing w:after="0" w:line="240" w:lineRule="auto"/>
              <w:rPr>
                <w:rFonts w:eastAsia="Times New Roman" w:cs="Times New Roman"/>
                <w:noProof/>
              </w:rPr>
            </w:pPr>
            <w:r>
              <w:rPr>
                <w:noProof/>
              </w:rPr>
              <w:t>Acte(s) juridique(s) relatif(s) au centre de formation</w:t>
            </w:r>
          </w:p>
        </w:tc>
        <w:tc>
          <w:tcPr>
            <w:tcW w:w="1843" w:type="dxa"/>
            <w:shd w:val="clear" w:color="auto" w:fill="C6EFCE"/>
            <w:hideMark/>
          </w:tcPr>
          <w:p w14:paraId="652BD9EA" w14:textId="77777777" w:rsidR="008E6885" w:rsidRDefault="00EA24E7">
            <w:pPr>
              <w:pStyle w:val="P68B1DB1-Normal19"/>
              <w:spacing w:after="0" w:line="240" w:lineRule="auto"/>
              <w:rPr>
                <w:rFonts w:eastAsia="Times New Roman" w:cs="Times New Roman"/>
                <w:noProof/>
              </w:rPr>
            </w:pPr>
            <w:r>
              <w:rPr>
                <w:noProof/>
              </w:rPr>
              <w:t xml:space="preserve">Entrée en vigueur du ou des actes juridiques pour le centre de formation </w:t>
            </w:r>
          </w:p>
        </w:tc>
        <w:tc>
          <w:tcPr>
            <w:tcW w:w="1419" w:type="dxa"/>
            <w:shd w:val="clear" w:color="auto" w:fill="C6EFCE"/>
            <w:hideMark/>
          </w:tcPr>
          <w:p w14:paraId="5E53DC65"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523AE83B"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38EBFB99"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501FE017" w14:textId="77777777" w:rsidR="008E6885" w:rsidRDefault="00EA24E7">
            <w:pPr>
              <w:pStyle w:val="P68B1DB1-Normal19"/>
              <w:spacing w:after="0" w:line="240" w:lineRule="auto"/>
              <w:jc w:val="center"/>
              <w:rPr>
                <w:rFonts w:eastAsia="Times New Roman" w:cs="Times New Roman"/>
                <w:noProof/>
              </w:rPr>
            </w:pPr>
            <w:r>
              <w:rPr>
                <w:noProof/>
              </w:rPr>
              <w:t>T1</w:t>
            </w:r>
          </w:p>
        </w:tc>
        <w:tc>
          <w:tcPr>
            <w:tcW w:w="709" w:type="dxa"/>
            <w:shd w:val="clear" w:color="auto" w:fill="C6EFCE"/>
            <w:hideMark/>
          </w:tcPr>
          <w:p w14:paraId="71E4C571" w14:textId="77777777" w:rsidR="008E6885" w:rsidRDefault="00EA24E7">
            <w:pPr>
              <w:pStyle w:val="P68B1DB1-Normal19"/>
              <w:spacing w:after="0" w:line="240" w:lineRule="auto"/>
              <w:jc w:val="center"/>
              <w:rPr>
                <w:rFonts w:eastAsia="Times New Roman" w:cs="Times New Roman"/>
                <w:noProof/>
              </w:rPr>
            </w:pPr>
            <w:r>
              <w:rPr>
                <w:noProof/>
              </w:rPr>
              <w:t>2025</w:t>
            </w:r>
          </w:p>
        </w:tc>
        <w:tc>
          <w:tcPr>
            <w:tcW w:w="2835" w:type="dxa"/>
            <w:shd w:val="clear" w:color="auto" w:fill="C6EFCE"/>
          </w:tcPr>
          <w:p w14:paraId="70778040" w14:textId="77777777" w:rsidR="008E6885" w:rsidRDefault="00EA24E7">
            <w:pPr>
              <w:pStyle w:val="P68B1DB1-Normal19"/>
              <w:spacing w:after="0" w:line="240" w:lineRule="auto"/>
              <w:jc w:val="both"/>
              <w:rPr>
                <w:rFonts w:eastAsia="Times New Roman" w:cs="Times New Roman"/>
                <w:noProof/>
              </w:rPr>
            </w:pPr>
            <w:r>
              <w:rPr>
                <w:noProof/>
              </w:rPr>
              <w:t>Sont entrés en vigueur:</w:t>
            </w:r>
          </w:p>
          <w:p w14:paraId="33800F5C" w14:textId="77777777" w:rsidR="008E6885" w:rsidRDefault="00EA24E7">
            <w:pPr>
              <w:pStyle w:val="P68B1DB1-Normal19"/>
              <w:spacing w:after="0" w:line="240" w:lineRule="auto"/>
              <w:jc w:val="both"/>
              <w:rPr>
                <w:rFonts w:eastAsia="Times New Roman" w:cs="Times New Roman"/>
                <w:noProof/>
              </w:rPr>
            </w:pPr>
            <w:r>
              <w:rPr>
                <w:noProof/>
              </w:rPr>
              <w:t xml:space="preserve">- Une loi pour la mise en place et le fonctionnement du modèle institutionnel du centre de formation («Académie judiciaire»), y compris la définition de la participation du pouvoir judiciaire et du Conseil de la magistrature sur le contenu et la méthodologie de la formation. </w:t>
            </w:r>
          </w:p>
          <w:p w14:paraId="52DA1CDB" w14:textId="17B6C5B3" w:rsidR="008E6885" w:rsidRDefault="00EA24E7">
            <w:pPr>
              <w:pStyle w:val="P68B1DB1-Normal19"/>
              <w:spacing w:after="0" w:line="240" w:lineRule="auto"/>
              <w:jc w:val="both"/>
              <w:rPr>
                <w:rFonts w:eastAsia="Times New Roman" w:cs="Times New Roman"/>
                <w:noProof/>
              </w:rPr>
            </w:pPr>
            <w:r>
              <w:rPr>
                <w:noProof/>
              </w:rPr>
              <w:t>- loi sur le budget de l’État pour 2025, prévoyant le financement de la couverture des frais de maintenance du centre de formation, des frais de personnel et des dépenses relatives au contenu de la formation, y compris la mise à jour des programmes de formation.</w:t>
            </w:r>
          </w:p>
        </w:tc>
      </w:tr>
      <w:tr w:rsidR="008E6885" w14:paraId="2442E8CA" w14:textId="77777777" w:rsidTr="00D57C89">
        <w:trPr>
          <w:trHeight w:val="300"/>
        </w:trPr>
        <w:tc>
          <w:tcPr>
            <w:tcW w:w="555" w:type="dxa"/>
            <w:shd w:val="clear" w:color="auto" w:fill="C6EFCE"/>
            <w:hideMark/>
          </w:tcPr>
          <w:p w14:paraId="38B0E4DC" w14:textId="77777777" w:rsidR="008E6885" w:rsidRDefault="00EA24E7">
            <w:pPr>
              <w:pStyle w:val="P68B1DB1-Normal19"/>
              <w:spacing w:after="0" w:line="240" w:lineRule="auto"/>
              <w:jc w:val="both"/>
              <w:rPr>
                <w:rFonts w:eastAsia="Times New Roman" w:cs="Times New Roman"/>
                <w:noProof/>
              </w:rPr>
            </w:pPr>
            <w:r>
              <w:rPr>
                <w:noProof/>
              </w:rPr>
              <w:t>193</w:t>
            </w:r>
          </w:p>
        </w:tc>
        <w:tc>
          <w:tcPr>
            <w:tcW w:w="2139" w:type="dxa"/>
            <w:shd w:val="clear" w:color="auto" w:fill="C6EFCE"/>
            <w:hideMark/>
          </w:tcPr>
          <w:p w14:paraId="754894C0" w14:textId="77777777" w:rsidR="008E6885" w:rsidRDefault="00EA24E7">
            <w:pPr>
              <w:pStyle w:val="P68B1DB1-Normal17"/>
              <w:spacing w:after="0" w:line="240" w:lineRule="auto"/>
              <w:rPr>
                <w:bCs/>
                <w:noProof/>
              </w:rPr>
            </w:pPr>
            <w:r>
              <w:rPr>
                <w:noProof/>
              </w:rPr>
              <w:t xml:space="preserve">6.2.1.3.i. Création d'un centre de formation </w:t>
            </w:r>
          </w:p>
        </w:tc>
        <w:tc>
          <w:tcPr>
            <w:tcW w:w="1418" w:type="dxa"/>
            <w:shd w:val="clear" w:color="auto" w:fill="C6EFCE"/>
            <w:hideMark/>
          </w:tcPr>
          <w:p w14:paraId="7C7F78DE" w14:textId="77777777" w:rsidR="008E6885" w:rsidRDefault="00EA24E7">
            <w:pPr>
              <w:pStyle w:val="P68B1DB1-Normal19"/>
              <w:spacing w:after="0" w:line="240" w:lineRule="auto"/>
              <w:rPr>
                <w:rFonts w:eastAsia="Times New Roman" w:cs="Times New Roman"/>
                <w:noProof/>
              </w:rPr>
            </w:pPr>
            <w:r>
              <w:rPr>
                <w:noProof/>
              </w:rPr>
              <w:t>Objectif</w:t>
            </w:r>
          </w:p>
        </w:tc>
        <w:tc>
          <w:tcPr>
            <w:tcW w:w="1559" w:type="dxa"/>
            <w:shd w:val="clear" w:color="auto" w:fill="C6EFCE"/>
            <w:hideMark/>
          </w:tcPr>
          <w:p w14:paraId="414CC4E0" w14:textId="77777777" w:rsidR="008E6885" w:rsidRDefault="00EA24E7">
            <w:pPr>
              <w:pStyle w:val="P68B1DB1-Normal19"/>
              <w:spacing w:after="0" w:line="240" w:lineRule="auto"/>
              <w:rPr>
                <w:rFonts w:eastAsia="Times New Roman" w:cs="Times New Roman"/>
                <w:noProof/>
              </w:rPr>
            </w:pPr>
            <w:r>
              <w:rPr>
                <w:noProof/>
              </w:rPr>
              <w:t xml:space="preserve">Nouveaux programmes de formation </w:t>
            </w:r>
          </w:p>
        </w:tc>
        <w:tc>
          <w:tcPr>
            <w:tcW w:w="1843" w:type="dxa"/>
            <w:shd w:val="clear" w:color="auto" w:fill="C6EFCE"/>
            <w:hideMark/>
          </w:tcPr>
          <w:p w14:paraId="39299254"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1419" w:type="dxa"/>
            <w:shd w:val="clear" w:color="auto" w:fill="C6EFCE"/>
            <w:hideMark/>
          </w:tcPr>
          <w:p w14:paraId="0ADF68E6" w14:textId="77777777" w:rsidR="008E6885" w:rsidRDefault="00EA24E7">
            <w:pPr>
              <w:pStyle w:val="P68B1DB1-Normal19"/>
              <w:spacing w:after="0" w:line="240" w:lineRule="auto"/>
              <w:jc w:val="center"/>
              <w:rPr>
                <w:rFonts w:eastAsia="Times New Roman" w:cs="Times New Roman"/>
                <w:noProof/>
              </w:rPr>
            </w:pPr>
            <w:r>
              <w:rPr>
                <w:noProof/>
              </w:rPr>
              <w:t>Numéro</w:t>
            </w:r>
          </w:p>
        </w:tc>
        <w:tc>
          <w:tcPr>
            <w:tcW w:w="991" w:type="dxa"/>
            <w:shd w:val="clear" w:color="auto" w:fill="C6EFCE"/>
            <w:hideMark/>
          </w:tcPr>
          <w:p w14:paraId="37C804DD" w14:textId="77777777" w:rsidR="008E6885" w:rsidRDefault="00EA24E7">
            <w:pPr>
              <w:pStyle w:val="P68B1DB1-Normal19"/>
              <w:spacing w:after="0" w:line="240" w:lineRule="auto"/>
              <w:jc w:val="center"/>
              <w:rPr>
                <w:rFonts w:eastAsia="Times New Roman" w:cs="Times New Roman"/>
                <w:noProof/>
              </w:rPr>
            </w:pPr>
            <w:r>
              <w:rPr>
                <w:noProof/>
              </w:rPr>
              <w:t>0</w:t>
            </w:r>
          </w:p>
        </w:tc>
        <w:tc>
          <w:tcPr>
            <w:tcW w:w="851" w:type="dxa"/>
            <w:shd w:val="clear" w:color="auto" w:fill="C6EFCE"/>
            <w:hideMark/>
          </w:tcPr>
          <w:p w14:paraId="0F6F6CCD" w14:textId="77777777" w:rsidR="008E6885" w:rsidRDefault="00EA24E7">
            <w:pPr>
              <w:pStyle w:val="P68B1DB1-Normal19"/>
              <w:spacing w:after="0" w:line="240" w:lineRule="auto"/>
              <w:jc w:val="center"/>
              <w:rPr>
                <w:rFonts w:eastAsia="Times New Roman" w:cs="Times New Roman"/>
                <w:noProof/>
              </w:rPr>
            </w:pPr>
            <w:r>
              <w:rPr>
                <w:noProof/>
              </w:rPr>
              <w:t>10</w:t>
            </w:r>
          </w:p>
        </w:tc>
        <w:tc>
          <w:tcPr>
            <w:tcW w:w="992" w:type="dxa"/>
            <w:shd w:val="clear" w:color="auto" w:fill="C6EFCE"/>
            <w:hideMark/>
          </w:tcPr>
          <w:p w14:paraId="40ADB822"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637DCB03" w14:textId="77777777" w:rsidR="008E6885" w:rsidRDefault="00EA24E7">
            <w:pPr>
              <w:pStyle w:val="P68B1DB1-Normal19"/>
              <w:spacing w:after="0" w:line="240" w:lineRule="auto"/>
              <w:jc w:val="center"/>
              <w:rPr>
                <w:rFonts w:eastAsia="Times New Roman" w:cs="Times New Roman"/>
                <w:noProof/>
              </w:rPr>
            </w:pPr>
            <w:r>
              <w:rPr>
                <w:noProof/>
              </w:rPr>
              <w:t>2024</w:t>
            </w:r>
          </w:p>
        </w:tc>
        <w:tc>
          <w:tcPr>
            <w:tcW w:w="2835" w:type="dxa"/>
            <w:shd w:val="clear" w:color="auto" w:fill="C6EFCE"/>
            <w:hideMark/>
          </w:tcPr>
          <w:p w14:paraId="6BE22A0C" w14:textId="50AFB504" w:rsidR="008E6885" w:rsidRDefault="00EA24E7">
            <w:pPr>
              <w:pStyle w:val="P68B1DB1-Normal19"/>
              <w:spacing w:after="0" w:line="240" w:lineRule="auto"/>
              <w:jc w:val="both"/>
              <w:rPr>
                <w:rFonts w:eastAsia="Times New Roman" w:cs="Times New Roman"/>
                <w:noProof/>
              </w:rPr>
            </w:pPr>
            <w:r>
              <w:rPr>
                <w:noProof/>
              </w:rPr>
              <w:t>Dix nouveaux programmes de formation sont créés et approuvés à l’intention des juges, du personnel des tribunaux, des procureurs, des procureurs adjoints et des enquêteurs, y compris sur des questions telles que la cybercriminalité, la fraude et l’évasion fiscales, la corruption dans les marchés publics et le blanchiment de capitaux.</w:t>
            </w:r>
          </w:p>
          <w:p w14:paraId="5E740724" w14:textId="77777777" w:rsidR="008E6885" w:rsidRDefault="00EA24E7">
            <w:pPr>
              <w:pStyle w:val="P68B1DB1-Normal19"/>
              <w:spacing w:after="0" w:line="240" w:lineRule="auto"/>
              <w:jc w:val="both"/>
              <w:rPr>
                <w:rFonts w:eastAsia="Times New Roman" w:cs="Times New Roman"/>
                <w:noProof/>
              </w:rPr>
            </w:pPr>
            <w:r>
              <w:rPr>
                <w:noProof/>
              </w:rPr>
              <w:t xml:space="preserve">Les programmes sont approuvés par le conseil de surveillance du projet «Académie judiciaire», dans lequel le Conseil judiciaire est également représenté. </w:t>
            </w:r>
          </w:p>
        </w:tc>
      </w:tr>
      <w:tr w:rsidR="008E6885" w14:paraId="4528486F" w14:textId="77777777" w:rsidTr="00D57C89">
        <w:trPr>
          <w:trHeight w:val="300"/>
        </w:trPr>
        <w:tc>
          <w:tcPr>
            <w:tcW w:w="555" w:type="dxa"/>
            <w:shd w:val="clear" w:color="auto" w:fill="C6EFCE"/>
            <w:hideMark/>
          </w:tcPr>
          <w:p w14:paraId="35E958C3" w14:textId="77777777" w:rsidR="008E6885" w:rsidRDefault="00EA24E7">
            <w:pPr>
              <w:pStyle w:val="P68B1DB1-Normal19"/>
              <w:spacing w:after="0" w:line="240" w:lineRule="auto"/>
              <w:jc w:val="both"/>
              <w:rPr>
                <w:rFonts w:eastAsia="Times New Roman" w:cs="Times New Roman"/>
                <w:noProof/>
              </w:rPr>
            </w:pPr>
            <w:r>
              <w:rPr>
                <w:noProof/>
              </w:rPr>
              <w:t>195</w:t>
            </w:r>
          </w:p>
        </w:tc>
        <w:tc>
          <w:tcPr>
            <w:tcW w:w="2139" w:type="dxa"/>
            <w:shd w:val="clear" w:color="auto" w:fill="C6EFCE"/>
            <w:hideMark/>
          </w:tcPr>
          <w:p w14:paraId="53FF0056" w14:textId="77777777" w:rsidR="008E6885" w:rsidRDefault="00EA24E7">
            <w:pPr>
              <w:pStyle w:val="P68B1DB1-Normal17"/>
              <w:spacing w:after="0" w:line="240" w:lineRule="auto"/>
              <w:rPr>
                <w:noProof/>
              </w:rPr>
            </w:pPr>
            <w:r>
              <w:rPr>
                <w:noProof/>
              </w:rPr>
              <w:t xml:space="preserve">6.2.1.3.i. Création d'un centre de formation </w:t>
            </w:r>
          </w:p>
        </w:tc>
        <w:tc>
          <w:tcPr>
            <w:tcW w:w="1418" w:type="dxa"/>
            <w:shd w:val="clear" w:color="auto" w:fill="C6EFCE"/>
            <w:hideMark/>
          </w:tcPr>
          <w:p w14:paraId="78BCD8BA"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7FD35093" w14:textId="77777777" w:rsidR="008E6885" w:rsidRDefault="00EA24E7">
            <w:pPr>
              <w:pStyle w:val="P68B1DB1-Normal19"/>
              <w:spacing w:after="0" w:line="240" w:lineRule="auto"/>
              <w:rPr>
                <w:rFonts w:eastAsia="Times New Roman" w:cs="Times New Roman"/>
                <w:noProof/>
              </w:rPr>
            </w:pPr>
            <w:r>
              <w:rPr>
                <w:noProof/>
              </w:rPr>
              <w:t>Centre de formation rénové et équipé</w:t>
            </w:r>
          </w:p>
        </w:tc>
        <w:tc>
          <w:tcPr>
            <w:tcW w:w="1843" w:type="dxa"/>
            <w:shd w:val="clear" w:color="auto" w:fill="C6EFCE"/>
            <w:hideMark/>
          </w:tcPr>
          <w:p w14:paraId="68C72517" w14:textId="77777777" w:rsidR="008E6885" w:rsidRDefault="00EA24E7">
            <w:pPr>
              <w:pStyle w:val="P68B1DB1-Normal19"/>
              <w:spacing w:after="0" w:line="240" w:lineRule="auto"/>
              <w:rPr>
                <w:rFonts w:eastAsia="Times New Roman" w:cs="Times New Roman"/>
                <w:noProof/>
              </w:rPr>
            </w:pPr>
            <w:r>
              <w:rPr>
                <w:noProof/>
              </w:rPr>
              <w:t xml:space="preserve">Rénovation des locaux et fourniture de matériel pour le centre de formation </w:t>
            </w:r>
          </w:p>
        </w:tc>
        <w:tc>
          <w:tcPr>
            <w:tcW w:w="1419" w:type="dxa"/>
            <w:shd w:val="clear" w:color="auto" w:fill="C6EFCE"/>
            <w:hideMark/>
          </w:tcPr>
          <w:p w14:paraId="3AE6CFC7"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43BDD8C3"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65319804"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3AA1AFDD"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67E48607" w14:textId="77777777" w:rsidR="008E6885" w:rsidRDefault="00EA24E7">
            <w:pPr>
              <w:pStyle w:val="P68B1DB1-Normal19"/>
              <w:spacing w:after="0" w:line="240" w:lineRule="auto"/>
              <w:jc w:val="center"/>
              <w:rPr>
                <w:rFonts w:eastAsia="Times New Roman" w:cs="Times New Roman"/>
                <w:noProof/>
              </w:rPr>
            </w:pPr>
            <w:r>
              <w:rPr>
                <w:noProof/>
              </w:rPr>
              <w:t>2024</w:t>
            </w:r>
          </w:p>
        </w:tc>
        <w:tc>
          <w:tcPr>
            <w:tcW w:w="2835" w:type="dxa"/>
            <w:shd w:val="clear" w:color="auto" w:fill="C6EFCE"/>
            <w:hideMark/>
          </w:tcPr>
          <w:p w14:paraId="44F6A517" w14:textId="77777777" w:rsidR="008E6885" w:rsidRDefault="00EA24E7">
            <w:pPr>
              <w:pStyle w:val="P68B1DB1-Normal19"/>
              <w:spacing w:after="0" w:line="240" w:lineRule="auto"/>
              <w:jc w:val="both"/>
              <w:rPr>
                <w:rFonts w:eastAsia="Times New Roman" w:cs="Times New Roman"/>
                <w:noProof/>
              </w:rPr>
            </w:pPr>
            <w:r>
              <w:rPr>
                <w:noProof/>
              </w:rPr>
              <w:t>Les locaux d’un centre de formation («Académie judiciaire») sont rénovés et équipés.</w:t>
            </w:r>
          </w:p>
        </w:tc>
      </w:tr>
      <w:tr w:rsidR="008E6885" w14:paraId="7055CACF" w14:textId="77777777" w:rsidTr="00D57C89">
        <w:trPr>
          <w:trHeight w:val="300"/>
        </w:trPr>
        <w:tc>
          <w:tcPr>
            <w:tcW w:w="555" w:type="dxa"/>
            <w:shd w:val="clear" w:color="auto" w:fill="C6EFCE"/>
            <w:hideMark/>
          </w:tcPr>
          <w:p w14:paraId="356FA570" w14:textId="77777777" w:rsidR="008E6885" w:rsidRDefault="00EA24E7">
            <w:pPr>
              <w:pStyle w:val="P68B1DB1-Normal19"/>
              <w:spacing w:after="0" w:line="240" w:lineRule="auto"/>
              <w:jc w:val="both"/>
              <w:rPr>
                <w:rFonts w:eastAsia="Times New Roman" w:cs="Times New Roman"/>
                <w:noProof/>
              </w:rPr>
            </w:pPr>
            <w:r>
              <w:rPr>
                <w:noProof/>
              </w:rPr>
              <w:t>196</w:t>
            </w:r>
          </w:p>
        </w:tc>
        <w:tc>
          <w:tcPr>
            <w:tcW w:w="2139" w:type="dxa"/>
            <w:shd w:val="clear" w:color="auto" w:fill="C6EFCE"/>
            <w:hideMark/>
          </w:tcPr>
          <w:p w14:paraId="172A8EBC" w14:textId="77777777" w:rsidR="008E6885" w:rsidRDefault="00EA24E7">
            <w:pPr>
              <w:pStyle w:val="P68B1DB1-Normal17"/>
              <w:spacing w:after="0" w:line="240" w:lineRule="auto"/>
              <w:rPr>
                <w:rFonts w:eastAsia="Times New Roman" w:cs="Times New Roman"/>
                <w:bCs/>
                <w:noProof/>
              </w:rPr>
            </w:pPr>
            <w:r>
              <w:rPr>
                <w:noProof/>
              </w:rPr>
              <w:t>6.3.1.r. Modernisation de l'administration publique</w:t>
            </w:r>
          </w:p>
        </w:tc>
        <w:tc>
          <w:tcPr>
            <w:tcW w:w="1418" w:type="dxa"/>
            <w:shd w:val="clear" w:color="auto" w:fill="C6EFCE"/>
            <w:hideMark/>
          </w:tcPr>
          <w:p w14:paraId="56B27BFE"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184B93DF" w14:textId="77777777" w:rsidR="008E6885" w:rsidRDefault="00EA24E7">
            <w:pPr>
              <w:pStyle w:val="P68B1DB1-Normal19"/>
              <w:spacing w:after="0" w:line="240" w:lineRule="auto"/>
              <w:rPr>
                <w:rFonts w:eastAsia="Times New Roman" w:cs="Times New Roman"/>
                <w:noProof/>
              </w:rPr>
            </w:pPr>
            <w:r>
              <w:rPr>
                <w:noProof/>
              </w:rPr>
              <w:t>Plan approuvé de modernisation de l'administration publique</w:t>
            </w:r>
          </w:p>
        </w:tc>
        <w:tc>
          <w:tcPr>
            <w:tcW w:w="1843" w:type="dxa"/>
            <w:shd w:val="clear" w:color="auto" w:fill="C6EFCE"/>
            <w:hideMark/>
          </w:tcPr>
          <w:p w14:paraId="26748843" w14:textId="77777777" w:rsidR="008E6885" w:rsidRDefault="00EA24E7">
            <w:pPr>
              <w:pStyle w:val="P68B1DB1-Normal19"/>
              <w:spacing w:after="0" w:line="240" w:lineRule="auto"/>
              <w:rPr>
                <w:rFonts w:eastAsia="Times New Roman" w:cs="Times New Roman"/>
                <w:noProof/>
              </w:rPr>
            </w:pPr>
            <w:r>
              <w:rPr>
                <w:noProof/>
              </w:rPr>
              <w:t>Approbation du plan de modernisation de l'administration publique</w:t>
            </w:r>
          </w:p>
        </w:tc>
        <w:tc>
          <w:tcPr>
            <w:tcW w:w="1419" w:type="dxa"/>
            <w:shd w:val="clear" w:color="auto" w:fill="C6EFCE"/>
            <w:hideMark/>
          </w:tcPr>
          <w:p w14:paraId="5F9C394C"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074EF2FA"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7ACC168A"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0289B568"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78010143" w14:textId="77777777" w:rsidR="008E6885" w:rsidRDefault="00EA24E7">
            <w:pPr>
              <w:pStyle w:val="P68B1DB1-Normal19"/>
              <w:spacing w:after="0" w:line="240" w:lineRule="auto"/>
              <w:jc w:val="center"/>
              <w:rPr>
                <w:rFonts w:eastAsia="Times New Roman" w:cs="Times New Roman"/>
                <w:noProof/>
              </w:rPr>
            </w:pPr>
            <w:r>
              <w:rPr>
                <w:noProof/>
              </w:rPr>
              <w:t>2022</w:t>
            </w:r>
          </w:p>
        </w:tc>
        <w:tc>
          <w:tcPr>
            <w:tcW w:w="2835" w:type="dxa"/>
            <w:shd w:val="clear" w:color="auto" w:fill="C6EFCE"/>
            <w:hideMark/>
          </w:tcPr>
          <w:p w14:paraId="599A672B" w14:textId="77777777" w:rsidR="008E6885" w:rsidRDefault="00EA24E7">
            <w:pPr>
              <w:pStyle w:val="P68B1DB1-Normal19"/>
              <w:spacing w:after="0" w:line="240" w:lineRule="auto"/>
              <w:jc w:val="both"/>
              <w:rPr>
                <w:rFonts w:eastAsia="Times New Roman" w:cs="Times New Roman"/>
                <w:noProof/>
              </w:rPr>
            </w:pPr>
            <w:r>
              <w:rPr>
                <w:noProof/>
              </w:rPr>
              <w:t>Un plan de modernisation de l'administration publique est approuvé par le Conseil des ministres. Le plan couvre les domaines prioritaires suivants et comprend des calendriers de mise en œuvre:</w:t>
            </w:r>
          </w:p>
          <w:p w14:paraId="1374C8E5" w14:textId="77777777" w:rsidR="008E6885" w:rsidRDefault="00EA24E7">
            <w:pPr>
              <w:pStyle w:val="P68B1DB1-Normal19"/>
              <w:spacing w:after="0" w:line="240" w:lineRule="auto"/>
              <w:jc w:val="both"/>
              <w:rPr>
                <w:rFonts w:eastAsia="Times New Roman" w:cs="Times New Roman"/>
                <w:noProof/>
              </w:rPr>
            </w:pPr>
            <w:r>
              <w:rPr>
                <w:noProof/>
              </w:rPr>
              <w:t>a) Une administration publique ouverte, transparente, équitable et responsable: les principes d’intégrité sont revus et améliorés en définissant et en mettant en œuvre la responsabilité à l’égard de chaque administration publique, ainsi qu’en respectant les principes et valeurs éthiques dans le travail de l’administration publique;</w:t>
            </w:r>
          </w:p>
          <w:p w14:paraId="024BBEBB" w14:textId="77777777" w:rsidR="008E6885" w:rsidRDefault="00EA24E7">
            <w:pPr>
              <w:pStyle w:val="P68B1DB1-Normal19"/>
              <w:spacing w:after="0" w:line="240" w:lineRule="auto"/>
              <w:jc w:val="both"/>
              <w:rPr>
                <w:rFonts w:eastAsia="Times New Roman" w:cs="Times New Roman"/>
                <w:noProof/>
              </w:rPr>
            </w:pPr>
            <w:r>
              <w:rPr>
                <w:noProof/>
              </w:rPr>
              <w:t>b) des processus et systèmes de soutien uniformes, centralisés et normalisés – l’introduction d’un système centralisé de gestion des ressources dans les administrations publiques, y compris la comptabilité et la gestion des ressources humaines;</w:t>
            </w:r>
          </w:p>
          <w:p w14:paraId="2EE0AEA0" w14:textId="77777777" w:rsidR="008E6885" w:rsidRDefault="00EA24E7">
            <w:pPr>
              <w:pStyle w:val="P68B1DB1-Normal19"/>
              <w:spacing w:after="0" w:line="240" w:lineRule="auto"/>
              <w:jc w:val="both"/>
              <w:rPr>
                <w:rFonts w:eastAsia="Times New Roman" w:cs="Times New Roman"/>
                <w:noProof/>
              </w:rPr>
            </w:pPr>
            <w:r>
              <w:rPr>
                <w:noProof/>
              </w:rPr>
              <w:t>c) Gestion et développement stratégiques des ressources humaines, y compris la sélection, la gestion des carrières, l'évaluation, l'apprentissage et le perfectionnement;</w:t>
            </w:r>
          </w:p>
          <w:p w14:paraId="7C980DC9" w14:textId="77777777" w:rsidR="008E6885" w:rsidRDefault="00EA24E7">
            <w:pPr>
              <w:pStyle w:val="P68B1DB1-Normal19"/>
              <w:spacing w:after="0" w:line="240" w:lineRule="auto"/>
              <w:jc w:val="both"/>
              <w:rPr>
                <w:rFonts w:eastAsia="Times New Roman" w:cs="Times New Roman"/>
                <w:noProof/>
              </w:rPr>
            </w:pPr>
            <w:r>
              <w:rPr>
                <w:noProof/>
              </w:rPr>
              <w:t>d) Services disponibles, compréhensibles et pertinents – élaboration de lignes directrices en matière de transmission numérique et numérisation des services, tout en garantissant leur accessibilité, leur accessibilité et leur intelligibilité pour tous les citoyens, y compris ceux qui n’utilisent pas d’outils numériques.</w:t>
            </w:r>
          </w:p>
        </w:tc>
      </w:tr>
      <w:tr w:rsidR="008E6885" w14:paraId="745E2C9F" w14:textId="77777777" w:rsidTr="00D57C89">
        <w:trPr>
          <w:trHeight w:val="300"/>
        </w:trPr>
        <w:tc>
          <w:tcPr>
            <w:tcW w:w="555" w:type="dxa"/>
            <w:shd w:val="clear" w:color="auto" w:fill="C6EFCE"/>
            <w:hideMark/>
          </w:tcPr>
          <w:p w14:paraId="26524B88" w14:textId="77777777" w:rsidR="008E6885" w:rsidRDefault="00EA24E7">
            <w:pPr>
              <w:pStyle w:val="P68B1DB1-Normal19"/>
              <w:spacing w:after="0" w:line="240" w:lineRule="auto"/>
              <w:jc w:val="both"/>
              <w:rPr>
                <w:rFonts w:eastAsia="Times New Roman" w:cs="Times New Roman"/>
                <w:noProof/>
              </w:rPr>
            </w:pPr>
            <w:r>
              <w:rPr>
                <w:noProof/>
              </w:rPr>
              <w:t>198</w:t>
            </w:r>
          </w:p>
        </w:tc>
        <w:tc>
          <w:tcPr>
            <w:tcW w:w="2139" w:type="dxa"/>
            <w:shd w:val="clear" w:color="auto" w:fill="C6EFCE"/>
            <w:hideMark/>
          </w:tcPr>
          <w:p w14:paraId="3E285C46" w14:textId="77777777" w:rsidR="008E6885" w:rsidRDefault="00EA24E7">
            <w:pPr>
              <w:pStyle w:val="P68B1DB1-Normal17"/>
              <w:spacing w:after="0" w:line="240" w:lineRule="auto"/>
              <w:rPr>
                <w:rFonts w:eastAsia="Times New Roman" w:cs="Times New Roman"/>
                <w:bCs/>
                <w:noProof/>
              </w:rPr>
            </w:pPr>
            <w:r>
              <w:rPr>
                <w:noProof/>
              </w:rPr>
              <w:t>6.3.1.r. Modernisation de l'administration publique</w:t>
            </w:r>
          </w:p>
        </w:tc>
        <w:tc>
          <w:tcPr>
            <w:tcW w:w="1418" w:type="dxa"/>
            <w:shd w:val="clear" w:color="auto" w:fill="C6EFCE"/>
            <w:hideMark/>
          </w:tcPr>
          <w:p w14:paraId="2D68C84A"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27D89713" w14:textId="77777777" w:rsidR="008E6885" w:rsidRDefault="00EA24E7">
            <w:pPr>
              <w:pStyle w:val="P68B1DB1-Normal19"/>
              <w:spacing w:after="0" w:line="240" w:lineRule="auto"/>
              <w:rPr>
                <w:rFonts w:eastAsia="Times New Roman" w:cs="Times New Roman"/>
                <w:noProof/>
              </w:rPr>
            </w:pPr>
            <w:r>
              <w:rPr>
                <w:noProof/>
              </w:rPr>
              <w:t>Concept du centre de service unique approuvé comme condition préalable à la fourniture de services centralisés</w:t>
            </w:r>
          </w:p>
        </w:tc>
        <w:tc>
          <w:tcPr>
            <w:tcW w:w="1843" w:type="dxa"/>
            <w:shd w:val="clear" w:color="auto" w:fill="C6EFCE"/>
            <w:hideMark/>
          </w:tcPr>
          <w:p w14:paraId="3B2885BA"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1419" w:type="dxa"/>
            <w:shd w:val="clear" w:color="auto" w:fill="C6EFCE"/>
            <w:hideMark/>
          </w:tcPr>
          <w:p w14:paraId="1C9EF189"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18A4DAC1"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0768EA9E"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5EFD7455"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3C64BEEA" w14:textId="77777777" w:rsidR="008E6885" w:rsidRDefault="00EA24E7">
            <w:pPr>
              <w:pStyle w:val="P68B1DB1-Normal19"/>
              <w:spacing w:after="0" w:line="240" w:lineRule="auto"/>
              <w:jc w:val="center"/>
              <w:rPr>
                <w:rFonts w:eastAsia="Times New Roman" w:cs="Times New Roman"/>
                <w:noProof/>
              </w:rPr>
            </w:pPr>
            <w:r>
              <w:rPr>
                <w:noProof/>
              </w:rPr>
              <w:t>2022</w:t>
            </w:r>
          </w:p>
        </w:tc>
        <w:tc>
          <w:tcPr>
            <w:tcW w:w="2835" w:type="dxa"/>
            <w:shd w:val="clear" w:color="auto" w:fill="C6EFCE"/>
            <w:hideMark/>
          </w:tcPr>
          <w:p w14:paraId="7FFCEF45" w14:textId="7FC032A4" w:rsidR="008E6885" w:rsidRDefault="00EA24E7">
            <w:pPr>
              <w:pStyle w:val="P68B1DB1-Normal19"/>
              <w:spacing w:after="0" w:line="240" w:lineRule="auto"/>
              <w:jc w:val="both"/>
              <w:rPr>
                <w:rFonts w:eastAsia="Times New Roman" w:cs="Times New Roman"/>
                <w:noProof/>
              </w:rPr>
            </w:pPr>
            <w:r>
              <w:rPr>
                <w:noProof/>
              </w:rPr>
              <w:t>Le concept de centre de service unique a été élaboré et approuvé par le Conseil des ministres.</w:t>
            </w:r>
          </w:p>
          <w:p w14:paraId="25742939" w14:textId="77777777" w:rsidR="008E6885" w:rsidRDefault="00EA24E7">
            <w:pPr>
              <w:pStyle w:val="P68B1DB1-Normal19"/>
              <w:spacing w:after="0" w:line="240" w:lineRule="auto"/>
              <w:jc w:val="both"/>
              <w:rPr>
                <w:rFonts w:eastAsia="Times New Roman" w:cs="Times New Roman"/>
                <w:noProof/>
              </w:rPr>
            </w:pPr>
            <w:r>
              <w:rPr>
                <w:noProof/>
              </w:rPr>
              <w:t xml:space="preserve">Le concept décrit la manière dont la centralisation progressive des fonctions d’appui à l’administration publique (au moins la comptabilité et la tenue des registres du personnel) doit avoir lieu. </w:t>
            </w:r>
          </w:p>
        </w:tc>
      </w:tr>
      <w:tr w:rsidR="008E6885" w14:paraId="49FFE3D8" w14:textId="77777777" w:rsidTr="00D57C89">
        <w:trPr>
          <w:trHeight w:val="300"/>
        </w:trPr>
        <w:tc>
          <w:tcPr>
            <w:tcW w:w="555" w:type="dxa"/>
            <w:shd w:val="clear" w:color="auto" w:fill="C6EFCE"/>
            <w:hideMark/>
          </w:tcPr>
          <w:p w14:paraId="5BE2C373" w14:textId="77777777" w:rsidR="008E6885" w:rsidRDefault="00EA24E7">
            <w:pPr>
              <w:pStyle w:val="P68B1DB1-Normal19"/>
              <w:spacing w:after="0" w:line="240" w:lineRule="auto"/>
              <w:jc w:val="both"/>
              <w:rPr>
                <w:rFonts w:eastAsia="Times New Roman" w:cs="Times New Roman"/>
                <w:noProof/>
              </w:rPr>
            </w:pPr>
            <w:r>
              <w:rPr>
                <w:noProof/>
              </w:rPr>
              <w:t>200</w:t>
            </w:r>
          </w:p>
        </w:tc>
        <w:tc>
          <w:tcPr>
            <w:tcW w:w="2139" w:type="dxa"/>
            <w:shd w:val="clear" w:color="auto" w:fill="C6EFCE"/>
            <w:hideMark/>
          </w:tcPr>
          <w:p w14:paraId="2570FE00" w14:textId="77777777" w:rsidR="008E6885" w:rsidRDefault="00EA24E7">
            <w:pPr>
              <w:pStyle w:val="P68B1DB1-Normal17"/>
              <w:spacing w:after="0" w:line="240" w:lineRule="auto"/>
              <w:rPr>
                <w:rFonts w:eastAsia="Times New Roman" w:cs="Times New Roman"/>
                <w:bCs/>
                <w:noProof/>
              </w:rPr>
            </w:pPr>
            <w:r>
              <w:rPr>
                <w:noProof/>
              </w:rPr>
              <w:t xml:space="preserve">6.3.1.1.i. </w:t>
            </w:r>
          </w:p>
          <w:p w14:paraId="7ACD1D10" w14:textId="77777777" w:rsidR="008E6885" w:rsidRDefault="00EA24E7">
            <w:pPr>
              <w:pStyle w:val="P68B1DB1-Normal17"/>
              <w:spacing w:after="0" w:line="240" w:lineRule="auto"/>
              <w:rPr>
                <w:rFonts w:eastAsia="Times New Roman" w:cs="Times New Roman"/>
                <w:bCs/>
                <w:noProof/>
              </w:rPr>
            </w:pPr>
            <w:r>
              <w:rPr>
                <w:noProof/>
              </w:rPr>
              <w:t>Administration publique ouverte, transparente, équitable et responsable</w:t>
            </w:r>
          </w:p>
        </w:tc>
        <w:tc>
          <w:tcPr>
            <w:tcW w:w="1418" w:type="dxa"/>
            <w:shd w:val="clear" w:color="auto" w:fill="C6EFCE"/>
            <w:hideMark/>
          </w:tcPr>
          <w:p w14:paraId="29E0F190"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359FF9CE" w14:textId="77777777" w:rsidR="008E6885" w:rsidRDefault="00EA24E7">
            <w:pPr>
              <w:pStyle w:val="P68B1DB1-Normal19"/>
              <w:spacing w:after="240" w:line="240" w:lineRule="auto"/>
              <w:rPr>
                <w:rFonts w:eastAsia="Times New Roman" w:cs="Times New Roman"/>
                <w:noProof/>
              </w:rPr>
            </w:pPr>
            <w:r>
              <w:rPr>
                <w:noProof/>
              </w:rPr>
              <w:t>Cadre de compétences disponible</w:t>
            </w:r>
          </w:p>
        </w:tc>
        <w:tc>
          <w:tcPr>
            <w:tcW w:w="1843" w:type="dxa"/>
            <w:shd w:val="clear" w:color="auto" w:fill="C6EFCE"/>
            <w:hideMark/>
          </w:tcPr>
          <w:p w14:paraId="553F1B2B" w14:textId="77777777" w:rsidR="008E6885" w:rsidRDefault="00EA24E7">
            <w:pPr>
              <w:pStyle w:val="P68B1DB1-Normal19"/>
              <w:spacing w:after="0" w:line="240" w:lineRule="auto"/>
              <w:rPr>
                <w:rFonts w:eastAsia="Times New Roman" w:cs="Times New Roman"/>
                <w:noProof/>
              </w:rPr>
            </w:pPr>
            <w:r>
              <w:rPr>
                <w:noProof/>
              </w:rPr>
              <w:t>Le cadre de compétences est disponible dans le système de gestion de la formation des écoles de l’administration publique et approuvé par un acte réglementaire interne de l’école d’administration publique et la loi budgétaire de l’État pour 2024 a été adoptée.</w:t>
            </w:r>
          </w:p>
        </w:tc>
        <w:tc>
          <w:tcPr>
            <w:tcW w:w="1419" w:type="dxa"/>
            <w:shd w:val="clear" w:color="auto" w:fill="C6EFCE"/>
            <w:hideMark/>
          </w:tcPr>
          <w:p w14:paraId="71021776"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784AF7B5"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6F0DE60B"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033F279D"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28DF7001" w14:textId="77777777" w:rsidR="008E6885" w:rsidRDefault="00EA24E7">
            <w:pPr>
              <w:pStyle w:val="P68B1DB1-Normal19"/>
              <w:spacing w:after="0" w:line="240" w:lineRule="auto"/>
              <w:jc w:val="center"/>
              <w:rPr>
                <w:rFonts w:eastAsia="Times New Roman" w:cs="Times New Roman"/>
                <w:noProof/>
              </w:rPr>
            </w:pPr>
            <w:r>
              <w:rPr>
                <w:noProof/>
              </w:rPr>
              <w:t>2023</w:t>
            </w:r>
          </w:p>
        </w:tc>
        <w:tc>
          <w:tcPr>
            <w:tcW w:w="2835" w:type="dxa"/>
            <w:shd w:val="clear" w:color="auto" w:fill="C6EFCE"/>
            <w:hideMark/>
          </w:tcPr>
          <w:p w14:paraId="1ED89229" w14:textId="77777777" w:rsidR="008E6885" w:rsidRDefault="00EA24E7">
            <w:pPr>
              <w:pStyle w:val="P68B1DB1-Normal19"/>
              <w:spacing w:after="0" w:line="240" w:lineRule="auto"/>
              <w:jc w:val="both"/>
              <w:rPr>
                <w:rFonts w:eastAsia="Times New Roman" w:cs="Times New Roman"/>
                <w:noProof/>
              </w:rPr>
            </w:pPr>
            <w:r>
              <w:rPr>
                <w:noProof/>
              </w:rPr>
              <w:t xml:space="preserve">Un cadre de compétences a été mis en place et mis à disposition dans les domaines de l’éthique, de la lutte contre la corruption, de la prévention de la fraude et des conflits d’intérêts. </w:t>
            </w:r>
          </w:p>
          <w:p w14:paraId="756BF76C" w14:textId="77777777" w:rsidR="008E6885" w:rsidRDefault="00EA24E7">
            <w:pPr>
              <w:pStyle w:val="P68B1DB1-Normal19"/>
              <w:spacing w:after="0" w:line="240" w:lineRule="auto"/>
              <w:jc w:val="both"/>
              <w:rPr>
                <w:rFonts w:eastAsia="Times New Roman" w:cs="Times New Roman"/>
                <w:noProof/>
              </w:rPr>
            </w:pPr>
            <w:r>
              <w:rPr>
                <w:noProof/>
              </w:rPr>
              <w:t xml:space="preserve">Le financement par le budget de l’État des principaux programmes de formation au développement de l’administration publique a été assuré à partir de 2024. </w:t>
            </w:r>
          </w:p>
        </w:tc>
      </w:tr>
      <w:tr w:rsidR="008E6885" w14:paraId="2F108A56" w14:textId="77777777" w:rsidTr="00D57C89">
        <w:trPr>
          <w:trHeight w:val="300"/>
        </w:trPr>
        <w:tc>
          <w:tcPr>
            <w:tcW w:w="555" w:type="dxa"/>
            <w:shd w:val="clear" w:color="auto" w:fill="C6EFCE"/>
            <w:hideMark/>
          </w:tcPr>
          <w:p w14:paraId="78D4A7D0" w14:textId="77777777" w:rsidR="008E6885" w:rsidRDefault="00EA24E7">
            <w:pPr>
              <w:pStyle w:val="P68B1DB1-Normal19"/>
              <w:spacing w:after="0" w:line="240" w:lineRule="auto"/>
              <w:jc w:val="both"/>
              <w:rPr>
                <w:rFonts w:eastAsia="Times New Roman" w:cs="Times New Roman"/>
                <w:noProof/>
              </w:rPr>
            </w:pPr>
            <w:r>
              <w:rPr>
                <w:noProof/>
              </w:rPr>
              <w:t>202</w:t>
            </w:r>
          </w:p>
        </w:tc>
        <w:tc>
          <w:tcPr>
            <w:tcW w:w="2139" w:type="dxa"/>
            <w:shd w:val="clear" w:color="auto" w:fill="C6EFCE"/>
            <w:hideMark/>
          </w:tcPr>
          <w:p w14:paraId="1136C84F" w14:textId="77777777" w:rsidR="008E6885" w:rsidRDefault="00EA24E7">
            <w:pPr>
              <w:pStyle w:val="P68B1DB1-Normal17"/>
              <w:spacing w:after="0" w:line="240" w:lineRule="auto"/>
              <w:rPr>
                <w:rFonts w:eastAsia="Times New Roman" w:cs="Times New Roman"/>
                <w:bCs/>
                <w:noProof/>
              </w:rPr>
            </w:pPr>
            <w:r>
              <w:rPr>
                <w:noProof/>
              </w:rPr>
              <w:t xml:space="preserve">6.3.1.2.i. Administration publique professionnelle, ouverte et responsable </w:t>
            </w:r>
          </w:p>
        </w:tc>
        <w:tc>
          <w:tcPr>
            <w:tcW w:w="1418" w:type="dxa"/>
            <w:shd w:val="clear" w:color="auto" w:fill="C6EFCE"/>
            <w:hideMark/>
          </w:tcPr>
          <w:p w14:paraId="7DAF27FB"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439DCB9C" w14:textId="77777777" w:rsidR="008E6885" w:rsidRDefault="00EA24E7">
            <w:pPr>
              <w:pStyle w:val="P68B1DB1-Normal19"/>
              <w:spacing w:after="240" w:line="240" w:lineRule="auto"/>
              <w:rPr>
                <w:rFonts w:eastAsia="Times New Roman" w:cs="Times New Roman"/>
                <w:noProof/>
              </w:rPr>
            </w:pPr>
            <w:r>
              <w:rPr>
                <w:noProof/>
              </w:rPr>
              <w:t>Cadre de compétences disponible, y compris les programmes de formation</w:t>
            </w:r>
          </w:p>
        </w:tc>
        <w:tc>
          <w:tcPr>
            <w:tcW w:w="1843" w:type="dxa"/>
            <w:shd w:val="clear" w:color="auto" w:fill="C6EFCE"/>
            <w:hideMark/>
          </w:tcPr>
          <w:p w14:paraId="1798EA3A" w14:textId="77777777" w:rsidR="008E6885" w:rsidRDefault="00EA24E7">
            <w:pPr>
              <w:pStyle w:val="P68B1DB1-Normal19"/>
              <w:spacing w:after="200" w:line="276" w:lineRule="auto"/>
              <w:rPr>
                <w:rFonts w:eastAsia="Times New Roman" w:cs="Times New Roman"/>
                <w:noProof/>
              </w:rPr>
            </w:pPr>
            <w:r>
              <w:rPr>
                <w:noProof/>
              </w:rPr>
              <w:t>Le cadre de compétences est disponible dans le système de gestion de la formation de l’école d’administration publique et approuvé par un acte réglementaire interne de l’école d’administration publique et la loi sur le budget de l’État pour 2024 a été adoptée.</w:t>
            </w:r>
          </w:p>
        </w:tc>
        <w:tc>
          <w:tcPr>
            <w:tcW w:w="1419" w:type="dxa"/>
            <w:shd w:val="clear" w:color="auto" w:fill="C6EFCE"/>
            <w:hideMark/>
          </w:tcPr>
          <w:p w14:paraId="605E82A4"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24C6CA09"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794189CB"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6250185F"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35C3D672" w14:textId="77777777" w:rsidR="008E6885" w:rsidRDefault="00EA24E7">
            <w:pPr>
              <w:pStyle w:val="P68B1DB1-Normal19"/>
              <w:spacing w:after="0" w:line="240" w:lineRule="auto"/>
              <w:jc w:val="center"/>
              <w:rPr>
                <w:rFonts w:eastAsia="Times New Roman" w:cs="Times New Roman"/>
                <w:noProof/>
              </w:rPr>
            </w:pPr>
            <w:r>
              <w:rPr>
                <w:noProof/>
              </w:rPr>
              <w:t>2023</w:t>
            </w:r>
          </w:p>
        </w:tc>
        <w:tc>
          <w:tcPr>
            <w:tcW w:w="2835" w:type="dxa"/>
            <w:shd w:val="clear" w:color="auto" w:fill="C6EFCE"/>
            <w:hideMark/>
          </w:tcPr>
          <w:p w14:paraId="015C4A57" w14:textId="77777777" w:rsidR="008E6885" w:rsidRDefault="00EA24E7">
            <w:pPr>
              <w:pStyle w:val="P68B1DB1-Normal19"/>
              <w:spacing w:after="0" w:line="240" w:lineRule="auto"/>
              <w:jc w:val="both"/>
              <w:rPr>
                <w:rFonts w:eastAsia="Times New Roman" w:cs="Times New Roman"/>
                <w:noProof/>
              </w:rPr>
            </w:pPr>
            <w:r>
              <w:rPr>
                <w:noProof/>
              </w:rPr>
              <w:t>Un cadre de compétences et des programmes de formation sont disponibles dans les domaines suivants:</w:t>
            </w:r>
          </w:p>
          <w:p w14:paraId="1CEB123B" w14:textId="77777777" w:rsidR="008E6885" w:rsidRDefault="00EA24E7">
            <w:pPr>
              <w:pStyle w:val="P68B1DB1-ListParagraph27"/>
              <w:numPr>
                <w:ilvl w:val="0"/>
                <w:numId w:val="34"/>
              </w:numPr>
              <w:spacing w:after="0" w:line="240" w:lineRule="auto"/>
              <w:ind w:left="175" w:hanging="175"/>
              <w:jc w:val="both"/>
              <w:rPr>
                <w:rFonts w:eastAsia="Times New Roman" w:cs="Times New Roman"/>
                <w:noProof/>
              </w:rPr>
            </w:pPr>
            <w:r>
              <w:rPr>
                <w:noProof/>
              </w:rPr>
              <w:t xml:space="preserve">service à la clientèle, </w:t>
            </w:r>
          </w:p>
          <w:p w14:paraId="1C8C9774" w14:textId="77777777" w:rsidR="008E6885" w:rsidRDefault="00EA24E7">
            <w:pPr>
              <w:pStyle w:val="P68B1DB1-ListParagraph27"/>
              <w:numPr>
                <w:ilvl w:val="0"/>
                <w:numId w:val="34"/>
              </w:numPr>
              <w:spacing w:after="0" w:line="240" w:lineRule="auto"/>
              <w:ind w:left="175" w:hanging="175"/>
              <w:jc w:val="both"/>
              <w:rPr>
                <w:rFonts w:eastAsia="Times New Roman" w:cs="Times New Roman"/>
                <w:noProof/>
              </w:rPr>
            </w:pPr>
            <w:r>
              <w:rPr>
                <w:noProof/>
              </w:rPr>
              <w:t xml:space="preserve">le développement du leadership, </w:t>
            </w:r>
          </w:p>
          <w:p w14:paraId="35AE4C79" w14:textId="77777777" w:rsidR="008E6885" w:rsidRDefault="00EA24E7">
            <w:pPr>
              <w:pStyle w:val="P68B1DB1-ListParagraph27"/>
              <w:numPr>
                <w:ilvl w:val="0"/>
                <w:numId w:val="34"/>
              </w:numPr>
              <w:spacing w:after="0" w:line="240" w:lineRule="auto"/>
              <w:ind w:left="175" w:hanging="175"/>
              <w:jc w:val="both"/>
              <w:rPr>
                <w:rFonts w:eastAsia="Times New Roman" w:cs="Times New Roman"/>
                <w:noProof/>
              </w:rPr>
            </w:pPr>
            <w:r>
              <w:rPr>
                <w:noProof/>
              </w:rPr>
              <w:t>les compétences de base de l'administration publique,</w:t>
            </w:r>
          </w:p>
          <w:p w14:paraId="26235A2D" w14:textId="77777777" w:rsidR="008E6885" w:rsidRDefault="00EA24E7">
            <w:pPr>
              <w:pStyle w:val="P68B1DB1-ListParagraph27"/>
              <w:numPr>
                <w:ilvl w:val="0"/>
                <w:numId w:val="34"/>
              </w:numPr>
              <w:spacing w:after="0" w:line="240" w:lineRule="auto"/>
              <w:ind w:left="175" w:hanging="175"/>
              <w:jc w:val="both"/>
              <w:rPr>
                <w:rFonts w:eastAsia="Times New Roman" w:cs="Times New Roman"/>
                <w:noProof/>
              </w:rPr>
            </w:pPr>
            <w:r>
              <w:rPr>
                <w:noProof/>
              </w:rPr>
              <w:t xml:space="preserve">la gestion des marchés publics, </w:t>
            </w:r>
          </w:p>
          <w:p w14:paraId="2C62857A" w14:textId="77777777" w:rsidR="008E6885" w:rsidRDefault="00EA24E7">
            <w:pPr>
              <w:pStyle w:val="P68B1DB1-ListParagraph27"/>
              <w:numPr>
                <w:ilvl w:val="0"/>
                <w:numId w:val="34"/>
              </w:numPr>
              <w:spacing w:after="0" w:line="240" w:lineRule="auto"/>
              <w:ind w:left="175" w:hanging="175"/>
              <w:jc w:val="both"/>
              <w:rPr>
                <w:rFonts w:eastAsia="Times New Roman" w:cs="Times New Roman"/>
                <w:noProof/>
              </w:rPr>
            </w:pPr>
            <w:r>
              <w:rPr>
                <w:noProof/>
              </w:rPr>
              <w:t>les ressources humaines,</w:t>
            </w:r>
          </w:p>
          <w:p w14:paraId="60A0A455" w14:textId="77777777" w:rsidR="008E6885" w:rsidRDefault="00EA24E7">
            <w:pPr>
              <w:pStyle w:val="P68B1DB1-ListParagraph27"/>
              <w:numPr>
                <w:ilvl w:val="0"/>
                <w:numId w:val="34"/>
              </w:numPr>
              <w:spacing w:after="0" w:line="240" w:lineRule="auto"/>
              <w:ind w:left="175" w:hanging="175"/>
              <w:jc w:val="both"/>
              <w:rPr>
                <w:rFonts w:eastAsia="Times New Roman" w:cs="Times New Roman"/>
                <w:noProof/>
              </w:rPr>
            </w:pPr>
            <w:r>
              <w:rPr>
                <w:noProof/>
              </w:rPr>
              <w:t xml:space="preserve">la pratique juridique, </w:t>
            </w:r>
          </w:p>
          <w:p w14:paraId="607FA94D" w14:textId="26388059" w:rsidR="008E6885" w:rsidRDefault="00EA24E7">
            <w:pPr>
              <w:pStyle w:val="P68B1DB1-ListParagraph27"/>
              <w:numPr>
                <w:ilvl w:val="0"/>
                <w:numId w:val="34"/>
              </w:numPr>
              <w:spacing w:after="0" w:line="240" w:lineRule="auto"/>
              <w:ind w:left="175" w:hanging="175"/>
              <w:jc w:val="both"/>
              <w:rPr>
                <w:rFonts w:eastAsia="Times New Roman" w:cs="Times New Roman"/>
                <w:noProof/>
              </w:rPr>
            </w:pPr>
            <w:r>
              <w:rPr>
                <w:noProof/>
              </w:rPr>
              <w:t xml:space="preserve">la planification et la mise en œuvre des politiques. </w:t>
            </w:r>
          </w:p>
          <w:p w14:paraId="1C8ED866" w14:textId="77777777" w:rsidR="008E6885" w:rsidRDefault="00EA24E7">
            <w:pPr>
              <w:pStyle w:val="P68B1DB1-Normal19"/>
              <w:spacing w:after="0" w:line="240" w:lineRule="auto"/>
              <w:jc w:val="both"/>
              <w:rPr>
                <w:rFonts w:eastAsia="Times New Roman" w:cs="Times New Roman"/>
                <w:noProof/>
              </w:rPr>
            </w:pPr>
            <w:r>
              <w:rPr>
                <w:noProof/>
              </w:rPr>
              <w:t>Le financement par le budget de l’État de la professionnalisation de l’administration publique est assuré à partir de 2024.</w:t>
            </w:r>
          </w:p>
        </w:tc>
      </w:tr>
      <w:tr w:rsidR="008E6885" w14:paraId="20C0D804" w14:textId="77777777" w:rsidTr="00D57C89">
        <w:trPr>
          <w:trHeight w:val="300"/>
        </w:trPr>
        <w:tc>
          <w:tcPr>
            <w:tcW w:w="555" w:type="dxa"/>
            <w:shd w:val="clear" w:color="auto" w:fill="C6EFCE"/>
            <w:hideMark/>
          </w:tcPr>
          <w:p w14:paraId="2897D172" w14:textId="77777777" w:rsidR="008E6885" w:rsidRDefault="00EA24E7">
            <w:pPr>
              <w:pStyle w:val="P68B1DB1-Normal19"/>
              <w:spacing w:after="0" w:line="240" w:lineRule="auto"/>
              <w:jc w:val="both"/>
              <w:rPr>
                <w:rFonts w:eastAsia="Times New Roman" w:cs="Times New Roman"/>
                <w:noProof/>
              </w:rPr>
            </w:pPr>
            <w:r>
              <w:rPr>
                <w:noProof/>
              </w:rPr>
              <w:t>203</w:t>
            </w:r>
          </w:p>
        </w:tc>
        <w:tc>
          <w:tcPr>
            <w:tcW w:w="2139" w:type="dxa"/>
            <w:shd w:val="clear" w:color="auto" w:fill="C6EFCE"/>
            <w:hideMark/>
          </w:tcPr>
          <w:p w14:paraId="634AD1D6" w14:textId="77777777" w:rsidR="008E6885" w:rsidRDefault="00EA24E7">
            <w:pPr>
              <w:pStyle w:val="P68B1DB1-Normal17"/>
              <w:spacing w:after="0" w:line="240" w:lineRule="auto"/>
              <w:rPr>
                <w:rFonts w:eastAsia="Times New Roman" w:cs="Times New Roman"/>
                <w:bCs/>
                <w:noProof/>
              </w:rPr>
            </w:pPr>
            <w:r>
              <w:rPr>
                <w:noProof/>
              </w:rPr>
              <w:t xml:space="preserve">6.3.1.2.i. Administration publique professionnelle, ouverte et responsable </w:t>
            </w:r>
          </w:p>
        </w:tc>
        <w:tc>
          <w:tcPr>
            <w:tcW w:w="1418" w:type="dxa"/>
            <w:shd w:val="clear" w:color="auto" w:fill="C6EFCE"/>
            <w:hideMark/>
          </w:tcPr>
          <w:p w14:paraId="4860ED43" w14:textId="77777777" w:rsidR="008E6885" w:rsidRDefault="00EA24E7">
            <w:pPr>
              <w:pStyle w:val="P68B1DB1-Normal19"/>
              <w:spacing w:after="0" w:line="240" w:lineRule="auto"/>
              <w:rPr>
                <w:rFonts w:eastAsia="Times New Roman" w:cs="Times New Roman"/>
                <w:noProof/>
              </w:rPr>
            </w:pPr>
            <w:r>
              <w:rPr>
                <w:noProof/>
              </w:rPr>
              <w:t>Objectif</w:t>
            </w:r>
          </w:p>
        </w:tc>
        <w:tc>
          <w:tcPr>
            <w:tcW w:w="1559" w:type="dxa"/>
            <w:shd w:val="clear" w:color="auto" w:fill="C6EFCE"/>
            <w:hideMark/>
          </w:tcPr>
          <w:p w14:paraId="497AFA1B" w14:textId="77777777" w:rsidR="008E6885" w:rsidRDefault="00EA24E7">
            <w:pPr>
              <w:pStyle w:val="P68B1DB1-Normal19"/>
              <w:spacing w:after="0" w:line="240" w:lineRule="auto"/>
              <w:rPr>
                <w:rFonts w:eastAsia="Times New Roman" w:cs="Times New Roman"/>
                <w:noProof/>
              </w:rPr>
            </w:pPr>
            <w:r>
              <w:rPr>
                <w:noProof/>
              </w:rPr>
              <w:t xml:space="preserve">Formations suivies </w:t>
            </w:r>
          </w:p>
        </w:tc>
        <w:tc>
          <w:tcPr>
            <w:tcW w:w="1843" w:type="dxa"/>
            <w:shd w:val="clear" w:color="auto" w:fill="C6EFCE"/>
            <w:hideMark/>
          </w:tcPr>
          <w:p w14:paraId="0DD9C4B0"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1419" w:type="dxa"/>
            <w:shd w:val="clear" w:color="auto" w:fill="C6EFCE"/>
            <w:hideMark/>
          </w:tcPr>
          <w:p w14:paraId="765B5679" w14:textId="77777777" w:rsidR="008E6885" w:rsidRDefault="00EA24E7">
            <w:pPr>
              <w:pStyle w:val="P68B1DB1-Normal19"/>
              <w:spacing w:after="0" w:line="240" w:lineRule="auto"/>
              <w:jc w:val="center"/>
              <w:rPr>
                <w:rFonts w:eastAsia="Times New Roman" w:cs="Times New Roman"/>
                <w:noProof/>
              </w:rPr>
            </w:pPr>
            <w:r>
              <w:rPr>
                <w:noProof/>
              </w:rPr>
              <w:t>Numéro</w:t>
            </w:r>
          </w:p>
        </w:tc>
        <w:tc>
          <w:tcPr>
            <w:tcW w:w="991" w:type="dxa"/>
            <w:shd w:val="clear" w:color="auto" w:fill="C6EFCE"/>
            <w:hideMark/>
          </w:tcPr>
          <w:p w14:paraId="29114530" w14:textId="77777777" w:rsidR="008E6885" w:rsidRDefault="00EA24E7">
            <w:pPr>
              <w:pStyle w:val="P68B1DB1-Normal19"/>
              <w:spacing w:after="0" w:line="240" w:lineRule="auto"/>
              <w:jc w:val="center"/>
              <w:rPr>
                <w:rFonts w:eastAsia="Times New Roman" w:cs="Times New Roman"/>
                <w:noProof/>
              </w:rPr>
            </w:pPr>
            <w:r>
              <w:rPr>
                <w:noProof/>
              </w:rPr>
              <w:t>0</w:t>
            </w:r>
          </w:p>
        </w:tc>
        <w:tc>
          <w:tcPr>
            <w:tcW w:w="851" w:type="dxa"/>
            <w:shd w:val="clear" w:color="auto" w:fill="C6EFCE"/>
            <w:hideMark/>
          </w:tcPr>
          <w:p w14:paraId="16980534" w14:textId="77777777" w:rsidR="008E6885" w:rsidRDefault="00EA24E7">
            <w:pPr>
              <w:pStyle w:val="P68B1DB1-Normal19"/>
              <w:spacing w:after="0" w:line="240" w:lineRule="auto"/>
              <w:jc w:val="center"/>
              <w:rPr>
                <w:rFonts w:eastAsia="Times New Roman" w:cs="Times New Roman"/>
                <w:noProof/>
              </w:rPr>
            </w:pPr>
            <w:r>
              <w:rPr>
                <w:noProof/>
              </w:rPr>
              <w:t>36 243</w:t>
            </w:r>
          </w:p>
        </w:tc>
        <w:tc>
          <w:tcPr>
            <w:tcW w:w="992" w:type="dxa"/>
            <w:shd w:val="clear" w:color="auto" w:fill="C6EFCE"/>
            <w:hideMark/>
          </w:tcPr>
          <w:p w14:paraId="610C494C"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2F64C54C" w14:textId="77777777" w:rsidR="008E6885" w:rsidRDefault="00EA24E7">
            <w:pPr>
              <w:pStyle w:val="P68B1DB1-Normal19"/>
              <w:spacing w:after="0" w:line="240" w:lineRule="auto"/>
              <w:jc w:val="center"/>
              <w:rPr>
                <w:rFonts w:eastAsia="Times New Roman" w:cs="Times New Roman"/>
                <w:noProof/>
              </w:rPr>
            </w:pPr>
            <w:r>
              <w:rPr>
                <w:noProof/>
              </w:rPr>
              <w:t>2025</w:t>
            </w:r>
          </w:p>
        </w:tc>
        <w:tc>
          <w:tcPr>
            <w:tcW w:w="2835" w:type="dxa"/>
            <w:shd w:val="clear" w:color="auto" w:fill="C6EFCE"/>
            <w:hideMark/>
          </w:tcPr>
          <w:p w14:paraId="47F1C289" w14:textId="77777777" w:rsidR="008E6885" w:rsidRDefault="00EA24E7">
            <w:pPr>
              <w:pStyle w:val="P68B1DB1-Normal19"/>
              <w:spacing w:after="0" w:line="240" w:lineRule="auto"/>
              <w:jc w:val="both"/>
              <w:rPr>
                <w:rFonts w:eastAsia="Times New Roman" w:cs="Times New Roman"/>
                <w:noProof/>
              </w:rPr>
            </w:pPr>
            <w:r>
              <w:rPr>
                <w:noProof/>
              </w:rPr>
              <w:t xml:space="preserve">Nombre de formations suivies, par exemple dans les domaines du service à la clientèle, du développement du leadership, des compétences de base de l’administration publique, de la gestion des marchés publics, des ressources humaines, de la pratique juridique, de la planification des politiques, de l’éthique, de la lutte contre la corruption, de la prévention de la fraude et des conflits d’intérêts. </w:t>
            </w:r>
          </w:p>
        </w:tc>
      </w:tr>
      <w:tr w:rsidR="008E6885" w14:paraId="1E70C5C9" w14:textId="77777777" w:rsidTr="00D57C89">
        <w:trPr>
          <w:trHeight w:val="300"/>
        </w:trPr>
        <w:tc>
          <w:tcPr>
            <w:tcW w:w="555" w:type="dxa"/>
            <w:shd w:val="clear" w:color="auto" w:fill="C6EFCE"/>
            <w:hideMark/>
          </w:tcPr>
          <w:p w14:paraId="212BC78E" w14:textId="77777777" w:rsidR="008E6885" w:rsidRDefault="00EA24E7">
            <w:pPr>
              <w:pStyle w:val="P68B1DB1-Normal19"/>
              <w:spacing w:after="0" w:line="240" w:lineRule="auto"/>
              <w:jc w:val="both"/>
              <w:rPr>
                <w:rFonts w:eastAsia="Times New Roman" w:cs="Times New Roman"/>
                <w:noProof/>
              </w:rPr>
            </w:pPr>
            <w:r>
              <w:rPr>
                <w:noProof/>
              </w:rPr>
              <w:t>204</w:t>
            </w:r>
          </w:p>
        </w:tc>
        <w:tc>
          <w:tcPr>
            <w:tcW w:w="2139" w:type="dxa"/>
            <w:shd w:val="clear" w:color="auto" w:fill="C6EFCE"/>
            <w:hideMark/>
          </w:tcPr>
          <w:p w14:paraId="27934B9C" w14:textId="77777777" w:rsidR="008E6885" w:rsidRDefault="00EA24E7">
            <w:pPr>
              <w:pStyle w:val="P68B1DB1-Normal17"/>
              <w:spacing w:after="0" w:line="240" w:lineRule="auto"/>
              <w:rPr>
                <w:rFonts w:eastAsia="Times New Roman" w:cs="Times New Roman"/>
                <w:bCs/>
                <w:noProof/>
              </w:rPr>
            </w:pPr>
            <w:r>
              <w:rPr>
                <w:noProof/>
              </w:rPr>
              <w:t xml:space="preserve">6.3.1.3.i. Développement de l'écosystème d'innovation de l'administration publique </w:t>
            </w:r>
          </w:p>
        </w:tc>
        <w:tc>
          <w:tcPr>
            <w:tcW w:w="1418" w:type="dxa"/>
            <w:shd w:val="clear" w:color="auto" w:fill="C6EFCE"/>
            <w:hideMark/>
          </w:tcPr>
          <w:p w14:paraId="58C85BEA"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197AFB59" w14:textId="77777777" w:rsidR="008E6885" w:rsidRDefault="00EA24E7">
            <w:pPr>
              <w:pStyle w:val="P68B1DB1-Normal19"/>
              <w:spacing w:after="0" w:line="240" w:lineRule="auto"/>
              <w:rPr>
                <w:noProof/>
              </w:rPr>
            </w:pPr>
            <w:r>
              <w:rPr>
                <w:noProof/>
              </w:rPr>
              <w:t xml:space="preserve">Laboratoire d'innovation </w:t>
            </w:r>
          </w:p>
        </w:tc>
        <w:tc>
          <w:tcPr>
            <w:tcW w:w="1843" w:type="dxa"/>
            <w:shd w:val="clear" w:color="auto" w:fill="C6EFCE"/>
            <w:hideMark/>
          </w:tcPr>
          <w:p w14:paraId="1E0948EB" w14:textId="77777777" w:rsidR="008E6885" w:rsidRDefault="00EA24E7">
            <w:pPr>
              <w:pStyle w:val="P68B1DB1-Normal19"/>
              <w:spacing w:after="0" w:line="240" w:lineRule="auto"/>
              <w:rPr>
                <w:noProof/>
              </w:rPr>
            </w:pPr>
            <w:r>
              <w:rPr>
                <w:noProof/>
              </w:rPr>
              <w:t>Approbation du rapport d'information et rénovation du laboratoire d'innovation</w:t>
            </w:r>
          </w:p>
        </w:tc>
        <w:tc>
          <w:tcPr>
            <w:tcW w:w="1419" w:type="dxa"/>
            <w:shd w:val="clear" w:color="auto" w:fill="C6EFCE"/>
            <w:hideMark/>
          </w:tcPr>
          <w:p w14:paraId="653F3310"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4496E8E5"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6C716B3C"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562BD907" w14:textId="77777777" w:rsidR="008E6885" w:rsidRDefault="00EA24E7">
            <w:pPr>
              <w:pStyle w:val="P68B1DB1-Normal19"/>
              <w:spacing w:after="0" w:line="240" w:lineRule="auto"/>
              <w:jc w:val="center"/>
              <w:rPr>
                <w:rFonts w:eastAsia="Times New Roman" w:cs="Times New Roman"/>
                <w:noProof/>
              </w:rPr>
            </w:pPr>
            <w:r>
              <w:rPr>
                <w:noProof/>
              </w:rPr>
              <w:t>T2</w:t>
            </w:r>
          </w:p>
        </w:tc>
        <w:tc>
          <w:tcPr>
            <w:tcW w:w="709" w:type="dxa"/>
            <w:shd w:val="clear" w:color="auto" w:fill="C6EFCE"/>
            <w:hideMark/>
          </w:tcPr>
          <w:p w14:paraId="6B31C1AC" w14:textId="77777777" w:rsidR="008E6885" w:rsidRDefault="00EA24E7">
            <w:pPr>
              <w:pStyle w:val="P68B1DB1-Normal19"/>
              <w:spacing w:after="0" w:line="240" w:lineRule="auto"/>
              <w:jc w:val="center"/>
              <w:rPr>
                <w:rFonts w:eastAsia="Times New Roman" w:cs="Times New Roman"/>
                <w:noProof/>
              </w:rPr>
            </w:pPr>
            <w:r>
              <w:rPr>
                <w:noProof/>
              </w:rPr>
              <w:t>2025</w:t>
            </w:r>
          </w:p>
        </w:tc>
        <w:tc>
          <w:tcPr>
            <w:tcW w:w="2835" w:type="dxa"/>
            <w:shd w:val="clear" w:color="auto" w:fill="C6EFCE"/>
            <w:hideMark/>
          </w:tcPr>
          <w:p w14:paraId="6EDFE568" w14:textId="77777777" w:rsidR="008E6885" w:rsidRDefault="00EA24E7">
            <w:pPr>
              <w:pStyle w:val="P68B1DB1-Normal20"/>
              <w:spacing w:after="0" w:line="240" w:lineRule="auto"/>
              <w:jc w:val="both"/>
              <w:rPr>
                <w:rFonts w:eastAsia="Times New Roman" w:cs="Times New Roman"/>
                <w:noProof/>
              </w:rPr>
            </w:pPr>
            <w:r>
              <w:rPr>
                <w:noProof/>
              </w:rPr>
              <w:t xml:space="preserve">Le rapport d'information sur le renforcement de la capacité d'innovation dans l'administration publique est approuvé par le Cabinet des ministres. Les locaux du laboratoire d'innovation ont été rénovés et des sprints d'innovation ont été organisés. </w:t>
            </w:r>
          </w:p>
        </w:tc>
      </w:tr>
      <w:tr w:rsidR="008E6885" w14:paraId="297CB865" w14:textId="77777777" w:rsidTr="00D57C89">
        <w:trPr>
          <w:trHeight w:val="300"/>
        </w:trPr>
        <w:tc>
          <w:tcPr>
            <w:tcW w:w="555" w:type="dxa"/>
            <w:shd w:val="clear" w:color="auto" w:fill="C6EFCE"/>
            <w:hideMark/>
          </w:tcPr>
          <w:p w14:paraId="6760855C" w14:textId="77777777" w:rsidR="008E6885" w:rsidRDefault="00EA24E7">
            <w:pPr>
              <w:pStyle w:val="P68B1DB1-Normal19"/>
              <w:spacing w:after="0" w:line="240" w:lineRule="auto"/>
              <w:jc w:val="both"/>
              <w:rPr>
                <w:rFonts w:eastAsia="Times New Roman" w:cs="Times New Roman"/>
                <w:noProof/>
              </w:rPr>
            </w:pPr>
            <w:r>
              <w:rPr>
                <w:noProof/>
              </w:rPr>
              <w:t>206</w:t>
            </w:r>
          </w:p>
        </w:tc>
        <w:tc>
          <w:tcPr>
            <w:tcW w:w="2139" w:type="dxa"/>
            <w:shd w:val="clear" w:color="auto" w:fill="C6EFCE"/>
            <w:hideMark/>
          </w:tcPr>
          <w:p w14:paraId="7CE9165A" w14:textId="77777777" w:rsidR="008E6885" w:rsidRDefault="00EA24E7">
            <w:pPr>
              <w:pStyle w:val="P68B1DB1-Normal17"/>
              <w:spacing w:after="0" w:line="240" w:lineRule="auto"/>
              <w:rPr>
                <w:rFonts w:eastAsia="Times New Roman" w:cs="Times New Roman"/>
                <w:bCs/>
                <w:noProof/>
              </w:rPr>
            </w:pPr>
            <w:r>
              <w:rPr>
                <w:noProof/>
              </w:rPr>
              <w:t xml:space="preserve">6.3.1.4.i. </w:t>
            </w:r>
          </w:p>
          <w:p w14:paraId="150B652C" w14:textId="77777777" w:rsidR="008E6885" w:rsidRDefault="00EA24E7">
            <w:pPr>
              <w:pStyle w:val="P68B1DB1-Normal17"/>
              <w:spacing w:after="0" w:line="240" w:lineRule="auto"/>
              <w:rPr>
                <w:rFonts w:eastAsia="Times New Roman" w:cs="Times New Roman"/>
                <w:bCs/>
                <w:noProof/>
              </w:rPr>
            </w:pPr>
            <w:r>
              <w:rPr>
                <w:noProof/>
              </w:rPr>
              <w:t>Croissance des organisations non gouvernementales pour renforcer la représentation de la sécurité sociale et surveiller les intérêts publics</w:t>
            </w:r>
          </w:p>
        </w:tc>
        <w:tc>
          <w:tcPr>
            <w:tcW w:w="1418" w:type="dxa"/>
            <w:shd w:val="clear" w:color="auto" w:fill="C6EFCE"/>
            <w:hideMark/>
          </w:tcPr>
          <w:p w14:paraId="713500CE"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196CC50A" w14:textId="77777777" w:rsidR="008E6885" w:rsidRDefault="00EA24E7">
            <w:pPr>
              <w:pStyle w:val="P68B1DB1-Normal19"/>
              <w:spacing w:after="0" w:line="240" w:lineRule="auto"/>
              <w:rPr>
                <w:rFonts w:eastAsia="Times New Roman" w:cs="Times New Roman"/>
                <w:noProof/>
              </w:rPr>
            </w:pPr>
            <w:r>
              <w:rPr>
                <w:noProof/>
              </w:rPr>
              <w:t>Publication du cadre de soutien aux organisations non gouvernementales dans les domaines suivants:</w:t>
            </w:r>
          </w:p>
          <w:p w14:paraId="7CCFE12D" w14:textId="77777777" w:rsidR="008E6885" w:rsidRDefault="00EA24E7">
            <w:pPr>
              <w:pStyle w:val="P68B1DB1-Normal19"/>
              <w:spacing w:after="0" w:line="240" w:lineRule="auto"/>
              <w:rPr>
                <w:rFonts w:eastAsia="Times New Roman" w:cs="Times New Roman"/>
                <w:noProof/>
              </w:rPr>
            </w:pPr>
            <w:r>
              <w:rPr>
                <w:noProof/>
              </w:rPr>
              <w:t>-résilience sociale</w:t>
            </w:r>
          </w:p>
          <w:p w14:paraId="4DFE85AA" w14:textId="77777777" w:rsidR="008E6885" w:rsidRDefault="00EA24E7">
            <w:pPr>
              <w:pStyle w:val="P68B1DB1-Normal19"/>
              <w:spacing w:after="0" w:line="240" w:lineRule="auto"/>
              <w:rPr>
                <w:rFonts w:eastAsia="Times New Roman" w:cs="Times New Roman"/>
                <w:noProof/>
              </w:rPr>
            </w:pPr>
            <w:r>
              <w:rPr>
                <w:noProof/>
              </w:rPr>
              <w:t>-la défense de l’intérêt public</w:t>
            </w:r>
          </w:p>
        </w:tc>
        <w:tc>
          <w:tcPr>
            <w:tcW w:w="1843" w:type="dxa"/>
            <w:shd w:val="clear" w:color="auto" w:fill="C6EFCE"/>
            <w:hideMark/>
          </w:tcPr>
          <w:p w14:paraId="385AB096" w14:textId="77777777" w:rsidR="008E6885" w:rsidRDefault="00EA24E7">
            <w:pPr>
              <w:pStyle w:val="P68B1DB1-Normal19"/>
              <w:spacing w:after="0" w:line="240" w:lineRule="auto"/>
              <w:rPr>
                <w:rFonts w:eastAsia="Times New Roman" w:cs="Times New Roman"/>
                <w:noProof/>
              </w:rPr>
            </w:pPr>
            <w:r>
              <w:rPr>
                <w:noProof/>
              </w:rPr>
              <w:t>La publication des règles relatives au programme d'aide</w:t>
            </w:r>
          </w:p>
        </w:tc>
        <w:tc>
          <w:tcPr>
            <w:tcW w:w="1419" w:type="dxa"/>
            <w:shd w:val="clear" w:color="auto" w:fill="C6EFCE"/>
            <w:hideMark/>
          </w:tcPr>
          <w:p w14:paraId="0A353E91"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37ADEC82"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26571B08"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76B4D9A5"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130E83AF" w14:textId="77777777" w:rsidR="008E6885" w:rsidRDefault="00EA24E7">
            <w:pPr>
              <w:pStyle w:val="P68B1DB1-Normal19"/>
              <w:spacing w:after="0" w:line="240" w:lineRule="auto"/>
              <w:jc w:val="center"/>
              <w:rPr>
                <w:rFonts w:eastAsia="Times New Roman" w:cs="Times New Roman"/>
                <w:noProof/>
              </w:rPr>
            </w:pPr>
            <w:r>
              <w:rPr>
                <w:noProof/>
              </w:rPr>
              <w:t>2022</w:t>
            </w:r>
          </w:p>
        </w:tc>
        <w:tc>
          <w:tcPr>
            <w:tcW w:w="2835" w:type="dxa"/>
            <w:shd w:val="clear" w:color="auto" w:fill="C6EFCE"/>
            <w:hideMark/>
          </w:tcPr>
          <w:p w14:paraId="2EDE840D" w14:textId="77777777" w:rsidR="008E6885" w:rsidRDefault="00EA24E7">
            <w:pPr>
              <w:pStyle w:val="P68B1DB1-Normal19"/>
              <w:spacing w:after="0" w:line="240" w:lineRule="auto"/>
              <w:jc w:val="both"/>
              <w:rPr>
                <w:rFonts w:eastAsia="Times New Roman" w:cs="Times New Roman"/>
                <w:noProof/>
              </w:rPr>
            </w:pPr>
            <w:r>
              <w:rPr>
                <w:noProof/>
              </w:rPr>
              <w:t xml:space="preserve">Un appel ouvert à financement pour le renforcement du travail des organisations non gouvernementales dans deux domaines – a) la promotion de la résilience sociale et b) la défense de l’intérêt public a été publié. L'appel comprend les conditions et les critères de participation des ONG au programme de soutien, un mécanisme d'établissement de rapports ainsi que des indicateurs et des objectifs à atteindre dans le cadre du programme. </w:t>
            </w:r>
          </w:p>
        </w:tc>
      </w:tr>
      <w:tr w:rsidR="008E6885" w14:paraId="0E0EBA51" w14:textId="77777777" w:rsidTr="00D57C89">
        <w:trPr>
          <w:trHeight w:val="300"/>
        </w:trPr>
        <w:tc>
          <w:tcPr>
            <w:tcW w:w="555" w:type="dxa"/>
            <w:shd w:val="clear" w:color="auto" w:fill="C6EFCE"/>
            <w:hideMark/>
          </w:tcPr>
          <w:p w14:paraId="30BAD415" w14:textId="77777777" w:rsidR="008E6885" w:rsidRDefault="00EA24E7">
            <w:pPr>
              <w:pStyle w:val="P68B1DB1-Normal19"/>
              <w:spacing w:after="0" w:line="240" w:lineRule="auto"/>
              <w:jc w:val="both"/>
              <w:rPr>
                <w:rFonts w:eastAsia="Times New Roman" w:cs="Times New Roman"/>
                <w:noProof/>
              </w:rPr>
            </w:pPr>
            <w:r>
              <w:rPr>
                <w:noProof/>
              </w:rPr>
              <w:t>207</w:t>
            </w:r>
          </w:p>
        </w:tc>
        <w:tc>
          <w:tcPr>
            <w:tcW w:w="2139" w:type="dxa"/>
            <w:shd w:val="clear" w:color="auto" w:fill="C6EFCE"/>
            <w:hideMark/>
          </w:tcPr>
          <w:p w14:paraId="0A66F7DC" w14:textId="77777777" w:rsidR="008E6885" w:rsidRDefault="00EA24E7">
            <w:pPr>
              <w:pStyle w:val="P68B1DB1-Normal17"/>
              <w:spacing w:after="0" w:line="240" w:lineRule="auto"/>
              <w:rPr>
                <w:rFonts w:eastAsia="Times New Roman" w:cs="Times New Roman"/>
                <w:bCs/>
                <w:noProof/>
              </w:rPr>
            </w:pPr>
            <w:r>
              <w:rPr>
                <w:noProof/>
              </w:rPr>
              <w:t xml:space="preserve">6.3.1.4.i. </w:t>
            </w:r>
          </w:p>
          <w:p w14:paraId="2B3F5850" w14:textId="77777777" w:rsidR="008E6885" w:rsidRDefault="00EA24E7">
            <w:pPr>
              <w:pStyle w:val="P68B1DB1-Normal17"/>
              <w:spacing w:after="0" w:line="240" w:lineRule="auto"/>
              <w:rPr>
                <w:rFonts w:eastAsia="Times New Roman" w:cs="Times New Roman"/>
                <w:bCs/>
                <w:noProof/>
              </w:rPr>
            </w:pPr>
            <w:r>
              <w:rPr>
                <w:noProof/>
              </w:rPr>
              <w:t>Croissance des organisations non gouvernementales pour renforcer la représentation de la sécurité sociale et surveiller les intérêts publics</w:t>
            </w:r>
          </w:p>
        </w:tc>
        <w:tc>
          <w:tcPr>
            <w:tcW w:w="1418" w:type="dxa"/>
            <w:shd w:val="clear" w:color="auto" w:fill="C6EFCE"/>
            <w:hideMark/>
          </w:tcPr>
          <w:p w14:paraId="382BC10A" w14:textId="77777777" w:rsidR="008E6885" w:rsidRDefault="00EA24E7">
            <w:pPr>
              <w:pStyle w:val="P68B1DB1-Normal19"/>
              <w:spacing w:after="0" w:line="240" w:lineRule="auto"/>
              <w:rPr>
                <w:rFonts w:eastAsia="Times New Roman" w:cs="Times New Roman"/>
                <w:noProof/>
              </w:rPr>
            </w:pPr>
            <w:r>
              <w:rPr>
                <w:noProof/>
              </w:rPr>
              <w:t>Objectif</w:t>
            </w:r>
          </w:p>
        </w:tc>
        <w:tc>
          <w:tcPr>
            <w:tcW w:w="1559" w:type="dxa"/>
            <w:shd w:val="clear" w:color="auto" w:fill="C6EFCE"/>
            <w:hideMark/>
          </w:tcPr>
          <w:p w14:paraId="01997D85" w14:textId="77777777" w:rsidR="008E6885" w:rsidRDefault="00EA24E7">
            <w:pPr>
              <w:pStyle w:val="P68B1DB1-Normal19"/>
              <w:spacing w:after="0" w:line="240" w:lineRule="auto"/>
              <w:rPr>
                <w:rFonts w:eastAsia="Times New Roman" w:cs="Times New Roman"/>
                <w:noProof/>
              </w:rPr>
            </w:pPr>
            <w:r>
              <w:rPr>
                <w:noProof/>
              </w:rPr>
              <w:t xml:space="preserve">Bénéficiaires du programme de soutien </w:t>
            </w:r>
          </w:p>
        </w:tc>
        <w:tc>
          <w:tcPr>
            <w:tcW w:w="1843" w:type="dxa"/>
            <w:shd w:val="clear" w:color="auto" w:fill="C6EFCE"/>
            <w:hideMark/>
          </w:tcPr>
          <w:p w14:paraId="78710578"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1419" w:type="dxa"/>
            <w:shd w:val="clear" w:color="auto" w:fill="C6EFCE"/>
            <w:hideMark/>
          </w:tcPr>
          <w:p w14:paraId="22EBC89A" w14:textId="77777777" w:rsidR="008E6885" w:rsidRDefault="00EA24E7">
            <w:pPr>
              <w:pStyle w:val="P68B1DB1-Normal19"/>
              <w:spacing w:after="0" w:line="240" w:lineRule="auto"/>
              <w:jc w:val="center"/>
              <w:rPr>
                <w:rFonts w:eastAsia="Times New Roman" w:cs="Times New Roman"/>
                <w:noProof/>
              </w:rPr>
            </w:pPr>
            <w:r>
              <w:rPr>
                <w:noProof/>
              </w:rPr>
              <w:t>Nombre de bénéficiaires (y compris les partenaires) du programme d’aide</w:t>
            </w:r>
          </w:p>
        </w:tc>
        <w:tc>
          <w:tcPr>
            <w:tcW w:w="991" w:type="dxa"/>
            <w:shd w:val="clear" w:color="auto" w:fill="C6EFCE"/>
            <w:hideMark/>
          </w:tcPr>
          <w:p w14:paraId="4A7B92A3" w14:textId="77777777" w:rsidR="008E6885" w:rsidRDefault="00EA24E7">
            <w:pPr>
              <w:pStyle w:val="P68B1DB1-Normal19"/>
              <w:spacing w:after="0" w:line="240" w:lineRule="auto"/>
              <w:jc w:val="center"/>
              <w:rPr>
                <w:rFonts w:eastAsia="Times New Roman" w:cs="Times New Roman"/>
                <w:noProof/>
              </w:rPr>
            </w:pPr>
            <w:r>
              <w:rPr>
                <w:noProof/>
              </w:rPr>
              <w:t>0</w:t>
            </w:r>
          </w:p>
        </w:tc>
        <w:tc>
          <w:tcPr>
            <w:tcW w:w="851" w:type="dxa"/>
            <w:shd w:val="clear" w:color="auto" w:fill="C6EFCE"/>
            <w:hideMark/>
          </w:tcPr>
          <w:p w14:paraId="01B55721" w14:textId="77777777" w:rsidR="008E6885" w:rsidRDefault="00EA24E7">
            <w:pPr>
              <w:pStyle w:val="P68B1DB1-Normal19"/>
              <w:spacing w:after="0" w:line="240" w:lineRule="auto"/>
              <w:jc w:val="center"/>
              <w:rPr>
                <w:rFonts w:eastAsia="Times New Roman" w:cs="Times New Roman"/>
                <w:noProof/>
              </w:rPr>
            </w:pPr>
            <w:r>
              <w:rPr>
                <w:noProof/>
              </w:rPr>
              <w:t>30</w:t>
            </w:r>
          </w:p>
        </w:tc>
        <w:tc>
          <w:tcPr>
            <w:tcW w:w="992" w:type="dxa"/>
            <w:shd w:val="clear" w:color="auto" w:fill="C6EFCE"/>
            <w:hideMark/>
          </w:tcPr>
          <w:p w14:paraId="24DC2D49" w14:textId="77777777" w:rsidR="008E6885" w:rsidRDefault="00EA24E7">
            <w:pPr>
              <w:pStyle w:val="P68B1DB1-Normal19"/>
              <w:spacing w:after="0" w:line="240" w:lineRule="auto"/>
              <w:jc w:val="center"/>
              <w:rPr>
                <w:rFonts w:eastAsia="Times New Roman" w:cs="Times New Roman"/>
                <w:noProof/>
              </w:rPr>
            </w:pPr>
            <w:r>
              <w:rPr>
                <w:noProof/>
              </w:rPr>
              <w:t>T3</w:t>
            </w:r>
          </w:p>
        </w:tc>
        <w:tc>
          <w:tcPr>
            <w:tcW w:w="709" w:type="dxa"/>
            <w:shd w:val="clear" w:color="auto" w:fill="C6EFCE"/>
            <w:hideMark/>
          </w:tcPr>
          <w:p w14:paraId="2DC20803" w14:textId="77777777" w:rsidR="008E6885" w:rsidRDefault="00EA24E7">
            <w:pPr>
              <w:pStyle w:val="P68B1DB1-Normal19"/>
              <w:spacing w:after="0" w:line="240" w:lineRule="auto"/>
              <w:jc w:val="center"/>
              <w:rPr>
                <w:rFonts w:eastAsia="Times New Roman" w:cs="Times New Roman"/>
                <w:noProof/>
              </w:rPr>
            </w:pPr>
            <w:r>
              <w:rPr>
                <w:noProof/>
              </w:rPr>
              <w:t>2026</w:t>
            </w:r>
          </w:p>
        </w:tc>
        <w:tc>
          <w:tcPr>
            <w:tcW w:w="2835" w:type="dxa"/>
            <w:shd w:val="clear" w:color="auto" w:fill="C6EFCE"/>
            <w:hideMark/>
          </w:tcPr>
          <w:p w14:paraId="07BA384E" w14:textId="77777777" w:rsidR="008E6885" w:rsidRDefault="00EA24E7">
            <w:pPr>
              <w:pStyle w:val="P68B1DB1-Normal19"/>
              <w:spacing w:before="120" w:after="0" w:line="240" w:lineRule="auto"/>
              <w:jc w:val="both"/>
              <w:rPr>
                <w:rFonts w:eastAsia="Times New Roman" w:cs="Times New Roman"/>
                <w:noProof/>
              </w:rPr>
            </w:pPr>
            <w:r>
              <w:rPr>
                <w:noProof/>
              </w:rPr>
              <w:t>Le financement bénéficie à au moins 30 organisations non gouvernementales. L'indicateur cible est réputé atteint lorsqu'un contrat a été signé entre les organisations non gouvernementales et la Fondation pour l'intégration de la société pour l'exécution du projet.</w:t>
            </w:r>
          </w:p>
        </w:tc>
      </w:tr>
      <w:tr w:rsidR="008E6885" w14:paraId="09392817" w14:textId="77777777" w:rsidTr="00D57C89">
        <w:trPr>
          <w:trHeight w:val="300"/>
        </w:trPr>
        <w:tc>
          <w:tcPr>
            <w:tcW w:w="555" w:type="dxa"/>
            <w:shd w:val="clear" w:color="auto" w:fill="C6EFCE"/>
            <w:hideMark/>
          </w:tcPr>
          <w:p w14:paraId="660E6ED2" w14:textId="77777777" w:rsidR="008E6885" w:rsidRDefault="00EA24E7">
            <w:pPr>
              <w:pStyle w:val="P68B1DB1-Normal19"/>
              <w:spacing w:after="0" w:line="240" w:lineRule="auto"/>
              <w:jc w:val="both"/>
              <w:rPr>
                <w:rFonts w:eastAsia="Times New Roman" w:cs="Times New Roman"/>
                <w:noProof/>
              </w:rPr>
            </w:pPr>
            <w:r>
              <w:rPr>
                <w:noProof/>
              </w:rPr>
              <w:t>208</w:t>
            </w:r>
          </w:p>
        </w:tc>
        <w:tc>
          <w:tcPr>
            <w:tcW w:w="2139" w:type="dxa"/>
            <w:shd w:val="clear" w:color="auto" w:fill="C6EFCE"/>
            <w:hideMark/>
          </w:tcPr>
          <w:p w14:paraId="52BE4D5F" w14:textId="77777777" w:rsidR="008E6885" w:rsidRDefault="00EA24E7">
            <w:pPr>
              <w:pStyle w:val="P68B1DB1-Normal17"/>
              <w:spacing w:after="0" w:line="240" w:lineRule="auto"/>
              <w:rPr>
                <w:rFonts w:eastAsia="Times New Roman" w:cs="Times New Roman"/>
                <w:bCs/>
                <w:noProof/>
              </w:rPr>
            </w:pPr>
            <w:r>
              <w:rPr>
                <w:noProof/>
              </w:rPr>
              <w:t xml:space="preserve">6.4.1.r. </w:t>
            </w:r>
          </w:p>
          <w:p w14:paraId="69AB229B" w14:textId="77777777" w:rsidR="008E6885" w:rsidRDefault="00EA24E7">
            <w:pPr>
              <w:pStyle w:val="P68B1DB1-Normal17"/>
              <w:spacing w:after="0" w:line="240" w:lineRule="auto"/>
              <w:rPr>
                <w:rFonts w:eastAsia="Times New Roman" w:cs="Times New Roman"/>
                <w:bCs/>
                <w:noProof/>
              </w:rPr>
            </w:pPr>
            <w:r>
              <w:rPr>
                <w:noProof/>
              </w:rPr>
              <w:t>Création d'un registre des marchés publics</w:t>
            </w:r>
          </w:p>
        </w:tc>
        <w:tc>
          <w:tcPr>
            <w:tcW w:w="1418" w:type="dxa"/>
            <w:shd w:val="clear" w:color="auto" w:fill="C6EFCE"/>
            <w:hideMark/>
          </w:tcPr>
          <w:p w14:paraId="655B8021"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024F5A71" w14:textId="77777777" w:rsidR="008E6885" w:rsidRDefault="00EA24E7">
            <w:pPr>
              <w:pStyle w:val="P68B1DB1-Normal19"/>
              <w:spacing w:after="0" w:line="240" w:lineRule="auto"/>
              <w:rPr>
                <w:rFonts w:eastAsia="Times New Roman" w:cs="Times New Roman"/>
                <w:noProof/>
              </w:rPr>
            </w:pPr>
            <w:r>
              <w:rPr>
                <w:noProof/>
              </w:rPr>
              <w:t xml:space="preserve">Un registre des marchés publics mis à disposition </w:t>
            </w:r>
          </w:p>
        </w:tc>
        <w:tc>
          <w:tcPr>
            <w:tcW w:w="1843" w:type="dxa"/>
            <w:shd w:val="clear" w:color="auto" w:fill="C6EFCE"/>
            <w:hideMark/>
          </w:tcPr>
          <w:p w14:paraId="394D5C78" w14:textId="77777777" w:rsidR="008E6885" w:rsidRDefault="00EA24E7">
            <w:pPr>
              <w:pStyle w:val="P68B1DB1-Normal19"/>
              <w:spacing w:after="0" w:line="240" w:lineRule="auto"/>
              <w:rPr>
                <w:rFonts w:eastAsia="Times New Roman" w:cs="Times New Roman"/>
                <w:noProof/>
              </w:rPr>
            </w:pPr>
            <w:r>
              <w:rPr>
                <w:noProof/>
              </w:rPr>
              <w:t>Modifications de la législation sur les marchés publics et solution technique élaborée et disponible pour la production</w:t>
            </w:r>
          </w:p>
        </w:tc>
        <w:tc>
          <w:tcPr>
            <w:tcW w:w="1419" w:type="dxa"/>
            <w:shd w:val="clear" w:color="auto" w:fill="C6EFCE"/>
            <w:hideMark/>
          </w:tcPr>
          <w:p w14:paraId="67E14302"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47D48548"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3F0A0807"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7EE2CB75"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5DA43C51" w14:textId="77777777" w:rsidR="008E6885" w:rsidRDefault="00EA24E7">
            <w:pPr>
              <w:pStyle w:val="P68B1DB1-Normal19"/>
              <w:spacing w:after="0" w:line="240" w:lineRule="auto"/>
              <w:jc w:val="center"/>
              <w:rPr>
                <w:rFonts w:eastAsia="Times New Roman" w:cs="Times New Roman"/>
                <w:noProof/>
              </w:rPr>
            </w:pPr>
            <w:r>
              <w:rPr>
                <w:noProof/>
              </w:rPr>
              <w:t>2022</w:t>
            </w:r>
          </w:p>
        </w:tc>
        <w:tc>
          <w:tcPr>
            <w:tcW w:w="2835" w:type="dxa"/>
            <w:shd w:val="clear" w:color="auto" w:fill="C6EFCE"/>
            <w:hideMark/>
          </w:tcPr>
          <w:p w14:paraId="34007B7A" w14:textId="423A0610" w:rsidR="008E6885" w:rsidRDefault="00EA24E7">
            <w:pPr>
              <w:pStyle w:val="P68B1DB1-Normal19"/>
              <w:spacing w:after="0" w:line="240" w:lineRule="auto"/>
              <w:jc w:val="both"/>
              <w:rPr>
                <w:rFonts w:eastAsia="Times New Roman" w:cs="Times New Roman"/>
                <w:noProof/>
              </w:rPr>
            </w:pPr>
            <w:r>
              <w:rPr>
                <w:noProof/>
              </w:rPr>
              <w:t>Des modifications de la législation régissant les marchés publics sont entrées en vigueur, prévoyant un registre des contrats contenant des informations structurées sur les marchés conclus et leur exécution effective (y compris les coûts réels et les délais ou le motif de la résiliation).</w:t>
            </w:r>
          </w:p>
          <w:p w14:paraId="118DD536" w14:textId="77777777" w:rsidR="008E6885" w:rsidRDefault="00EA24E7">
            <w:pPr>
              <w:pStyle w:val="P68B1DB1-Normal19"/>
              <w:spacing w:after="0" w:line="240" w:lineRule="auto"/>
              <w:jc w:val="both"/>
              <w:rPr>
                <w:rFonts w:eastAsia="Times New Roman" w:cs="Times New Roman"/>
                <w:noProof/>
              </w:rPr>
            </w:pPr>
            <w:r>
              <w:rPr>
                <w:noProof/>
              </w:rPr>
              <w:t>Une solution technique pour le registre des marchés publics a été élaborée et mise à disposition en ligne.</w:t>
            </w:r>
          </w:p>
        </w:tc>
      </w:tr>
      <w:tr w:rsidR="008E6885" w14:paraId="166468D3" w14:textId="77777777" w:rsidTr="00D57C89">
        <w:trPr>
          <w:trHeight w:val="300"/>
        </w:trPr>
        <w:tc>
          <w:tcPr>
            <w:tcW w:w="555" w:type="dxa"/>
            <w:shd w:val="clear" w:color="auto" w:fill="C6EFCE"/>
            <w:hideMark/>
          </w:tcPr>
          <w:p w14:paraId="70C39D4F" w14:textId="77777777" w:rsidR="008E6885" w:rsidRDefault="00EA24E7">
            <w:pPr>
              <w:pStyle w:val="P68B1DB1-Normal19"/>
              <w:spacing w:after="0" w:line="240" w:lineRule="auto"/>
              <w:jc w:val="both"/>
              <w:rPr>
                <w:rFonts w:eastAsia="Times New Roman" w:cs="Times New Roman"/>
                <w:noProof/>
              </w:rPr>
            </w:pPr>
            <w:r>
              <w:rPr>
                <w:noProof/>
              </w:rPr>
              <w:t>209</w:t>
            </w:r>
          </w:p>
        </w:tc>
        <w:tc>
          <w:tcPr>
            <w:tcW w:w="2139" w:type="dxa"/>
            <w:shd w:val="clear" w:color="auto" w:fill="C6EFCE"/>
            <w:hideMark/>
          </w:tcPr>
          <w:p w14:paraId="1B76C292" w14:textId="77777777" w:rsidR="008E6885" w:rsidRDefault="00EA24E7">
            <w:pPr>
              <w:pStyle w:val="P68B1DB1-Normal17"/>
              <w:spacing w:after="0" w:line="240" w:lineRule="auto"/>
              <w:rPr>
                <w:rFonts w:eastAsia="Times New Roman" w:cs="Times New Roman"/>
                <w:bCs/>
                <w:noProof/>
              </w:rPr>
            </w:pPr>
            <w:r>
              <w:rPr>
                <w:noProof/>
              </w:rPr>
              <w:t>6.4.2.r. Amélioration de l'environnement de la concurrence</w:t>
            </w:r>
          </w:p>
        </w:tc>
        <w:tc>
          <w:tcPr>
            <w:tcW w:w="1418" w:type="dxa"/>
            <w:shd w:val="clear" w:color="auto" w:fill="C6EFCE"/>
            <w:hideMark/>
          </w:tcPr>
          <w:p w14:paraId="36131542"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152363FD" w14:textId="77777777" w:rsidR="008E6885" w:rsidRDefault="00EA24E7">
            <w:pPr>
              <w:pStyle w:val="P68B1DB1-Normal19"/>
              <w:spacing w:after="0" w:line="240" w:lineRule="auto"/>
              <w:rPr>
                <w:rFonts w:eastAsia="Times New Roman" w:cs="Times New Roman"/>
                <w:noProof/>
              </w:rPr>
            </w:pPr>
            <w:r>
              <w:rPr>
                <w:noProof/>
              </w:rPr>
              <w:t>Entrée en vigueur du cadre réglementaire visant à améliorer l’environnement concurrentiel et à réduire les risques de corruption dans les marchés publics</w:t>
            </w:r>
          </w:p>
        </w:tc>
        <w:tc>
          <w:tcPr>
            <w:tcW w:w="1843" w:type="dxa"/>
            <w:shd w:val="clear" w:color="auto" w:fill="C6EFCE"/>
            <w:hideMark/>
          </w:tcPr>
          <w:p w14:paraId="09BFA0AE"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1419" w:type="dxa"/>
            <w:shd w:val="clear" w:color="auto" w:fill="C6EFCE"/>
            <w:hideMark/>
          </w:tcPr>
          <w:p w14:paraId="1783D66E"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37C5FBAD"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4154DACA"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6F5A4109"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747DE54F" w14:textId="77777777" w:rsidR="008E6885" w:rsidRDefault="00EA24E7">
            <w:pPr>
              <w:pStyle w:val="P68B1DB1-Normal19"/>
              <w:spacing w:after="0" w:line="240" w:lineRule="auto"/>
              <w:jc w:val="center"/>
              <w:rPr>
                <w:rFonts w:eastAsia="Times New Roman" w:cs="Times New Roman"/>
                <w:noProof/>
              </w:rPr>
            </w:pPr>
            <w:r>
              <w:rPr>
                <w:noProof/>
              </w:rPr>
              <w:t>2021</w:t>
            </w:r>
          </w:p>
        </w:tc>
        <w:tc>
          <w:tcPr>
            <w:tcW w:w="2835" w:type="dxa"/>
            <w:shd w:val="clear" w:color="auto" w:fill="C6EFCE"/>
            <w:hideMark/>
          </w:tcPr>
          <w:p w14:paraId="1CD30F66" w14:textId="77777777" w:rsidR="008E6885" w:rsidRDefault="00EA24E7">
            <w:pPr>
              <w:pStyle w:val="P68B1DB1-Normal19"/>
              <w:spacing w:after="0" w:line="240" w:lineRule="auto"/>
              <w:jc w:val="both"/>
              <w:rPr>
                <w:rFonts w:eastAsia="Times New Roman" w:cs="Times New Roman"/>
                <w:noProof/>
              </w:rPr>
            </w:pPr>
            <w:r>
              <w:rPr>
                <w:noProof/>
              </w:rPr>
              <w:t>Entrée en vigueur des modifications de la loi sur les marchés publics, y compris, entre autres, les modifications suivantes:</w:t>
            </w:r>
          </w:p>
          <w:p w14:paraId="68026DBB" w14:textId="77777777" w:rsidR="008E6885" w:rsidRDefault="00EA24E7">
            <w:pPr>
              <w:pStyle w:val="P68B1DB1-Normal19"/>
              <w:spacing w:after="0" w:line="240" w:lineRule="auto"/>
              <w:jc w:val="both"/>
              <w:rPr>
                <w:rFonts w:eastAsia="Times New Roman" w:cs="Times New Roman"/>
                <w:noProof/>
              </w:rPr>
            </w:pPr>
            <w:r>
              <w:rPr>
                <w:noProof/>
              </w:rPr>
              <w:t>1) La commission des achats est établie pour chaque achat séparément ou pour une période déterminée;</w:t>
            </w:r>
          </w:p>
          <w:p w14:paraId="4038892F" w14:textId="77777777" w:rsidR="008E6885" w:rsidRDefault="00EA24E7">
            <w:pPr>
              <w:pStyle w:val="P68B1DB1-Normal19"/>
              <w:spacing w:after="0" w:line="240" w:lineRule="auto"/>
              <w:jc w:val="both"/>
              <w:rPr>
                <w:rFonts w:eastAsia="Times New Roman" w:cs="Times New Roman"/>
                <w:noProof/>
              </w:rPr>
            </w:pPr>
            <w:r>
              <w:rPr>
                <w:noProof/>
              </w:rPr>
              <w:t>2) le secrétaire de la commission des marchés publics signe une déclaration d'absence de conflit d'intérêts;</w:t>
            </w:r>
          </w:p>
          <w:p w14:paraId="53F39947" w14:textId="77777777" w:rsidR="008E6885" w:rsidRDefault="00EA24E7">
            <w:pPr>
              <w:pStyle w:val="P68B1DB1-Normal19"/>
              <w:spacing w:after="0" w:line="240" w:lineRule="auto"/>
              <w:jc w:val="both"/>
              <w:rPr>
                <w:rFonts w:eastAsia="Times New Roman" w:cs="Times New Roman"/>
                <w:noProof/>
              </w:rPr>
            </w:pPr>
            <w:r>
              <w:rPr>
                <w:noProof/>
              </w:rPr>
              <w:t>3) les cas élargis où un fournisseur peut être exclu de l'appel d'offres;</w:t>
            </w:r>
          </w:p>
          <w:p w14:paraId="434C2464" w14:textId="77777777" w:rsidR="008E6885" w:rsidRDefault="00EA24E7">
            <w:pPr>
              <w:pStyle w:val="P68B1DB1-Normal19"/>
              <w:spacing w:after="0" w:line="240" w:lineRule="auto"/>
              <w:jc w:val="both"/>
              <w:rPr>
                <w:rFonts w:eastAsia="Times New Roman" w:cs="Times New Roman"/>
                <w:noProof/>
              </w:rPr>
            </w:pPr>
            <w:r>
              <w:rPr>
                <w:noProof/>
              </w:rPr>
              <w:t xml:space="preserve">4) les critères d'évaluation identifient des domaines spécifiques dans lesquels les coûts du cycle de vie et les critères de qualité doivent être évalués en plus du prix d'achat; </w:t>
            </w:r>
          </w:p>
          <w:p w14:paraId="5B1CE3DF" w14:textId="77777777" w:rsidR="008E6885" w:rsidRDefault="00EA24E7">
            <w:pPr>
              <w:pStyle w:val="P68B1DB1-Normal19"/>
              <w:spacing w:after="0" w:line="240" w:lineRule="auto"/>
              <w:jc w:val="both"/>
              <w:rPr>
                <w:rFonts w:eastAsia="Times New Roman" w:cs="Times New Roman"/>
                <w:noProof/>
              </w:rPr>
            </w:pPr>
            <w:r>
              <w:rPr>
                <w:noProof/>
              </w:rPr>
              <w:t xml:space="preserve">5) des exigences plus strictes pour les cas avec une seule offre; </w:t>
            </w:r>
          </w:p>
          <w:p w14:paraId="7E5ED027" w14:textId="77777777" w:rsidR="008E6885" w:rsidRDefault="00EA24E7">
            <w:pPr>
              <w:pStyle w:val="P68B1DB1-Normal19"/>
              <w:spacing w:after="0" w:line="240" w:lineRule="auto"/>
              <w:jc w:val="both"/>
              <w:rPr>
                <w:rFonts w:eastAsia="Times New Roman" w:cs="Times New Roman"/>
                <w:noProof/>
              </w:rPr>
            </w:pPr>
            <w:r>
              <w:rPr>
                <w:noProof/>
              </w:rPr>
              <w:t>6) l'exigence d'une consultation du marché afin d'éviter des spécifications techniques restrictives.</w:t>
            </w:r>
          </w:p>
        </w:tc>
      </w:tr>
      <w:tr w:rsidR="008E6885" w14:paraId="7143CB72" w14:textId="77777777" w:rsidTr="00D57C89">
        <w:trPr>
          <w:trHeight w:val="300"/>
        </w:trPr>
        <w:tc>
          <w:tcPr>
            <w:tcW w:w="555" w:type="dxa"/>
            <w:shd w:val="clear" w:color="auto" w:fill="C6EFCE"/>
            <w:hideMark/>
          </w:tcPr>
          <w:p w14:paraId="2516157C" w14:textId="77777777" w:rsidR="008E6885" w:rsidRDefault="00EA24E7">
            <w:pPr>
              <w:pStyle w:val="P68B1DB1-Normal19"/>
              <w:spacing w:after="0" w:line="240" w:lineRule="auto"/>
              <w:jc w:val="both"/>
              <w:rPr>
                <w:rFonts w:eastAsia="Times New Roman" w:cs="Times New Roman"/>
                <w:noProof/>
              </w:rPr>
            </w:pPr>
            <w:r>
              <w:rPr>
                <w:noProof/>
              </w:rPr>
              <w:t>210</w:t>
            </w:r>
          </w:p>
        </w:tc>
        <w:tc>
          <w:tcPr>
            <w:tcW w:w="2139" w:type="dxa"/>
            <w:shd w:val="clear" w:color="auto" w:fill="C6EFCE"/>
            <w:hideMark/>
          </w:tcPr>
          <w:p w14:paraId="5B42FDAD" w14:textId="77777777" w:rsidR="008E6885" w:rsidRDefault="00EA24E7">
            <w:pPr>
              <w:pStyle w:val="P68B1DB1-Normal17"/>
              <w:spacing w:after="0" w:line="240" w:lineRule="auto"/>
              <w:rPr>
                <w:rFonts w:eastAsia="Times New Roman" w:cs="Times New Roman"/>
                <w:bCs/>
                <w:noProof/>
              </w:rPr>
            </w:pPr>
            <w:r>
              <w:rPr>
                <w:noProof/>
              </w:rPr>
              <w:t xml:space="preserve">6.4.3.r. Élaboration et mise en œuvre d'une stratégie de professionnalisation </w:t>
            </w:r>
          </w:p>
        </w:tc>
        <w:tc>
          <w:tcPr>
            <w:tcW w:w="1418" w:type="dxa"/>
            <w:shd w:val="clear" w:color="auto" w:fill="C6EFCE"/>
            <w:hideMark/>
          </w:tcPr>
          <w:p w14:paraId="340AC890"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1CBD19AD" w14:textId="77777777" w:rsidR="008E6885" w:rsidRDefault="00EA24E7">
            <w:pPr>
              <w:pStyle w:val="P68B1DB1-Normal19"/>
              <w:spacing w:after="0" w:line="240" w:lineRule="auto"/>
              <w:rPr>
                <w:rFonts w:eastAsia="Times New Roman" w:cs="Times New Roman"/>
                <w:noProof/>
              </w:rPr>
            </w:pPr>
            <w:r>
              <w:rPr>
                <w:noProof/>
              </w:rPr>
              <w:t>Adoption d'une stratégie de professionnalisation des proxénètes</w:t>
            </w:r>
          </w:p>
        </w:tc>
        <w:tc>
          <w:tcPr>
            <w:tcW w:w="1843" w:type="dxa"/>
            <w:shd w:val="clear" w:color="auto" w:fill="C6EFCE"/>
            <w:hideMark/>
          </w:tcPr>
          <w:p w14:paraId="1D8EC1C4" w14:textId="77777777" w:rsidR="008E6885" w:rsidRDefault="00EA24E7">
            <w:pPr>
              <w:pStyle w:val="P68B1DB1-Normal19"/>
              <w:spacing w:after="0" w:line="240" w:lineRule="auto"/>
              <w:rPr>
                <w:rFonts w:eastAsia="Times New Roman" w:cs="Times New Roman"/>
                <w:noProof/>
              </w:rPr>
            </w:pPr>
            <w:r>
              <w:rPr>
                <w:noProof/>
              </w:rPr>
              <w:t>Une stratégie a été adoptée</w:t>
            </w:r>
          </w:p>
        </w:tc>
        <w:tc>
          <w:tcPr>
            <w:tcW w:w="1419" w:type="dxa"/>
            <w:shd w:val="clear" w:color="auto" w:fill="C6EFCE"/>
            <w:hideMark/>
          </w:tcPr>
          <w:p w14:paraId="08AC2D5C"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5054DBE4"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62849FE1"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14F663B7" w14:textId="77777777" w:rsidR="008E6885" w:rsidRDefault="00EA24E7">
            <w:pPr>
              <w:pStyle w:val="P68B1DB1-Normal19"/>
              <w:spacing w:after="0" w:line="240" w:lineRule="auto"/>
              <w:jc w:val="center"/>
              <w:rPr>
                <w:rFonts w:eastAsia="Times New Roman" w:cs="Times New Roman"/>
                <w:noProof/>
              </w:rPr>
            </w:pPr>
            <w:r>
              <w:rPr>
                <w:noProof/>
              </w:rPr>
              <w:t>T1</w:t>
            </w:r>
          </w:p>
        </w:tc>
        <w:tc>
          <w:tcPr>
            <w:tcW w:w="709" w:type="dxa"/>
            <w:shd w:val="clear" w:color="auto" w:fill="C6EFCE"/>
            <w:hideMark/>
          </w:tcPr>
          <w:p w14:paraId="4B5C2950" w14:textId="77777777" w:rsidR="008E6885" w:rsidRDefault="00EA24E7">
            <w:pPr>
              <w:pStyle w:val="P68B1DB1-Normal19"/>
              <w:spacing w:after="0" w:line="240" w:lineRule="auto"/>
              <w:jc w:val="center"/>
              <w:rPr>
                <w:rFonts w:eastAsia="Times New Roman" w:cs="Times New Roman"/>
                <w:noProof/>
              </w:rPr>
            </w:pPr>
            <w:r>
              <w:rPr>
                <w:noProof/>
              </w:rPr>
              <w:t>2022</w:t>
            </w:r>
          </w:p>
        </w:tc>
        <w:tc>
          <w:tcPr>
            <w:tcW w:w="2835" w:type="dxa"/>
            <w:shd w:val="clear" w:color="auto" w:fill="C6EFCE"/>
            <w:hideMark/>
          </w:tcPr>
          <w:p w14:paraId="29A9C6FE" w14:textId="77777777" w:rsidR="008E6885" w:rsidRDefault="00EA24E7">
            <w:pPr>
              <w:pStyle w:val="P68B1DB1-Normal19"/>
              <w:spacing w:after="0" w:line="240" w:lineRule="auto"/>
              <w:jc w:val="both"/>
              <w:rPr>
                <w:rFonts w:eastAsia="Times New Roman" w:cs="Times New Roman"/>
                <w:noProof/>
              </w:rPr>
            </w:pPr>
            <w:r>
              <w:rPr>
                <w:noProof/>
              </w:rPr>
              <w:t>Adoption d’une stratégie de professionnalisation comprenant des orientations d’action spécifiques pour la compétence des acheteurs et pour la réalisation de marchés publics centralisés.</w:t>
            </w:r>
          </w:p>
        </w:tc>
      </w:tr>
      <w:tr w:rsidR="008E6885" w14:paraId="5E57D36A" w14:textId="77777777" w:rsidTr="00D57C89">
        <w:trPr>
          <w:trHeight w:val="300"/>
        </w:trPr>
        <w:tc>
          <w:tcPr>
            <w:tcW w:w="555" w:type="dxa"/>
            <w:shd w:val="clear" w:color="auto" w:fill="C6EFCE"/>
            <w:hideMark/>
          </w:tcPr>
          <w:p w14:paraId="50E0D810" w14:textId="77777777" w:rsidR="008E6885" w:rsidRDefault="00EA24E7">
            <w:pPr>
              <w:pStyle w:val="P68B1DB1-Normal19"/>
              <w:spacing w:after="0" w:line="240" w:lineRule="auto"/>
              <w:jc w:val="both"/>
              <w:rPr>
                <w:rFonts w:eastAsia="Times New Roman" w:cs="Times New Roman"/>
                <w:noProof/>
              </w:rPr>
            </w:pPr>
            <w:r>
              <w:rPr>
                <w:noProof/>
              </w:rPr>
              <w:t>211</w:t>
            </w:r>
          </w:p>
        </w:tc>
        <w:tc>
          <w:tcPr>
            <w:tcW w:w="2139" w:type="dxa"/>
            <w:shd w:val="clear" w:color="auto" w:fill="C6EFCE"/>
            <w:hideMark/>
          </w:tcPr>
          <w:p w14:paraId="5CCDBD32" w14:textId="77777777" w:rsidR="008E6885" w:rsidRDefault="00EA24E7">
            <w:pPr>
              <w:pStyle w:val="P68B1DB1-Normal17"/>
              <w:spacing w:after="0" w:line="240" w:lineRule="auto"/>
              <w:rPr>
                <w:rFonts w:eastAsia="Times New Roman" w:cs="Times New Roman"/>
                <w:bCs/>
                <w:noProof/>
              </w:rPr>
            </w:pPr>
            <w:r>
              <w:rPr>
                <w:noProof/>
              </w:rPr>
              <w:t xml:space="preserve">6.4.3.r. Élaboration et mise en œuvre d'une stratégie de professionnalisation </w:t>
            </w:r>
          </w:p>
        </w:tc>
        <w:tc>
          <w:tcPr>
            <w:tcW w:w="1418" w:type="dxa"/>
            <w:shd w:val="clear" w:color="auto" w:fill="C6EFCE"/>
            <w:hideMark/>
          </w:tcPr>
          <w:p w14:paraId="5BE009C5"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3CE3A5E8" w14:textId="77777777" w:rsidR="008E6885" w:rsidRDefault="00EA24E7">
            <w:pPr>
              <w:pStyle w:val="P68B1DB1-Normal19"/>
              <w:spacing w:after="0" w:line="240" w:lineRule="auto"/>
              <w:rPr>
                <w:rFonts w:eastAsia="Times New Roman" w:cs="Times New Roman"/>
                <w:noProof/>
              </w:rPr>
            </w:pPr>
            <w:r>
              <w:rPr>
                <w:noProof/>
              </w:rPr>
              <w:t>Modifications des actes juridiques, des règlements et des procédures internes pertinents</w:t>
            </w:r>
          </w:p>
        </w:tc>
        <w:tc>
          <w:tcPr>
            <w:tcW w:w="1843" w:type="dxa"/>
            <w:shd w:val="clear" w:color="auto" w:fill="C6EFCE"/>
            <w:hideMark/>
          </w:tcPr>
          <w:p w14:paraId="046078DF" w14:textId="77777777" w:rsidR="008E6885" w:rsidRDefault="00EA24E7">
            <w:pPr>
              <w:pStyle w:val="P68B1DB1-Normal19"/>
              <w:spacing w:after="0" w:line="240" w:lineRule="auto"/>
              <w:rPr>
                <w:rFonts w:eastAsia="Times New Roman" w:cs="Times New Roman"/>
                <w:noProof/>
              </w:rPr>
            </w:pPr>
            <w:r>
              <w:rPr>
                <w:noProof/>
              </w:rPr>
              <w:t>Entrée en vigueur des modifications apportées aux actes juridiques, règlements ou procédures internes pertinents</w:t>
            </w:r>
          </w:p>
        </w:tc>
        <w:tc>
          <w:tcPr>
            <w:tcW w:w="1419" w:type="dxa"/>
            <w:shd w:val="clear" w:color="auto" w:fill="C6EFCE"/>
            <w:hideMark/>
          </w:tcPr>
          <w:p w14:paraId="0409B059"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02BEF5B1"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72E432FB"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3784C36B"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7B49B091" w14:textId="77777777" w:rsidR="008E6885" w:rsidRDefault="00EA24E7">
            <w:pPr>
              <w:pStyle w:val="P68B1DB1-Normal19"/>
              <w:spacing w:after="0" w:line="240" w:lineRule="auto"/>
              <w:jc w:val="center"/>
              <w:rPr>
                <w:rFonts w:eastAsia="Times New Roman" w:cs="Times New Roman"/>
                <w:noProof/>
              </w:rPr>
            </w:pPr>
            <w:r>
              <w:rPr>
                <w:noProof/>
              </w:rPr>
              <w:t>2022</w:t>
            </w:r>
          </w:p>
        </w:tc>
        <w:tc>
          <w:tcPr>
            <w:tcW w:w="2835" w:type="dxa"/>
            <w:shd w:val="clear" w:color="auto" w:fill="C6EFCE"/>
            <w:hideMark/>
          </w:tcPr>
          <w:p w14:paraId="55079C91" w14:textId="77777777" w:rsidR="008E6885" w:rsidRDefault="00EA24E7">
            <w:pPr>
              <w:pStyle w:val="P68B1DB1-Normal19"/>
              <w:spacing w:after="0" w:line="240" w:lineRule="auto"/>
              <w:jc w:val="both"/>
              <w:rPr>
                <w:rFonts w:eastAsia="Times New Roman" w:cs="Times New Roman"/>
                <w:noProof/>
              </w:rPr>
            </w:pPr>
            <w:r>
              <w:rPr>
                <w:noProof/>
              </w:rPr>
              <w:t xml:space="preserve">L'adoption des textes suivants est achevée: </w:t>
            </w:r>
          </w:p>
          <w:p w14:paraId="200E441D" w14:textId="77777777" w:rsidR="008E6885" w:rsidRDefault="00EA24E7">
            <w:pPr>
              <w:pStyle w:val="P68B1DB1-Normal19"/>
              <w:spacing w:after="0" w:line="240" w:lineRule="auto"/>
              <w:jc w:val="both"/>
              <w:rPr>
                <w:rFonts w:eastAsia="Times New Roman" w:cs="Times New Roman"/>
                <w:noProof/>
              </w:rPr>
            </w:pPr>
            <w:r>
              <w:rPr>
                <w:noProof/>
              </w:rPr>
              <w:t xml:space="preserve">(1) Exigences de qualification normalisées par secteur (technologies de l’information et de la communication, construction, transport routier, services de communications mobiles et fixes), 2) documents normalisés de réception-transfert dans les marchés de travaux, 3) accès du public aux matériaux méthodologiques, 4) un programme de formation unique pour garantir que la compétence des acheteurs a été développée et mise en œuvre, 5) des exigences accrues pour la compétence de la commission des marchés publics dans les marchés atteignant un certain seuil de prix des marchés, par exemple la certification au président de la commission des marchés publics, 6) la vérification préalable des marchés garantissent que la commission des marchés publics annonce la qualité appropriée des offres. </w:t>
            </w:r>
          </w:p>
        </w:tc>
      </w:tr>
      <w:tr w:rsidR="008E6885" w14:paraId="08377594" w14:textId="77777777" w:rsidTr="00D57C89">
        <w:trPr>
          <w:trHeight w:val="300"/>
        </w:trPr>
        <w:tc>
          <w:tcPr>
            <w:tcW w:w="555" w:type="dxa"/>
            <w:shd w:val="clear" w:color="auto" w:fill="C6EFCE"/>
            <w:hideMark/>
          </w:tcPr>
          <w:p w14:paraId="6A568344" w14:textId="77777777" w:rsidR="008E6885" w:rsidRDefault="00EA24E7">
            <w:pPr>
              <w:pStyle w:val="P68B1DB1-Normal19"/>
              <w:spacing w:after="0" w:line="240" w:lineRule="auto"/>
              <w:jc w:val="both"/>
              <w:rPr>
                <w:rFonts w:eastAsia="Times New Roman" w:cs="Times New Roman"/>
                <w:noProof/>
              </w:rPr>
            </w:pPr>
            <w:r>
              <w:rPr>
                <w:noProof/>
              </w:rPr>
              <w:t>212</w:t>
            </w:r>
          </w:p>
        </w:tc>
        <w:tc>
          <w:tcPr>
            <w:tcW w:w="2139" w:type="dxa"/>
            <w:shd w:val="clear" w:color="auto" w:fill="C6EFCE"/>
            <w:hideMark/>
          </w:tcPr>
          <w:p w14:paraId="13F6A7EA" w14:textId="77777777" w:rsidR="008E6885" w:rsidRDefault="00EA24E7">
            <w:pPr>
              <w:pStyle w:val="P68B1DB1-Normal17"/>
              <w:spacing w:after="0" w:line="240" w:lineRule="auto"/>
              <w:rPr>
                <w:rFonts w:eastAsia="Times New Roman" w:cs="Times New Roman"/>
                <w:bCs/>
                <w:noProof/>
              </w:rPr>
            </w:pPr>
            <w:r>
              <w:rPr>
                <w:noProof/>
              </w:rPr>
              <w:t xml:space="preserve">6.4.3.r. Élaboration et mise en œuvre d'une stratégie de professionnalisation </w:t>
            </w:r>
          </w:p>
        </w:tc>
        <w:tc>
          <w:tcPr>
            <w:tcW w:w="1418" w:type="dxa"/>
            <w:shd w:val="clear" w:color="auto" w:fill="C6EFCE"/>
            <w:hideMark/>
          </w:tcPr>
          <w:p w14:paraId="7894782C"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72D32AB7" w14:textId="77777777" w:rsidR="008E6885" w:rsidRDefault="00EA24E7">
            <w:pPr>
              <w:pStyle w:val="P68B1DB1-Normal19"/>
              <w:spacing w:after="0" w:line="240" w:lineRule="auto"/>
              <w:rPr>
                <w:rFonts w:eastAsia="Times New Roman" w:cs="Times New Roman"/>
                <w:noProof/>
              </w:rPr>
            </w:pPr>
            <w:r>
              <w:rPr>
                <w:noProof/>
              </w:rPr>
              <w:t xml:space="preserve">Centralisation des achats </w:t>
            </w:r>
          </w:p>
        </w:tc>
        <w:tc>
          <w:tcPr>
            <w:tcW w:w="1843" w:type="dxa"/>
            <w:shd w:val="clear" w:color="auto" w:fill="C6EFCE"/>
            <w:hideMark/>
          </w:tcPr>
          <w:p w14:paraId="2A1A9CB4" w14:textId="77777777" w:rsidR="008E6885" w:rsidRDefault="00EA24E7">
            <w:pPr>
              <w:pStyle w:val="P68B1DB1-Normal19"/>
              <w:spacing w:after="0" w:line="240" w:lineRule="auto"/>
              <w:rPr>
                <w:rFonts w:eastAsia="Times New Roman" w:cs="Times New Roman"/>
                <w:noProof/>
              </w:rPr>
            </w:pPr>
            <w:r>
              <w:rPr>
                <w:noProof/>
              </w:rPr>
              <w:t>Entrée en vigueur de la décision du Conseil des ministres</w:t>
            </w:r>
          </w:p>
        </w:tc>
        <w:tc>
          <w:tcPr>
            <w:tcW w:w="1419" w:type="dxa"/>
            <w:shd w:val="clear" w:color="auto" w:fill="C6EFCE"/>
            <w:hideMark/>
          </w:tcPr>
          <w:p w14:paraId="59FA605C"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754F8162"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06239640"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1E47BC4A" w14:textId="77777777" w:rsidR="008E6885" w:rsidRDefault="00EA24E7">
            <w:pPr>
              <w:pStyle w:val="P68B1DB1-Normal19"/>
              <w:spacing w:after="0" w:line="240" w:lineRule="auto"/>
              <w:jc w:val="center"/>
              <w:rPr>
                <w:rFonts w:eastAsia="Times New Roman" w:cs="Times New Roman"/>
                <w:noProof/>
              </w:rPr>
            </w:pPr>
            <w:r>
              <w:rPr>
                <w:noProof/>
              </w:rPr>
              <w:t>T3</w:t>
            </w:r>
          </w:p>
        </w:tc>
        <w:tc>
          <w:tcPr>
            <w:tcW w:w="709" w:type="dxa"/>
            <w:shd w:val="clear" w:color="auto" w:fill="C6EFCE"/>
            <w:hideMark/>
          </w:tcPr>
          <w:p w14:paraId="410F2EB6" w14:textId="77777777" w:rsidR="008E6885" w:rsidRDefault="00EA24E7">
            <w:pPr>
              <w:pStyle w:val="P68B1DB1-Normal19"/>
              <w:spacing w:after="0" w:line="240" w:lineRule="auto"/>
              <w:jc w:val="center"/>
              <w:rPr>
                <w:rFonts w:eastAsia="Times New Roman" w:cs="Times New Roman"/>
                <w:noProof/>
              </w:rPr>
            </w:pPr>
            <w:r>
              <w:rPr>
                <w:noProof/>
              </w:rPr>
              <w:t>2026</w:t>
            </w:r>
          </w:p>
        </w:tc>
        <w:tc>
          <w:tcPr>
            <w:tcW w:w="2835" w:type="dxa"/>
            <w:shd w:val="clear" w:color="auto" w:fill="C6EFCE"/>
            <w:hideMark/>
          </w:tcPr>
          <w:p w14:paraId="7E7FCF0F" w14:textId="77777777" w:rsidR="008E6885" w:rsidRDefault="00EA24E7">
            <w:pPr>
              <w:pStyle w:val="P68B1DB1-Normal19"/>
              <w:spacing w:after="0" w:line="240" w:lineRule="auto"/>
              <w:jc w:val="both"/>
              <w:rPr>
                <w:rFonts w:eastAsia="Times New Roman" w:cs="Times New Roman"/>
                <w:noProof/>
              </w:rPr>
            </w:pPr>
            <w:r>
              <w:rPr>
                <w:noProof/>
              </w:rPr>
              <w:t>Entrée en vigueur d’une décision du cabinet des ministres sur l’exécution de marchés publics centralisés, par exemple dans les domaines des véhicules, des services de transport et de l’électricité.</w:t>
            </w:r>
          </w:p>
        </w:tc>
      </w:tr>
      <w:tr w:rsidR="008E6885" w14:paraId="1524E04B" w14:textId="77777777" w:rsidTr="00D57C89">
        <w:trPr>
          <w:trHeight w:val="300"/>
        </w:trPr>
        <w:tc>
          <w:tcPr>
            <w:tcW w:w="555" w:type="dxa"/>
            <w:shd w:val="clear" w:color="auto" w:fill="C6EFCE"/>
            <w:hideMark/>
          </w:tcPr>
          <w:p w14:paraId="52A65D72" w14:textId="77777777" w:rsidR="008E6885" w:rsidRDefault="00EA24E7">
            <w:pPr>
              <w:pStyle w:val="P68B1DB1-Normal19"/>
              <w:spacing w:after="0" w:line="240" w:lineRule="auto"/>
              <w:jc w:val="both"/>
              <w:rPr>
                <w:rFonts w:eastAsia="Times New Roman" w:cs="Times New Roman"/>
                <w:noProof/>
              </w:rPr>
            </w:pPr>
            <w:r>
              <w:rPr>
                <w:noProof/>
              </w:rPr>
              <w:t>213</w:t>
            </w:r>
          </w:p>
        </w:tc>
        <w:tc>
          <w:tcPr>
            <w:tcW w:w="2139" w:type="dxa"/>
            <w:shd w:val="clear" w:color="auto" w:fill="C6EFCE"/>
            <w:hideMark/>
          </w:tcPr>
          <w:p w14:paraId="535BBE79" w14:textId="77777777" w:rsidR="008E6885" w:rsidRDefault="00EA24E7">
            <w:pPr>
              <w:pStyle w:val="P68B1DB1-Normal17"/>
              <w:spacing w:after="0" w:line="240" w:lineRule="auto"/>
              <w:rPr>
                <w:rFonts w:eastAsia="Times New Roman" w:cs="Times New Roman"/>
                <w:bCs/>
                <w:noProof/>
              </w:rPr>
            </w:pPr>
            <w:r>
              <w:rPr>
                <w:noProof/>
              </w:rPr>
              <w:t xml:space="preserve">6.4.4.r. </w:t>
            </w:r>
          </w:p>
          <w:p w14:paraId="01A6FC8E" w14:textId="77777777" w:rsidR="008E6885" w:rsidRDefault="00EA24E7">
            <w:pPr>
              <w:pStyle w:val="P68B1DB1-Normal17"/>
              <w:spacing w:after="0" w:line="240" w:lineRule="auto"/>
              <w:rPr>
                <w:rFonts w:eastAsia="Times New Roman" w:cs="Times New Roman"/>
                <w:bCs/>
                <w:noProof/>
              </w:rPr>
            </w:pPr>
            <w:r>
              <w:rPr>
                <w:noProof/>
              </w:rPr>
              <w:t>Renforcement des capacités informatiques et analytiques de l'IUB</w:t>
            </w:r>
          </w:p>
        </w:tc>
        <w:tc>
          <w:tcPr>
            <w:tcW w:w="1418" w:type="dxa"/>
            <w:shd w:val="clear" w:color="auto" w:fill="C6EFCE"/>
            <w:hideMark/>
          </w:tcPr>
          <w:p w14:paraId="7E3389D5"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1A3B9DB4" w14:textId="77777777" w:rsidR="008E6885" w:rsidRDefault="00EA24E7">
            <w:pPr>
              <w:pStyle w:val="P68B1DB1-Normal19"/>
              <w:spacing w:after="0" w:line="240" w:lineRule="auto"/>
              <w:rPr>
                <w:rFonts w:eastAsia="Times New Roman" w:cs="Times New Roman"/>
                <w:noProof/>
              </w:rPr>
            </w:pPr>
            <w:r>
              <w:rPr>
                <w:noProof/>
              </w:rPr>
              <w:t>Adoption de critères pour identifier les secteurs de marché à risque, les clients et les achats</w:t>
            </w:r>
          </w:p>
        </w:tc>
        <w:tc>
          <w:tcPr>
            <w:tcW w:w="1843" w:type="dxa"/>
            <w:shd w:val="clear" w:color="auto" w:fill="C6EFCE"/>
            <w:hideMark/>
          </w:tcPr>
          <w:p w14:paraId="7C1DC200"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1419" w:type="dxa"/>
            <w:shd w:val="clear" w:color="auto" w:fill="C6EFCE"/>
            <w:hideMark/>
          </w:tcPr>
          <w:p w14:paraId="1CA8825F"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079E4078"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5D1BF9C8"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154A64B8"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6206B25F" w14:textId="77777777" w:rsidR="008E6885" w:rsidRDefault="00EA24E7">
            <w:pPr>
              <w:pStyle w:val="P68B1DB1-Normal19"/>
              <w:spacing w:after="0" w:line="240" w:lineRule="auto"/>
              <w:jc w:val="center"/>
              <w:rPr>
                <w:rFonts w:eastAsia="Times New Roman" w:cs="Times New Roman"/>
                <w:noProof/>
              </w:rPr>
            </w:pPr>
            <w:r>
              <w:rPr>
                <w:noProof/>
              </w:rPr>
              <w:t>2021</w:t>
            </w:r>
          </w:p>
        </w:tc>
        <w:tc>
          <w:tcPr>
            <w:tcW w:w="2835" w:type="dxa"/>
            <w:shd w:val="clear" w:color="auto" w:fill="C6EFCE"/>
            <w:hideMark/>
          </w:tcPr>
          <w:p w14:paraId="35F5C3F3" w14:textId="77777777" w:rsidR="008E6885" w:rsidRDefault="00EA24E7">
            <w:pPr>
              <w:pStyle w:val="P68B1DB1-Normal19"/>
              <w:spacing w:after="0" w:line="240" w:lineRule="auto"/>
              <w:jc w:val="both"/>
              <w:rPr>
                <w:rFonts w:eastAsia="Times New Roman" w:cs="Times New Roman"/>
                <w:noProof/>
              </w:rPr>
            </w:pPr>
            <w:r>
              <w:rPr>
                <w:noProof/>
              </w:rPr>
              <w:t xml:space="preserve">Les critères d'identification des secteurs de marché à risque, des clients et des procédures de passation de marchés ont été approuvés. </w:t>
            </w:r>
          </w:p>
          <w:p w14:paraId="306B0829" w14:textId="77777777" w:rsidR="008E6885" w:rsidRDefault="00EA24E7">
            <w:pPr>
              <w:pStyle w:val="P68B1DB1-Normal19"/>
              <w:spacing w:after="0" w:line="240" w:lineRule="auto"/>
              <w:jc w:val="both"/>
              <w:rPr>
                <w:rFonts w:eastAsia="Times New Roman" w:cs="Times New Roman"/>
                <w:noProof/>
              </w:rPr>
            </w:pPr>
            <w:r>
              <w:rPr>
                <w:noProof/>
              </w:rPr>
              <w:t>Les critères fixés sont fondés sur des indicateurs de publication des marchés publics et des indicateurs de la CE en matière de marchés publics, ainsi que sur les bonnes pratiques d’autres pays, telles que l’outil d’indexation.</w:t>
            </w:r>
          </w:p>
        </w:tc>
      </w:tr>
      <w:tr w:rsidR="008E6885" w14:paraId="3F3B9DC1" w14:textId="77777777" w:rsidTr="00D57C89">
        <w:trPr>
          <w:trHeight w:val="300"/>
        </w:trPr>
        <w:tc>
          <w:tcPr>
            <w:tcW w:w="555" w:type="dxa"/>
            <w:shd w:val="clear" w:color="auto" w:fill="C6EFCE"/>
            <w:hideMark/>
          </w:tcPr>
          <w:p w14:paraId="42BD5717" w14:textId="77777777" w:rsidR="008E6885" w:rsidRDefault="00EA24E7">
            <w:pPr>
              <w:pStyle w:val="P68B1DB1-Normal19"/>
              <w:spacing w:after="0" w:line="240" w:lineRule="auto"/>
              <w:jc w:val="both"/>
              <w:rPr>
                <w:rFonts w:eastAsia="Times New Roman" w:cs="Times New Roman"/>
                <w:noProof/>
              </w:rPr>
            </w:pPr>
            <w:r>
              <w:rPr>
                <w:noProof/>
              </w:rPr>
              <w:t>214</w:t>
            </w:r>
          </w:p>
        </w:tc>
        <w:tc>
          <w:tcPr>
            <w:tcW w:w="2139" w:type="dxa"/>
            <w:shd w:val="clear" w:color="auto" w:fill="C6EFCE"/>
            <w:hideMark/>
          </w:tcPr>
          <w:p w14:paraId="74C2EFE2" w14:textId="77777777" w:rsidR="008E6885" w:rsidRDefault="00EA24E7">
            <w:pPr>
              <w:pStyle w:val="P68B1DB1-Normal17"/>
              <w:spacing w:after="0" w:line="240" w:lineRule="auto"/>
              <w:rPr>
                <w:rFonts w:eastAsia="Times New Roman" w:cs="Times New Roman"/>
                <w:bCs/>
                <w:noProof/>
              </w:rPr>
            </w:pPr>
            <w:r>
              <w:rPr>
                <w:noProof/>
              </w:rPr>
              <w:t xml:space="preserve">6.4.4.r. </w:t>
            </w:r>
          </w:p>
          <w:p w14:paraId="7579ABD5" w14:textId="77777777" w:rsidR="008E6885" w:rsidRDefault="00EA24E7">
            <w:pPr>
              <w:pStyle w:val="P68B1DB1-Normal17"/>
              <w:spacing w:after="0" w:line="240" w:lineRule="auto"/>
              <w:rPr>
                <w:rFonts w:eastAsia="Times New Roman" w:cs="Times New Roman"/>
                <w:bCs/>
                <w:noProof/>
              </w:rPr>
            </w:pPr>
            <w:r>
              <w:rPr>
                <w:noProof/>
              </w:rPr>
              <w:t>Renforcement des capacités informatiques et analytiques de l'IUB</w:t>
            </w:r>
          </w:p>
        </w:tc>
        <w:tc>
          <w:tcPr>
            <w:tcW w:w="1418" w:type="dxa"/>
            <w:shd w:val="clear" w:color="auto" w:fill="C6EFCE"/>
            <w:hideMark/>
          </w:tcPr>
          <w:p w14:paraId="57C1F899" w14:textId="77777777" w:rsidR="008E6885" w:rsidRDefault="00EA24E7">
            <w:pPr>
              <w:pStyle w:val="P68B1DB1-Normal19"/>
              <w:spacing w:after="0" w:line="240" w:lineRule="auto"/>
              <w:rPr>
                <w:rFonts w:eastAsia="Times New Roman" w:cs="Times New Roman"/>
                <w:noProof/>
              </w:rPr>
            </w:pPr>
            <w:r>
              <w:rPr>
                <w:noProof/>
              </w:rPr>
              <w:t>Étape</w:t>
            </w:r>
          </w:p>
        </w:tc>
        <w:tc>
          <w:tcPr>
            <w:tcW w:w="1559" w:type="dxa"/>
            <w:shd w:val="clear" w:color="auto" w:fill="C6EFCE"/>
            <w:hideMark/>
          </w:tcPr>
          <w:p w14:paraId="476AE6EA" w14:textId="77777777" w:rsidR="008E6885" w:rsidRDefault="00EA24E7">
            <w:pPr>
              <w:pStyle w:val="P68B1DB1-Normal19"/>
              <w:spacing w:after="0" w:line="240" w:lineRule="auto"/>
              <w:rPr>
                <w:rFonts w:eastAsia="Times New Roman" w:cs="Times New Roman"/>
                <w:noProof/>
              </w:rPr>
            </w:pPr>
            <w:r>
              <w:rPr>
                <w:noProof/>
              </w:rPr>
              <w:t xml:space="preserve">Système de gestion des publications </w:t>
            </w:r>
          </w:p>
        </w:tc>
        <w:tc>
          <w:tcPr>
            <w:tcW w:w="1843" w:type="dxa"/>
            <w:shd w:val="clear" w:color="auto" w:fill="C6EFCE"/>
            <w:hideMark/>
          </w:tcPr>
          <w:p w14:paraId="6B2976F9" w14:textId="77777777" w:rsidR="008E6885" w:rsidRDefault="00EA24E7">
            <w:pPr>
              <w:pStyle w:val="P68B1DB1-Normal19"/>
              <w:spacing w:after="0" w:line="240" w:lineRule="auto"/>
              <w:rPr>
                <w:rFonts w:eastAsia="Times New Roman" w:cs="Times New Roman"/>
                <w:noProof/>
              </w:rPr>
            </w:pPr>
            <w:r>
              <w:rPr>
                <w:noProof/>
              </w:rPr>
              <w:t>Mise à niveau du système de gestion des publications disponible</w:t>
            </w:r>
          </w:p>
        </w:tc>
        <w:tc>
          <w:tcPr>
            <w:tcW w:w="1419" w:type="dxa"/>
            <w:shd w:val="clear" w:color="auto" w:fill="C6EFCE"/>
            <w:hideMark/>
          </w:tcPr>
          <w:p w14:paraId="30C611BD"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1" w:type="dxa"/>
            <w:shd w:val="clear" w:color="auto" w:fill="C6EFCE"/>
            <w:hideMark/>
          </w:tcPr>
          <w:p w14:paraId="39A34D10"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851" w:type="dxa"/>
            <w:shd w:val="clear" w:color="auto" w:fill="C6EFCE"/>
            <w:hideMark/>
          </w:tcPr>
          <w:p w14:paraId="48D02AA4"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shd w:val="clear" w:color="auto" w:fill="C6EFCE"/>
            <w:hideMark/>
          </w:tcPr>
          <w:p w14:paraId="7500A885" w14:textId="77777777" w:rsidR="008E6885" w:rsidRDefault="00EA24E7">
            <w:pPr>
              <w:pStyle w:val="P68B1DB1-Normal19"/>
              <w:spacing w:after="0" w:line="240" w:lineRule="auto"/>
              <w:jc w:val="center"/>
              <w:rPr>
                <w:rFonts w:eastAsia="Times New Roman" w:cs="Times New Roman"/>
                <w:noProof/>
              </w:rPr>
            </w:pPr>
            <w:r>
              <w:rPr>
                <w:noProof/>
              </w:rPr>
              <w:t>T4</w:t>
            </w:r>
          </w:p>
        </w:tc>
        <w:tc>
          <w:tcPr>
            <w:tcW w:w="709" w:type="dxa"/>
            <w:shd w:val="clear" w:color="auto" w:fill="C6EFCE"/>
            <w:hideMark/>
          </w:tcPr>
          <w:p w14:paraId="354DF971" w14:textId="77777777" w:rsidR="008E6885" w:rsidRDefault="00EA24E7">
            <w:pPr>
              <w:pStyle w:val="P68B1DB1-Normal19"/>
              <w:spacing w:after="0" w:line="240" w:lineRule="auto"/>
              <w:jc w:val="center"/>
              <w:rPr>
                <w:rFonts w:eastAsia="Times New Roman" w:cs="Times New Roman"/>
                <w:noProof/>
              </w:rPr>
            </w:pPr>
            <w:r>
              <w:rPr>
                <w:noProof/>
              </w:rPr>
              <w:t>2024</w:t>
            </w:r>
          </w:p>
        </w:tc>
        <w:tc>
          <w:tcPr>
            <w:tcW w:w="2835" w:type="dxa"/>
            <w:shd w:val="clear" w:color="auto" w:fill="C6EFCE"/>
            <w:hideMark/>
          </w:tcPr>
          <w:p w14:paraId="7948FF9F" w14:textId="77777777" w:rsidR="008E6885" w:rsidRDefault="00EA24E7">
            <w:pPr>
              <w:pStyle w:val="P68B1DB1-Normal19"/>
              <w:spacing w:after="0" w:line="240" w:lineRule="auto"/>
              <w:jc w:val="both"/>
              <w:rPr>
                <w:rFonts w:eastAsia="Times New Roman" w:cs="Times New Roman"/>
                <w:noProof/>
              </w:rPr>
            </w:pPr>
            <w:r>
              <w:rPr>
                <w:noProof/>
              </w:rPr>
              <w:t>Un système de gestion des publications est disponible, garantissant:</w:t>
            </w:r>
          </w:p>
          <w:p w14:paraId="7C10F3BC" w14:textId="77777777" w:rsidR="008E6885" w:rsidRDefault="00EA24E7">
            <w:pPr>
              <w:pStyle w:val="P68B1DB1-ListParagraph27"/>
              <w:numPr>
                <w:ilvl w:val="0"/>
                <w:numId w:val="35"/>
              </w:numPr>
              <w:spacing w:after="0" w:line="240" w:lineRule="auto"/>
              <w:ind w:left="175" w:hanging="175"/>
              <w:jc w:val="both"/>
              <w:rPr>
                <w:rFonts w:eastAsia="Times New Roman" w:cs="Times New Roman"/>
                <w:noProof/>
              </w:rPr>
            </w:pPr>
            <w:r>
              <w:rPr>
                <w:noProof/>
              </w:rPr>
              <w:t>accès en ligne,</w:t>
            </w:r>
          </w:p>
          <w:p w14:paraId="1DC573FA" w14:textId="77777777" w:rsidR="008E6885" w:rsidRDefault="00EA24E7">
            <w:pPr>
              <w:pStyle w:val="P68B1DB1-ListParagraph27"/>
              <w:numPr>
                <w:ilvl w:val="0"/>
                <w:numId w:val="35"/>
              </w:numPr>
              <w:spacing w:after="0" w:line="240" w:lineRule="auto"/>
              <w:ind w:left="175" w:hanging="175"/>
              <w:jc w:val="both"/>
              <w:rPr>
                <w:rFonts w:eastAsia="Times New Roman" w:cs="Times New Roman"/>
                <w:noProof/>
              </w:rPr>
            </w:pPr>
            <w:r>
              <w:rPr>
                <w:noProof/>
              </w:rPr>
              <w:t xml:space="preserve">la publication de formulaires électroniques, </w:t>
            </w:r>
          </w:p>
          <w:p w14:paraId="6F1327D7" w14:textId="77777777" w:rsidR="008E6885" w:rsidRDefault="00EA24E7">
            <w:pPr>
              <w:pStyle w:val="P68B1DB1-ListParagraph27"/>
              <w:numPr>
                <w:ilvl w:val="0"/>
                <w:numId w:val="35"/>
              </w:numPr>
              <w:spacing w:after="0" w:line="240" w:lineRule="auto"/>
              <w:ind w:left="175" w:hanging="175"/>
              <w:jc w:val="both"/>
              <w:rPr>
                <w:rFonts w:eastAsia="Times New Roman" w:cs="Times New Roman"/>
                <w:noProof/>
              </w:rPr>
            </w:pPr>
            <w:r>
              <w:rPr>
                <w:noProof/>
              </w:rPr>
              <w:t>une vue d'ensemble des statistiques sur les marchés publics,</w:t>
            </w:r>
          </w:p>
          <w:p w14:paraId="6687E2CA" w14:textId="77777777" w:rsidR="008E6885" w:rsidRDefault="00EA24E7">
            <w:pPr>
              <w:pStyle w:val="P68B1DB1-ListParagraph27"/>
              <w:numPr>
                <w:ilvl w:val="0"/>
                <w:numId w:val="35"/>
              </w:numPr>
              <w:spacing w:after="0" w:line="240" w:lineRule="auto"/>
              <w:ind w:left="175" w:hanging="175"/>
              <w:jc w:val="both"/>
              <w:rPr>
                <w:rFonts w:eastAsia="Times New Roman" w:cs="Times New Roman"/>
                <w:noProof/>
              </w:rPr>
            </w:pPr>
            <w:r>
              <w:rPr>
                <w:noProof/>
              </w:rPr>
              <w:t>disponibilité des profils clients,</w:t>
            </w:r>
          </w:p>
          <w:p w14:paraId="250D57A3" w14:textId="77777777" w:rsidR="008E6885" w:rsidRDefault="00EA24E7">
            <w:pPr>
              <w:pStyle w:val="P68B1DB1-ListParagraph27"/>
              <w:numPr>
                <w:ilvl w:val="0"/>
                <w:numId w:val="35"/>
              </w:numPr>
              <w:spacing w:after="0" w:line="240" w:lineRule="auto"/>
              <w:ind w:left="175" w:hanging="175"/>
              <w:jc w:val="both"/>
              <w:rPr>
                <w:rFonts w:eastAsia="Times New Roman" w:cs="Times New Roman"/>
                <w:noProof/>
              </w:rPr>
            </w:pPr>
            <w:r>
              <w:rPr>
                <w:noProof/>
              </w:rPr>
              <w:t>module de traitement des plaintes relatives aux marchés publics,</w:t>
            </w:r>
          </w:p>
          <w:p w14:paraId="75BD1958" w14:textId="77777777" w:rsidR="008E6885" w:rsidRDefault="00EA24E7">
            <w:pPr>
              <w:pStyle w:val="P68B1DB1-ListParagraph27"/>
              <w:numPr>
                <w:ilvl w:val="0"/>
                <w:numId w:val="35"/>
              </w:numPr>
              <w:spacing w:after="0" w:line="240" w:lineRule="auto"/>
              <w:ind w:left="175" w:hanging="175"/>
              <w:jc w:val="both"/>
              <w:rPr>
                <w:rFonts w:eastAsia="Times New Roman" w:cs="Times New Roman"/>
                <w:noProof/>
              </w:rPr>
            </w:pPr>
            <w:r>
              <w:rPr>
                <w:noProof/>
              </w:rPr>
              <w:t>module d'exécution des contrôles préalables,</w:t>
            </w:r>
          </w:p>
          <w:p w14:paraId="57966207" w14:textId="743D7BA3" w:rsidR="008E6885" w:rsidRDefault="00EA24E7">
            <w:pPr>
              <w:pStyle w:val="P68B1DB1-ListParagraph27"/>
              <w:numPr>
                <w:ilvl w:val="0"/>
                <w:numId w:val="35"/>
              </w:numPr>
              <w:spacing w:after="0" w:line="240" w:lineRule="auto"/>
              <w:ind w:left="175" w:hanging="175"/>
              <w:jc w:val="both"/>
              <w:rPr>
                <w:rFonts w:eastAsia="Times New Roman" w:cs="Times New Roman"/>
                <w:noProof/>
              </w:rPr>
            </w:pPr>
            <w:r>
              <w:rPr>
                <w:noProof/>
              </w:rPr>
              <w:t>module pour les procédures administratives d’infraction.</w:t>
            </w:r>
          </w:p>
        </w:tc>
      </w:tr>
    </w:tbl>
    <w:p w14:paraId="04D4C9AD" w14:textId="77777777" w:rsidR="008E6885" w:rsidRDefault="008E6885">
      <w:pPr>
        <w:spacing w:before="120" w:after="120" w:line="240" w:lineRule="auto"/>
        <w:jc w:val="both"/>
        <w:rPr>
          <w:rFonts w:ascii="Times New Roman" w:eastAsia="Calibri" w:hAnsi="Times New Roman" w:cs="Times New Roman"/>
          <w:noProof/>
          <w:kern w:val="0"/>
          <w14:ligatures w14:val="none"/>
        </w:rPr>
        <w:sectPr w:rsidR="008E6885" w:rsidSect="0048758A">
          <w:headerReference w:type="default" r:id="rId41"/>
          <w:footerReference w:type="default" r:id="rId42"/>
          <w:pgSz w:w="16838" w:h="11906" w:orient="landscape"/>
          <w:pgMar w:top="1440" w:right="1440" w:bottom="1440" w:left="1440" w:header="708" w:footer="708" w:gutter="0"/>
          <w:cols w:space="708"/>
          <w:docGrid w:linePitch="360"/>
        </w:sectPr>
      </w:pPr>
    </w:p>
    <w:p w14:paraId="4D7E8B4A" w14:textId="66849237" w:rsidR="008E6885" w:rsidRDefault="00EA24E7">
      <w:pPr>
        <w:pStyle w:val="P68B1DB1-Normal3"/>
        <w:keepNext/>
        <w:spacing w:before="480" w:after="360" w:line="240" w:lineRule="auto"/>
        <w:outlineLvl w:val="0"/>
        <w:rPr>
          <w:rFonts w:eastAsia="MS Gothic" w:cs="Times New Roman"/>
          <w:noProof/>
          <w:szCs w:val="28"/>
        </w:rPr>
      </w:pPr>
      <w:r>
        <w:rPr>
          <w:noProof/>
        </w:rPr>
        <w:t>G. Élément 7: REPowerEU</w:t>
      </w:r>
    </w:p>
    <w:p w14:paraId="0AB26AA1" w14:textId="77777777" w:rsidR="008E6885" w:rsidRDefault="00EA24E7">
      <w:pPr>
        <w:pStyle w:val="P68B1DB1-Normal5"/>
        <w:spacing w:before="120" w:after="120" w:line="240" w:lineRule="auto"/>
        <w:jc w:val="both"/>
        <w:rPr>
          <w:rFonts w:cs="Times New Roman"/>
          <w:noProof/>
        </w:rPr>
      </w:pPr>
      <w:r>
        <w:rPr>
          <w:noProof/>
        </w:rPr>
        <w:t>Les objectifs du chapitre REPowerEU du plan letton pour la reprise et la résilience sont les suivants:</w:t>
      </w:r>
    </w:p>
    <w:p w14:paraId="79B166AB" w14:textId="77777777" w:rsidR="008E6885" w:rsidRDefault="00EA24E7">
      <w:pPr>
        <w:pStyle w:val="P68B1DB1-Normal5"/>
        <w:numPr>
          <w:ilvl w:val="0"/>
          <w:numId w:val="9"/>
        </w:numPr>
        <w:spacing w:before="120" w:after="120" w:line="240" w:lineRule="auto"/>
        <w:jc w:val="both"/>
        <w:rPr>
          <w:rFonts w:cs="Times New Roman"/>
          <w:noProof/>
        </w:rPr>
      </w:pPr>
      <w:r>
        <w:rPr>
          <w:noProof/>
        </w:rPr>
        <w:t>accroître la part des énergies renouvelables et accélérer leur déploiement i) en mettant en œuvre des solutions intelligentes de gestion du réseau électrique tant au niveau du transport que de la distribution, ii) en augmentant la capacité du réseau pour permettre une intégration plus poussée des énergies renouvelables variables et iii) en introduisant de nouveaux cadres pour les communautés énergétiques et les autoconsommateurs;</w:t>
      </w:r>
    </w:p>
    <w:p w14:paraId="25BCB991" w14:textId="77777777" w:rsidR="008E6885" w:rsidRDefault="00EA24E7">
      <w:pPr>
        <w:pStyle w:val="P68B1DB1-Normal5"/>
        <w:numPr>
          <w:ilvl w:val="0"/>
          <w:numId w:val="9"/>
        </w:numPr>
        <w:spacing w:before="120" w:after="120" w:line="240" w:lineRule="auto"/>
        <w:jc w:val="both"/>
        <w:rPr>
          <w:rFonts w:cs="Times New Roman"/>
          <w:noProof/>
        </w:rPr>
      </w:pPr>
      <w:r>
        <w:rPr>
          <w:noProof/>
        </w:rPr>
        <w:t xml:space="preserve">lutter contre la précarité énergétique en soutenant et en promouvant les communautés énergétiques; </w:t>
      </w:r>
    </w:p>
    <w:p w14:paraId="5427A480" w14:textId="77777777" w:rsidR="008E6885" w:rsidRDefault="00EA24E7">
      <w:pPr>
        <w:pStyle w:val="P68B1DB1-Normal5"/>
        <w:numPr>
          <w:ilvl w:val="0"/>
          <w:numId w:val="9"/>
        </w:numPr>
        <w:spacing w:before="120" w:after="120" w:line="240" w:lineRule="auto"/>
        <w:jc w:val="both"/>
        <w:rPr>
          <w:rFonts w:cs="Times New Roman"/>
          <w:noProof/>
        </w:rPr>
      </w:pPr>
      <w:r>
        <w:rPr>
          <w:noProof/>
        </w:rPr>
        <w:t>remédier aux goulets d’étranglement internes et transfrontaliers en matière de transport et de distribution d’énergie en numérisant, en modernisant et en sécurisant les réseaux nationaux de transport et de distribution d’électricité, et en introduisant des dispositions relatives à l’optimisation des réseaux électriques;</w:t>
      </w:r>
    </w:p>
    <w:p w14:paraId="0FDE9E84" w14:textId="77777777" w:rsidR="008E6885" w:rsidRDefault="00EA24E7">
      <w:pPr>
        <w:pStyle w:val="P68B1DB1-Normal5"/>
        <w:numPr>
          <w:ilvl w:val="0"/>
          <w:numId w:val="9"/>
        </w:numPr>
        <w:spacing w:before="120" w:after="120" w:line="240" w:lineRule="auto"/>
        <w:jc w:val="both"/>
        <w:rPr>
          <w:rFonts w:cs="Times New Roman"/>
          <w:noProof/>
        </w:rPr>
      </w:pPr>
      <w:r>
        <w:rPr>
          <w:noProof/>
        </w:rPr>
        <w:t>soutenir le stockage de l’électricité et accroître la sécurité énergétique en investissant dans l’installation d’un système de stockage de l’énergie par batterie et dans des solutions de cybersécurité pour les infrastructures critiques de transport d’énergie; et</w:t>
      </w:r>
    </w:p>
    <w:p w14:paraId="6A73E386" w14:textId="77777777" w:rsidR="008E6885" w:rsidRDefault="00EA24E7">
      <w:pPr>
        <w:pStyle w:val="P68B1DB1-Normal5"/>
        <w:numPr>
          <w:ilvl w:val="0"/>
          <w:numId w:val="9"/>
        </w:numPr>
        <w:spacing w:before="120" w:after="120" w:line="240" w:lineRule="auto"/>
        <w:jc w:val="both"/>
        <w:rPr>
          <w:rFonts w:cs="Times New Roman"/>
          <w:noProof/>
        </w:rPr>
      </w:pPr>
      <w:r>
        <w:rPr>
          <w:noProof/>
        </w:rPr>
        <w:t>accroître l’utilisation du biométhane durable en créant un point d’injection régional de biométhane et en établissant un cadre juridique pour l’injection de biométhane durable dans le réseau de gaz naturel existant.</w:t>
      </w:r>
    </w:p>
    <w:p w14:paraId="7AEC8702" w14:textId="77777777" w:rsidR="008E6885" w:rsidRDefault="00EA24E7">
      <w:pPr>
        <w:pStyle w:val="P68B1DB1-Normal5"/>
        <w:spacing w:before="120" w:after="120" w:line="240" w:lineRule="auto"/>
        <w:jc w:val="both"/>
        <w:rPr>
          <w:rFonts w:cs="Times New Roman"/>
          <w:noProof/>
        </w:rPr>
      </w:pPr>
      <w:r>
        <w:rPr>
          <w:noProof/>
        </w:rPr>
        <w:t>Sur les quatre mesures du chapitre REPowerEU letton, deux ont une dimension et un effet transfrontières et plurinationaux. La mesure d’investissement couvrant l’installation d’un système de stockage d’énergie par batterie vise précisément à compléter un projet transfrontalier mis en œuvre par la Lettonie, la Lituanie, l’Estonie et la Pologne visant à assurer une synchronisation complète des réseaux électriques des États baltes avec le réseau de l’Europe continentale. Cet investissement comprend également des activités auxiliaires visant à renforcer la cybersécurité des infrastructures critiques et à assurer une exploitation stable du réseau de transport après la synchronisation, en vue d’une plus grande intégration des sources d’énergie renouvelables. Les investissements dans la modernisation, la numérisation et la sécurisation des réseaux de transport et de distribution d’électricité ont également une dimension et un effet transfrontières et plurinationaux, étant donné qu’ils devraient contribuer à éliminer les goulets d’étranglement dans les flux d’énergie et à faciliter l’intégration des sources d’énergie renouvelables dans les réseaux.</w:t>
      </w:r>
    </w:p>
    <w:p w14:paraId="5F04572E" w14:textId="77777777" w:rsidR="008E6885" w:rsidRDefault="00EA24E7">
      <w:pPr>
        <w:pStyle w:val="P68B1DB1-Normal5"/>
        <w:spacing w:before="120" w:after="120" w:line="240" w:lineRule="auto"/>
        <w:jc w:val="both"/>
        <w:rPr>
          <w:rFonts w:cs="Times New Roman"/>
          <w:noProof/>
        </w:rPr>
      </w:pPr>
      <w:r>
        <w:rPr>
          <w:noProof/>
        </w:rPr>
        <w:t>Les deux investissements représentent 99 % des coûts estimés du chapitre.</w:t>
      </w:r>
    </w:p>
    <w:p w14:paraId="44915880" w14:textId="77777777" w:rsidR="008E6885" w:rsidRDefault="00EA24E7">
      <w:pPr>
        <w:pStyle w:val="P68B1DB1-Normal5"/>
        <w:spacing w:before="120" w:after="120" w:line="240" w:lineRule="auto"/>
        <w:jc w:val="both"/>
        <w:rPr>
          <w:rFonts w:cs="Times New Roman"/>
          <w:noProof/>
        </w:rPr>
      </w:pPr>
      <w:r>
        <w:rPr>
          <w:noProof/>
        </w:rPr>
        <w:t>Le chapitre REPowerEU contribue à donner suite aux recommandations visant à réduire la dépendance globale à l’égard des combustibles fossiles (recommandation par pays 4.1 2023) en accélérant le déploiement des énergies renouvelables (recommandation par pays 4.2 2023) et à garantir une capacité suffisante d’interconnexions pour accroître la sécurité d’approvisionnement et poursuivre la synchronisation avec le réseau électrique de l’UE (recommandation par pays 4.3 2023).</w:t>
      </w:r>
    </w:p>
    <w:p w14:paraId="16FD09B5" w14:textId="77777777" w:rsidR="008E6885" w:rsidRDefault="00EA24E7">
      <w:pPr>
        <w:pStyle w:val="P68B1DB1-Normal5"/>
        <w:spacing w:before="120" w:after="120" w:line="240" w:lineRule="auto"/>
        <w:jc w:val="both"/>
        <w:rPr>
          <w:rFonts w:cs="Times New Roman"/>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046A2B1E" w14:textId="77777777" w:rsidR="008E6885" w:rsidRDefault="00EA24E7">
      <w:pPr>
        <w:pStyle w:val="P68B1DB1-Normal1"/>
        <w:keepNext/>
        <w:keepLines/>
        <w:spacing w:after="240" w:line="240" w:lineRule="auto"/>
        <w:jc w:val="both"/>
        <w:outlineLvl w:val="1"/>
        <w:rPr>
          <w:rFonts w:eastAsia="Times New Roman" w:cs="Times New Roman"/>
          <w:noProof/>
        </w:rPr>
      </w:pPr>
      <w:r>
        <w:rPr>
          <w:noProof/>
        </w:rPr>
        <w:t>G.1. Description des réformes et des investissements pour le soutien financier non remboursable</w:t>
      </w:r>
    </w:p>
    <w:p w14:paraId="7804C083" w14:textId="77777777" w:rsidR="008E6885" w:rsidRDefault="00EA24E7">
      <w:pPr>
        <w:pStyle w:val="P68B1DB1-Normal15"/>
        <w:keepNext/>
        <w:keepLines/>
        <w:spacing w:after="120" w:line="240" w:lineRule="auto"/>
        <w:jc w:val="both"/>
        <w:rPr>
          <w:rFonts w:cs="Times New Roman"/>
          <w:iCs/>
          <w:noProof/>
        </w:rPr>
      </w:pPr>
      <w:r>
        <w:rPr>
          <w:noProof/>
        </w:rPr>
        <w:t>Réforme: 7.1.r. Transformer le secteur énergétique national</w:t>
      </w:r>
    </w:p>
    <w:p w14:paraId="695A5EA5" w14:textId="77777777" w:rsidR="008E6885" w:rsidRDefault="00EA24E7">
      <w:pPr>
        <w:pStyle w:val="P68B1DB1-Normal5"/>
        <w:spacing w:after="120" w:line="240" w:lineRule="auto"/>
        <w:jc w:val="both"/>
        <w:rPr>
          <w:rFonts w:cs="Times New Roman"/>
          <w:noProof/>
        </w:rPr>
      </w:pPr>
      <w:r>
        <w:rPr>
          <w:noProof/>
        </w:rPr>
        <w:t xml:space="preserve">L’objectif de la mesure est de réduire la dépendance globale à l’égard des combustibles fossiles et de faire progresser l’objectif de la Lettonie de devenir un pays exportateur d’énergie verte. </w:t>
      </w:r>
    </w:p>
    <w:p w14:paraId="4AEDBFED" w14:textId="77777777" w:rsidR="008E6885" w:rsidRDefault="00EA24E7">
      <w:pPr>
        <w:pStyle w:val="P68B1DB1-Normal4"/>
        <w:spacing w:after="240" w:line="240" w:lineRule="auto"/>
        <w:jc w:val="both"/>
        <w:rPr>
          <w:rFonts w:cs="Times New Roman"/>
          <w:noProof/>
        </w:rPr>
      </w:pPr>
      <w:r>
        <w:rPr>
          <w:noProof/>
        </w:rPr>
        <w:t xml:space="preserve">La mesure consiste en i) l’entrée en vigueur d’actes juridiques fixant les conditions et les procédures d’enregistrement et de fonctionnement des communautés énergétiques et soutenant les groupes socialement défavorisés de la société; ii) en modifiant les normes relatives au commerce et à la consommation d'électricité afin de promouvoir l'autoconsommation et le partage de l'énergie; iii) l'introduction d'un service de réseau de transport flexible. </w:t>
      </w:r>
    </w:p>
    <w:p w14:paraId="1DE8B4BA" w14:textId="77777777" w:rsidR="008E6885" w:rsidRDefault="00EA24E7">
      <w:pPr>
        <w:pStyle w:val="P68B1DB1-Normal15"/>
        <w:keepNext/>
        <w:keepLines/>
        <w:spacing w:after="120" w:line="240" w:lineRule="auto"/>
        <w:jc w:val="both"/>
        <w:rPr>
          <w:rFonts w:cs="Times New Roman"/>
          <w:iCs/>
          <w:noProof/>
        </w:rPr>
      </w:pPr>
      <w:r>
        <w:rPr>
          <w:noProof/>
        </w:rPr>
        <w:t>Investissement: 7.2.i. Sécurité et stabilité de l'approvisionnement énergétique et synchronisation avec le réseau de l'Union</w:t>
      </w:r>
    </w:p>
    <w:p w14:paraId="0369FDF2" w14:textId="77777777" w:rsidR="008E6885" w:rsidRDefault="00EA24E7">
      <w:pPr>
        <w:pStyle w:val="P68B1DB1-Normal5"/>
        <w:spacing w:after="120" w:line="240" w:lineRule="auto"/>
        <w:jc w:val="both"/>
        <w:rPr>
          <w:rFonts w:cs="Times New Roman"/>
          <w:noProof/>
        </w:rPr>
      </w:pPr>
      <w:r>
        <w:rPr>
          <w:noProof/>
        </w:rPr>
        <w:t xml:space="preserve">L’objectif de la mesure est d’accroître la sécurité et la stabilité de l’approvisionnement énergétique et de faciliter la synchronisation du réseau électrique national avec les réseaux électriques de l’Europe continentale. </w:t>
      </w:r>
    </w:p>
    <w:p w14:paraId="143FCD23" w14:textId="77777777" w:rsidR="008E6885" w:rsidRDefault="00EA24E7">
      <w:pPr>
        <w:pStyle w:val="P68B1DB1-Normal4"/>
        <w:spacing w:after="240" w:line="240" w:lineRule="auto"/>
        <w:jc w:val="both"/>
        <w:rPr>
          <w:noProof/>
        </w:rPr>
      </w:pPr>
      <w:r>
        <w:rPr>
          <w:noProof/>
        </w:rPr>
        <w:t>La mesure consiste en la mise en service d'un système de stockage d'énergie.</w:t>
      </w:r>
    </w:p>
    <w:p w14:paraId="6EAD6F3C" w14:textId="77777777" w:rsidR="008E6885" w:rsidRDefault="00EA24E7">
      <w:pPr>
        <w:pStyle w:val="P68B1DB1-Normal15"/>
        <w:keepNext/>
        <w:keepLines/>
        <w:spacing w:after="120" w:line="240" w:lineRule="auto"/>
        <w:jc w:val="both"/>
        <w:rPr>
          <w:rFonts w:cs="Times New Roman"/>
          <w:noProof/>
        </w:rPr>
      </w:pPr>
      <w:r>
        <w:rPr>
          <w:noProof/>
        </w:rPr>
        <w:t>Investissement: 7.3.i. Modernisation, numérisation et sécurisation des réseaux de transport et de distribution d’électricité</w:t>
      </w:r>
    </w:p>
    <w:p w14:paraId="0E91417E" w14:textId="77777777" w:rsidR="008E6885" w:rsidRDefault="00EA24E7">
      <w:pPr>
        <w:pStyle w:val="P68B1DB1-Normal4"/>
        <w:spacing w:after="120" w:line="240" w:lineRule="auto"/>
        <w:jc w:val="both"/>
        <w:rPr>
          <w:noProof/>
        </w:rPr>
      </w:pPr>
      <w:r>
        <w:rPr>
          <w:noProof/>
        </w:rPr>
        <w:t xml:space="preserve">L’objectif de la mesure est de contribuer à la transition vers une énergie propre et d’accroître la sécurité de l’électricité. </w:t>
      </w:r>
    </w:p>
    <w:p w14:paraId="758A3970" w14:textId="77777777" w:rsidR="008E6885" w:rsidRDefault="00EA24E7">
      <w:pPr>
        <w:pStyle w:val="P68B1DB1-Normal30"/>
        <w:spacing w:after="240" w:line="240" w:lineRule="auto"/>
        <w:jc w:val="both"/>
        <w:rPr>
          <w:rFonts w:cs="Times New Roman"/>
          <w:noProof/>
        </w:rPr>
      </w:pPr>
      <w:r>
        <w:rPr>
          <w:noProof/>
        </w:rPr>
        <w:t xml:space="preserve">La mesure consiste en des sous-investissements couvrant une capacité supplémentaire du réseau électrique et des interventions visant à moderniser les réseaux électriques. </w:t>
      </w:r>
    </w:p>
    <w:p w14:paraId="52CA8681" w14:textId="77777777" w:rsidR="008E6885" w:rsidRDefault="00EA24E7">
      <w:pPr>
        <w:pStyle w:val="P68B1DB1-Normal7"/>
        <w:keepNext/>
        <w:keepLines/>
        <w:spacing w:after="120" w:line="240" w:lineRule="auto"/>
        <w:jc w:val="both"/>
        <w:rPr>
          <w:rFonts w:cs="Times New Roman"/>
          <w:noProof/>
        </w:rPr>
      </w:pPr>
      <w:r>
        <w:rPr>
          <w:noProof/>
        </w:rPr>
        <w:t>Investissement: 7.4.i. Accroître l’utilisation du biométhane durable</w:t>
      </w:r>
    </w:p>
    <w:p w14:paraId="3E96F6C7" w14:textId="77777777" w:rsidR="008E6885" w:rsidRDefault="00EA24E7">
      <w:pPr>
        <w:pStyle w:val="P68B1DB1-Normal4"/>
        <w:spacing w:after="120" w:line="240" w:lineRule="auto"/>
        <w:jc w:val="both"/>
        <w:rPr>
          <w:noProof/>
        </w:rPr>
      </w:pPr>
      <w:r>
        <w:rPr>
          <w:noProof/>
        </w:rPr>
        <w:t xml:space="preserve">Cet objectif de la mesure est d’accroître l’utilisation du biométhane durable. </w:t>
      </w:r>
    </w:p>
    <w:p w14:paraId="40860A0F" w14:textId="77777777" w:rsidR="008E6885" w:rsidRDefault="00EA24E7">
      <w:pPr>
        <w:pStyle w:val="P68B1DB1-Normal4"/>
        <w:spacing w:after="120" w:line="240" w:lineRule="auto"/>
        <w:jc w:val="both"/>
        <w:rPr>
          <w:rFonts w:cs="Times New Roman"/>
          <w:noProof/>
        </w:rPr>
      </w:pPr>
      <w:r>
        <w:rPr>
          <w:noProof/>
        </w:rPr>
        <w:t>La mesure consiste en des investissements pour la mise en service d’un point d’injection de biométhane et la fourniture de solutions informatiques connexes.</w:t>
      </w:r>
    </w:p>
    <w:p w14:paraId="73D35135" w14:textId="77777777" w:rsidR="008E6885" w:rsidRDefault="008E6885">
      <w:pPr>
        <w:spacing w:before="120" w:after="120" w:line="240" w:lineRule="auto"/>
        <w:jc w:val="both"/>
        <w:rPr>
          <w:rFonts w:ascii="Times New Roman" w:eastAsia="Calibri" w:hAnsi="Times New Roman" w:cs="Times New Roman"/>
          <w:noProof/>
          <w:kern w:val="0"/>
          <w14:ligatures w14:val="none"/>
        </w:rPr>
      </w:pPr>
    </w:p>
    <w:p w14:paraId="06EA3514" w14:textId="77777777" w:rsidR="008E6885" w:rsidRDefault="008E6885">
      <w:pPr>
        <w:spacing w:before="120" w:after="120" w:line="240" w:lineRule="auto"/>
        <w:jc w:val="both"/>
        <w:rPr>
          <w:rFonts w:ascii="Times New Roman" w:eastAsia="Calibri" w:hAnsi="Times New Roman" w:cs="Arial"/>
          <w:b/>
          <w:noProof/>
          <w:kern w:val="0"/>
          <w:szCs w:val="22"/>
          <w:u w:val="single"/>
          <w14:ligatures w14:val="none"/>
        </w:rPr>
        <w:sectPr w:rsidR="008E6885" w:rsidSect="0048758A">
          <w:headerReference w:type="default" r:id="rId43"/>
          <w:footerReference w:type="default" r:id="rId44"/>
          <w:pgSz w:w="11906" w:h="16838"/>
          <w:pgMar w:top="1440" w:right="1440" w:bottom="1440" w:left="1440" w:header="708" w:footer="708" w:gutter="0"/>
          <w:cols w:space="708"/>
          <w:docGrid w:linePitch="360"/>
        </w:sectPr>
      </w:pPr>
    </w:p>
    <w:p w14:paraId="5E4BD044" w14:textId="28FF72A9" w:rsidR="008E6885" w:rsidRDefault="00EA24E7">
      <w:pPr>
        <w:pStyle w:val="P68B1DB1-Normal1"/>
        <w:spacing w:before="120" w:after="120" w:line="240" w:lineRule="auto"/>
        <w:jc w:val="center"/>
        <w:rPr>
          <w:noProof/>
        </w:rPr>
      </w:pPr>
      <w:r>
        <w:rPr>
          <w:noProof/>
        </w:rPr>
        <w:t>G.2. Étapes, cibles, indicateurs et calendrier pour le suivi et la mise en œuvre du soutien financier non remboursable</w:t>
      </w:r>
    </w:p>
    <w:tbl>
      <w:tblPr>
        <w:tblW w:w="5000" w:type="pct"/>
        <w:tblLayout w:type="fixed"/>
        <w:tblLook w:val="04A0" w:firstRow="1" w:lastRow="0" w:firstColumn="1" w:lastColumn="0" w:noHBand="0" w:noVBand="1"/>
      </w:tblPr>
      <w:tblGrid>
        <w:gridCol w:w="630"/>
        <w:gridCol w:w="1705"/>
        <w:gridCol w:w="1346"/>
        <w:gridCol w:w="1368"/>
        <w:gridCol w:w="1626"/>
        <w:gridCol w:w="953"/>
        <w:gridCol w:w="953"/>
        <w:gridCol w:w="912"/>
        <w:gridCol w:w="992"/>
        <w:gridCol w:w="850"/>
        <w:gridCol w:w="2613"/>
      </w:tblGrid>
      <w:tr w:rsidR="008E6885" w14:paraId="051360E7" w14:textId="77777777" w:rsidTr="00D57C89">
        <w:trPr>
          <w:tblHeader/>
        </w:trPr>
        <w:tc>
          <w:tcPr>
            <w:tcW w:w="6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83F8A2F" w14:textId="77777777" w:rsidR="008E6885" w:rsidRDefault="00EA24E7">
            <w:pPr>
              <w:pStyle w:val="P68B1DB1-Normal17"/>
              <w:spacing w:after="0" w:line="240" w:lineRule="auto"/>
              <w:jc w:val="center"/>
              <w:rPr>
                <w:rFonts w:eastAsia="Times New Roman" w:cs="Times New Roman"/>
                <w:noProof/>
              </w:rPr>
            </w:pPr>
            <w:r>
              <w:rPr>
                <w:noProof/>
              </w:rPr>
              <w:t>Nr</w:t>
            </w:r>
          </w:p>
        </w:tc>
        <w:tc>
          <w:tcPr>
            <w:tcW w:w="17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8A4EB58" w14:textId="77777777" w:rsidR="008E6885" w:rsidRDefault="00EA24E7">
            <w:pPr>
              <w:pStyle w:val="P68B1DB1-Normal17"/>
              <w:spacing w:after="0" w:line="240" w:lineRule="auto"/>
              <w:jc w:val="center"/>
              <w:rPr>
                <w:rFonts w:eastAsia="Times New Roman" w:cs="Times New Roman"/>
                <w:bCs/>
                <w:noProof/>
              </w:rPr>
            </w:pPr>
            <w:r>
              <w:rPr>
                <w:noProof/>
              </w:rPr>
              <w:t>Mesure connexe (réforme ou investissement)</w:t>
            </w:r>
          </w:p>
        </w:tc>
        <w:tc>
          <w:tcPr>
            <w:tcW w:w="13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E54046" w14:textId="77777777" w:rsidR="008E6885" w:rsidRDefault="00EA24E7">
            <w:pPr>
              <w:pStyle w:val="P68B1DB1-Normal17"/>
              <w:spacing w:after="0" w:line="240" w:lineRule="auto"/>
              <w:jc w:val="center"/>
              <w:rPr>
                <w:rFonts w:eastAsia="Times New Roman" w:cs="Times New Roman"/>
                <w:bCs/>
                <w:noProof/>
              </w:rPr>
            </w:pPr>
            <w:r>
              <w:rPr>
                <w:noProof/>
              </w:rPr>
              <w:t>Étape/objectif</w:t>
            </w:r>
          </w:p>
        </w:tc>
        <w:tc>
          <w:tcPr>
            <w:tcW w:w="13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DF84D7" w14:textId="77777777" w:rsidR="008E6885" w:rsidRDefault="00EA24E7">
            <w:pPr>
              <w:pStyle w:val="P68B1DB1-Normal17"/>
              <w:spacing w:after="0" w:line="240" w:lineRule="auto"/>
              <w:jc w:val="center"/>
              <w:rPr>
                <w:rFonts w:eastAsia="Times New Roman" w:cs="Times New Roman"/>
                <w:bCs/>
                <w:noProof/>
              </w:rPr>
            </w:pPr>
            <w:r>
              <w:rPr>
                <w:noProof/>
              </w:rPr>
              <w:t>Nom</w:t>
            </w:r>
          </w:p>
        </w:tc>
        <w:tc>
          <w:tcPr>
            <w:tcW w:w="16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BF7E38D" w14:textId="77777777" w:rsidR="008E6885" w:rsidRDefault="00EA24E7">
            <w:pPr>
              <w:pStyle w:val="P68B1DB1-Normal18"/>
              <w:spacing w:after="0" w:line="240" w:lineRule="auto"/>
              <w:jc w:val="center"/>
              <w:rPr>
                <w:rFonts w:ascii="Times New Roman" w:eastAsia="Times New Roman" w:hAnsi="Times New Roman" w:cs="Times New Roman"/>
                <w:b/>
                <w:bCs/>
                <w:noProof/>
              </w:rPr>
            </w:pPr>
            <w:r>
              <w:rPr>
                <w:rFonts w:ascii="Times New Roman" w:eastAsia="Calibri" w:hAnsi="Times New Roman" w:cs="Arial"/>
                <w:b/>
                <w:noProof/>
              </w:rPr>
              <w:t>Indicateurs qualitatifs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(pour les jalons)</w:t>
            </w:r>
          </w:p>
        </w:tc>
        <w:tc>
          <w:tcPr>
            <w:tcW w:w="281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FE181F2" w14:textId="77777777" w:rsidR="008E6885" w:rsidRDefault="00EA24E7">
            <w:pPr>
              <w:pStyle w:val="P68B1DB1-Normal18"/>
              <w:spacing w:after="0" w:line="240" w:lineRule="auto"/>
              <w:jc w:val="center"/>
              <w:rPr>
                <w:rFonts w:ascii="Times New Roman" w:eastAsia="Times New Roman" w:hAnsi="Times New Roman" w:cs="Times New Roman"/>
                <w:b/>
                <w:bCs/>
                <w:noProof/>
              </w:rPr>
            </w:pPr>
            <w:r>
              <w:rPr>
                <w:rFonts w:ascii="Times New Roman" w:eastAsia="Calibri" w:hAnsi="Times New Roman" w:cs="Arial"/>
                <w:b/>
                <w:noProof/>
              </w:rPr>
              <w:t>Indicateurs quantitatifs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(pour les objectifs)</w:t>
            </w:r>
          </w:p>
        </w:tc>
        <w:tc>
          <w:tcPr>
            <w:tcW w:w="1842"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9430612" w14:textId="77777777" w:rsidR="008E6885" w:rsidRDefault="00EA24E7">
            <w:pPr>
              <w:pStyle w:val="P68B1DB1-Normal17"/>
              <w:spacing w:after="0" w:line="240" w:lineRule="auto"/>
              <w:jc w:val="center"/>
              <w:rPr>
                <w:rFonts w:eastAsia="Times New Roman" w:cs="Times New Roman"/>
                <w:bCs/>
                <w:noProof/>
              </w:rPr>
            </w:pPr>
            <w:r>
              <w:rPr>
                <w:noProof/>
              </w:rPr>
              <w:t>Calendrier indicatif d'achèvement</w:t>
            </w:r>
          </w:p>
        </w:tc>
        <w:tc>
          <w:tcPr>
            <w:tcW w:w="26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4C9C42" w14:textId="77777777" w:rsidR="008E6885" w:rsidRDefault="00EA24E7">
            <w:pPr>
              <w:pStyle w:val="P68B1DB1-Normal17"/>
              <w:spacing w:after="0" w:line="240" w:lineRule="auto"/>
              <w:jc w:val="center"/>
              <w:rPr>
                <w:rFonts w:eastAsia="Times New Roman" w:cs="Times New Roman"/>
                <w:bCs/>
                <w:noProof/>
              </w:rPr>
            </w:pPr>
            <w:r>
              <w:rPr>
                <w:noProof/>
              </w:rPr>
              <w:t>Description et définition claire de chaque jalon et cible</w:t>
            </w:r>
          </w:p>
        </w:tc>
      </w:tr>
      <w:tr w:rsidR="008E6885" w14:paraId="1653FFAB" w14:textId="77777777" w:rsidTr="00D57C89">
        <w:trPr>
          <w:tblHeader/>
        </w:trPr>
        <w:tc>
          <w:tcPr>
            <w:tcW w:w="630" w:type="dxa"/>
            <w:vMerge/>
            <w:tcBorders>
              <w:top w:val="single" w:sz="4" w:space="0" w:color="auto"/>
              <w:left w:val="single" w:sz="4" w:space="0" w:color="auto"/>
              <w:bottom w:val="single" w:sz="4" w:space="0" w:color="auto"/>
              <w:right w:val="single" w:sz="4" w:space="0" w:color="auto"/>
            </w:tcBorders>
            <w:vAlign w:val="center"/>
            <w:hideMark/>
          </w:tcPr>
          <w:p w14:paraId="537937FD" w14:textId="77777777" w:rsidR="008E6885" w:rsidRDefault="008E6885">
            <w:pPr>
              <w:spacing w:after="0" w:line="240" w:lineRule="auto"/>
              <w:rPr>
                <w:rFonts w:ascii="Times New Roman" w:eastAsia="Times New Roman" w:hAnsi="Times New Roman" w:cs="Times New Roman"/>
                <w:b/>
                <w:bCs/>
                <w:noProof/>
                <w:kern w:val="0"/>
                <w:sz w:val="18"/>
                <w:szCs w:val="18"/>
                <w14:ligatures w14:val="none"/>
              </w:rPr>
            </w:pPr>
          </w:p>
        </w:tc>
        <w:tc>
          <w:tcPr>
            <w:tcW w:w="1705" w:type="dxa"/>
            <w:vMerge/>
            <w:tcBorders>
              <w:top w:val="single" w:sz="4" w:space="0" w:color="auto"/>
              <w:left w:val="single" w:sz="4" w:space="0" w:color="auto"/>
              <w:bottom w:val="single" w:sz="4" w:space="0" w:color="auto"/>
              <w:right w:val="single" w:sz="4" w:space="0" w:color="auto"/>
            </w:tcBorders>
            <w:vAlign w:val="center"/>
            <w:hideMark/>
          </w:tcPr>
          <w:p w14:paraId="6C65B5FB" w14:textId="77777777" w:rsidR="008E6885" w:rsidRDefault="008E6885">
            <w:pPr>
              <w:spacing w:after="0" w:line="240" w:lineRule="auto"/>
              <w:rPr>
                <w:rFonts w:ascii="Times New Roman" w:eastAsia="Times New Roman" w:hAnsi="Times New Roman" w:cs="Times New Roman"/>
                <w:b/>
                <w:bCs/>
                <w:noProof/>
                <w:kern w:val="0"/>
                <w:sz w:val="18"/>
                <w:szCs w:val="18"/>
                <w14:ligatures w14:val="none"/>
              </w:rPr>
            </w:pPr>
          </w:p>
        </w:tc>
        <w:tc>
          <w:tcPr>
            <w:tcW w:w="1346" w:type="dxa"/>
            <w:vMerge/>
            <w:tcBorders>
              <w:top w:val="single" w:sz="4" w:space="0" w:color="auto"/>
              <w:left w:val="single" w:sz="4" w:space="0" w:color="auto"/>
              <w:bottom w:val="single" w:sz="4" w:space="0" w:color="auto"/>
              <w:right w:val="single" w:sz="4" w:space="0" w:color="auto"/>
            </w:tcBorders>
            <w:vAlign w:val="center"/>
            <w:hideMark/>
          </w:tcPr>
          <w:p w14:paraId="15034C8E" w14:textId="77777777" w:rsidR="008E6885" w:rsidRDefault="008E6885">
            <w:pPr>
              <w:spacing w:after="0" w:line="240" w:lineRule="auto"/>
              <w:rPr>
                <w:rFonts w:ascii="Times New Roman" w:eastAsia="Times New Roman" w:hAnsi="Times New Roman" w:cs="Times New Roman"/>
                <w:b/>
                <w:bCs/>
                <w:noProof/>
                <w:kern w:val="0"/>
                <w:sz w:val="18"/>
                <w:szCs w:val="18"/>
                <w14:ligatures w14:val="none"/>
              </w:rPr>
            </w:pPr>
          </w:p>
        </w:tc>
        <w:tc>
          <w:tcPr>
            <w:tcW w:w="1368" w:type="dxa"/>
            <w:vMerge/>
            <w:tcBorders>
              <w:top w:val="single" w:sz="4" w:space="0" w:color="auto"/>
              <w:left w:val="single" w:sz="4" w:space="0" w:color="auto"/>
              <w:bottom w:val="single" w:sz="4" w:space="0" w:color="auto"/>
              <w:right w:val="single" w:sz="4" w:space="0" w:color="auto"/>
            </w:tcBorders>
            <w:vAlign w:val="center"/>
            <w:hideMark/>
          </w:tcPr>
          <w:p w14:paraId="3A9CAC7E" w14:textId="77777777" w:rsidR="008E6885" w:rsidRDefault="008E6885">
            <w:pPr>
              <w:spacing w:after="0" w:line="240" w:lineRule="auto"/>
              <w:rPr>
                <w:rFonts w:ascii="Times New Roman" w:eastAsia="Times New Roman" w:hAnsi="Times New Roman" w:cs="Times New Roman"/>
                <w:b/>
                <w:bCs/>
                <w:noProof/>
                <w:kern w:val="0"/>
                <w:sz w:val="18"/>
                <w:szCs w:val="18"/>
                <w14:ligatures w14:val="none"/>
              </w:rPr>
            </w:pPr>
          </w:p>
        </w:tc>
        <w:tc>
          <w:tcPr>
            <w:tcW w:w="1626" w:type="dxa"/>
            <w:vMerge/>
            <w:tcBorders>
              <w:top w:val="single" w:sz="4" w:space="0" w:color="auto"/>
              <w:left w:val="single" w:sz="4" w:space="0" w:color="auto"/>
              <w:bottom w:val="single" w:sz="4" w:space="0" w:color="auto"/>
              <w:right w:val="single" w:sz="4" w:space="0" w:color="auto"/>
            </w:tcBorders>
            <w:vAlign w:val="center"/>
            <w:hideMark/>
          </w:tcPr>
          <w:p w14:paraId="27922D80" w14:textId="77777777" w:rsidR="008E6885" w:rsidRDefault="008E6885">
            <w:pPr>
              <w:spacing w:after="0" w:line="240" w:lineRule="auto"/>
              <w:rPr>
                <w:rFonts w:ascii="Times New Roman" w:eastAsia="Times New Roman" w:hAnsi="Times New Roman" w:cs="Times New Roman"/>
                <w:b/>
                <w:bCs/>
                <w:noProof/>
                <w:kern w:val="0"/>
                <w:sz w:val="18"/>
                <w:szCs w:val="18"/>
                <w14:ligatures w14:val="none"/>
              </w:rPr>
            </w:pPr>
          </w:p>
        </w:tc>
        <w:tc>
          <w:tcPr>
            <w:tcW w:w="95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E8452B" w14:textId="77777777" w:rsidR="008E6885" w:rsidRDefault="00EA24E7">
            <w:pPr>
              <w:pStyle w:val="P68B1DB1-Normal17"/>
              <w:spacing w:after="0" w:line="240" w:lineRule="auto"/>
              <w:jc w:val="center"/>
              <w:rPr>
                <w:rFonts w:eastAsia="Times New Roman" w:cs="Times New Roman"/>
                <w:bCs/>
                <w:noProof/>
              </w:rPr>
            </w:pPr>
            <w:r>
              <w:rPr>
                <w:noProof/>
              </w:rPr>
              <w:t>Unité de mesure</w:t>
            </w:r>
          </w:p>
        </w:tc>
        <w:tc>
          <w:tcPr>
            <w:tcW w:w="95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2B248E7" w14:textId="77777777" w:rsidR="008E6885" w:rsidRDefault="00EA24E7">
            <w:pPr>
              <w:pStyle w:val="P68B1DB1-Normal17"/>
              <w:spacing w:after="0" w:line="240" w:lineRule="auto"/>
              <w:jc w:val="center"/>
              <w:rPr>
                <w:rFonts w:eastAsia="Times New Roman" w:cs="Times New Roman"/>
                <w:bCs/>
                <w:noProof/>
              </w:rPr>
            </w:pPr>
            <w:r>
              <w:rPr>
                <w:noProof/>
              </w:rPr>
              <w:t>Données de référence</w:t>
            </w:r>
          </w:p>
        </w:tc>
        <w:tc>
          <w:tcPr>
            <w:tcW w:w="91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CA3AE4B" w14:textId="77777777" w:rsidR="008E6885" w:rsidRDefault="00EA24E7">
            <w:pPr>
              <w:pStyle w:val="P68B1DB1-Normal17"/>
              <w:spacing w:after="0" w:line="240" w:lineRule="auto"/>
              <w:jc w:val="center"/>
              <w:rPr>
                <w:rFonts w:eastAsia="Times New Roman" w:cs="Times New Roman"/>
                <w:bCs/>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624E0F" w14:textId="77777777" w:rsidR="008E6885" w:rsidRDefault="00EA24E7">
            <w:pPr>
              <w:pStyle w:val="P68B1DB1-Normal17"/>
              <w:spacing w:after="0" w:line="240" w:lineRule="auto"/>
              <w:jc w:val="center"/>
              <w:rPr>
                <w:rFonts w:eastAsia="Times New Roman" w:cs="Times New Roman"/>
                <w:bCs/>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C5974FB" w14:textId="77777777" w:rsidR="008E6885" w:rsidRDefault="00EA24E7">
            <w:pPr>
              <w:pStyle w:val="P68B1DB1-Normal17"/>
              <w:spacing w:after="0" w:line="240" w:lineRule="auto"/>
              <w:jc w:val="center"/>
              <w:rPr>
                <w:rFonts w:eastAsia="Times New Roman" w:cs="Times New Roman"/>
                <w:bCs/>
                <w:noProof/>
              </w:rPr>
            </w:pPr>
            <w:r>
              <w:rPr>
                <w:noProof/>
              </w:rPr>
              <w:t>Année</w:t>
            </w: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6EE9B1B9" w14:textId="77777777" w:rsidR="008E6885" w:rsidRDefault="008E6885">
            <w:pPr>
              <w:spacing w:after="0" w:line="240" w:lineRule="auto"/>
              <w:jc w:val="both"/>
              <w:rPr>
                <w:rFonts w:ascii="Times New Roman" w:eastAsia="Times New Roman" w:hAnsi="Times New Roman" w:cs="Times New Roman"/>
                <w:b/>
                <w:bCs/>
                <w:noProof/>
                <w:kern w:val="0"/>
                <w:sz w:val="18"/>
                <w:szCs w:val="18"/>
                <w14:ligatures w14:val="none"/>
              </w:rPr>
            </w:pPr>
          </w:p>
        </w:tc>
      </w:tr>
      <w:tr w:rsidR="008E6885" w14:paraId="3226974D" w14:textId="77777777" w:rsidTr="00D57C89">
        <w:tc>
          <w:tcPr>
            <w:tcW w:w="630" w:type="dxa"/>
            <w:tcBorders>
              <w:top w:val="single" w:sz="4" w:space="0" w:color="auto"/>
              <w:left w:val="single" w:sz="4" w:space="0" w:color="auto"/>
              <w:bottom w:val="single" w:sz="4" w:space="0" w:color="auto"/>
              <w:right w:val="single" w:sz="4" w:space="0" w:color="auto"/>
            </w:tcBorders>
            <w:shd w:val="clear" w:color="auto" w:fill="C6EFCE"/>
            <w:hideMark/>
          </w:tcPr>
          <w:p w14:paraId="2F840788" w14:textId="77777777" w:rsidR="008E6885" w:rsidRDefault="00EA24E7">
            <w:pPr>
              <w:pStyle w:val="P68B1DB1-Normal19"/>
              <w:spacing w:after="0" w:line="240" w:lineRule="auto"/>
              <w:rPr>
                <w:rFonts w:ascii="Calibri" w:hAnsi="Calibri"/>
                <w:noProof/>
              </w:rPr>
            </w:pPr>
            <w:r>
              <w:rPr>
                <w:noProof/>
              </w:rPr>
              <w:t>215</w:t>
            </w:r>
          </w:p>
        </w:tc>
        <w:tc>
          <w:tcPr>
            <w:tcW w:w="1705" w:type="dxa"/>
            <w:tcBorders>
              <w:top w:val="single" w:sz="4" w:space="0" w:color="auto"/>
              <w:left w:val="single" w:sz="4" w:space="0" w:color="auto"/>
              <w:bottom w:val="single" w:sz="4" w:space="0" w:color="auto"/>
              <w:right w:val="single" w:sz="4" w:space="0" w:color="auto"/>
            </w:tcBorders>
            <w:shd w:val="clear" w:color="auto" w:fill="C6EFCE"/>
            <w:hideMark/>
          </w:tcPr>
          <w:p w14:paraId="7721C006" w14:textId="77777777" w:rsidR="008E6885" w:rsidRDefault="00EA24E7">
            <w:pPr>
              <w:pStyle w:val="P68B1DB1-Normal17"/>
              <w:spacing w:after="0" w:line="240" w:lineRule="auto"/>
              <w:rPr>
                <w:rFonts w:eastAsia="Times New Roman" w:cs="Times New Roman"/>
                <w:bCs/>
                <w:noProof/>
              </w:rPr>
            </w:pPr>
            <w:r>
              <w:rPr>
                <w:noProof/>
              </w:rPr>
              <w:t>7.1.r. Transformer le secteur énergétique national</w:t>
            </w:r>
          </w:p>
        </w:tc>
        <w:tc>
          <w:tcPr>
            <w:tcW w:w="1346" w:type="dxa"/>
            <w:tcBorders>
              <w:top w:val="single" w:sz="4" w:space="0" w:color="auto"/>
              <w:left w:val="single" w:sz="4" w:space="0" w:color="auto"/>
              <w:bottom w:val="single" w:sz="4" w:space="0" w:color="auto"/>
              <w:right w:val="single" w:sz="4" w:space="0" w:color="auto"/>
            </w:tcBorders>
            <w:shd w:val="clear" w:color="auto" w:fill="C6EFCE"/>
            <w:hideMark/>
          </w:tcPr>
          <w:p w14:paraId="64D09B4A" w14:textId="77777777" w:rsidR="008E6885" w:rsidRDefault="00EA24E7">
            <w:pPr>
              <w:pStyle w:val="P68B1DB1-Normal19"/>
              <w:spacing w:after="0" w:line="240" w:lineRule="auto"/>
              <w:rPr>
                <w:rFonts w:eastAsia="Times New Roman" w:cs="Times New Roman"/>
                <w:noProof/>
              </w:rPr>
            </w:pPr>
            <w:r>
              <w:rPr>
                <w:noProof/>
              </w:rPr>
              <w:t>Étape</w:t>
            </w:r>
          </w:p>
        </w:tc>
        <w:tc>
          <w:tcPr>
            <w:tcW w:w="1368" w:type="dxa"/>
            <w:tcBorders>
              <w:top w:val="single" w:sz="4" w:space="0" w:color="auto"/>
              <w:left w:val="single" w:sz="4" w:space="0" w:color="auto"/>
              <w:bottom w:val="single" w:sz="4" w:space="0" w:color="auto"/>
              <w:right w:val="single" w:sz="4" w:space="0" w:color="auto"/>
            </w:tcBorders>
            <w:shd w:val="clear" w:color="auto" w:fill="C6EFCE"/>
            <w:hideMark/>
          </w:tcPr>
          <w:p w14:paraId="31E2627D" w14:textId="77777777" w:rsidR="008E6885" w:rsidRDefault="00EA24E7">
            <w:pPr>
              <w:pStyle w:val="P68B1DB1-Normal19"/>
              <w:spacing w:after="0" w:line="240" w:lineRule="auto"/>
              <w:rPr>
                <w:rFonts w:eastAsia="Times New Roman" w:cs="Times New Roman"/>
                <w:noProof/>
              </w:rPr>
            </w:pPr>
            <w:r>
              <w:rPr>
                <w:noProof/>
              </w:rPr>
              <w:t>Actes juridiques établissant un cadre pour l’enregistrement et l’exploitation des communautés énergétiques</w:t>
            </w:r>
          </w:p>
        </w:tc>
        <w:tc>
          <w:tcPr>
            <w:tcW w:w="1626" w:type="dxa"/>
            <w:tcBorders>
              <w:top w:val="single" w:sz="4" w:space="0" w:color="auto"/>
              <w:left w:val="single" w:sz="4" w:space="0" w:color="auto"/>
              <w:bottom w:val="single" w:sz="4" w:space="0" w:color="auto"/>
              <w:right w:val="single" w:sz="4" w:space="0" w:color="auto"/>
            </w:tcBorders>
            <w:shd w:val="clear" w:color="auto" w:fill="C6EFCE"/>
            <w:hideMark/>
          </w:tcPr>
          <w:p w14:paraId="54E931DF" w14:textId="77777777" w:rsidR="008E6885" w:rsidRDefault="00EA24E7">
            <w:pPr>
              <w:pStyle w:val="P68B1DB1-Normal19"/>
              <w:spacing w:after="0" w:line="240" w:lineRule="auto"/>
              <w:rPr>
                <w:rFonts w:eastAsia="Times New Roman" w:cs="Times New Roman"/>
                <w:noProof/>
              </w:rPr>
            </w:pPr>
            <w:r>
              <w:rPr>
                <w:noProof/>
              </w:rPr>
              <w:t>Dispositions juridiques indiquant l'entrée en vigueur des actes juridiques</w:t>
            </w:r>
          </w:p>
        </w:tc>
        <w:tc>
          <w:tcPr>
            <w:tcW w:w="953" w:type="dxa"/>
            <w:tcBorders>
              <w:top w:val="single" w:sz="4" w:space="0" w:color="auto"/>
              <w:left w:val="single" w:sz="4" w:space="0" w:color="auto"/>
              <w:bottom w:val="single" w:sz="4" w:space="0" w:color="auto"/>
              <w:right w:val="single" w:sz="4" w:space="0" w:color="auto"/>
            </w:tcBorders>
            <w:shd w:val="clear" w:color="auto" w:fill="C6EFCE"/>
            <w:hideMark/>
          </w:tcPr>
          <w:p w14:paraId="112B1766"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hideMark/>
          </w:tcPr>
          <w:p w14:paraId="3D2D604C"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12" w:type="dxa"/>
            <w:tcBorders>
              <w:top w:val="single" w:sz="4" w:space="0" w:color="auto"/>
              <w:left w:val="single" w:sz="4" w:space="0" w:color="auto"/>
              <w:bottom w:val="single" w:sz="4" w:space="0" w:color="auto"/>
              <w:right w:val="single" w:sz="4" w:space="0" w:color="auto"/>
            </w:tcBorders>
            <w:shd w:val="clear" w:color="auto" w:fill="C6EFCE"/>
            <w:hideMark/>
          </w:tcPr>
          <w:p w14:paraId="10D41EF3"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34B413DD" w14:textId="77777777" w:rsidR="008E6885" w:rsidRDefault="00EA24E7">
            <w:pPr>
              <w:pStyle w:val="P68B1DB1-Normal19"/>
              <w:spacing w:after="0" w:line="240" w:lineRule="auto"/>
              <w:jc w:val="center"/>
              <w:rPr>
                <w:rFonts w:eastAsia="Times New Roman"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hideMark/>
          </w:tcPr>
          <w:p w14:paraId="7B6AD8FA" w14:textId="77777777" w:rsidR="008E6885" w:rsidRDefault="00EA24E7">
            <w:pPr>
              <w:pStyle w:val="P68B1DB1-Normal19"/>
              <w:spacing w:after="0" w:line="240" w:lineRule="auto"/>
              <w:jc w:val="center"/>
              <w:rPr>
                <w:rFonts w:eastAsia="Times New Roman" w:cs="Times New Roman"/>
                <w:noProof/>
              </w:rPr>
            </w:pPr>
            <w:r>
              <w:rPr>
                <w:noProof/>
              </w:rPr>
              <w:t>2024</w:t>
            </w:r>
          </w:p>
        </w:tc>
        <w:tc>
          <w:tcPr>
            <w:tcW w:w="2613" w:type="dxa"/>
            <w:tcBorders>
              <w:top w:val="single" w:sz="4" w:space="0" w:color="auto"/>
              <w:left w:val="single" w:sz="4" w:space="0" w:color="auto"/>
              <w:bottom w:val="single" w:sz="4" w:space="0" w:color="auto"/>
              <w:right w:val="single" w:sz="4" w:space="0" w:color="auto"/>
            </w:tcBorders>
            <w:shd w:val="clear" w:color="auto" w:fill="C6EFCE"/>
            <w:hideMark/>
          </w:tcPr>
          <w:p w14:paraId="426EBF44" w14:textId="77777777" w:rsidR="008E6885" w:rsidRDefault="00EA24E7">
            <w:pPr>
              <w:pStyle w:val="P68B1DB1-Normal19"/>
              <w:spacing w:after="0" w:line="240" w:lineRule="auto"/>
              <w:jc w:val="both"/>
              <w:rPr>
                <w:noProof/>
              </w:rPr>
            </w:pPr>
            <w:r>
              <w:rPr>
                <w:noProof/>
              </w:rPr>
              <w:t>Entrée en vigueur des actes juridiques qui:</w:t>
            </w:r>
          </w:p>
          <w:p w14:paraId="1D1AA227" w14:textId="77777777" w:rsidR="008E6885" w:rsidRDefault="00EA24E7">
            <w:pPr>
              <w:pStyle w:val="P68B1DB1-ListParagraph27"/>
              <w:numPr>
                <w:ilvl w:val="0"/>
                <w:numId w:val="36"/>
              </w:numPr>
              <w:spacing w:after="0" w:line="240" w:lineRule="auto"/>
              <w:ind w:left="201" w:hanging="201"/>
              <w:jc w:val="both"/>
              <w:rPr>
                <w:rFonts w:eastAsia="Times New Roman" w:cs="Times New Roman"/>
                <w:noProof/>
              </w:rPr>
            </w:pPr>
            <w:r>
              <w:rPr>
                <w:noProof/>
              </w:rPr>
              <w:t>fixer les conditions et les procédures d'enregistrement et d'exploitation des communautés énergétiques;</w:t>
            </w:r>
          </w:p>
          <w:p w14:paraId="2D451A8A" w14:textId="77777777" w:rsidR="008E6885" w:rsidRDefault="00EA24E7">
            <w:pPr>
              <w:pStyle w:val="P68B1DB1-ListParagraph27"/>
              <w:numPr>
                <w:ilvl w:val="0"/>
                <w:numId w:val="36"/>
              </w:numPr>
              <w:spacing w:after="0" w:line="240" w:lineRule="auto"/>
              <w:ind w:left="201" w:hanging="201"/>
              <w:jc w:val="both"/>
              <w:rPr>
                <w:rFonts w:eastAsia="Times New Roman" w:cs="Times New Roman"/>
                <w:noProof/>
              </w:rPr>
            </w:pPr>
            <w:r>
              <w:rPr>
                <w:noProof/>
              </w:rPr>
              <w:t>introduire l’obligation pour les autorités locales d’orienter une partie de la quantité d’électricité produite dans la communauté énergétique vers des groupes socialement défavorisés de la société;</w:t>
            </w:r>
          </w:p>
          <w:p w14:paraId="36D55B91" w14:textId="7DF7FA2A" w:rsidR="008E6885" w:rsidRDefault="00EA24E7">
            <w:pPr>
              <w:pStyle w:val="P68B1DB1-ListParagraph27"/>
              <w:numPr>
                <w:ilvl w:val="0"/>
                <w:numId w:val="36"/>
              </w:numPr>
              <w:spacing w:after="0" w:line="240" w:lineRule="auto"/>
              <w:ind w:left="201" w:hanging="201"/>
              <w:jc w:val="both"/>
              <w:rPr>
                <w:rFonts w:eastAsia="Times New Roman" w:cs="Times New Roman"/>
                <w:noProof/>
              </w:rPr>
            </w:pPr>
            <w:r>
              <w:rPr>
                <w:noProof/>
              </w:rPr>
              <w:t>introduire l’obligation pour les professionnels de l’électricité de proposer au moins un produit pour l’achat d’électricité auprès de communautés énergétiques.</w:t>
            </w:r>
          </w:p>
        </w:tc>
      </w:tr>
      <w:tr w:rsidR="008E6885" w14:paraId="22146CD2" w14:textId="77777777" w:rsidTr="00D57C89">
        <w:tc>
          <w:tcPr>
            <w:tcW w:w="630" w:type="dxa"/>
            <w:tcBorders>
              <w:top w:val="single" w:sz="4" w:space="0" w:color="auto"/>
              <w:left w:val="single" w:sz="4" w:space="0" w:color="auto"/>
              <w:bottom w:val="single" w:sz="4" w:space="0" w:color="auto"/>
              <w:right w:val="single" w:sz="4" w:space="0" w:color="auto"/>
            </w:tcBorders>
            <w:shd w:val="clear" w:color="auto" w:fill="C6EFCE"/>
          </w:tcPr>
          <w:p w14:paraId="0D8745B5" w14:textId="77777777" w:rsidR="008E6885" w:rsidRDefault="00EA24E7">
            <w:pPr>
              <w:pStyle w:val="P68B1DB1-Normal19"/>
              <w:spacing w:after="0" w:line="240" w:lineRule="auto"/>
              <w:rPr>
                <w:rFonts w:ascii="Calibri" w:hAnsi="Calibri"/>
                <w:noProof/>
              </w:rPr>
            </w:pPr>
            <w:r>
              <w:rPr>
                <w:noProof/>
              </w:rPr>
              <w:t>216</w:t>
            </w:r>
          </w:p>
        </w:tc>
        <w:tc>
          <w:tcPr>
            <w:tcW w:w="1705" w:type="dxa"/>
            <w:tcBorders>
              <w:top w:val="single" w:sz="4" w:space="0" w:color="auto"/>
              <w:left w:val="single" w:sz="4" w:space="0" w:color="auto"/>
              <w:bottom w:val="single" w:sz="4" w:space="0" w:color="auto"/>
              <w:right w:val="single" w:sz="4" w:space="0" w:color="auto"/>
            </w:tcBorders>
            <w:shd w:val="clear" w:color="auto" w:fill="C6EFCE"/>
          </w:tcPr>
          <w:p w14:paraId="1989F757" w14:textId="77777777" w:rsidR="008E6885" w:rsidRDefault="00EA24E7">
            <w:pPr>
              <w:pStyle w:val="P68B1DB1-Normal17"/>
              <w:spacing w:after="0" w:line="240" w:lineRule="auto"/>
              <w:rPr>
                <w:rFonts w:eastAsia="Times New Roman" w:cs="Times New Roman"/>
                <w:bCs/>
                <w:noProof/>
              </w:rPr>
            </w:pPr>
            <w:r>
              <w:rPr>
                <w:noProof/>
              </w:rPr>
              <w:t>7.1.r. Transformer le secteur énergétique national</w:t>
            </w:r>
          </w:p>
        </w:tc>
        <w:tc>
          <w:tcPr>
            <w:tcW w:w="1346" w:type="dxa"/>
            <w:tcBorders>
              <w:top w:val="single" w:sz="4" w:space="0" w:color="auto"/>
              <w:left w:val="single" w:sz="4" w:space="0" w:color="auto"/>
              <w:bottom w:val="single" w:sz="4" w:space="0" w:color="auto"/>
              <w:right w:val="single" w:sz="4" w:space="0" w:color="auto"/>
            </w:tcBorders>
            <w:shd w:val="clear" w:color="auto" w:fill="C6EFCE"/>
          </w:tcPr>
          <w:p w14:paraId="5CE27C20" w14:textId="77777777" w:rsidR="008E6885" w:rsidRDefault="00EA24E7">
            <w:pPr>
              <w:pStyle w:val="P68B1DB1-Normal19"/>
              <w:spacing w:after="0" w:line="240" w:lineRule="auto"/>
              <w:rPr>
                <w:rFonts w:eastAsia="Times New Roman" w:cs="Times New Roman"/>
                <w:noProof/>
              </w:rPr>
            </w:pPr>
            <w:r>
              <w:rPr>
                <w:noProof/>
              </w:rPr>
              <w:t>Étape</w:t>
            </w:r>
          </w:p>
        </w:tc>
        <w:tc>
          <w:tcPr>
            <w:tcW w:w="1368" w:type="dxa"/>
            <w:tcBorders>
              <w:top w:val="single" w:sz="4" w:space="0" w:color="auto"/>
              <w:left w:val="single" w:sz="4" w:space="0" w:color="auto"/>
              <w:bottom w:val="single" w:sz="4" w:space="0" w:color="auto"/>
              <w:right w:val="single" w:sz="4" w:space="0" w:color="auto"/>
            </w:tcBorders>
            <w:shd w:val="clear" w:color="auto" w:fill="C6EFCE"/>
          </w:tcPr>
          <w:p w14:paraId="77C0C850" w14:textId="77777777" w:rsidR="008E6885" w:rsidRDefault="00EA24E7">
            <w:pPr>
              <w:pStyle w:val="P68B1DB1-Normal19"/>
              <w:spacing w:after="0" w:line="240" w:lineRule="auto"/>
              <w:rPr>
                <w:rFonts w:eastAsia="Times New Roman" w:cs="Times New Roman"/>
                <w:noProof/>
              </w:rPr>
            </w:pPr>
            <w:r>
              <w:rPr>
                <w:noProof/>
              </w:rPr>
              <w:t>Législation modifiant les normes relatives au commerce et à la consommation d'électricité</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39D1AC75" w14:textId="77777777" w:rsidR="008E6885" w:rsidRDefault="00EA24E7">
            <w:pPr>
              <w:pStyle w:val="P68B1DB1-Normal19"/>
              <w:spacing w:after="0" w:line="240" w:lineRule="auto"/>
              <w:rPr>
                <w:rFonts w:eastAsia="Times New Roman" w:cs="Times New Roman"/>
                <w:noProof/>
              </w:rPr>
            </w:pPr>
            <w:r>
              <w:rPr>
                <w:noProof/>
              </w:rPr>
              <w:t xml:space="preserve">Dispositions légales indiquant l'entrée en vigueur de la législation modifiant les normes relatives au commerce et à la consommation d'électricité </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3BD1E709"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7E9918A3"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12" w:type="dxa"/>
            <w:tcBorders>
              <w:top w:val="single" w:sz="4" w:space="0" w:color="auto"/>
              <w:left w:val="single" w:sz="4" w:space="0" w:color="auto"/>
              <w:bottom w:val="single" w:sz="4" w:space="0" w:color="auto"/>
              <w:right w:val="single" w:sz="4" w:space="0" w:color="auto"/>
            </w:tcBorders>
            <w:shd w:val="clear" w:color="auto" w:fill="C6EFCE"/>
          </w:tcPr>
          <w:p w14:paraId="52531349"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817AAEA" w14:textId="77777777" w:rsidR="008E6885" w:rsidRDefault="00EA24E7">
            <w:pPr>
              <w:pStyle w:val="P68B1DB1-Normal19"/>
              <w:spacing w:after="0" w:line="240" w:lineRule="auto"/>
              <w:jc w:val="center"/>
              <w:rPr>
                <w:rFonts w:eastAsia="Times New Roman"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F04B338" w14:textId="77777777" w:rsidR="008E6885" w:rsidRDefault="00EA24E7">
            <w:pPr>
              <w:pStyle w:val="P68B1DB1-Normal19"/>
              <w:spacing w:after="0" w:line="240" w:lineRule="auto"/>
              <w:jc w:val="center"/>
              <w:rPr>
                <w:rFonts w:eastAsia="Times New Roman" w:cs="Times New Roman"/>
                <w:noProof/>
              </w:rPr>
            </w:pPr>
            <w:r>
              <w:rPr>
                <w:noProof/>
              </w:rPr>
              <w:t>2024</w:t>
            </w:r>
          </w:p>
        </w:tc>
        <w:tc>
          <w:tcPr>
            <w:tcW w:w="2613" w:type="dxa"/>
            <w:tcBorders>
              <w:top w:val="single" w:sz="4" w:space="0" w:color="auto"/>
              <w:left w:val="single" w:sz="4" w:space="0" w:color="auto"/>
              <w:bottom w:val="single" w:sz="4" w:space="0" w:color="auto"/>
              <w:right w:val="single" w:sz="4" w:space="0" w:color="auto"/>
            </w:tcBorders>
            <w:shd w:val="clear" w:color="auto" w:fill="C6EFCE"/>
          </w:tcPr>
          <w:p w14:paraId="6D8986A8" w14:textId="77777777" w:rsidR="008E6885" w:rsidRDefault="00EA24E7">
            <w:pPr>
              <w:pStyle w:val="P68B1DB1-Normal19"/>
              <w:spacing w:after="0" w:line="240" w:lineRule="auto"/>
              <w:jc w:val="both"/>
              <w:rPr>
                <w:rFonts w:eastAsia="Times New Roman" w:cs="Times New Roman"/>
                <w:noProof/>
              </w:rPr>
            </w:pPr>
            <w:r>
              <w:rPr>
                <w:noProof/>
              </w:rPr>
              <w:t>Entrée en vigueur des amendements aux normes relatives au commerce et à la consommation d'électricité, qui introduisent:</w:t>
            </w:r>
            <w:bookmarkStart w:id="5" w:name="_Hlk147500692"/>
          </w:p>
          <w:p w14:paraId="46A80E2F" w14:textId="77777777" w:rsidR="008E6885" w:rsidRDefault="00EA24E7">
            <w:pPr>
              <w:pStyle w:val="P68B1DB1-ListParagraph27"/>
              <w:numPr>
                <w:ilvl w:val="0"/>
                <w:numId w:val="37"/>
              </w:numPr>
              <w:spacing w:after="0" w:line="240" w:lineRule="auto"/>
              <w:ind w:left="201" w:hanging="201"/>
              <w:jc w:val="both"/>
              <w:rPr>
                <w:rFonts w:eastAsia="Times New Roman" w:cs="Times New Roman"/>
                <w:noProof/>
              </w:rPr>
            </w:pPr>
            <w:r>
              <w:rPr>
                <w:noProof/>
              </w:rPr>
              <w:t>la condition que le partage d’énergie soit possible au-delà du bâtiment comprenant plusieurs appartements sans qu’il soit nécessaire de créer une communauté énergétique;</w:t>
            </w:r>
            <w:bookmarkEnd w:id="5"/>
          </w:p>
          <w:p w14:paraId="447811AF" w14:textId="77777777" w:rsidR="008E6885" w:rsidRDefault="00EA24E7">
            <w:pPr>
              <w:pStyle w:val="P68B1DB1-ListParagraph27"/>
              <w:numPr>
                <w:ilvl w:val="0"/>
                <w:numId w:val="37"/>
              </w:numPr>
              <w:spacing w:after="0" w:line="240" w:lineRule="auto"/>
              <w:ind w:left="201" w:hanging="201"/>
              <w:jc w:val="both"/>
              <w:rPr>
                <w:rFonts w:eastAsia="Times New Roman" w:cs="Times New Roman"/>
                <w:noProof/>
              </w:rPr>
            </w:pPr>
            <w:r>
              <w:rPr>
                <w:noProof/>
              </w:rPr>
              <w:t xml:space="preserve">la possibilité d’utiliser la quantité d’électricité produite dans l’installation d’un utilisateur d’électricité pour couvrir les besoins de consommation d’une autre installation du même utilisateur, quel que soit l’emplacement des installations. Les seules limitations sont que les installations sont i) situées sur le territoire de la République de Lettonie et ii) mises en service pour le réseau de transport et de distribution d’électricité existant en République de Lettonie. </w:t>
            </w:r>
          </w:p>
          <w:p w14:paraId="67B83D4C" w14:textId="052DADFA" w:rsidR="008E6885" w:rsidRDefault="00EA24E7">
            <w:pPr>
              <w:pStyle w:val="P68B1DB1-ListParagraph27"/>
              <w:numPr>
                <w:ilvl w:val="0"/>
                <w:numId w:val="37"/>
              </w:numPr>
              <w:spacing w:after="0" w:line="240" w:lineRule="auto"/>
              <w:ind w:left="201" w:hanging="201"/>
              <w:jc w:val="both"/>
              <w:rPr>
                <w:rFonts w:eastAsia="Times New Roman" w:cs="Times New Roman"/>
                <w:noProof/>
              </w:rPr>
            </w:pPr>
            <w:r>
              <w:rPr>
                <w:noProof/>
              </w:rPr>
              <w:t>l’obligation pour les professionnels de l’électricité d’introduire au moins un produit pour l’achat d’électricité auprès d’autoconsommateurs exploitant une installation de microgénérateurs.</w:t>
            </w:r>
          </w:p>
        </w:tc>
      </w:tr>
      <w:tr w:rsidR="008E6885" w14:paraId="73C9BD26" w14:textId="77777777" w:rsidTr="00D57C89">
        <w:tc>
          <w:tcPr>
            <w:tcW w:w="630" w:type="dxa"/>
            <w:tcBorders>
              <w:top w:val="single" w:sz="4" w:space="0" w:color="auto"/>
              <w:left w:val="single" w:sz="4" w:space="0" w:color="auto"/>
              <w:bottom w:val="single" w:sz="4" w:space="0" w:color="auto"/>
              <w:right w:val="single" w:sz="4" w:space="0" w:color="auto"/>
            </w:tcBorders>
            <w:shd w:val="clear" w:color="auto" w:fill="C6EFCE"/>
          </w:tcPr>
          <w:p w14:paraId="049F7076" w14:textId="77777777" w:rsidR="008E6885" w:rsidRDefault="00EA24E7">
            <w:pPr>
              <w:pStyle w:val="P68B1DB1-Normal19"/>
              <w:spacing w:after="0" w:line="240" w:lineRule="auto"/>
              <w:rPr>
                <w:rFonts w:ascii="Calibri" w:hAnsi="Calibri"/>
                <w:noProof/>
              </w:rPr>
            </w:pPr>
            <w:r>
              <w:rPr>
                <w:noProof/>
              </w:rPr>
              <w:t>217</w:t>
            </w:r>
          </w:p>
        </w:tc>
        <w:tc>
          <w:tcPr>
            <w:tcW w:w="1705" w:type="dxa"/>
            <w:tcBorders>
              <w:top w:val="single" w:sz="4" w:space="0" w:color="auto"/>
              <w:left w:val="single" w:sz="4" w:space="0" w:color="auto"/>
              <w:bottom w:val="single" w:sz="4" w:space="0" w:color="auto"/>
              <w:right w:val="single" w:sz="4" w:space="0" w:color="auto"/>
            </w:tcBorders>
            <w:shd w:val="clear" w:color="auto" w:fill="C6EFCE"/>
          </w:tcPr>
          <w:p w14:paraId="73AA0CDF" w14:textId="77777777" w:rsidR="008E6885" w:rsidRDefault="00EA24E7">
            <w:pPr>
              <w:pStyle w:val="P68B1DB1-Normal17"/>
              <w:spacing w:after="0" w:line="240" w:lineRule="auto"/>
              <w:rPr>
                <w:rFonts w:eastAsia="Times New Roman" w:cs="Times New Roman"/>
                <w:bCs/>
                <w:noProof/>
              </w:rPr>
            </w:pPr>
            <w:r>
              <w:rPr>
                <w:noProof/>
              </w:rPr>
              <w:t>7.1.r. Transformer le secteur énergétique national</w:t>
            </w:r>
          </w:p>
        </w:tc>
        <w:tc>
          <w:tcPr>
            <w:tcW w:w="1346" w:type="dxa"/>
            <w:tcBorders>
              <w:top w:val="single" w:sz="4" w:space="0" w:color="auto"/>
              <w:left w:val="single" w:sz="4" w:space="0" w:color="auto"/>
              <w:bottom w:val="single" w:sz="4" w:space="0" w:color="auto"/>
              <w:right w:val="single" w:sz="4" w:space="0" w:color="auto"/>
            </w:tcBorders>
            <w:shd w:val="clear" w:color="auto" w:fill="C6EFCE"/>
          </w:tcPr>
          <w:p w14:paraId="5DBCB514" w14:textId="77777777" w:rsidR="008E6885" w:rsidRDefault="00EA24E7">
            <w:pPr>
              <w:pStyle w:val="P68B1DB1-Normal19"/>
              <w:spacing w:after="0" w:line="240" w:lineRule="auto"/>
              <w:rPr>
                <w:rFonts w:eastAsia="Times New Roman" w:cs="Times New Roman"/>
                <w:noProof/>
              </w:rPr>
            </w:pPr>
            <w:r>
              <w:rPr>
                <w:noProof/>
              </w:rPr>
              <w:t>Étape</w:t>
            </w:r>
          </w:p>
        </w:tc>
        <w:tc>
          <w:tcPr>
            <w:tcW w:w="1368" w:type="dxa"/>
            <w:tcBorders>
              <w:top w:val="single" w:sz="4" w:space="0" w:color="auto"/>
              <w:left w:val="single" w:sz="4" w:space="0" w:color="auto"/>
              <w:bottom w:val="single" w:sz="4" w:space="0" w:color="auto"/>
              <w:right w:val="single" w:sz="4" w:space="0" w:color="auto"/>
            </w:tcBorders>
            <w:shd w:val="clear" w:color="auto" w:fill="C6EFCE"/>
          </w:tcPr>
          <w:p w14:paraId="2B7BBA07" w14:textId="77777777" w:rsidR="008E6885" w:rsidRDefault="00EA24E7">
            <w:pPr>
              <w:pStyle w:val="P68B1DB1-Normal19"/>
              <w:spacing w:after="0" w:line="240" w:lineRule="auto"/>
              <w:rPr>
                <w:rFonts w:eastAsia="Times New Roman" w:cs="Times New Roman"/>
                <w:noProof/>
                <w:highlight w:val="yellow"/>
              </w:rPr>
            </w:pPr>
            <w:r>
              <w:rPr>
                <w:noProof/>
              </w:rPr>
              <w:t>Législation sur l'optimisation du réseau électrique</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449C5863" w14:textId="77777777" w:rsidR="008E6885" w:rsidRDefault="00EA24E7">
            <w:pPr>
              <w:pStyle w:val="P68B1DB1-Normal19"/>
              <w:spacing w:after="0" w:line="240" w:lineRule="auto"/>
              <w:rPr>
                <w:rFonts w:eastAsia="Times New Roman" w:cs="Times New Roman"/>
                <w:noProof/>
              </w:rPr>
            </w:pPr>
            <w:r>
              <w:rPr>
                <w:noProof/>
              </w:rPr>
              <w:t xml:space="preserve">Dispositions légales indiquant l'entrée en vigueur de la législation </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3CF7B07F"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053ACC83"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12" w:type="dxa"/>
            <w:tcBorders>
              <w:top w:val="single" w:sz="4" w:space="0" w:color="auto"/>
              <w:left w:val="single" w:sz="4" w:space="0" w:color="auto"/>
              <w:bottom w:val="single" w:sz="4" w:space="0" w:color="auto"/>
              <w:right w:val="single" w:sz="4" w:space="0" w:color="auto"/>
            </w:tcBorders>
            <w:shd w:val="clear" w:color="auto" w:fill="C6EFCE"/>
          </w:tcPr>
          <w:p w14:paraId="3BC45EEF"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77ACA24" w14:textId="77777777" w:rsidR="008E6885" w:rsidRDefault="00EA24E7">
            <w:pPr>
              <w:pStyle w:val="P68B1DB1-Normal19"/>
              <w:spacing w:after="0" w:line="240" w:lineRule="auto"/>
              <w:jc w:val="center"/>
              <w:rPr>
                <w:rFonts w:eastAsia="Times New Roman"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3CA9C6AE" w14:textId="77777777" w:rsidR="008E6885" w:rsidRDefault="00EA24E7">
            <w:pPr>
              <w:pStyle w:val="P68B1DB1-Normal19"/>
              <w:spacing w:after="0" w:line="240" w:lineRule="auto"/>
              <w:jc w:val="center"/>
              <w:rPr>
                <w:rFonts w:eastAsia="Times New Roman" w:cs="Times New Roman"/>
                <w:noProof/>
              </w:rPr>
            </w:pPr>
            <w:r>
              <w:rPr>
                <w:noProof/>
              </w:rPr>
              <w:t>2025</w:t>
            </w:r>
          </w:p>
        </w:tc>
        <w:tc>
          <w:tcPr>
            <w:tcW w:w="2613" w:type="dxa"/>
            <w:tcBorders>
              <w:top w:val="single" w:sz="4" w:space="0" w:color="auto"/>
              <w:left w:val="single" w:sz="4" w:space="0" w:color="auto"/>
              <w:bottom w:val="single" w:sz="4" w:space="0" w:color="auto"/>
              <w:right w:val="single" w:sz="4" w:space="0" w:color="auto"/>
            </w:tcBorders>
            <w:shd w:val="clear" w:color="auto" w:fill="C6EFCE"/>
          </w:tcPr>
          <w:p w14:paraId="5837E7F0" w14:textId="77777777" w:rsidR="008E6885" w:rsidRDefault="00EA24E7">
            <w:pPr>
              <w:pStyle w:val="P68B1DB1-Normal19"/>
              <w:spacing w:after="0" w:line="240" w:lineRule="auto"/>
              <w:jc w:val="both"/>
              <w:rPr>
                <w:rFonts w:eastAsia="Times New Roman" w:cs="Times New Roman"/>
                <w:noProof/>
              </w:rPr>
            </w:pPr>
            <w:r>
              <w:rPr>
                <w:noProof/>
              </w:rPr>
              <w:t>Entrée en vigueur de la législation introduisant un service de réseau de transport flexible et une fenêtre temporaire permettant aux producteurs d’électricité de demander le remboursement de la redevance versée par le passé pour réserver la capacité du réseau de transport, si les producteurs souhaitent interrompre le raccordement ou réduire la capacité spécifiée dans les exigences techniques.</w:t>
            </w:r>
          </w:p>
        </w:tc>
      </w:tr>
      <w:tr w:rsidR="008E6885" w14:paraId="0C6EC089" w14:textId="77777777" w:rsidTr="00D57C89">
        <w:tc>
          <w:tcPr>
            <w:tcW w:w="630" w:type="dxa"/>
            <w:tcBorders>
              <w:top w:val="single" w:sz="4" w:space="0" w:color="auto"/>
              <w:left w:val="single" w:sz="4" w:space="0" w:color="auto"/>
              <w:bottom w:val="single" w:sz="4" w:space="0" w:color="auto"/>
              <w:right w:val="single" w:sz="4" w:space="0" w:color="auto"/>
            </w:tcBorders>
            <w:shd w:val="clear" w:color="auto" w:fill="C6EFCE"/>
          </w:tcPr>
          <w:p w14:paraId="1D6A4847" w14:textId="77777777" w:rsidR="008E6885" w:rsidRDefault="00EA24E7">
            <w:pPr>
              <w:pStyle w:val="P68B1DB1-Normal19"/>
              <w:spacing w:after="0" w:line="240" w:lineRule="auto"/>
              <w:rPr>
                <w:rFonts w:ascii="Calibri" w:hAnsi="Calibri"/>
                <w:noProof/>
              </w:rPr>
            </w:pPr>
            <w:r>
              <w:rPr>
                <w:noProof/>
              </w:rPr>
              <w:t>219</w:t>
            </w:r>
          </w:p>
        </w:tc>
        <w:tc>
          <w:tcPr>
            <w:tcW w:w="1705" w:type="dxa"/>
            <w:tcBorders>
              <w:top w:val="single" w:sz="4" w:space="0" w:color="auto"/>
              <w:left w:val="single" w:sz="4" w:space="0" w:color="auto"/>
              <w:bottom w:val="single" w:sz="4" w:space="0" w:color="auto"/>
              <w:right w:val="single" w:sz="4" w:space="0" w:color="auto"/>
            </w:tcBorders>
            <w:shd w:val="clear" w:color="auto" w:fill="C6EFCE"/>
          </w:tcPr>
          <w:p w14:paraId="11638DCF" w14:textId="77777777" w:rsidR="008E6885" w:rsidRDefault="00EA24E7">
            <w:pPr>
              <w:pStyle w:val="P68B1DB1-Normal17"/>
              <w:spacing w:after="0" w:line="240" w:lineRule="auto"/>
              <w:rPr>
                <w:rFonts w:eastAsia="Times New Roman" w:cs="Times New Roman"/>
                <w:bCs/>
                <w:noProof/>
              </w:rPr>
            </w:pPr>
            <w:r>
              <w:rPr>
                <w:noProof/>
              </w:rPr>
              <w:t>7.2.i. Sécurité et stabilité de l'approvisionnement énergétique et synchronisation avec le réseau de l'Union</w:t>
            </w:r>
          </w:p>
        </w:tc>
        <w:tc>
          <w:tcPr>
            <w:tcW w:w="1346" w:type="dxa"/>
            <w:tcBorders>
              <w:top w:val="single" w:sz="4" w:space="0" w:color="auto"/>
              <w:left w:val="single" w:sz="4" w:space="0" w:color="auto"/>
              <w:bottom w:val="single" w:sz="4" w:space="0" w:color="auto"/>
              <w:right w:val="single" w:sz="4" w:space="0" w:color="auto"/>
            </w:tcBorders>
            <w:shd w:val="clear" w:color="auto" w:fill="C6EFCE"/>
          </w:tcPr>
          <w:p w14:paraId="3343F2A6" w14:textId="77777777" w:rsidR="008E6885" w:rsidRDefault="00EA24E7">
            <w:pPr>
              <w:pStyle w:val="P68B1DB1-Normal19"/>
              <w:spacing w:after="0" w:line="240" w:lineRule="auto"/>
              <w:rPr>
                <w:rFonts w:eastAsia="Times New Roman" w:cs="Times New Roman"/>
                <w:noProof/>
              </w:rPr>
            </w:pPr>
            <w:r>
              <w:rPr>
                <w:noProof/>
              </w:rPr>
              <w:t>Étape</w:t>
            </w:r>
          </w:p>
        </w:tc>
        <w:tc>
          <w:tcPr>
            <w:tcW w:w="1368" w:type="dxa"/>
            <w:tcBorders>
              <w:top w:val="single" w:sz="4" w:space="0" w:color="auto"/>
              <w:left w:val="single" w:sz="4" w:space="0" w:color="auto"/>
              <w:bottom w:val="single" w:sz="4" w:space="0" w:color="auto"/>
              <w:right w:val="single" w:sz="4" w:space="0" w:color="auto"/>
            </w:tcBorders>
            <w:shd w:val="clear" w:color="auto" w:fill="C6EFCE"/>
          </w:tcPr>
          <w:p w14:paraId="50C0A9D6" w14:textId="77777777" w:rsidR="008E6885" w:rsidRDefault="00EA24E7">
            <w:pPr>
              <w:pStyle w:val="P68B1DB1-Normal19"/>
              <w:spacing w:after="0" w:line="240" w:lineRule="auto"/>
              <w:rPr>
                <w:rFonts w:eastAsia="Times New Roman" w:cs="Times New Roman"/>
                <w:noProof/>
              </w:rPr>
            </w:pPr>
            <w:r>
              <w:rPr>
                <w:noProof/>
              </w:rPr>
              <w:t>Règlement régissant l'installation d'un système de stockage d'énergie par batterie</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0A40674A" w14:textId="77777777" w:rsidR="008E6885" w:rsidRDefault="00EA24E7">
            <w:pPr>
              <w:pStyle w:val="P68B1DB1-Normal19"/>
              <w:spacing w:after="0" w:line="240" w:lineRule="auto"/>
              <w:rPr>
                <w:rFonts w:eastAsia="Times New Roman" w:cs="Times New Roman"/>
                <w:noProof/>
              </w:rPr>
            </w:pPr>
            <w:r>
              <w:rPr>
                <w:noProof/>
              </w:rPr>
              <w:t xml:space="preserve">Dispositions juridiques indiquant l'entrée en vigueur du règlement </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63C72E9D"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6B5427BB"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12" w:type="dxa"/>
            <w:tcBorders>
              <w:top w:val="single" w:sz="4" w:space="0" w:color="auto"/>
              <w:left w:val="single" w:sz="4" w:space="0" w:color="auto"/>
              <w:bottom w:val="single" w:sz="4" w:space="0" w:color="auto"/>
              <w:right w:val="single" w:sz="4" w:space="0" w:color="auto"/>
            </w:tcBorders>
            <w:shd w:val="clear" w:color="auto" w:fill="C6EFCE"/>
          </w:tcPr>
          <w:p w14:paraId="168523F4"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CC0F43A" w14:textId="77777777" w:rsidR="008E6885" w:rsidRDefault="00EA24E7">
            <w:pPr>
              <w:pStyle w:val="P68B1DB1-Normal19"/>
              <w:spacing w:after="0" w:line="240" w:lineRule="auto"/>
              <w:jc w:val="center"/>
              <w:rPr>
                <w:rFonts w:eastAsia="Times New Roman"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61660B77" w14:textId="77777777" w:rsidR="008E6885" w:rsidRDefault="00EA24E7">
            <w:pPr>
              <w:pStyle w:val="P68B1DB1-Normal19"/>
              <w:spacing w:after="0" w:line="240" w:lineRule="auto"/>
              <w:jc w:val="center"/>
              <w:rPr>
                <w:rFonts w:eastAsia="Times New Roman" w:cs="Times New Roman"/>
                <w:noProof/>
              </w:rPr>
            </w:pPr>
            <w:r>
              <w:rPr>
                <w:noProof/>
              </w:rPr>
              <w:t>2024</w:t>
            </w:r>
          </w:p>
        </w:tc>
        <w:tc>
          <w:tcPr>
            <w:tcW w:w="2613" w:type="dxa"/>
            <w:tcBorders>
              <w:top w:val="single" w:sz="4" w:space="0" w:color="auto"/>
              <w:left w:val="single" w:sz="4" w:space="0" w:color="auto"/>
              <w:bottom w:val="single" w:sz="4" w:space="0" w:color="auto"/>
              <w:right w:val="single" w:sz="4" w:space="0" w:color="auto"/>
            </w:tcBorders>
            <w:shd w:val="clear" w:color="auto" w:fill="C6EFCE"/>
          </w:tcPr>
          <w:p w14:paraId="22D2CF7D" w14:textId="77777777" w:rsidR="008E6885" w:rsidRDefault="00EA24E7">
            <w:pPr>
              <w:pStyle w:val="P68B1DB1-Normal19"/>
              <w:spacing w:after="0" w:line="240" w:lineRule="auto"/>
              <w:jc w:val="both"/>
              <w:rPr>
                <w:rFonts w:eastAsia="Times New Roman" w:cs="Times New Roman"/>
                <w:noProof/>
              </w:rPr>
            </w:pPr>
            <w:r>
              <w:rPr>
                <w:noProof/>
              </w:rPr>
              <w:t>Entrée en vigueur du règlement du Conseil des ministres sur le cadre juridique pour l’investissement dans l’installation d’un système de stockage d’énergie par batterie à Rēzekne.</w:t>
            </w:r>
          </w:p>
        </w:tc>
      </w:tr>
      <w:tr w:rsidR="008E6885" w14:paraId="40962675" w14:textId="77777777" w:rsidTr="00D57C89">
        <w:tc>
          <w:tcPr>
            <w:tcW w:w="630" w:type="dxa"/>
            <w:tcBorders>
              <w:top w:val="single" w:sz="4" w:space="0" w:color="auto"/>
              <w:left w:val="single" w:sz="4" w:space="0" w:color="auto"/>
              <w:bottom w:val="single" w:sz="4" w:space="0" w:color="auto"/>
              <w:right w:val="single" w:sz="4" w:space="0" w:color="auto"/>
            </w:tcBorders>
            <w:shd w:val="clear" w:color="auto" w:fill="C6EFCE"/>
          </w:tcPr>
          <w:p w14:paraId="0FDCFE3F" w14:textId="77777777" w:rsidR="008E6885" w:rsidRDefault="00EA24E7">
            <w:pPr>
              <w:pStyle w:val="P68B1DB1-Normal19"/>
              <w:spacing w:after="0" w:line="240" w:lineRule="auto"/>
              <w:rPr>
                <w:rFonts w:ascii="Calibri" w:hAnsi="Calibri"/>
                <w:noProof/>
              </w:rPr>
            </w:pPr>
            <w:r>
              <w:rPr>
                <w:noProof/>
              </w:rPr>
              <w:t>221</w:t>
            </w:r>
          </w:p>
        </w:tc>
        <w:tc>
          <w:tcPr>
            <w:tcW w:w="1705" w:type="dxa"/>
            <w:tcBorders>
              <w:top w:val="single" w:sz="4" w:space="0" w:color="auto"/>
              <w:left w:val="single" w:sz="4" w:space="0" w:color="auto"/>
              <w:bottom w:val="single" w:sz="4" w:space="0" w:color="auto"/>
              <w:right w:val="single" w:sz="4" w:space="0" w:color="auto"/>
            </w:tcBorders>
            <w:shd w:val="clear" w:color="auto" w:fill="C6EFCE"/>
          </w:tcPr>
          <w:p w14:paraId="2C126C63" w14:textId="77777777" w:rsidR="008E6885" w:rsidRDefault="00EA24E7">
            <w:pPr>
              <w:pStyle w:val="P68B1DB1-Normal17"/>
              <w:spacing w:after="0" w:line="240" w:lineRule="auto"/>
              <w:rPr>
                <w:rFonts w:eastAsia="Times New Roman" w:cs="Times New Roman"/>
                <w:bCs/>
                <w:noProof/>
              </w:rPr>
            </w:pPr>
            <w:r>
              <w:rPr>
                <w:noProof/>
              </w:rPr>
              <w:t>7.2.i. Sécurité et stabilité de l'approvisionnement énergétique et synchronisation avec le réseau de l'Union</w:t>
            </w:r>
          </w:p>
        </w:tc>
        <w:tc>
          <w:tcPr>
            <w:tcW w:w="1346" w:type="dxa"/>
            <w:tcBorders>
              <w:top w:val="single" w:sz="4" w:space="0" w:color="auto"/>
              <w:left w:val="single" w:sz="4" w:space="0" w:color="auto"/>
              <w:bottom w:val="single" w:sz="4" w:space="0" w:color="auto"/>
              <w:right w:val="single" w:sz="4" w:space="0" w:color="auto"/>
            </w:tcBorders>
            <w:shd w:val="clear" w:color="auto" w:fill="C6EFCE"/>
          </w:tcPr>
          <w:p w14:paraId="59D4DFF7" w14:textId="77777777" w:rsidR="008E6885" w:rsidRDefault="00EA24E7">
            <w:pPr>
              <w:pStyle w:val="P68B1DB1-Normal19"/>
              <w:spacing w:after="0" w:line="240" w:lineRule="auto"/>
              <w:rPr>
                <w:rFonts w:eastAsia="Times New Roman" w:cs="Times New Roman"/>
                <w:noProof/>
                <w:highlight w:val="yellow"/>
              </w:rPr>
            </w:pPr>
            <w:r>
              <w:rPr>
                <w:noProof/>
              </w:rPr>
              <w:t>Objectif</w:t>
            </w:r>
          </w:p>
        </w:tc>
        <w:tc>
          <w:tcPr>
            <w:tcW w:w="1368" w:type="dxa"/>
            <w:tcBorders>
              <w:top w:val="single" w:sz="4" w:space="0" w:color="auto"/>
              <w:left w:val="single" w:sz="4" w:space="0" w:color="auto"/>
              <w:bottom w:val="single" w:sz="4" w:space="0" w:color="auto"/>
              <w:right w:val="single" w:sz="4" w:space="0" w:color="auto"/>
            </w:tcBorders>
            <w:shd w:val="clear" w:color="auto" w:fill="C6EFCE"/>
          </w:tcPr>
          <w:p w14:paraId="56A0E3F1" w14:textId="77777777" w:rsidR="008E6885" w:rsidRDefault="00EA24E7">
            <w:pPr>
              <w:pStyle w:val="P68B1DB1-Normal19"/>
              <w:spacing w:after="0" w:line="240" w:lineRule="auto"/>
              <w:rPr>
                <w:rFonts w:eastAsia="Times New Roman" w:cs="Times New Roman"/>
                <w:noProof/>
              </w:rPr>
            </w:pPr>
            <w:r>
              <w:rPr>
                <w:noProof/>
              </w:rPr>
              <w:t>Système de stockage d'énergie par batterie (BESS)</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75556CE3" w14:textId="77777777" w:rsidR="008E6885" w:rsidRDefault="00EA24E7">
            <w:pPr>
              <w:pStyle w:val="P68B1DB1-Normal19"/>
              <w:spacing w:after="0" w:line="240" w:lineRule="auto"/>
              <w:jc w:val="center"/>
              <w:rPr>
                <w:rFonts w:eastAsia="Times New Roman" w:cs="Times New Roman"/>
                <w:noProof/>
                <w:highlight w:val="yellow"/>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693F4696" w14:textId="77777777" w:rsidR="008E6885" w:rsidRDefault="00EA24E7">
            <w:pPr>
              <w:pStyle w:val="P68B1DB1-Normal19"/>
              <w:spacing w:after="0" w:line="240" w:lineRule="auto"/>
              <w:jc w:val="center"/>
              <w:rPr>
                <w:rFonts w:eastAsia="Times New Roman" w:cs="Times New Roman"/>
                <w:noProof/>
                <w:highlight w:val="yellow"/>
              </w:rPr>
            </w:pPr>
            <w:r>
              <w:rPr>
                <w:noProof/>
              </w:rPr>
              <w:t>MW</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3B83C7BA" w14:textId="77777777" w:rsidR="008E6885" w:rsidRDefault="00EA24E7">
            <w:pPr>
              <w:pStyle w:val="P68B1DB1-Normal19"/>
              <w:spacing w:after="0" w:line="240" w:lineRule="auto"/>
              <w:jc w:val="center"/>
              <w:rPr>
                <w:rFonts w:eastAsia="Times New Roman" w:cs="Times New Roman"/>
                <w:noProof/>
              </w:rPr>
            </w:pPr>
            <w:r>
              <w:rPr>
                <w:noProof/>
              </w:rPr>
              <w:t>0</w:t>
            </w:r>
          </w:p>
        </w:tc>
        <w:tc>
          <w:tcPr>
            <w:tcW w:w="912" w:type="dxa"/>
            <w:tcBorders>
              <w:top w:val="single" w:sz="4" w:space="0" w:color="auto"/>
              <w:left w:val="single" w:sz="4" w:space="0" w:color="auto"/>
              <w:bottom w:val="single" w:sz="4" w:space="0" w:color="auto"/>
              <w:right w:val="single" w:sz="4" w:space="0" w:color="auto"/>
            </w:tcBorders>
            <w:shd w:val="clear" w:color="auto" w:fill="C6EFCE"/>
          </w:tcPr>
          <w:p w14:paraId="4991FF3D" w14:textId="77777777" w:rsidR="008E6885" w:rsidRDefault="00EA24E7">
            <w:pPr>
              <w:pStyle w:val="P68B1DB1-Normal19"/>
              <w:spacing w:after="0" w:line="240" w:lineRule="auto"/>
              <w:jc w:val="center"/>
              <w:rPr>
                <w:rFonts w:eastAsia="Times New Roman" w:cs="Times New Roman"/>
                <w:noProof/>
              </w:rPr>
            </w:pPr>
            <w:r>
              <w:rPr>
                <w:noProof/>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0F9AABE" w14:textId="77777777" w:rsidR="008E6885" w:rsidRDefault="00EA24E7">
            <w:pPr>
              <w:pStyle w:val="P68B1DB1-Normal19"/>
              <w:spacing w:after="0" w:line="240" w:lineRule="auto"/>
              <w:jc w:val="center"/>
              <w:rPr>
                <w:rFonts w:eastAsia="Times New Roman"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0517FDDD" w14:textId="77777777" w:rsidR="008E6885" w:rsidRDefault="00EA24E7">
            <w:pPr>
              <w:pStyle w:val="P68B1DB1-Normal19"/>
              <w:spacing w:after="0" w:line="240" w:lineRule="auto"/>
              <w:jc w:val="center"/>
              <w:rPr>
                <w:rFonts w:eastAsia="Times New Roman" w:cs="Times New Roman"/>
                <w:noProof/>
              </w:rPr>
            </w:pPr>
            <w:r>
              <w:rPr>
                <w:noProof/>
              </w:rPr>
              <w:t>2025</w:t>
            </w:r>
          </w:p>
        </w:tc>
        <w:tc>
          <w:tcPr>
            <w:tcW w:w="2613" w:type="dxa"/>
            <w:tcBorders>
              <w:top w:val="single" w:sz="4" w:space="0" w:color="auto"/>
              <w:left w:val="single" w:sz="4" w:space="0" w:color="auto"/>
              <w:bottom w:val="single" w:sz="4" w:space="0" w:color="auto"/>
              <w:right w:val="single" w:sz="4" w:space="0" w:color="auto"/>
            </w:tcBorders>
            <w:shd w:val="clear" w:color="auto" w:fill="C6EFCE"/>
          </w:tcPr>
          <w:p w14:paraId="0472BBAA" w14:textId="77777777" w:rsidR="008E6885" w:rsidRDefault="00EA24E7">
            <w:pPr>
              <w:pStyle w:val="P68B1DB1-Normal19"/>
              <w:spacing w:after="0" w:line="240" w:lineRule="auto"/>
              <w:jc w:val="both"/>
              <w:rPr>
                <w:rFonts w:eastAsia="Times New Roman" w:cs="Times New Roman"/>
                <w:noProof/>
              </w:rPr>
            </w:pPr>
            <w:r>
              <w:rPr>
                <w:noProof/>
              </w:rPr>
              <w:t>Certificat(s) d'achèvement signé(s) pour la mise en service d'un système de stockage d'énergie par batterie (BESS) de 60 MW à Rēzekne.</w:t>
            </w:r>
          </w:p>
        </w:tc>
      </w:tr>
      <w:tr w:rsidR="008E6885" w14:paraId="6F7879B5" w14:textId="77777777" w:rsidTr="00D57C89">
        <w:tc>
          <w:tcPr>
            <w:tcW w:w="630" w:type="dxa"/>
            <w:tcBorders>
              <w:top w:val="single" w:sz="4" w:space="0" w:color="auto"/>
              <w:left w:val="single" w:sz="4" w:space="0" w:color="auto"/>
              <w:bottom w:val="single" w:sz="4" w:space="0" w:color="auto"/>
              <w:right w:val="single" w:sz="4" w:space="0" w:color="auto"/>
            </w:tcBorders>
            <w:shd w:val="clear" w:color="auto" w:fill="C6EFCE"/>
          </w:tcPr>
          <w:p w14:paraId="5B4E2BD3" w14:textId="77777777" w:rsidR="008E6885" w:rsidRDefault="00EA24E7">
            <w:pPr>
              <w:pStyle w:val="P68B1DB1-Normal19"/>
              <w:spacing w:after="0" w:line="240" w:lineRule="auto"/>
              <w:rPr>
                <w:rFonts w:ascii="Calibri" w:hAnsi="Calibri"/>
                <w:noProof/>
              </w:rPr>
            </w:pPr>
            <w:r>
              <w:rPr>
                <w:noProof/>
              </w:rPr>
              <w:t>223</w:t>
            </w:r>
          </w:p>
        </w:tc>
        <w:tc>
          <w:tcPr>
            <w:tcW w:w="1705" w:type="dxa"/>
            <w:tcBorders>
              <w:top w:val="single" w:sz="4" w:space="0" w:color="auto"/>
              <w:left w:val="single" w:sz="4" w:space="0" w:color="auto"/>
              <w:bottom w:val="single" w:sz="4" w:space="0" w:color="auto"/>
              <w:right w:val="single" w:sz="4" w:space="0" w:color="auto"/>
            </w:tcBorders>
            <w:shd w:val="clear" w:color="auto" w:fill="C6EFCE"/>
          </w:tcPr>
          <w:p w14:paraId="60F41372" w14:textId="77777777" w:rsidR="008E6885" w:rsidRDefault="00EA24E7">
            <w:pPr>
              <w:pStyle w:val="P68B1DB1-Normal17"/>
              <w:spacing w:after="0" w:line="240" w:lineRule="auto"/>
              <w:rPr>
                <w:rFonts w:eastAsia="Times New Roman" w:cs="Times New Roman"/>
                <w:bCs/>
                <w:noProof/>
              </w:rPr>
            </w:pPr>
            <w:r>
              <w:rPr>
                <w:noProof/>
              </w:rPr>
              <w:t>7.3.i. Modernisation, numérisation et sécurisation des réseaux de transport et de distribution d’électricité</w:t>
            </w:r>
          </w:p>
        </w:tc>
        <w:tc>
          <w:tcPr>
            <w:tcW w:w="1346" w:type="dxa"/>
            <w:tcBorders>
              <w:top w:val="single" w:sz="4" w:space="0" w:color="auto"/>
              <w:left w:val="single" w:sz="4" w:space="0" w:color="auto"/>
              <w:bottom w:val="single" w:sz="4" w:space="0" w:color="auto"/>
              <w:right w:val="single" w:sz="4" w:space="0" w:color="auto"/>
            </w:tcBorders>
            <w:shd w:val="clear" w:color="auto" w:fill="C6EFCE"/>
          </w:tcPr>
          <w:p w14:paraId="0E9AD56F" w14:textId="77777777" w:rsidR="008E6885" w:rsidRDefault="00EA24E7">
            <w:pPr>
              <w:pStyle w:val="P68B1DB1-Normal19"/>
              <w:spacing w:after="0" w:line="240" w:lineRule="auto"/>
              <w:rPr>
                <w:rFonts w:eastAsia="Times New Roman" w:cs="Times New Roman"/>
                <w:noProof/>
              </w:rPr>
            </w:pPr>
            <w:r>
              <w:rPr>
                <w:noProof/>
              </w:rPr>
              <w:t>Étape</w:t>
            </w:r>
          </w:p>
        </w:tc>
        <w:tc>
          <w:tcPr>
            <w:tcW w:w="1368" w:type="dxa"/>
            <w:tcBorders>
              <w:top w:val="single" w:sz="4" w:space="0" w:color="auto"/>
              <w:left w:val="single" w:sz="4" w:space="0" w:color="auto"/>
              <w:bottom w:val="single" w:sz="4" w:space="0" w:color="auto"/>
              <w:right w:val="single" w:sz="4" w:space="0" w:color="auto"/>
            </w:tcBorders>
            <w:shd w:val="clear" w:color="auto" w:fill="C6EFCE"/>
          </w:tcPr>
          <w:p w14:paraId="64FAAEB5" w14:textId="77777777" w:rsidR="008E6885" w:rsidRDefault="00EA24E7">
            <w:pPr>
              <w:pStyle w:val="P68B1DB1-Normal19"/>
              <w:spacing w:after="0" w:line="240" w:lineRule="auto"/>
              <w:rPr>
                <w:rFonts w:eastAsia="Times New Roman" w:cs="Times New Roman"/>
                <w:noProof/>
              </w:rPr>
            </w:pPr>
            <w:r>
              <w:rPr>
                <w:noProof/>
              </w:rPr>
              <w:t>Réglementation régissant les investissements dans les réseaux nationaux de transport et de distribution d'électricité</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000D361E" w14:textId="77777777" w:rsidR="008E6885" w:rsidRDefault="00EA24E7">
            <w:pPr>
              <w:pStyle w:val="P68B1DB1-Normal19"/>
              <w:spacing w:after="0" w:line="240" w:lineRule="auto"/>
              <w:rPr>
                <w:rFonts w:eastAsia="Times New Roman" w:cs="Times New Roman"/>
                <w:noProof/>
              </w:rPr>
            </w:pPr>
            <w:r>
              <w:rPr>
                <w:noProof/>
              </w:rPr>
              <w:t xml:space="preserve">Dispositions légales indiquant l'entrée en vigueur des règlements régissant les investissements dans les réseaux nationaux de transport et de distribution d'électricité </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15E1C0A4"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10A81FB6"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12" w:type="dxa"/>
            <w:tcBorders>
              <w:top w:val="single" w:sz="4" w:space="0" w:color="auto"/>
              <w:left w:val="single" w:sz="4" w:space="0" w:color="auto"/>
              <w:bottom w:val="single" w:sz="4" w:space="0" w:color="auto"/>
              <w:right w:val="single" w:sz="4" w:space="0" w:color="auto"/>
            </w:tcBorders>
            <w:shd w:val="clear" w:color="auto" w:fill="C6EFCE"/>
          </w:tcPr>
          <w:p w14:paraId="1CD538DE"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AF36353" w14:textId="77777777" w:rsidR="008E6885" w:rsidRDefault="00EA24E7">
            <w:pPr>
              <w:pStyle w:val="P68B1DB1-Normal19"/>
              <w:spacing w:after="0" w:line="240" w:lineRule="auto"/>
              <w:jc w:val="center"/>
              <w:rPr>
                <w:rFonts w:eastAsia="Times New Roman"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26364424" w14:textId="77777777" w:rsidR="008E6885" w:rsidRDefault="00EA24E7">
            <w:pPr>
              <w:pStyle w:val="P68B1DB1-Normal19"/>
              <w:spacing w:after="0" w:line="240" w:lineRule="auto"/>
              <w:jc w:val="center"/>
              <w:rPr>
                <w:rFonts w:eastAsia="Times New Roman" w:cs="Times New Roman"/>
                <w:noProof/>
              </w:rPr>
            </w:pPr>
            <w:r>
              <w:rPr>
                <w:noProof/>
              </w:rPr>
              <w:t>2024</w:t>
            </w:r>
          </w:p>
        </w:tc>
        <w:tc>
          <w:tcPr>
            <w:tcW w:w="2613" w:type="dxa"/>
            <w:tcBorders>
              <w:top w:val="single" w:sz="4" w:space="0" w:color="auto"/>
              <w:left w:val="single" w:sz="4" w:space="0" w:color="auto"/>
              <w:bottom w:val="single" w:sz="4" w:space="0" w:color="auto"/>
              <w:right w:val="single" w:sz="4" w:space="0" w:color="auto"/>
            </w:tcBorders>
            <w:shd w:val="clear" w:color="auto" w:fill="C6EFCE"/>
          </w:tcPr>
          <w:p w14:paraId="0AE0DC84" w14:textId="77777777" w:rsidR="008E6885" w:rsidRDefault="00EA24E7">
            <w:pPr>
              <w:pStyle w:val="P68B1DB1-Normal19"/>
              <w:spacing w:after="0" w:line="240" w:lineRule="auto"/>
              <w:jc w:val="both"/>
              <w:rPr>
                <w:rFonts w:eastAsia="Times New Roman" w:cs="Times New Roman"/>
                <w:noProof/>
              </w:rPr>
            </w:pPr>
            <w:r>
              <w:rPr>
                <w:noProof/>
              </w:rPr>
              <w:t>Entrée en vigueur des règlements du cabinet des ministres régissant les investissements liés à la nouvelle capacité du réseau électrique, aux sous-stations, aux lignes de transport et à la gestion intelligente de la distribution d’énergie.</w:t>
            </w:r>
          </w:p>
        </w:tc>
      </w:tr>
      <w:tr w:rsidR="008E6885" w14:paraId="239D70B3" w14:textId="77777777" w:rsidTr="00D57C89">
        <w:tc>
          <w:tcPr>
            <w:tcW w:w="630" w:type="dxa"/>
            <w:tcBorders>
              <w:top w:val="single" w:sz="4" w:space="0" w:color="auto"/>
              <w:left w:val="single" w:sz="4" w:space="0" w:color="auto"/>
              <w:bottom w:val="single" w:sz="4" w:space="0" w:color="auto"/>
              <w:right w:val="single" w:sz="4" w:space="0" w:color="auto"/>
            </w:tcBorders>
            <w:shd w:val="clear" w:color="auto" w:fill="C6EFCE"/>
          </w:tcPr>
          <w:p w14:paraId="7BE21913" w14:textId="77777777" w:rsidR="008E6885" w:rsidRDefault="00EA24E7">
            <w:pPr>
              <w:pStyle w:val="P68B1DB1-Normal19"/>
              <w:spacing w:after="0" w:line="240" w:lineRule="auto"/>
              <w:rPr>
                <w:rFonts w:eastAsia="Times New Roman" w:cs="Times New Roman"/>
                <w:noProof/>
              </w:rPr>
            </w:pPr>
            <w:r>
              <w:rPr>
                <w:noProof/>
              </w:rPr>
              <w:t>224</w:t>
            </w:r>
          </w:p>
        </w:tc>
        <w:tc>
          <w:tcPr>
            <w:tcW w:w="1705" w:type="dxa"/>
            <w:tcBorders>
              <w:top w:val="single" w:sz="4" w:space="0" w:color="auto"/>
              <w:left w:val="single" w:sz="4" w:space="0" w:color="auto"/>
              <w:bottom w:val="single" w:sz="4" w:space="0" w:color="auto"/>
              <w:right w:val="single" w:sz="4" w:space="0" w:color="auto"/>
            </w:tcBorders>
            <w:shd w:val="clear" w:color="auto" w:fill="C6EFCE"/>
          </w:tcPr>
          <w:p w14:paraId="2BE8E5B7" w14:textId="77777777" w:rsidR="008E6885" w:rsidRDefault="00EA24E7">
            <w:pPr>
              <w:pStyle w:val="P68B1DB1-Normal17"/>
              <w:spacing w:after="0" w:line="240" w:lineRule="auto"/>
              <w:rPr>
                <w:rFonts w:eastAsia="Times New Roman" w:cs="Times New Roman"/>
                <w:bCs/>
                <w:noProof/>
              </w:rPr>
            </w:pPr>
            <w:r>
              <w:rPr>
                <w:noProof/>
              </w:rPr>
              <w:t>7.3.i. Modernisation, numérisation et sécurisation des réseaux de transport et de distribution d’électricité</w:t>
            </w:r>
          </w:p>
        </w:tc>
        <w:tc>
          <w:tcPr>
            <w:tcW w:w="1346" w:type="dxa"/>
            <w:tcBorders>
              <w:top w:val="single" w:sz="4" w:space="0" w:color="auto"/>
              <w:left w:val="single" w:sz="4" w:space="0" w:color="auto"/>
              <w:bottom w:val="single" w:sz="4" w:space="0" w:color="auto"/>
              <w:right w:val="single" w:sz="4" w:space="0" w:color="auto"/>
            </w:tcBorders>
            <w:shd w:val="clear" w:color="auto" w:fill="C6EFCE"/>
          </w:tcPr>
          <w:p w14:paraId="20C1620B" w14:textId="77777777" w:rsidR="008E6885" w:rsidRDefault="00EA24E7">
            <w:pPr>
              <w:pStyle w:val="P68B1DB1-Normal19"/>
              <w:spacing w:after="0" w:line="240" w:lineRule="auto"/>
              <w:rPr>
                <w:noProof/>
              </w:rPr>
            </w:pPr>
            <w:r>
              <w:rPr>
                <w:noProof/>
              </w:rPr>
              <w:t>Objectif</w:t>
            </w:r>
          </w:p>
        </w:tc>
        <w:tc>
          <w:tcPr>
            <w:tcW w:w="1368" w:type="dxa"/>
            <w:tcBorders>
              <w:top w:val="single" w:sz="4" w:space="0" w:color="auto"/>
              <w:left w:val="single" w:sz="4" w:space="0" w:color="auto"/>
              <w:bottom w:val="single" w:sz="4" w:space="0" w:color="auto"/>
              <w:right w:val="single" w:sz="4" w:space="0" w:color="auto"/>
            </w:tcBorders>
            <w:shd w:val="clear" w:color="auto" w:fill="C6EFCE"/>
          </w:tcPr>
          <w:p w14:paraId="35DAFB31" w14:textId="77777777" w:rsidR="008E6885" w:rsidRDefault="00EA24E7">
            <w:pPr>
              <w:pStyle w:val="P68B1DB1-Normal19"/>
              <w:spacing w:after="0" w:line="240" w:lineRule="auto"/>
              <w:rPr>
                <w:rFonts w:eastAsia="Times New Roman" w:cs="Times New Roman"/>
                <w:noProof/>
              </w:rPr>
            </w:pPr>
            <w:r>
              <w:rPr>
                <w:noProof/>
              </w:rPr>
              <w:t>Capacité supplémentaire du réseau électrique</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2CE34D4F"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2719A69E" w14:textId="77777777" w:rsidR="008E6885" w:rsidRDefault="00EA24E7">
            <w:pPr>
              <w:pStyle w:val="P68B1DB1-Normal19"/>
              <w:spacing w:after="0" w:line="240" w:lineRule="auto"/>
              <w:jc w:val="center"/>
              <w:rPr>
                <w:noProof/>
              </w:rPr>
            </w:pPr>
            <w:r>
              <w:rPr>
                <w:noProof/>
              </w:rPr>
              <w:t>MW</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1E19C9DA" w14:textId="77777777" w:rsidR="008E6885" w:rsidRDefault="00EA24E7">
            <w:pPr>
              <w:pStyle w:val="P68B1DB1-Normal19"/>
              <w:spacing w:after="0" w:line="240" w:lineRule="auto"/>
              <w:jc w:val="center"/>
              <w:rPr>
                <w:noProof/>
              </w:rPr>
            </w:pPr>
            <w:r>
              <w:rPr>
                <w:noProof/>
              </w:rPr>
              <w:t>0</w:t>
            </w:r>
          </w:p>
        </w:tc>
        <w:tc>
          <w:tcPr>
            <w:tcW w:w="912" w:type="dxa"/>
            <w:tcBorders>
              <w:top w:val="single" w:sz="4" w:space="0" w:color="auto"/>
              <w:left w:val="single" w:sz="4" w:space="0" w:color="auto"/>
              <w:bottom w:val="single" w:sz="4" w:space="0" w:color="auto"/>
              <w:right w:val="single" w:sz="4" w:space="0" w:color="auto"/>
            </w:tcBorders>
            <w:shd w:val="clear" w:color="auto" w:fill="C6EFCE"/>
          </w:tcPr>
          <w:p w14:paraId="5E616A7D" w14:textId="77777777" w:rsidR="008E6885" w:rsidRDefault="00EA24E7">
            <w:pPr>
              <w:pStyle w:val="P68B1DB1-Normal19"/>
              <w:spacing w:after="0" w:line="240" w:lineRule="auto"/>
              <w:jc w:val="center"/>
              <w:rPr>
                <w:noProof/>
              </w:rPr>
            </w:pPr>
            <w:r>
              <w:rPr>
                <w:noProof/>
              </w:rPr>
              <w:t>70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A3F2363" w14:textId="77777777" w:rsidR="008E6885" w:rsidRDefault="00EA24E7">
            <w:pPr>
              <w:pStyle w:val="P68B1DB1-Normal19"/>
              <w:spacing w:after="0" w:line="240" w:lineRule="auto"/>
              <w:jc w:val="center"/>
              <w:rPr>
                <w:rFonts w:eastAsia="Times New Roman"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433D6EF9" w14:textId="77777777" w:rsidR="008E6885" w:rsidRDefault="00EA24E7">
            <w:pPr>
              <w:pStyle w:val="P68B1DB1-Normal19"/>
              <w:spacing w:after="0" w:line="240" w:lineRule="auto"/>
              <w:jc w:val="center"/>
              <w:rPr>
                <w:rFonts w:eastAsia="Times New Roman" w:cs="Times New Roman"/>
                <w:noProof/>
              </w:rPr>
            </w:pPr>
            <w:r>
              <w:rPr>
                <w:noProof/>
              </w:rPr>
              <w:t>2026</w:t>
            </w:r>
          </w:p>
        </w:tc>
        <w:tc>
          <w:tcPr>
            <w:tcW w:w="2613" w:type="dxa"/>
            <w:tcBorders>
              <w:top w:val="single" w:sz="4" w:space="0" w:color="auto"/>
              <w:left w:val="single" w:sz="4" w:space="0" w:color="auto"/>
              <w:bottom w:val="single" w:sz="4" w:space="0" w:color="auto"/>
              <w:right w:val="single" w:sz="4" w:space="0" w:color="auto"/>
            </w:tcBorders>
            <w:shd w:val="clear" w:color="auto" w:fill="C6EFCE"/>
          </w:tcPr>
          <w:p w14:paraId="26D7106A" w14:textId="77777777" w:rsidR="008E6885" w:rsidRDefault="00EA24E7">
            <w:pPr>
              <w:pStyle w:val="P68B1DB1-Normal19"/>
              <w:spacing w:after="0" w:line="240" w:lineRule="auto"/>
              <w:jc w:val="both"/>
              <w:rPr>
                <w:rFonts w:eastAsia="Times New Roman" w:cs="Times New Roman"/>
                <w:noProof/>
              </w:rPr>
            </w:pPr>
            <w:r>
              <w:rPr>
                <w:noProof/>
              </w:rPr>
              <w:t xml:space="preserve">Acte(s) technique(s) signé(s) pour la mise en service d’une capacité supplémentaire du réseau électrique pour un total de 70 MW. </w:t>
            </w:r>
          </w:p>
        </w:tc>
      </w:tr>
      <w:tr w:rsidR="008E6885" w14:paraId="44930C95" w14:textId="77777777" w:rsidTr="00D57C89">
        <w:tc>
          <w:tcPr>
            <w:tcW w:w="630" w:type="dxa"/>
            <w:tcBorders>
              <w:top w:val="single" w:sz="4" w:space="0" w:color="auto"/>
              <w:left w:val="single" w:sz="4" w:space="0" w:color="auto"/>
              <w:bottom w:val="single" w:sz="4" w:space="0" w:color="auto"/>
              <w:right w:val="single" w:sz="4" w:space="0" w:color="auto"/>
            </w:tcBorders>
            <w:shd w:val="clear" w:color="auto" w:fill="C6EFCE"/>
          </w:tcPr>
          <w:p w14:paraId="69F953B9" w14:textId="77777777" w:rsidR="008E6885" w:rsidRDefault="00EA24E7">
            <w:pPr>
              <w:pStyle w:val="P68B1DB1-Normal19"/>
              <w:spacing w:after="0" w:line="240" w:lineRule="auto"/>
              <w:rPr>
                <w:rFonts w:eastAsia="Times New Roman" w:cs="Times New Roman"/>
                <w:noProof/>
              </w:rPr>
            </w:pPr>
            <w:r>
              <w:rPr>
                <w:noProof/>
              </w:rPr>
              <w:t>225</w:t>
            </w:r>
          </w:p>
        </w:tc>
        <w:tc>
          <w:tcPr>
            <w:tcW w:w="1705" w:type="dxa"/>
            <w:tcBorders>
              <w:top w:val="single" w:sz="4" w:space="0" w:color="auto"/>
              <w:left w:val="single" w:sz="4" w:space="0" w:color="auto"/>
              <w:bottom w:val="single" w:sz="4" w:space="0" w:color="auto"/>
              <w:right w:val="single" w:sz="4" w:space="0" w:color="auto"/>
            </w:tcBorders>
            <w:shd w:val="clear" w:color="auto" w:fill="C6EFCE"/>
          </w:tcPr>
          <w:p w14:paraId="1D0DD21A" w14:textId="77777777" w:rsidR="008E6885" w:rsidRDefault="00EA24E7">
            <w:pPr>
              <w:pStyle w:val="P68B1DB1-Normal17"/>
              <w:spacing w:after="0" w:line="240" w:lineRule="auto"/>
              <w:rPr>
                <w:rFonts w:eastAsia="Times New Roman" w:cs="Times New Roman"/>
                <w:bCs/>
                <w:noProof/>
              </w:rPr>
            </w:pPr>
            <w:r>
              <w:rPr>
                <w:noProof/>
              </w:rPr>
              <w:t>7.3.i. Modernisation, numérisation et sécurisation des réseaux de transport et de distribution d’électricité</w:t>
            </w:r>
          </w:p>
        </w:tc>
        <w:tc>
          <w:tcPr>
            <w:tcW w:w="1346" w:type="dxa"/>
            <w:tcBorders>
              <w:top w:val="single" w:sz="4" w:space="0" w:color="auto"/>
              <w:left w:val="single" w:sz="4" w:space="0" w:color="auto"/>
              <w:bottom w:val="single" w:sz="4" w:space="0" w:color="auto"/>
              <w:right w:val="single" w:sz="4" w:space="0" w:color="auto"/>
            </w:tcBorders>
            <w:shd w:val="clear" w:color="auto" w:fill="C6EFCE"/>
          </w:tcPr>
          <w:p w14:paraId="3641E685" w14:textId="77777777" w:rsidR="008E6885" w:rsidRDefault="00EA24E7">
            <w:pPr>
              <w:pStyle w:val="P68B1DB1-Normal19"/>
              <w:spacing w:after="0" w:line="240" w:lineRule="auto"/>
              <w:rPr>
                <w:rFonts w:eastAsia="Times New Roman" w:cs="Times New Roman"/>
                <w:noProof/>
              </w:rPr>
            </w:pPr>
            <w:r>
              <w:rPr>
                <w:noProof/>
              </w:rPr>
              <w:t>Étape</w:t>
            </w:r>
          </w:p>
        </w:tc>
        <w:tc>
          <w:tcPr>
            <w:tcW w:w="1368" w:type="dxa"/>
            <w:tcBorders>
              <w:top w:val="single" w:sz="4" w:space="0" w:color="auto"/>
              <w:left w:val="single" w:sz="4" w:space="0" w:color="auto"/>
              <w:bottom w:val="single" w:sz="4" w:space="0" w:color="auto"/>
              <w:right w:val="single" w:sz="4" w:space="0" w:color="auto"/>
            </w:tcBorders>
            <w:shd w:val="clear" w:color="auto" w:fill="C6EFCE"/>
          </w:tcPr>
          <w:p w14:paraId="19354334" w14:textId="77777777" w:rsidR="008E6885" w:rsidRDefault="00EA24E7">
            <w:pPr>
              <w:pStyle w:val="P68B1DB1-Normal19"/>
              <w:spacing w:after="0" w:line="240" w:lineRule="auto"/>
              <w:rPr>
                <w:rFonts w:eastAsia="Times New Roman" w:cs="Times New Roman"/>
                <w:noProof/>
              </w:rPr>
            </w:pPr>
            <w:r>
              <w:rPr>
                <w:noProof/>
              </w:rPr>
              <w:t>Sous-stations</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2B5FCEED" w14:textId="77777777" w:rsidR="008E6885" w:rsidRDefault="00EA24E7">
            <w:pPr>
              <w:pStyle w:val="P68B1DB1-Normal19"/>
              <w:spacing w:after="0" w:line="240" w:lineRule="auto"/>
              <w:rPr>
                <w:rFonts w:eastAsia="Times New Roman" w:cs="Times New Roman"/>
                <w:noProof/>
              </w:rPr>
            </w:pPr>
            <w:r>
              <w:rPr>
                <w:noProof/>
              </w:rPr>
              <w:t>Certificat(s) d'achèvement signé(s)</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159213F2"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2013E715"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12" w:type="dxa"/>
            <w:tcBorders>
              <w:top w:val="single" w:sz="4" w:space="0" w:color="auto"/>
              <w:left w:val="single" w:sz="4" w:space="0" w:color="auto"/>
              <w:bottom w:val="single" w:sz="4" w:space="0" w:color="auto"/>
              <w:right w:val="single" w:sz="4" w:space="0" w:color="auto"/>
            </w:tcBorders>
            <w:shd w:val="clear" w:color="auto" w:fill="C6EFCE"/>
          </w:tcPr>
          <w:p w14:paraId="3694E500"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921F8B6" w14:textId="77777777" w:rsidR="008E6885" w:rsidRDefault="00EA24E7">
            <w:pPr>
              <w:pStyle w:val="P68B1DB1-Normal19"/>
              <w:spacing w:after="0" w:line="240" w:lineRule="auto"/>
              <w:jc w:val="center"/>
              <w:rPr>
                <w:rFonts w:eastAsia="Times New Roman"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774F0B12" w14:textId="77777777" w:rsidR="008E6885" w:rsidRDefault="00EA24E7">
            <w:pPr>
              <w:pStyle w:val="P68B1DB1-Normal19"/>
              <w:spacing w:after="0" w:line="240" w:lineRule="auto"/>
              <w:jc w:val="center"/>
              <w:rPr>
                <w:rFonts w:eastAsia="Times New Roman" w:cs="Times New Roman"/>
                <w:noProof/>
              </w:rPr>
            </w:pPr>
            <w:r>
              <w:rPr>
                <w:noProof/>
              </w:rPr>
              <w:t>2026</w:t>
            </w:r>
          </w:p>
        </w:tc>
        <w:tc>
          <w:tcPr>
            <w:tcW w:w="2613" w:type="dxa"/>
            <w:tcBorders>
              <w:top w:val="single" w:sz="4" w:space="0" w:color="auto"/>
              <w:left w:val="single" w:sz="4" w:space="0" w:color="auto"/>
              <w:bottom w:val="single" w:sz="4" w:space="0" w:color="auto"/>
              <w:right w:val="single" w:sz="4" w:space="0" w:color="auto"/>
            </w:tcBorders>
            <w:shd w:val="clear" w:color="auto" w:fill="C6EFCE"/>
          </w:tcPr>
          <w:p w14:paraId="2E68B125" w14:textId="77777777" w:rsidR="008E6885" w:rsidRDefault="00EA24E7">
            <w:pPr>
              <w:pStyle w:val="P68B1DB1-Normal19"/>
              <w:spacing w:after="0" w:line="240" w:lineRule="auto"/>
              <w:jc w:val="both"/>
              <w:rPr>
                <w:rFonts w:eastAsia="Times New Roman" w:cs="Times New Roman"/>
                <w:noProof/>
              </w:rPr>
            </w:pPr>
            <w:r>
              <w:rPr>
                <w:noProof/>
              </w:rPr>
              <w:t>1) Certificat(s) d'achèvement signé(s) pour la mise en service d'une sous-station numérique à Kuldīga.</w:t>
            </w:r>
          </w:p>
          <w:p w14:paraId="71D2F1CC" w14:textId="77777777" w:rsidR="008E6885" w:rsidRDefault="00EA24E7">
            <w:pPr>
              <w:pStyle w:val="P68B1DB1-Normal19"/>
              <w:spacing w:after="0" w:line="240" w:lineRule="auto"/>
              <w:jc w:val="both"/>
              <w:rPr>
                <w:rFonts w:eastAsia="Times New Roman" w:cs="Times New Roman"/>
                <w:noProof/>
              </w:rPr>
            </w:pPr>
            <w:r>
              <w:rPr>
                <w:noProof/>
              </w:rPr>
              <w:t>2) Certificat(s) d'achèvement signé(s) pour une sous-station rénovée à Carnikava.</w:t>
            </w:r>
          </w:p>
        </w:tc>
      </w:tr>
      <w:tr w:rsidR="008E6885" w14:paraId="765FFE0D" w14:textId="77777777" w:rsidTr="00D57C89">
        <w:tc>
          <w:tcPr>
            <w:tcW w:w="630" w:type="dxa"/>
            <w:tcBorders>
              <w:top w:val="single" w:sz="4" w:space="0" w:color="auto"/>
              <w:left w:val="single" w:sz="4" w:space="0" w:color="auto"/>
              <w:bottom w:val="single" w:sz="4" w:space="0" w:color="auto"/>
              <w:right w:val="single" w:sz="4" w:space="0" w:color="auto"/>
            </w:tcBorders>
            <w:shd w:val="clear" w:color="auto" w:fill="C6EFCE"/>
          </w:tcPr>
          <w:p w14:paraId="58567DAE" w14:textId="77777777" w:rsidR="008E6885" w:rsidRDefault="00EA24E7">
            <w:pPr>
              <w:pStyle w:val="P68B1DB1-Normal19"/>
              <w:spacing w:after="0" w:line="240" w:lineRule="auto"/>
              <w:rPr>
                <w:rFonts w:ascii="Calibri" w:hAnsi="Calibri"/>
                <w:noProof/>
              </w:rPr>
            </w:pPr>
            <w:r>
              <w:rPr>
                <w:noProof/>
              </w:rPr>
              <w:t>226</w:t>
            </w:r>
          </w:p>
        </w:tc>
        <w:tc>
          <w:tcPr>
            <w:tcW w:w="1705" w:type="dxa"/>
            <w:tcBorders>
              <w:top w:val="single" w:sz="4" w:space="0" w:color="auto"/>
              <w:left w:val="single" w:sz="4" w:space="0" w:color="auto"/>
              <w:bottom w:val="single" w:sz="4" w:space="0" w:color="auto"/>
              <w:right w:val="single" w:sz="4" w:space="0" w:color="auto"/>
            </w:tcBorders>
            <w:shd w:val="clear" w:color="auto" w:fill="C6EFCE"/>
          </w:tcPr>
          <w:p w14:paraId="092055FB" w14:textId="77777777" w:rsidR="008E6885" w:rsidRDefault="00EA24E7">
            <w:pPr>
              <w:pStyle w:val="P68B1DB1-Normal17"/>
              <w:spacing w:after="0" w:line="240" w:lineRule="auto"/>
              <w:rPr>
                <w:rFonts w:eastAsia="Times New Roman" w:cs="Times New Roman"/>
                <w:bCs/>
                <w:noProof/>
              </w:rPr>
            </w:pPr>
            <w:r>
              <w:rPr>
                <w:noProof/>
              </w:rPr>
              <w:t>7.3.i. Modernisation, numérisation et sécurisation des réseaux de transport et de distribution d’électricité</w:t>
            </w:r>
          </w:p>
        </w:tc>
        <w:tc>
          <w:tcPr>
            <w:tcW w:w="1346" w:type="dxa"/>
            <w:tcBorders>
              <w:top w:val="single" w:sz="4" w:space="0" w:color="auto"/>
              <w:left w:val="single" w:sz="4" w:space="0" w:color="auto"/>
              <w:bottom w:val="single" w:sz="4" w:space="0" w:color="auto"/>
              <w:right w:val="single" w:sz="4" w:space="0" w:color="auto"/>
            </w:tcBorders>
            <w:shd w:val="clear" w:color="auto" w:fill="C6EFCE"/>
          </w:tcPr>
          <w:p w14:paraId="388F2286" w14:textId="77777777" w:rsidR="008E6885" w:rsidRDefault="00EA24E7">
            <w:pPr>
              <w:pStyle w:val="P68B1DB1-Normal19"/>
              <w:spacing w:after="0" w:line="240" w:lineRule="auto"/>
              <w:rPr>
                <w:rFonts w:eastAsia="Times New Roman" w:cs="Times New Roman"/>
                <w:noProof/>
              </w:rPr>
            </w:pPr>
            <w:r>
              <w:rPr>
                <w:noProof/>
              </w:rPr>
              <w:t>Objectif</w:t>
            </w:r>
          </w:p>
        </w:tc>
        <w:tc>
          <w:tcPr>
            <w:tcW w:w="1368" w:type="dxa"/>
            <w:tcBorders>
              <w:top w:val="single" w:sz="4" w:space="0" w:color="auto"/>
              <w:left w:val="single" w:sz="4" w:space="0" w:color="auto"/>
              <w:bottom w:val="single" w:sz="4" w:space="0" w:color="auto"/>
              <w:right w:val="single" w:sz="4" w:space="0" w:color="auto"/>
            </w:tcBorders>
            <w:shd w:val="clear" w:color="auto" w:fill="C6EFCE"/>
          </w:tcPr>
          <w:p w14:paraId="662C4C30" w14:textId="77777777" w:rsidR="008E6885" w:rsidRDefault="00EA24E7">
            <w:pPr>
              <w:pStyle w:val="P68B1DB1-Normal19"/>
              <w:spacing w:after="0" w:line="240" w:lineRule="auto"/>
              <w:rPr>
                <w:noProof/>
              </w:rPr>
            </w:pPr>
            <w:r>
              <w:rPr>
                <w:noProof/>
              </w:rPr>
              <w:t>Lignes électriques construites</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4C73C1A7"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0FD8F2F2" w14:textId="77777777" w:rsidR="008E6885" w:rsidRDefault="00EA24E7">
            <w:pPr>
              <w:pStyle w:val="P68B1DB1-Normal19"/>
              <w:spacing w:after="0" w:line="240" w:lineRule="auto"/>
              <w:jc w:val="center"/>
              <w:rPr>
                <w:rFonts w:eastAsia="Times New Roman" w:cs="Times New Roman"/>
                <w:noProof/>
              </w:rPr>
            </w:pPr>
            <w:r>
              <w:rPr>
                <w:noProof/>
              </w:rPr>
              <w:t>Km</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10ECE823" w14:textId="77777777" w:rsidR="008E6885" w:rsidRDefault="00EA24E7">
            <w:pPr>
              <w:pStyle w:val="P68B1DB1-Normal19"/>
              <w:spacing w:after="0" w:line="240" w:lineRule="auto"/>
              <w:jc w:val="center"/>
              <w:rPr>
                <w:rFonts w:eastAsia="Times New Roman" w:cs="Times New Roman"/>
                <w:noProof/>
              </w:rPr>
            </w:pPr>
            <w:r>
              <w:rPr>
                <w:noProof/>
              </w:rPr>
              <w:t>0</w:t>
            </w:r>
          </w:p>
        </w:tc>
        <w:tc>
          <w:tcPr>
            <w:tcW w:w="912" w:type="dxa"/>
            <w:tcBorders>
              <w:top w:val="single" w:sz="4" w:space="0" w:color="auto"/>
              <w:left w:val="single" w:sz="4" w:space="0" w:color="auto"/>
              <w:bottom w:val="single" w:sz="4" w:space="0" w:color="auto"/>
              <w:right w:val="single" w:sz="4" w:space="0" w:color="auto"/>
            </w:tcBorders>
            <w:shd w:val="clear" w:color="auto" w:fill="C6EFCE"/>
          </w:tcPr>
          <w:p w14:paraId="6B923F5C" w14:textId="77777777" w:rsidR="008E6885" w:rsidRDefault="00EA24E7">
            <w:pPr>
              <w:pStyle w:val="P68B1DB1-Normal19"/>
              <w:spacing w:after="0" w:line="240" w:lineRule="auto"/>
              <w:jc w:val="center"/>
              <w:rPr>
                <w:rFonts w:eastAsia="Times New Roman" w:cs="Times New Roman"/>
                <w:noProof/>
              </w:rPr>
            </w:pPr>
            <w:r>
              <w:rPr>
                <w:noProof/>
              </w:rPr>
              <w:t>190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495928C" w14:textId="77777777" w:rsidR="008E6885" w:rsidRDefault="00EA24E7">
            <w:pPr>
              <w:pStyle w:val="P68B1DB1-Normal19"/>
              <w:spacing w:after="0" w:line="240" w:lineRule="auto"/>
              <w:jc w:val="center"/>
              <w:rPr>
                <w:rFonts w:eastAsia="Times New Roman"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923F4E0" w14:textId="77777777" w:rsidR="008E6885" w:rsidRDefault="00EA24E7">
            <w:pPr>
              <w:pStyle w:val="P68B1DB1-Normal19"/>
              <w:spacing w:after="0" w:line="240" w:lineRule="auto"/>
              <w:jc w:val="center"/>
              <w:rPr>
                <w:rFonts w:eastAsia="Times New Roman" w:cs="Times New Roman"/>
                <w:noProof/>
              </w:rPr>
            </w:pPr>
            <w:r>
              <w:rPr>
                <w:noProof/>
              </w:rPr>
              <w:t>2026</w:t>
            </w:r>
          </w:p>
        </w:tc>
        <w:tc>
          <w:tcPr>
            <w:tcW w:w="2613" w:type="dxa"/>
            <w:tcBorders>
              <w:top w:val="single" w:sz="4" w:space="0" w:color="auto"/>
              <w:left w:val="single" w:sz="4" w:space="0" w:color="auto"/>
              <w:bottom w:val="single" w:sz="4" w:space="0" w:color="auto"/>
              <w:right w:val="single" w:sz="4" w:space="0" w:color="auto"/>
            </w:tcBorders>
            <w:shd w:val="clear" w:color="auto" w:fill="C6EFCE"/>
          </w:tcPr>
          <w:p w14:paraId="5376246B" w14:textId="77777777" w:rsidR="008E6885" w:rsidRDefault="00EA24E7">
            <w:pPr>
              <w:pStyle w:val="P68B1DB1-Normal19"/>
              <w:spacing w:after="0" w:line="240" w:lineRule="auto"/>
              <w:jc w:val="both"/>
              <w:rPr>
                <w:rFonts w:eastAsia="Times New Roman" w:cs="Times New Roman"/>
                <w:noProof/>
              </w:rPr>
            </w:pPr>
            <w:r>
              <w:rPr>
                <w:noProof/>
              </w:rPr>
              <w:t>Acte(s) technique(s) signé(s) pour un total de 190 km de lignes électriques construites.</w:t>
            </w:r>
          </w:p>
        </w:tc>
      </w:tr>
      <w:tr w:rsidR="008E6885" w14:paraId="506EBB6C" w14:textId="77777777" w:rsidTr="00D57C89">
        <w:tc>
          <w:tcPr>
            <w:tcW w:w="630" w:type="dxa"/>
            <w:tcBorders>
              <w:top w:val="single" w:sz="4" w:space="0" w:color="auto"/>
              <w:left w:val="single" w:sz="4" w:space="0" w:color="auto"/>
              <w:bottom w:val="single" w:sz="4" w:space="0" w:color="auto"/>
              <w:right w:val="single" w:sz="4" w:space="0" w:color="auto"/>
            </w:tcBorders>
            <w:shd w:val="clear" w:color="auto" w:fill="C6EFCE"/>
          </w:tcPr>
          <w:p w14:paraId="5BA2291D" w14:textId="77777777" w:rsidR="008E6885" w:rsidRDefault="00EA24E7">
            <w:pPr>
              <w:pStyle w:val="P68B1DB1-Normal19"/>
              <w:spacing w:after="0" w:line="240" w:lineRule="auto"/>
              <w:rPr>
                <w:rFonts w:ascii="Calibri" w:hAnsi="Calibri"/>
                <w:noProof/>
              </w:rPr>
            </w:pPr>
            <w:r>
              <w:rPr>
                <w:noProof/>
              </w:rPr>
              <w:t>227</w:t>
            </w:r>
          </w:p>
        </w:tc>
        <w:tc>
          <w:tcPr>
            <w:tcW w:w="1705" w:type="dxa"/>
            <w:tcBorders>
              <w:top w:val="single" w:sz="4" w:space="0" w:color="auto"/>
              <w:left w:val="single" w:sz="4" w:space="0" w:color="auto"/>
              <w:bottom w:val="single" w:sz="4" w:space="0" w:color="auto"/>
              <w:right w:val="single" w:sz="4" w:space="0" w:color="auto"/>
            </w:tcBorders>
            <w:shd w:val="clear" w:color="auto" w:fill="C6EFCE"/>
          </w:tcPr>
          <w:p w14:paraId="7710290E" w14:textId="77777777" w:rsidR="008E6885" w:rsidRDefault="00EA24E7">
            <w:pPr>
              <w:pStyle w:val="P68B1DB1-Normal17"/>
              <w:spacing w:after="0" w:line="240" w:lineRule="auto"/>
              <w:rPr>
                <w:rFonts w:eastAsia="Times New Roman" w:cs="Times New Roman"/>
                <w:noProof/>
              </w:rPr>
            </w:pPr>
            <w:r>
              <w:rPr>
                <w:noProof/>
              </w:rPr>
              <w:t>7.3.i. Modernisation, numérisation et sécurisation des réseaux de transport et de distribution d’électricité</w:t>
            </w:r>
          </w:p>
        </w:tc>
        <w:tc>
          <w:tcPr>
            <w:tcW w:w="1346" w:type="dxa"/>
            <w:tcBorders>
              <w:top w:val="single" w:sz="4" w:space="0" w:color="auto"/>
              <w:left w:val="single" w:sz="4" w:space="0" w:color="auto"/>
              <w:bottom w:val="single" w:sz="4" w:space="0" w:color="auto"/>
              <w:right w:val="single" w:sz="4" w:space="0" w:color="auto"/>
            </w:tcBorders>
            <w:shd w:val="clear" w:color="auto" w:fill="C6EFCE"/>
          </w:tcPr>
          <w:p w14:paraId="4203F107" w14:textId="77777777" w:rsidR="008E6885" w:rsidRDefault="00EA24E7">
            <w:pPr>
              <w:pStyle w:val="P68B1DB1-Normal19"/>
              <w:spacing w:after="0" w:line="240" w:lineRule="auto"/>
              <w:rPr>
                <w:rFonts w:eastAsia="Times New Roman" w:cs="Times New Roman"/>
                <w:noProof/>
              </w:rPr>
            </w:pPr>
            <w:r>
              <w:rPr>
                <w:noProof/>
              </w:rPr>
              <w:t>Étape</w:t>
            </w:r>
          </w:p>
        </w:tc>
        <w:tc>
          <w:tcPr>
            <w:tcW w:w="1368" w:type="dxa"/>
            <w:tcBorders>
              <w:top w:val="single" w:sz="4" w:space="0" w:color="auto"/>
              <w:left w:val="single" w:sz="4" w:space="0" w:color="auto"/>
              <w:bottom w:val="single" w:sz="4" w:space="0" w:color="auto"/>
              <w:right w:val="single" w:sz="4" w:space="0" w:color="auto"/>
            </w:tcBorders>
            <w:shd w:val="clear" w:color="auto" w:fill="C6EFCE"/>
          </w:tcPr>
          <w:p w14:paraId="2C426599" w14:textId="77777777" w:rsidR="008E6885" w:rsidRDefault="00EA24E7">
            <w:pPr>
              <w:pStyle w:val="P68B1DB1-Normal19"/>
              <w:spacing w:after="0" w:line="240" w:lineRule="auto"/>
              <w:rPr>
                <w:rFonts w:eastAsia="Times New Roman" w:cs="Times New Roman"/>
                <w:noProof/>
              </w:rPr>
            </w:pPr>
            <w:r>
              <w:rPr>
                <w:noProof/>
              </w:rPr>
              <w:t>Mises à niveau du système de gestion du réseau de distribution et disjoncteurs</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0A406013" w14:textId="77777777" w:rsidR="008E6885" w:rsidRDefault="00EA24E7">
            <w:pPr>
              <w:pStyle w:val="P68B1DB1-Normal19"/>
              <w:spacing w:after="0" w:line="240" w:lineRule="auto"/>
              <w:rPr>
                <w:rFonts w:eastAsia="Times New Roman" w:cs="Times New Roman"/>
                <w:noProof/>
              </w:rPr>
            </w:pPr>
            <w:r>
              <w:rPr>
                <w:noProof/>
              </w:rPr>
              <w:t>Certificat(s) d’achèvement et acte(s) technique(s) signé(s)</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62B262EF"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708A6734"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12" w:type="dxa"/>
            <w:tcBorders>
              <w:top w:val="single" w:sz="4" w:space="0" w:color="auto"/>
              <w:left w:val="single" w:sz="4" w:space="0" w:color="auto"/>
              <w:bottom w:val="single" w:sz="4" w:space="0" w:color="auto"/>
              <w:right w:val="single" w:sz="4" w:space="0" w:color="auto"/>
            </w:tcBorders>
            <w:shd w:val="clear" w:color="auto" w:fill="C6EFCE"/>
          </w:tcPr>
          <w:p w14:paraId="08A623D0"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8B8A805" w14:textId="77777777" w:rsidR="008E6885" w:rsidRDefault="00EA24E7">
            <w:pPr>
              <w:pStyle w:val="P68B1DB1-Normal19"/>
              <w:spacing w:after="0" w:line="240" w:lineRule="auto"/>
              <w:jc w:val="center"/>
              <w:rPr>
                <w:rFonts w:eastAsia="Times New Roman"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0F12B045" w14:textId="77777777" w:rsidR="008E6885" w:rsidRDefault="00EA24E7">
            <w:pPr>
              <w:pStyle w:val="P68B1DB1-Normal19"/>
              <w:spacing w:after="0" w:line="240" w:lineRule="auto"/>
              <w:jc w:val="center"/>
              <w:rPr>
                <w:rFonts w:eastAsia="Times New Roman" w:cs="Times New Roman"/>
                <w:noProof/>
              </w:rPr>
            </w:pPr>
            <w:r>
              <w:rPr>
                <w:noProof/>
              </w:rPr>
              <w:t>2026</w:t>
            </w:r>
          </w:p>
        </w:tc>
        <w:tc>
          <w:tcPr>
            <w:tcW w:w="2613" w:type="dxa"/>
            <w:tcBorders>
              <w:top w:val="single" w:sz="4" w:space="0" w:color="auto"/>
              <w:left w:val="single" w:sz="4" w:space="0" w:color="auto"/>
              <w:bottom w:val="single" w:sz="4" w:space="0" w:color="auto"/>
              <w:right w:val="single" w:sz="4" w:space="0" w:color="auto"/>
            </w:tcBorders>
            <w:shd w:val="clear" w:color="auto" w:fill="C6EFCE"/>
          </w:tcPr>
          <w:p w14:paraId="5B01027C" w14:textId="026E6A5D" w:rsidR="008E6885" w:rsidRDefault="00EA24E7">
            <w:pPr>
              <w:pStyle w:val="P68B1DB1-Normal19"/>
              <w:spacing w:after="0" w:line="240" w:lineRule="auto"/>
              <w:jc w:val="both"/>
              <w:rPr>
                <w:rFonts w:eastAsia="Times New Roman" w:cs="Times New Roman"/>
                <w:noProof/>
              </w:rPr>
            </w:pPr>
            <w:r>
              <w:rPr>
                <w:noProof/>
              </w:rPr>
              <w:t xml:space="preserve">- Certificat(s) d'achèvement signé(s) pour la mise à niveau de deux systèmes de gestion de réseau exploités par le GRD; </w:t>
            </w:r>
          </w:p>
          <w:p w14:paraId="50C92A75" w14:textId="77777777" w:rsidR="008E6885" w:rsidRDefault="00EA24E7">
            <w:pPr>
              <w:pStyle w:val="P68B1DB1-Normal19"/>
              <w:spacing w:after="0" w:line="240" w:lineRule="auto"/>
              <w:jc w:val="both"/>
              <w:rPr>
                <w:rFonts w:eastAsia="Times New Roman" w:cs="Times New Roman"/>
                <w:noProof/>
              </w:rPr>
            </w:pPr>
            <w:r>
              <w:rPr>
                <w:noProof/>
              </w:rPr>
              <w:t>- Acte(s) technique(s) signé(s) pour l'installation d'au moins 285 disjoncteurs.</w:t>
            </w:r>
          </w:p>
        </w:tc>
      </w:tr>
      <w:tr w:rsidR="008E6885" w14:paraId="3C6CBAC6" w14:textId="77777777" w:rsidTr="00D57C89">
        <w:tc>
          <w:tcPr>
            <w:tcW w:w="630" w:type="dxa"/>
            <w:tcBorders>
              <w:top w:val="single" w:sz="4" w:space="0" w:color="auto"/>
              <w:left w:val="single" w:sz="4" w:space="0" w:color="auto"/>
              <w:bottom w:val="single" w:sz="4" w:space="0" w:color="auto"/>
              <w:right w:val="single" w:sz="4" w:space="0" w:color="auto"/>
            </w:tcBorders>
            <w:shd w:val="clear" w:color="auto" w:fill="C6EFCE"/>
          </w:tcPr>
          <w:p w14:paraId="4318EDCF" w14:textId="77777777" w:rsidR="008E6885" w:rsidRDefault="00EA24E7">
            <w:pPr>
              <w:pStyle w:val="P68B1DB1-Normal19"/>
              <w:spacing w:after="0" w:line="240" w:lineRule="auto"/>
              <w:rPr>
                <w:rFonts w:eastAsia="Times New Roman" w:cs="Times New Roman"/>
                <w:noProof/>
              </w:rPr>
            </w:pPr>
            <w:r>
              <w:rPr>
                <w:noProof/>
              </w:rPr>
              <w:t>229</w:t>
            </w:r>
          </w:p>
        </w:tc>
        <w:tc>
          <w:tcPr>
            <w:tcW w:w="1705" w:type="dxa"/>
            <w:tcBorders>
              <w:top w:val="single" w:sz="4" w:space="0" w:color="auto"/>
              <w:left w:val="single" w:sz="4" w:space="0" w:color="auto"/>
              <w:bottom w:val="single" w:sz="4" w:space="0" w:color="auto"/>
              <w:right w:val="single" w:sz="4" w:space="0" w:color="auto"/>
            </w:tcBorders>
            <w:shd w:val="clear" w:color="auto" w:fill="C6EFCE"/>
          </w:tcPr>
          <w:p w14:paraId="2E67F44B" w14:textId="77777777" w:rsidR="008E6885" w:rsidRDefault="00EA24E7">
            <w:pPr>
              <w:pStyle w:val="P68B1DB1-Normal17"/>
              <w:spacing w:after="0" w:line="240" w:lineRule="auto"/>
              <w:rPr>
                <w:rFonts w:eastAsia="Times New Roman" w:cs="Times New Roman"/>
                <w:bCs/>
                <w:noProof/>
              </w:rPr>
            </w:pPr>
            <w:r>
              <w:rPr>
                <w:noProof/>
              </w:rPr>
              <w:t>7.4.i. Accroître l’utilisation du biométhane durable</w:t>
            </w:r>
          </w:p>
        </w:tc>
        <w:tc>
          <w:tcPr>
            <w:tcW w:w="1346" w:type="dxa"/>
            <w:tcBorders>
              <w:top w:val="single" w:sz="4" w:space="0" w:color="auto"/>
              <w:left w:val="single" w:sz="4" w:space="0" w:color="auto"/>
              <w:bottom w:val="single" w:sz="4" w:space="0" w:color="auto"/>
              <w:right w:val="single" w:sz="4" w:space="0" w:color="auto"/>
            </w:tcBorders>
            <w:shd w:val="clear" w:color="auto" w:fill="C6EFCE"/>
          </w:tcPr>
          <w:p w14:paraId="6513AFC5" w14:textId="77777777" w:rsidR="008E6885" w:rsidRDefault="00EA24E7">
            <w:pPr>
              <w:pStyle w:val="P68B1DB1-Normal19"/>
              <w:spacing w:after="0" w:line="240" w:lineRule="auto"/>
              <w:rPr>
                <w:rFonts w:eastAsia="Times New Roman" w:cs="Times New Roman"/>
                <w:noProof/>
              </w:rPr>
            </w:pPr>
            <w:r>
              <w:rPr>
                <w:noProof/>
              </w:rPr>
              <w:t>Étape</w:t>
            </w:r>
          </w:p>
        </w:tc>
        <w:tc>
          <w:tcPr>
            <w:tcW w:w="1368" w:type="dxa"/>
            <w:tcBorders>
              <w:top w:val="single" w:sz="4" w:space="0" w:color="auto"/>
              <w:left w:val="single" w:sz="4" w:space="0" w:color="auto"/>
              <w:bottom w:val="single" w:sz="4" w:space="0" w:color="auto"/>
              <w:right w:val="single" w:sz="4" w:space="0" w:color="auto"/>
            </w:tcBorders>
            <w:shd w:val="clear" w:color="auto" w:fill="C6EFCE"/>
          </w:tcPr>
          <w:p w14:paraId="3F4B0031" w14:textId="77777777" w:rsidR="008E6885" w:rsidRDefault="00EA24E7">
            <w:pPr>
              <w:pStyle w:val="P68B1DB1-Normal19"/>
              <w:spacing w:after="0" w:line="240" w:lineRule="auto"/>
              <w:rPr>
                <w:rFonts w:eastAsia="Times New Roman" w:cs="Times New Roman"/>
                <w:noProof/>
              </w:rPr>
            </w:pPr>
            <w:r>
              <w:rPr>
                <w:noProof/>
              </w:rPr>
              <w:t>Réglementation régissant les investissements dans le secteur du biométhane</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3B5339A8" w14:textId="77777777" w:rsidR="008E6885" w:rsidRDefault="00EA24E7">
            <w:pPr>
              <w:pStyle w:val="P68B1DB1-Normal19"/>
              <w:spacing w:after="0" w:line="240" w:lineRule="auto"/>
              <w:rPr>
                <w:rFonts w:eastAsia="Times New Roman" w:cs="Times New Roman"/>
                <w:noProof/>
              </w:rPr>
            </w:pPr>
            <w:r>
              <w:rPr>
                <w:noProof/>
              </w:rPr>
              <w:t xml:space="preserve">Dispositions légales indiquant l'entrée en vigueur des règlements régissant les investissements dans le secteur du biométhane </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02D7C46B"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2A96DCF1"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12" w:type="dxa"/>
            <w:tcBorders>
              <w:top w:val="single" w:sz="4" w:space="0" w:color="auto"/>
              <w:left w:val="single" w:sz="4" w:space="0" w:color="auto"/>
              <w:bottom w:val="single" w:sz="4" w:space="0" w:color="auto"/>
              <w:right w:val="single" w:sz="4" w:space="0" w:color="auto"/>
            </w:tcBorders>
            <w:shd w:val="clear" w:color="auto" w:fill="C6EFCE"/>
          </w:tcPr>
          <w:p w14:paraId="78A6D980"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3F2ED13" w14:textId="77777777" w:rsidR="008E6885" w:rsidRDefault="00EA24E7">
            <w:pPr>
              <w:pStyle w:val="P68B1DB1-Normal19"/>
              <w:spacing w:after="0" w:line="240" w:lineRule="auto"/>
              <w:jc w:val="center"/>
              <w:rPr>
                <w:rFonts w:eastAsia="Times New Roman"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097DC933" w14:textId="77777777" w:rsidR="008E6885" w:rsidRDefault="00EA24E7">
            <w:pPr>
              <w:pStyle w:val="P68B1DB1-Normal19"/>
              <w:spacing w:after="0" w:line="240" w:lineRule="auto"/>
              <w:jc w:val="center"/>
              <w:rPr>
                <w:rFonts w:eastAsia="Times New Roman" w:cs="Times New Roman"/>
                <w:noProof/>
              </w:rPr>
            </w:pPr>
            <w:r>
              <w:rPr>
                <w:noProof/>
              </w:rPr>
              <w:t>2024</w:t>
            </w:r>
          </w:p>
        </w:tc>
        <w:tc>
          <w:tcPr>
            <w:tcW w:w="2613" w:type="dxa"/>
            <w:tcBorders>
              <w:top w:val="single" w:sz="4" w:space="0" w:color="auto"/>
              <w:left w:val="single" w:sz="4" w:space="0" w:color="auto"/>
              <w:bottom w:val="single" w:sz="4" w:space="0" w:color="auto"/>
              <w:right w:val="single" w:sz="4" w:space="0" w:color="auto"/>
            </w:tcBorders>
            <w:shd w:val="clear" w:color="auto" w:fill="C6EFCE"/>
          </w:tcPr>
          <w:p w14:paraId="399C4E18" w14:textId="77777777" w:rsidR="008E6885" w:rsidRDefault="00EA24E7">
            <w:pPr>
              <w:pStyle w:val="P68B1DB1-Normal19"/>
              <w:spacing w:after="0" w:line="240" w:lineRule="auto"/>
              <w:jc w:val="both"/>
              <w:rPr>
                <w:rFonts w:eastAsia="Times New Roman" w:cs="Times New Roman"/>
                <w:noProof/>
              </w:rPr>
            </w:pPr>
            <w:r>
              <w:rPr>
                <w:noProof/>
              </w:rPr>
              <w:t>Entrée en vigueur des règlements du cabinet des ministres sur le cadre juridique des investissements dans la construction d’un point d’entrée régional pour le biométhane et dans l’achat d’une solution informatique pour la gestion du point d’entrée.</w:t>
            </w:r>
          </w:p>
        </w:tc>
      </w:tr>
      <w:tr w:rsidR="008E6885" w14:paraId="359415B6" w14:textId="77777777" w:rsidTr="00D57C89">
        <w:tc>
          <w:tcPr>
            <w:tcW w:w="630" w:type="dxa"/>
            <w:tcBorders>
              <w:top w:val="single" w:sz="4" w:space="0" w:color="auto"/>
              <w:left w:val="single" w:sz="4" w:space="0" w:color="auto"/>
              <w:bottom w:val="single" w:sz="4" w:space="0" w:color="auto"/>
              <w:right w:val="single" w:sz="4" w:space="0" w:color="auto"/>
            </w:tcBorders>
            <w:shd w:val="clear" w:color="auto" w:fill="C6EFCE"/>
          </w:tcPr>
          <w:p w14:paraId="3245FF6B" w14:textId="77777777" w:rsidR="008E6885" w:rsidRDefault="00EA24E7">
            <w:pPr>
              <w:pStyle w:val="P68B1DB1-Normal19"/>
              <w:spacing w:after="0" w:line="240" w:lineRule="auto"/>
              <w:rPr>
                <w:rFonts w:eastAsia="Times New Roman" w:cs="Times New Roman"/>
                <w:noProof/>
              </w:rPr>
            </w:pPr>
            <w:r>
              <w:rPr>
                <w:noProof/>
              </w:rPr>
              <w:t>231</w:t>
            </w:r>
          </w:p>
        </w:tc>
        <w:tc>
          <w:tcPr>
            <w:tcW w:w="1705" w:type="dxa"/>
            <w:tcBorders>
              <w:top w:val="single" w:sz="4" w:space="0" w:color="auto"/>
              <w:left w:val="single" w:sz="4" w:space="0" w:color="auto"/>
              <w:bottom w:val="single" w:sz="4" w:space="0" w:color="auto"/>
              <w:right w:val="single" w:sz="4" w:space="0" w:color="auto"/>
            </w:tcBorders>
            <w:shd w:val="clear" w:color="auto" w:fill="C6EFCE"/>
          </w:tcPr>
          <w:p w14:paraId="42647C45" w14:textId="77777777" w:rsidR="008E6885" w:rsidRDefault="00EA24E7">
            <w:pPr>
              <w:pStyle w:val="P68B1DB1-Normal17"/>
              <w:spacing w:after="0" w:line="240" w:lineRule="auto"/>
              <w:rPr>
                <w:rFonts w:eastAsia="Times New Roman" w:cs="Times New Roman"/>
                <w:bCs/>
                <w:noProof/>
              </w:rPr>
            </w:pPr>
            <w:r>
              <w:rPr>
                <w:noProof/>
              </w:rPr>
              <w:t>7.4.i. Accroître l’utilisation du biométhane durable</w:t>
            </w:r>
          </w:p>
        </w:tc>
        <w:tc>
          <w:tcPr>
            <w:tcW w:w="1346" w:type="dxa"/>
            <w:tcBorders>
              <w:top w:val="single" w:sz="4" w:space="0" w:color="auto"/>
              <w:left w:val="single" w:sz="4" w:space="0" w:color="auto"/>
              <w:bottom w:val="single" w:sz="4" w:space="0" w:color="auto"/>
              <w:right w:val="single" w:sz="4" w:space="0" w:color="auto"/>
            </w:tcBorders>
            <w:shd w:val="clear" w:color="auto" w:fill="C6EFCE"/>
          </w:tcPr>
          <w:p w14:paraId="24003916" w14:textId="77777777" w:rsidR="008E6885" w:rsidRDefault="00EA24E7">
            <w:pPr>
              <w:pStyle w:val="P68B1DB1-Normal19"/>
              <w:spacing w:after="0" w:line="240" w:lineRule="auto"/>
              <w:rPr>
                <w:rFonts w:eastAsia="Times New Roman" w:cs="Times New Roman"/>
                <w:noProof/>
              </w:rPr>
            </w:pPr>
            <w:r>
              <w:rPr>
                <w:noProof/>
              </w:rPr>
              <w:t xml:space="preserve">Étape </w:t>
            </w:r>
          </w:p>
        </w:tc>
        <w:tc>
          <w:tcPr>
            <w:tcW w:w="1368" w:type="dxa"/>
            <w:tcBorders>
              <w:top w:val="single" w:sz="4" w:space="0" w:color="auto"/>
              <w:left w:val="single" w:sz="4" w:space="0" w:color="auto"/>
              <w:bottom w:val="single" w:sz="4" w:space="0" w:color="auto"/>
              <w:right w:val="single" w:sz="4" w:space="0" w:color="auto"/>
            </w:tcBorders>
            <w:shd w:val="clear" w:color="auto" w:fill="C6EFCE"/>
          </w:tcPr>
          <w:p w14:paraId="379AC88D" w14:textId="77777777" w:rsidR="008E6885" w:rsidRDefault="00EA24E7">
            <w:pPr>
              <w:pStyle w:val="P68B1DB1-Normal19"/>
              <w:spacing w:after="0" w:line="240" w:lineRule="auto"/>
              <w:rPr>
                <w:rFonts w:eastAsia="Times New Roman" w:cs="Times New Roman"/>
                <w:noProof/>
              </w:rPr>
            </w:pPr>
            <w:r>
              <w:rPr>
                <w:noProof/>
              </w:rPr>
              <w:t xml:space="preserve">Point d'injection de biométhane </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480C8E9B" w14:textId="77777777" w:rsidR="008E6885" w:rsidRDefault="00EA24E7">
            <w:pPr>
              <w:pStyle w:val="P68B1DB1-Normal19"/>
              <w:spacing w:after="0" w:line="240" w:lineRule="auto"/>
              <w:rPr>
                <w:rFonts w:eastAsia="Times New Roman" w:cs="Times New Roman"/>
                <w:noProof/>
              </w:rPr>
            </w:pPr>
            <w:r>
              <w:rPr>
                <w:noProof/>
              </w:rPr>
              <w:t>Certificat(s) d'achèvement signé(s)</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24C7B1CB"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1BFC784A"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12" w:type="dxa"/>
            <w:tcBorders>
              <w:top w:val="single" w:sz="4" w:space="0" w:color="auto"/>
              <w:left w:val="single" w:sz="4" w:space="0" w:color="auto"/>
              <w:bottom w:val="single" w:sz="4" w:space="0" w:color="auto"/>
              <w:right w:val="single" w:sz="4" w:space="0" w:color="auto"/>
            </w:tcBorders>
            <w:shd w:val="clear" w:color="auto" w:fill="C6EFCE"/>
          </w:tcPr>
          <w:p w14:paraId="3F9F638F"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0BB3306" w14:textId="77777777" w:rsidR="008E6885" w:rsidRDefault="00EA24E7">
            <w:pPr>
              <w:pStyle w:val="P68B1DB1-Normal19"/>
              <w:spacing w:after="0" w:line="240" w:lineRule="auto"/>
              <w:jc w:val="center"/>
              <w:rPr>
                <w:rFonts w:eastAsia="Times New Roman"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08A1515D" w14:textId="77777777" w:rsidR="008E6885" w:rsidRDefault="00EA24E7">
            <w:pPr>
              <w:pStyle w:val="P68B1DB1-Normal19"/>
              <w:spacing w:after="0" w:line="240" w:lineRule="auto"/>
              <w:jc w:val="center"/>
              <w:rPr>
                <w:rFonts w:eastAsia="Times New Roman" w:cs="Times New Roman"/>
                <w:noProof/>
              </w:rPr>
            </w:pPr>
            <w:r>
              <w:rPr>
                <w:noProof/>
              </w:rPr>
              <w:t>2025</w:t>
            </w:r>
          </w:p>
        </w:tc>
        <w:tc>
          <w:tcPr>
            <w:tcW w:w="2613" w:type="dxa"/>
            <w:tcBorders>
              <w:top w:val="single" w:sz="4" w:space="0" w:color="auto"/>
              <w:left w:val="single" w:sz="4" w:space="0" w:color="auto"/>
              <w:bottom w:val="single" w:sz="4" w:space="0" w:color="auto"/>
              <w:right w:val="single" w:sz="4" w:space="0" w:color="auto"/>
            </w:tcBorders>
            <w:shd w:val="clear" w:color="auto" w:fill="C6EFCE"/>
          </w:tcPr>
          <w:p w14:paraId="2FBB0AA5" w14:textId="77777777" w:rsidR="008E6885" w:rsidRDefault="00EA24E7">
            <w:pPr>
              <w:pStyle w:val="P68B1DB1-Normal19"/>
              <w:spacing w:after="0" w:line="240" w:lineRule="auto"/>
              <w:jc w:val="both"/>
              <w:rPr>
                <w:rFonts w:eastAsia="Times New Roman" w:cs="Times New Roman"/>
                <w:noProof/>
              </w:rPr>
            </w:pPr>
            <w:r>
              <w:rPr>
                <w:noProof/>
              </w:rPr>
              <w:t>Certificat(s) d'achèvement signé(s) pour la mise en service d'un point d'injection de biométhane. Le biométhane injecté via le nouveau point est conforme aux exigences réglementaires relatives à la durabilité des sources d’énergie renouvelables et aux critères de réduction des émissions de gaz à effet de serre.</w:t>
            </w:r>
          </w:p>
        </w:tc>
      </w:tr>
      <w:tr w:rsidR="008E6885" w14:paraId="3B116B83" w14:textId="77777777" w:rsidTr="00D57C89">
        <w:tc>
          <w:tcPr>
            <w:tcW w:w="630" w:type="dxa"/>
            <w:tcBorders>
              <w:top w:val="single" w:sz="4" w:space="0" w:color="auto"/>
              <w:left w:val="single" w:sz="4" w:space="0" w:color="auto"/>
              <w:bottom w:val="single" w:sz="4" w:space="0" w:color="auto"/>
              <w:right w:val="single" w:sz="4" w:space="0" w:color="auto"/>
            </w:tcBorders>
            <w:shd w:val="clear" w:color="auto" w:fill="C6EFCE"/>
          </w:tcPr>
          <w:p w14:paraId="0D11C2AF" w14:textId="77777777" w:rsidR="008E6885" w:rsidRDefault="00EA24E7">
            <w:pPr>
              <w:pStyle w:val="P68B1DB1-Normal19"/>
              <w:spacing w:after="0" w:line="240" w:lineRule="auto"/>
              <w:rPr>
                <w:rFonts w:ascii="Calibri" w:hAnsi="Calibri"/>
                <w:noProof/>
              </w:rPr>
            </w:pPr>
            <w:r>
              <w:rPr>
                <w:noProof/>
              </w:rPr>
              <w:t>232</w:t>
            </w:r>
          </w:p>
        </w:tc>
        <w:tc>
          <w:tcPr>
            <w:tcW w:w="1705" w:type="dxa"/>
            <w:tcBorders>
              <w:top w:val="single" w:sz="4" w:space="0" w:color="auto"/>
              <w:left w:val="single" w:sz="4" w:space="0" w:color="auto"/>
              <w:bottom w:val="single" w:sz="4" w:space="0" w:color="auto"/>
              <w:right w:val="single" w:sz="4" w:space="0" w:color="auto"/>
            </w:tcBorders>
            <w:shd w:val="clear" w:color="auto" w:fill="C6EFCE"/>
          </w:tcPr>
          <w:p w14:paraId="7D6665B3" w14:textId="77777777" w:rsidR="008E6885" w:rsidRDefault="00EA24E7">
            <w:pPr>
              <w:pStyle w:val="P68B1DB1-Normal17"/>
              <w:spacing w:after="0" w:line="240" w:lineRule="auto"/>
              <w:rPr>
                <w:rFonts w:eastAsia="Times New Roman" w:cs="Times New Roman"/>
                <w:bCs/>
                <w:noProof/>
              </w:rPr>
            </w:pPr>
            <w:r>
              <w:rPr>
                <w:noProof/>
              </w:rPr>
              <w:t>7.4.i. Accroître l’utilisation du biométhane durable</w:t>
            </w:r>
          </w:p>
        </w:tc>
        <w:tc>
          <w:tcPr>
            <w:tcW w:w="1346" w:type="dxa"/>
            <w:tcBorders>
              <w:top w:val="single" w:sz="4" w:space="0" w:color="auto"/>
              <w:left w:val="single" w:sz="4" w:space="0" w:color="auto"/>
              <w:bottom w:val="single" w:sz="4" w:space="0" w:color="auto"/>
              <w:right w:val="single" w:sz="4" w:space="0" w:color="auto"/>
            </w:tcBorders>
            <w:shd w:val="clear" w:color="auto" w:fill="C6EFCE"/>
          </w:tcPr>
          <w:p w14:paraId="5C5871B9" w14:textId="77777777" w:rsidR="008E6885" w:rsidRDefault="00EA24E7">
            <w:pPr>
              <w:pStyle w:val="P68B1DB1-Normal19"/>
              <w:spacing w:after="0" w:line="240" w:lineRule="auto"/>
              <w:rPr>
                <w:rFonts w:eastAsia="Times New Roman" w:cs="Times New Roman"/>
                <w:noProof/>
              </w:rPr>
            </w:pPr>
            <w:r>
              <w:rPr>
                <w:noProof/>
              </w:rPr>
              <w:t>Étape</w:t>
            </w:r>
          </w:p>
        </w:tc>
        <w:tc>
          <w:tcPr>
            <w:tcW w:w="1368" w:type="dxa"/>
            <w:tcBorders>
              <w:top w:val="single" w:sz="4" w:space="0" w:color="auto"/>
              <w:left w:val="single" w:sz="4" w:space="0" w:color="auto"/>
              <w:bottom w:val="single" w:sz="4" w:space="0" w:color="auto"/>
              <w:right w:val="single" w:sz="4" w:space="0" w:color="auto"/>
            </w:tcBorders>
            <w:shd w:val="clear" w:color="auto" w:fill="C6EFCE"/>
          </w:tcPr>
          <w:p w14:paraId="480F9D0C" w14:textId="77777777" w:rsidR="008E6885" w:rsidRDefault="00EA24E7">
            <w:pPr>
              <w:pStyle w:val="P68B1DB1-Normal19"/>
              <w:spacing w:after="0" w:line="240" w:lineRule="auto"/>
              <w:rPr>
                <w:rFonts w:eastAsia="Times New Roman" w:cs="Times New Roman"/>
                <w:noProof/>
              </w:rPr>
            </w:pPr>
            <w:r>
              <w:rPr>
                <w:noProof/>
              </w:rPr>
              <w:t>Solutions informatiques pour la gestion du point d'injection de biométhane (PIF)</w:t>
            </w:r>
          </w:p>
        </w:tc>
        <w:tc>
          <w:tcPr>
            <w:tcW w:w="1626" w:type="dxa"/>
            <w:tcBorders>
              <w:top w:val="single" w:sz="4" w:space="0" w:color="auto"/>
              <w:left w:val="single" w:sz="4" w:space="0" w:color="auto"/>
              <w:bottom w:val="single" w:sz="4" w:space="0" w:color="auto"/>
              <w:right w:val="single" w:sz="4" w:space="0" w:color="auto"/>
            </w:tcBorders>
            <w:shd w:val="clear" w:color="auto" w:fill="C6EFCE"/>
          </w:tcPr>
          <w:p w14:paraId="1A08C335" w14:textId="77777777" w:rsidR="008E6885" w:rsidRDefault="00EA24E7">
            <w:pPr>
              <w:pStyle w:val="P68B1DB1-Normal19"/>
              <w:spacing w:after="0" w:line="240" w:lineRule="auto"/>
              <w:rPr>
                <w:rFonts w:eastAsia="Times New Roman" w:cs="Times New Roman"/>
                <w:noProof/>
              </w:rPr>
            </w:pPr>
            <w:r>
              <w:rPr>
                <w:noProof/>
              </w:rPr>
              <w:t>Solutions informatiques livrées</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5D3586AB"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53" w:type="dxa"/>
            <w:tcBorders>
              <w:top w:val="single" w:sz="4" w:space="0" w:color="auto"/>
              <w:left w:val="single" w:sz="4" w:space="0" w:color="auto"/>
              <w:bottom w:val="single" w:sz="4" w:space="0" w:color="auto"/>
              <w:right w:val="single" w:sz="4" w:space="0" w:color="auto"/>
            </w:tcBorders>
            <w:shd w:val="clear" w:color="auto" w:fill="C6EFCE"/>
          </w:tcPr>
          <w:p w14:paraId="697C33B9"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12" w:type="dxa"/>
            <w:tcBorders>
              <w:top w:val="single" w:sz="4" w:space="0" w:color="auto"/>
              <w:left w:val="single" w:sz="4" w:space="0" w:color="auto"/>
              <w:bottom w:val="single" w:sz="4" w:space="0" w:color="auto"/>
              <w:right w:val="single" w:sz="4" w:space="0" w:color="auto"/>
            </w:tcBorders>
            <w:shd w:val="clear" w:color="auto" w:fill="C6EFCE"/>
          </w:tcPr>
          <w:p w14:paraId="5CD925BC" w14:textId="77777777" w:rsidR="008E6885" w:rsidRDefault="00EA24E7">
            <w:pPr>
              <w:pStyle w:val="P68B1DB1-Normal19"/>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1897BDC" w14:textId="77777777" w:rsidR="008E6885" w:rsidRDefault="00EA24E7">
            <w:pPr>
              <w:pStyle w:val="P68B1DB1-Normal19"/>
              <w:spacing w:after="0" w:line="240" w:lineRule="auto"/>
              <w:jc w:val="center"/>
              <w:rPr>
                <w:rFonts w:eastAsia="Times New Roman"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6261633D" w14:textId="77777777" w:rsidR="008E6885" w:rsidRDefault="00EA24E7">
            <w:pPr>
              <w:pStyle w:val="P68B1DB1-Normal19"/>
              <w:spacing w:after="0" w:line="240" w:lineRule="auto"/>
              <w:jc w:val="center"/>
              <w:rPr>
                <w:rFonts w:eastAsia="Times New Roman" w:cs="Times New Roman"/>
                <w:noProof/>
              </w:rPr>
            </w:pPr>
            <w:r>
              <w:rPr>
                <w:noProof/>
              </w:rPr>
              <w:t>2026</w:t>
            </w:r>
          </w:p>
        </w:tc>
        <w:tc>
          <w:tcPr>
            <w:tcW w:w="2613" w:type="dxa"/>
            <w:tcBorders>
              <w:top w:val="single" w:sz="4" w:space="0" w:color="auto"/>
              <w:left w:val="single" w:sz="4" w:space="0" w:color="auto"/>
              <w:bottom w:val="single" w:sz="4" w:space="0" w:color="auto"/>
              <w:right w:val="single" w:sz="4" w:space="0" w:color="auto"/>
            </w:tcBorders>
            <w:shd w:val="clear" w:color="auto" w:fill="C6EFCE"/>
          </w:tcPr>
          <w:p w14:paraId="4D28FD77" w14:textId="77777777" w:rsidR="008E6885" w:rsidRDefault="00EA24E7">
            <w:pPr>
              <w:pStyle w:val="P68B1DB1-Normal19"/>
              <w:spacing w:after="0" w:line="240" w:lineRule="auto"/>
              <w:jc w:val="both"/>
              <w:rPr>
                <w:rFonts w:cs="Times New Roman"/>
                <w:noProof/>
              </w:rPr>
            </w:pPr>
            <w:r>
              <w:rPr>
                <w:noProof/>
              </w:rPr>
              <w:t xml:space="preserve">Certificat(s) d’achèvement signé(s) pour la fourniture de solutions informatiques pour la gestion du point d’injection de biométhane (PIF). </w:t>
            </w:r>
          </w:p>
          <w:p w14:paraId="1FF2A785" w14:textId="77777777" w:rsidR="008E6885" w:rsidRDefault="00EA24E7">
            <w:pPr>
              <w:pStyle w:val="P68B1DB1-Normal19"/>
              <w:spacing w:after="0" w:line="240" w:lineRule="auto"/>
              <w:jc w:val="both"/>
              <w:rPr>
                <w:rFonts w:cs="Times New Roman"/>
                <w:noProof/>
              </w:rPr>
            </w:pPr>
            <w:r>
              <w:rPr>
                <w:noProof/>
              </w:rPr>
              <w:t>Un certificat délivré par un organisme accrédité démontrant que les détecteurs de fuite de méthane et de biométhane ont été testés.</w:t>
            </w:r>
          </w:p>
        </w:tc>
      </w:tr>
    </w:tbl>
    <w:p w14:paraId="35A7FA71" w14:textId="77777777" w:rsidR="008E6885" w:rsidRDefault="008E6885">
      <w:pPr>
        <w:spacing w:before="120" w:after="120" w:line="240" w:lineRule="auto"/>
        <w:jc w:val="both"/>
        <w:rPr>
          <w:rFonts w:ascii="Times New Roman" w:eastAsia="Calibri" w:hAnsi="Times New Roman" w:cs="Arial"/>
          <w:b/>
          <w:noProof/>
          <w:kern w:val="0"/>
          <w:szCs w:val="22"/>
          <w:u w:val="single"/>
          <w14:ligatures w14:val="none"/>
        </w:rPr>
      </w:pPr>
    </w:p>
    <w:p w14:paraId="11360B3A" w14:textId="77777777" w:rsidR="008E6885" w:rsidRDefault="008E6885">
      <w:pPr>
        <w:spacing w:before="120" w:after="120" w:line="240" w:lineRule="auto"/>
        <w:jc w:val="both"/>
        <w:rPr>
          <w:rFonts w:ascii="Times New Roman" w:eastAsia="Calibri" w:hAnsi="Times New Roman" w:cs="Arial"/>
          <w:b/>
          <w:noProof/>
          <w:kern w:val="0"/>
          <w:szCs w:val="22"/>
          <w:u w:val="single"/>
          <w14:ligatures w14:val="none"/>
        </w:rPr>
      </w:pPr>
    </w:p>
    <w:p w14:paraId="53C8FD05" w14:textId="77777777" w:rsidR="008E6885" w:rsidRDefault="008E6885">
      <w:pPr>
        <w:spacing w:before="120" w:after="120" w:line="240" w:lineRule="auto"/>
        <w:jc w:val="both"/>
        <w:rPr>
          <w:rFonts w:ascii="Times New Roman" w:eastAsia="Times New Roman" w:hAnsi="Times New Roman" w:cs="Times New Roman"/>
          <w:noProof/>
          <w:kern w:val="0"/>
          <w14:ligatures w14:val="none"/>
        </w:rPr>
        <w:sectPr w:rsidR="008E6885" w:rsidSect="0048758A">
          <w:headerReference w:type="default" r:id="rId45"/>
          <w:footerReference w:type="default" r:id="rId46"/>
          <w:pgSz w:w="16838" w:h="11906" w:orient="landscape"/>
          <w:pgMar w:top="1440" w:right="1440" w:bottom="1440" w:left="1440" w:header="708" w:footer="708" w:gutter="0"/>
          <w:cols w:space="708"/>
          <w:docGrid w:linePitch="360"/>
        </w:sectPr>
      </w:pPr>
    </w:p>
    <w:p w14:paraId="203DE97F" w14:textId="0722C3BE" w:rsidR="008E6885" w:rsidRDefault="00EA24E7">
      <w:pPr>
        <w:pStyle w:val="P68B1DB1-Normal32"/>
        <w:keepNext/>
        <w:tabs>
          <w:tab w:val="num" w:pos="850"/>
        </w:tabs>
        <w:spacing w:before="360" w:after="120" w:line="240" w:lineRule="auto"/>
        <w:ind w:left="850" w:hanging="850"/>
        <w:jc w:val="both"/>
        <w:outlineLvl w:val="0"/>
        <w:rPr>
          <w:bCs/>
          <w:noProof/>
        </w:rPr>
      </w:pPr>
      <w:r>
        <w:rPr>
          <w:noProof/>
        </w:rPr>
        <w:t>2. Coût total estimé du plan pour la reprise et la résilience</w:t>
      </w:r>
    </w:p>
    <w:p w14:paraId="63C248E3" w14:textId="77777777" w:rsidR="008E6885" w:rsidRDefault="00EA24E7">
      <w:pPr>
        <w:pStyle w:val="P68B1DB1-Normal5"/>
        <w:spacing w:after="120" w:line="240" w:lineRule="auto"/>
        <w:jc w:val="both"/>
        <w:rPr>
          <w:noProof/>
        </w:rPr>
      </w:pPr>
      <w:r>
        <w:rPr>
          <w:noProof/>
        </w:rPr>
        <w:t>Le coût total du plan pour la reprise et la résilience de la Lettonie est estimé à</w:t>
      </w:r>
      <w:r>
        <w:rPr>
          <w:noProof/>
          <w:sz w:val="20"/>
        </w:rPr>
        <w:t> </w:t>
      </w:r>
      <w:r>
        <w:rPr>
          <w:noProof/>
        </w:rPr>
        <w:t>1</w:t>
      </w:r>
      <w:r>
        <w:rPr>
          <w:noProof/>
          <w:sz w:val="20"/>
        </w:rPr>
        <w:t> </w:t>
      </w:r>
      <w:r>
        <w:rPr>
          <w:noProof/>
        </w:rPr>
        <w:t>969</w:t>
      </w:r>
      <w:r>
        <w:rPr>
          <w:noProof/>
          <w:sz w:val="20"/>
        </w:rPr>
        <w:t> </w:t>
      </w:r>
      <w:r>
        <w:rPr>
          <w:noProof/>
        </w:rPr>
        <w:t>244</w:t>
      </w:r>
      <w:r>
        <w:rPr>
          <w:noProof/>
          <w:sz w:val="20"/>
        </w:rPr>
        <w:t> </w:t>
      </w:r>
      <w:r>
        <w:rPr>
          <w:noProof/>
        </w:rPr>
        <w:t>522 EUR.</w:t>
      </w:r>
    </w:p>
    <w:p w14:paraId="2F4890FB" w14:textId="68DCF5DE" w:rsidR="008E6885" w:rsidRDefault="00EA24E7">
      <w:pPr>
        <w:pStyle w:val="P68B1DB1-Normal5"/>
        <w:spacing w:after="240" w:line="240" w:lineRule="auto"/>
        <w:jc w:val="both"/>
        <w:rPr>
          <w:noProof/>
        </w:rPr>
      </w:pPr>
      <w:r>
        <w:rPr>
          <w:noProof/>
        </w:rPr>
        <w:t>Le coût total du chapitre REPowerEU est estimé à</w:t>
      </w:r>
      <w:r>
        <w:rPr>
          <w:noProof/>
          <w:sz w:val="20"/>
        </w:rPr>
        <w:t> </w:t>
      </w:r>
      <w:r>
        <w:rPr>
          <w:noProof/>
        </w:rPr>
        <w:t>141</w:t>
      </w:r>
      <w:r>
        <w:rPr>
          <w:noProof/>
          <w:sz w:val="20"/>
        </w:rPr>
        <w:t> </w:t>
      </w:r>
      <w:r>
        <w:rPr>
          <w:noProof/>
        </w:rPr>
        <w:t>555</w:t>
      </w:r>
      <w:r>
        <w:rPr>
          <w:noProof/>
          <w:sz w:val="20"/>
        </w:rPr>
        <w:t> </w:t>
      </w:r>
      <w:r>
        <w:rPr>
          <w:noProof/>
        </w:rPr>
        <w:t>190 EUR. En particulier, le coût total estimé des mesures visées à l’article 21 quater, paragraphe 3, point a), du règlement (UE) 2023/435 est de</w:t>
      </w:r>
      <w:r>
        <w:rPr>
          <w:noProof/>
          <w:sz w:val="20"/>
        </w:rPr>
        <w:t> </w:t>
      </w:r>
      <w:r>
        <w:rPr>
          <w:noProof/>
        </w:rPr>
        <w:t>0 EUR, tandis que le coût des autres mesures du chapitre REPowerEU est de</w:t>
      </w:r>
      <w:r>
        <w:rPr>
          <w:noProof/>
          <w:sz w:val="20"/>
        </w:rPr>
        <w:t> </w:t>
      </w:r>
      <w:r>
        <w:rPr>
          <w:noProof/>
        </w:rPr>
        <w:t>141</w:t>
      </w:r>
      <w:r>
        <w:rPr>
          <w:noProof/>
          <w:sz w:val="20"/>
        </w:rPr>
        <w:t> </w:t>
      </w:r>
      <w:r>
        <w:rPr>
          <w:noProof/>
        </w:rPr>
        <w:t>555</w:t>
      </w:r>
      <w:r>
        <w:rPr>
          <w:noProof/>
          <w:sz w:val="20"/>
        </w:rPr>
        <w:t> </w:t>
      </w:r>
      <w:r>
        <w:rPr>
          <w:noProof/>
        </w:rPr>
        <w:t>190 EUR.</w:t>
      </w:r>
    </w:p>
    <w:p w14:paraId="0A19612C" w14:textId="5E84FF72" w:rsidR="008E6885" w:rsidRDefault="00EA24E7">
      <w:pPr>
        <w:pStyle w:val="P68B1DB1-Normal2"/>
        <w:spacing w:after="240" w:line="240" w:lineRule="auto"/>
        <w:jc w:val="both"/>
        <w:rPr>
          <w:noProof/>
        </w:rPr>
      </w:pPr>
      <w:r>
        <w:rPr>
          <w:noProof/>
        </w:rPr>
        <w:t xml:space="preserve">SECTION 2: SOUTIEN FINANCIER </w:t>
      </w:r>
    </w:p>
    <w:p w14:paraId="0AB19940" w14:textId="77777777" w:rsidR="008E6885" w:rsidRDefault="00EA24E7">
      <w:pPr>
        <w:pStyle w:val="P68B1DB1-Normal2"/>
        <w:numPr>
          <w:ilvl w:val="6"/>
          <w:numId w:val="10"/>
        </w:numPr>
        <w:spacing w:after="120" w:line="240" w:lineRule="auto"/>
        <w:ind w:left="567" w:hanging="567"/>
        <w:contextualSpacing/>
        <w:jc w:val="both"/>
        <w:rPr>
          <w:rFonts w:eastAsia="Times New Roman" w:cs="Times New Roman"/>
          <w:bCs/>
          <w:noProof/>
        </w:rPr>
      </w:pPr>
      <w:r>
        <w:rPr>
          <w:noProof/>
        </w:rPr>
        <w:t>Contribution financière</w:t>
      </w:r>
    </w:p>
    <w:p w14:paraId="5A50E290" w14:textId="153975CF" w:rsidR="008E6885" w:rsidRDefault="00EA24E7">
      <w:pPr>
        <w:pStyle w:val="P68B1DB1-Normal5"/>
        <w:spacing w:after="120" w:line="276" w:lineRule="auto"/>
        <w:jc w:val="both"/>
        <w:rPr>
          <w:rFonts w:ascii="Calibri" w:hAnsi="Calibri"/>
          <w:noProof/>
          <w:sz w:val="22"/>
        </w:rPr>
      </w:pPr>
      <w:r>
        <w:rPr>
          <w:noProof/>
        </w:rPr>
        <w:t>Les tranches visées à l'article 2, paragraphe 2, sont organisées de la manière suivante:</w:t>
      </w:r>
    </w:p>
    <w:p w14:paraId="6C109357" w14:textId="77777777" w:rsidR="008E6885" w:rsidRDefault="00EA24E7">
      <w:pPr>
        <w:pStyle w:val="P68B1DB1-Normal5"/>
        <w:numPr>
          <w:ilvl w:val="1"/>
          <w:numId w:val="11"/>
        </w:numPr>
        <w:spacing w:after="0" w:line="257" w:lineRule="auto"/>
        <w:ind w:left="567" w:hanging="567"/>
        <w:contextualSpacing/>
        <w:jc w:val="both"/>
        <w:rPr>
          <w:rFonts w:eastAsia="Times New Roman" w:cs="Times New Roman"/>
          <w:noProof/>
        </w:rPr>
      </w:pPr>
      <w:r>
        <w:rPr>
          <w:noProof/>
        </w:rPr>
        <w:t>Première tranche (soutien non remboursable):</w:t>
      </w:r>
    </w:p>
    <w:p w14:paraId="52F17288" w14:textId="77777777" w:rsidR="008E6885" w:rsidRDefault="008E6885">
      <w:pPr>
        <w:spacing w:after="0" w:line="257" w:lineRule="auto"/>
        <w:ind w:left="567" w:hanging="567"/>
        <w:contextualSpacing/>
        <w:jc w:val="both"/>
        <w:rPr>
          <w:rFonts w:ascii="Times New Roman" w:eastAsia="Times New Roman" w:hAnsi="Times New Roman" w:cs="Times New Roman"/>
          <w:noProof/>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3805"/>
        <w:gridCol w:w="1457"/>
        <w:gridCol w:w="2949"/>
      </w:tblGrid>
      <w:tr w:rsidR="008E6885" w14:paraId="3FDD1A3A" w14:textId="77777777">
        <w:trPr>
          <w:trHeight w:val="300"/>
          <w:tblHeader/>
        </w:trPr>
        <w:tc>
          <w:tcPr>
            <w:tcW w:w="1419" w:type="dxa"/>
            <w:shd w:val="clear" w:color="auto" w:fill="BDD7EE"/>
            <w:tcMar>
              <w:left w:w="108" w:type="dxa"/>
              <w:right w:w="108" w:type="dxa"/>
            </w:tcMar>
            <w:vAlign w:val="center"/>
          </w:tcPr>
          <w:p w14:paraId="13C3A40D" w14:textId="77777777" w:rsidR="008E6885" w:rsidRDefault="00EA24E7">
            <w:pPr>
              <w:pStyle w:val="P68B1DB1-Normal33"/>
              <w:spacing w:after="0" w:line="276" w:lineRule="auto"/>
              <w:jc w:val="center"/>
              <w:rPr>
                <w:rFonts w:ascii="Calibri" w:hAnsi="Calibri"/>
                <w:noProof/>
                <w:sz w:val="22"/>
              </w:rPr>
            </w:pPr>
            <w:r>
              <w:rPr>
                <w:noProof/>
              </w:rPr>
              <w:t>Numéro séquentiel</w:t>
            </w:r>
          </w:p>
        </w:tc>
        <w:tc>
          <w:tcPr>
            <w:tcW w:w="3805" w:type="dxa"/>
            <w:shd w:val="clear" w:color="auto" w:fill="BDD7EE"/>
            <w:tcMar>
              <w:left w:w="108" w:type="dxa"/>
              <w:right w:w="108" w:type="dxa"/>
            </w:tcMar>
            <w:vAlign w:val="center"/>
          </w:tcPr>
          <w:p w14:paraId="537935A0" w14:textId="77777777" w:rsidR="008E6885" w:rsidRDefault="00EA24E7">
            <w:pPr>
              <w:pStyle w:val="P68B1DB1-Normal34"/>
              <w:spacing w:after="0" w:line="276" w:lineRule="auto"/>
              <w:jc w:val="center"/>
              <w:rPr>
                <w:rFonts w:ascii="Calibri" w:eastAsia="Calibri" w:hAnsi="Calibri" w:cs="Arial"/>
                <w:noProof/>
                <w:sz w:val="22"/>
              </w:rPr>
            </w:pPr>
            <w:r>
              <w:rPr>
                <w:rFonts w:ascii="Times New Roman" w:eastAsia="Calibri" w:hAnsi="Times New Roman" w:cs="Arial"/>
                <w:b/>
                <w:noProof/>
                <w:color w:val="000000"/>
              </w:rPr>
              <w:t>Mesure connexe</w:t>
            </w:r>
            <w:r>
              <w:rPr>
                <w:rFonts w:ascii="Calibri" w:eastAsia="Calibri" w:hAnsi="Calibri" w:cs="Arial"/>
                <w:noProof/>
                <w:sz w:val="22"/>
              </w:rPr>
              <w:t xml:space="preserve"> </w:t>
            </w:r>
            <w:r>
              <w:rPr>
                <w:rFonts w:ascii="Calibri" w:eastAsia="Calibri" w:hAnsi="Calibri" w:cs="Arial"/>
                <w:noProof/>
                <w:sz w:val="22"/>
              </w:rPr>
              <w:br/>
            </w:r>
            <w:r>
              <w:rPr>
                <w:rFonts w:ascii="Times New Roman" w:eastAsia="Calibri" w:hAnsi="Times New Roman" w:cs="Arial"/>
                <w:b/>
                <w:noProof/>
                <w:color w:val="000000"/>
              </w:rPr>
              <w:t>(Réforme ou investissement)</w:t>
            </w:r>
          </w:p>
        </w:tc>
        <w:tc>
          <w:tcPr>
            <w:tcW w:w="1457" w:type="dxa"/>
            <w:shd w:val="clear" w:color="auto" w:fill="BDD7EE"/>
            <w:tcMar>
              <w:left w:w="108" w:type="dxa"/>
              <w:right w:w="108" w:type="dxa"/>
            </w:tcMar>
            <w:vAlign w:val="center"/>
          </w:tcPr>
          <w:p w14:paraId="6C0B3016" w14:textId="77777777" w:rsidR="008E6885" w:rsidRDefault="00EA24E7">
            <w:pPr>
              <w:pStyle w:val="P68B1DB1-Normal33"/>
              <w:spacing w:after="0" w:line="276" w:lineRule="auto"/>
              <w:jc w:val="center"/>
              <w:rPr>
                <w:rFonts w:ascii="Calibri" w:hAnsi="Calibri"/>
                <w:noProof/>
                <w:sz w:val="22"/>
              </w:rPr>
            </w:pPr>
            <w:r>
              <w:rPr>
                <w:noProof/>
              </w:rPr>
              <w:t>Étape/cible</w:t>
            </w:r>
          </w:p>
        </w:tc>
        <w:tc>
          <w:tcPr>
            <w:tcW w:w="2949" w:type="dxa"/>
            <w:shd w:val="clear" w:color="auto" w:fill="BDD7EE"/>
            <w:tcMar>
              <w:left w:w="108" w:type="dxa"/>
              <w:right w:w="108" w:type="dxa"/>
            </w:tcMar>
            <w:vAlign w:val="center"/>
          </w:tcPr>
          <w:p w14:paraId="0440AA97" w14:textId="77777777" w:rsidR="008E6885" w:rsidRDefault="00EA24E7">
            <w:pPr>
              <w:pStyle w:val="P68B1DB1-Normal33"/>
              <w:spacing w:after="0" w:line="276" w:lineRule="auto"/>
              <w:jc w:val="center"/>
              <w:rPr>
                <w:rFonts w:ascii="Calibri" w:hAnsi="Calibri"/>
                <w:noProof/>
                <w:sz w:val="22"/>
              </w:rPr>
            </w:pPr>
            <w:r>
              <w:rPr>
                <w:noProof/>
              </w:rPr>
              <w:t>Nom</w:t>
            </w:r>
          </w:p>
        </w:tc>
      </w:tr>
      <w:tr w:rsidR="008E6885" w14:paraId="50FBA4D5" w14:textId="77777777">
        <w:trPr>
          <w:trHeight w:val="300"/>
        </w:trPr>
        <w:tc>
          <w:tcPr>
            <w:tcW w:w="1419" w:type="dxa"/>
            <w:shd w:val="clear" w:color="auto" w:fill="C6EFCE"/>
            <w:tcMar>
              <w:left w:w="108" w:type="dxa"/>
              <w:right w:w="108" w:type="dxa"/>
            </w:tcMar>
            <w:vAlign w:val="center"/>
          </w:tcPr>
          <w:p w14:paraId="204405D4" w14:textId="77777777" w:rsidR="008E6885" w:rsidRDefault="00EA24E7">
            <w:pPr>
              <w:pStyle w:val="P68B1DB1-Normal35"/>
              <w:spacing w:after="0" w:line="276" w:lineRule="auto"/>
              <w:jc w:val="center"/>
              <w:rPr>
                <w:rFonts w:ascii="Calibri" w:hAnsi="Calibri"/>
                <w:noProof/>
              </w:rPr>
            </w:pPr>
            <w:r>
              <w:rPr>
                <w:noProof/>
              </w:rPr>
              <w:t>77</w:t>
            </w:r>
          </w:p>
        </w:tc>
        <w:tc>
          <w:tcPr>
            <w:tcW w:w="3805" w:type="dxa"/>
            <w:shd w:val="clear" w:color="auto" w:fill="C6EFCE"/>
            <w:tcMar>
              <w:left w:w="108" w:type="dxa"/>
              <w:right w:w="108" w:type="dxa"/>
            </w:tcMar>
          </w:tcPr>
          <w:p w14:paraId="6CA058ED" w14:textId="77777777" w:rsidR="008E6885" w:rsidRDefault="00EA24E7">
            <w:pPr>
              <w:pStyle w:val="P68B1DB1-Normal35"/>
              <w:spacing w:after="0" w:line="276" w:lineRule="auto"/>
              <w:rPr>
                <w:rFonts w:ascii="Calibri" w:hAnsi="Calibri"/>
                <w:noProof/>
              </w:rPr>
            </w:pPr>
            <w:r>
              <w:rPr>
                <w:noProof/>
              </w:rPr>
              <w:t xml:space="preserve">2.3.2.3.i. Combler la fracture numérique pour les élèves et les établissements d'enseignement socialement vulnérables </w:t>
            </w:r>
          </w:p>
        </w:tc>
        <w:tc>
          <w:tcPr>
            <w:tcW w:w="1457" w:type="dxa"/>
            <w:shd w:val="clear" w:color="auto" w:fill="C6EFCE"/>
            <w:tcMar>
              <w:left w:w="108" w:type="dxa"/>
              <w:right w:w="108" w:type="dxa"/>
            </w:tcMar>
          </w:tcPr>
          <w:p w14:paraId="5E805DCD" w14:textId="77777777" w:rsidR="008E6885" w:rsidRDefault="00EA24E7">
            <w:pPr>
              <w:pStyle w:val="P68B1DB1-Normal35"/>
              <w:spacing w:after="0" w:line="276" w:lineRule="auto"/>
              <w:jc w:val="center"/>
              <w:rPr>
                <w:rFonts w:ascii="Calibri" w:hAnsi="Calibri"/>
                <w:noProof/>
              </w:rPr>
            </w:pPr>
            <w:r>
              <w:rPr>
                <w:noProof/>
              </w:rPr>
              <w:t>Étape</w:t>
            </w:r>
          </w:p>
        </w:tc>
        <w:tc>
          <w:tcPr>
            <w:tcW w:w="2949" w:type="dxa"/>
            <w:shd w:val="clear" w:color="auto" w:fill="C6EFCE"/>
            <w:tcMar>
              <w:left w:w="108" w:type="dxa"/>
              <w:right w:w="108" w:type="dxa"/>
            </w:tcMar>
          </w:tcPr>
          <w:p w14:paraId="7D9B7C47" w14:textId="77777777" w:rsidR="008E6885" w:rsidRDefault="00EA24E7">
            <w:pPr>
              <w:pStyle w:val="P68B1DB1-Normal35"/>
              <w:spacing w:after="0" w:line="276" w:lineRule="auto"/>
              <w:jc w:val="both"/>
              <w:rPr>
                <w:rFonts w:ascii="Calibri" w:hAnsi="Calibri"/>
                <w:noProof/>
              </w:rPr>
            </w:pPr>
            <w:r>
              <w:rPr>
                <w:noProof/>
              </w:rPr>
              <w:t>Entrée en vigueur d'un cadre réglementaire fixant les procédures d'organisation et de mise en œuvre de l'apprentissage à distance</w:t>
            </w:r>
          </w:p>
        </w:tc>
      </w:tr>
      <w:tr w:rsidR="008E6885" w14:paraId="73ABE5C1" w14:textId="77777777">
        <w:trPr>
          <w:trHeight w:val="300"/>
        </w:trPr>
        <w:tc>
          <w:tcPr>
            <w:tcW w:w="1419" w:type="dxa"/>
            <w:shd w:val="clear" w:color="auto" w:fill="C6EFCE"/>
            <w:tcMar>
              <w:left w:w="108" w:type="dxa"/>
              <w:right w:w="108" w:type="dxa"/>
            </w:tcMar>
            <w:vAlign w:val="center"/>
          </w:tcPr>
          <w:p w14:paraId="60EF4EBA" w14:textId="77777777" w:rsidR="008E6885" w:rsidRDefault="00EA24E7">
            <w:pPr>
              <w:pStyle w:val="P68B1DB1-Normal35"/>
              <w:spacing w:after="0" w:line="276" w:lineRule="auto"/>
              <w:jc w:val="center"/>
              <w:rPr>
                <w:rFonts w:ascii="Calibri" w:hAnsi="Calibri"/>
                <w:noProof/>
              </w:rPr>
            </w:pPr>
            <w:r>
              <w:rPr>
                <w:noProof/>
              </w:rPr>
              <w:t>80</w:t>
            </w:r>
          </w:p>
        </w:tc>
        <w:tc>
          <w:tcPr>
            <w:tcW w:w="3805" w:type="dxa"/>
            <w:shd w:val="clear" w:color="auto" w:fill="C6EFCE"/>
            <w:tcMar>
              <w:left w:w="108" w:type="dxa"/>
              <w:right w:w="108" w:type="dxa"/>
            </w:tcMar>
          </w:tcPr>
          <w:p w14:paraId="57AC1D1F" w14:textId="77777777" w:rsidR="008E6885" w:rsidRDefault="00EA24E7">
            <w:pPr>
              <w:pStyle w:val="P68B1DB1-Normal35"/>
              <w:spacing w:after="0" w:line="276" w:lineRule="auto"/>
              <w:rPr>
                <w:rFonts w:ascii="Calibri" w:hAnsi="Calibri"/>
                <w:noProof/>
              </w:rPr>
            </w:pPr>
            <w:r>
              <w:rPr>
                <w:noProof/>
              </w:rPr>
              <w:t>2.4.1.r. Développement de l'infrastructure à large bande</w:t>
            </w:r>
          </w:p>
        </w:tc>
        <w:tc>
          <w:tcPr>
            <w:tcW w:w="1457" w:type="dxa"/>
            <w:shd w:val="clear" w:color="auto" w:fill="C6EFCE"/>
            <w:tcMar>
              <w:left w:w="108" w:type="dxa"/>
              <w:right w:w="108" w:type="dxa"/>
            </w:tcMar>
          </w:tcPr>
          <w:p w14:paraId="00E60927" w14:textId="77777777" w:rsidR="008E6885" w:rsidRDefault="00EA24E7">
            <w:pPr>
              <w:pStyle w:val="P68B1DB1-Normal35"/>
              <w:spacing w:after="0" w:line="276" w:lineRule="auto"/>
              <w:jc w:val="center"/>
              <w:rPr>
                <w:rFonts w:ascii="Calibri" w:hAnsi="Calibri"/>
                <w:noProof/>
              </w:rPr>
            </w:pPr>
            <w:r>
              <w:rPr>
                <w:noProof/>
              </w:rPr>
              <w:t>Étape</w:t>
            </w:r>
          </w:p>
        </w:tc>
        <w:tc>
          <w:tcPr>
            <w:tcW w:w="2949" w:type="dxa"/>
            <w:shd w:val="clear" w:color="auto" w:fill="C6EFCE"/>
            <w:tcMar>
              <w:left w:w="108" w:type="dxa"/>
              <w:right w:w="108" w:type="dxa"/>
            </w:tcMar>
          </w:tcPr>
          <w:p w14:paraId="13F9DD4F" w14:textId="77777777" w:rsidR="008E6885" w:rsidRDefault="00EA24E7">
            <w:pPr>
              <w:pStyle w:val="P68B1DB1-Normal35"/>
              <w:spacing w:after="0" w:line="276" w:lineRule="auto"/>
              <w:jc w:val="both"/>
              <w:rPr>
                <w:rFonts w:ascii="Calibri" w:hAnsi="Calibri"/>
                <w:noProof/>
              </w:rPr>
            </w:pPr>
            <w:r>
              <w:rPr>
                <w:noProof/>
              </w:rPr>
              <w:t>Adoption d'exigences techniques pour la conduite connectée et automatisée</w:t>
            </w:r>
          </w:p>
        </w:tc>
      </w:tr>
      <w:tr w:rsidR="008E6885" w14:paraId="76419DB4" w14:textId="77777777">
        <w:trPr>
          <w:trHeight w:val="300"/>
        </w:trPr>
        <w:tc>
          <w:tcPr>
            <w:tcW w:w="1419" w:type="dxa"/>
            <w:shd w:val="clear" w:color="auto" w:fill="C6EFCE"/>
            <w:tcMar>
              <w:left w:w="108" w:type="dxa"/>
              <w:right w:w="108" w:type="dxa"/>
            </w:tcMar>
            <w:vAlign w:val="center"/>
          </w:tcPr>
          <w:p w14:paraId="249A2273" w14:textId="77777777" w:rsidR="008E6885" w:rsidRDefault="00EA24E7">
            <w:pPr>
              <w:pStyle w:val="P68B1DB1-Normal35"/>
              <w:spacing w:after="0" w:line="276" w:lineRule="auto"/>
              <w:jc w:val="center"/>
              <w:rPr>
                <w:rFonts w:ascii="Calibri" w:hAnsi="Calibri"/>
                <w:noProof/>
              </w:rPr>
            </w:pPr>
            <w:r>
              <w:rPr>
                <w:noProof/>
              </w:rPr>
              <w:t>81</w:t>
            </w:r>
          </w:p>
        </w:tc>
        <w:tc>
          <w:tcPr>
            <w:tcW w:w="3805" w:type="dxa"/>
            <w:shd w:val="clear" w:color="auto" w:fill="C6EFCE"/>
            <w:tcMar>
              <w:left w:w="108" w:type="dxa"/>
              <w:right w:w="108" w:type="dxa"/>
            </w:tcMar>
          </w:tcPr>
          <w:p w14:paraId="48286547" w14:textId="77777777" w:rsidR="008E6885" w:rsidRDefault="00EA24E7">
            <w:pPr>
              <w:pStyle w:val="P68B1DB1-Normal35"/>
              <w:spacing w:after="0" w:line="276" w:lineRule="auto"/>
              <w:rPr>
                <w:rFonts w:ascii="Calibri" w:hAnsi="Calibri"/>
                <w:noProof/>
              </w:rPr>
            </w:pPr>
            <w:r>
              <w:rPr>
                <w:noProof/>
              </w:rPr>
              <w:t>2.4.1.r. Développement de l'infrastructure à large bande</w:t>
            </w:r>
          </w:p>
        </w:tc>
        <w:tc>
          <w:tcPr>
            <w:tcW w:w="1457" w:type="dxa"/>
            <w:shd w:val="clear" w:color="auto" w:fill="C6EFCE"/>
            <w:tcMar>
              <w:left w:w="108" w:type="dxa"/>
              <w:right w:w="108" w:type="dxa"/>
            </w:tcMar>
          </w:tcPr>
          <w:p w14:paraId="50C223EB" w14:textId="77777777" w:rsidR="008E6885" w:rsidRDefault="00EA24E7">
            <w:pPr>
              <w:pStyle w:val="P68B1DB1-Normal35"/>
              <w:spacing w:after="0" w:line="276" w:lineRule="auto"/>
              <w:jc w:val="center"/>
              <w:rPr>
                <w:rFonts w:ascii="Calibri" w:hAnsi="Calibri"/>
                <w:noProof/>
              </w:rPr>
            </w:pPr>
            <w:r>
              <w:rPr>
                <w:noProof/>
              </w:rPr>
              <w:t>Étape</w:t>
            </w:r>
          </w:p>
        </w:tc>
        <w:tc>
          <w:tcPr>
            <w:tcW w:w="2949" w:type="dxa"/>
            <w:shd w:val="clear" w:color="auto" w:fill="C6EFCE"/>
            <w:tcMar>
              <w:left w:w="108" w:type="dxa"/>
              <w:right w:w="108" w:type="dxa"/>
            </w:tcMar>
          </w:tcPr>
          <w:p w14:paraId="42E8C104" w14:textId="77777777" w:rsidR="008E6885" w:rsidRDefault="00EA24E7">
            <w:pPr>
              <w:pStyle w:val="P68B1DB1-Normal35"/>
              <w:spacing w:after="0" w:line="276" w:lineRule="auto"/>
              <w:jc w:val="both"/>
              <w:rPr>
                <w:rFonts w:ascii="Calibri" w:hAnsi="Calibri"/>
                <w:noProof/>
              </w:rPr>
            </w:pPr>
            <w:r>
              <w:rPr>
                <w:noProof/>
              </w:rPr>
              <w:t>Adoption d'un modèle commun pour le développement du dernier kilomètre</w:t>
            </w:r>
          </w:p>
        </w:tc>
      </w:tr>
      <w:tr w:rsidR="008E6885" w14:paraId="3ECCB6E5" w14:textId="77777777">
        <w:trPr>
          <w:trHeight w:val="300"/>
        </w:trPr>
        <w:tc>
          <w:tcPr>
            <w:tcW w:w="1419" w:type="dxa"/>
            <w:shd w:val="clear" w:color="auto" w:fill="C6EFCE"/>
            <w:tcMar>
              <w:left w:w="108" w:type="dxa"/>
              <w:right w:w="108" w:type="dxa"/>
            </w:tcMar>
            <w:vAlign w:val="center"/>
          </w:tcPr>
          <w:p w14:paraId="4E4BE7C5" w14:textId="77777777" w:rsidR="008E6885" w:rsidRDefault="00EA24E7">
            <w:pPr>
              <w:pStyle w:val="P68B1DB1-Normal35"/>
              <w:spacing w:after="0" w:line="276" w:lineRule="auto"/>
              <w:jc w:val="center"/>
              <w:rPr>
                <w:rFonts w:ascii="Calibri" w:hAnsi="Calibri"/>
                <w:noProof/>
              </w:rPr>
            </w:pPr>
            <w:r>
              <w:rPr>
                <w:noProof/>
              </w:rPr>
              <w:t>98</w:t>
            </w:r>
          </w:p>
        </w:tc>
        <w:tc>
          <w:tcPr>
            <w:tcW w:w="3805" w:type="dxa"/>
            <w:shd w:val="clear" w:color="auto" w:fill="C6EFCE"/>
            <w:tcMar>
              <w:left w:w="108" w:type="dxa"/>
              <w:right w:w="108" w:type="dxa"/>
            </w:tcMar>
          </w:tcPr>
          <w:p w14:paraId="51074143" w14:textId="77777777" w:rsidR="008E6885" w:rsidRDefault="00EA24E7">
            <w:pPr>
              <w:pStyle w:val="P68B1DB1-Normal35"/>
              <w:spacing w:after="0" w:line="276" w:lineRule="auto"/>
              <w:rPr>
                <w:rFonts w:ascii="Calibri" w:hAnsi="Calibri"/>
                <w:noProof/>
              </w:rPr>
            </w:pPr>
            <w:r>
              <w:rPr>
                <w:noProof/>
              </w:rPr>
              <w:t xml:space="preserve">3.1.1.4.i. Création d'un fonds de financement pour la construction de logements à loyer modique </w:t>
            </w:r>
          </w:p>
        </w:tc>
        <w:tc>
          <w:tcPr>
            <w:tcW w:w="1457" w:type="dxa"/>
            <w:shd w:val="clear" w:color="auto" w:fill="C6EFCE"/>
            <w:tcMar>
              <w:left w:w="108" w:type="dxa"/>
              <w:right w:w="108" w:type="dxa"/>
            </w:tcMar>
          </w:tcPr>
          <w:p w14:paraId="1E5F993C" w14:textId="5D8EFB29" w:rsidR="008E6885" w:rsidRDefault="00EA24E7">
            <w:pPr>
              <w:pStyle w:val="P68B1DB1-Normal35"/>
              <w:spacing w:after="0" w:line="276" w:lineRule="auto"/>
              <w:jc w:val="center"/>
              <w:rPr>
                <w:rFonts w:ascii="Calibri" w:hAnsi="Calibri"/>
                <w:noProof/>
              </w:rPr>
            </w:pPr>
            <w:r>
              <w:rPr>
                <w:noProof/>
              </w:rPr>
              <w:t>Étape</w:t>
            </w:r>
          </w:p>
        </w:tc>
        <w:tc>
          <w:tcPr>
            <w:tcW w:w="2949" w:type="dxa"/>
            <w:shd w:val="clear" w:color="auto" w:fill="C6EFCE"/>
            <w:tcMar>
              <w:left w:w="108" w:type="dxa"/>
              <w:right w:w="108" w:type="dxa"/>
            </w:tcMar>
          </w:tcPr>
          <w:p w14:paraId="548649DE" w14:textId="77777777" w:rsidR="008E6885" w:rsidRDefault="00EA24E7">
            <w:pPr>
              <w:pStyle w:val="P68B1DB1-Normal35"/>
              <w:spacing w:after="0" w:line="276" w:lineRule="auto"/>
              <w:jc w:val="both"/>
              <w:rPr>
                <w:rFonts w:ascii="Calibri" w:hAnsi="Calibri"/>
                <w:noProof/>
              </w:rPr>
            </w:pPr>
            <w:r>
              <w:rPr>
                <w:noProof/>
              </w:rPr>
              <w:t xml:space="preserve">Entrée en vigueur de la loi mettant en balance les droits des locataires et des propriétaires </w:t>
            </w:r>
          </w:p>
        </w:tc>
      </w:tr>
      <w:tr w:rsidR="008E6885" w14:paraId="644ACC7E" w14:textId="77777777">
        <w:trPr>
          <w:trHeight w:val="300"/>
        </w:trPr>
        <w:tc>
          <w:tcPr>
            <w:tcW w:w="1419" w:type="dxa"/>
            <w:shd w:val="clear" w:color="auto" w:fill="C6EFCE"/>
            <w:tcMar>
              <w:left w:w="108" w:type="dxa"/>
              <w:right w:w="108" w:type="dxa"/>
            </w:tcMar>
            <w:vAlign w:val="center"/>
          </w:tcPr>
          <w:p w14:paraId="4E914296" w14:textId="77777777" w:rsidR="008E6885" w:rsidRDefault="00EA24E7">
            <w:pPr>
              <w:pStyle w:val="P68B1DB1-Normal35"/>
              <w:spacing w:after="0" w:line="276" w:lineRule="auto"/>
              <w:jc w:val="center"/>
              <w:rPr>
                <w:rFonts w:ascii="Calibri" w:hAnsi="Calibri"/>
                <w:noProof/>
              </w:rPr>
            </w:pPr>
            <w:r>
              <w:rPr>
                <w:noProof/>
              </w:rPr>
              <w:t>104</w:t>
            </w:r>
          </w:p>
        </w:tc>
        <w:tc>
          <w:tcPr>
            <w:tcW w:w="3805" w:type="dxa"/>
            <w:shd w:val="clear" w:color="auto" w:fill="C6EFCE"/>
            <w:tcMar>
              <w:left w:w="108" w:type="dxa"/>
              <w:right w:w="108" w:type="dxa"/>
            </w:tcMar>
          </w:tcPr>
          <w:p w14:paraId="35B454B3" w14:textId="77777777" w:rsidR="008E6885" w:rsidRDefault="00EA24E7">
            <w:pPr>
              <w:pStyle w:val="P68B1DB1-Normal36"/>
              <w:spacing w:after="0" w:line="276" w:lineRule="auto"/>
              <w:rPr>
                <w:rFonts w:ascii="Calibri" w:eastAsia="Calibri" w:hAnsi="Calibri" w:cs="Arial"/>
                <w:noProof/>
              </w:rPr>
            </w:pPr>
            <w:r>
              <w:rPr>
                <w:rFonts w:ascii="Times New Roman" w:eastAsia="Calibri" w:hAnsi="Times New Roman" w:cs="Arial"/>
                <w:noProof/>
                <w:color w:val="000000"/>
              </w:rPr>
              <w:t>3.1.1.5.i. Développement de l'infrastructure</w:t>
            </w:r>
            <w:r>
              <w:rPr>
                <w:rFonts w:ascii="Times New Roman" w:eastAsia="Times New Roman" w:hAnsi="Times New Roman" w:cs="Times New Roman"/>
                <w:noProof/>
              </w:rPr>
              <w:t xml:space="preserve"> et de l'équipement des établissements d'enseignement</w:t>
            </w:r>
            <w:r>
              <w:rPr>
                <w:rFonts w:ascii="Times New Roman" w:eastAsia="Calibri" w:hAnsi="Times New Roman" w:cs="Arial"/>
                <w:noProof/>
                <w:color w:val="000000"/>
              </w:rPr>
              <w:t xml:space="preserve"> </w:t>
            </w:r>
          </w:p>
        </w:tc>
        <w:tc>
          <w:tcPr>
            <w:tcW w:w="1457" w:type="dxa"/>
            <w:shd w:val="clear" w:color="auto" w:fill="C6EFCE"/>
            <w:tcMar>
              <w:left w:w="108" w:type="dxa"/>
              <w:right w:w="108" w:type="dxa"/>
            </w:tcMar>
          </w:tcPr>
          <w:p w14:paraId="6222398E" w14:textId="514643FD" w:rsidR="008E6885" w:rsidRDefault="00EA24E7">
            <w:pPr>
              <w:pStyle w:val="P68B1DB1-Normal35"/>
              <w:spacing w:after="0" w:line="276" w:lineRule="auto"/>
              <w:jc w:val="center"/>
              <w:rPr>
                <w:rFonts w:ascii="Calibri" w:hAnsi="Calibri"/>
                <w:noProof/>
              </w:rPr>
            </w:pPr>
            <w:r>
              <w:rPr>
                <w:noProof/>
              </w:rPr>
              <w:t>Étape</w:t>
            </w:r>
          </w:p>
        </w:tc>
        <w:tc>
          <w:tcPr>
            <w:tcW w:w="2949" w:type="dxa"/>
            <w:shd w:val="clear" w:color="auto" w:fill="C6EFCE"/>
            <w:tcMar>
              <w:left w:w="108" w:type="dxa"/>
              <w:right w:w="108" w:type="dxa"/>
            </w:tcMar>
          </w:tcPr>
          <w:p w14:paraId="5606F751" w14:textId="77777777" w:rsidR="008E6885" w:rsidRDefault="00EA24E7">
            <w:pPr>
              <w:pStyle w:val="P68B1DB1-Normal35"/>
              <w:spacing w:after="0" w:line="276" w:lineRule="auto"/>
              <w:jc w:val="both"/>
              <w:rPr>
                <w:rFonts w:ascii="Calibri" w:hAnsi="Calibri"/>
                <w:noProof/>
              </w:rPr>
            </w:pPr>
            <w:r>
              <w:rPr>
                <w:noProof/>
              </w:rPr>
              <w:t xml:space="preserve">Définition des critères qualitatifs et quantitatifs adoptés </w:t>
            </w:r>
          </w:p>
        </w:tc>
      </w:tr>
      <w:tr w:rsidR="008E6885" w14:paraId="73ED0CB2" w14:textId="77777777">
        <w:trPr>
          <w:trHeight w:val="300"/>
        </w:trPr>
        <w:tc>
          <w:tcPr>
            <w:tcW w:w="1419" w:type="dxa"/>
            <w:shd w:val="clear" w:color="auto" w:fill="C6EFCE"/>
            <w:tcMar>
              <w:left w:w="108" w:type="dxa"/>
              <w:right w:w="108" w:type="dxa"/>
            </w:tcMar>
            <w:vAlign w:val="center"/>
          </w:tcPr>
          <w:p w14:paraId="2493F775" w14:textId="77777777" w:rsidR="008E6885" w:rsidRDefault="00EA24E7">
            <w:pPr>
              <w:pStyle w:val="P68B1DB1-Normal35"/>
              <w:spacing w:after="0" w:line="276" w:lineRule="auto"/>
              <w:jc w:val="center"/>
              <w:rPr>
                <w:rFonts w:ascii="Calibri" w:hAnsi="Calibri"/>
                <w:noProof/>
              </w:rPr>
            </w:pPr>
            <w:r>
              <w:rPr>
                <w:noProof/>
              </w:rPr>
              <w:t>110</w:t>
            </w:r>
          </w:p>
        </w:tc>
        <w:tc>
          <w:tcPr>
            <w:tcW w:w="3805" w:type="dxa"/>
            <w:shd w:val="clear" w:color="auto" w:fill="C6EFCE"/>
            <w:tcMar>
              <w:left w:w="108" w:type="dxa"/>
              <w:right w:w="108" w:type="dxa"/>
            </w:tcMar>
          </w:tcPr>
          <w:p w14:paraId="5B891CBE" w14:textId="77777777" w:rsidR="008E6885" w:rsidRDefault="00EA24E7">
            <w:pPr>
              <w:pStyle w:val="P68B1DB1-Normal35"/>
              <w:spacing w:after="0" w:line="276" w:lineRule="auto"/>
              <w:rPr>
                <w:rFonts w:ascii="Calibri" w:hAnsi="Calibri"/>
                <w:noProof/>
              </w:rPr>
            </w:pPr>
            <w:r>
              <w:rPr>
                <w:noProof/>
              </w:rPr>
              <w:t xml:space="preserve">3.1.2.r. Accès aux services sociaux et de l'emploi à l'appui de la réforme du revenu minimum </w:t>
            </w:r>
          </w:p>
        </w:tc>
        <w:tc>
          <w:tcPr>
            <w:tcW w:w="1457" w:type="dxa"/>
            <w:shd w:val="clear" w:color="auto" w:fill="C6EFCE"/>
            <w:tcMar>
              <w:left w:w="108" w:type="dxa"/>
              <w:right w:w="108" w:type="dxa"/>
            </w:tcMar>
          </w:tcPr>
          <w:p w14:paraId="36208BAD" w14:textId="0FAB1090" w:rsidR="008E6885" w:rsidRDefault="00EA24E7">
            <w:pPr>
              <w:pStyle w:val="P68B1DB1-Normal35"/>
              <w:spacing w:after="0" w:line="276" w:lineRule="auto"/>
              <w:jc w:val="center"/>
              <w:rPr>
                <w:rFonts w:ascii="Calibri" w:hAnsi="Calibri"/>
                <w:noProof/>
              </w:rPr>
            </w:pPr>
            <w:r>
              <w:rPr>
                <w:noProof/>
              </w:rPr>
              <w:t>Étape</w:t>
            </w:r>
          </w:p>
        </w:tc>
        <w:tc>
          <w:tcPr>
            <w:tcW w:w="2949" w:type="dxa"/>
            <w:shd w:val="clear" w:color="auto" w:fill="C6EFCE"/>
            <w:tcMar>
              <w:left w:w="108" w:type="dxa"/>
              <w:right w:w="108" w:type="dxa"/>
            </w:tcMar>
          </w:tcPr>
          <w:p w14:paraId="199B3FD8" w14:textId="0B40E12B" w:rsidR="008E6885" w:rsidRDefault="00EA24E7">
            <w:pPr>
              <w:pStyle w:val="P68B1DB1-Normal35"/>
              <w:spacing w:after="0" w:line="276" w:lineRule="auto"/>
              <w:jc w:val="both"/>
              <w:rPr>
                <w:rFonts w:ascii="Calibri" w:hAnsi="Calibri"/>
                <w:noProof/>
              </w:rPr>
            </w:pPr>
            <w:r>
              <w:rPr>
                <w:noProof/>
              </w:rPr>
              <w:t>Adoption du cadre stratégique pour la poursuite du développement du système d'aide au revenu minimum</w:t>
            </w:r>
          </w:p>
        </w:tc>
      </w:tr>
      <w:tr w:rsidR="008E6885" w14:paraId="4C059A96" w14:textId="77777777">
        <w:trPr>
          <w:trHeight w:val="300"/>
        </w:trPr>
        <w:tc>
          <w:tcPr>
            <w:tcW w:w="1419" w:type="dxa"/>
            <w:shd w:val="clear" w:color="auto" w:fill="C6EFCE"/>
            <w:tcMar>
              <w:left w:w="108" w:type="dxa"/>
              <w:right w:w="108" w:type="dxa"/>
            </w:tcMar>
            <w:vAlign w:val="center"/>
          </w:tcPr>
          <w:p w14:paraId="680CF096" w14:textId="77777777" w:rsidR="008E6885" w:rsidRDefault="00EA24E7">
            <w:pPr>
              <w:pStyle w:val="P68B1DB1-Normal35"/>
              <w:spacing w:after="0" w:line="276" w:lineRule="auto"/>
              <w:jc w:val="center"/>
              <w:rPr>
                <w:rFonts w:ascii="Calibri" w:hAnsi="Calibri"/>
                <w:noProof/>
              </w:rPr>
            </w:pPr>
            <w:r>
              <w:rPr>
                <w:noProof/>
              </w:rPr>
              <w:t>186</w:t>
            </w:r>
          </w:p>
        </w:tc>
        <w:tc>
          <w:tcPr>
            <w:tcW w:w="3805" w:type="dxa"/>
            <w:shd w:val="clear" w:color="auto" w:fill="C6EFCE"/>
            <w:tcMar>
              <w:left w:w="108" w:type="dxa"/>
              <w:right w:w="108" w:type="dxa"/>
            </w:tcMar>
          </w:tcPr>
          <w:p w14:paraId="5376A84C" w14:textId="77777777" w:rsidR="008E6885" w:rsidRDefault="00EA24E7">
            <w:pPr>
              <w:pStyle w:val="P68B1DB1-Normal35"/>
              <w:spacing w:after="0" w:line="276" w:lineRule="auto"/>
              <w:rPr>
                <w:rFonts w:ascii="Calibri" w:hAnsi="Calibri"/>
                <w:noProof/>
              </w:rPr>
            </w:pPr>
            <w:r>
              <w:rPr>
                <w:noProof/>
              </w:rPr>
              <w:t>6.2.1.r. Modernisation du processus d’identification du blanchiment de capitaux, d’enquête sur les infractions économiques et de procédure judiciaire</w:t>
            </w:r>
          </w:p>
        </w:tc>
        <w:tc>
          <w:tcPr>
            <w:tcW w:w="1457" w:type="dxa"/>
            <w:shd w:val="clear" w:color="auto" w:fill="C6EFCE"/>
            <w:tcMar>
              <w:left w:w="108" w:type="dxa"/>
              <w:right w:w="108" w:type="dxa"/>
            </w:tcMar>
          </w:tcPr>
          <w:p w14:paraId="0A23447A" w14:textId="77777777" w:rsidR="008E6885" w:rsidRDefault="00EA24E7">
            <w:pPr>
              <w:pStyle w:val="P68B1DB1-Normal35"/>
              <w:spacing w:after="0" w:line="276" w:lineRule="auto"/>
              <w:jc w:val="center"/>
              <w:rPr>
                <w:rFonts w:ascii="Calibri" w:hAnsi="Calibri"/>
                <w:noProof/>
              </w:rPr>
            </w:pPr>
            <w:r>
              <w:rPr>
                <w:noProof/>
              </w:rPr>
              <w:t>Étape</w:t>
            </w:r>
          </w:p>
        </w:tc>
        <w:tc>
          <w:tcPr>
            <w:tcW w:w="2949" w:type="dxa"/>
            <w:shd w:val="clear" w:color="auto" w:fill="C6EFCE"/>
            <w:tcMar>
              <w:left w:w="108" w:type="dxa"/>
              <w:right w:w="108" w:type="dxa"/>
            </w:tcMar>
          </w:tcPr>
          <w:p w14:paraId="0606C022" w14:textId="77777777" w:rsidR="008E6885" w:rsidRDefault="00EA24E7">
            <w:pPr>
              <w:pStyle w:val="P68B1DB1-Normal35"/>
              <w:spacing w:after="0" w:line="276" w:lineRule="auto"/>
              <w:jc w:val="both"/>
              <w:rPr>
                <w:rFonts w:ascii="Calibri" w:hAnsi="Calibri"/>
                <w:noProof/>
              </w:rPr>
            </w:pPr>
            <w:r>
              <w:rPr>
                <w:noProof/>
              </w:rPr>
              <w:t xml:space="preserve">Entrée en vigueur des modifications apportées à la loi sur la prévention du blanchiment de capitaux et du financement du terrorisme et de la prolifération </w:t>
            </w:r>
          </w:p>
        </w:tc>
      </w:tr>
      <w:tr w:rsidR="008E6885" w14:paraId="65FA74B5" w14:textId="77777777">
        <w:trPr>
          <w:trHeight w:val="300"/>
        </w:trPr>
        <w:tc>
          <w:tcPr>
            <w:tcW w:w="1419" w:type="dxa"/>
            <w:shd w:val="clear" w:color="auto" w:fill="C6EFCE"/>
            <w:tcMar>
              <w:left w:w="108" w:type="dxa"/>
              <w:right w:w="108" w:type="dxa"/>
            </w:tcMar>
            <w:vAlign w:val="center"/>
          </w:tcPr>
          <w:p w14:paraId="0E085C37" w14:textId="77777777" w:rsidR="008E6885" w:rsidRDefault="00EA24E7">
            <w:pPr>
              <w:pStyle w:val="P68B1DB1-Normal35"/>
              <w:spacing w:after="0" w:line="276" w:lineRule="auto"/>
              <w:jc w:val="center"/>
              <w:rPr>
                <w:rFonts w:ascii="Calibri" w:hAnsi="Calibri"/>
                <w:noProof/>
              </w:rPr>
            </w:pPr>
            <w:r>
              <w:rPr>
                <w:noProof/>
              </w:rPr>
              <w:t>209</w:t>
            </w:r>
          </w:p>
        </w:tc>
        <w:tc>
          <w:tcPr>
            <w:tcW w:w="3805" w:type="dxa"/>
            <w:shd w:val="clear" w:color="auto" w:fill="C6EFCE"/>
            <w:tcMar>
              <w:left w:w="108" w:type="dxa"/>
              <w:right w:w="108" w:type="dxa"/>
            </w:tcMar>
          </w:tcPr>
          <w:p w14:paraId="71C656C9" w14:textId="77777777" w:rsidR="008E6885" w:rsidRDefault="00EA24E7">
            <w:pPr>
              <w:pStyle w:val="P68B1DB1-Normal35"/>
              <w:spacing w:after="0" w:line="276" w:lineRule="auto"/>
              <w:rPr>
                <w:rFonts w:ascii="Calibri" w:hAnsi="Calibri"/>
                <w:noProof/>
              </w:rPr>
            </w:pPr>
            <w:r>
              <w:rPr>
                <w:noProof/>
              </w:rPr>
              <w:t>6.4.2.r. Amélioration de l'environnement de la concurrence</w:t>
            </w:r>
          </w:p>
        </w:tc>
        <w:tc>
          <w:tcPr>
            <w:tcW w:w="1457" w:type="dxa"/>
            <w:shd w:val="clear" w:color="auto" w:fill="C6EFCE"/>
            <w:tcMar>
              <w:left w:w="108" w:type="dxa"/>
              <w:right w:w="108" w:type="dxa"/>
            </w:tcMar>
          </w:tcPr>
          <w:p w14:paraId="60FC4EAF" w14:textId="77777777" w:rsidR="008E6885" w:rsidRDefault="00EA24E7">
            <w:pPr>
              <w:pStyle w:val="P68B1DB1-Normal35"/>
              <w:spacing w:after="0" w:line="276" w:lineRule="auto"/>
              <w:jc w:val="center"/>
              <w:rPr>
                <w:rFonts w:ascii="Calibri" w:hAnsi="Calibri"/>
                <w:noProof/>
              </w:rPr>
            </w:pPr>
            <w:r>
              <w:rPr>
                <w:noProof/>
              </w:rPr>
              <w:t>Étape</w:t>
            </w:r>
          </w:p>
        </w:tc>
        <w:tc>
          <w:tcPr>
            <w:tcW w:w="2949" w:type="dxa"/>
            <w:shd w:val="clear" w:color="auto" w:fill="C6EFCE"/>
            <w:tcMar>
              <w:left w:w="108" w:type="dxa"/>
              <w:right w:w="108" w:type="dxa"/>
            </w:tcMar>
          </w:tcPr>
          <w:p w14:paraId="4A637E8B" w14:textId="77777777" w:rsidR="008E6885" w:rsidRDefault="00EA24E7">
            <w:pPr>
              <w:pStyle w:val="P68B1DB1-Normal35"/>
              <w:spacing w:after="0" w:line="276" w:lineRule="auto"/>
              <w:jc w:val="both"/>
              <w:rPr>
                <w:rFonts w:ascii="Calibri" w:hAnsi="Calibri"/>
                <w:noProof/>
              </w:rPr>
            </w:pPr>
            <w:r>
              <w:rPr>
                <w:noProof/>
              </w:rPr>
              <w:t>Entrée en vigueur du cadre réglementaire visant à améliorer l’environnement concurrentiel et à réduire les risques de corruption dans les marchés publics</w:t>
            </w:r>
          </w:p>
        </w:tc>
      </w:tr>
      <w:tr w:rsidR="008E6885" w14:paraId="061EFF1A" w14:textId="77777777">
        <w:trPr>
          <w:trHeight w:val="300"/>
        </w:trPr>
        <w:tc>
          <w:tcPr>
            <w:tcW w:w="1419" w:type="dxa"/>
            <w:shd w:val="clear" w:color="auto" w:fill="C6EFCE"/>
            <w:tcMar>
              <w:left w:w="108" w:type="dxa"/>
              <w:right w:w="108" w:type="dxa"/>
            </w:tcMar>
            <w:vAlign w:val="center"/>
          </w:tcPr>
          <w:p w14:paraId="545C3844" w14:textId="77777777" w:rsidR="008E6885" w:rsidRDefault="00EA24E7">
            <w:pPr>
              <w:pStyle w:val="P68B1DB1-Normal35"/>
              <w:spacing w:after="0" w:line="276" w:lineRule="auto"/>
              <w:jc w:val="center"/>
              <w:rPr>
                <w:rFonts w:ascii="Calibri" w:hAnsi="Calibri"/>
                <w:noProof/>
              </w:rPr>
            </w:pPr>
            <w:r>
              <w:rPr>
                <w:noProof/>
              </w:rPr>
              <w:t>213</w:t>
            </w:r>
          </w:p>
        </w:tc>
        <w:tc>
          <w:tcPr>
            <w:tcW w:w="3805" w:type="dxa"/>
            <w:shd w:val="clear" w:color="auto" w:fill="C6EFCE"/>
            <w:tcMar>
              <w:left w:w="108" w:type="dxa"/>
              <w:right w:w="108" w:type="dxa"/>
            </w:tcMar>
          </w:tcPr>
          <w:p w14:paraId="70E773D9" w14:textId="77777777" w:rsidR="008E6885" w:rsidRDefault="00EA24E7">
            <w:pPr>
              <w:pStyle w:val="P68B1DB1-Normal35"/>
              <w:spacing w:after="0" w:line="276" w:lineRule="auto"/>
              <w:rPr>
                <w:rFonts w:ascii="Calibri" w:hAnsi="Calibri"/>
                <w:noProof/>
              </w:rPr>
            </w:pPr>
            <w:r>
              <w:rPr>
                <w:noProof/>
              </w:rPr>
              <w:t>6.4.4.r. Renforcement des capacités informatiques et analytiques de l'IUB</w:t>
            </w:r>
          </w:p>
        </w:tc>
        <w:tc>
          <w:tcPr>
            <w:tcW w:w="1457" w:type="dxa"/>
            <w:shd w:val="clear" w:color="auto" w:fill="C6EFCE"/>
            <w:tcMar>
              <w:left w:w="108" w:type="dxa"/>
              <w:right w:w="108" w:type="dxa"/>
            </w:tcMar>
          </w:tcPr>
          <w:p w14:paraId="7A54424A" w14:textId="77777777" w:rsidR="008E6885" w:rsidRDefault="00EA24E7">
            <w:pPr>
              <w:pStyle w:val="P68B1DB1-Normal35"/>
              <w:spacing w:after="0" w:line="276" w:lineRule="auto"/>
              <w:jc w:val="center"/>
              <w:rPr>
                <w:rFonts w:ascii="Calibri" w:hAnsi="Calibri"/>
                <w:noProof/>
              </w:rPr>
            </w:pPr>
            <w:r>
              <w:rPr>
                <w:noProof/>
              </w:rPr>
              <w:t>Étape</w:t>
            </w:r>
          </w:p>
        </w:tc>
        <w:tc>
          <w:tcPr>
            <w:tcW w:w="2949" w:type="dxa"/>
            <w:shd w:val="clear" w:color="auto" w:fill="C6EFCE"/>
            <w:tcMar>
              <w:left w:w="108" w:type="dxa"/>
              <w:right w:w="108" w:type="dxa"/>
            </w:tcMar>
          </w:tcPr>
          <w:p w14:paraId="0D8017D5" w14:textId="77777777" w:rsidR="008E6885" w:rsidRDefault="00EA24E7">
            <w:pPr>
              <w:pStyle w:val="P68B1DB1-Normal35"/>
              <w:spacing w:after="0" w:line="276" w:lineRule="auto"/>
              <w:jc w:val="both"/>
              <w:rPr>
                <w:rFonts w:ascii="Calibri" w:hAnsi="Calibri"/>
                <w:noProof/>
              </w:rPr>
            </w:pPr>
            <w:r>
              <w:rPr>
                <w:noProof/>
              </w:rPr>
              <w:t>Adoption de critères pour identifier les secteurs de marché à risque, les clients et les achats</w:t>
            </w:r>
          </w:p>
        </w:tc>
      </w:tr>
      <w:tr w:rsidR="008E6885" w14:paraId="6F9CCE17" w14:textId="77777777">
        <w:trPr>
          <w:trHeight w:val="300"/>
        </w:trPr>
        <w:tc>
          <w:tcPr>
            <w:tcW w:w="1419" w:type="dxa"/>
            <w:shd w:val="clear" w:color="auto" w:fill="C6EFCE"/>
            <w:tcMar>
              <w:left w:w="108" w:type="dxa"/>
              <w:right w:w="108" w:type="dxa"/>
            </w:tcMar>
            <w:vAlign w:val="center"/>
          </w:tcPr>
          <w:p w14:paraId="6E2D4F2D" w14:textId="77777777" w:rsidR="008E6885" w:rsidRDefault="00EA24E7">
            <w:pPr>
              <w:pStyle w:val="P68B1DB1-Normal35"/>
              <w:spacing w:after="0" w:line="276" w:lineRule="auto"/>
              <w:jc w:val="center"/>
              <w:rPr>
                <w:rFonts w:ascii="Calibri" w:hAnsi="Calibri"/>
                <w:noProof/>
              </w:rPr>
            </w:pPr>
            <w:r>
              <w:rPr>
                <w:noProof/>
              </w:rPr>
              <w:t xml:space="preserve"> </w:t>
            </w:r>
          </w:p>
        </w:tc>
        <w:tc>
          <w:tcPr>
            <w:tcW w:w="3805" w:type="dxa"/>
            <w:shd w:val="clear" w:color="auto" w:fill="C6EFCE"/>
            <w:tcMar>
              <w:left w:w="108" w:type="dxa"/>
              <w:right w:w="108" w:type="dxa"/>
            </w:tcMar>
            <w:vAlign w:val="center"/>
          </w:tcPr>
          <w:p w14:paraId="5B435D2B" w14:textId="77777777" w:rsidR="008E6885" w:rsidRDefault="00EA24E7">
            <w:pPr>
              <w:pStyle w:val="P68B1DB1-Normal35"/>
              <w:spacing w:after="0" w:line="276" w:lineRule="auto"/>
              <w:rPr>
                <w:rFonts w:ascii="Calibri" w:hAnsi="Calibri"/>
                <w:noProof/>
              </w:rPr>
            </w:pPr>
            <w:r>
              <w:rPr>
                <w:noProof/>
              </w:rPr>
              <w:t xml:space="preserve"> </w:t>
            </w:r>
          </w:p>
        </w:tc>
        <w:tc>
          <w:tcPr>
            <w:tcW w:w="1457" w:type="dxa"/>
            <w:shd w:val="clear" w:color="auto" w:fill="C6EFCE"/>
            <w:tcMar>
              <w:left w:w="108" w:type="dxa"/>
              <w:right w:w="108" w:type="dxa"/>
            </w:tcMar>
          </w:tcPr>
          <w:p w14:paraId="425A2325" w14:textId="77777777" w:rsidR="008E6885" w:rsidRDefault="00EA24E7">
            <w:pPr>
              <w:pStyle w:val="P68B1DB1-Normal35"/>
              <w:spacing w:after="0" w:line="276" w:lineRule="auto"/>
              <w:jc w:val="center"/>
              <w:rPr>
                <w:rFonts w:ascii="Calibri" w:hAnsi="Calibri"/>
                <w:noProof/>
              </w:rPr>
            </w:pPr>
            <w:r>
              <w:rPr>
                <w:noProof/>
              </w:rPr>
              <w:t>Montant des acomptes provisionnels</w:t>
            </w:r>
          </w:p>
        </w:tc>
        <w:tc>
          <w:tcPr>
            <w:tcW w:w="2949" w:type="dxa"/>
            <w:shd w:val="clear" w:color="auto" w:fill="C6EFCE"/>
            <w:tcMar>
              <w:left w:w="108" w:type="dxa"/>
              <w:right w:w="108" w:type="dxa"/>
            </w:tcMar>
            <w:vAlign w:val="center"/>
          </w:tcPr>
          <w:p w14:paraId="17032B32" w14:textId="77777777" w:rsidR="008E6885" w:rsidRDefault="00EA24E7">
            <w:pPr>
              <w:pStyle w:val="P68B1DB1-Normal5"/>
              <w:spacing w:after="0" w:line="276" w:lineRule="auto"/>
              <w:jc w:val="both"/>
              <w:rPr>
                <w:rFonts w:ascii="Calibri" w:hAnsi="Calibri"/>
                <w:noProof/>
                <w:sz w:val="22"/>
              </w:rPr>
            </w:pPr>
            <w:r>
              <w:rPr>
                <w:noProof/>
                <w:color w:val="000000"/>
                <w:sz w:val="22"/>
              </w:rPr>
              <w:t>231</w:t>
            </w:r>
            <w:r>
              <w:rPr>
                <w:noProof/>
                <w:sz w:val="20"/>
              </w:rPr>
              <w:t>  </w:t>
            </w:r>
            <w:r>
              <w:rPr>
                <w:noProof/>
                <w:color w:val="000000"/>
                <w:sz w:val="22"/>
              </w:rPr>
              <w:t>000 000</w:t>
            </w:r>
            <w:r>
              <w:rPr>
                <w:noProof/>
                <w:sz w:val="20"/>
              </w:rPr>
              <w:t> </w:t>
            </w:r>
            <w:r>
              <w:rPr>
                <w:noProof/>
                <w:color w:val="000000"/>
                <w:sz w:val="22"/>
              </w:rPr>
              <w:t>EUR</w:t>
            </w:r>
          </w:p>
        </w:tc>
      </w:tr>
    </w:tbl>
    <w:p w14:paraId="6D9B39A5" w14:textId="77777777" w:rsidR="008E6885" w:rsidRDefault="008E6885">
      <w:pPr>
        <w:spacing w:after="0" w:line="257" w:lineRule="auto"/>
        <w:ind w:left="567" w:hanging="567"/>
        <w:contextualSpacing/>
        <w:jc w:val="both"/>
        <w:rPr>
          <w:rFonts w:ascii="Times New Roman" w:eastAsia="Times New Roman" w:hAnsi="Times New Roman" w:cs="Times New Roman"/>
          <w:noProof/>
          <w:kern w:val="0"/>
          <w14:ligatures w14:val="none"/>
        </w:rPr>
      </w:pPr>
    </w:p>
    <w:p w14:paraId="76FF615B" w14:textId="77777777" w:rsidR="008E6885" w:rsidRDefault="00EA24E7">
      <w:pPr>
        <w:pStyle w:val="P68B1DB1-Normal4"/>
        <w:numPr>
          <w:ilvl w:val="1"/>
          <w:numId w:val="11"/>
        </w:numPr>
        <w:spacing w:after="0" w:line="257" w:lineRule="auto"/>
        <w:ind w:left="567" w:hanging="567"/>
        <w:contextualSpacing/>
        <w:jc w:val="both"/>
        <w:rPr>
          <w:rFonts w:eastAsia="Times New Roman" w:cs="Times New Roman"/>
          <w:noProof/>
        </w:rPr>
      </w:pPr>
      <w:r>
        <w:rPr>
          <w:noProof/>
        </w:rPr>
        <w:t xml:space="preserve">Deuxième tranche (soutien non remboursable): </w:t>
      </w:r>
    </w:p>
    <w:p w14:paraId="3E46C7FC" w14:textId="77777777" w:rsidR="008E6885" w:rsidRDefault="008E6885">
      <w:pPr>
        <w:spacing w:after="0" w:line="257" w:lineRule="auto"/>
        <w:ind w:left="567" w:hanging="567"/>
        <w:contextualSpacing/>
        <w:jc w:val="both"/>
        <w:rPr>
          <w:rFonts w:ascii="Times New Roman" w:eastAsia="Times New Roman" w:hAnsi="Times New Roman" w:cs="Times New Roman"/>
          <w:noProof/>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6"/>
        <w:gridCol w:w="3601"/>
        <w:gridCol w:w="1496"/>
        <w:gridCol w:w="2947"/>
      </w:tblGrid>
      <w:tr w:rsidR="008E6885" w14:paraId="6768F0B6" w14:textId="77777777">
        <w:trPr>
          <w:trHeight w:val="300"/>
          <w:tblHeader/>
        </w:trPr>
        <w:tc>
          <w:tcPr>
            <w:tcW w:w="1586" w:type="dxa"/>
            <w:shd w:val="clear" w:color="auto" w:fill="BDD7EE"/>
            <w:tcMar>
              <w:left w:w="108" w:type="dxa"/>
              <w:right w:w="108" w:type="dxa"/>
            </w:tcMar>
            <w:vAlign w:val="center"/>
          </w:tcPr>
          <w:p w14:paraId="3C72E5FD" w14:textId="77777777" w:rsidR="008E6885" w:rsidRDefault="00EA24E7">
            <w:pPr>
              <w:pStyle w:val="P68B1DB1-Normal33"/>
              <w:spacing w:after="0" w:line="276" w:lineRule="auto"/>
              <w:jc w:val="center"/>
              <w:rPr>
                <w:rFonts w:ascii="Calibri" w:hAnsi="Calibri"/>
                <w:noProof/>
                <w:sz w:val="22"/>
              </w:rPr>
            </w:pPr>
            <w:r>
              <w:rPr>
                <w:noProof/>
              </w:rPr>
              <w:t>Numéro séquentiel</w:t>
            </w:r>
          </w:p>
        </w:tc>
        <w:tc>
          <w:tcPr>
            <w:tcW w:w="3601" w:type="dxa"/>
            <w:shd w:val="clear" w:color="auto" w:fill="BDD7EE"/>
            <w:tcMar>
              <w:left w:w="108" w:type="dxa"/>
              <w:right w:w="108" w:type="dxa"/>
            </w:tcMar>
            <w:vAlign w:val="center"/>
          </w:tcPr>
          <w:p w14:paraId="1EEDF3C7" w14:textId="77777777" w:rsidR="008E6885" w:rsidRDefault="00EA24E7">
            <w:pPr>
              <w:pStyle w:val="P68B1DB1-Normal34"/>
              <w:spacing w:after="0" w:line="276" w:lineRule="auto"/>
              <w:jc w:val="center"/>
              <w:rPr>
                <w:rFonts w:ascii="Calibri" w:eastAsia="Calibri" w:hAnsi="Calibri" w:cs="Arial"/>
                <w:noProof/>
                <w:sz w:val="22"/>
              </w:rPr>
            </w:pPr>
            <w:r>
              <w:rPr>
                <w:rFonts w:ascii="Times New Roman" w:eastAsia="Calibri" w:hAnsi="Times New Roman" w:cs="Arial"/>
                <w:b/>
                <w:noProof/>
                <w:color w:val="000000"/>
              </w:rPr>
              <w:t>Mesure connexe</w:t>
            </w:r>
            <w:r>
              <w:rPr>
                <w:rFonts w:ascii="Calibri" w:eastAsia="Calibri" w:hAnsi="Calibri" w:cs="Arial"/>
                <w:noProof/>
                <w:sz w:val="22"/>
              </w:rPr>
              <w:t xml:space="preserve"> </w:t>
            </w:r>
            <w:r>
              <w:rPr>
                <w:rFonts w:ascii="Calibri" w:eastAsia="Calibri" w:hAnsi="Calibri" w:cs="Arial"/>
                <w:noProof/>
                <w:sz w:val="22"/>
              </w:rPr>
              <w:br/>
            </w:r>
            <w:r>
              <w:rPr>
                <w:rFonts w:ascii="Times New Roman" w:eastAsia="Calibri" w:hAnsi="Times New Roman" w:cs="Arial"/>
                <w:b/>
                <w:noProof/>
                <w:color w:val="000000"/>
              </w:rPr>
              <w:t>(Réforme ou investissement)</w:t>
            </w:r>
          </w:p>
        </w:tc>
        <w:tc>
          <w:tcPr>
            <w:tcW w:w="1496" w:type="dxa"/>
            <w:shd w:val="clear" w:color="auto" w:fill="BDD7EE"/>
            <w:tcMar>
              <w:left w:w="108" w:type="dxa"/>
              <w:right w:w="108" w:type="dxa"/>
            </w:tcMar>
            <w:vAlign w:val="center"/>
          </w:tcPr>
          <w:p w14:paraId="29ADDD1B" w14:textId="77777777" w:rsidR="008E6885" w:rsidRDefault="00EA24E7">
            <w:pPr>
              <w:pStyle w:val="P68B1DB1-Normal33"/>
              <w:spacing w:after="0" w:line="276" w:lineRule="auto"/>
              <w:jc w:val="center"/>
              <w:rPr>
                <w:rFonts w:ascii="Calibri" w:hAnsi="Calibri"/>
                <w:noProof/>
                <w:sz w:val="22"/>
              </w:rPr>
            </w:pPr>
            <w:r>
              <w:rPr>
                <w:noProof/>
              </w:rPr>
              <w:t>Étape/cible</w:t>
            </w:r>
          </w:p>
        </w:tc>
        <w:tc>
          <w:tcPr>
            <w:tcW w:w="2947" w:type="dxa"/>
            <w:shd w:val="clear" w:color="auto" w:fill="BDD7EE"/>
            <w:tcMar>
              <w:left w:w="108" w:type="dxa"/>
              <w:right w:w="108" w:type="dxa"/>
            </w:tcMar>
            <w:vAlign w:val="center"/>
          </w:tcPr>
          <w:p w14:paraId="0E08170C" w14:textId="77777777" w:rsidR="008E6885" w:rsidRDefault="00EA24E7">
            <w:pPr>
              <w:pStyle w:val="P68B1DB1-Normal33"/>
              <w:spacing w:after="0" w:line="276" w:lineRule="auto"/>
              <w:jc w:val="center"/>
              <w:rPr>
                <w:rFonts w:ascii="Calibri" w:hAnsi="Calibri"/>
                <w:noProof/>
                <w:sz w:val="22"/>
              </w:rPr>
            </w:pPr>
            <w:r>
              <w:rPr>
                <w:noProof/>
              </w:rPr>
              <w:t>Nom</w:t>
            </w:r>
          </w:p>
        </w:tc>
      </w:tr>
      <w:tr w:rsidR="008E6885" w14:paraId="423C05E1" w14:textId="77777777">
        <w:trPr>
          <w:trHeight w:val="300"/>
        </w:trPr>
        <w:tc>
          <w:tcPr>
            <w:tcW w:w="1586" w:type="dxa"/>
            <w:shd w:val="clear" w:color="auto" w:fill="C6EFCE"/>
            <w:tcMar>
              <w:left w:w="108" w:type="dxa"/>
              <w:right w:w="108" w:type="dxa"/>
            </w:tcMar>
            <w:vAlign w:val="center"/>
          </w:tcPr>
          <w:p w14:paraId="3FE76FA7" w14:textId="77777777" w:rsidR="008E6885" w:rsidRDefault="00EA24E7">
            <w:pPr>
              <w:pStyle w:val="P68B1DB1-Normal35"/>
              <w:spacing w:after="0" w:line="276" w:lineRule="auto"/>
              <w:jc w:val="center"/>
              <w:rPr>
                <w:rFonts w:ascii="Calibri" w:hAnsi="Calibri"/>
                <w:noProof/>
              </w:rPr>
            </w:pPr>
            <w:r>
              <w:rPr>
                <w:noProof/>
              </w:rPr>
              <w:t>7</w:t>
            </w:r>
          </w:p>
        </w:tc>
        <w:tc>
          <w:tcPr>
            <w:tcW w:w="3601" w:type="dxa"/>
            <w:shd w:val="clear" w:color="auto" w:fill="C6EFCE"/>
            <w:tcMar>
              <w:left w:w="108" w:type="dxa"/>
              <w:right w:w="108" w:type="dxa"/>
            </w:tcMar>
          </w:tcPr>
          <w:p w14:paraId="2CB324F9" w14:textId="77777777" w:rsidR="008E6885" w:rsidRDefault="00EA24E7">
            <w:pPr>
              <w:pStyle w:val="P68B1DB1-Normal35"/>
              <w:spacing w:after="0" w:line="276" w:lineRule="auto"/>
              <w:rPr>
                <w:rFonts w:ascii="Calibri" w:hAnsi="Calibri"/>
                <w:noProof/>
              </w:rPr>
            </w:pPr>
            <w:r>
              <w:rPr>
                <w:noProof/>
              </w:rPr>
              <w:t xml:space="preserve">1.2.1.1.i. Améliorer l'efficacité énergétique des immeubles comprenant plusieurs appartements </w:t>
            </w:r>
          </w:p>
        </w:tc>
        <w:tc>
          <w:tcPr>
            <w:tcW w:w="1496" w:type="dxa"/>
            <w:shd w:val="clear" w:color="auto" w:fill="C6EFCE"/>
            <w:tcMar>
              <w:left w:w="108" w:type="dxa"/>
              <w:right w:w="108" w:type="dxa"/>
            </w:tcMar>
          </w:tcPr>
          <w:p w14:paraId="6F9E2CFC"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2230B928" w14:textId="77777777" w:rsidR="008E6885" w:rsidRDefault="00EA24E7">
            <w:pPr>
              <w:pStyle w:val="P68B1DB1-Normal35"/>
              <w:spacing w:after="0" w:line="276" w:lineRule="auto"/>
              <w:jc w:val="both"/>
              <w:rPr>
                <w:rFonts w:ascii="Calibri" w:hAnsi="Calibri"/>
                <w:noProof/>
              </w:rPr>
            </w:pPr>
            <w:r>
              <w:rPr>
                <w:noProof/>
              </w:rPr>
              <w:t xml:space="preserve">Entrée en vigueur du programme de soutien à l'amélioration de l'efficacité énergétique des bâtiments résidentiels </w:t>
            </w:r>
          </w:p>
        </w:tc>
      </w:tr>
      <w:tr w:rsidR="008E6885" w14:paraId="3665F750" w14:textId="77777777">
        <w:trPr>
          <w:trHeight w:val="300"/>
        </w:trPr>
        <w:tc>
          <w:tcPr>
            <w:tcW w:w="1586" w:type="dxa"/>
            <w:shd w:val="clear" w:color="auto" w:fill="C6EFCE"/>
            <w:tcMar>
              <w:left w:w="108" w:type="dxa"/>
              <w:right w:w="108" w:type="dxa"/>
            </w:tcMar>
            <w:vAlign w:val="center"/>
          </w:tcPr>
          <w:p w14:paraId="13BA541F" w14:textId="77777777" w:rsidR="008E6885" w:rsidRDefault="00EA24E7">
            <w:pPr>
              <w:pStyle w:val="P68B1DB1-Normal35"/>
              <w:spacing w:after="0" w:line="276" w:lineRule="auto"/>
              <w:jc w:val="center"/>
              <w:rPr>
                <w:rFonts w:ascii="Calibri" w:hAnsi="Calibri"/>
                <w:noProof/>
              </w:rPr>
            </w:pPr>
            <w:r>
              <w:rPr>
                <w:noProof/>
              </w:rPr>
              <w:t>10</w:t>
            </w:r>
          </w:p>
        </w:tc>
        <w:tc>
          <w:tcPr>
            <w:tcW w:w="3601" w:type="dxa"/>
            <w:shd w:val="clear" w:color="auto" w:fill="C6EFCE"/>
            <w:tcMar>
              <w:left w:w="108" w:type="dxa"/>
              <w:right w:w="108" w:type="dxa"/>
            </w:tcMar>
          </w:tcPr>
          <w:p w14:paraId="6E39D265" w14:textId="77777777" w:rsidR="008E6885" w:rsidRDefault="00EA24E7">
            <w:pPr>
              <w:pStyle w:val="P68B1DB1-Normal35"/>
              <w:spacing w:after="0" w:line="276" w:lineRule="auto"/>
              <w:rPr>
                <w:rFonts w:ascii="Calibri" w:hAnsi="Calibri"/>
                <w:noProof/>
              </w:rPr>
            </w:pPr>
            <w:r>
              <w:rPr>
                <w:noProof/>
              </w:rPr>
              <w:t>1.2.1.2.i. Accroître l'efficacité énergétique des entreprises sous la forme d'un instrument financier combiné</w:t>
            </w:r>
          </w:p>
        </w:tc>
        <w:tc>
          <w:tcPr>
            <w:tcW w:w="1496" w:type="dxa"/>
            <w:shd w:val="clear" w:color="auto" w:fill="C6EFCE"/>
            <w:tcMar>
              <w:left w:w="108" w:type="dxa"/>
              <w:right w:w="108" w:type="dxa"/>
            </w:tcMar>
          </w:tcPr>
          <w:p w14:paraId="3B49622E"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0948515C" w14:textId="77777777" w:rsidR="008E6885" w:rsidRDefault="00EA24E7">
            <w:pPr>
              <w:pStyle w:val="P68B1DB1-Normal35"/>
              <w:spacing w:after="0" w:line="276" w:lineRule="auto"/>
              <w:jc w:val="both"/>
              <w:rPr>
                <w:rFonts w:ascii="Calibri" w:hAnsi="Calibri"/>
                <w:noProof/>
              </w:rPr>
            </w:pPr>
            <w:r>
              <w:rPr>
                <w:noProof/>
              </w:rPr>
              <w:t>Entrée en vigueur du programme de soutien à l'efficacité énergétique entrepreneuriale</w:t>
            </w:r>
          </w:p>
        </w:tc>
      </w:tr>
      <w:tr w:rsidR="008E6885" w14:paraId="1306FB67" w14:textId="77777777">
        <w:trPr>
          <w:trHeight w:val="300"/>
        </w:trPr>
        <w:tc>
          <w:tcPr>
            <w:tcW w:w="1586" w:type="dxa"/>
            <w:shd w:val="clear" w:color="auto" w:fill="C6EFCE"/>
            <w:tcMar>
              <w:left w:w="108" w:type="dxa"/>
              <w:right w:w="108" w:type="dxa"/>
            </w:tcMar>
            <w:vAlign w:val="center"/>
          </w:tcPr>
          <w:p w14:paraId="00CD7715" w14:textId="77777777" w:rsidR="008E6885" w:rsidRDefault="00EA24E7">
            <w:pPr>
              <w:pStyle w:val="P68B1DB1-Normal35"/>
              <w:spacing w:after="0" w:line="276" w:lineRule="auto"/>
              <w:jc w:val="center"/>
              <w:rPr>
                <w:rFonts w:ascii="Calibri" w:hAnsi="Calibri"/>
                <w:noProof/>
              </w:rPr>
            </w:pPr>
            <w:r>
              <w:rPr>
                <w:noProof/>
              </w:rPr>
              <w:t>13</w:t>
            </w:r>
          </w:p>
        </w:tc>
        <w:tc>
          <w:tcPr>
            <w:tcW w:w="3601" w:type="dxa"/>
            <w:shd w:val="clear" w:color="auto" w:fill="C6EFCE"/>
            <w:tcMar>
              <w:left w:w="108" w:type="dxa"/>
              <w:right w:w="108" w:type="dxa"/>
            </w:tcMar>
          </w:tcPr>
          <w:p w14:paraId="655E0AE3" w14:textId="77777777" w:rsidR="008E6885" w:rsidRDefault="00EA24E7">
            <w:pPr>
              <w:pStyle w:val="P68B1DB1-Normal35"/>
              <w:spacing w:after="0" w:line="276" w:lineRule="auto"/>
              <w:rPr>
                <w:rFonts w:ascii="Calibri" w:hAnsi="Calibri"/>
                <w:noProof/>
              </w:rPr>
            </w:pPr>
            <w:r>
              <w:rPr>
                <w:noProof/>
              </w:rPr>
              <w:t xml:space="preserve">1.2.1.3.i. Améliorer l'efficacité énergétique des bâtiments municipaux </w:t>
            </w:r>
          </w:p>
        </w:tc>
        <w:tc>
          <w:tcPr>
            <w:tcW w:w="1496" w:type="dxa"/>
            <w:shd w:val="clear" w:color="auto" w:fill="C6EFCE"/>
            <w:tcMar>
              <w:left w:w="108" w:type="dxa"/>
              <w:right w:w="108" w:type="dxa"/>
            </w:tcMar>
          </w:tcPr>
          <w:p w14:paraId="63D49163"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6CDA6FFC" w14:textId="77777777" w:rsidR="008E6885" w:rsidRDefault="00EA24E7">
            <w:pPr>
              <w:pStyle w:val="P68B1DB1-Normal35"/>
              <w:spacing w:after="0" w:line="276" w:lineRule="auto"/>
              <w:jc w:val="both"/>
              <w:rPr>
                <w:rFonts w:ascii="Calibri" w:hAnsi="Calibri"/>
                <w:noProof/>
              </w:rPr>
            </w:pPr>
            <w:r>
              <w:rPr>
                <w:noProof/>
              </w:rPr>
              <w:t>Entrée en vigueur du cadre juridique d’un programme d’aide à l’amélioration de l’efficacité énergétique des infrastructures municipales, qui soutient des projets prévoyant une réduction d’au moins 30 % de l’énergie primaire ou du CO2</w:t>
            </w:r>
          </w:p>
        </w:tc>
      </w:tr>
      <w:tr w:rsidR="008E6885" w14:paraId="39955A25" w14:textId="77777777">
        <w:trPr>
          <w:trHeight w:val="300"/>
        </w:trPr>
        <w:tc>
          <w:tcPr>
            <w:tcW w:w="1586" w:type="dxa"/>
            <w:shd w:val="clear" w:color="auto" w:fill="C6EFCE"/>
            <w:tcMar>
              <w:left w:w="108" w:type="dxa"/>
              <w:right w:w="108" w:type="dxa"/>
            </w:tcMar>
            <w:vAlign w:val="center"/>
          </w:tcPr>
          <w:p w14:paraId="0DE764C7" w14:textId="77777777" w:rsidR="008E6885" w:rsidRDefault="00EA24E7">
            <w:pPr>
              <w:pStyle w:val="P68B1DB1-Normal35"/>
              <w:spacing w:after="0" w:line="276" w:lineRule="auto"/>
              <w:jc w:val="center"/>
              <w:rPr>
                <w:rFonts w:ascii="Calibri" w:hAnsi="Calibri"/>
                <w:noProof/>
              </w:rPr>
            </w:pPr>
            <w:r>
              <w:rPr>
                <w:noProof/>
              </w:rPr>
              <w:t>16</w:t>
            </w:r>
          </w:p>
        </w:tc>
        <w:tc>
          <w:tcPr>
            <w:tcW w:w="3601" w:type="dxa"/>
            <w:shd w:val="clear" w:color="auto" w:fill="C6EFCE"/>
            <w:tcMar>
              <w:left w:w="108" w:type="dxa"/>
              <w:right w:w="108" w:type="dxa"/>
            </w:tcMar>
          </w:tcPr>
          <w:p w14:paraId="0111EF47" w14:textId="77777777" w:rsidR="008E6885" w:rsidRDefault="00EA24E7">
            <w:pPr>
              <w:pStyle w:val="P68B1DB1-Normal35"/>
              <w:spacing w:after="0" w:line="276" w:lineRule="auto"/>
              <w:rPr>
                <w:rFonts w:ascii="Calibri" w:hAnsi="Calibri"/>
                <w:noProof/>
              </w:rPr>
            </w:pPr>
            <w:r>
              <w:rPr>
                <w:noProof/>
              </w:rPr>
              <w:t>1.2.1.4.i. Améliorer l'efficacité énergétique des bâtiments du secteur public</w:t>
            </w:r>
          </w:p>
        </w:tc>
        <w:tc>
          <w:tcPr>
            <w:tcW w:w="1496" w:type="dxa"/>
            <w:shd w:val="clear" w:color="auto" w:fill="C6EFCE"/>
            <w:tcMar>
              <w:left w:w="108" w:type="dxa"/>
              <w:right w:w="108" w:type="dxa"/>
            </w:tcMar>
          </w:tcPr>
          <w:p w14:paraId="28152720"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4E8AB02C" w14:textId="77777777" w:rsidR="008E6885" w:rsidRDefault="00EA24E7">
            <w:pPr>
              <w:pStyle w:val="P68B1DB1-Normal35"/>
              <w:spacing w:after="0" w:line="276" w:lineRule="auto"/>
              <w:jc w:val="both"/>
              <w:rPr>
                <w:rFonts w:ascii="Calibri" w:hAnsi="Calibri"/>
                <w:noProof/>
              </w:rPr>
            </w:pPr>
            <w:r>
              <w:rPr>
                <w:noProof/>
              </w:rPr>
              <w:t xml:space="preserve">Entrée en vigueur du programme de soutien à l'amélioration de l'efficacité énergétique des bâtiments nationaux et historiques </w:t>
            </w:r>
          </w:p>
        </w:tc>
      </w:tr>
      <w:tr w:rsidR="008E6885" w14:paraId="77471B1E" w14:textId="77777777">
        <w:trPr>
          <w:trHeight w:val="300"/>
        </w:trPr>
        <w:tc>
          <w:tcPr>
            <w:tcW w:w="1586" w:type="dxa"/>
            <w:shd w:val="clear" w:color="auto" w:fill="C6EFCE"/>
            <w:tcMar>
              <w:left w:w="108" w:type="dxa"/>
              <w:right w:w="108" w:type="dxa"/>
            </w:tcMar>
            <w:vAlign w:val="center"/>
          </w:tcPr>
          <w:p w14:paraId="31B00A9E" w14:textId="77777777" w:rsidR="008E6885" w:rsidRDefault="00EA24E7">
            <w:pPr>
              <w:pStyle w:val="P68B1DB1-Normal35"/>
              <w:spacing w:after="0" w:line="276" w:lineRule="auto"/>
              <w:jc w:val="center"/>
              <w:rPr>
                <w:rFonts w:ascii="Calibri" w:hAnsi="Calibri"/>
                <w:noProof/>
              </w:rPr>
            </w:pPr>
            <w:r>
              <w:rPr>
                <w:noProof/>
              </w:rPr>
              <w:t>22</w:t>
            </w:r>
          </w:p>
        </w:tc>
        <w:tc>
          <w:tcPr>
            <w:tcW w:w="3601" w:type="dxa"/>
            <w:shd w:val="clear" w:color="auto" w:fill="C6EFCE"/>
            <w:tcMar>
              <w:left w:w="108" w:type="dxa"/>
              <w:right w:w="108" w:type="dxa"/>
            </w:tcMar>
          </w:tcPr>
          <w:p w14:paraId="49942CAF" w14:textId="77777777" w:rsidR="008E6885" w:rsidRDefault="00EA24E7">
            <w:pPr>
              <w:pStyle w:val="P68B1DB1-Normal35"/>
              <w:spacing w:after="0" w:line="276" w:lineRule="auto"/>
              <w:rPr>
                <w:rFonts w:ascii="Calibri" w:hAnsi="Calibri"/>
                <w:noProof/>
              </w:rPr>
            </w:pPr>
            <w:r>
              <w:rPr>
                <w:noProof/>
              </w:rPr>
              <w:t>1.3.1.r. Adaptation du système de gestion des catastrophes aux changements climatiques, services de secours et d'intervention rapide</w:t>
            </w:r>
          </w:p>
        </w:tc>
        <w:tc>
          <w:tcPr>
            <w:tcW w:w="1496" w:type="dxa"/>
            <w:shd w:val="clear" w:color="auto" w:fill="C6EFCE"/>
            <w:tcMar>
              <w:left w:w="108" w:type="dxa"/>
              <w:right w:w="108" w:type="dxa"/>
            </w:tcMar>
          </w:tcPr>
          <w:p w14:paraId="548314E2"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43C4FDBD" w14:textId="77777777" w:rsidR="008E6885" w:rsidRDefault="00EA24E7">
            <w:pPr>
              <w:pStyle w:val="P68B1DB1-Normal35"/>
              <w:spacing w:after="0" w:line="276" w:lineRule="auto"/>
              <w:jc w:val="both"/>
              <w:rPr>
                <w:rFonts w:ascii="Calibri" w:hAnsi="Calibri"/>
                <w:noProof/>
              </w:rPr>
            </w:pPr>
            <w:r>
              <w:rPr>
                <w:noProof/>
              </w:rPr>
              <w:t>Publication d ' un rapport sur la mise en œuvre du système de gestion des risques de catastrophe</w:t>
            </w:r>
          </w:p>
        </w:tc>
      </w:tr>
      <w:tr w:rsidR="008E6885" w14:paraId="427D3095" w14:textId="77777777">
        <w:trPr>
          <w:trHeight w:val="300"/>
        </w:trPr>
        <w:tc>
          <w:tcPr>
            <w:tcW w:w="1586" w:type="dxa"/>
            <w:shd w:val="clear" w:color="auto" w:fill="C6EFCE"/>
            <w:tcMar>
              <w:left w:w="108" w:type="dxa"/>
              <w:right w:w="108" w:type="dxa"/>
            </w:tcMar>
            <w:vAlign w:val="center"/>
          </w:tcPr>
          <w:p w14:paraId="7DE83778" w14:textId="77777777" w:rsidR="008E6885" w:rsidRDefault="00EA24E7">
            <w:pPr>
              <w:pStyle w:val="P68B1DB1-Normal35"/>
              <w:spacing w:after="0" w:line="276" w:lineRule="auto"/>
              <w:jc w:val="center"/>
              <w:rPr>
                <w:rFonts w:ascii="Calibri" w:hAnsi="Calibri"/>
                <w:noProof/>
              </w:rPr>
            </w:pPr>
            <w:r>
              <w:rPr>
                <w:noProof/>
              </w:rPr>
              <w:t>27</w:t>
            </w:r>
          </w:p>
        </w:tc>
        <w:tc>
          <w:tcPr>
            <w:tcW w:w="3601" w:type="dxa"/>
            <w:shd w:val="clear" w:color="auto" w:fill="C6EFCE"/>
            <w:tcMar>
              <w:left w:w="108" w:type="dxa"/>
              <w:right w:w="108" w:type="dxa"/>
            </w:tcMar>
          </w:tcPr>
          <w:p w14:paraId="50A4F43F" w14:textId="77777777" w:rsidR="008E6885" w:rsidRDefault="00EA24E7">
            <w:pPr>
              <w:pStyle w:val="P68B1DB1-Normal35"/>
              <w:spacing w:after="0" w:line="276" w:lineRule="auto"/>
              <w:rPr>
                <w:rFonts w:ascii="Calibri" w:hAnsi="Calibri"/>
                <w:noProof/>
              </w:rPr>
            </w:pPr>
            <w:r>
              <w:rPr>
                <w:noProof/>
              </w:rPr>
              <w:t>2.1.1.r. Modernisation des processus et services nationaux et transformation numérique</w:t>
            </w:r>
          </w:p>
        </w:tc>
        <w:tc>
          <w:tcPr>
            <w:tcW w:w="1496" w:type="dxa"/>
            <w:shd w:val="clear" w:color="auto" w:fill="C6EFCE"/>
            <w:tcMar>
              <w:left w:w="108" w:type="dxa"/>
              <w:right w:w="108" w:type="dxa"/>
            </w:tcMar>
          </w:tcPr>
          <w:p w14:paraId="633B0640"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6A6BBEA2" w14:textId="77777777" w:rsidR="008E6885" w:rsidRDefault="00EA24E7">
            <w:pPr>
              <w:pStyle w:val="P68B1DB1-Normal35"/>
              <w:spacing w:after="0" w:line="276" w:lineRule="auto"/>
              <w:jc w:val="both"/>
              <w:rPr>
                <w:rFonts w:ascii="Calibri" w:hAnsi="Calibri"/>
                <w:noProof/>
              </w:rPr>
            </w:pPr>
            <w:r>
              <w:rPr>
                <w:noProof/>
              </w:rPr>
              <w:t>Mise en place d'un cadre pour une gestion unifiée de la gouvernance des activités de développement des TIC dans l'administration publique</w:t>
            </w:r>
          </w:p>
        </w:tc>
      </w:tr>
      <w:tr w:rsidR="008E6885" w14:paraId="65AB4284" w14:textId="77777777">
        <w:trPr>
          <w:trHeight w:val="300"/>
        </w:trPr>
        <w:tc>
          <w:tcPr>
            <w:tcW w:w="1586" w:type="dxa"/>
            <w:shd w:val="clear" w:color="auto" w:fill="C6EFCE"/>
            <w:tcMar>
              <w:left w:w="108" w:type="dxa"/>
              <w:right w:w="108" w:type="dxa"/>
            </w:tcMar>
            <w:vAlign w:val="center"/>
          </w:tcPr>
          <w:p w14:paraId="57BD94E7" w14:textId="77777777" w:rsidR="008E6885" w:rsidRDefault="00EA24E7">
            <w:pPr>
              <w:pStyle w:val="P68B1DB1-Normal35"/>
              <w:spacing w:after="0" w:line="276" w:lineRule="auto"/>
              <w:jc w:val="center"/>
              <w:rPr>
                <w:rFonts w:ascii="Calibri" w:hAnsi="Calibri"/>
                <w:noProof/>
              </w:rPr>
            </w:pPr>
            <w:r>
              <w:rPr>
                <w:noProof/>
              </w:rPr>
              <w:t>28</w:t>
            </w:r>
          </w:p>
        </w:tc>
        <w:tc>
          <w:tcPr>
            <w:tcW w:w="3601" w:type="dxa"/>
            <w:shd w:val="clear" w:color="auto" w:fill="C6EFCE"/>
            <w:tcMar>
              <w:left w:w="108" w:type="dxa"/>
              <w:right w:w="108" w:type="dxa"/>
            </w:tcMar>
          </w:tcPr>
          <w:p w14:paraId="1F06346B" w14:textId="77777777" w:rsidR="008E6885" w:rsidRDefault="00EA24E7">
            <w:pPr>
              <w:pStyle w:val="P68B1DB1-Normal35"/>
              <w:spacing w:after="0" w:line="276" w:lineRule="auto"/>
              <w:rPr>
                <w:rFonts w:ascii="Calibri" w:hAnsi="Calibri"/>
                <w:noProof/>
              </w:rPr>
            </w:pPr>
            <w:r>
              <w:rPr>
                <w:noProof/>
              </w:rPr>
              <w:t>2.1.1.r Modernisation des processus et services nationaux et transformation numérique</w:t>
            </w:r>
          </w:p>
        </w:tc>
        <w:tc>
          <w:tcPr>
            <w:tcW w:w="1496" w:type="dxa"/>
            <w:shd w:val="clear" w:color="auto" w:fill="C6EFCE"/>
            <w:tcMar>
              <w:left w:w="108" w:type="dxa"/>
              <w:right w:w="108" w:type="dxa"/>
            </w:tcMar>
          </w:tcPr>
          <w:p w14:paraId="4C159FD2"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74A128E8" w14:textId="77777777" w:rsidR="008E6885" w:rsidRDefault="00EA24E7">
            <w:pPr>
              <w:pStyle w:val="P68B1DB1-Normal35"/>
              <w:spacing w:after="0" w:line="276" w:lineRule="auto"/>
              <w:jc w:val="both"/>
              <w:rPr>
                <w:rFonts w:ascii="Calibri" w:hAnsi="Calibri"/>
                <w:noProof/>
              </w:rPr>
            </w:pPr>
            <w:r>
              <w:rPr>
                <w:noProof/>
              </w:rPr>
              <w:t>Mise en place d’un cadre normatif pour bénéficier d’un soutien dans le domaine de la transformation numérique des processus et services de l’administration publique</w:t>
            </w:r>
          </w:p>
        </w:tc>
      </w:tr>
      <w:tr w:rsidR="008E6885" w14:paraId="0E1293C5" w14:textId="77777777">
        <w:trPr>
          <w:trHeight w:val="300"/>
        </w:trPr>
        <w:tc>
          <w:tcPr>
            <w:tcW w:w="1586" w:type="dxa"/>
            <w:shd w:val="clear" w:color="auto" w:fill="C6EFCE"/>
            <w:tcMar>
              <w:left w:w="108" w:type="dxa"/>
              <w:right w:w="108" w:type="dxa"/>
            </w:tcMar>
            <w:vAlign w:val="center"/>
          </w:tcPr>
          <w:p w14:paraId="7623B411" w14:textId="77777777" w:rsidR="008E6885" w:rsidRDefault="00EA24E7">
            <w:pPr>
              <w:pStyle w:val="P68B1DB1-Normal35"/>
              <w:spacing w:after="0" w:line="276" w:lineRule="auto"/>
              <w:jc w:val="center"/>
              <w:rPr>
                <w:rFonts w:ascii="Calibri" w:hAnsi="Calibri"/>
                <w:noProof/>
              </w:rPr>
            </w:pPr>
            <w:r>
              <w:rPr>
                <w:noProof/>
              </w:rPr>
              <w:t>31</w:t>
            </w:r>
          </w:p>
        </w:tc>
        <w:tc>
          <w:tcPr>
            <w:tcW w:w="3601" w:type="dxa"/>
            <w:shd w:val="clear" w:color="auto" w:fill="C6EFCE"/>
            <w:tcMar>
              <w:left w:w="108" w:type="dxa"/>
              <w:right w:w="108" w:type="dxa"/>
            </w:tcMar>
          </w:tcPr>
          <w:p w14:paraId="52BFE284" w14:textId="77777777" w:rsidR="008E6885" w:rsidRDefault="00EA24E7">
            <w:pPr>
              <w:pStyle w:val="P68B1DB1-Normal35"/>
              <w:spacing w:after="0" w:line="276" w:lineRule="auto"/>
              <w:rPr>
                <w:rFonts w:ascii="Calibri" w:hAnsi="Calibri"/>
                <w:noProof/>
              </w:rPr>
            </w:pPr>
            <w:r>
              <w:rPr>
                <w:noProof/>
              </w:rPr>
              <w:t>2.1.2.r. Accroître l'efficacité et l'interopérabilité dans l'utilisation des ressources TIC nationales</w:t>
            </w:r>
          </w:p>
        </w:tc>
        <w:tc>
          <w:tcPr>
            <w:tcW w:w="1496" w:type="dxa"/>
            <w:shd w:val="clear" w:color="auto" w:fill="C6EFCE"/>
            <w:tcMar>
              <w:left w:w="108" w:type="dxa"/>
              <w:right w:w="108" w:type="dxa"/>
            </w:tcMar>
          </w:tcPr>
          <w:p w14:paraId="2661C2FD"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0F822002" w14:textId="77777777" w:rsidR="008E6885" w:rsidRDefault="00EA24E7">
            <w:pPr>
              <w:pStyle w:val="P68B1DB1-Normal35"/>
              <w:spacing w:after="0" w:line="276" w:lineRule="auto"/>
              <w:jc w:val="both"/>
              <w:rPr>
                <w:rFonts w:ascii="Calibri" w:hAnsi="Calibri"/>
                <w:noProof/>
              </w:rPr>
            </w:pPr>
            <w:r>
              <w:rPr>
                <w:noProof/>
              </w:rPr>
              <w:t>Établissement du cadre juridique pour bénéficier d'une aide dans le domaine du développement de systèmes centraux et de plates-formes d'administration publique et de la consolidation des services d'infrastructure informatique</w:t>
            </w:r>
          </w:p>
        </w:tc>
      </w:tr>
      <w:tr w:rsidR="008E6885" w14:paraId="258F7C92" w14:textId="77777777">
        <w:trPr>
          <w:trHeight w:val="300"/>
        </w:trPr>
        <w:tc>
          <w:tcPr>
            <w:tcW w:w="1586" w:type="dxa"/>
            <w:shd w:val="clear" w:color="auto" w:fill="C6EFCE"/>
            <w:tcMar>
              <w:left w:w="108" w:type="dxa"/>
              <w:right w:w="108" w:type="dxa"/>
            </w:tcMar>
            <w:vAlign w:val="center"/>
          </w:tcPr>
          <w:p w14:paraId="79BB9207" w14:textId="77777777" w:rsidR="008E6885" w:rsidRDefault="00EA24E7">
            <w:pPr>
              <w:pStyle w:val="P68B1DB1-Normal35"/>
              <w:spacing w:after="0" w:line="276" w:lineRule="auto"/>
              <w:jc w:val="center"/>
              <w:rPr>
                <w:rFonts w:ascii="Calibri" w:hAnsi="Calibri"/>
                <w:noProof/>
              </w:rPr>
            </w:pPr>
            <w:r>
              <w:rPr>
                <w:noProof/>
              </w:rPr>
              <w:t>37</w:t>
            </w:r>
          </w:p>
        </w:tc>
        <w:tc>
          <w:tcPr>
            <w:tcW w:w="3601" w:type="dxa"/>
            <w:shd w:val="clear" w:color="auto" w:fill="C6EFCE"/>
            <w:tcMar>
              <w:left w:w="108" w:type="dxa"/>
              <w:right w:w="108" w:type="dxa"/>
            </w:tcMar>
          </w:tcPr>
          <w:p w14:paraId="2BDE0FDA" w14:textId="77777777" w:rsidR="008E6885" w:rsidRDefault="00EA24E7">
            <w:pPr>
              <w:pStyle w:val="P68B1DB1-Normal35"/>
              <w:spacing w:after="0" w:line="276" w:lineRule="auto"/>
              <w:rPr>
                <w:rFonts w:ascii="Calibri" w:hAnsi="Calibri"/>
                <w:noProof/>
              </w:rPr>
            </w:pPr>
            <w:r>
              <w:rPr>
                <w:noProof/>
              </w:rPr>
              <w:t>2.1.3.r. Développement de l'économie nationale des données économiques et des services numériques</w:t>
            </w:r>
          </w:p>
        </w:tc>
        <w:tc>
          <w:tcPr>
            <w:tcW w:w="1496" w:type="dxa"/>
            <w:shd w:val="clear" w:color="auto" w:fill="C6EFCE"/>
            <w:tcMar>
              <w:left w:w="108" w:type="dxa"/>
              <w:right w:w="108" w:type="dxa"/>
            </w:tcMar>
          </w:tcPr>
          <w:p w14:paraId="0112FB09"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50353DC5" w14:textId="77777777" w:rsidR="008E6885" w:rsidRDefault="00EA24E7">
            <w:pPr>
              <w:pStyle w:val="P68B1DB1-Normal35"/>
              <w:spacing w:after="0" w:line="276" w:lineRule="auto"/>
              <w:jc w:val="both"/>
              <w:rPr>
                <w:rFonts w:ascii="Calibri" w:hAnsi="Calibri"/>
                <w:noProof/>
              </w:rPr>
            </w:pPr>
            <w:r>
              <w:rPr>
                <w:noProof/>
              </w:rPr>
              <w:t>Entrée en vigueur du cadre juridique pour recevoir un soutien dans le domaine de la transformation de la gestion des données économiques</w:t>
            </w:r>
          </w:p>
        </w:tc>
      </w:tr>
      <w:tr w:rsidR="008E6885" w14:paraId="711D0986" w14:textId="77777777">
        <w:trPr>
          <w:trHeight w:val="300"/>
        </w:trPr>
        <w:tc>
          <w:tcPr>
            <w:tcW w:w="1586" w:type="dxa"/>
            <w:shd w:val="clear" w:color="auto" w:fill="C6EFCE"/>
            <w:tcMar>
              <w:left w:w="108" w:type="dxa"/>
              <w:right w:w="108" w:type="dxa"/>
            </w:tcMar>
            <w:vAlign w:val="center"/>
          </w:tcPr>
          <w:p w14:paraId="0CAAAF5B" w14:textId="77777777" w:rsidR="008E6885" w:rsidRDefault="00EA24E7">
            <w:pPr>
              <w:pStyle w:val="P68B1DB1-Normal35"/>
              <w:spacing w:after="0" w:line="276" w:lineRule="auto"/>
              <w:jc w:val="center"/>
              <w:rPr>
                <w:rFonts w:ascii="Calibri" w:hAnsi="Calibri"/>
                <w:noProof/>
              </w:rPr>
            </w:pPr>
            <w:r>
              <w:rPr>
                <w:noProof/>
              </w:rPr>
              <w:t>40</w:t>
            </w:r>
          </w:p>
        </w:tc>
        <w:tc>
          <w:tcPr>
            <w:tcW w:w="3601" w:type="dxa"/>
            <w:shd w:val="clear" w:color="auto" w:fill="C6EFCE"/>
            <w:tcMar>
              <w:left w:w="108" w:type="dxa"/>
              <w:right w:w="108" w:type="dxa"/>
            </w:tcMar>
          </w:tcPr>
          <w:p w14:paraId="0B15E006" w14:textId="77777777" w:rsidR="008E6885" w:rsidRDefault="00EA24E7">
            <w:pPr>
              <w:pStyle w:val="P68B1DB1-Normal35"/>
              <w:spacing w:after="0" w:line="276" w:lineRule="auto"/>
              <w:rPr>
                <w:rFonts w:ascii="Calibri" w:hAnsi="Calibri"/>
                <w:noProof/>
              </w:rPr>
            </w:pPr>
            <w:r>
              <w:rPr>
                <w:noProof/>
              </w:rPr>
              <w:t>2.2.1.r. Créer le cycle complet de soutien à la transformation numérique des entreprises avec une couverture régionale</w:t>
            </w:r>
          </w:p>
        </w:tc>
        <w:tc>
          <w:tcPr>
            <w:tcW w:w="1496" w:type="dxa"/>
            <w:shd w:val="clear" w:color="auto" w:fill="C6EFCE"/>
            <w:tcMar>
              <w:left w:w="108" w:type="dxa"/>
              <w:right w:w="108" w:type="dxa"/>
            </w:tcMar>
          </w:tcPr>
          <w:p w14:paraId="613FEEDD"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6CBB8653" w14:textId="530AF49A" w:rsidR="008E6885" w:rsidRDefault="00EA24E7">
            <w:pPr>
              <w:pStyle w:val="P68B1DB1-Normal35"/>
              <w:spacing w:after="0" w:line="276" w:lineRule="auto"/>
              <w:jc w:val="both"/>
              <w:rPr>
                <w:rFonts w:ascii="Calibri" w:hAnsi="Calibri"/>
                <w:noProof/>
              </w:rPr>
            </w:pPr>
            <w:r>
              <w:rPr>
                <w:noProof/>
              </w:rPr>
              <w:t>Le pôle européen d’innovation numérique (EDIH) a été créé</w:t>
            </w:r>
          </w:p>
        </w:tc>
      </w:tr>
      <w:tr w:rsidR="008E6885" w14:paraId="22C8DB48" w14:textId="77777777">
        <w:trPr>
          <w:trHeight w:val="300"/>
        </w:trPr>
        <w:tc>
          <w:tcPr>
            <w:tcW w:w="1586" w:type="dxa"/>
            <w:shd w:val="clear" w:color="auto" w:fill="C6EFCE"/>
            <w:tcMar>
              <w:left w:w="108" w:type="dxa"/>
              <w:right w:w="108" w:type="dxa"/>
            </w:tcMar>
            <w:vAlign w:val="center"/>
          </w:tcPr>
          <w:p w14:paraId="02033EC3" w14:textId="77777777" w:rsidR="008E6885" w:rsidRDefault="00EA24E7">
            <w:pPr>
              <w:pStyle w:val="P68B1DB1-Normal35"/>
              <w:spacing w:after="0" w:line="276" w:lineRule="auto"/>
              <w:jc w:val="center"/>
              <w:rPr>
                <w:rFonts w:ascii="Calibri" w:hAnsi="Calibri"/>
                <w:noProof/>
              </w:rPr>
            </w:pPr>
            <w:r>
              <w:rPr>
                <w:noProof/>
              </w:rPr>
              <w:t>41</w:t>
            </w:r>
          </w:p>
        </w:tc>
        <w:tc>
          <w:tcPr>
            <w:tcW w:w="3601" w:type="dxa"/>
            <w:shd w:val="clear" w:color="auto" w:fill="C6EFCE"/>
            <w:tcMar>
              <w:left w:w="108" w:type="dxa"/>
              <w:right w:w="108" w:type="dxa"/>
            </w:tcMar>
          </w:tcPr>
          <w:p w14:paraId="518B73AA" w14:textId="77777777" w:rsidR="008E6885" w:rsidRDefault="00EA24E7">
            <w:pPr>
              <w:pStyle w:val="P68B1DB1-Normal35"/>
              <w:spacing w:after="0" w:line="276" w:lineRule="auto"/>
              <w:rPr>
                <w:rFonts w:ascii="Calibri" w:hAnsi="Calibri"/>
                <w:noProof/>
              </w:rPr>
            </w:pPr>
            <w:r>
              <w:rPr>
                <w:noProof/>
              </w:rPr>
              <w:t>2.2.1.r. Créer le cycle complet de soutien à la transformation numérique des entreprises avec une couverture régionale</w:t>
            </w:r>
          </w:p>
        </w:tc>
        <w:tc>
          <w:tcPr>
            <w:tcW w:w="1496" w:type="dxa"/>
            <w:shd w:val="clear" w:color="auto" w:fill="C6EFCE"/>
            <w:tcMar>
              <w:left w:w="108" w:type="dxa"/>
              <w:right w:w="108" w:type="dxa"/>
            </w:tcMar>
          </w:tcPr>
          <w:p w14:paraId="6DE11CC5"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7019A481" w14:textId="77777777" w:rsidR="008E6885" w:rsidRDefault="00EA24E7">
            <w:pPr>
              <w:pStyle w:val="P68B1DB1-Normal35"/>
              <w:spacing w:after="0" w:line="276" w:lineRule="auto"/>
              <w:jc w:val="both"/>
              <w:rPr>
                <w:rFonts w:ascii="Calibri" w:hAnsi="Calibri"/>
                <w:noProof/>
              </w:rPr>
            </w:pPr>
            <w:r>
              <w:rPr>
                <w:noProof/>
              </w:rPr>
              <w:t xml:space="preserve">Les centres régionaux de soutien aux entreprises fournissent de nouvelles fonctions de soutien à la transformation numérique </w:t>
            </w:r>
          </w:p>
        </w:tc>
      </w:tr>
      <w:tr w:rsidR="008E6885" w14:paraId="5435D646" w14:textId="77777777">
        <w:trPr>
          <w:trHeight w:val="300"/>
        </w:trPr>
        <w:tc>
          <w:tcPr>
            <w:tcW w:w="1586" w:type="dxa"/>
            <w:shd w:val="clear" w:color="auto" w:fill="C6EFCE"/>
            <w:tcMar>
              <w:left w:w="108" w:type="dxa"/>
              <w:right w:w="108" w:type="dxa"/>
            </w:tcMar>
            <w:vAlign w:val="center"/>
          </w:tcPr>
          <w:p w14:paraId="0E911AB9" w14:textId="77777777" w:rsidR="008E6885" w:rsidRDefault="00EA24E7">
            <w:pPr>
              <w:pStyle w:val="P68B1DB1-Normal35"/>
              <w:spacing w:after="0" w:line="276" w:lineRule="auto"/>
              <w:jc w:val="center"/>
              <w:rPr>
                <w:rFonts w:ascii="Calibri" w:hAnsi="Calibri"/>
                <w:noProof/>
              </w:rPr>
            </w:pPr>
            <w:r>
              <w:rPr>
                <w:noProof/>
              </w:rPr>
              <w:t>42</w:t>
            </w:r>
          </w:p>
        </w:tc>
        <w:tc>
          <w:tcPr>
            <w:tcW w:w="3601" w:type="dxa"/>
            <w:shd w:val="clear" w:color="auto" w:fill="C6EFCE"/>
            <w:tcMar>
              <w:left w:w="108" w:type="dxa"/>
              <w:right w:w="108" w:type="dxa"/>
            </w:tcMar>
          </w:tcPr>
          <w:p w14:paraId="6FBADC35" w14:textId="77777777" w:rsidR="008E6885" w:rsidRDefault="00EA24E7">
            <w:pPr>
              <w:pStyle w:val="P68B1DB1-Normal35"/>
              <w:spacing w:after="0" w:line="276" w:lineRule="auto"/>
              <w:rPr>
                <w:rFonts w:ascii="Calibri" w:hAnsi="Calibri"/>
                <w:noProof/>
              </w:rPr>
            </w:pPr>
            <w:r>
              <w:rPr>
                <w:noProof/>
              </w:rPr>
              <w:t>2.2.1.r. Créer le cycle complet de soutien à la transformation numérique des entreprises avec une couverture régionale</w:t>
            </w:r>
          </w:p>
        </w:tc>
        <w:tc>
          <w:tcPr>
            <w:tcW w:w="1496" w:type="dxa"/>
            <w:shd w:val="clear" w:color="auto" w:fill="C6EFCE"/>
            <w:tcMar>
              <w:left w:w="108" w:type="dxa"/>
              <w:right w:w="108" w:type="dxa"/>
            </w:tcMar>
          </w:tcPr>
          <w:p w14:paraId="6E9ED583"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5E71F0F5" w14:textId="77777777" w:rsidR="008E6885" w:rsidRDefault="00EA24E7">
            <w:pPr>
              <w:pStyle w:val="P68B1DB1-Normal35"/>
              <w:spacing w:after="0" w:line="276" w:lineRule="auto"/>
              <w:jc w:val="both"/>
              <w:rPr>
                <w:rFonts w:ascii="Calibri" w:hAnsi="Calibri"/>
                <w:noProof/>
              </w:rPr>
            </w:pPr>
            <w:r>
              <w:rPr>
                <w:noProof/>
              </w:rPr>
              <w:t>Mise en place d’un système de test de maturité numérique pour les entités afin d’identifier les actions nécessaires aux entités et le soutien de l’État</w:t>
            </w:r>
          </w:p>
        </w:tc>
      </w:tr>
      <w:tr w:rsidR="008E6885" w14:paraId="19D29BF6" w14:textId="77777777">
        <w:trPr>
          <w:trHeight w:val="300"/>
        </w:trPr>
        <w:tc>
          <w:tcPr>
            <w:tcW w:w="1586" w:type="dxa"/>
            <w:shd w:val="clear" w:color="auto" w:fill="C6EFCE"/>
            <w:tcMar>
              <w:left w:w="108" w:type="dxa"/>
              <w:right w:w="108" w:type="dxa"/>
            </w:tcMar>
            <w:vAlign w:val="center"/>
          </w:tcPr>
          <w:p w14:paraId="306A0B28" w14:textId="77777777" w:rsidR="008E6885" w:rsidRDefault="00EA24E7">
            <w:pPr>
              <w:pStyle w:val="P68B1DB1-Normal35"/>
              <w:spacing w:after="0" w:line="276" w:lineRule="auto"/>
              <w:jc w:val="center"/>
              <w:rPr>
                <w:rFonts w:ascii="Calibri" w:hAnsi="Calibri"/>
                <w:noProof/>
              </w:rPr>
            </w:pPr>
            <w:r>
              <w:rPr>
                <w:noProof/>
              </w:rPr>
              <w:t>69</w:t>
            </w:r>
          </w:p>
        </w:tc>
        <w:tc>
          <w:tcPr>
            <w:tcW w:w="3601" w:type="dxa"/>
            <w:shd w:val="clear" w:color="auto" w:fill="C6EFCE"/>
            <w:tcMar>
              <w:left w:w="108" w:type="dxa"/>
              <w:right w:w="108" w:type="dxa"/>
            </w:tcMar>
          </w:tcPr>
          <w:p w14:paraId="6F3ABB32" w14:textId="77777777" w:rsidR="008E6885" w:rsidRDefault="00EA24E7">
            <w:pPr>
              <w:pStyle w:val="P68B1DB1-Normal35"/>
              <w:spacing w:after="0" w:line="276" w:lineRule="auto"/>
              <w:rPr>
                <w:rFonts w:ascii="Calibri" w:hAnsi="Calibri"/>
                <w:noProof/>
              </w:rPr>
            </w:pPr>
            <w:r>
              <w:rPr>
                <w:noProof/>
              </w:rPr>
              <w:t>2.3.2.r. Compétences numériques pour la transformation numérique de la société et des pouvoirs publics</w:t>
            </w:r>
          </w:p>
        </w:tc>
        <w:tc>
          <w:tcPr>
            <w:tcW w:w="1496" w:type="dxa"/>
            <w:shd w:val="clear" w:color="auto" w:fill="C6EFCE"/>
            <w:tcMar>
              <w:left w:w="108" w:type="dxa"/>
              <w:right w:w="108" w:type="dxa"/>
            </w:tcMar>
          </w:tcPr>
          <w:p w14:paraId="3B2C59D0"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2F7E42BA" w14:textId="77777777" w:rsidR="008E6885" w:rsidRDefault="00EA24E7">
            <w:pPr>
              <w:pStyle w:val="P68B1DB1-Normal35"/>
              <w:spacing w:after="0" w:line="276" w:lineRule="auto"/>
              <w:jc w:val="both"/>
              <w:rPr>
                <w:rFonts w:ascii="Calibri" w:hAnsi="Calibri"/>
                <w:noProof/>
              </w:rPr>
            </w:pPr>
            <w:r>
              <w:rPr>
                <w:noProof/>
              </w:rPr>
              <w:t>Le cadre normatif renforce et met en œuvre un cadre commun pour l’évaluation des compétences numériques de base, l’identification et la planification des besoins de formation et l’évaluation</w:t>
            </w:r>
          </w:p>
        </w:tc>
      </w:tr>
      <w:tr w:rsidR="008E6885" w14:paraId="16835B80" w14:textId="77777777">
        <w:trPr>
          <w:trHeight w:val="300"/>
        </w:trPr>
        <w:tc>
          <w:tcPr>
            <w:tcW w:w="1586" w:type="dxa"/>
            <w:shd w:val="clear" w:color="auto" w:fill="C6EFCE"/>
            <w:tcMar>
              <w:left w:w="108" w:type="dxa"/>
              <w:right w:w="108" w:type="dxa"/>
            </w:tcMar>
            <w:vAlign w:val="center"/>
          </w:tcPr>
          <w:p w14:paraId="3FB5DD4C" w14:textId="77777777" w:rsidR="008E6885" w:rsidRDefault="00EA24E7">
            <w:pPr>
              <w:pStyle w:val="P68B1DB1-Normal35"/>
              <w:spacing w:after="0" w:line="276" w:lineRule="auto"/>
              <w:jc w:val="center"/>
              <w:rPr>
                <w:rFonts w:ascii="Calibri" w:hAnsi="Calibri"/>
                <w:noProof/>
              </w:rPr>
            </w:pPr>
            <w:r>
              <w:rPr>
                <w:noProof/>
              </w:rPr>
              <w:t>70</w:t>
            </w:r>
          </w:p>
        </w:tc>
        <w:tc>
          <w:tcPr>
            <w:tcW w:w="3601" w:type="dxa"/>
            <w:shd w:val="clear" w:color="auto" w:fill="C6EFCE"/>
            <w:tcMar>
              <w:left w:w="108" w:type="dxa"/>
              <w:right w:w="108" w:type="dxa"/>
            </w:tcMar>
          </w:tcPr>
          <w:p w14:paraId="3EF7778A" w14:textId="77777777" w:rsidR="008E6885" w:rsidRDefault="00EA24E7">
            <w:pPr>
              <w:pStyle w:val="P68B1DB1-Normal35"/>
              <w:spacing w:after="0" w:line="276" w:lineRule="auto"/>
              <w:rPr>
                <w:rFonts w:ascii="Calibri" w:hAnsi="Calibri"/>
                <w:noProof/>
              </w:rPr>
            </w:pPr>
            <w:r>
              <w:rPr>
                <w:noProof/>
              </w:rPr>
              <w:t>2.3.2.r. Compétences numériques pour la transformation numérique de la société et des pouvoirs publics</w:t>
            </w:r>
          </w:p>
        </w:tc>
        <w:tc>
          <w:tcPr>
            <w:tcW w:w="1496" w:type="dxa"/>
            <w:shd w:val="clear" w:color="auto" w:fill="C6EFCE"/>
            <w:tcMar>
              <w:left w:w="108" w:type="dxa"/>
              <w:right w:w="108" w:type="dxa"/>
            </w:tcMar>
          </w:tcPr>
          <w:p w14:paraId="36B1B530"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5A80B3EC" w14:textId="77777777" w:rsidR="008E6885" w:rsidRDefault="00EA24E7">
            <w:pPr>
              <w:pStyle w:val="P68B1DB1-Normal35"/>
              <w:spacing w:after="0" w:line="276" w:lineRule="auto"/>
              <w:jc w:val="both"/>
              <w:rPr>
                <w:rFonts w:ascii="Calibri" w:hAnsi="Calibri"/>
                <w:noProof/>
              </w:rPr>
            </w:pPr>
            <w:r>
              <w:rPr>
                <w:noProof/>
              </w:rPr>
              <w:t xml:space="preserve">Des modifications sont entrées en vigueur dans les actes normatifs relatifs aux normes nationales en matière d’enseignement supérieur, prévoyant la réalisation des résultats des études sur les compétences numériques aux niveaux correspondants du cadre letton des certifications. </w:t>
            </w:r>
          </w:p>
        </w:tc>
      </w:tr>
      <w:tr w:rsidR="008E6885" w14:paraId="1BEBB8FC" w14:textId="77777777">
        <w:trPr>
          <w:trHeight w:val="300"/>
        </w:trPr>
        <w:tc>
          <w:tcPr>
            <w:tcW w:w="1586" w:type="dxa"/>
            <w:shd w:val="clear" w:color="auto" w:fill="C6EFCE"/>
            <w:tcMar>
              <w:left w:w="108" w:type="dxa"/>
              <w:right w:w="108" w:type="dxa"/>
            </w:tcMar>
            <w:vAlign w:val="center"/>
          </w:tcPr>
          <w:p w14:paraId="4859ED27" w14:textId="77777777" w:rsidR="008E6885" w:rsidRDefault="00EA24E7">
            <w:pPr>
              <w:pStyle w:val="P68B1DB1-Normal35"/>
              <w:spacing w:after="0" w:line="276" w:lineRule="auto"/>
              <w:jc w:val="center"/>
              <w:rPr>
                <w:rFonts w:ascii="Calibri" w:hAnsi="Calibri"/>
                <w:noProof/>
              </w:rPr>
            </w:pPr>
            <w:r>
              <w:rPr>
                <w:noProof/>
              </w:rPr>
              <w:t>85</w:t>
            </w:r>
          </w:p>
        </w:tc>
        <w:tc>
          <w:tcPr>
            <w:tcW w:w="3601" w:type="dxa"/>
            <w:shd w:val="clear" w:color="auto" w:fill="C6EFCE"/>
            <w:tcMar>
              <w:left w:w="108" w:type="dxa"/>
              <w:right w:w="108" w:type="dxa"/>
            </w:tcMar>
          </w:tcPr>
          <w:p w14:paraId="3CEBDF17" w14:textId="77777777" w:rsidR="008E6885" w:rsidRDefault="00EA24E7">
            <w:pPr>
              <w:pStyle w:val="P68B1DB1-Normal35"/>
              <w:spacing w:after="0" w:line="276" w:lineRule="auto"/>
              <w:rPr>
                <w:rFonts w:ascii="Calibri" w:hAnsi="Calibri"/>
                <w:noProof/>
              </w:rPr>
            </w:pPr>
            <w:r>
              <w:rPr>
                <w:noProof/>
              </w:rPr>
              <w:t xml:space="preserve">3.1.1.1.i. Amélioration du réseau routier régional et local </w:t>
            </w:r>
          </w:p>
        </w:tc>
        <w:tc>
          <w:tcPr>
            <w:tcW w:w="1496" w:type="dxa"/>
            <w:shd w:val="clear" w:color="auto" w:fill="C6EFCE"/>
            <w:tcMar>
              <w:left w:w="108" w:type="dxa"/>
              <w:right w:w="108" w:type="dxa"/>
            </w:tcMar>
          </w:tcPr>
          <w:p w14:paraId="3FDA3ABD" w14:textId="30A71B03" w:rsidR="008E6885" w:rsidRDefault="00EA24E7">
            <w:pPr>
              <w:pStyle w:val="P68B1DB1-Normal35"/>
              <w:spacing w:after="0" w:line="276" w:lineRule="auto"/>
              <w:jc w:val="center"/>
              <w:rPr>
                <w:rFonts w:ascii="Calibri" w:hAnsi="Calibri"/>
                <w:noProof/>
              </w:rPr>
            </w:pPr>
            <w:r>
              <w:rPr>
                <w:noProof/>
              </w:rPr>
              <w:t>Objectif</w:t>
            </w:r>
          </w:p>
        </w:tc>
        <w:tc>
          <w:tcPr>
            <w:tcW w:w="2947" w:type="dxa"/>
            <w:shd w:val="clear" w:color="auto" w:fill="C6EFCE"/>
            <w:tcMar>
              <w:left w:w="108" w:type="dxa"/>
              <w:right w:w="108" w:type="dxa"/>
            </w:tcMar>
          </w:tcPr>
          <w:p w14:paraId="320C4625" w14:textId="77777777" w:rsidR="008E6885" w:rsidRDefault="00EA24E7">
            <w:pPr>
              <w:pStyle w:val="P68B1DB1-Normal35"/>
              <w:spacing w:after="0" w:line="276" w:lineRule="auto"/>
              <w:jc w:val="both"/>
              <w:rPr>
                <w:rFonts w:ascii="Calibri" w:hAnsi="Calibri"/>
                <w:noProof/>
              </w:rPr>
            </w:pPr>
            <w:r>
              <w:rPr>
                <w:noProof/>
              </w:rPr>
              <w:t xml:space="preserve">Rénovation ou reconstruction des routes régionales et locales pour l’accessibilité en toute sécurité des centres administratifs de comté, de leurs services et de leurs emplois, et pour le plein fonctionnement des nouvelles municipalités </w:t>
            </w:r>
          </w:p>
        </w:tc>
      </w:tr>
      <w:tr w:rsidR="008E6885" w14:paraId="0491B281" w14:textId="77777777">
        <w:trPr>
          <w:trHeight w:val="300"/>
        </w:trPr>
        <w:tc>
          <w:tcPr>
            <w:tcW w:w="1586" w:type="dxa"/>
            <w:shd w:val="clear" w:color="auto" w:fill="C6EFCE"/>
            <w:tcMar>
              <w:left w:w="108" w:type="dxa"/>
              <w:right w:w="108" w:type="dxa"/>
            </w:tcMar>
            <w:vAlign w:val="center"/>
          </w:tcPr>
          <w:p w14:paraId="3D245039" w14:textId="77777777" w:rsidR="008E6885" w:rsidRDefault="00EA24E7">
            <w:pPr>
              <w:pStyle w:val="P68B1DB1-Normal35"/>
              <w:spacing w:after="0" w:line="276" w:lineRule="auto"/>
              <w:jc w:val="center"/>
              <w:rPr>
                <w:rFonts w:ascii="Calibri" w:hAnsi="Calibri"/>
                <w:noProof/>
              </w:rPr>
            </w:pPr>
            <w:r>
              <w:rPr>
                <w:noProof/>
              </w:rPr>
              <w:t>89</w:t>
            </w:r>
          </w:p>
        </w:tc>
        <w:tc>
          <w:tcPr>
            <w:tcW w:w="3601" w:type="dxa"/>
            <w:shd w:val="clear" w:color="auto" w:fill="C6EFCE"/>
            <w:tcMar>
              <w:left w:w="108" w:type="dxa"/>
              <w:right w:w="108" w:type="dxa"/>
            </w:tcMar>
          </w:tcPr>
          <w:p w14:paraId="352668C9" w14:textId="6656AACF" w:rsidR="008E6885" w:rsidRDefault="00EA24E7">
            <w:pPr>
              <w:pStyle w:val="P68B1DB1-Normal35"/>
              <w:spacing w:after="0" w:line="276" w:lineRule="auto"/>
              <w:rPr>
                <w:rFonts w:ascii="Calibri" w:hAnsi="Calibri"/>
                <w:noProof/>
              </w:rPr>
            </w:pPr>
            <w:r>
              <w:rPr>
                <w:noProof/>
              </w:rPr>
              <w:t>3.1.1.2.i. Renforcer la capacité des municipalités à améliorer l'efficacité et la qualité des services</w:t>
            </w:r>
          </w:p>
        </w:tc>
        <w:tc>
          <w:tcPr>
            <w:tcW w:w="1496" w:type="dxa"/>
            <w:shd w:val="clear" w:color="auto" w:fill="C6EFCE"/>
            <w:tcMar>
              <w:left w:w="108" w:type="dxa"/>
              <w:right w:w="108" w:type="dxa"/>
            </w:tcMar>
          </w:tcPr>
          <w:p w14:paraId="1D8EA4D6" w14:textId="15C40C7F"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045679F7" w14:textId="77777777" w:rsidR="008E6885" w:rsidRDefault="00EA24E7">
            <w:pPr>
              <w:pStyle w:val="P68B1DB1-Normal35"/>
              <w:spacing w:after="0" w:line="276" w:lineRule="auto"/>
              <w:jc w:val="both"/>
              <w:rPr>
                <w:rFonts w:ascii="Calibri" w:hAnsi="Calibri"/>
                <w:noProof/>
              </w:rPr>
            </w:pPr>
            <w:r>
              <w:rPr>
                <w:noProof/>
              </w:rPr>
              <w:t xml:space="preserve">La base juridique pour la mise en œuvre du soutien au renforcement des capacités des collectivités locales a été adoptée. </w:t>
            </w:r>
          </w:p>
        </w:tc>
      </w:tr>
      <w:tr w:rsidR="008E6885" w14:paraId="55434236" w14:textId="77777777">
        <w:trPr>
          <w:trHeight w:val="300"/>
        </w:trPr>
        <w:tc>
          <w:tcPr>
            <w:tcW w:w="1586" w:type="dxa"/>
            <w:shd w:val="clear" w:color="auto" w:fill="C6EFCE"/>
            <w:tcMar>
              <w:left w:w="108" w:type="dxa"/>
              <w:right w:w="108" w:type="dxa"/>
            </w:tcMar>
            <w:vAlign w:val="center"/>
          </w:tcPr>
          <w:p w14:paraId="6479B40F" w14:textId="77777777" w:rsidR="008E6885" w:rsidRDefault="00EA24E7">
            <w:pPr>
              <w:pStyle w:val="P68B1DB1-Normal35"/>
              <w:spacing w:after="0" w:line="276" w:lineRule="auto"/>
              <w:jc w:val="center"/>
              <w:rPr>
                <w:rFonts w:ascii="Calibri" w:hAnsi="Calibri"/>
                <w:noProof/>
              </w:rPr>
            </w:pPr>
            <w:r>
              <w:rPr>
                <w:noProof/>
              </w:rPr>
              <w:t>93</w:t>
            </w:r>
          </w:p>
        </w:tc>
        <w:tc>
          <w:tcPr>
            <w:tcW w:w="3601" w:type="dxa"/>
            <w:shd w:val="clear" w:color="auto" w:fill="C6EFCE"/>
            <w:tcMar>
              <w:left w:w="108" w:type="dxa"/>
              <w:right w:w="108" w:type="dxa"/>
            </w:tcMar>
          </w:tcPr>
          <w:p w14:paraId="2BFDA24E" w14:textId="77777777" w:rsidR="008E6885" w:rsidRDefault="00EA24E7">
            <w:pPr>
              <w:pStyle w:val="P68B1DB1-Normal35"/>
              <w:spacing w:after="0" w:line="276" w:lineRule="auto"/>
              <w:rPr>
                <w:rFonts w:ascii="Calibri" w:hAnsi="Calibri"/>
                <w:noProof/>
              </w:rPr>
            </w:pPr>
            <w:r>
              <w:rPr>
                <w:noProof/>
              </w:rPr>
              <w:t xml:space="preserve">3.1.1.3.i. Investissements dans les infrastructures publiques pour le développement de parcs industriels dans les régions </w:t>
            </w:r>
          </w:p>
        </w:tc>
        <w:tc>
          <w:tcPr>
            <w:tcW w:w="1496" w:type="dxa"/>
            <w:shd w:val="clear" w:color="auto" w:fill="C6EFCE"/>
            <w:tcMar>
              <w:left w:w="108" w:type="dxa"/>
              <w:right w:w="108" w:type="dxa"/>
            </w:tcMar>
          </w:tcPr>
          <w:p w14:paraId="3C4851AB" w14:textId="1D2025C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3D71E3F7" w14:textId="25E3B280" w:rsidR="008E6885" w:rsidRDefault="00EA24E7">
            <w:pPr>
              <w:pStyle w:val="P68B1DB1-Normal35"/>
              <w:spacing w:after="0" w:line="276" w:lineRule="auto"/>
              <w:jc w:val="both"/>
              <w:rPr>
                <w:rFonts w:ascii="Calibri" w:hAnsi="Calibri"/>
                <w:noProof/>
              </w:rPr>
            </w:pPr>
            <w:r>
              <w:rPr>
                <w:noProof/>
              </w:rPr>
              <w:t>Adoption d'un programme d'appui au développement des parcs industriels et des territoires dans les régions</w:t>
            </w:r>
          </w:p>
        </w:tc>
      </w:tr>
      <w:tr w:rsidR="008E6885" w14:paraId="022A703F" w14:textId="77777777">
        <w:trPr>
          <w:trHeight w:val="300"/>
        </w:trPr>
        <w:tc>
          <w:tcPr>
            <w:tcW w:w="1586" w:type="dxa"/>
            <w:shd w:val="clear" w:color="auto" w:fill="C6EFCE"/>
            <w:tcMar>
              <w:left w:w="108" w:type="dxa"/>
              <w:right w:w="108" w:type="dxa"/>
            </w:tcMar>
            <w:vAlign w:val="center"/>
          </w:tcPr>
          <w:p w14:paraId="104FF666" w14:textId="77777777" w:rsidR="008E6885" w:rsidRDefault="00EA24E7">
            <w:pPr>
              <w:pStyle w:val="P68B1DB1-Normal35"/>
              <w:spacing w:after="0" w:line="276" w:lineRule="auto"/>
              <w:jc w:val="center"/>
              <w:rPr>
                <w:rFonts w:ascii="Calibri" w:hAnsi="Calibri"/>
                <w:noProof/>
              </w:rPr>
            </w:pPr>
            <w:r>
              <w:rPr>
                <w:noProof/>
              </w:rPr>
              <w:t>99</w:t>
            </w:r>
          </w:p>
        </w:tc>
        <w:tc>
          <w:tcPr>
            <w:tcW w:w="3601" w:type="dxa"/>
            <w:shd w:val="clear" w:color="auto" w:fill="C6EFCE"/>
            <w:tcMar>
              <w:left w:w="108" w:type="dxa"/>
              <w:right w:w="108" w:type="dxa"/>
            </w:tcMar>
          </w:tcPr>
          <w:p w14:paraId="66AC664B" w14:textId="77777777" w:rsidR="008E6885" w:rsidRDefault="00EA24E7">
            <w:pPr>
              <w:pStyle w:val="P68B1DB1-Normal35"/>
              <w:spacing w:after="0" w:line="276" w:lineRule="auto"/>
              <w:rPr>
                <w:rFonts w:ascii="Calibri" w:hAnsi="Calibri"/>
                <w:noProof/>
              </w:rPr>
            </w:pPr>
            <w:r>
              <w:rPr>
                <w:noProof/>
              </w:rPr>
              <w:t xml:space="preserve">3.1.1.4.i. Création d'un fonds de financement pour la construction de logements à loyer modique </w:t>
            </w:r>
          </w:p>
        </w:tc>
        <w:tc>
          <w:tcPr>
            <w:tcW w:w="1496" w:type="dxa"/>
            <w:shd w:val="clear" w:color="auto" w:fill="C6EFCE"/>
            <w:tcMar>
              <w:left w:w="108" w:type="dxa"/>
              <w:right w:w="108" w:type="dxa"/>
            </w:tcMar>
          </w:tcPr>
          <w:p w14:paraId="7EDD30C5" w14:textId="7555FB43"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06A4FA7E" w14:textId="77777777" w:rsidR="008E6885" w:rsidRDefault="00EA24E7">
            <w:pPr>
              <w:pStyle w:val="P68B1DB1-Normal35"/>
              <w:spacing w:after="0" w:line="276" w:lineRule="auto"/>
              <w:jc w:val="both"/>
              <w:rPr>
                <w:rFonts w:ascii="Calibri" w:hAnsi="Calibri"/>
                <w:noProof/>
              </w:rPr>
            </w:pPr>
            <w:r>
              <w:rPr>
                <w:noProof/>
              </w:rPr>
              <w:t>Adoption d'une stratégie d'abordabilité du logement</w:t>
            </w:r>
          </w:p>
        </w:tc>
      </w:tr>
      <w:tr w:rsidR="008E6885" w14:paraId="1E50E477" w14:textId="77777777">
        <w:trPr>
          <w:trHeight w:val="300"/>
        </w:trPr>
        <w:tc>
          <w:tcPr>
            <w:tcW w:w="1586" w:type="dxa"/>
            <w:shd w:val="clear" w:color="auto" w:fill="C6EFCE"/>
            <w:tcMar>
              <w:left w:w="108" w:type="dxa"/>
              <w:right w:w="108" w:type="dxa"/>
            </w:tcMar>
            <w:vAlign w:val="center"/>
          </w:tcPr>
          <w:p w14:paraId="3120C467" w14:textId="77777777" w:rsidR="008E6885" w:rsidRDefault="00EA24E7">
            <w:pPr>
              <w:pStyle w:val="P68B1DB1-Normal35"/>
              <w:spacing w:after="0" w:line="276" w:lineRule="auto"/>
              <w:jc w:val="center"/>
              <w:rPr>
                <w:rFonts w:ascii="Calibri" w:hAnsi="Calibri"/>
                <w:noProof/>
              </w:rPr>
            </w:pPr>
            <w:r>
              <w:rPr>
                <w:noProof/>
              </w:rPr>
              <w:t>100</w:t>
            </w:r>
          </w:p>
        </w:tc>
        <w:tc>
          <w:tcPr>
            <w:tcW w:w="3601" w:type="dxa"/>
            <w:shd w:val="clear" w:color="auto" w:fill="C6EFCE"/>
            <w:tcMar>
              <w:left w:w="108" w:type="dxa"/>
              <w:right w:w="108" w:type="dxa"/>
            </w:tcMar>
          </w:tcPr>
          <w:p w14:paraId="511B8101" w14:textId="77777777" w:rsidR="008E6885" w:rsidRDefault="00EA24E7">
            <w:pPr>
              <w:pStyle w:val="P68B1DB1-Normal35"/>
              <w:spacing w:after="0" w:line="276" w:lineRule="auto"/>
              <w:rPr>
                <w:rFonts w:ascii="Calibri" w:hAnsi="Calibri"/>
                <w:noProof/>
              </w:rPr>
            </w:pPr>
            <w:r>
              <w:rPr>
                <w:noProof/>
              </w:rPr>
              <w:t xml:space="preserve">3.1.1.4.i. Création d'un fonds de financement pour la construction de logements à loyer modique </w:t>
            </w:r>
          </w:p>
        </w:tc>
        <w:tc>
          <w:tcPr>
            <w:tcW w:w="1496" w:type="dxa"/>
            <w:shd w:val="clear" w:color="auto" w:fill="C6EFCE"/>
            <w:tcMar>
              <w:left w:w="108" w:type="dxa"/>
              <w:right w:w="108" w:type="dxa"/>
            </w:tcMar>
          </w:tcPr>
          <w:p w14:paraId="2730EF30" w14:textId="7E952D7A"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1B54C687" w14:textId="77777777" w:rsidR="008E6885" w:rsidRDefault="00EA24E7">
            <w:pPr>
              <w:pStyle w:val="P68B1DB1-Normal35"/>
              <w:spacing w:after="0" w:line="276" w:lineRule="auto"/>
              <w:jc w:val="both"/>
              <w:rPr>
                <w:rFonts w:ascii="Calibri" w:hAnsi="Calibri"/>
                <w:noProof/>
              </w:rPr>
            </w:pPr>
            <w:r>
              <w:rPr>
                <w:noProof/>
              </w:rPr>
              <w:t xml:space="preserve">Réglementation gouvernementale sur la construction de logements à loyer modique </w:t>
            </w:r>
          </w:p>
        </w:tc>
      </w:tr>
      <w:tr w:rsidR="008E6885" w14:paraId="71E77C4A" w14:textId="77777777">
        <w:trPr>
          <w:trHeight w:val="300"/>
        </w:trPr>
        <w:tc>
          <w:tcPr>
            <w:tcW w:w="1586" w:type="dxa"/>
            <w:shd w:val="clear" w:color="auto" w:fill="C6EFCE"/>
            <w:tcMar>
              <w:left w:w="108" w:type="dxa"/>
              <w:right w:w="108" w:type="dxa"/>
            </w:tcMar>
            <w:vAlign w:val="center"/>
          </w:tcPr>
          <w:p w14:paraId="20595E48" w14:textId="77777777" w:rsidR="008E6885" w:rsidRDefault="00EA24E7">
            <w:pPr>
              <w:pStyle w:val="P68B1DB1-Normal35"/>
              <w:spacing w:after="0" w:line="276" w:lineRule="auto"/>
              <w:jc w:val="center"/>
              <w:rPr>
                <w:rFonts w:ascii="Calibri" w:hAnsi="Calibri"/>
                <w:noProof/>
              </w:rPr>
            </w:pPr>
            <w:r>
              <w:rPr>
                <w:noProof/>
              </w:rPr>
              <w:t>105</w:t>
            </w:r>
          </w:p>
        </w:tc>
        <w:tc>
          <w:tcPr>
            <w:tcW w:w="3601" w:type="dxa"/>
            <w:shd w:val="clear" w:color="auto" w:fill="C6EFCE"/>
            <w:tcMar>
              <w:left w:w="108" w:type="dxa"/>
              <w:right w:w="108" w:type="dxa"/>
            </w:tcMar>
          </w:tcPr>
          <w:p w14:paraId="1F82BAB6" w14:textId="77777777" w:rsidR="008E6885" w:rsidRDefault="00EA24E7">
            <w:pPr>
              <w:pStyle w:val="P68B1DB1-Normal36"/>
              <w:spacing w:after="0" w:line="276" w:lineRule="auto"/>
              <w:rPr>
                <w:rFonts w:ascii="Calibri" w:eastAsia="Calibri" w:hAnsi="Calibri" w:cs="Arial"/>
                <w:noProof/>
              </w:rPr>
            </w:pPr>
            <w:r>
              <w:rPr>
                <w:rFonts w:ascii="Times New Roman" w:eastAsia="Calibri" w:hAnsi="Times New Roman" w:cs="Arial"/>
                <w:noProof/>
                <w:color w:val="000000"/>
              </w:rPr>
              <w:t xml:space="preserve">3.1.1.5.i. Développement </w:t>
            </w:r>
            <w:r>
              <w:rPr>
                <w:rFonts w:ascii="Times New Roman" w:eastAsia="Times New Roman" w:hAnsi="Times New Roman" w:cs="Times New Roman"/>
                <w:noProof/>
              </w:rPr>
              <w:t>de l'infrastructure et de l'équipement des établissements d'enseignement</w:t>
            </w:r>
            <w:r>
              <w:rPr>
                <w:rFonts w:ascii="Times New Roman" w:eastAsia="Calibri" w:hAnsi="Times New Roman" w:cs="Arial"/>
                <w:noProof/>
                <w:color w:val="000000"/>
              </w:rPr>
              <w:t xml:space="preserve"> </w:t>
            </w:r>
          </w:p>
        </w:tc>
        <w:tc>
          <w:tcPr>
            <w:tcW w:w="1496" w:type="dxa"/>
            <w:shd w:val="clear" w:color="auto" w:fill="C6EFCE"/>
            <w:tcMar>
              <w:left w:w="108" w:type="dxa"/>
              <w:right w:w="108" w:type="dxa"/>
            </w:tcMar>
          </w:tcPr>
          <w:p w14:paraId="7541A7B0" w14:textId="3BFE9024"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72CB0764" w14:textId="77777777" w:rsidR="008E6885" w:rsidRDefault="00EA24E7">
            <w:pPr>
              <w:pStyle w:val="P68B1DB1-Normal35"/>
              <w:spacing w:after="0" w:line="276" w:lineRule="auto"/>
              <w:jc w:val="both"/>
              <w:rPr>
                <w:rFonts w:ascii="Calibri" w:hAnsi="Calibri"/>
                <w:noProof/>
              </w:rPr>
            </w:pPr>
            <w:r>
              <w:rPr>
                <w:noProof/>
              </w:rPr>
              <w:t xml:space="preserve">Adoption de décisions par les conseils locaux sur la réorganisation d'au moins 20 établissements d'enseignement secondaire général </w:t>
            </w:r>
          </w:p>
        </w:tc>
      </w:tr>
      <w:tr w:rsidR="008E6885" w14:paraId="1CAE4185" w14:textId="77777777">
        <w:trPr>
          <w:trHeight w:val="300"/>
        </w:trPr>
        <w:tc>
          <w:tcPr>
            <w:tcW w:w="1586" w:type="dxa"/>
            <w:shd w:val="clear" w:color="auto" w:fill="C6EFCE"/>
            <w:tcMar>
              <w:left w:w="108" w:type="dxa"/>
              <w:right w:w="108" w:type="dxa"/>
            </w:tcMar>
            <w:vAlign w:val="center"/>
          </w:tcPr>
          <w:p w14:paraId="5898118D" w14:textId="77777777" w:rsidR="008E6885" w:rsidRDefault="00EA24E7">
            <w:pPr>
              <w:pStyle w:val="P68B1DB1-Normal35"/>
              <w:spacing w:after="0" w:line="276" w:lineRule="auto"/>
              <w:jc w:val="center"/>
              <w:rPr>
                <w:rFonts w:ascii="Calibri" w:hAnsi="Calibri"/>
                <w:noProof/>
              </w:rPr>
            </w:pPr>
            <w:r>
              <w:rPr>
                <w:noProof/>
              </w:rPr>
              <w:t>107</w:t>
            </w:r>
          </w:p>
        </w:tc>
        <w:tc>
          <w:tcPr>
            <w:tcW w:w="3601" w:type="dxa"/>
            <w:shd w:val="clear" w:color="auto" w:fill="C6EFCE"/>
            <w:tcMar>
              <w:left w:w="108" w:type="dxa"/>
              <w:right w:w="108" w:type="dxa"/>
            </w:tcMar>
          </w:tcPr>
          <w:p w14:paraId="5CE63300" w14:textId="77777777" w:rsidR="008E6885" w:rsidRDefault="00EA24E7">
            <w:pPr>
              <w:pStyle w:val="P68B1DB1-Normal35"/>
              <w:spacing w:after="0" w:line="276" w:lineRule="auto"/>
              <w:rPr>
                <w:rFonts w:ascii="Calibri" w:hAnsi="Calibri"/>
                <w:noProof/>
              </w:rPr>
            </w:pPr>
            <w:r>
              <w:rPr>
                <w:noProof/>
              </w:rPr>
              <w:t xml:space="preserve">3.1.1.6.i. Achat d'autobus scolaires électriques </w:t>
            </w:r>
          </w:p>
        </w:tc>
        <w:tc>
          <w:tcPr>
            <w:tcW w:w="1496" w:type="dxa"/>
            <w:shd w:val="clear" w:color="auto" w:fill="C6EFCE"/>
            <w:tcMar>
              <w:left w:w="108" w:type="dxa"/>
              <w:right w:w="108" w:type="dxa"/>
            </w:tcMar>
          </w:tcPr>
          <w:p w14:paraId="063F6C9B" w14:textId="2FEC816E"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4A363579" w14:textId="77777777" w:rsidR="008E6885" w:rsidRDefault="00EA24E7">
            <w:pPr>
              <w:pStyle w:val="P68B1DB1-Normal35"/>
              <w:spacing w:after="0" w:line="276" w:lineRule="auto"/>
              <w:jc w:val="both"/>
              <w:rPr>
                <w:rFonts w:ascii="Calibri" w:hAnsi="Calibri"/>
                <w:noProof/>
              </w:rPr>
            </w:pPr>
            <w:r>
              <w:rPr>
                <w:noProof/>
              </w:rPr>
              <w:t xml:space="preserve">Un programme d ' appui a été adopté à l ' intention des autorités locales pour l ' achat d ' autobus électriques aux fins de l ' exercice des fonctions municipales et des services connexes. </w:t>
            </w:r>
          </w:p>
        </w:tc>
      </w:tr>
      <w:tr w:rsidR="008E6885" w14:paraId="4F2564D7" w14:textId="77777777">
        <w:trPr>
          <w:trHeight w:val="300"/>
        </w:trPr>
        <w:tc>
          <w:tcPr>
            <w:tcW w:w="1586" w:type="dxa"/>
            <w:shd w:val="clear" w:color="auto" w:fill="C6EFCE"/>
            <w:tcMar>
              <w:left w:w="108" w:type="dxa"/>
              <w:right w:w="108" w:type="dxa"/>
            </w:tcMar>
            <w:vAlign w:val="center"/>
          </w:tcPr>
          <w:p w14:paraId="641447A2" w14:textId="77777777" w:rsidR="008E6885" w:rsidRDefault="00EA24E7">
            <w:pPr>
              <w:pStyle w:val="P68B1DB1-Normal35"/>
              <w:spacing w:after="0" w:line="276" w:lineRule="auto"/>
              <w:jc w:val="center"/>
              <w:rPr>
                <w:rFonts w:ascii="Calibri" w:hAnsi="Calibri"/>
                <w:noProof/>
              </w:rPr>
            </w:pPr>
            <w:r>
              <w:rPr>
                <w:noProof/>
              </w:rPr>
              <w:t>112</w:t>
            </w:r>
          </w:p>
        </w:tc>
        <w:tc>
          <w:tcPr>
            <w:tcW w:w="3601" w:type="dxa"/>
            <w:shd w:val="clear" w:color="auto" w:fill="C6EFCE"/>
            <w:tcMar>
              <w:left w:w="108" w:type="dxa"/>
              <w:right w:w="108" w:type="dxa"/>
            </w:tcMar>
          </w:tcPr>
          <w:p w14:paraId="790CF428" w14:textId="77777777" w:rsidR="008E6885" w:rsidRDefault="00EA24E7">
            <w:pPr>
              <w:pStyle w:val="P68B1DB1-Normal35"/>
              <w:spacing w:after="0" w:line="276" w:lineRule="auto"/>
              <w:rPr>
                <w:rFonts w:ascii="Calibri" w:hAnsi="Calibri"/>
                <w:noProof/>
              </w:rPr>
            </w:pPr>
            <w:r>
              <w:rPr>
                <w:noProof/>
              </w:rPr>
              <w:t>3.1.2.1.i. Mesures visant à promouvoir l'accès aux services publics et à l'emploi pour les personnes souffrant de déficiences fonctionnelles</w:t>
            </w:r>
          </w:p>
        </w:tc>
        <w:tc>
          <w:tcPr>
            <w:tcW w:w="1496" w:type="dxa"/>
            <w:shd w:val="clear" w:color="auto" w:fill="C6EFCE"/>
            <w:tcMar>
              <w:left w:w="108" w:type="dxa"/>
              <w:right w:w="108" w:type="dxa"/>
            </w:tcMar>
          </w:tcPr>
          <w:p w14:paraId="00FF885D" w14:textId="1F2E3653"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661F0590" w14:textId="77777777" w:rsidR="008E6885" w:rsidRDefault="00EA24E7">
            <w:pPr>
              <w:pStyle w:val="P68B1DB1-Normal35"/>
              <w:spacing w:after="0" w:line="276" w:lineRule="auto"/>
              <w:jc w:val="both"/>
              <w:rPr>
                <w:rFonts w:ascii="Calibri" w:hAnsi="Calibri"/>
                <w:noProof/>
              </w:rPr>
            </w:pPr>
            <w:r>
              <w:rPr>
                <w:noProof/>
              </w:rPr>
              <w:t xml:space="preserve">Sélection des bâtiments de l’État et des collectivités locales dans lesquels des adaptations environnementales doivent être effectuées </w:t>
            </w:r>
          </w:p>
        </w:tc>
      </w:tr>
      <w:tr w:rsidR="008E6885" w14:paraId="07C83D83" w14:textId="77777777">
        <w:trPr>
          <w:trHeight w:val="300"/>
        </w:trPr>
        <w:tc>
          <w:tcPr>
            <w:tcW w:w="1586" w:type="dxa"/>
            <w:shd w:val="clear" w:color="auto" w:fill="C6EFCE"/>
            <w:tcMar>
              <w:left w:w="108" w:type="dxa"/>
              <w:right w:w="108" w:type="dxa"/>
            </w:tcMar>
            <w:vAlign w:val="center"/>
          </w:tcPr>
          <w:p w14:paraId="689A7740" w14:textId="77777777" w:rsidR="008E6885" w:rsidRDefault="00EA24E7">
            <w:pPr>
              <w:pStyle w:val="P68B1DB1-Normal35"/>
              <w:spacing w:after="0" w:line="276" w:lineRule="auto"/>
              <w:jc w:val="center"/>
              <w:rPr>
                <w:rFonts w:ascii="Calibri" w:hAnsi="Calibri"/>
                <w:noProof/>
              </w:rPr>
            </w:pPr>
            <w:r>
              <w:rPr>
                <w:noProof/>
              </w:rPr>
              <w:t>118</w:t>
            </w:r>
          </w:p>
        </w:tc>
        <w:tc>
          <w:tcPr>
            <w:tcW w:w="3601" w:type="dxa"/>
            <w:shd w:val="clear" w:color="auto" w:fill="C6EFCE"/>
            <w:tcMar>
              <w:left w:w="108" w:type="dxa"/>
              <w:right w:w="108" w:type="dxa"/>
            </w:tcMar>
          </w:tcPr>
          <w:p w14:paraId="08DDC8B7" w14:textId="77777777" w:rsidR="008E6885" w:rsidRDefault="00EA24E7">
            <w:pPr>
              <w:pStyle w:val="P68B1DB1-Normal35"/>
              <w:spacing w:after="0" w:line="276" w:lineRule="auto"/>
              <w:rPr>
                <w:rFonts w:ascii="Calibri" w:hAnsi="Calibri"/>
                <w:noProof/>
              </w:rPr>
            </w:pPr>
            <w:r>
              <w:rPr>
                <w:noProof/>
              </w:rPr>
              <w:t xml:space="preserve">3.1.2.2.i. Développement d'un outil de prévision </w:t>
            </w:r>
          </w:p>
        </w:tc>
        <w:tc>
          <w:tcPr>
            <w:tcW w:w="1496" w:type="dxa"/>
            <w:shd w:val="clear" w:color="auto" w:fill="C6EFCE"/>
            <w:tcMar>
              <w:left w:w="108" w:type="dxa"/>
              <w:right w:w="108" w:type="dxa"/>
            </w:tcMar>
          </w:tcPr>
          <w:p w14:paraId="3F69CEA0" w14:textId="4AE6CE11"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5928A82A" w14:textId="77777777" w:rsidR="008E6885" w:rsidRDefault="00EA24E7">
            <w:pPr>
              <w:pStyle w:val="P68B1DB1-Normal35"/>
              <w:spacing w:after="0" w:line="276" w:lineRule="auto"/>
              <w:jc w:val="both"/>
              <w:rPr>
                <w:rFonts w:ascii="Calibri" w:hAnsi="Calibri"/>
                <w:noProof/>
              </w:rPr>
            </w:pPr>
            <w:r>
              <w:rPr>
                <w:noProof/>
              </w:rPr>
              <w:t xml:space="preserve">Conclusion d'un contrat pour le développement d'algorithmes pour le modèle de prévision, l'élaboration de spécifications techniques pour le système d'information et la supervision du développement du système </w:t>
            </w:r>
          </w:p>
        </w:tc>
      </w:tr>
      <w:tr w:rsidR="008E6885" w14:paraId="02454DAA" w14:textId="77777777">
        <w:trPr>
          <w:trHeight w:val="300"/>
        </w:trPr>
        <w:tc>
          <w:tcPr>
            <w:tcW w:w="1586" w:type="dxa"/>
            <w:shd w:val="clear" w:color="auto" w:fill="C6EFCE"/>
            <w:tcMar>
              <w:left w:w="108" w:type="dxa"/>
              <w:right w:w="108" w:type="dxa"/>
            </w:tcMar>
            <w:vAlign w:val="center"/>
          </w:tcPr>
          <w:p w14:paraId="27EC6D6F" w14:textId="77777777" w:rsidR="008E6885" w:rsidRDefault="00EA24E7">
            <w:pPr>
              <w:pStyle w:val="P68B1DB1-Normal35"/>
              <w:spacing w:after="0" w:line="276" w:lineRule="auto"/>
              <w:jc w:val="center"/>
              <w:rPr>
                <w:rFonts w:ascii="Calibri" w:hAnsi="Calibri"/>
                <w:noProof/>
              </w:rPr>
            </w:pPr>
            <w:r>
              <w:rPr>
                <w:noProof/>
              </w:rPr>
              <w:t>121</w:t>
            </w:r>
          </w:p>
        </w:tc>
        <w:tc>
          <w:tcPr>
            <w:tcW w:w="3601" w:type="dxa"/>
            <w:shd w:val="clear" w:color="auto" w:fill="C6EFCE"/>
            <w:tcMar>
              <w:left w:w="108" w:type="dxa"/>
              <w:right w:w="108" w:type="dxa"/>
            </w:tcMar>
          </w:tcPr>
          <w:p w14:paraId="342F008F" w14:textId="77777777" w:rsidR="008E6885" w:rsidRDefault="00EA24E7">
            <w:pPr>
              <w:pStyle w:val="P68B1DB1-Normal35"/>
              <w:spacing w:after="0" w:line="276" w:lineRule="auto"/>
              <w:rPr>
                <w:rFonts w:ascii="Calibri" w:hAnsi="Calibri"/>
                <w:noProof/>
              </w:rPr>
            </w:pPr>
            <w:r>
              <w:rPr>
                <w:noProof/>
              </w:rPr>
              <w:t xml:space="preserve">3.1.2.3.i. Résilience et continuité du service d'aide sociale de longue durée </w:t>
            </w:r>
          </w:p>
        </w:tc>
        <w:tc>
          <w:tcPr>
            <w:tcW w:w="1496" w:type="dxa"/>
            <w:shd w:val="clear" w:color="auto" w:fill="C6EFCE"/>
            <w:tcMar>
              <w:left w:w="108" w:type="dxa"/>
              <w:right w:w="108" w:type="dxa"/>
            </w:tcMar>
          </w:tcPr>
          <w:p w14:paraId="0A35417F" w14:textId="137C39B2"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381E6CEB" w14:textId="2B43902C" w:rsidR="008E6885" w:rsidRDefault="00EA24E7">
            <w:pPr>
              <w:pStyle w:val="P68B1DB1-Normal35"/>
              <w:spacing w:after="0" w:line="276" w:lineRule="auto"/>
              <w:jc w:val="both"/>
              <w:rPr>
                <w:rFonts w:ascii="Calibri" w:hAnsi="Calibri"/>
                <w:noProof/>
              </w:rPr>
            </w:pPr>
            <w:r>
              <w:rPr>
                <w:noProof/>
              </w:rPr>
              <w:t>Développement d'une conception de construction standard</w:t>
            </w:r>
          </w:p>
        </w:tc>
      </w:tr>
      <w:tr w:rsidR="008E6885" w14:paraId="7DC2A5DE" w14:textId="77777777">
        <w:trPr>
          <w:trHeight w:val="300"/>
        </w:trPr>
        <w:tc>
          <w:tcPr>
            <w:tcW w:w="1586" w:type="dxa"/>
            <w:shd w:val="clear" w:color="auto" w:fill="C6EFCE"/>
            <w:tcMar>
              <w:left w:w="108" w:type="dxa"/>
              <w:right w:w="108" w:type="dxa"/>
            </w:tcMar>
            <w:vAlign w:val="center"/>
          </w:tcPr>
          <w:p w14:paraId="37C12184" w14:textId="77777777" w:rsidR="008E6885" w:rsidRDefault="00EA24E7">
            <w:pPr>
              <w:pStyle w:val="P68B1DB1-Normal35"/>
              <w:spacing w:after="0" w:line="276" w:lineRule="auto"/>
              <w:jc w:val="center"/>
              <w:rPr>
                <w:rFonts w:ascii="Calibri" w:hAnsi="Calibri"/>
                <w:noProof/>
              </w:rPr>
            </w:pPr>
            <w:r>
              <w:rPr>
                <w:noProof/>
              </w:rPr>
              <w:t>131</w:t>
            </w:r>
          </w:p>
        </w:tc>
        <w:tc>
          <w:tcPr>
            <w:tcW w:w="3601" w:type="dxa"/>
            <w:shd w:val="clear" w:color="auto" w:fill="C6EFCE"/>
            <w:tcMar>
              <w:left w:w="108" w:type="dxa"/>
              <w:right w:w="108" w:type="dxa"/>
            </w:tcMar>
          </w:tcPr>
          <w:p w14:paraId="072F859F" w14:textId="77777777" w:rsidR="008E6885" w:rsidRDefault="00EA24E7">
            <w:pPr>
              <w:pStyle w:val="P68B1DB1-Normal35"/>
              <w:spacing w:after="0" w:line="276" w:lineRule="auto"/>
              <w:rPr>
                <w:rFonts w:ascii="Calibri" w:hAnsi="Calibri"/>
                <w:noProof/>
              </w:rPr>
            </w:pPr>
            <w:r>
              <w:rPr>
                <w:noProof/>
              </w:rPr>
              <w:t>4.1.1.r. Durabilité et résilience d’un système de soins de santé intégré, global et centré sur l’humain</w:t>
            </w:r>
          </w:p>
        </w:tc>
        <w:tc>
          <w:tcPr>
            <w:tcW w:w="1496" w:type="dxa"/>
            <w:shd w:val="clear" w:color="auto" w:fill="C6EFCE"/>
            <w:tcMar>
              <w:left w:w="108" w:type="dxa"/>
              <w:right w:w="108" w:type="dxa"/>
            </w:tcMar>
          </w:tcPr>
          <w:p w14:paraId="4525E5E0"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59F0964B" w14:textId="77777777" w:rsidR="008E6885" w:rsidRDefault="00EA24E7">
            <w:pPr>
              <w:pStyle w:val="P68B1DB1-Normal35"/>
              <w:spacing w:after="0" w:line="276" w:lineRule="auto"/>
              <w:jc w:val="both"/>
              <w:rPr>
                <w:rFonts w:ascii="Calibri" w:hAnsi="Calibri"/>
                <w:noProof/>
              </w:rPr>
            </w:pPr>
            <w:r>
              <w:rPr>
                <w:noProof/>
              </w:rPr>
              <w:t>Adoption d’une stratégie en matière de santé numérique</w:t>
            </w:r>
          </w:p>
        </w:tc>
      </w:tr>
      <w:tr w:rsidR="008E6885" w14:paraId="7B034DD1" w14:textId="77777777">
        <w:trPr>
          <w:trHeight w:val="300"/>
        </w:trPr>
        <w:tc>
          <w:tcPr>
            <w:tcW w:w="1586" w:type="dxa"/>
            <w:shd w:val="clear" w:color="auto" w:fill="C6EFCE"/>
            <w:tcMar>
              <w:left w:w="108" w:type="dxa"/>
              <w:right w:w="108" w:type="dxa"/>
            </w:tcMar>
            <w:vAlign w:val="center"/>
          </w:tcPr>
          <w:p w14:paraId="2F6221B2" w14:textId="77777777" w:rsidR="008E6885" w:rsidRDefault="00EA24E7">
            <w:pPr>
              <w:pStyle w:val="P68B1DB1-Normal35"/>
              <w:spacing w:after="0" w:line="276" w:lineRule="auto"/>
              <w:jc w:val="center"/>
              <w:rPr>
                <w:rFonts w:ascii="Calibri" w:hAnsi="Calibri"/>
                <w:noProof/>
              </w:rPr>
            </w:pPr>
            <w:r>
              <w:rPr>
                <w:noProof/>
              </w:rPr>
              <w:t>132</w:t>
            </w:r>
          </w:p>
        </w:tc>
        <w:tc>
          <w:tcPr>
            <w:tcW w:w="3601" w:type="dxa"/>
            <w:shd w:val="clear" w:color="auto" w:fill="C6EFCE"/>
            <w:tcMar>
              <w:left w:w="108" w:type="dxa"/>
              <w:right w:w="108" w:type="dxa"/>
            </w:tcMar>
          </w:tcPr>
          <w:p w14:paraId="62B380CE" w14:textId="77777777" w:rsidR="008E6885" w:rsidRDefault="00EA24E7">
            <w:pPr>
              <w:pStyle w:val="P68B1DB1-Normal35"/>
              <w:spacing w:after="0" w:line="276" w:lineRule="auto"/>
              <w:rPr>
                <w:rFonts w:ascii="Calibri" w:hAnsi="Calibri"/>
                <w:noProof/>
              </w:rPr>
            </w:pPr>
            <w:r>
              <w:rPr>
                <w:noProof/>
              </w:rPr>
              <w:t>4.1.1.r. Durabilité et résilience d’un système de soins de santé intégré, global et centré sur l’humain</w:t>
            </w:r>
          </w:p>
        </w:tc>
        <w:tc>
          <w:tcPr>
            <w:tcW w:w="1496" w:type="dxa"/>
            <w:shd w:val="clear" w:color="auto" w:fill="C6EFCE"/>
            <w:tcMar>
              <w:left w:w="108" w:type="dxa"/>
              <w:right w:w="108" w:type="dxa"/>
            </w:tcMar>
          </w:tcPr>
          <w:p w14:paraId="1B614232"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7D352617" w14:textId="77777777" w:rsidR="008E6885" w:rsidRDefault="00EA24E7">
            <w:pPr>
              <w:pStyle w:val="P68B1DB1-Normal35"/>
              <w:spacing w:after="0" w:line="276" w:lineRule="auto"/>
              <w:jc w:val="both"/>
              <w:rPr>
                <w:rFonts w:ascii="Calibri" w:hAnsi="Calibri"/>
                <w:noProof/>
              </w:rPr>
            </w:pPr>
            <w:r>
              <w:rPr>
                <w:noProof/>
              </w:rPr>
              <w:t>Élaboration d'un modèle de prestation de soins de santé axé sur l'humain, complet et intégré grâce à l'élaboration d'une stratégie d'investissement et de recommandations pour l'élaboration de soins de santé intégrés et épidémiologiquement sûrs</w:t>
            </w:r>
          </w:p>
        </w:tc>
      </w:tr>
      <w:tr w:rsidR="008E6885" w14:paraId="64FA501B" w14:textId="77777777">
        <w:trPr>
          <w:trHeight w:val="300"/>
        </w:trPr>
        <w:tc>
          <w:tcPr>
            <w:tcW w:w="1586" w:type="dxa"/>
            <w:shd w:val="clear" w:color="auto" w:fill="C6EFCE"/>
            <w:tcMar>
              <w:left w:w="108" w:type="dxa"/>
              <w:right w:w="108" w:type="dxa"/>
            </w:tcMar>
            <w:vAlign w:val="center"/>
          </w:tcPr>
          <w:p w14:paraId="48CD48BB" w14:textId="77777777" w:rsidR="008E6885" w:rsidRDefault="00EA24E7">
            <w:pPr>
              <w:pStyle w:val="P68B1DB1-Normal35"/>
              <w:spacing w:after="0" w:line="276" w:lineRule="auto"/>
              <w:jc w:val="center"/>
              <w:rPr>
                <w:rFonts w:ascii="Calibri" w:hAnsi="Calibri"/>
                <w:noProof/>
              </w:rPr>
            </w:pPr>
            <w:r>
              <w:rPr>
                <w:noProof/>
              </w:rPr>
              <w:t>135</w:t>
            </w:r>
          </w:p>
        </w:tc>
        <w:tc>
          <w:tcPr>
            <w:tcW w:w="3601" w:type="dxa"/>
            <w:shd w:val="clear" w:color="auto" w:fill="C6EFCE"/>
            <w:tcMar>
              <w:left w:w="108" w:type="dxa"/>
              <w:right w:w="108" w:type="dxa"/>
            </w:tcMar>
          </w:tcPr>
          <w:p w14:paraId="066C06E1" w14:textId="77777777" w:rsidR="008E6885" w:rsidRDefault="00EA24E7">
            <w:pPr>
              <w:pStyle w:val="P68B1DB1-Normal35"/>
              <w:spacing w:after="0" w:line="276" w:lineRule="auto"/>
              <w:rPr>
                <w:rFonts w:ascii="Calibri" w:hAnsi="Calibri"/>
                <w:noProof/>
              </w:rPr>
            </w:pPr>
            <w:r>
              <w:rPr>
                <w:noProof/>
              </w:rPr>
              <w:t>4.1.1.1.i. Appui à la recherche en santé publique</w:t>
            </w:r>
          </w:p>
        </w:tc>
        <w:tc>
          <w:tcPr>
            <w:tcW w:w="1496" w:type="dxa"/>
            <w:shd w:val="clear" w:color="auto" w:fill="C6EFCE"/>
            <w:tcMar>
              <w:left w:w="108" w:type="dxa"/>
              <w:right w:w="108" w:type="dxa"/>
            </w:tcMar>
          </w:tcPr>
          <w:p w14:paraId="79508A26"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21D0DEA6" w14:textId="77777777" w:rsidR="008E6885" w:rsidRDefault="00EA24E7">
            <w:pPr>
              <w:pStyle w:val="P68B1DB1-Normal35"/>
              <w:spacing w:after="0" w:line="276" w:lineRule="auto"/>
              <w:jc w:val="both"/>
              <w:rPr>
                <w:rFonts w:ascii="Calibri" w:hAnsi="Calibri"/>
                <w:noProof/>
              </w:rPr>
            </w:pPr>
            <w:r>
              <w:rPr>
                <w:noProof/>
              </w:rPr>
              <w:t>Adoption d’une méthodologie pour trois études visant à améliorer la planification et la mise en œuvre des politiques de santé publique dans le domaine de la résistance aux antimicrobiens, de la vaccination et des maladies infectieuses</w:t>
            </w:r>
          </w:p>
        </w:tc>
      </w:tr>
      <w:tr w:rsidR="008E6885" w14:paraId="5EB29F2B" w14:textId="77777777">
        <w:trPr>
          <w:trHeight w:val="300"/>
        </w:trPr>
        <w:tc>
          <w:tcPr>
            <w:tcW w:w="1586" w:type="dxa"/>
            <w:shd w:val="clear" w:color="auto" w:fill="C6EFCE"/>
            <w:tcMar>
              <w:left w:w="108" w:type="dxa"/>
              <w:right w:w="108" w:type="dxa"/>
            </w:tcMar>
            <w:vAlign w:val="center"/>
          </w:tcPr>
          <w:p w14:paraId="71E018C9" w14:textId="77777777" w:rsidR="008E6885" w:rsidRDefault="00EA24E7">
            <w:pPr>
              <w:pStyle w:val="P68B1DB1-Normal35"/>
              <w:spacing w:after="0" w:line="276" w:lineRule="auto"/>
              <w:jc w:val="center"/>
              <w:rPr>
                <w:rFonts w:ascii="Calibri" w:hAnsi="Calibri"/>
                <w:noProof/>
              </w:rPr>
            </w:pPr>
            <w:r>
              <w:rPr>
                <w:noProof/>
              </w:rPr>
              <w:t>138</w:t>
            </w:r>
          </w:p>
        </w:tc>
        <w:tc>
          <w:tcPr>
            <w:tcW w:w="3601" w:type="dxa"/>
            <w:shd w:val="clear" w:color="auto" w:fill="C6EFCE"/>
            <w:tcMar>
              <w:left w:w="108" w:type="dxa"/>
              <w:right w:w="108" w:type="dxa"/>
            </w:tcMar>
          </w:tcPr>
          <w:p w14:paraId="3D23D653" w14:textId="77777777" w:rsidR="008E6885" w:rsidRDefault="00EA24E7">
            <w:pPr>
              <w:pStyle w:val="P68B1DB1-Normal35"/>
              <w:spacing w:after="0" w:line="276" w:lineRule="auto"/>
              <w:rPr>
                <w:rFonts w:ascii="Calibri" w:hAnsi="Calibri"/>
                <w:noProof/>
              </w:rPr>
            </w:pPr>
            <w:r>
              <w:rPr>
                <w:noProof/>
              </w:rPr>
              <w:t>4.1.1.2.i. Soutien à l'infrastructure ou à l'équipement des hôpitaux</w:t>
            </w:r>
          </w:p>
        </w:tc>
        <w:tc>
          <w:tcPr>
            <w:tcW w:w="1496" w:type="dxa"/>
            <w:shd w:val="clear" w:color="auto" w:fill="C6EFCE"/>
            <w:tcMar>
              <w:left w:w="108" w:type="dxa"/>
              <w:right w:w="108" w:type="dxa"/>
            </w:tcMar>
          </w:tcPr>
          <w:p w14:paraId="22E1F902" w14:textId="77777777" w:rsidR="008E6885" w:rsidRDefault="00EA24E7">
            <w:pPr>
              <w:pStyle w:val="P68B1DB1-Normal35"/>
              <w:spacing w:after="0" w:line="276" w:lineRule="auto"/>
              <w:jc w:val="center"/>
              <w:rPr>
                <w:rFonts w:ascii="Calibri" w:hAnsi="Calibri"/>
                <w:noProof/>
              </w:rPr>
            </w:pPr>
            <w:r>
              <w:rPr>
                <w:noProof/>
              </w:rPr>
              <w:t>Objectif</w:t>
            </w:r>
          </w:p>
        </w:tc>
        <w:tc>
          <w:tcPr>
            <w:tcW w:w="2947" w:type="dxa"/>
            <w:shd w:val="clear" w:color="auto" w:fill="C6EFCE"/>
            <w:tcMar>
              <w:left w:w="108" w:type="dxa"/>
              <w:right w:w="108" w:type="dxa"/>
            </w:tcMar>
          </w:tcPr>
          <w:p w14:paraId="521A86CF" w14:textId="77777777" w:rsidR="008E6885" w:rsidRDefault="00EA24E7">
            <w:pPr>
              <w:pStyle w:val="P68B1DB1-Normal35"/>
              <w:spacing w:after="0" w:line="276" w:lineRule="auto"/>
              <w:jc w:val="both"/>
              <w:rPr>
                <w:rFonts w:ascii="Calibri" w:hAnsi="Calibri"/>
                <w:noProof/>
              </w:rPr>
            </w:pPr>
            <w:r>
              <w:rPr>
                <w:noProof/>
              </w:rPr>
              <w:t>Nombre de projets ayant reçu un avis favorable de la commission technologique sur l’éligibilité des équipements à la fourniture des services concernés financés par l’État</w:t>
            </w:r>
          </w:p>
        </w:tc>
      </w:tr>
      <w:tr w:rsidR="008E6885" w14:paraId="7FB31E9F" w14:textId="77777777">
        <w:trPr>
          <w:trHeight w:val="300"/>
        </w:trPr>
        <w:tc>
          <w:tcPr>
            <w:tcW w:w="1586" w:type="dxa"/>
            <w:shd w:val="clear" w:color="auto" w:fill="C6EFCE"/>
            <w:tcMar>
              <w:left w:w="108" w:type="dxa"/>
              <w:right w:w="108" w:type="dxa"/>
            </w:tcMar>
            <w:vAlign w:val="center"/>
          </w:tcPr>
          <w:p w14:paraId="05912B03" w14:textId="77777777" w:rsidR="008E6885" w:rsidRDefault="00EA24E7">
            <w:pPr>
              <w:pStyle w:val="P68B1DB1-Normal35"/>
              <w:spacing w:after="0" w:line="276" w:lineRule="auto"/>
              <w:jc w:val="center"/>
              <w:rPr>
                <w:rFonts w:ascii="Calibri" w:hAnsi="Calibri"/>
                <w:noProof/>
              </w:rPr>
            </w:pPr>
            <w:r>
              <w:rPr>
                <w:noProof/>
              </w:rPr>
              <w:t>149</w:t>
            </w:r>
          </w:p>
        </w:tc>
        <w:tc>
          <w:tcPr>
            <w:tcW w:w="3601" w:type="dxa"/>
            <w:shd w:val="clear" w:color="auto" w:fill="C6EFCE"/>
            <w:tcMar>
              <w:left w:w="108" w:type="dxa"/>
              <w:right w:w="108" w:type="dxa"/>
            </w:tcMar>
          </w:tcPr>
          <w:p w14:paraId="2D2BC544" w14:textId="77777777" w:rsidR="008E6885" w:rsidRDefault="00EA24E7">
            <w:pPr>
              <w:pStyle w:val="P68B1DB1-Normal35"/>
              <w:spacing w:after="0" w:line="276" w:lineRule="auto"/>
              <w:rPr>
                <w:rFonts w:ascii="Calibri" w:hAnsi="Calibri"/>
                <w:noProof/>
              </w:rPr>
            </w:pPr>
            <w:r>
              <w:rPr>
                <w:noProof/>
              </w:rPr>
              <w:t>4.3.1.r. Durabilité des soins de santé et utilisation efficace des ressources de santé</w:t>
            </w:r>
          </w:p>
        </w:tc>
        <w:tc>
          <w:tcPr>
            <w:tcW w:w="1496" w:type="dxa"/>
            <w:shd w:val="clear" w:color="auto" w:fill="C6EFCE"/>
            <w:tcMar>
              <w:left w:w="108" w:type="dxa"/>
              <w:right w:w="108" w:type="dxa"/>
            </w:tcMar>
          </w:tcPr>
          <w:p w14:paraId="033B9DDE"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21241129" w14:textId="77777777" w:rsidR="008E6885" w:rsidRDefault="00EA24E7">
            <w:pPr>
              <w:pStyle w:val="P68B1DB1-Normal35"/>
              <w:spacing w:after="0" w:line="276" w:lineRule="auto"/>
              <w:jc w:val="both"/>
              <w:rPr>
                <w:rFonts w:ascii="Calibri" w:hAnsi="Calibri"/>
                <w:noProof/>
              </w:rPr>
            </w:pPr>
            <w:r>
              <w:rPr>
                <w:noProof/>
              </w:rPr>
              <w:t>Mécanisme de coordination approuvé pour évaluer, développer et mettre en œuvre de nouveaux modèles de prestation de services de soins de santé</w:t>
            </w:r>
          </w:p>
        </w:tc>
      </w:tr>
      <w:tr w:rsidR="008E6885" w14:paraId="1BB4AC1D" w14:textId="77777777">
        <w:trPr>
          <w:trHeight w:val="300"/>
        </w:trPr>
        <w:tc>
          <w:tcPr>
            <w:tcW w:w="1586" w:type="dxa"/>
            <w:shd w:val="clear" w:color="auto" w:fill="C6EFCE"/>
            <w:tcMar>
              <w:left w:w="108" w:type="dxa"/>
              <w:right w:w="108" w:type="dxa"/>
            </w:tcMar>
            <w:vAlign w:val="center"/>
          </w:tcPr>
          <w:p w14:paraId="15AAAA9B" w14:textId="77777777" w:rsidR="008E6885" w:rsidRDefault="00EA24E7">
            <w:pPr>
              <w:pStyle w:val="P68B1DB1-Normal35"/>
              <w:spacing w:after="0" w:line="276" w:lineRule="auto"/>
              <w:jc w:val="center"/>
              <w:rPr>
                <w:rFonts w:ascii="Calibri" w:hAnsi="Calibri"/>
                <w:noProof/>
              </w:rPr>
            </w:pPr>
            <w:r>
              <w:rPr>
                <w:noProof/>
              </w:rPr>
              <w:t>151</w:t>
            </w:r>
          </w:p>
        </w:tc>
        <w:tc>
          <w:tcPr>
            <w:tcW w:w="3601" w:type="dxa"/>
            <w:shd w:val="clear" w:color="auto" w:fill="C6EFCE"/>
            <w:tcMar>
              <w:left w:w="108" w:type="dxa"/>
              <w:right w:w="108" w:type="dxa"/>
            </w:tcMar>
          </w:tcPr>
          <w:p w14:paraId="4F5FC510" w14:textId="77777777" w:rsidR="008E6885" w:rsidRDefault="00EA24E7">
            <w:pPr>
              <w:pStyle w:val="P68B1DB1-Normal35"/>
              <w:spacing w:after="0" w:line="276" w:lineRule="auto"/>
              <w:rPr>
                <w:rFonts w:ascii="Calibri" w:hAnsi="Calibri"/>
                <w:noProof/>
              </w:rPr>
            </w:pPr>
            <w:r>
              <w:rPr>
                <w:noProof/>
              </w:rPr>
              <w:t>4.3.1.1.i. Soutien à l'évaluation et à l'amélioration de la qualité et de l'accessibilité des soins de santé secondaires non hospitaliers</w:t>
            </w:r>
          </w:p>
        </w:tc>
        <w:tc>
          <w:tcPr>
            <w:tcW w:w="1496" w:type="dxa"/>
            <w:shd w:val="clear" w:color="auto" w:fill="C6EFCE"/>
            <w:tcMar>
              <w:left w:w="108" w:type="dxa"/>
              <w:right w:w="108" w:type="dxa"/>
            </w:tcMar>
          </w:tcPr>
          <w:p w14:paraId="2817DEF7"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36D16FA4" w14:textId="77777777" w:rsidR="008E6885" w:rsidRDefault="00EA24E7">
            <w:pPr>
              <w:pStyle w:val="P68B1DB1-Normal35"/>
              <w:spacing w:after="0" w:line="276" w:lineRule="auto"/>
              <w:jc w:val="both"/>
              <w:rPr>
                <w:rFonts w:ascii="Calibri" w:hAnsi="Calibri"/>
                <w:noProof/>
              </w:rPr>
            </w:pPr>
            <w:r>
              <w:rPr>
                <w:noProof/>
              </w:rPr>
              <w:t xml:space="preserve">Adoption d’une méthodologie pour l’étude sur la qualité et la disponibilité des soins de santé secondaires non hospitaliers </w:t>
            </w:r>
          </w:p>
        </w:tc>
      </w:tr>
      <w:tr w:rsidR="008E6885" w14:paraId="6D098C11" w14:textId="77777777">
        <w:trPr>
          <w:trHeight w:val="300"/>
        </w:trPr>
        <w:tc>
          <w:tcPr>
            <w:tcW w:w="1586" w:type="dxa"/>
            <w:shd w:val="clear" w:color="auto" w:fill="C6EFCE"/>
            <w:tcMar>
              <w:left w:w="108" w:type="dxa"/>
              <w:right w:w="108" w:type="dxa"/>
            </w:tcMar>
            <w:vAlign w:val="center"/>
          </w:tcPr>
          <w:p w14:paraId="7D3B9D96" w14:textId="77777777" w:rsidR="008E6885" w:rsidRDefault="00EA24E7">
            <w:pPr>
              <w:pStyle w:val="P68B1DB1-Normal35"/>
              <w:spacing w:after="0" w:line="276" w:lineRule="auto"/>
              <w:jc w:val="center"/>
              <w:rPr>
                <w:rFonts w:ascii="Calibri" w:hAnsi="Calibri"/>
                <w:noProof/>
              </w:rPr>
            </w:pPr>
            <w:r>
              <w:rPr>
                <w:noProof/>
              </w:rPr>
              <w:t>154</w:t>
            </w:r>
          </w:p>
        </w:tc>
        <w:tc>
          <w:tcPr>
            <w:tcW w:w="3601" w:type="dxa"/>
            <w:shd w:val="clear" w:color="auto" w:fill="C6EFCE"/>
            <w:tcMar>
              <w:left w:w="108" w:type="dxa"/>
              <w:right w:w="108" w:type="dxa"/>
            </w:tcMar>
          </w:tcPr>
          <w:p w14:paraId="73198783" w14:textId="77777777" w:rsidR="008E6885" w:rsidRDefault="00EA24E7">
            <w:pPr>
              <w:pStyle w:val="P68B1DB1-Normal35"/>
              <w:spacing w:after="0" w:line="276" w:lineRule="auto"/>
              <w:rPr>
                <w:rFonts w:ascii="Calibri" w:hAnsi="Calibri"/>
                <w:noProof/>
              </w:rPr>
            </w:pPr>
            <w:r>
              <w:rPr>
                <w:noProof/>
              </w:rPr>
              <w:t>5.1.r. Gouvernance du système d'innovation et motivation des investissements privés dans la recherche et le développement</w:t>
            </w:r>
          </w:p>
        </w:tc>
        <w:tc>
          <w:tcPr>
            <w:tcW w:w="1496" w:type="dxa"/>
            <w:shd w:val="clear" w:color="auto" w:fill="C6EFCE"/>
            <w:tcMar>
              <w:left w:w="108" w:type="dxa"/>
              <w:right w:w="108" w:type="dxa"/>
            </w:tcMar>
          </w:tcPr>
          <w:p w14:paraId="3570AEE4"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3EF235DF" w14:textId="77777777" w:rsidR="008E6885" w:rsidRDefault="00EA24E7">
            <w:pPr>
              <w:pStyle w:val="P68B1DB1-Normal35"/>
              <w:spacing w:after="0" w:line="276" w:lineRule="auto"/>
              <w:jc w:val="both"/>
              <w:rPr>
                <w:rFonts w:ascii="Calibri" w:hAnsi="Calibri"/>
                <w:noProof/>
              </w:rPr>
            </w:pPr>
            <w:r>
              <w:rPr>
                <w:noProof/>
              </w:rPr>
              <w:t>Élaboration d'une stratégie nationale à long terme pour chacun des domaines RIS3 et mise en place d'un comité de pilotage stratégique pour chacun des domaines RIS3</w:t>
            </w:r>
          </w:p>
        </w:tc>
      </w:tr>
      <w:tr w:rsidR="008E6885" w14:paraId="1E18F944" w14:textId="77777777">
        <w:trPr>
          <w:trHeight w:val="300"/>
        </w:trPr>
        <w:tc>
          <w:tcPr>
            <w:tcW w:w="1586" w:type="dxa"/>
            <w:shd w:val="clear" w:color="auto" w:fill="C6EFCE"/>
            <w:tcMar>
              <w:left w:w="108" w:type="dxa"/>
              <w:right w:w="108" w:type="dxa"/>
            </w:tcMar>
            <w:vAlign w:val="center"/>
          </w:tcPr>
          <w:p w14:paraId="224F6323" w14:textId="77777777" w:rsidR="008E6885" w:rsidRDefault="00EA24E7">
            <w:pPr>
              <w:pStyle w:val="P68B1DB1-Normal35"/>
              <w:spacing w:after="0" w:line="276" w:lineRule="auto"/>
              <w:jc w:val="center"/>
              <w:rPr>
                <w:rFonts w:ascii="Calibri" w:hAnsi="Calibri"/>
                <w:noProof/>
              </w:rPr>
            </w:pPr>
            <w:r>
              <w:rPr>
                <w:noProof/>
              </w:rPr>
              <w:t>159</w:t>
            </w:r>
          </w:p>
        </w:tc>
        <w:tc>
          <w:tcPr>
            <w:tcW w:w="3601" w:type="dxa"/>
            <w:shd w:val="clear" w:color="auto" w:fill="C6EFCE"/>
            <w:tcMar>
              <w:left w:w="108" w:type="dxa"/>
              <w:right w:w="108" w:type="dxa"/>
            </w:tcMar>
          </w:tcPr>
          <w:p w14:paraId="5A9AEC09" w14:textId="77777777" w:rsidR="008E6885" w:rsidRDefault="00EA24E7">
            <w:pPr>
              <w:pStyle w:val="P68B1DB1-Normal35"/>
              <w:spacing w:after="0" w:line="276" w:lineRule="auto"/>
              <w:rPr>
                <w:rFonts w:ascii="Calibri" w:hAnsi="Calibri"/>
                <w:noProof/>
              </w:rPr>
            </w:pPr>
            <w:r>
              <w:rPr>
                <w:noProof/>
              </w:rPr>
              <w:t>5.2.1.r. Réforme de l'enseignement supérieur, de l'excellence scientifique et de la gouvernance</w:t>
            </w:r>
          </w:p>
        </w:tc>
        <w:tc>
          <w:tcPr>
            <w:tcW w:w="1496" w:type="dxa"/>
            <w:shd w:val="clear" w:color="auto" w:fill="C6EFCE"/>
            <w:tcMar>
              <w:left w:w="108" w:type="dxa"/>
              <w:right w:w="108" w:type="dxa"/>
            </w:tcMar>
          </w:tcPr>
          <w:p w14:paraId="045E0990"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26A18932" w14:textId="77777777" w:rsidR="008E6885" w:rsidRDefault="00EA24E7">
            <w:pPr>
              <w:pStyle w:val="P68B1DB1-Normal35"/>
              <w:spacing w:after="0" w:line="276" w:lineRule="auto"/>
              <w:jc w:val="both"/>
              <w:rPr>
                <w:rFonts w:ascii="Calibri" w:hAnsi="Calibri"/>
                <w:noProof/>
              </w:rPr>
            </w:pPr>
            <w:r>
              <w:rPr>
                <w:noProof/>
              </w:rPr>
              <w:t>Réforme de la gouvernance des établissements d'enseignement supérieur</w:t>
            </w:r>
          </w:p>
        </w:tc>
      </w:tr>
      <w:tr w:rsidR="008E6885" w14:paraId="3D0BE08F" w14:textId="77777777">
        <w:trPr>
          <w:trHeight w:val="300"/>
        </w:trPr>
        <w:tc>
          <w:tcPr>
            <w:tcW w:w="1586" w:type="dxa"/>
            <w:shd w:val="clear" w:color="auto" w:fill="C6EFCE"/>
            <w:tcMar>
              <w:left w:w="108" w:type="dxa"/>
              <w:right w:w="108" w:type="dxa"/>
            </w:tcMar>
            <w:vAlign w:val="center"/>
          </w:tcPr>
          <w:p w14:paraId="3F1F5EB9" w14:textId="77777777" w:rsidR="008E6885" w:rsidRDefault="00EA24E7">
            <w:pPr>
              <w:pStyle w:val="P68B1DB1-Normal35"/>
              <w:spacing w:after="0" w:line="276" w:lineRule="auto"/>
              <w:jc w:val="center"/>
              <w:rPr>
                <w:rFonts w:ascii="Calibri" w:hAnsi="Calibri"/>
                <w:noProof/>
              </w:rPr>
            </w:pPr>
            <w:r>
              <w:rPr>
                <w:noProof/>
              </w:rPr>
              <w:t>166</w:t>
            </w:r>
          </w:p>
        </w:tc>
        <w:tc>
          <w:tcPr>
            <w:tcW w:w="3601" w:type="dxa"/>
            <w:shd w:val="clear" w:color="auto" w:fill="C6EFCE"/>
            <w:tcMar>
              <w:left w:w="108" w:type="dxa"/>
              <w:right w:w="108" w:type="dxa"/>
            </w:tcMar>
          </w:tcPr>
          <w:p w14:paraId="3181C1D0" w14:textId="77777777" w:rsidR="008E6885" w:rsidRDefault="00EA24E7">
            <w:pPr>
              <w:pStyle w:val="P68B1DB1-Normal35"/>
              <w:spacing w:after="0" w:line="276" w:lineRule="auto"/>
              <w:rPr>
                <w:rFonts w:ascii="Calibri" w:hAnsi="Calibri"/>
                <w:noProof/>
              </w:rPr>
            </w:pPr>
            <w:r>
              <w:rPr>
                <w:noProof/>
              </w:rPr>
              <w:t>6.1.1.r. Renforcer l'analyse et développer la gestion des données dans le domaine de l'administration fiscale et douanière</w:t>
            </w:r>
          </w:p>
        </w:tc>
        <w:tc>
          <w:tcPr>
            <w:tcW w:w="1496" w:type="dxa"/>
            <w:shd w:val="clear" w:color="auto" w:fill="C6EFCE"/>
            <w:tcMar>
              <w:left w:w="108" w:type="dxa"/>
              <w:right w:w="108" w:type="dxa"/>
            </w:tcMar>
          </w:tcPr>
          <w:p w14:paraId="59F523E6"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2C6F1881" w14:textId="77777777" w:rsidR="008E6885" w:rsidRDefault="00EA24E7">
            <w:pPr>
              <w:pStyle w:val="P68B1DB1-Normal35"/>
              <w:spacing w:after="0" w:line="276" w:lineRule="auto"/>
              <w:jc w:val="both"/>
              <w:rPr>
                <w:rFonts w:ascii="Calibri" w:hAnsi="Calibri"/>
                <w:noProof/>
              </w:rPr>
            </w:pPr>
            <w:r>
              <w:rPr>
                <w:noProof/>
              </w:rPr>
              <w:t>Adoption d’un plan de travail pour les autorités publiques afin de freiner l’économie souterraine 2021-2022</w:t>
            </w:r>
          </w:p>
        </w:tc>
      </w:tr>
      <w:tr w:rsidR="008E6885" w14:paraId="70634B51" w14:textId="77777777">
        <w:trPr>
          <w:trHeight w:val="300"/>
        </w:trPr>
        <w:tc>
          <w:tcPr>
            <w:tcW w:w="1586" w:type="dxa"/>
            <w:shd w:val="clear" w:color="auto" w:fill="C6EFCE"/>
            <w:tcMar>
              <w:left w:w="108" w:type="dxa"/>
              <w:right w:w="108" w:type="dxa"/>
            </w:tcMar>
            <w:vAlign w:val="center"/>
          </w:tcPr>
          <w:p w14:paraId="0BB2A3AC" w14:textId="77777777" w:rsidR="008E6885" w:rsidRDefault="00EA24E7">
            <w:pPr>
              <w:pStyle w:val="P68B1DB1-Normal35"/>
              <w:spacing w:after="0" w:line="276" w:lineRule="auto"/>
              <w:jc w:val="center"/>
              <w:rPr>
                <w:rFonts w:ascii="Calibri" w:hAnsi="Calibri"/>
                <w:noProof/>
              </w:rPr>
            </w:pPr>
            <w:r>
              <w:rPr>
                <w:noProof/>
              </w:rPr>
              <w:t>167</w:t>
            </w:r>
          </w:p>
        </w:tc>
        <w:tc>
          <w:tcPr>
            <w:tcW w:w="3601" w:type="dxa"/>
            <w:shd w:val="clear" w:color="auto" w:fill="C6EFCE"/>
            <w:tcMar>
              <w:left w:w="108" w:type="dxa"/>
              <w:right w:w="108" w:type="dxa"/>
            </w:tcMar>
          </w:tcPr>
          <w:p w14:paraId="5F3DA92A" w14:textId="77777777" w:rsidR="008E6885" w:rsidRDefault="00EA24E7">
            <w:pPr>
              <w:pStyle w:val="P68B1DB1-Normal35"/>
              <w:spacing w:after="0" w:line="276" w:lineRule="auto"/>
              <w:rPr>
                <w:rFonts w:ascii="Calibri" w:hAnsi="Calibri"/>
                <w:noProof/>
              </w:rPr>
            </w:pPr>
            <w:r>
              <w:rPr>
                <w:noProof/>
              </w:rPr>
              <w:t>6.1.1.r. Renforcer l'analyse et développer la gestion des données dans le domaine de l'administration fiscale et douanière</w:t>
            </w:r>
          </w:p>
        </w:tc>
        <w:tc>
          <w:tcPr>
            <w:tcW w:w="1496" w:type="dxa"/>
            <w:shd w:val="clear" w:color="auto" w:fill="C6EFCE"/>
            <w:tcMar>
              <w:left w:w="108" w:type="dxa"/>
              <w:right w:w="108" w:type="dxa"/>
            </w:tcMar>
          </w:tcPr>
          <w:p w14:paraId="5B8FAC7D"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31D91765" w14:textId="77777777" w:rsidR="008E6885" w:rsidRDefault="00EA24E7">
            <w:pPr>
              <w:pStyle w:val="P68B1DB1-Normal35"/>
              <w:spacing w:after="0" w:line="276" w:lineRule="auto"/>
              <w:jc w:val="both"/>
              <w:rPr>
                <w:rFonts w:ascii="Calibri" w:hAnsi="Calibri"/>
                <w:noProof/>
              </w:rPr>
            </w:pPr>
            <w:r>
              <w:rPr>
                <w:noProof/>
              </w:rPr>
              <w:t>Mise en service d'un système de notation des contribuables, optimisation des contrôles</w:t>
            </w:r>
          </w:p>
        </w:tc>
      </w:tr>
      <w:tr w:rsidR="008E6885" w14:paraId="4E3B945D" w14:textId="77777777">
        <w:trPr>
          <w:trHeight w:val="300"/>
        </w:trPr>
        <w:tc>
          <w:tcPr>
            <w:tcW w:w="1586" w:type="dxa"/>
            <w:shd w:val="clear" w:color="auto" w:fill="C6EFCE"/>
            <w:tcMar>
              <w:left w:w="108" w:type="dxa"/>
              <w:right w:w="108" w:type="dxa"/>
            </w:tcMar>
            <w:vAlign w:val="center"/>
          </w:tcPr>
          <w:p w14:paraId="2C4D4329" w14:textId="77777777" w:rsidR="008E6885" w:rsidRDefault="00EA24E7">
            <w:pPr>
              <w:pStyle w:val="P68B1DB1-Normal35"/>
              <w:spacing w:after="0" w:line="276" w:lineRule="auto"/>
              <w:jc w:val="center"/>
              <w:rPr>
                <w:rFonts w:ascii="Calibri" w:hAnsi="Calibri"/>
                <w:noProof/>
              </w:rPr>
            </w:pPr>
            <w:r>
              <w:rPr>
                <w:noProof/>
              </w:rPr>
              <w:t>170</w:t>
            </w:r>
          </w:p>
        </w:tc>
        <w:tc>
          <w:tcPr>
            <w:tcW w:w="3601" w:type="dxa"/>
            <w:shd w:val="clear" w:color="auto" w:fill="C6EFCE"/>
            <w:tcMar>
              <w:left w:w="108" w:type="dxa"/>
              <w:right w:w="108" w:type="dxa"/>
            </w:tcMar>
          </w:tcPr>
          <w:p w14:paraId="2B16428E" w14:textId="77777777" w:rsidR="008E6885" w:rsidRDefault="00EA24E7">
            <w:pPr>
              <w:pStyle w:val="P68B1DB1-Normal35"/>
              <w:spacing w:after="0" w:line="276" w:lineRule="auto"/>
              <w:rPr>
                <w:rFonts w:ascii="Calibri" w:hAnsi="Calibri"/>
                <w:noProof/>
              </w:rPr>
            </w:pPr>
            <w:r>
              <w:rPr>
                <w:noProof/>
              </w:rPr>
              <w:t>6.1.1.r. Renforcer l'analyse et développer la gestion des données dans le domaine de l'administration fiscale et douanière</w:t>
            </w:r>
          </w:p>
        </w:tc>
        <w:tc>
          <w:tcPr>
            <w:tcW w:w="1496" w:type="dxa"/>
            <w:shd w:val="clear" w:color="auto" w:fill="C6EFCE"/>
            <w:tcMar>
              <w:left w:w="108" w:type="dxa"/>
              <w:right w:w="108" w:type="dxa"/>
            </w:tcMar>
          </w:tcPr>
          <w:p w14:paraId="10040014" w14:textId="77777777" w:rsidR="008E6885" w:rsidRDefault="00EA24E7">
            <w:pPr>
              <w:pStyle w:val="P68B1DB1-Normal35"/>
              <w:spacing w:after="0" w:line="276" w:lineRule="auto"/>
              <w:jc w:val="center"/>
              <w:rPr>
                <w:rFonts w:ascii="Calibri" w:hAnsi="Calibri"/>
                <w:noProof/>
              </w:rPr>
            </w:pPr>
            <w:r>
              <w:rPr>
                <w:noProof/>
              </w:rPr>
              <w:t>Objectif</w:t>
            </w:r>
          </w:p>
        </w:tc>
        <w:tc>
          <w:tcPr>
            <w:tcW w:w="2947" w:type="dxa"/>
            <w:shd w:val="clear" w:color="auto" w:fill="C6EFCE"/>
            <w:tcMar>
              <w:left w:w="108" w:type="dxa"/>
              <w:right w:w="108" w:type="dxa"/>
            </w:tcMar>
          </w:tcPr>
          <w:p w14:paraId="0483C57A" w14:textId="77777777" w:rsidR="008E6885" w:rsidRDefault="00EA24E7">
            <w:pPr>
              <w:pStyle w:val="P68B1DB1-Normal35"/>
              <w:spacing w:after="0" w:line="276" w:lineRule="auto"/>
              <w:jc w:val="both"/>
              <w:rPr>
                <w:rFonts w:ascii="Calibri" w:hAnsi="Calibri"/>
                <w:noProof/>
              </w:rPr>
            </w:pPr>
            <w:r>
              <w:rPr>
                <w:noProof/>
              </w:rPr>
              <w:t>Mise en œuvre du programme national de recherche «Réduire l’économie souterraine pour assurer le développement durable du pays»</w:t>
            </w:r>
          </w:p>
        </w:tc>
      </w:tr>
      <w:tr w:rsidR="008E6885" w14:paraId="14E3836B" w14:textId="77777777">
        <w:trPr>
          <w:trHeight w:val="300"/>
        </w:trPr>
        <w:tc>
          <w:tcPr>
            <w:tcW w:w="1586" w:type="dxa"/>
            <w:shd w:val="clear" w:color="auto" w:fill="C6EFCE"/>
            <w:tcMar>
              <w:left w:w="108" w:type="dxa"/>
              <w:right w:w="108" w:type="dxa"/>
            </w:tcMar>
            <w:vAlign w:val="center"/>
          </w:tcPr>
          <w:p w14:paraId="5EB792B8" w14:textId="77777777" w:rsidR="008E6885" w:rsidRDefault="00EA24E7">
            <w:pPr>
              <w:pStyle w:val="P68B1DB1-Normal35"/>
              <w:spacing w:after="0" w:line="276" w:lineRule="auto"/>
              <w:jc w:val="center"/>
              <w:rPr>
                <w:rFonts w:ascii="Calibri" w:hAnsi="Calibri"/>
                <w:noProof/>
              </w:rPr>
            </w:pPr>
            <w:r>
              <w:rPr>
                <w:noProof/>
              </w:rPr>
              <w:t>178</w:t>
            </w:r>
          </w:p>
        </w:tc>
        <w:tc>
          <w:tcPr>
            <w:tcW w:w="3601" w:type="dxa"/>
            <w:shd w:val="clear" w:color="auto" w:fill="C6EFCE"/>
            <w:tcMar>
              <w:left w:w="108" w:type="dxa"/>
              <w:right w:w="108" w:type="dxa"/>
            </w:tcMar>
          </w:tcPr>
          <w:p w14:paraId="43847C01" w14:textId="77777777" w:rsidR="008E6885" w:rsidRDefault="00EA24E7">
            <w:pPr>
              <w:pStyle w:val="P68B1DB1-Normal35"/>
              <w:spacing w:after="0" w:line="276" w:lineRule="auto"/>
              <w:rPr>
                <w:rFonts w:ascii="Calibri" w:hAnsi="Calibri"/>
                <w:noProof/>
              </w:rPr>
            </w:pPr>
            <w:r>
              <w:rPr>
                <w:noProof/>
              </w:rPr>
              <w:t>6.1.2.2.i. Renforcement des capacités du laboratoire des douanes</w:t>
            </w:r>
          </w:p>
        </w:tc>
        <w:tc>
          <w:tcPr>
            <w:tcW w:w="1496" w:type="dxa"/>
            <w:shd w:val="clear" w:color="auto" w:fill="C6EFCE"/>
            <w:tcMar>
              <w:left w:w="108" w:type="dxa"/>
              <w:right w:w="108" w:type="dxa"/>
            </w:tcMar>
          </w:tcPr>
          <w:p w14:paraId="4C960010"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318D4D84" w14:textId="77777777" w:rsidR="008E6885" w:rsidRDefault="00EA24E7">
            <w:pPr>
              <w:pStyle w:val="P68B1DB1-Normal35"/>
              <w:spacing w:after="0" w:line="276" w:lineRule="auto"/>
              <w:jc w:val="both"/>
              <w:rPr>
                <w:rFonts w:ascii="Calibri" w:hAnsi="Calibri"/>
                <w:noProof/>
              </w:rPr>
            </w:pPr>
            <w:r>
              <w:rPr>
                <w:noProof/>
              </w:rPr>
              <w:t xml:space="preserve">Spectrophotomètre acheté et installé pour utilisation dans le laboratoire des douanes </w:t>
            </w:r>
          </w:p>
        </w:tc>
      </w:tr>
      <w:tr w:rsidR="008E6885" w14:paraId="4C5E3605" w14:textId="77777777">
        <w:trPr>
          <w:trHeight w:val="300"/>
        </w:trPr>
        <w:tc>
          <w:tcPr>
            <w:tcW w:w="1586" w:type="dxa"/>
            <w:shd w:val="clear" w:color="auto" w:fill="C6EFCE"/>
            <w:tcMar>
              <w:left w:w="108" w:type="dxa"/>
              <w:right w:w="108" w:type="dxa"/>
            </w:tcMar>
            <w:vAlign w:val="center"/>
          </w:tcPr>
          <w:p w14:paraId="773557C4" w14:textId="77777777" w:rsidR="008E6885" w:rsidRDefault="00EA24E7">
            <w:pPr>
              <w:pStyle w:val="P68B1DB1-Normal35"/>
              <w:spacing w:after="0" w:line="276" w:lineRule="auto"/>
              <w:jc w:val="center"/>
              <w:rPr>
                <w:rFonts w:ascii="Calibri" w:hAnsi="Calibri"/>
                <w:noProof/>
              </w:rPr>
            </w:pPr>
            <w:r>
              <w:rPr>
                <w:noProof/>
              </w:rPr>
              <w:t>179</w:t>
            </w:r>
          </w:p>
        </w:tc>
        <w:tc>
          <w:tcPr>
            <w:tcW w:w="3601" w:type="dxa"/>
            <w:shd w:val="clear" w:color="auto" w:fill="C6EFCE"/>
            <w:tcMar>
              <w:left w:w="108" w:type="dxa"/>
              <w:right w:w="108" w:type="dxa"/>
            </w:tcMar>
          </w:tcPr>
          <w:p w14:paraId="5474E75F" w14:textId="77777777" w:rsidR="008E6885" w:rsidRDefault="00EA24E7">
            <w:pPr>
              <w:pStyle w:val="P68B1DB1-Normal35"/>
              <w:spacing w:after="0" w:line="276" w:lineRule="auto"/>
              <w:rPr>
                <w:rFonts w:ascii="Calibri" w:hAnsi="Calibri"/>
                <w:noProof/>
              </w:rPr>
            </w:pPr>
            <w:r>
              <w:rPr>
                <w:noProof/>
              </w:rPr>
              <w:t>6.1.2.2.i. Renforcement des capacités du laboratoire des douanes</w:t>
            </w:r>
          </w:p>
        </w:tc>
        <w:tc>
          <w:tcPr>
            <w:tcW w:w="1496" w:type="dxa"/>
            <w:shd w:val="clear" w:color="auto" w:fill="C6EFCE"/>
            <w:tcMar>
              <w:left w:w="108" w:type="dxa"/>
              <w:right w:w="108" w:type="dxa"/>
            </w:tcMar>
          </w:tcPr>
          <w:p w14:paraId="23DD1A61"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7449C02B" w14:textId="77777777" w:rsidR="008E6885" w:rsidRDefault="00EA24E7">
            <w:pPr>
              <w:pStyle w:val="P68B1DB1-Normal35"/>
              <w:spacing w:after="0" w:line="276" w:lineRule="auto"/>
              <w:jc w:val="both"/>
              <w:rPr>
                <w:rFonts w:ascii="Calibri" w:hAnsi="Calibri"/>
                <w:noProof/>
              </w:rPr>
            </w:pPr>
            <w:r>
              <w:rPr>
                <w:noProof/>
              </w:rPr>
              <w:t>Spectrophotomètre acheté et installé pour utilisation au point de contrôle douanier de l'aéroport</w:t>
            </w:r>
          </w:p>
        </w:tc>
      </w:tr>
      <w:tr w:rsidR="008E6885" w14:paraId="0A90837A" w14:textId="77777777">
        <w:trPr>
          <w:trHeight w:val="300"/>
        </w:trPr>
        <w:tc>
          <w:tcPr>
            <w:tcW w:w="1586" w:type="dxa"/>
            <w:shd w:val="clear" w:color="auto" w:fill="C6EFCE"/>
            <w:tcMar>
              <w:left w:w="108" w:type="dxa"/>
              <w:right w:w="108" w:type="dxa"/>
            </w:tcMar>
            <w:vAlign w:val="center"/>
          </w:tcPr>
          <w:p w14:paraId="554B3628" w14:textId="77777777" w:rsidR="008E6885" w:rsidRDefault="00EA24E7">
            <w:pPr>
              <w:pStyle w:val="P68B1DB1-Normal35"/>
              <w:spacing w:after="0" w:line="276" w:lineRule="auto"/>
              <w:jc w:val="center"/>
              <w:rPr>
                <w:rFonts w:ascii="Calibri" w:hAnsi="Calibri"/>
                <w:noProof/>
              </w:rPr>
            </w:pPr>
            <w:r>
              <w:rPr>
                <w:noProof/>
              </w:rPr>
              <w:t>196</w:t>
            </w:r>
          </w:p>
        </w:tc>
        <w:tc>
          <w:tcPr>
            <w:tcW w:w="3601" w:type="dxa"/>
            <w:shd w:val="clear" w:color="auto" w:fill="C6EFCE"/>
            <w:tcMar>
              <w:left w:w="108" w:type="dxa"/>
              <w:right w:w="108" w:type="dxa"/>
            </w:tcMar>
          </w:tcPr>
          <w:p w14:paraId="41697C4A" w14:textId="77777777" w:rsidR="008E6885" w:rsidRDefault="00EA24E7">
            <w:pPr>
              <w:pStyle w:val="P68B1DB1-Normal35"/>
              <w:spacing w:after="0" w:line="276" w:lineRule="auto"/>
              <w:rPr>
                <w:rFonts w:ascii="Calibri" w:hAnsi="Calibri"/>
                <w:noProof/>
              </w:rPr>
            </w:pPr>
            <w:r>
              <w:rPr>
                <w:noProof/>
              </w:rPr>
              <w:t>6.3.1.r. Modernisation de l'administration publique</w:t>
            </w:r>
          </w:p>
        </w:tc>
        <w:tc>
          <w:tcPr>
            <w:tcW w:w="1496" w:type="dxa"/>
            <w:shd w:val="clear" w:color="auto" w:fill="C6EFCE"/>
            <w:tcMar>
              <w:left w:w="108" w:type="dxa"/>
              <w:right w:w="108" w:type="dxa"/>
            </w:tcMar>
          </w:tcPr>
          <w:p w14:paraId="06D201F8"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41A24DD4" w14:textId="77777777" w:rsidR="008E6885" w:rsidRDefault="00EA24E7">
            <w:pPr>
              <w:pStyle w:val="P68B1DB1-Normal35"/>
              <w:spacing w:after="0" w:line="276" w:lineRule="auto"/>
              <w:jc w:val="both"/>
              <w:rPr>
                <w:rFonts w:ascii="Calibri" w:hAnsi="Calibri"/>
                <w:noProof/>
              </w:rPr>
            </w:pPr>
            <w:r>
              <w:rPr>
                <w:noProof/>
              </w:rPr>
              <w:t>Plan approuvé de modernisation de l'administration publique</w:t>
            </w:r>
          </w:p>
        </w:tc>
      </w:tr>
      <w:tr w:rsidR="008E6885" w14:paraId="39F04846" w14:textId="77777777">
        <w:trPr>
          <w:trHeight w:val="300"/>
        </w:trPr>
        <w:tc>
          <w:tcPr>
            <w:tcW w:w="1586" w:type="dxa"/>
            <w:shd w:val="clear" w:color="auto" w:fill="C6EFCE"/>
            <w:tcMar>
              <w:left w:w="108" w:type="dxa"/>
              <w:right w:w="108" w:type="dxa"/>
            </w:tcMar>
            <w:vAlign w:val="center"/>
          </w:tcPr>
          <w:p w14:paraId="6510A168" w14:textId="77777777" w:rsidR="008E6885" w:rsidRDefault="00EA24E7">
            <w:pPr>
              <w:pStyle w:val="P68B1DB1-Normal35"/>
              <w:spacing w:after="0" w:line="276" w:lineRule="auto"/>
              <w:jc w:val="center"/>
              <w:rPr>
                <w:rFonts w:ascii="Calibri" w:hAnsi="Calibri"/>
                <w:noProof/>
              </w:rPr>
            </w:pPr>
            <w:r>
              <w:rPr>
                <w:noProof/>
              </w:rPr>
              <w:t>198</w:t>
            </w:r>
          </w:p>
        </w:tc>
        <w:tc>
          <w:tcPr>
            <w:tcW w:w="3601" w:type="dxa"/>
            <w:shd w:val="clear" w:color="auto" w:fill="C6EFCE"/>
            <w:tcMar>
              <w:left w:w="108" w:type="dxa"/>
              <w:right w:w="108" w:type="dxa"/>
            </w:tcMar>
          </w:tcPr>
          <w:p w14:paraId="4A0CF490" w14:textId="77777777" w:rsidR="008E6885" w:rsidRDefault="00EA24E7">
            <w:pPr>
              <w:pStyle w:val="P68B1DB1-Normal35"/>
              <w:spacing w:after="0" w:line="276" w:lineRule="auto"/>
              <w:rPr>
                <w:rFonts w:ascii="Calibri" w:hAnsi="Calibri"/>
                <w:noProof/>
              </w:rPr>
            </w:pPr>
            <w:r>
              <w:rPr>
                <w:noProof/>
              </w:rPr>
              <w:t>6.3.1.r. Modernisation de l'administration publique</w:t>
            </w:r>
          </w:p>
        </w:tc>
        <w:tc>
          <w:tcPr>
            <w:tcW w:w="1496" w:type="dxa"/>
            <w:shd w:val="clear" w:color="auto" w:fill="C6EFCE"/>
            <w:tcMar>
              <w:left w:w="108" w:type="dxa"/>
              <w:right w:w="108" w:type="dxa"/>
            </w:tcMar>
          </w:tcPr>
          <w:p w14:paraId="6E0F13B9"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53749120" w14:textId="77777777" w:rsidR="008E6885" w:rsidRDefault="00EA24E7">
            <w:pPr>
              <w:pStyle w:val="P68B1DB1-Normal35"/>
              <w:spacing w:after="0" w:line="276" w:lineRule="auto"/>
              <w:jc w:val="both"/>
              <w:rPr>
                <w:rFonts w:ascii="Calibri" w:hAnsi="Calibri"/>
                <w:noProof/>
              </w:rPr>
            </w:pPr>
            <w:r>
              <w:rPr>
                <w:noProof/>
              </w:rPr>
              <w:t>Concept du centre de service unique approuvé comme condition préalable à la fourniture de services centralisés</w:t>
            </w:r>
          </w:p>
        </w:tc>
      </w:tr>
      <w:tr w:rsidR="008E6885" w14:paraId="4AF625E5" w14:textId="77777777">
        <w:trPr>
          <w:trHeight w:val="300"/>
        </w:trPr>
        <w:tc>
          <w:tcPr>
            <w:tcW w:w="1586" w:type="dxa"/>
            <w:shd w:val="clear" w:color="auto" w:fill="C6EFCE"/>
            <w:tcMar>
              <w:left w:w="108" w:type="dxa"/>
              <w:right w:w="108" w:type="dxa"/>
            </w:tcMar>
            <w:vAlign w:val="center"/>
          </w:tcPr>
          <w:p w14:paraId="5211827D" w14:textId="77777777" w:rsidR="008E6885" w:rsidRDefault="00EA24E7">
            <w:pPr>
              <w:pStyle w:val="P68B1DB1-Normal35"/>
              <w:spacing w:after="0" w:line="276" w:lineRule="auto"/>
              <w:jc w:val="center"/>
              <w:rPr>
                <w:rFonts w:ascii="Calibri" w:hAnsi="Calibri"/>
                <w:noProof/>
              </w:rPr>
            </w:pPr>
            <w:r>
              <w:rPr>
                <w:noProof/>
              </w:rPr>
              <w:t>206</w:t>
            </w:r>
          </w:p>
        </w:tc>
        <w:tc>
          <w:tcPr>
            <w:tcW w:w="3601" w:type="dxa"/>
            <w:shd w:val="clear" w:color="auto" w:fill="C6EFCE"/>
            <w:tcMar>
              <w:left w:w="108" w:type="dxa"/>
              <w:right w:w="108" w:type="dxa"/>
            </w:tcMar>
          </w:tcPr>
          <w:p w14:paraId="04C7E62E" w14:textId="77777777" w:rsidR="008E6885" w:rsidRDefault="00EA24E7">
            <w:pPr>
              <w:pStyle w:val="P68B1DB1-Normal35"/>
              <w:spacing w:after="0" w:line="276" w:lineRule="auto"/>
              <w:rPr>
                <w:rFonts w:ascii="Calibri" w:hAnsi="Calibri"/>
                <w:noProof/>
              </w:rPr>
            </w:pPr>
            <w:r>
              <w:rPr>
                <w:noProof/>
              </w:rPr>
              <w:t>6.3.1.4.i. Croissance des organisations non gouvernementales pour renforcer la représentation de la sécurité sociale et surveiller les intérêts publics</w:t>
            </w:r>
          </w:p>
        </w:tc>
        <w:tc>
          <w:tcPr>
            <w:tcW w:w="1496" w:type="dxa"/>
            <w:shd w:val="clear" w:color="auto" w:fill="C6EFCE"/>
            <w:tcMar>
              <w:left w:w="108" w:type="dxa"/>
              <w:right w:w="108" w:type="dxa"/>
            </w:tcMar>
          </w:tcPr>
          <w:p w14:paraId="03D6345A"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4BA318AB" w14:textId="77777777" w:rsidR="008E6885" w:rsidRDefault="00EA24E7">
            <w:pPr>
              <w:pStyle w:val="P68B1DB1-Normal35"/>
              <w:spacing w:after="0" w:line="276" w:lineRule="auto"/>
              <w:jc w:val="both"/>
              <w:rPr>
                <w:rFonts w:ascii="Calibri" w:hAnsi="Calibri"/>
                <w:noProof/>
              </w:rPr>
            </w:pPr>
            <w:r>
              <w:rPr>
                <w:noProof/>
              </w:rPr>
              <w:t>Publication du cadre de soutien aux organisations non gouvernementales dans les domaines suivants: - la résilience sociale; - défense de l'intérêt public</w:t>
            </w:r>
          </w:p>
        </w:tc>
      </w:tr>
      <w:tr w:rsidR="008E6885" w14:paraId="72DCC9CF" w14:textId="77777777">
        <w:trPr>
          <w:trHeight w:val="300"/>
        </w:trPr>
        <w:tc>
          <w:tcPr>
            <w:tcW w:w="1586" w:type="dxa"/>
            <w:shd w:val="clear" w:color="auto" w:fill="C6EFCE"/>
            <w:tcMar>
              <w:left w:w="108" w:type="dxa"/>
              <w:right w:w="108" w:type="dxa"/>
            </w:tcMar>
            <w:vAlign w:val="center"/>
          </w:tcPr>
          <w:p w14:paraId="6018B0DC" w14:textId="77777777" w:rsidR="008E6885" w:rsidRDefault="00EA24E7">
            <w:pPr>
              <w:pStyle w:val="P68B1DB1-Normal35"/>
              <w:spacing w:after="0" w:line="276" w:lineRule="auto"/>
              <w:jc w:val="center"/>
              <w:rPr>
                <w:rFonts w:ascii="Calibri" w:hAnsi="Calibri"/>
                <w:noProof/>
              </w:rPr>
            </w:pPr>
            <w:r>
              <w:rPr>
                <w:noProof/>
              </w:rPr>
              <w:t>208</w:t>
            </w:r>
          </w:p>
        </w:tc>
        <w:tc>
          <w:tcPr>
            <w:tcW w:w="3601" w:type="dxa"/>
            <w:shd w:val="clear" w:color="auto" w:fill="C6EFCE"/>
            <w:tcMar>
              <w:left w:w="108" w:type="dxa"/>
              <w:right w:w="108" w:type="dxa"/>
            </w:tcMar>
          </w:tcPr>
          <w:p w14:paraId="2E45CCA0" w14:textId="77777777" w:rsidR="008E6885" w:rsidRDefault="00EA24E7">
            <w:pPr>
              <w:pStyle w:val="P68B1DB1-Normal35"/>
              <w:spacing w:after="0" w:line="276" w:lineRule="auto"/>
              <w:rPr>
                <w:rFonts w:ascii="Calibri" w:hAnsi="Calibri"/>
                <w:noProof/>
              </w:rPr>
            </w:pPr>
            <w:r>
              <w:rPr>
                <w:noProof/>
              </w:rPr>
              <w:t>6.4.1.r. Création d'un registre des marchés publics</w:t>
            </w:r>
          </w:p>
        </w:tc>
        <w:tc>
          <w:tcPr>
            <w:tcW w:w="1496" w:type="dxa"/>
            <w:shd w:val="clear" w:color="auto" w:fill="C6EFCE"/>
            <w:tcMar>
              <w:left w:w="108" w:type="dxa"/>
              <w:right w:w="108" w:type="dxa"/>
            </w:tcMar>
          </w:tcPr>
          <w:p w14:paraId="46C7F4C2"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0005A021" w14:textId="59FEC040" w:rsidR="008E6885" w:rsidRDefault="00EA24E7">
            <w:pPr>
              <w:pStyle w:val="P68B1DB1-Normal35"/>
              <w:spacing w:after="0" w:line="276" w:lineRule="auto"/>
              <w:jc w:val="both"/>
              <w:rPr>
                <w:rFonts w:ascii="Calibri" w:hAnsi="Calibri"/>
                <w:noProof/>
              </w:rPr>
            </w:pPr>
            <w:r>
              <w:rPr>
                <w:noProof/>
              </w:rPr>
              <w:t>Un registre des marchés publics mis à disposition</w:t>
            </w:r>
          </w:p>
        </w:tc>
      </w:tr>
      <w:tr w:rsidR="008E6885" w14:paraId="0F419677" w14:textId="77777777">
        <w:trPr>
          <w:trHeight w:val="300"/>
        </w:trPr>
        <w:tc>
          <w:tcPr>
            <w:tcW w:w="1586" w:type="dxa"/>
            <w:shd w:val="clear" w:color="auto" w:fill="C6EFCE"/>
            <w:tcMar>
              <w:left w:w="108" w:type="dxa"/>
              <w:right w:w="108" w:type="dxa"/>
            </w:tcMar>
            <w:vAlign w:val="center"/>
          </w:tcPr>
          <w:p w14:paraId="1B36F068" w14:textId="77777777" w:rsidR="008E6885" w:rsidRDefault="00EA24E7">
            <w:pPr>
              <w:pStyle w:val="P68B1DB1-Normal35"/>
              <w:spacing w:after="0" w:line="276" w:lineRule="auto"/>
              <w:jc w:val="center"/>
              <w:rPr>
                <w:rFonts w:ascii="Calibri" w:hAnsi="Calibri"/>
                <w:noProof/>
              </w:rPr>
            </w:pPr>
            <w:r>
              <w:rPr>
                <w:noProof/>
              </w:rPr>
              <w:t>210</w:t>
            </w:r>
          </w:p>
        </w:tc>
        <w:tc>
          <w:tcPr>
            <w:tcW w:w="3601" w:type="dxa"/>
            <w:shd w:val="clear" w:color="auto" w:fill="C6EFCE"/>
            <w:tcMar>
              <w:left w:w="108" w:type="dxa"/>
              <w:right w:w="108" w:type="dxa"/>
            </w:tcMar>
          </w:tcPr>
          <w:p w14:paraId="25B17DE8" w14:textId="77777777" w:rsidR="008E6885" w:rsidRDefault="00EA24E7">
            <w:pPr>
              <w:pStyle w:val="P68B1DB1-Normal35"/>
              <w:spacing w:after="0" w:line="276" w:lineRule="auto"/>
              <w:rPr>
                <w:rFonts w:ascii="Calibri" w:hAnsi="Calibri"/>
                <w:noProof/>
              </w:rPr>
            </w:pPr>
            <w:r>
              <w:rPr>
                <w:noProof/>
              </w:rPr>
              <w:t xml:space="preserve">6.4.3.r. Élaboration et mise en œuvre d'une stratégie de professionnalisation </w:t>
            </w:r>
          </w:p>
        </w:tc>
        <w:tc>
          <w:tcPr>
            <w:tcW w:w="1496" w:type="dxa"/>
            <w:shd w:val="clear" w:color="auto" w:fill="C6EFCE"/>
            <w:tcMar>
              <w:left w:w="108" w:type="dxa"/>
              <w:right w:w="108" w:type="dxa"/>
            </w:tcMar>
          </w:tcPr>
          <w:p w14:paraId="2537E2A2"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6BFE20EA" w14:textId="77777777" w:rsidR="008E6885" w:rsidRDefault="00EA24E7">
            <w:pPr>
              <w:pStyle w:val="P68B1DB1-Normal35"/>
              <w:spacing w:after="0" w:line="276" w:lineRule="auto"/>
              <w:jc w:val="both"/>
              <w:rPr>
                <w:rFonts w:ascii="Calibri" w:hAnsi="Calibri"/>
                <w:noProof/>
              </w:rPr>
            </w:pPr>
            <w:r>
              <w:rPr>
                <w:noProof/>
              </w:rPr>
              <w:t>Adoption d'une stratégie de professionnalisation des proxénètes</w:t>
            </w:r>
          </w:p>
        </w:tc>
      </w:tr>
      <w:tr w:rsidR="008E6885" w14:paraId="7AAB0D22" w14:textId="77777777">
        <w:trPr>
          <w:trHeight w:val="300"/>
        </w:trPr>
        <w:tc>
          <w:tcPr>
            <w:tcW w:w="1586" w:type="dxa"/>
            <w:shd w:val="clear" w:color="auto" w:fill="C6EFCE"/>
            <w:tcMar>
              <w:left w:w="108" w:type="dxa"/>
              <w:right w:w="108" w:type="dxa"/>
            </w:tcMar>
            <w:vAlign w:val="center"/>
          </w:tcPr>
          <w:p w14:paraId="6236049B" w14:textId="77777777" w:rsidR="008E6885" w:rsidRDefault="00EA24E7">
            <w:pPr>
              <w:pStyle w:val="P68B1DB1-Normal35"/>
              <w:spacing w:after="0" w:line="276" w:lineRule="auto"/>
              <w:jc w:val="center"/>
              <w:rPr>
                <w:rFonts w:ascii="Calibri" w:hAnsi="Calibri"/>
                <w:noProof/>
              </w:rPr>
            </w:pPr>
            <w:r>
              <w:rPr>
                <w:noProof/>
              </w:rPr>
              <w:t>211</w:t>
            </w:r>
          </w:p>
        </w:tc>
        <w:tc>
          <w:tcPr>
            <w:tcW w:w="3601" w:type="dxa"/>
            <w:shd w:val="clear" w:color="auto" w:fill="C6EFCE"/>
            <w:tcMar>
              <w:left w:w="108" w:type="dxa"/>
              <w:right w:w="108" w:type="dxa"/>
            </w:tcMar>
          </w:tcPr>
          <w:p w14:paraId="4D5BA30C" w14:textId="77777777" w:rsidR="008E6885" w:rsidRDefault="00EA24E7">
            <w:pPr>
              <w:pStyle w:val="P68B1DB1-Normal35"/>
              <w:spacing w:after="0" w:line="276" w:lineRule="auto"/>
              <w:rPr>
                <w:rFonts w:ascii="Calibri" w:hAnsi="Calibri"/>
                <w:noProof/>
              </w:rPr>
            </w:pPr>
            <w:r>
              <w:rPr>
                <w:noProof/>
              </w:rPr>
              <w:t xml:space="preserve">6.4.3.r. Élaboration et mise en œuvre d'une stratégie de professionnalisation </w:t>
            </w:r>
          </w:p>
        </w:tc>
        <w:tc>
          <w:tcPr>
            <w:tcW w:w="1496" w:type="dxa"/>
            <w:shd w:val="clear" w:color="auto" w:fill="C6EFCE"/>
            <w:tcMar>
              <w:left w:w="108" w:type="dxa"/>
              <w:right w:w="108" w:type="dxa"/>
            </w:tcMar>
          </w:tcPr>
          <w:p w14:paraId="4F8ADD0C" w14:textId="77777777" w:rsidR="008E6885" w:rsidRDefault="00EA24E7">
            <w:pPr>
              <w:pStyle w:val="P68B1DB1-Normal35"/>
              <w:spacing w:after="0" w:line="276" w:lineRule="auto"/>
              <w:jc w:val="center"/>
              <w:rPr>
                <w:rFonts w:ascii="Calibri" w:hAnsi="Calibri"/>
                <w:noProof/>
              </w:rPr>
            </w:pPr>
            <w:r>
              <w:rPr>
                <w:noProof/>
              </w:rPr>
              <w:t>Étape</w:t>
            </w:r>
          </w:p>
        </w:tc>
        <w:tc>
          <w:tcPr>
            <w:tcW w:w="2947" w:type="dxa"/>
            <w:shd w:val="clear" w:color="auto" w:fill="C6EFCE"/>
            <w:tcMar>
              <w:left w:w="108" w:type="dxa"/>
              <w:right w:w="108" w:type="dxa"/>
            </w:tcMar>
          </w:tcPr>
          <w:p w14:paraId="1D4EFF76" w14:textId="77777777" w:rsidR="008E6885" w:rsidRDefault="00EA24E7">
            <w:pPr>
              <w:pStyle w:val="P68B1DB1-Normal35"/>
              <w:spacing w:after="0" w:line="276" w:lineRule="auto"/>
              <w:jc w:val="both"/>
              <w:rPr>
                <w:rFonts w:ascii="Calibri" w:hAnsi="Calibri"/>
                <w:noProof/>
              </w:rPr>
            </w:pPr>
            <w:r>
              <w:rPr>
                <w:noProof/>
              </w:rPr>
              <w:t>Modifications des actes juridiques, des règlements et des procédures internes pertinents</w:t>
            </w:r>
          </w:p>
        </w:tc>
      </w:tr>
      <w:tr w:rsidR="008E6885" w14:paraId="6F905625" w14:textId="77777777">
        <w:trPr>
          <w:trHeight w:val="300"/>
        </w:trPr>
        <w:tc>
          <w:tcPr>
            <w:tcW w:w="1586" w:type="dxa"/>
            <w:shd w:val="clear" w:color="auto" w:fill="C6EFCE"/>
            <w:tcMar>
              <w:left w:w="108" w:type="dxa"/>
              <w:right w:w="108" w:type="dxa"/>
            </w:tcMar>
            <w:vAlign w:val="center"/>
          </w:tcPr>
          <w:p w14:paraId="0F23C532" w14:textId="77777777" w:rsidR="008E6885" w:rsidRDefault="00EA24E7">
            <w:pPr>
              <w:pStyle w:val="P68B1DB1-Normal35"/>
              <w:spacing w:after="0" w:line="276" w:lineRule="auto"/>
              <w:jc w:val="center"/>
              <w:rPr>
                <w:rFonts w:ascii="Calibri" w:hAnsi="Calibri"/>
                <w:noProof/>
              </w:rPr>
            </w:pPr>
            <w:r>
              <w:rPr>
                <w:noProof/>
              </w:rPr>
              <w:t xml:space="preserve"> </w:t>
            </w:r>
          </w:p>
        </w:tc>
        <w:tc>
          <w:tcPr>
            <w:tcW w:w="3601" w:type="dxa"/>
            <w:shd w:val="clear" w:color="auto" w:fill="C6EFCE"/>
            <w:tcMar>
              <w:left w:w="108" w:type="dxa"/>
              <w:right w:w="108" w:type="dxa"/>
            </w:tcMar>
            <w:vAlign w:val="center"/>
          </w:tcPr>
          <w:p w14:paraId="6A50BBBF" w14:textId="77777777" w:rsidR="008E6885" w:rsidRDefault="00EA24E7">
            <w:pPr>
              <w:pStyle w:val="P68B1DB1-Normal35"/>
              <w:spacing w:after="0" w:line="276" w:lineRule="auto"/>
              <w:rPr>
                <w:rFonts w:ascii="Calibri" w:hAnsi="Calibri"/>
                <w:noProof/>
              </w:rPr>
            </w:pPr>
            <w:r>
              <w:rPr>
                <w:noProof/>
              </w:rPr>
              <w:t xml:space="preserve"> </w:t>
            </w:r>
          </w:p>
        </w:tc>
        <w:tc>
          <w:tcPr>
            <w:tcW w:w="1496" w:type="dxa"/>
            <w:shd w:val="clear" w:color="auto" w:fill="C6EFCE"/>
            <w:tcMar>
              <w:left w:w="108" w:type="dxa"/>
              <w:right w:w="108" w:type="dxa"/>
            </w:tcMar>
          </w:tcPr>
          <w:p w14:paraId="363F6B26" w14:textId="77777777" w:rsidR="008E6885" w:rsidRDefault="00EA24E7">
            <w:pPr>
              <w:pStyle w:val="P68B1DB1-Normal35"/>
              <w:spacing w:after="0" w:line="276" w:lineRule="auto"/>
              <w:jc w:val="center"/>
              <w:rPr>
                <w:rFonts w:ascii="Calibri" w:hAnsi="Calibri"/>
                <w:noProof/>
              </w:rPr>
            </w:pPr>
            <w:r>
              <w:rPr>
                <w:noProof/>
              </w:rPr>
              <w:t>Montant des acomptes provisionnels</w:t>
            </w:r>
          </w:p>
        </w:tc>
        <w:tc>
          <w:tcPr>
            <w:tcW w:w="2947" w:type="dxa"/>
            <w:shd w:val="clear" w:color="auto" w:fill="C6EFCE"/>
            <w:tcMar>
              <w:left w:w="108" w:type="dxa"/>
              <w:right w:w="108" w:type="dxa"/>
            </w:tcMar>
            <w:vAlign w:val="center"/>
          </w:tcPr>
          <w:p w14:paraId="39FE65B3" w14:textId="77777777" w:rsidR="008E6885" w:rsidRDefault="00EA24E7">
            <w:pPr>
              <w:pStyle w:val="P68B1DB1-Normal5"/>
              <w:spacing w:after="0" w:line="276" w:lineRule="auto"/>
              <w:jc w:val="both"/>
              <w:rPr>
                <w:rFonts w:ascii="Calibri" w:hAnsi="Calibri"/>
                <w:noProof/>
                <w:sz w:val="22"/>
              </w:rPr>
            </w:pPr>
            <w:r>
              <w:rPr>
                <w:noProof/>
                <w:color w:val="000000"/>
                <w:sz w:val="22"/>
              </w:rPr>
              <w:t>388</w:t>
            </w:r>
            <w:r>
              <w:rPr>
                <w:noProof/>
                <w:sz w:val="20"/>
              </w:rPr>
              <w:t>  </w:t>
            </w:r>
            <w:r>
              <w:rPr>
                <w:noProof/>
                <w:color w:val="000000"/>
                <w:sz w:val="22"/>
              </w:rPr>
              <w:t>000 000</w:t>
            </w:r>
            <w:r>
              <w:rPr>
                <w:noProof/>
                <w:sz w:val="20"/>
              </w:rPr>
              <w:t> </w:t>
            </w:r>
            <w:r>
              <w:rPr>
                <w:noProof/>
                <w:color w:val="000000"/>
                <w:sz w:val="22"/>
              </w:rPr>
              <w:t>EUR</w:t>
            </w:r>
          </w:p>
        </w:tc>
      </w:tr>
      <w:bookmarkEnd w:id="2"/>
    </w:tbl>
    <w:p w14:paraId="05C3B5CF" w14:textId="77777777" w:rsidR="008E6885" w:rsidRDefault="008E6885">
      <w:pPr>
        <w:pStyle w:val="ListParagraph"/>
        <w:spacing w:after="0" w:line="257" w:lineRule="auto"/>
        <w:ind w:left="567" w:hanging="567"/>
        <w:jc w:val="both"/>
        <w:rPr>
          <w:rFonts w:ascii="Times New Roman" w:eastAsia="Times New Roman" w:hAnsi="Times New Roman" w:cs="Times New Roman"/>
          <w:noProof/>
        </w:rPr>
      </w:pPr>
    </w:p>
    <w:p w14:paraId="402286CA" w14:textId="77777777" w:rsidR="008E6885" w:rsidRDefault="00EA24E7">
      <w:pPr>
        <w:pStyle w:val="P68B1DB1-ListParagraph37"/>
        <w:numPr>
          <w:ilvl w:val="1"/>
          <w:numId w:val="11"/>
        </w:numPr>
        <w:spacing w:after="0" w:line="257" w:lineRule="auto"/>
        <w:ind w:left="567" w:hanging="567"/>
        <w:jc w:val="both"/>
        <w:rPr>
          <w:rFonts w:eastAsia="Times New Roman" w:cs="Times New Roman"/>
          <w:noProof/>
        </w:rPr>
      </w:pPr>
      <w:r>
        <w:rPr>
          <w:noProof/>
        </w:rPr>
        <w:t>Troisième tranche (soutien non remboursable):</w:t>
      </w:r>
    </w:p>
    <w:p w14:paraId="0799BCE4" w14:textId="77777777" w:rsidR="008E6885" w:rsidRDefault="008E6885">
      <w:pPr>
        <w:pStyle w:val="ListParagraph"/>
        <w:spacing w:after="0" w:line="257" w:lineRule="auto"/>
        <w:ind w:left="567" w:hanging="567"/>
        <w:jc w:val="both"/>
        <w:rPr>
          <w:rFonts w:ascii="Times New Roman" w:eastAsia="Times New Roman" w:hAnsi="Times New Roman" w:cs="Times New Roman"/>
          <w:noProof/>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9"/>
        <w:gridCol w:w="3638"/>
        <w:gridCol w:w="1491"/>
        <w:gridCol w:w="3052"/>
      </w:tblGrid>
      <w:tr w:rsidR="008E6885" w14:paraId="281DD52C" w14:textId="77777777">
        <w:trPr>
          <w:trHeight w:val="300"/>
          <w:tblHeader/>
        </w:trPr>
        <w:tc>
          <w:tcPr>
            <w:tcW w:w="1449" w:type="dxa"/>
            <w:shd w:val="clear" w:color="auto" w:fill="BDD7EE"/>
            <w:tcMar>
              <w:left w:w="108" w:type="dxa"/>
              <w:right w:w="108" w:type="dxa"/>
            </w:tcMar>
            <w:vAlign w:val="center"/>
          </w:tcPr>
          <w:p w14:paraId="2FF03193" w14:textId="77777777" w:rsidR="008E6885" w:rsidRDefault="00EA24E7">
            <w:pPr>
              <w:pStyle w:val="P68B1DB1-Normal38"/>
              <w:spacing w:after="0"/>
              <w:jc w:val="center"/>
              <w:rPr>
                <w:noProof/>
              </w:rPr>
            </w:pPr>
            <w:r>
              <w:rPr>
                <w:noProof/>
              </w:rPr>
              <w:t>Numéro séquentiel</w:t>
            </w:r>
          </w:p>
        </w:tc>
        <w:tc>
          <w:tcPr>
            <w:tcW w:w="3638" w:type="dxa"/>
            <w:shd w:val="clear" w:color="auto" w:fill="BDD7EE"/>
            <w:tcMar>
              <w:left w:w="108" w:type="dxa"/>
              <w:right w:w="108" w:type="dxa"/>
            </w:tcMar>
            <w:vAlign w:val="center"/>
          </w:tcPr>
          <w:p w14:paraId="2CAA9777" w14:textId="77777777" w:rsidR="008E6885" w:rsidRDefault="00EA24E7">
            <w:pPr>
              <w:spacing w:after="0"/>
              <w:jc w:val="center"/>
              <w:rPr>
                <w:noProof/>
              </w:rPr>
            </w:pPr>
            <w:r>
              <w:rPr>
                <w:rFonts w:ascii="Times New Roman" w:hAnsi="Times New Roman"/>
                <w:b/>
                <w:noProof/>
                <w:color w:val="000000" w:themeColor="text1"/>
              </w:rPr>
              <w:t>Mesure connexe</w:t>
            </w:r>
            <w:r>
              <w:rPr>
                <w:noProof/>
              </w:rPr>
              <w:t xml:space="preserve"> </w:t>
            </w:r>
            <w:r>
              <w:rPr>
                <w:noProof/>
              </w:rPr>
              <w:br/>
            </w:r>
            <w:r>
              <w:rPr>
                <w:rFonts w:ascii="Times New Roman" w:hAnsi="Times New Roman"/>
                <w:b/>
                <w:noProof/>
                <w:color w:val="000000" w:themeColor="text1"/>
              </w:rPr>
              <w:t>(Réforme ou investissement)</w:t>
            </w:r>
          </w:p>
        </w:tc>
        <w:tc>
          <w:tcPr>
            <w:tcW w:w="1491" w:type="dxa"/>
            <w:shd w:val="clear" w:color="auto" w:fill="BDD7EE"/>
            <w:tcMar>
              <w:left w:w="108" w:type="dxa"/>
              <w:right w:w="108" w:type="dxa"/>
            </w:tcMar>
            <w:vAlign w:val="center"/>
          </w:tcPr>
          <w:p w14:paraId="27817983" w14:textId="77777777" w:rsidR="008E6885" w:rsidRDefault="00EA24E7">
            <w:pPr>
              <w:pStyle w:val="P68B1DB1-Normal38"/>
              <w:spacing w:after="0"/>
              <w:jc w:val="center"/>
              <w:rPr>
                <w:noProof/>
              </w:rPr>
            </w:pPr>
            <w:r>
              <w:rPr>
                <w:noProof/>
              </w:rPr>
              <w:t>Étape/cible</w:t>
            </w:r>
          </w:p>
        </w:tc>
        <w:tc>
          <w:tcPr>
            <w:tcW w:w="3052" w:type="dxa"/>
            <w:shd w:val="clear" w:color="auto" w:fill="BDD7EE"/>
            <w:tcMar>
              <w:left w:w="108" w:type="dxa"/>
              <w:right w:w="108" w:type="dxa"/>
            </w:tcMar>
            <w:vAlign w:val="center"/>
          </w:tcPr>
          <w:p w14:paraId="2D1F62CB" w14:textId="77777777" w:rsidR="008E6885" w:rsidRDefault="00EA24E7">
            <w:pPr>
              <w:pStyle w:val="P68B1DB1-Normal38"/>
              <w:spacing w:after="0"/>
              <w:jc w:val="center"/>
              <w:rPr>
                <w:noProof/>
              </w:rPr>
            </w:pPr>
            <w:r>
              <w:rPr>
                <w:noProof/>
              </w:rPr>
              <w:t>Nom</w:t>
            </w:r>
          </w:p>
        </w:tc>
      </w:tr>
      <w:tr w:rsidR="008E6885" w14:paraId="2FA3C6E1" w14:textId="77777777">
        <w:trPr>
          <w:trHeight w:val="300"/>
        </w:trPr>
        <w:tc>
          <w:tcPr>
            <w:tcW w:w="1449" w:type="dxa"/>
            <w:shd w:val="clear" w:color="auto" w:fill="C6EFCE"/>
            <w:tcMar>
              <w:left w:w="108" w:type="dxa"/>
              <w:right w:w="108" w:type="dxa"/>
            </w:tcMar>
            <w:vAlign w:val="center"/>
          </w:tcPr>
          <w:p w14:paraId="1B87C125" w14:textId="77777777" w:rsidR="008E6885" w:rsidRDefault="00EA24E7">
            <w:pPr>
              <w:pStyle w:val="P68B1DB1-Normal39"/>
              <w:spacing w:after="0"/>
              <w:jc w:val="center"/>
              <w:rPr>
                <w:noProof/>
              </w:rPr>
            </w:pPr>
            <w:r>
              <w:rPr>
                <w:noProof/>
              </w:rPr>
              <w:t>1</w:t>
            </w:r>
          </w:p>
        </w:tc>
        <w:tc>
          <w:tcPr>
            <w:tcW w:w="3638" w:type="dxa"/>
            <w:shd w:val="clear" w:color="auto" w:fill="C6EFCE"/>
            <w:tcMar>
              <w:left w:w="108" w:type="dxa"/>
              <w:right w:w="108" w:type="dxa"/>
            </w:tcMar>
          </w:tcPr>
          <w:p w14:paraId="420958D8" w14:textId="77777777" w:rsidR="008E6885" w:rsidRDefault="00EA24E7">
            <w:pPr>
              <w:pStyle w:val="P68B1DB1-Normal39"/>
              <w:spacing w:after="0"/>
              <w:rPr>
                <w:noProof/>
              </w:rPr>
            </w:pPr>
            <w:r>
              <w:rPr>
                <w:noProof/>
              </w:rPr>
              <w:t>1.1.1.r. Un système de transport durable</w:t>
            </w:r>
          </w:p>
        </w:tc>
        <w:tc>
          <w:tcPr>
            <w:tcW w:w="1491" w:type="dxa"/>
            <w:shd w:val="clear" w:color="auto" w:fill="C6EFCE"/>
            <w:tcMar>
              <w:left w:w="108" w:type="dxa"/>
              <w:right w:w="108" w:type="dxa"/>
            </w:tcMar>
          </w:tcPr>
          <w:p w14:paraId="7BA23D58"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1A1841DF" w14:textId="77777777" w:rsidR="008E6885" w:rsidRDefault="00EA24E7">
            <w:pPr>
              <w:pStyle w:val="P68B1DB1-Normal39"/>
              <w:spacing w:after="0"/>
              <w:jc w:val="both"/>
              <w:rPr>
                <w:noProof/>
              </w:rPr>
            </w:pPr>
            <w:r>
              <w:rPr>
                <w:noProof/>
              </w:rPr>
              <w:t>Approche coordonnée pour la planification, la commande et l'organisation du transport de passagers dans la région métropolitaine de Riga</w:t>
            </w:r>
          </w:p>
        </w:tc>
      </w:tr>
      <w:tr w:rsidR="008E6885" w14:paraId="5E4E0D81" w14:textId="77777777">
        <w:trPr>
          <w:trHeight w:val="300"/>
        </w:trPr>
        <w:tc>
          <w:tcPr>
            <w:tcW w:w="1449" w:type="dxa"/>
            <w:shd w:val="clear" w:color="auto" w:fill="C6EFCE"/>
            <w:tcMar>
              <w:left w:w="108" w:type="dxa"/>
              <w:right w:w="108" w:type="dxa"/>
            </w:tcMar>
            <w:vAlign w:val="center"/>
          </w:tcPr>
          <w:p w14:paraId="3911686D" w14:textId="77777777" w:rsidR="008E6885" w:rsidRDefault="00EA24E7">
            <w:pPr>
              <w:pStyle w:val="P68B1DB1-Normal39"/>
              <w:spacing w:after="0"/>
              <w:jc w:val="center"/>
              <w:rPr>
                <w:noProof/>
              </w:rPr>
            </w:pPr>
            <w:r>
              <w:rPr>
                <w:noProof/>
              </w:rPr>
              <w:t>19</w:t>
            </w:r>
          </w:p>
        </w:tc>
        <w:tc>
          <w:tcPr>
            <w:tcW w:w="3638" w:type="dxa"/>
            <w:shd w:val="clear" w:color="auto" w:fill="C6EFCE"/>
            <w:tcMar>
              <w:left w:w="108" w:type="dxa"/>
              <w:right w:w="108" w:type="dxa"/>
            </w:tcMar>
          </w:tcPr>
          <w:p w14:paraId="6BDFEA66" w14:textId="77777777" w:rsidR="008E6885" w:rsidRDefault="00EA24E7">
            <w:pPr>
              <w:pStyle w:val="P68B1DB1-Normal39"/>
              <w:spacing w:after="0"/>
              <w:rPr>
                <w:noProof/>
              </w:rPr>
            </w:pPr>
            <w:r>
              <w:rPr>
                <w:noProof/>
              </w:rPr>
              <w:t>1.2.1.5.i. Modernisation des réseaux de transport et de distribution d'électricité</w:t>
            </w:r>
          </w:p>
        </w:tc>
        <w:tc>
          <w:tcPr>
            <w:tcW w:w="1491" w:type="dxa"/>
            <w:shd w:val="clear" w:color="auto" w:fill="C6EFCE"/>
            <w:tcMar>
              <w:left w:w="108" w:type="dxa"/>
              <w:right w:w="108" w:type="dxa"/>
            </w:tcMar>
          </w:tcPr>
          <w:p w14:paraId="08302BDE" w14:textId="77777777" w:rsidR="008E6885" w:rsidRDefault="00EA24E7">
            <w:pPr>
              <w:pStyle w:val="P68B1DB1-Normal39"/>
              <w:spacing w:after="0"/>
              <w:jc w:val="center"/>
              <w:rPr>
                <w:noProof/>
              </w:rPr>
            </w:pPr>
            <w:r>
              <w:rPr>
                <w:noProof/>
              </w:rPr>
              <w:t>Objectif</w:t>
            </w:r>
          </w:p>
        </w:tc>
        <w:tc>
          <w:tcPr>
            <w:tcW w:w="3052" w:type="dxa"/>
            <w:shd w:val="clear" w:color="auto" w:fill="C6EFCE"/>
            <w:tcMar>
              <w:left w:w="108" w:type="dxa"/>
              <w:right w:w="108" w:type="dxa"/>
            </w:tcMar>
          </w:tcPr>
          <w:p w14:paraId="3B0F8AD6" w14:textId="77777777" w:rsidR="008E6885" w:rsidRDefault="00EA24E7">
            <w:pPr>
              <w:pStyle w:val="P68B1DB1-Normal40"/>
              <w:spacing w:after="0"/>
              <w:jc w:val="both"/>
              <w:rPr>
                <w:noProof/>
              </w:rPr>
            </w:pPr>
            <w:r>
              <w:rPr>
                <w:noProof/>
                <w:color w:val="000000" w:themeColor="text1"/>
              </w:rPr>
              <w:t>Notification des marchés attribués à des projets approuvés pour</w:t>
            </w:r>
            <w:r>
              <w:rPr>
                <w:noProof/>
                <w:sz w:val="20"/>
              </w:rPr>
              <w:t> </w:t>
            </w:r>
            <w:r>
              <w:rPr>
                <w:noProof/>
                <w:color w:val="000000" w:themeColor="text1"/>
              </w:rPr>
              <w:t>un montant de 80</w:t>
            </w:r>
            <w:r>
              <w:rPr>
                <w:noProof/>
                <w:sz w:val="20"/>
              </w:rPr>
              <w:t> </w:t>
            </w:r>
            <w:r>
              <w:rPr>
                <w:noProof/>
                <w:color w:val="000000" w:themeColor="text1"/>
              </w:rPr>
              <w:t>000</w:t>
            </w:r>
            <w:r>
              <w:rPr>
                <w:noProof/>
                <w:sz w:val="20"/>
              </w:rPr>
              <w:t> </w:t>
            </w:r>
            <w:r>
              <w:rPr>
                <w:noProof/>
                <w:color w:val="000000" w:themeColor="text1"/>
              </w:rPr>
              <w:t>000 EUR</w:t>
            </w:r>
          </w:p>
        </w:tc>
      </w:tr>
      <w:tr w:rsidR="008E6885" w14:paraId="4577B10A" w14:textId="77777777">
        <w:trPr>
          <w:trHeight w:val="300"/>
        </w:trPr>
        <w:tc>
          <w:tcPr>
            <w:tcW w:w="1449" w:type="dxa"/>
            <w:shd w:val="clear" w:color="auto" w:fill="C6EFCE"/>
            <w:tcMar>
              <w:left w:w="108" w:type="dxa"/>
              <w:right w:w="108" w:type="dxa"/>
            </w:tcMar>
            <w:vAlign w:val="center"/>
          </w:tcPr>
          <w:p w14:paraId="7368FEED" w14:textId="77777777" w:rsidR="008E6885" w:rsidRDefault="00EA24E7">
            <w:pPr>
              <w:pStyle w:val="P68B1DB1-Normal39"/>
              <w:spacing w:after="0"/>
              <w:jc w:val="center"/>
              <w:rPr>
                <w:noProof/>
              </w:rPr>
            </w:pPr>
            <w:r>
              <w:rPr>
                <w:noProof/>
              </w:rPr>
              <w:t>29</w:t>
            </w:r>
          </w:p>
        </w:tc>
        <w:tc>
          <w:tcPr>
            <w:tcW w:w="3638" w:type="dxa"/>
            <w:shd w:val="clear" w:color="auto" w:fill="C6EFCE"/>
            <w:tcMar>
              <w:left w:w="108" w:type="dxa"/>
              <w:right w:w="108" w:type="dxa"/>
            </w:tcMar>
          </w:tcPr>
          <w:p w14:paraId="1E08CDF9" w14:textId="77777777" w:rsidR="008E6885" w:rsidRDefault="00EA24E7">
            <w:pPr>
              <w:pStyle w:val="P68B1DB1-Normal39"/>
              <w:spacing w:after="0"/>
              <w:rPr>
                <w:noProof/>
              </w:rPr>
            </w:pPr>
            <w:r>
              <w:rPr>
                <w:noProof/>
              </w:rPr>
              <w:t>2.1.1.1.i. Modernisation de l'administration et transformation numérique des services</w:t>
            </w:r>
          </w:p>
        </w:tc>
        <w:tc>
          <w:tcPr>
            <w:tcW w:w="1491" w:type="dxa"/>
            <w:shd w:val="clear" w:color="auto" w:fill="C6EFCE"/>
            <w:tcMar>
              <w:left w:w="108" w:type="dxa"/>
              <w:right w:w="108" w:type="dxa"/>
            </w:tcMar>
          </w:tcPr>
          <w:p w14:paraId="52D2974F" w14:textId="77777777" w:rsidR="008E6885" w:rsidRDefault="00EA24E7">
            <w:pPr>
              <w:pStyle w:val="P68B1DB1-Normal39"/>
              <w:spacing w:after="0"/>
              <w:jc w:val="center"/>
              <w:rPr>
                <w:noProof/>
              </w:rPr>
            </w:pPr>
            <w:r>
              <w:rPr>
                <w:noProof/>
              </w:rPr>
              <w:t>Objectif</w:t>
            </w:r>
          </w:p>
        </w:tc>
        <w:tc>
          <w:tcPr>
            <w:tcW w:w="3052" w:type="dxa"/>
            <w:shd w:val="clear" w:color="auto" w:fill="C6EFCE"/>
            <w:tcMar>
              <w:left w:w="108" w:type="dxa"/>
              <w:right w:w="108" w:type="dxa"/>
            </w:tcMar>
          </w:tcPr>
          <w:p w14:paraId="740380F8" w14:textId="77777777" w:rsidR="008E6885" w:rsidRDefault="00EA24E7">
            <w:pPr>
              <w:pStyle w:val="P68B1DB1-Normal39"/>
              <w:spacing w:after="0"/>
              <w:jc w:val="both"/>
              <w:rPr>
                <w:noProof/>
              </w:rPr>
            </w:pPr>
            <w:r>
              <w:rPr>
                <w:noProof/>
              </w:rPr>
              <w:t>Descriptions des activités de développement de solutions TIC développées et harmonisées</w:t>
            </w:r>
          </w:p>
        </w:tc>
      </w:tr>
      <w:tr w:rsidR="008E6885" w14:paraId="1470CA51" w14:textId="77777777">
        <w:trPr>
          <w:trHeight w:val="300"/>
        </w:trPr>
        <w:tc>
          <w:tcPr>
            <w:tcW w:w="1449" w:type="dxa"/>
            <w:shd w:val="clear" w:color="auto" w:fill="C6EFCE"/>
            <w:tcMar>
              <w:left w:w="108" w:type="dxa"/>
              <w:right w:w="108" w:type="dxa"/>
            </w:tcMar>
            <w:vAlign w:val="center"/>
          </w:tcPr>
          <w:p w14:paraId="1BCFABB8" w14:textId="77777777" w:rsidR="008E6885" w:rsidRDefault="00EA24E7">
            <w:pPr>
              <w:pStyle w:val="P68B1DB1-Normal39"/>
              <w:spacing w:after="0"/>
              <w:jc w:val="center"/>
              <w:rPr>
                <w:noProof/>
              </w:rPr>
            </w:pPr>
            <w:r>
              <w:rPr>
                <w:noProof/>
              </w:rPr>
              <w:t>32</w:t>
            </w:r>
          </w:p>
        </w:tc>
        <w:tc>
          <w:tcPr>
            <w:tcW w:w="3638" w:type="dxa"/>
            <w:shd w:val="clear" w:color="auto" w:fill="C6EFCE"/>
            <w:tcMar>
              <w:left w:w="108" w:type="dxa"/>
              <w:right w:w="108" w:type="dxa"/>
            </w:tcMar>
          </w:tcPr>
          <w:p w14:paraId="08FB7894" w14:textId="77777777" w:rsidR="008E6885" w:rsidRDefault="00EA24E7">
            <w:pPr>
              <w:pStyle w:val="P68B1DB1-Normal39"/>
              <w:spacing w:after="0"/>
              <w:rPr>
                <w:noProof/>
              </w:rPr>
            </w:pPr>
            <w:r>
              <w:rPr>
                <w:noProof/>
              </w:rPr>
              <w:t xml:space="preserve">2.1.2.1.i. Plateformes, solutions ou systèmes centralisés </w:t>
            </w:r>
          </w:p>
        </w:tc>
        <w:tc>
          <w:tcPr>
            <w:tcW w:w="1491" w:type="dxa"/>
            <w:shd w:val="clear" w:color="auto" w:fill="C6EFCE"/>
            <w:tcMar>
              <w:left w:w="108" w:type="dxa"/>
              <w:right w:w="108" w:type="dxa"/>
            </w:tcMar>
          </w:tcPr>
          <w:p w14:paraId="324D8B3A" w14:textId="77777777" w:rsidR="008E6885" w:rsidRDefault="00EA24E7">
            <w:pPr>
              <w:pStyle w:val="P68B1DB1-Normal39"/>
              <w:spacing w:after="0"/>
              <w:jc w:val="center"/>
              <w:rPr>
                <w:noProof/>
              </w:rPr>
            </w:pPr>
            <w:r>
              <w:rPr>
                <w:noProof/>
              </w:rPr>
              <w:t>Objectif</w:t>
            </w:r>
          </w:p>
        </w:tc>
        <w:tc>
          <w:tcPr>
            <w:tcW w:w="3052" w:type="dxa"/>
            <w:shd w:val="clear" w:color="auto" w:fill="C6EFCE"/>
            <w:tcMar>
              <w:left w:w="108" w:type="dxa"/>
              <w:right w:w="108" w:type="dxa"/>
            </w:tcMar>
          </w:tcPr>
          <w:p w14:paraId="63E2F228" w14:textId="1D22300B" w:rsidR="008E6885" w:rsidRDefault="00EA24E7">
            <w:pPr>
              <w:pStyle w:val="P68B1DB1-Normal39"/>
              <w:spacing w:after="0"/>
              <w:jc w:val="both"/>
              <w:rPr>
                <w:noProof/>
              </w:rPr>
            </w:pPr>
            <w:r>
              <w:rPr>
                <w:noProof/>
              </w:rPr>
              <w:t>Approbation des plans de développement pour la création, la transformation ou le déploiement de fonctions TIC centralisées et de services partagés</w:t>
            </w:r>
          </w:p>
        </w:tc>
      </w:tr>
      <w:tr w:rsidR="008E6885" w14:paraId="4E675F09" w14:textId="77777777">
        <w:trPr>
          <w:trHeight w:val="300"/>
        </w:trPr>
        <w:tc>
          <w:tcPr>
            <w:tcW w:w="1449" w:type="dxa"/>
            <w:shd w:val="clear" w:color="auto" w:fill="C6EFCE"/>
            <w:tcMar>
              <w:left w:w="108" w:type="dxa"/>
              <w:right w:w="108" w:type="dxa"/>
            </w:tcMar>
            <w:vAlign w:val="center"/>
          </w:tcPr>
          <w:p w14:paraId="460E3A7A" w14:textId="77777777" w:rsidR="008E6885" w:rsidRDefault="00EA24E7">
            <w:pPr>
              <w:pStyle w:val="P68B1DB1-Normal39"/>
              <w:spacing w:after="0"/>
              <w:jc w:val="center"/>
              <w:rPr>
                <w:noProof/>
              </w:rPr>
            </w:pPr>
            <w:r>
              <w:rPr>
                <w:noProof/>
              </w:rPr>
              <w:t>33</w:t>
            </w:r>
          </w:p>
        </w:tc>
        <w:tc>
          <w:tcPr>
            <w:tcW w:w="3638" w:type="dxa"/>
            <w:shd w:val="clear" w:color="auto" w:fill="C6EFCE"/>
            <w:tcMar>
              <w:left w:w="108" w:type="dxa"/>
              <w:right w:w="108" w:type="dxa"/>
            </w:tcMar>
          </w:tcPr>
          <w:p w14:paraId="2AE624E0" w14:textId="77777777" w:rsidR="008E6885" w:rsidRDefault="00EA24E7">
            <w:pPr>
              <w:pStyle w:val="P68B1DB1-Normal39"/>
              <w:spacing w:after="0"/>
              <w:rPr>
                <w:noProof/>
              </w:rPr>
            </w:pPr>
            <w:r>
              <w:rPr>
                <w:noProof/>
              </w:rPr>
              <w:t xml:space="preserve">2.1.2.1.i. Plateformes, solutions ou systèmes centralisés </w:t>
            </w:r>
          </w:p>
        </w:tc>
        <w:tc>
          <w:tcPr>
            <w:tcW w:w="1491" w:type="dxa"/>
            <w:shd w:val="clear" w:color="auto" w:fill="C6EFCE"/>
            <w:tcMar>
              <w:left w:w="108" w:type="dxa"/>
              <w:right w:w="108" w:type="dxa"/>
            </w:tcMar>
          </w:tcPr>
          <w:p w14:paraId="5A2174F3" w14:textId="77777777" w:rsidR="008E6885" w:rsidRDefault="00EA24E7">
            <w:pPr>
              <w:pStyle w:val="P68B1DB1-Normal39"/>
              <w:spacing w:after="0"/>
              <w:jc w:val="center"/>
              <w:rPr>
                <w:noProof/>
              </w:rPr>
            </w:pPr>
            <w:r>
              <w:rPr>
                <w:noProof/>
              </w:rPr>
              <w:t>Objectif</w:t>
            </w:r>
          </w:p>
        </w:tc>
        <w:tc>
          <w:tcPr>
            <w:tcW w:w="3052" w:type="dxa"/>
            <w:shd w:val="clear" w:color="auto" w:fill="C6EFCE"/>
            <w:tcMar>
              <w:left w:w="108" w:type="dxa"/>
              <w:right w:w="108" w:type="dxa"/>
            </w:tcMar>
          </w:tcPr>
          <w:p w14:paraId="5090645F" w14:textId="77777777" w:rsidR="008E6885" w:rsidRDefault="00EA24E7">
            <w:pPr>
              <w:pStyle w:val="P68B1DB1-Normal39"/>
              <w:spacing w:after="0"/>
              <w:jc w:val="both"/>
              <w:rPr>
                <w:noProof/>
              </w:rPr>
            </w:pPr>
            <w:r>
              <w:rPr>
                <w:noProof/>
              </w:rPr>
              <w:t xml:space="preserve">Approbation de descriptions harmonisées des activités de développement de solutions TIC centralisées </w:t>
            </w:r>
          </w:p>
        </w:tc>
      </w:tr>
      <w:tr w:rsidR="008E6885" w14:paraId="309ADF3C" w14:textId="77777777">
        <w:trPr>
          <w:trHeight w:val="300"/>
        </w:trPr>
        <w:tc>
          <w:tcPr>
            <w:tcW w:w="1449" w:type="dxa"/>
            <w:shd w:val="clear" w:color="auto" w:fill="C6EFCE"/>
            <w:tcMar>
              <w:left w:w="108" w:type="dxa"/>
              <w:right w:w="108" w:type="dxa"/>
            </w:tcMar>
            <w:vAlign w:val="center"/>
          </w:tcPr>
          <w:p w14:paraId="6EB5C3E5" w14:textId="77777777" w:rsidR="008E6885" w:rsidRDefault="00EA24E7">
            <w:pPr>
              <w:pStyle w:val="P68B1DB1-Normal39"/>
              <w:spacing w:after="0"/>
              <w:jc w:val="center"/>
              <w:rPr>
                <w:noProof/>
              </w:rPr>
            </w:pPr>
            <w:r>
              <w:rPr>
                <w:noProof/>
              </w:rPr>
              <w:t>38</w:t>
            </w:r>
          </w:p>
        </w:tc>
        <w:tc>
          <w:tcPr>
            <w:tcW w:w="3638" w:type="dxa"/>
            <w:shd w:val="clear" w:color="auto" w:fill="C6EFCE"/>
            <w:tcMar>
              <w:left w:w="108" w:type="dxa"/>
              <w:right w:w="108" w:type="dxa"/>
            </w:tcMar>
          </w:tcPr>
          <w:p w14:paraId="4E290A0C" w14:textId="77777777" w:rsidR="008E6885" w:rsidRDefault="00EA24E7">
            <w:pPr>
              <w:pStyle w:val="P68B1DB1-Normal39"/>
              <w:spacing w:after="0"/>
              <w:rPr>
                <w:noProof/>
              </w:rPr>
            </w:pPr>
            <w:r>
              <w:rPr>
                <w:noProof/>
              </w:rPr>
              <w:t>2.1.3.r. Développement de l'économie nationale des données économiques et des services numériques</w:t>
            </w:r>
          </w:p>
        </w:tc>
        <w:tc>
          <w:tcPr>
            <w:tcW w:w="1491" w:type="dxa"/>
            <w:shd w:val="clear" w:color="auto" w:fill="C6EFCE"/>
            <w:tcMar>
              <w:left w:w="108" w:type="dxa"/>
              <w:right w:w="108" w:type="dxa"/>
            </w:tcMar>
          </w:tcPr>
          <w:p w14:paraId="177350E5"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3DF30F33" w14:textId="77777777" w:rsidR="008E6885" w:rsidRDefault="00EA24E7">
            <w:pPr>
              <w:pStyle w:val="P68B1DB1-Normal39"/>
              <w:spacing w:after="0"/>
              <w:jc w:val="both"/>
              <w:rPr>
                <w:noProof/>
              </w:rPr>
            </w:pPr>
            <w:r>
              <w:rPr>
                <w:noProof/>
              </w:rPr>
              <w:t>Cadre juridique pour le fonctionnement de la plateforme nationale pour la circulation des données</w:t>
            </w:r>
          </w:p>
        </w:tc>
      </w:tr>
      <w:tr w:rsidR="008E6885" w14:paraId="214731AC" w14:textId="77777777">
        <w:trPr>
          <w:trHeight w:val="300"/>
        </w:trPr>
        <w:tc>
          <w:tcPr>
            <w:tcW w:w="1449" w:type="dxa"/>
            <w:shd w:val="clear" w:color="auto" w:fill="C6EFCE"/>
            <w:tcMar>
              <w:left w:w="108" w:type="dxa"/>
              <w:right w:w="108" w:type="dxa"/>
            </w:tcMar>
            <w:vAlign w:val="center"/>
          </w:tcPr>
          <w:p w14:paraId="4072D41E" w14:textId="77777777" w:rsidR="008E6885" w:rsidRDefault="00EA24E7">
            <w:pPr>
              <w:pStyle w:val="P68B1DB1-Normal39"/>
              <w:spacing w:after="0"/>
              <w:jc w:val="center"/>
              <w:rPr>
                <w:noProof/>
              </w:rPr>
            </w:pPr>
            <w:r>
              <w:rPr>
                <w:noProof/>
              </w:rPr>
              <w:t>57</w:t>
            </w:r>
          </w:p>
        </w:tc>
        <w:tc>
          <w:tcPr>
            <w:tcW w:w="3638" w:type="dxa"/>
            <w:shd w:val="clear" w:color="auto" w:fill="C6EFCE"/>
            <w:tcMar>
              <w:left w:w="108" w:type="dxa"/>
              <w:right w:w="108" w:type="dxa"/>
            </w:tcMar>
          </w:tcPr>
          <w:p w14:paraId="10405C24" w14:textId="77777777" w:rsidR="008E6885" w:rsidRDefault="00EA24E7">
            <w:pPr>
              <w:pStyle w:val="P68B1DB1-Normal39"/>
              <w:spacing w:after="0"/>
              <w:rPr>
                <w:noProof/>
              </w:rPr>
            </w:pPr>
            <w:r>
              <w:rPr>
                <w:noProof/>
              </w:rPr>
              <w:t xml:space="preserve">2.3.1.r. Élaboration d'un cadre de soutien durable et socialement responsable pour l'éducation et la formation des adultes </w:t>
            </w:r>
          </w:p>
        </w:tc>
        <w:tc>
          <w:tcPr>
            <w:tcW w:w="1491" w:type="dxa"/>
            <w:shd w:val="clear" w:color="auto" w:fill="C6EFCE"/>
            <w:tcMar>
              <w:left w:w="108" w:type="dxa"/>
              <w:right w:w="108" w:type="dxa"/>
            </w:tcMar>
          </w:tcPr>
          <w:p w14:paraId="101B915F"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0CA49726" w14:textId="77777777" w:rsidR="008E6885" w:rsidRDefault="00EA24E7">
            <w:pPr>
              <w:pStyle w:val="P68B1DB1-Normal39"/>
              <w:spacing w:after="0"/>
              <w:jc w:val="both"/>
              <w:rPr>
                <w:noProof/>
              </w:rPr>
            </w:pPr>
            <w:r>
              <w:rPr>
                <w:noProof/>
              </w:rPr>
              <w:t xml:space="preserve">Soutien accru à la formation des employés </w:t>
            </w:r>
          </w:p>
        </w:tc>
      </w:tr>
      <w:tr w:rsidR="008E6885" w14:paraId="529540DA" w14:textId="77777777">
        <w:trPr>
          <w:trHeight w:val="300"/>
        </w:trPr>
        <w:tc>
          <w:tcPr>
            <w:tcW w:w="1449" w:type="dxa"/>
            <w:shd w:val="clear" w:color="auto" w:fill="C6EFCE"/>
            <w:tcMar>
              <w:left w:w="108" w:type="dxa"/>
              <w:right w:w="108" w:type="dxa"/>
            </w:tcMar>
            <w:vAlign w:val="center"/>
          </w:tcPr>
          <w:p w14:paraId="4349550C" w14:textId="77777777" w:rsidR="008E6885" w:rsidRDefault="00EA24E7">
            <w:pPr>
              <w:pStyle w:val="P68B1DB1-Normal39"/>
              <w:spacing w:after="0"/>
              <w:jc w:val="center"/>
              <w:rPr>
                <w:noProof/>
              </w:rPr>
            </w:pPr>
            <w:r>
              <w:rPr>
                <w:noProof/>
              </w:rPr>
              <w:t>60</w:t>
            </w:r>
          </w:p>
        </w:tc>
        <w:tc>
          <w:tcPr>
            <w:tcW w:w="3638" w:type="dxa"/>
            <w:shd w:val="clear" w:color="auto" w:fill="C6EFCE"/>
            <w:tcMar>
              <w:left w:w="108" w:type="dxa"/>
              <w:right w:w="108" w:type="dxa"/>
            </w:tcMar>
          </w:tcPr>
          <w:p w14:paraId="6F5084B9" w14:textId="77777777" w:rsidR="008E6885" w:rsidRDefault="00EA24E7">
            <w:pPr>
              <w:pStyle w:val="P68B1DB1-Normal39"/>
              <w:spacing w:after="0"/>
              <w:rPr>
                <w:noProof/>
              </w:rPr>
            </w:pPr>
            <w:r>
              <w:rPr>
                <w:noProof/>
              </w:rPr>
              <w:t xml:space="preserve">2.3.1.r. Élaboration d'un cadre de soutien durable et socialement responsable pour l'éducation et la formation des adultes </w:t>
            </w:r>
          </w:p>
        </w:tc>
        <w:tc>
          <w:tcPr>
            <w:tcW w:w="1491" w:type="dxa"/>
            <w:shd w:val="clear" w:color="auto" w:fill="C6EFCE"/>
            <w:tcMar>
              <w:left w:w="108" w:type="dxa"/>
              <w:right w:w="108" w:type="dxa"/>
            </w:tcMar>
          </w:tcPr>
          <w:p w14:paraId="7F00A577"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56D8B499" w14:textId="77777777" w:rsidR="008E6885" w:rsidRDefault="00EA24E7">
            <w:pPr>
              <w:pStyle w:val="P68B1DB1-Normal39"/>
              <w:spacing w:after="0"/>
              <w:jc w:val="both"/>
              <w:rPr>
                <w:noProof/>
              </w:rPr>
            </w:pPr>
            <w:r>
              <w:rPr>
                <w:noProof/>
              </w:rPr>
              <w:t>Développement de l'approche des comptes de formation individuels (ILA)</w:t>
            </w:r>
          </w:p>
        </w:tc>
      </w:tr>
      <w:tr w:rsidR="008E6885" w14:paraId="2EFF4E3A" w14:textId="77777777">
        <w:trPr>
          <w:trHeight w:val="300"/>
        </w:trPr>
        <w:tc>
          <w:tcPr>
            <w:tcW w:w="1449" w:type="dxa"/>
            <w:shd w:val="clear" w:color="auto" w:fill="C6EFCE"/>
            <w:tcMar>
              <w:left w:w="108" w:type="dxa"/>
              <w:right w:w="108" w:type="dxa"/>
            </w:tcMar>
            <w:vAlign w:val="center"/>
          </w:tcPr>
          <w:p w14:paraId="42E5BAEB" w14:textId="77777777" w:rsidR="008E6885" w:rsidRDefault="00EA24E7">
            <w:pPr>
              <w:pStyle w:val="P68B1DB1-Normal39"/>
              <w:spacing w:after="0"/>
              <w:jc w:val="center"/>
              <w:rPr>
                <w:noProof/>
              </w:rPr>
            </w:pPr>
            <w:r>
              <w:rPr>
                <w:noProof/>
              </w:rPr>
              <w:t>74</w:t>
            </w:r>
          </w:p>
        </w:tc>
        <w:tc>
          <w:tcPr>
            <w:tcW w:w="3638" w:type="dxa"/>
            <w:shd w:val="clear" w:color="auto" w:fill="C6EFCE"/>
            <w:tcMar>
              <w:left w:w="108" w:type="dxa"/>
              <w:right w:w="108" w:type="dxa"/>
            </w:tcMar>
          </w:tcPr>
          <w:p w14:paraId="0240AD68" w14:textId="77777777" w:rsidR="008E6885" w:rsidRDefault="00EA24E7">
            <w:pPr>
              <w:pStyle w:val="P68B1DB1-Normal39"/>
              <w:spacing w:after="0"/>
              <w:rPr>
                <w:noProof/>
              </w:rPr>
            </w:pPr>
            <w:r>
              <w:rPr>
                <w:noProof/>
              </w:rPr>
              <w:t>2.3.2.2.i. Développement des compétences et des capacités en matière de transformation numérique des administrations étatiques et locales</w:t>
            </w:r>
          </w:p>
        </w:tc>
        <w:tc>
          <w:tcPr>
            <w:tcW w:w="1491" w:type="dxa"/>
            <w:shd w:val="clear" w:color="auto" w:fill="C6EFCE"/>
            <w:tcMar>
              <w:left w:w="108" w:type="dxa"/>
              <w:right w:w="108" w:type="dxa"/>
            </w:tcMar>
          </w:tcPr>
          <w:p w14:paraId="06490EB4"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3BC5D168" w14:textId="77777777" w:rsidR="008E6885" w:rsidRDefault="00EA24E7">
            <w:pPr>
              <w:pStyle w:val="P68B1DB1-Normal40"/>
              <w:spacing w:after="0"/>
              <w:jc w:val="both"/>
              <w:rPr>
                <w:noProof/>
              </w:rPr>
            </w:pPr>
            <w:r>
              <w:rPr>
                <w:noProof/>
              </w:rPr>
              <w:t>Élaboration d’un cadre de compétences numériques pour l’administration publique</w:t>
            </w:r>
          </w:p>
        </w:tc>
      </w:tr>
      <w:tr w:rsidR="008E6885" w14:paraId="22A0310B" w14:textId="77777777">
        <w:trPr>
          <w:trHeight w:val="300"/>
        </w:trPr>
        <w:tc>
          <w:tcPr>
            <w:tcW w:w="1449" w:type="dxa"/>
            <w:shd w:val="clear" w:color="auto" w:fill="C6EFCE"/>
            <w:tcMar>
              <w:left w:w="108" w:type="dxa"/>
              <w:right w:w="108" w:type="dxa"/>
            </w:tcMar>
            <w:vAlign w:val="center"/>
          </w:tcPr>
          <w:p w14:paraId="1368CE41" w14:textId="77777777" w:rsidR="008E6885" w:rsidRDefault="00EA24E7">
            <w:pPr>
              <w:pStyle w:val="P68B1DB1-Normal39"/>
              <w:spacing w:after="0"/>
              <w:jc w:val="center"/>
              <w:rPr>
                <w:noProof/>
              </w:rPr>
            </w:pPr>
            <w:r>
              <w:rPr>
                <w:noProof/>
              </w:rPr>
              <w:t>79</w:t>
            </w:r>
          </w:p>
        </w:tc>
        <w:tc>
          <w:tcPr>
            <w:tcW w:w="3638" w:type="dxa"/>
            <w:shd w:val="clear" w:color="auto" w:fill="C6EFCE"/>
            <w:tcMar>
              <w:left w:w="108" w:type="dxa"/>
              <w:right w:w="108" w:type="dxa"/>
            </w:tcMar>
          </w:tcPr>
          <w:p w14:paraId="36BD5C85" w14:textId="77777777" w:rsidR="008E6885" w:rsidRDefault="00EA24E7">
            <w:pPr>
              <w:pStyle w:val="P68B1DB1-Normal39"/>
              <w:spacing w:after="0"/>
              <w:rPr>
                <w:noProof/>
              </w:rPr>
            </w:pPr>
            <w:r>
              <w:rPr>
                <w:noProof/>
              </w:rPr>
              <w:t xml:space="preserve">2.3.2.3.i. Combler la fracture numérique pour les élèves et les établissements d'enseignement socialement vulnérables </w:t>
            </w:r>
          </w:p>
        </w:tc>
        <w:tc>
          <w:tcPr>
            <w:tcW w:w="1491" w:type="dxa"/>
            <w:shd w:val="clear" w:color="auto" w:fill="C6EFCE"/>
            <w:tcMar>
              <w:left w:w="108" w:type="dxa"/>
              <w:right w:w="108" w:type="dxa"/>
            </w:tcMar>
          </w:tcPr>
          <w:p w14:paraId="19932A0B" w14:textId="77777777" w:rsidR="008E6885" w:rsidRDefault="00EA24E7">
            <w:pPr>
              <w:pStyle w:val="P68B1DB1-Normal39"/>
              <w:spacing w:after="0"/>
              <w:jc w:val="center"/>
              <w:rPr>
                <w:noProof/>
              </w:rPr>
            </w:pPr>
            <w:r>
              <w:rPr>
                <w:noProof/>
              </w:rPr>
              <w:t>Objectif</w:t>
            </w:r>
          </w:p>
        </w:tc>
        <w:tc>
          <w:tcPr>
            <w:tcW w:w="3052" w:type="dxa"/>
            <w:shd w:val="clear" w:color="auto" w:fill="C6EFCE"/>
            <w:tcMar>
              <w:left w:w="108" w:type="dxa"/>
              <w:right w:w="108" w:type="dxa"/>
            </w:tcMar>
          </w:tcPr>
          <w:p w14:paraId="3DC0A5AA" w14:textId="77777777" w:rsidR="008E6885" w:rsidRDefault="00EA24E7">
            <w:pPr>
              <w:pStyle w:val="P68B1DB1-Normal39"/>
              <w:spacing w:after="0"/>
              <w:jc w:val="both"/>
              <w:rPr>
                <w:noProof/>
              </w:rPr>
            </w:pPr>
            <w:r>
              <w:rPr>
                <w:noProof/>
              </w:rPr>
              <w:t>Nombre d’unités d’équipement TIC pour le groupe cible (apprenants)</w:t>
            </w:r>
          </w:p>
        </w:tc>
      </w:tr>
      <w:tr w:rsidR="008E6885" w14:paraId="46D79C11" w14:textId="77777777">
        <w:trPr>
          <w:trHeight w:val="300"/>
        </w:trPr>
        <w:tc>
          <w:tcPr>
            <w:tcW w:w="1449" w:type="dxa"/>
            <w:shd w:val="clear" w:color="auto" w:fill="C6EFCE"/>
            <w:tcMar>
              <w:left w:w="108" w:type="dxa"/>
              <w:right w:w="108" w:type="dxa"/>
            </w:tcMar>
            <w:vAlign w:val="center"/>
          </w:tcPr>
          <w:p w14:paraId="76863501" w14:textId="77777777" w:rsidR="008E6885" w:rsidRDefault="00EA24E7">
            <w:pPr>
              <w:pStyle w:val="P68B1DB1-Normal39"/>
              <w:spacing w:after="0"/>
              <w:jc w:val="center"/>
              <w:rPr>
                <w:noProof/>
              </w:rPr>
            </w:pPr>
            <w:r>
              <w:rPr>
                <w:noProof/>
              </w:rPr>
              <w:t>84</w:t>
            </w:r>
          </w:p>
        </w:tc>
        <w:tc>
          <w:tcPr>
            <w:tcW w:w="3638" w:type="dxa"/>
            <w:shd w:val="clear" w:color="auto" w:fill="C6EFCE"/>
            <w:tcMar>
              <w:left w:w="108" w:type="dxa"/>
              <w:right w:w="108" w:type="dxa"/>
            </w:tcMar>
          </w:tcPr>
          <w:p w14:paraId="15AC688B" w14:textId="77777777" w:rsidR="008E6885" w:rsidRDefault="00EA24E7">
            <w:pPr>
              <w:pStyle w:val="P68B1DB1-Normal39"/>
              <w:spacing w:after="0"/>
              <w:rPr>
                <w:noProof/>
              </w:rPr>
            </w:pPr>
            <w:r>
              <w:rPr>
                <w:noProof/>
              </w:rPr>
              <w:t xml:space="preserve">3.1.1.r. Réforme administrative territoriale </w:t>
            </w:r>
          </w:p>
        </w:tc>
        <w:tc>
          <w:tcPr>
            <w:tcW w:w="1491" w:type="dxa"/>
            <w:shd w:val="clear" w:color="auto" w:fill="C6EFCE"/>
            <w:tcMar>
              <w:left w:w="108" w:type="dxa"/>
              <w:right w:w="108" w:type="dxa"/>
            </w:tcMar>
          </w:tcPr>
          <w:p w14:paraId="123355AB"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566A4B4D" w14:textId="77777777" w:rsidR="008E6885" w:rsidRDefault="00EA24E7">
            <w:pPr>
              <w:pStyle w:val="P68B1DB1-Normal39"/>
              <w:spacing w:after="0"/>
              <w:jc w:val="both"/>
              <w:rPr>
                <w:noProof/>
              </w:rPr>
            </w:pPr>
            <w:r>
              <w:rPr>
                <w:noProof/>
              </w:rPr>
              <w:t xml:space="preserve">Entrée en vigueur d’une nouvelle «loi municipale» </w:t>
            </w:r>
          </w:p>
        </w:tc>
      </w:tr>
      <w:tr w:rsidR="008E6885" w14:paraId="5400A9CE" w14:textId="77777777">
        <w:trPr>
          <w:trHeight w:val="300"/>
        </w:trPr>
        <w:tc>
          <w:tcPr>
            <w:tcW w:w="1449" w:type="dxa"/>
            <w:shd w:val="clear" w:color="auto" w:fill="C6EFCE"/>
            <w:tcMar>
              <w:left w:w="108" w:type="dxa"/>
              <w:right w:w="108" w:type="dxa"/>
            </w:tcMar>
            <w:vAlign w:val="center"/>
          </w:tcPr>
          <w:p w14:paraId="588B22DF" w14:textId="77777777" w:rsidR="008E6885" w:rsidRDefault="00EA24E7">
            <w:pPr>
              <w:pStyle w:val="P68B1DB1-Normal39"/>
              <w:spacing w:after="0"/>
              <w:jc w:val="center"/>
              <w:rPr>
                <w:noProof/>
              </w:rPr>
            </w:pPr>
            <w:r>
              <w:rPr>
                <w:noProof/>
              </w:rPr>
              <w:t>94</w:t>
            </w:r>
          </w:p>
        </w:tc>
        <w:tc>
          <w:tcPr>
            <w:tcW w:w="3638" w:type="dxa"/>
            <w:shd w:val="clear" w:color="auto" w:fill="C6EFCE"/>
            <w:tcMar>
              <w:left w:w="108" w:type="dxa"/>
              <w:right w:w="108" w:type="dxa"/>
            </w:tcMar>
          </w:tcPr>
          <w:p w14:paraId="6CC5B806" w14:textId="77777777" w:rsidR="008E6885" w:rsidRDefault="00EA24E7">
            <w:pPr>
              <w:pStyle w:val="P68B1DB1-Normal39"/>
              <w:spacing w:after="0"/>
              <w:rPr>
                <w:noProof/>
              </w:rPr>
            </w:pPr>
            <w:r>
              <w:rPr>
                <w:noProof/>
              </w:rPr>
              <w:t xml:space="preserve">3.1.1.3.i. Investissements dans les infrastructures publiques pour le développement de parcs industriels dans les régions </w:t>
            </w:r>
          </w:p>
        </w:tc>
        <w:tc>
          <w:tcPr>
            <w:tcW w:w="1491" w:type="dxa"/>
            <w:shd w:val="clear" w:color="auto" w:fill="C6EFCE"/>
            <w:tcMar>
              <w:left w:w="108" w:type="dxa"/>
              <w:right w:w="108" w:type="dxa"/>
            </w:tcMar>
          </w:tcPr>
          <w:p w14:paraId="7831B769"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26563374" w14:textId="77777777" w:rsidR="008E6885" w:rsidRDefault="00EA24E7">
            <w:pPr>
              <w:pStyle w:val="P68B1DB1-Normal39"/>
              <w:spacing w:after="0"/>
              <w:jc w:val="both"/>
              <w:rPr>
                <w:noProof/>
              </w:rPr>
            </w:pPr>
            <w:r>
              <w:rPr>
                <w:noProof/>
              </w:rPr>
              <w:t xml:space="preserve">Attribution de marchés pour le développement de parcs industriels dans les régions </w:t>
            </w:r>
          </w:p>
        </w:tc>
      </w:tr>
      <w:tr w:rsidR="008E6885" w14:paraId="6CA2FACF" w14:textId="77777777">
        <w:trPr>
          <w:trHeight w:val="300"/>
        </w:trPr>
        <w:tc>
          <w:tcPr>
            <w:tcW w:w="1449" w:type="dxa"/>
            <w:shd w:val="clear" w:color="auto" w:fill="C6EFCE"/>
            <w:tcMar>
              <w:left w:w="108" w:type="dxa"/>
              <w:right w:w="108" w:type="dxa"/>
            </w:tcMar>
            <w:vAlign w:val="center"/>
          </w:tcPr>
          <w:p w14:paraId="387F144F" w14:textId="77777777" w:rsidR="008E6885" w:rsidRDefault="00EA24E7">
            <w:pPr>
              <w:pStyle w:val="P68B1DB1-Normal39"/>
              <w:spacing w:after="0"/>
              <w:jc w:val="center"/>
              <w:rPr>
                <w:noProof/>
              </w:rPr>
            </w:pPr>
            <w:r>
              <w:rPr>
                <w:noProof/>
              </w:rPr>
              <w:t>101</w:t>
            </w:r>
          </w:p>
        </w:tc>
        <w:tc>
          <w:tcPr>
            <w:tcW w:w="3638" w:type="dxa"/>
            <w:shd w:val="clear" w:color="auto" w:fill="C6EFCE"/>
            <w:tcMar>
              <w:left w:w="108" w:type="dxa"/>
              <w:right w:w="108" w:type="dxa"/>
            </w:tcMar>
          </w:tcPr>
          <w:p w14:paraId="7E3AF7AF" w14:textId="77777777" w:rsidR="008E6885" w:rsidRDefault="00EA24E7">
            <w:pPr>
              <w:pStyle w:val="P68B1DB1-Normal39"/>
              <w:spacing w:after="0"/>
              <w:rPr>
                <w:noProof/>
              </w:rPr>
            </w:pPr>
            <w:r>
              <w:rPr>
                <w:noProof/>
              </w:rPr>
              <w:t xml:space="preserve">3.1.1.4.i. Création d'un fonds de financement pour la construction de logements à loyer modique </w:t>
            </w:r>
          </w:p>
        </w:tc>
        <w:tc>
          <w:tcPr>
            <w:tcW w:w="1491" w:type="dxa"/>
            <w:shd w:val="clear" w:color="auto" w:fill="C6EFCE"/>
            <w:tcMar>
              <w:left w:w="108" w:type="dxa"/>
              <w:right w:w="108" w:type="dxa"/>
            </w:tcMar>
          </w:tcPr>
          <w:p w14:paraId="373CDE60" w14:textId="77777777" w:rsidR="008E6885" w:rsidRDefault="00EA24E7">
            <w:pPr>
              <w:pStyle w:val="P68B1DB1-Normal39"/>
              <w:spacing w:after="0"/>
              <w:jc w:val="center"/>
              <w:rPr>
                <w:noProof/>
              </w:rPr>
            </w:pPr>
            <w:r>
              <w:rPr>
                <w:noProof/>
              </w:rPr>
              <w:t>Objectif</w:t>
            </w:r>
          </w:p>
        </w:tc>
        <w:tc>
          <w:tcPr>
            <w:tcW w:w="3052" w:type="dxa"/>
            <w:shd w:val="clear" w:color="auto" w:fill="C6EFCE"/>
            <w:tcMar>
              <w:left w:w="108" w:type="dxa"/>
              <w:right w:w="108" w:type="dxa"/>
            </w:tcMar>
          </w:tcPr>
          <w:p w14:paraId="352BCEA2" w14:textId="77777777" w:rsidR="008E6885" w:rsidRDefault="00EA24E7">
            <w:pPr>
              <w:pStyle w:val="P68B1DB1-Normal39"/>
              <w:spacing w:after="0"/>
              <w:jc w:val="both"/>
              <w:rPr>
                <w:noProof/>
              </w:rPr>
            </w:pPr>
            <w:r>
              <w:rPr>
                <w:noProof/>
              </w:rPr>
              <w:t xml:space="preserve">Nombre d'appartements dans le cadre de projets approuvés </w:t>
            </w:r>
          </w:p>
        </w:tc>
      </w:tr>
      <w:tr w:rsidR="008E6885" w14:paraId="4BF702ED" w14:textId="77777777">
        <w:trPr>
          <w:trHeight w:val="300"/>
        </w:trPr>
        <w:tc>
          <w:tcPr>
            <w:tcW w:w="1449" w:type="dxa"/>
            <w:shd w:val="clear" w:color="auto" w:fill="C6EFCE"/>
            <w:tcMar>
              <w:left w:w="108" w:type="dxa"/>
              <w:right w:w="108" w:type="dxa"/>
            </w:tcMar>
            <w:vAlign w:val="center"/>
          </w:tcPr>
          <w:p w14:paraId="437CCEDC" w14:textId="77777777" w:rsidR="008E6885" w:rsidRDefault="00EA24E7">
            <w:pPr>
              <w:pStyle w:val="P68B1DB1-Normal39"/>
              <w:spacing w:after="0"/>
              <w:jc w:val="center"/>
              <w:rPr>
                <w:rFonts w:eastAsia="Times New Roman" w:cs="Times New Roman"/>
                <w:noProof/>
              </w:rPr>
            </w:pPr>
            <w:r>
              <w:rPr>
                <w:noProof/>
              </w:rPr>
              <w:t>108</w:t>
            </w:r>
          </w:p>
        </w:tc>
        <w:tc>
          <w:tcPr>
            <w:tcW w:w="3638" w:type="dxa"/>
            <w:shd w:val="clear" w:color="auto" w:fill="C6EFCE"/>
            <w:tcMar>
              <w:left w:w="108" w:type="dxa"/>
              <w:right w:w="108" w:type="dxa"/>
            </w:tcMar>
          </w:tcPr>
          <w:p w14:paraId="2618AAE9" w14:textId="77777777" w:rsidR="008E6885" w:rsidRDefault="00EA24E7">
            <w:pPr>
              <w:pStyle w:val="P68B1DB1-Normal41"/>
              <w:spacing w:after="0"/>
              <w:rPr>
                <w:rFonts w:eastAsia="Times New Roman"/>
                <w:noProof/>
              </w:rPr>
            </w:pPr>
            <w:r>
              <w:rPr>
                <w:noProof/>
              </w:rPr>
              <w:t xml:space="preserve">3.1.1.6.i. Achat d'autobus scolaires électriques </w:t>
            </w:r>
          </w:p>
        </w:tc>
        <w:tc>
          <w:tcPr>
            <w:tcW w:w="1491" w:type="dxa"/>
            <w:shd w:val="clear" w:color="auto" w:fill="C6EFCE"/>
            <w:tcMar>
              <w:left w:w="108" w:type="dxa"/>
              <w:right w:w="108" w:type="dxa"/>
            </w:tcMar>
          </w:tcPr>
          <w:p w14:paraId="1B617015" w14:textId="77777777" w:rsidR="008E6885" w:rsidRDefault="00EA24E7">
            <w:pPr>
              <w:pStyle w:val="P68B1DB1-Normal41"/>
              <w:spacing w:after="0"/>
              <w:jc w:val="center"/>
              <w:rPr>
                <w:rFonts w:eastAsia="Times New Roman"/>
                <w:noProof/>
              </w:rPr>
            </w:pPr>
            <w:r>
              <w:rPr>
                <w:noProof/>
              </w:rPr>
              <w:t>Objectif</w:t>
            </w:r>
          </w:p>
        </w:tc>
        <w:tc>
          <w:tcPr>
            <w:tcW w:w="3052" w:type="dxa"/>
            <w:shd w:val="clear" w:color="auto" w:fill="C6EFCE"/>
            <w:tcMar>
              <w:left w:w="108" w:type="dxa"/>
              <w:right w:w="108" w:type="dxa"/>
            </w:tcMar>
          </w:tcPr>
          <w:p w14:paraId="04159B64" w14:textId="77777777" w:rsidR="008E6885" w:rsidRDefault="00EA24E7">
            <w:pPr>
              <w:pStyle w:val="P68B1DB1-Normal43"/>
              <w:spacing w:after="0"/>
              <w:jc w:val="both"/>
              <w:rPr>
                <w:rFonts w:eastAsia="Times New Roman"/>
                <w:noProof/>
                <w:color w:val="000000" w:themeColor="text1"/>
              </w:rPr>
            </w:pPr>
            <w:r>
              <w:rPr>
                <w:noProof/>
              </w:rPr>
              <w:t>Nombre d’autobus scolaires électriques dans le cadre de contrats attribués pour l’achat d’autobus électriques</w:t>
            </w:r>
            <w:r>
              <w:rPr>
                <w:noProof/>
                <w:color w:val="000000" w:themeColor="text1"/>
              </w:rPr>
              <w:t xml:space="preserve"> pour l’exécution des fonctions municipales et des services connexes </w:t>
            </w:r>
          </w:p>
        </w:tc>
      </w:tr>
      <w:tr w:rsidR="008E6885" w14:paraId="20218192" w14:textId="77777777">
        <w:trPr>
          <w:trHeight w:val="300"/>
        </w:trPr>
        <w:tc>
          <w:tcPr>
            <w:tcW w:w="1449" w:type="dxa"/>
            <w:shd w:val="clear" w:color="auto" w:fill="C6EFCE"/>
            <w:tcMar>
              <w:left w:w="108" w:type="dxa"/>
              <w:right w:w="108" w:type="dxa"/>
            </w:tcMar>
            <w:vAlign w:val="center"/>
          </w:tcPr>
          <w:p w14:paraId="5E380F65" w14:textId="77777777" w:rsidR="008E6885" w:rsidRDefault="00EA24E7">
            <w:pPr>
              <w:pStyle w:val="P68B1DB1-Normal39"/>
              <w:spacing w:after="0"/>
              <w:jc w:val="center"/>
              <w:rPr>
                <w:noProof/>
              </w:rPr>
            </w:pPr>
            <w:r>
              <w:rPr>
                <w:noProof/>
              </w:rPr>
              <w:t>111</w:t>
            </w:r>
          </w:p>
        </w:tc>
        <w:tc>
          <w:tcPr>
            <w:tcW w:w="3638" w:type="dxa"/>
            <w:shd w:val="clear" w:color="auto" w:fill="C6EFCE"/>
            <w:tcMar>
              <w:left w:w="108" w:type="dxa"/>
              <w:right w:w="108" w:type="dxa"/>
            </w:tcMar>
          </w:tcPr>
          <w:p w14:paraId="27B3729B" w14:textId="77777777" w:rsidR="008E6885" w:rsidRDefault="00EA24E7">
            <w:pPr>
              <w:pStyle w:val="P68B1DB1-Normal41"/>
              <w:spacing w:after="0"/>
              <w:rPr>
                <w:noProof/>
              </w:rPr>
            </w:pPr>
            <w:r>
              <w:rPr>
                <w:noProof/>
              </w:rPr>
              <w:t xml:space="preserve">3.1.2.r. Accès aux services sociaux et de l'emploi à l'appui de la réforme du revenu minimum </w:t>
            </w:r>
          </w:p>
        </w:tc>
        <w:tc>
          <w:tcPr>
            <w:tcW w:w="1491" w:type="dxa"/>
            <w:shd w:val="clear" w:color="auto" w:fill="C6EFCE"/>
            <w:tcMar>
              <w:left w:w="108" w:type="dxa"/>
              <w:right w:w="108" w:type="dxa"/>
            </w:tcMar>
          </w:tcPr>
          <w:p w14:paraId="2A4060C7" w14:textId="77777777" w:rsidR="008E6885" w:rsidRDefault="00EA24E7">
            <w:pPr>
              <w:pStyle w:val="P68B1DB1-Normal41"/>
              <w:spacing w:after="0"/>
              <w:jc w:val="center"/>
              <w:rPr>
                <w:noProof/>
              </w:rPr>
            </w:pPr>
            <w:r>
              <w:rPr>
                <w:noProof/>
              </w:rPr>
              <w:t>Étape</w:t>
            </w:r>
          </w:p>
        </w:tc>
        <w:tc>
          <w:tcPr>
            <w:tcW w:w="3052" w:type="dxa"/>
            <w:shd w:val="clear" w:color="auto" w:fill="C6EFCE"/>
            <w:tcMar>
              <w:left w:w="108" w:type="dxa"/>
              <w:right w:w="108" w:type="dxa"/>
            </w:tcMar>
          </w:tcPr>
          <w:p w14:paraId="02CD7C2D" w14:textId="77777777" w:rsidR="008E6885" w:rsidRDefault="00EA24E7">
            <w:pPr>
              <w:pStyle w:val="P68B1DB1-Normal41"/>
              <w:spacing w:after="0"/>
              <w:jc w:val="both"/>
              <w:rPr>
                <w:noProof/>
              </w:rPr>
            </w:pPr>
            <w:r>
              <w:rPr>
                <w:noProof/>
              </w:rPr>
              <w:t xml:space="preserve">Entrée en vigueur des modifications législatives visant à améliorer le système d’aide au revenu minimum </w:t>
            </w:r>
          </w:p>
        </w:tc>
      </w:tr>
      <w:tr w:rsidR="008E6885" w14:paraId="65ABA4EA" w14:textId="77777777">
        <w:trPr>
          <w:trHeight w:val="300"/>
        </w:trPr>
        <w:tc>
          <w:tcPr>
            <w:tcW w:w="1449" w:type="dxa"/>
            <w:shd w:val="clear" w:color="auto" w:fill="C6EFCE"/>
            <w:tcMar>
              <w:left w:w="108" w:type="dxa"/>
              <w:right w:w="108" w:type="dxa"/>
            </w:tcMar>
            <w:vAlign w:val="center"/>
          </w:tcPr>
          <w:p w14:paraId="407492DC" w14:textId="77777777" w:rsidR="008E6885" w:rsidRDefault="00EA24E7">
            <w:pPr>
              <w:pStyle w:val="P68B1DB1-Normal39"/>
              <w:spacing w:after="0"/>
              <w:jc w:val="center"/>
              <w:rPr>
                <w:noProof/>
              </w:rPr>
            </w:pPr>
            <w:r>
              <w:rPr>
                <w:noProof/>
              </w:rPr>
              <w:t>119</w:t>
            </w:r>
          </w:p>
        </w:tc>
        <w:tc>
          <w:tcPr>
            <w:tcW w:w="3638" w:type="dxa"/>
            <w:shd w:val="clear" w:color="auto" w:fill="C6EFCE"/>
            <w:tcMar>
              <w:left w:w="108" w:type="dxa"/>
              <w:right w:w="108" w:type="dxa"/>
            </w:tcMar>
          </w:tcPr>
          <w:p w14:paraId="5332E414" w14:textId="77777777" w:rsidR="008E6885" w:rsidRDefault="00EA24E7">
            <w:pPr>
              <w:pStyle w:val="P68B1DB1-Normal41"/>
              <w:spacing w:after="0"/>
              <w:rPr>
                <w:noProof/>
              </w:rPr>
            </w:pPr>
            <w:r>
              <w:rPr>
                <w:noProof/>
              </w:rPr>
              <w:t xml:space="preserve">3.1.2.2.i. Développement d'un outil de prévision </w:t>
            </w:r>
          </w:p>
        </w:tc>
        <w:tc>
          <w:tcPr>
            <w:tcW w:w="1491" w:type="dxa"/>
            <w:shd w:val="clear" w:color="auto" w:fill="C6EFCE"/>
            <w:tcMar>
              <w:left w:w="108" w:type="dxa"/>
              <w:right w:w="108" w:type="dxa"/>
            </w:tcMar>
          </w:tcPr>
          <w:p w14:paraId="6264AB28" w14:textId="77777777" w:rsidR="008E6885" w:rsidRDefault="00EA24E7">
            <w:pPr>
              <w:pStyle w:val="P68B1DB1-Normal41"/>
              <w:spacing w:after="0"/>
              <w:jc w:val="center"/>
              <w:rPr>
                <w:noProof/>
              </w:rPr>
            </w:pPr>
            <w:r>
              <w:rPr>
                <w:noProof/>
              </w:rPr>
              <w:t>Étape</w:t>
            </w:r>
          </w:p>
        </w:tc>
        <w:tc>
          <w:tcPr>
            <w:tcW w:w="3052" w:type="dxa"/>
            <w:shd w:val="clear" w:color="auto" w:fill="C6EFCE"/>
            <w:tcMar>
              <w:left w:w="108" w:type="dxa"/>
              <w:right w:w="108" w:type="dxa"/>
            </w:tcMar>
          </w:tcPr>
          <w:p w14:paraId="4B06F9D8" w14:textId="77777777" w:rsidR="008E6885" w:rsidRDefault="00EA24E7">
            <w:pPr>
              <w:pStyle w:val="P68B1DB1-Normal41"/>
              <w:spacing w:after="0"/>
              <w:jc w:val="both"/>
              <w:rPr>
                <w:noProof/>
              </w:rPr>
            </w:pPr>
            <w:r>
              <w:rPr>
                <w:noProof/>
              </w:rPr>
              <w:t xml:space="preserve">Achèvement des spécifications techniques pour le système d'information de l'outil de prévision de la sécurité sociale </w:t>
            </w:r>
          </w:p>
        </w:tc>
      </w:tr>
      <w:tr w:rsidR="008E6885" w14:paraId="3E863C9D" w14:textId="77777777">
        <w:trPr>
          <w:trHeight w:val="300"/>
        </w:trPr>
        <w:tc>
          <w:tcPr>
            <w:tcW w:w="1449" w:type="dxa"/>
            <w:shd w:val="clear" w:color="auto" w:fill="C6EFCE"/>
            <w:tcMar>
              <w:left w:w="108" w:type="dxa"/>
              <w:right w:w="108" w:type="dxa"/>
            </w:tcMar>
            <w:vAlign w:val="center"/>
          </w:tcPr>
          <w:p w14:paraId="04E28FDC" w14:textId="77777777" w:rsidR="008E6885" w:rsidRDefault="00EA24E7">
            <w:pPr>
              <w:pStyle w:val="P68B1DB1-Normal39"/>
              <w:spacing w:after="0"/>
              <w:jc w:val="center"/>
              <w:rPr>
                <w:noProof/>
              </w:rPr>
            </w:pPr>
            <w:r>
              <w:rPr>
                <w:noProof/>
              </w:rPr>
              <w:t>122</w:t>
            </w:r>
          </w:p>
        </w:tc>
        <w:tc>
          <w:tcPr>
            <w:tcW w:w="3638" w:type="dxa"/>
            <w:shd w:val="clear" w:color="auto" w:fill="C6EFCE"/>
            <w:tcMar>
              <w:left w:w="108" w:type="dxa"/>
              <w:right w:w="108" w:type="dxa"/>
            </w:tcMar>
          </w:tcPr>
          <w:p w14:paraId="02B59F27" w14:textId="77777777" w:rsidR="008E6885" w:rsidRDefault="00EA24E7">
            <w:pPr>
              <w:pStyle w:val="P68B1DB1-Normal41"/>
              <w:spacing w:after="0"/>
              <w:rPr>
                <w:noProof/>
              </w:rPr>
            </w:pPr>
            <w:r>
              <w:rPr>
                <w:noProof/>
              </w:rPr>
              <w:t xml:space="preserve">3.1.2.3.i. Résilience et continuité du service d'aide sociale de longue durée </w:t>
            </w:r>
          </w:p>
        </w:tc>
        <w:tc>
          <w:tcPr>
            <w:tcW w:w="1491" w:type="dxa"/>
            <w:shd w:val="clear" w:color="auto" w:fill="C6EFCE"/>
            <w:tcMar>
              <w:left w:w="108" w:type="dxa"/>
              <w:right w:w="108" w:type="dxa"/>
            </w:tcMar>
          </w:tcPr>
          <w:p w14:paraId="0CA73F70" w14:textId="77777777" w:rsidR="008E6885" w:rsidRDefault="00EA24E7">
            <w:pPr>
              <w:pStyle w:val="P68B1DB1-Normal41"/>
              <w:spacing w:after="0"/>
              <w:jc w:val="center"/>
              <w:rPr>
                <w:noProof/>
              </w:rPr>
            </w:pPr>
            <w:r>
              <w:rPr>
                <w:noProof/>
              </w:rPr>
              <w:t>Objectif</w:t>
            </w:r>
          </w:p>
        </w:tc>
        <w:tc>
          <w:tcPr>
            <w:tcW w:w="3052" w:type="dxa"/>
            <w:shd w:val="clear" w:color="auto" w:fill="C6EFCE"/>
            <w:tcMar>
              <w:left w:w="108" w:type="dxa"/>
              <w:right w:w="108" w:type="dxa"/>
            </w:tcMar>
          </w:tcPr>
          <w:p w14:paraId="07395BDF" w14:textId="77777777" w:rsidR="008E6885" w:rsidRDefault="00EA24E7">
            <w:pPr>
              <w:pStyle w:val="P68B1DB1-Normal41"/>
              <w:spacing w:after="0"/>
              <w:jc w:val="both"/>
              <w:rPr>
                <w:noProof/>
              </w:rPr>
            </w:pPr>
            <w:r>
              <w:rPr>
                <w:noProof/>
              </w:rPr>
              <w:t xml:space="preserve">Conclusion de contrats sur la mise en œuvre de projets </w:t>
            </w:r>
          </w:p>
        </w:tc>
      </w:tr>
      <w:tr w:rsidR="008E6885" w14:paraId="38FF6A7E" w14:textId="77777777">
        <w:trPr>
          <w:trHeight w:val="300"/>
        </w:trPr>
        <w:tc>
          <w:tcPr>
            <w:tcW w:w="1449" w:type="dxa"/>
            <w:shd w:val="clear" w:color="auto" w:fill="C6EFCE"/>
            <w:tcMar>
              <w:left w:w="108" w:type="dxa"/>
              <w:right w:w="108" w:type="dxa"/>
            </w:tcMar>
            <w:vAlign w:val="center"/>
          </w:tcPr>
          <w:p w14:paraId="3ED02FFA" w14:textId="77777777" w:rsidR="008E6885" w:rsidRDefault="00EA24E7">
            <w:pPr>
              <w:pStyle w:val="P68B1DB1-Normal39"/>
              <w:spacing w:after="0"/>
              <w:jc w:val="center"/>
              <w:rPr>
                <w:noProof/>
              </w:rPr>
            </w:pPr>
            <w:r>
              <w:rPr>
                <w:noProof/>
              </w:rPr>
              <w:t>124</w:t>
            </w:r>
          </w:p>
        </w:tc>
        <w:tc>
          <w:tcPr>
            <w:tcW w:w="3638" w:type="dxa"/>
            <w:shd w:val="clear" w:color="auto" w:fill="C6EFCE"/>
            <w:tcMar>
              <w:left w:w="108" w:type="dxa"/>
              <w:right w:w="108" w:type="dxa"/>
            </w:tcMar>
          </w:tcPr>
          <w:p w14:paraId="53CD4DB4" w14:textId="77777777" w:rsidR="008E6885" w:rsidRDefault="00EA24E7">
            <w:pPr>
              <w:pStyle w:val="P68B1DB1-Normal41"/>
              <w:spacing w:after="0"/>
              <w:rPr>
                <w:noProof/>
              </w:rPr>
            </w:pPr>
            <w:r>
              <w:rPr>
                <w:noProof/>
              </w:rPr>
              <w:t xml:space="preserve">3.1.2.4.i. Développement synergique des services de réadaptation sociale et professionnelle pour la promotion de la résilience des personnes ayant des déficiences fonctionnelles </w:t>
            </w:r>
          </w:p>
        </w:tc>
        <w:tc>
          <w:tcPr>
            <w:tcW w:w="1491" w:type="dxa"/>
            <w:shd w:val="clear" w:color="auto" w:fill="C6EFCE"/>
            <w:tcMar>
              <w:left w:w="108" w:type="dxa"/>
              <w:right w:w="108" w:type="dxa"/>
            </w:tcMar>
          </w:tcPr>
          <w:p w14:paraId="062AE1F6" w14:textId="77777777" w:rsidR="008E6885" w:rsidRDefault="00EA24E7">
            <w:pPr>
              <w:pStyle w:val="P68B1DB1-Normal41"/>
              <w:spacing w:after="0"/>
              <w:jc w:val="center"/>
              <w:rPr>
                <w:noProof/>
              </w:rPr>
            </w:pPr>
            <w:r>
              <w:rPr>
                <w:noProof/>
              </w:rPr>
              <w:t>Étape</w:t>
            </w:r>
          </w:p>
        </w:tc>
        <w:tc>
          <w:tcPr>
            <w:tcW w:w="3052" w:type="dxa"/>
            <w:shd w:val="clear" w:color="auto" w:fill="C6EFCE"/>
            <w:tcMar>
              <w:left w:w="108" w:type="dxa"/>
              <w:right w:w="108" w:type="dxa"/>
            </w:tcMar>
          </w:tcPr>
          <w:p w14:paraId="362B5F9A" w14:textId="77777777" w:rsidR="008E6885" w:rsidRDefault="00EA24E7">
            <w:pPr>
              <w:pStyle w:val="P68B1DB1-Normal41"/>
              <w:spacing w:after="0"/>
              <w:jc w:val="both"/>
              <w:rPr>
                <w:noProof/>
              </w:rPr>
            </w:pPr>
            <w:r>
              <w:rPr>
                <w:noProof/>
              </w:rPr>
              <w:t xml:space="preserve">Description du service de réadaptation professionnelle adopté </w:t>
            </w:r>
          </w:p>
        </w:tc>
      </w:tr>
      <w:tr w:rsidR="008E6885" w14:paraId="28BB06F3" w14:textId="77777777">
        <w:trPr>
          <w:trHeight w:val="300"/>
        </w:trPr>
        <w:tc>
          <w:tcPr>
            <w:tcW w:w="1449" w:type="dxa"/>
            <w:shd w:val="clear" w:color="auto" w:fill="C6EFCE"/>
            <w:tcMar>
              <w:left w:w="108" w:type="dxa"/>
              <w:right w:w="108" w:type="dxa"/>
            </w:tcMar>
            <w:vAlign w:val="center"/>
          </w:tcPr>
          <w:p w14:paraId="39A52B8E" w14:textId="77777777" w:rsidR="008E6885" w:rsidRDefault="00EA24E7">
            <w:pPr>
              <w:pStyle w:val="P68B1DB1-Normal39"/>
              <w:spacing w:after="0"/>
              <w:jc w:val="center"/>
              <w:rPr>
                <w:noProof/>
              </w:rPr>
            </w:pPr>
            <w:r>
              <w:rPr>
                <w:noProof/>
              </w:rPr>
              <w:t>127</w:t>
            </w:r>
          </w:p>
        </w:tc>
        <w:tc>
          <w:tcPr>
            <w:tcW w:w="3638" w:type="dxa"/>
            <w:shd w:val="clear" w:color="auto" w:fill="C6EFCE"/>
            <w:tcMar>
              <w:left w:w="108" w:type="dxa"/>
              <w:right w:w="108" w:type="dxa"/>
            </w:tcMar>
          </w:tcPr>
          <w:p w14:paraId="1084C0E1" w14:textId="77777777" w:rsidR="008E6885" w:rsidRDefault="00EA24E7">
            <w:pPr>
              <w:pStyle w:val="P68B1DB1-Normal41"/>
              <w:spacing w:after="0"/>
              <w:rPr>
                <w:noProof/>
              </w:rPr>
            </w:pPr>
            <w:r>
              <w:rPr>
                <w:noProof/>
              </w:rPr>
              <w:t xml:space="preserve">3.1.2.5.i. Participation au marché du travail des chômeurs, des demandeurs d'emploi et des personnes menacées de chômage </w:t>
            </w:r>
          </w:p>
        </w:tc>
        <w:tc>
          <w:tcPr>
            <w:tcW w:w="1491" w:type="dxa"/>
            <w:shd w:val="clear" w:color="auto" w:fill="C6EFCE"/>
            <w:tcMar>
              <w:left w:w="108" w:type="dxa"/>
              <w:right w:w="108" w:type="dxa"/>
            </w:tcMar>
          </w:tcPr>
          <w:p w14:paraId="4FE8267E" w14:textId="77777777" w:rsidR="008E6885" w:rsidRDefault="00EA24E7">
            <w:pPr>
              <w:pStyle w:val="P68B1DB1-Normal41"/>
              <w:spacing w:after="0"/>
              <w:jc w:val="center"/>
              <w:rPr>
                <w:noProof/>
              </w:rPr>
            </w:pPr>
            <w:r>
              <w:rPr>
                <w:noProof/>
              </w:rPr>
              <w:t>Étape</w:t>
            </w:r>
          </w:p>
        </w:tc>
        <w:tc>
          <w:tcPr>
            <w:tcW w:w="3052" w:type="dxa"/>
            <w:shd w:val="clear" w:color="auto" w:fill="C6EFCE"/>
            <w:tcMar>
              <w:left w:w="108" w:type="dxa"/>
              <w:right w:w="108" w:type="dxa"/>
            </w:tcMar>
          </w:tcPr>
          <w:p w14:paraId="181996CD" w14:textId="77777777" w:rsidR="008E6885" w:rsidRDefault="00EA24E7">
            <w:pPr>
              <w:pStyle w:val="P68B1DB1-Normal41"/>
              <w:spacing w:after="0"/>
              <w:jc w:val="both"/>
              <w:rPr>
                <w:noProof/>
              </w:rPr>
            </w:pPr>
            <w:r>
              <w:rPr>
                <w:noProof/>
              </w:rPr>
              <w:t xml:space="preserve">Une offre de recyclage et de perfectionnement, axée sur les compétences numériques, a été mise en place à l’intention des clients (chômeurs, demandeurs d’emploi, personnes exposées au risque de chômage) de l’Agence nationale pour l’emploi en vue d’une reprise économique génératrice d’emplois grâce à la mise en œuvre de mesures actives de politique du marché du travail. </w:t>
            </w:r>
          </w:p>
        </w:tc>
      </w:tr>
      <w:tr w:rsidR="008E6885" w14:paraId="7EF623C2" w14:textId="77777777">
        <w:trPr>
          <w:trHeight w:val="300"/>
        </w:trPr>
        <w:tc>
          <w:tcPr>
            <w:tcW w:w="1449" w:type="dxa"/>
            <w:shd w:val="clear" w:color="auto" w:fill="C6EFCE"/>
            <w:tcMar>
              <w:left w:w="108" w:type="dxa"/>
              <w:right w:w="108" w:type="dxa"/>
            </w:tcMar>
            <w:vAlign w:val="center"/>
          </w:tcPr>
          <w:p w14:paraId="2A064EE7" w14:textId="77777777" w:rsidR="008E6885" w:rsidRDefault="00EA24E7">
            <w:pPr>
              <w:pStyle w:val="P68B1DB1-Normal39"/>
              <w:spacing w:after="0"/>
              <w:jc w:val="center"/>
              <w:rPr>
                <w:noProof/>
              </w:rPr>
            </w:pPr>
            <w:r>
              <w:rPr>
                <w:noProof/>
              </w:rPr>
              <w:t>128</w:t>
            </w:r>
          </w:p>
        </w:tc>
        <w:tc>
          <w:tcPr>
            <w:tcW w:w="3638" w:type="dxa"/>
            <w:shd w:val="clear" w:color="auto" w:fill="C6EFCE"/>
            <w:tcMar>
              <w:left w:w="108" w:type="dxa"/>
              <w:right w:w="108" w:type="dxa"/>
            </w:tcMar>
          </w:tcPr>
          <w:p w14:paraId="4F0DB75A" w14:textId="77777777" w:rsidR="008E6885" w:rsidRDefault="00EA24E7">
            <w:pPr>
              <w:pStyle w:val="P68B1DB1-Normal39"/>
              <w:spacing w:after="0"/>
              <w:rPr>
                <w:noProof/>
              </w:rPr>
            </w:pPr>
            <w:r>
              <w:rPr>
                <w:noProof/>
              </w:rPr>
              <w:t xml:space="preserve">3.1.2.5.i. Participation au marché du travail des chômeurs, des demandeurs d'emploi et des personnes menacées de chômage </w:t>
            </w:r>
          </w:p>
        </w:tc>
        <w:tc>
          <w:tcPr>
            <w:tcW w:w="1491" w:type="dxa"/>
            <w:shd w:val="clear" w:color="auto" w:fill="C6EFCE"/>
            <w:tcMar>
              <w:left w:w="108" w:type="dxa"/>
              <w:right w:w="108" w:type="dxa"/>
            </w:tcMar>
          </w:tcPr>
          <w:p w14:paraId="5C3FE3D1"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1A13A6E3" w14:textId="7F3A4876" w:rsidR="008E6885" w:rsidRDefault="00EA24E7">
            <w:pPr>
              <w:pStyle w:val="P68B1DB1-Normal39"/>
              <w:spacing w:after="0"/>
              <w:jc w:val="both"/>
              <w:rPr>
                <w:noProof/>
              </w:rPr>
            </w:pPr>
            <w:r>
              <w:rPr>
                <w:noProof/>
              </w:rPr>
              <w:t>Développement d’un outil numérique d’évaluation des compétences</w:t>
            </w:r>
          </w:p>
        </w:tc>
      </w:tr>
      <w:tr w:rsidR="008E6885" w14:paraId="5D4675E1" w14:textId="77777777">
        <w:trPr>
          <w:trHeight w:val="300"/>
        </w:trPr>
        <w:tc>
          <w:tcPr>
            <w:tcW w:w="1449" w:type="dxa"/>
            <w:shd w:val="clear" w:color="auto" w:fill="C6EFCE"/>
            <w:tcMar>
              <w:left w:w="108" w:type="dxa"/>
              <w:right w:w="108" w:type="dxa"/>
            </w:tcMar>
            <w:vAlign w:val="center"/>
          </w:tcPr>
          <w:p w14:paraId="43C6CCC0" w14:textId="77777777" w:rsidR="008E6885" w:rsidRDefault="00EA24E7">
            <w:pPr>
              <w:pStyle w:val="P68B1DB1-Normal39"/>
              <w:spacing w:after="0"/>
              <w:jc w:val="center"/>
              <w:rPr>
                <w:noProof/>
              </w:rPr>
            </w:pPr>
            <w:r>
              <w:rPr>
                <w:noProof/>
              </w:rPr>
              <w:t>143</w:t>
            </w:r>
          </w:p>
        </w:tc>
        <w:tc>
          <w:tcPr>
            <w:tcW w:w="3638" w:type="dxa"/>
            <w:shd w:val="clear" w:color="auto" w:fill="C6EFCE"/>
            <w:tcMar>
              <w:left w:w="108" w:type="dxa"/>
              <w:right w:w="108" w:type="dxa"/>
            </w:tcMar>
          </w:tcPr>
          <w:p w14:paraId="3CA9C495" w14:textId="77777777" w:rsidR="008E6885" w:rsidRDefault="00EA24E7">
            <w:pPr>
              <w:pStyle w:val="P68B1DB1-Normal39"/>
              <w:spacing w:after="0"/>
              <w:rPr>
                <w:noProof/>
              </w:rPr>
            </w:pPr>
            <w:r>
              <w:rPr>
                <w:noProof/>
              </w:rPr>
              <w:t>4.2.1.r. Mise à disposition de ressources humaines et renforcement des compétences</w:t>
            </w:r>
          </w:p>
        </w:tc>
        <w:tc>
          <w:tcPr>
            <w:tcW w:w="1491" w:type="dxa"/>
            <w:shd w:val="clear" w:color="auto" w:fill="C6EFCE"/>
            <w:tcMar>
              <w:left w:w="108" w:type="dxa"/>
              <w:right w:w="108" w:type="dxa"/>
            </w:tcMar>
          </w:tcPr>
          <w:p w14:paraId="57E75202"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6041F44F" w14:textId="77777777" w:rsidR="008E6885" w:rsidRDefault="00EA24E7">
            <w:pPr>
              <w:pStyle w:val="P68B1DB1-Normal39"/>
              <w:spacing w:after="0"/>
              <w:jc w:val="both"/>
              <w:rPr>
                <w:noProof/>
              </w:rPr>
            </w:pPr>
            <w:r>
              <w:rPr>
                <w:noProof/>
              </w:rPr>
              <w:t>Stratégie de mise en valeur des ressources humaines</w:t>
            </w:r>
          </w:p>
        </w:tc>
      </w:tr>
      <w:tr w:rsidR="008E6885" w14:paraId="13AB91DC" w14:textId="77777777">
        <w:trPr>
          <w:trHeight w:val="300"/>
        </w:trPr>
        <w:tc>
          <w:tcPr>
            <w:tcW w:w="1449" w:type="dxa"/>
            <w:shd w:val="clear" w:color="auto" w:fill="C6EFCE"/>
            <w:tcMar>
              <w:left w:w="108" w:type="dxa"/>
              <w:right w:w="108" w:type="dxa"/>
            </w:tcMar>
            <w:vAlign w:val="center"/>
          </w:tcPr>
          <w:p w14:paraId="73252A40" w14:textId="77777777" w:rsidR="008E6885" w:rsidRDefault="00EA24E7">
            <w:pPr>
              <w:pStyle w:val="P68B1DB1-Normal39"/>
              <w:spacing w:after="0"/>
              <w:jc w:val="center"/>
              <w:rPr>
                <w:noProof/>
              </w:rPr>
            </w:pPr>
            <w:r>
              <w:rPr>
                <w:noProof/>
              </w:rPr>
              <w:t>144</w:t>
            </w:r>
          </w:p>
        </w:tc>
        <w:tc>
          <w:tcPr>
            <w:tcW w:w="3638" w:type="dxa"/>
            <w:shd w:val="clear" w:color="auto" w:fill="C6EFCE"/>
            <w:tcMar>
              <w:left w:w="108" w:type="dxa"/>
              <w:right w:w="108" w:type="dxa"/>
            </w:tcMar>
          </w:tcPr>
          <w:p w14:paraId="73D2E091" w14:textId="77777777" w:rsidR="008E6885" w:rsidRDefault="00EA24E7">
            <w:pPr>
              <w:pStyle w:val="P68B1DB1-Normal39"/>
              <w:spacing w:after="0"/>
              <w:rPr>
                <w:noProof/>
              </w:rPr>
            </w:pPr>
            <w:r>
              <w:rPr>
                <w:noProof/>
              </w:rPr>
              <w:t>4.2.1.r. Mise à disposition de ressources humaines et renforcement des compétences</w:t>
            </w:r>
          </w:p>
        </w:tc>
        <w:tc>
          <w:tcPr>
            <w:tcW w:w="1491" w:type="dxa"/>
            <w:shd w:val="clear" w:color="auto" w:fill="C6EFCE"/>
            <w:tcMar>
              <w:left w:w="108" w:type="dxa"/>
              <w:right w:w="108" w:type="dxa"/>
            </w:tcMar>
          </w:tcPr>
          <w:p w14:paraId="7BFE1CAC"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5E9EF861" w14:textId="77777777" w:rsidR="008E6885" w:rsidRDefault="00EA24E7">
            <w:pPr>
              <w:pStyle w:val="P68B1DB1-Normal39"/>
              <w:spacing w:after="0"/>
              <w:jc w:val="both"/>
              <w:rPr>
                <w:noProof/>
              </w:rPr>
            </w:pPr>
            <w:r>
              <w:rPr>
                <w:noProof/>
              </w:rPr>
              <w:t xml:space="preserve">Adoption de la cartographie des ressources humaines dans les soins de santé </w:t>
            </w:r>
          </w:p>
        </w:tc>
      </w:tr>
      <w:tr w:rsidR="008E6885" w14:paraId="36870A27" w14:textId="77777777">
        <w:trPr>
          <w:trHeight w:val="300"/>
        </w:trPr>
        <w:tc>
          <w:tcPr>
            <w:tcW w:w="1449" w:type="dxa"/>
            <w:shd w:val="clear" w:color="auto" w:fill="C6EFCE"/>
            <w:tcMar>
              <w:left w:w="108" w:type="dxa"/>
              <w:right w:w="108" w:type="dxa"/>
            </w:tcMar>
          </w:tcPr>
          <w:p w14:paraId="380758A0" w14:textId="77777777" w:rsidR="008E6885" w:rsidRDefault="00EA24E7">
            <w:pPr>
              <w:pStyle w:val="P68B1DB1-Normal39"/>
              <w:spacing w:after="0"/>
              <w:jc w:val="center"/>
              <w:rPr>
                <w:rFonts w:eastAsia="Times New Roman" w:cs="Times New Roman"/>
                <w:noProof/>
              </w:rPr>
            </w:pPr>
            <w:r>
              <w:rPr>
                <w:noProof/>
              </w:rPr>
              <w:t>146</w:t>
            </w:r>
          </w:p>
        </w:tc>
        <w:tc>
          <w:tcPr>
            <w:tcW w:w="3638" w:type="dxa"/>
            <w:shd w:val="clear" w:color="auto" w:fill="C6EFCE"/>
            <w:tcMar>
              <w:left w:w="108" w:type="dxa"/>
              <w:right w:w="108" w:type="dxa"/>
            </w:tcMar>
          </w:tcPr>
          <w:p w14:paraId="0CDFB258" w14:textId="77777777" w:rsidR="008E6885" w:rsidRDefault="00EA24E7">
            <w:pPr>
              <w:pStyle w:val="P68B1DB1-Normal39"/>
              <w:spacing w:after="0"/>
              <w:rPr>
                <w:rFonts w:eastAsia="Times New Roman" w:cs="Times New Roman"/>
                <w:noProof/>
              </w:rPr>
            </w:pPr>
            <w:r>
              <w:rPr>
                <w:noProof/>
              </w:rPr>
              <w:t>4.2.1.r. Mise à disposition de ressources humaines et renforcement des compétences</w:t>
            </w:r>
          </w:p>
        </w:tc>
        <w:tc>
          <w:tcPr>
            <w:tcW w:w="1491" w:type="dxa"/>
            <w:shd w:val="clear" w:color="auto" w:fill="C6EFCE"/>
            <w:tcMar>
              <w:left w:w="108" w:type="dxa"/>
              <w:right w:w="108" w:type="dxa"/>
            </w:tcMar>
          </w:tcPr>
          <w:p w14:paraId="7CC980A1" w14:textId="77777777" w:rsidR="008E6885" w:rsidRDefault="00EA24E7">
            <w:pPr>
              <w:pStyle w:val="P68B1DB1-Normal39"/>
              <w:spacing w:after="0"/>
              <w:jc w:val="center"/>
              <w:rPr>
                <w:rFonts w:eastAsia="Times New Roman" w:cs="Times New Roman"/>
                <w:noProof/>
              </w:rPr>
            </w:pPr>
            <w:r>
              <w:rPr>
                <w:noProof/>
              </w:rPr>
              <w:t>Étape</w:t>
            </w:r>
          </w:p>
        </w:tc>
        <w:tc>
          <w:tcPr>
            <w:tcW w:w="3052" w:type="dxa"/>
            <w:shd w:val="clear" w:color="auto" w:fill="C6EFCE"/>
            <w:tcMar>
              <w:left w:w="108" w:type="dxa"/>
              <w:right w:w="108" w:type="dxa"/>
            </w:tcMar>
          </w:tcPr>
          <w:p w14:paraId="59589633" w14:textId="77777777" w:rsidR="008E6885" w:rsidRDefault="00EA24E7">
            <w:pPr>
              <w:pStyle w:val="P68B1DB1-Normal39"/>
              <w:spacing w:after="0"/>
              <w:jc w:val="both"/>
              <w:rPr>
                <w:rFonts w:eastAsia="Times New Roman" w:cs="Times New Roman"/>
                <w:noProof/>
              </w:rPr>
            </w:pPr>
            <w:r>
              <w:rPr>
                <w:noProof/>
              </w:rPr>
              <w:t>Adoption d'un modèle de planification du personnel de santé</w:t>
            </w:r>
          </w:p>
        </w:tc>
      </w:tr>
      <w:tr w:rsidR="008E6885" w14:paraId="575320B4" w14:textId="77777777">
        <w:trPr>
          <w:trHeight w:val="300"/>
        </w:trPr>
        <w:tc>
          <w:tcPr>
            <w:tcW w:w="1449" w:type="dxa"/>
            <w:shd w:val="clear" w:color="auto" w:fill="C6EFCE"/>
            <w:tcMar>
              <w:left w:w="108" w:type="dxa"/>
              <w:right w:w="108" w:type="dxa"/>
            </w:tcMar>
            <w:vAlign w:val="center"/>
          </w:tcPr>
          <w:p w14:paraId="759D5C05" w14:textId="77777777" w:rsidR="008E6885" w:rsidRDefault="00EA24E7">
            <w:pPr>
              <w:pStyle w:val="P68B1DB1-Normal39"/>
              <w:spacing w:after="0"/>
              <w:jc w:val="center"/>
              <w:rPr>
                <w:noProof/>
              </w:rPr>
            </w:pPr>
            <w:r>
              <w:rPr>
                <w:noProof/>
              </w:rPr>
              <w:t>147</w:t>
            </w:r>
          </w:p>
        </w:tc>
        <w:tc>
          <w:tcPr>
            <w:tcW w:w="3638" w:type="dxa"/>
            <w:shd w:val="clear" w:color="auto" w:fill="C6EFCE"/>
            <w:tcMar>
              <w:left w:w="108" w:type="dxa"/>
              <w:right w:w="108" w:type="dxa"/>
            </w:tcMar>
          </w:tcPr>
          <w:p w14:paraId="30E03490" w14:textId="77777777" w:rsidR="008E6885" w:rsidRDefault="00EA24E7">
            <w:pPr>
              <w:pStyle w:val="P68B1DB1-Normal39"/>
              <w:spacing w:after="0"/>
              <w:rPr>
                <w:noProof/>
              </w:rPr>
            </w:pPr>
            <w:r>
              <w:rPr>
                <w:noProof/>
              </w:rPr>
              <w:t>4.2.1.1.i Appui à la mise en œuvre du système de mise en valeur des ressources humaines</w:t>
            </w:r>
          </w:p>
        </w:tc>
        <w:tc>
          <w:tcPr>
            <w:tcW w:w="1491" w:type="dxa"/>
            <w:shd w:val="clear" w:color="auto" w:fill="C6EFCE"/>
            <w:tcMar>
              <w:left w:w="108" w:type="dxa"/>
              <w:right w:w="108" w:type="dxa"/>
            </w:tcMar>
          </w:tcPr>
          <w:p w14:paraId="244D3ED2"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426FD535" w14:textId="77777777" w:rsidR="008E6885" w:rsidRDefault="00EA24E7">
            <w:pPr>
              <w:pStyle w:val="P68B1DB1-Normal39"/>
              <w:spacing w:after="0"/>
              <w:jc w:val="both"/>
              <w:rPr>
                <w:noProof/>
              </w:rPr>
            </w:pPr>
            <w:r>
              <w:rPr>
                <w:noProof/>
              </w:rPr>
              <w:t>Mise en place d'un mécanisme de coordination pour la formation du personnel de santé</w:t>
            </w:r>
          </w:p>
        </w:tc>
      </w:tr>
      <w:tr w:rsidR="008E6885" w14:paraId="5D55AD71" w14:textId="77777777">
        <w:trPr>
          <w:trHeight w:val="300"/>
        </w:trPr>
        <w:tc>
          <w:tcPr>
            <w:tcW w:w="1449" w:type="dxa"/>
            <w:shd w:val="clear" w:color="auto" w:fill="C6EFCE"/>
            <w:tcMar>
              <w:left w:w="108" w:type="dxa"/>
              <w:right w:w="108" w:type="dxa"/>
            </w:tcMar>
            <w:vAlign w:val="center"/>
          </w:tcPr>
          <w:p w14:paraId="2B1A7A0D" w14:textId="77777777" w:rsidR="008E6885" w:rsidRDefault="00EA24E7">
            <w:pPr>
              <w:pStyle w:val="P68B1DB1-Normal39"/>
              <w:spacing w:after="0"/>
              <w:jc w:val="center"/>
              <w:rPr>
                <w:noProof/>
              </w:rPr>
            </w:pPr>
            <w:r>
              <w:rPr>
                <w:noProof/>
              </w:rPr>
              <w:t>152</w:t>
            </w:r>
          </w:p>
        </w:tc>
        <w:tc>
          <w:tcPr>
            <w:tcW w:w="3638" w:type="dxa"/>
            <w:shd w:val="clear" w:color="auto" w:fill="C6EFCE"/>
            <w:tcMar>
              <w:left w:w="108" w:type="dxa"/>
              <w:right w:w="108" w:type="dxa"/>
            </w:tcMar>
          </w:tcPr>
          <w:p w14:paraId="31C90457" w14:textId="77777777" w:rsidR="008E6885" w:rsidRDefault="00EA24E7">
            <w:pPr>
              <w:pStyle w:val="P68B1DB1-Normal39"/>
              <w:spacing w:after="0"/>
              <w:rPr>
                <w:noProof/>
              </w:rPr>
            </w:pPr>
            <w:r>
              <w:rPr>
                <w:noProof/>
              </w:rPr>
              <w:t>4.3.1.1.i. Soutien à l'évaluation et à l'amélioration de la qualité et de l'accessibilité des soins de santé secondaires non hospitaliers</w:t>
            </w:r>
          </w:p>
        </w:tc>
        <w:tc>
          <w:tcPr>
            <w:tcW w:w="1491" w:type="dxa"/>
            <w:shd w:val="clear" w:color="auto" w:fill="C6EFCE"/>
            <w:tcMar>
              <w:left w:w="108" w:type="dxa"/>
              <w:right w:w="108" w:type="dxa"/>
            </w:tcMar>
          </w:tcPr>
          <w:p w14:paraId="07B83941"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41791634" w14:textId="77777777" w:rsidR="008E6885" w:rsidRDefault="00EA24E7">
            <w:pPr>
              <w:pStyle w:val="P68B1DB1-Normal39"/>
              <w:spacing w:after="0"/>
              <w:jc w:val="both"/>
              <w:rPr>
                <w:noProof/>
              </w:rPr>
            </w:pPr>
            <w:r>
              <w:rPr>
                <w:noProof/>
              </w:rPr>
              <w:t xml:space="preserve">Étude sur la qualité, l’accessibilité et la disponibilité des soins de santé secondaires non hospitaliers </w:t>
            </w:r>
          </w:p>
        </w:tc>
      </w:tr>
      <w:tr w:rsidR="008E6885" w14:paraId="305E5B36" w14:textId="77777777">
        <w:trPr>
          <w:trHeight w:val="300"/>
        </w:trPr>
        <w:tc>
          <w:tcPr>
            <w:tcW w:w="1449" w:type="dxa"/>
            <w:shd w:val="clear" w:color="auto" w:fill="C6EFCE"/>
            <w:tcMar>
              <w:left w:w="108" w:type="dxa"/>
              <w:right w:w="108" w:type="dxa"/>
            </w:tcMar>
            <w:vAlign w:val="center"/>
          </w:tcPr>
          <w:p w14:paraId="3AEBBF1D" w14:textId="77777777" w:rsidR="008E6885" w:rsidRDefault="00EA24E7">
            <w:pPr>
              <w:pStyle w:val="P68B1DB1-Normal39"/>
              <w:spacing w:after="0"/>
              <w:jc w:val="center"/>
              <w:rPr>
                <w:noProof/>
              </w:rPr>
            </w:pPr>
            <w:r>
              <w:rPr>
                <w:noProof/>
              </w:rPr>
              <w:t>155</w:t>
            </w:r>
          </w:p>
        </w:tc>
        <w:tc>
          <w:tcPr>
            <w:tcW w:w="3638" w:type="dxa"/>
            <w:shd w:val="clear" w:color="auto" w:fill="C6EFCE"/>
            <w:tcMar>
              <w:left w:w="108" w:type="dxa"/>
              <w:right w:w="108" w:type="dxa"/>
            </w:tcMar>
          </w:tcPr>
          <w:p w14:paraId="010F8711" w14:textId="77777777" w:rsidR="008E6885" w:rsidRDefault="00EA24E7">
            <w:pPr>
              <w:pStyle w:val="P68B1DB1-Normal39"/>
              <w:spacing w:after="0"/>
              <w:rPr>
                <w:noProof/>
              </w:rPr>
            </w:pPr>
            <w:r>
              <w:rPr>
                <w:noProof/>
              </w:rPr>
              <w:t>5.1.1.1.i. Appui à un modèle de gouvernance du système d'innovation à part entière</w:t>
            </w:r>
          </w:p>
        </w:tc>
        <w:tc>
          <w:tcPr>
            <w:tcW w:w="1491" w:type="dxa"/>
            <w:shd w:val="clear" w:color="auto" w:fill="C6EFCE"/>
            <w:tcMar>
              <w:left w:w="108" w:type="dxa"/>
              <w:right w:w="108" w:type="dxa"/>
            </w:tcMar>
          </w:tcPr>
          <w:p w14:paraId="4BBD4E3F" w14:textId="77777777" w:rsidR="008E6885" w:rsidRDefault="00EA24E7">
            <w:pPr>
              <w:pStyle w:val="P68B1DB1-Normal39"/>
              <w:spacing w:after="0"/>
              <w:jc w:val="center"/>
              <w:rPr>
                <w:noProof/>
              </w:rPr>
            </w:pPr>
            <w:r>
              <w:rPr>
                <w:noProof/>
              </w:rPr>
              <w:t>Objectif</w:t>
            </w:r>
          </w:p>
        </w:tc>
        <w:tc>
          <w:tcPr>
            <w:tcW w:w="3052" w:type="dxa"/>
            <w:shd w:val="clear" w:color="auto" w:fill="C6EFCE"/>
            <w:tcMar>
              <w:left w:w="108" w:type="dxa"/>
              <w:right w:w="108" w:type="dxa"/>
            </w:tcMar>
          </w:tcPr>
          <w:p w14:paraId="386FB422" w14:textId="77777777" w:rsidR="008E6885" w:rsidRDefault="00EA24E7">
            <w:pPr>
              <w:pStyle w:val="P68B1DB1-Normal39"/>
              <w:spacing w:after="0"/>
              <w:jc w:val="both"/>
              <w:rPr>
                <w:noProof/>
              </w:rPr>
            </w:pPr>
            <w:r>
              <w:rPr>
                <w:noProof/>
              </w:rPr>
              <w:t>Passation de marchés ou nomination des ressources humaines nécessaires</w:t>
            </w:r>
          </w:p>
        </w:tc>
      </w:tr>
      <w:tr w:rsidR="008E6885" w14:paraId="650F3F19" w14:textId="77777777">
        <w:trPr>
          <w:trHeight w:val="300"/>
        </w:trPr>
        <w:tc>
          <w:tcPr>
            <w:tcW w:w="1449" w:type="dxa"/>
            <w:shd w:val="clear" w:color="auto" w:fill="C6EFCE"/>
            <w:tcMar>
              <w:left w:w="108" w:type="dxa"/>
              <w:right w:w="108" w:type="dxa"/>
            </w:tcMar>
            <w:vAlign w:val="center"/>
          </w:tcPr>
          <w:p w14:paraId="2EDDFECF" w14:textId="77777777" w:rsidR="008E6885" w:rsidRDefault="00EA24E7">
            <w:pPr>
              <w:pStyle w:val="P68B1DB1-Normal39"/>
              <w:spacing w:after="0"/>
              <w:jc w:val="center"/>
              <w:rPr>
                <w:noProof/>
              </w:rPr>
            </w:pPr>
            <w:r>
              <w:rPr>
                <w:noProof/>
              </w:rPr>
              <w:t>161</w:t>
            </w:r>
          </w:p>
        </w:tc>
        <w:tc>
          <w:tcPr>
            <w:tcW w:w="3638" w:type="dxa"/>
            <w:shd w:val="clear" w:color="auto" w:fill="C6EFCE"/>
            <w:tcMar>
              <w:left w:w="108" w:type="dxa"/>
              <w:right w:w="108" w:type="dxa"/>
            </w:tcMar>
          </w:tcPr>
          <w:p w14:paraId="15851D06" w14:textId="77777777" w:rsidR="008E6885" w:rsidRDefault="00EA24E7">
            <w:pPr>
              <w:pStyle w:val="P68B1DB1-Normal39"/>
              <w:spacing w:after="0"/>
              <w:rPr>
                <w:noProof/>
              </w:rPr>
            </w:pPr>
            <w:r>
              <w:rPr>
                <w:noProof/>
              </w:rPr>
              <w:t>5.2.1.r. Réforme de l'enseignement supérieur, de l'excellence scientifique et de la gouvernance</w:t>
            </w:r>
          </w:p>
        </w:tc>
        <w:tc>
          <w:tcPr>
            <w:tcW w:w="1491" w:type="dxa"/>
            <w:shd w:val="clear" w:color="auto" w:fill="C6EFCE"/>
            <w:tcMar>
              <w:left w:w="108" w:type="dxa"/>
              <w:right w:w="108" w:type="dxa"/>
            </w:tcMar>
          </w:tcPr>
          <w:p w14:paraId="2EB73025" w14:textId="77777777" w:rsidR="008E6885" w:rsidRDefault="00EA24E7">
            <w:pPr>
              <w:pStyle w:val="P68B1DB1-Normal39"/>
              <w:spacing w:after="0"/>
              <w:jc w:val="center"/>
              <w:rPr>
                <w:noProof/>
              </w:rPr>
            </w:pPr>
            <w:r>
              <w:rPr>
                <w:noProof/>
              </w:rPr>
              <w:t>Objectif</w:t>
            </w:r>
          </w:p>
        </w:tc>
        <w:tc>
          <w:tcPr>
            <w:tcW w:w="3052" w:type="dxa"/>
            <w:shd w:val="clear" w:color="auto" w:fill="C6EFCE"/>
            <w:tcMar>
              <w:left w:w="108" w:type="dxa"/>
              <w:right w:w="108" w:type="dxa"/>
            </w:tcMar>
          </w:tcPr>
          <w:p w14:paraId="44BEC16D" w14:textId="77777777" w:rsidR="008E6885" w:rsidRDefault="00EA24E7">
            <w:pPr>
              <w:pStyle w:val="P68B1DB1-Normal39"/>
              <w:spacing w:after="0"/>
              <w:jc w:val="both"/>
              <w:rPr>
                <w:noProof/>
              </w:rPr>
            </w:pPr>
            <w:r>
              <w:rPr>
                <w:noProof/>
              </w:rPr>
              <w:t>Consolidation des établissements d'enseignement supérieur</w:t>
            </w:r>
          </w:p>
        </w:tc>
      </w:tr>
      <w:tr w:rsidR="008E6885" w14:paraId="35AD7359" w14:textId="77777777">
        <w:trPr>
          <w:trHeight w:val="300"/>
        </w:trPr>
        <w:tc>
          <w:tcPr>
            <w:tcW w:w="1449" w:type="dxa"/>
            <w:shd w:val="clear" w:color="auto" w:fill="C6EFCE"/>
            <w:tcMar>
              <w:left w:w="108" w:type="dxa"/>
              <w:right w:w="108" w:type="dxa"/>
            </w:tcMar>
            <w:vAlign w:val="center"/>
          </w:tcPr>
          <w:p w14:paraId="14F48D62" w14:textId="77777777" w:rsidR="008E6885" w:rsidRDefault="00EA24E7">
            <w:pPr>
              <w:pStyle w:val="P68B1DB1-Normal39"/>
              <w:spacing w:after="0"/>
              <w:jc w:val="center"/>
              <w:rPr>
                <w:rFonts w:eastAsia="Times New Roman" w:cs="Times New Roman"/>
                <w:noProof/>
              </w:rPr>
            </w:pPr>
            <w:r>
              <w:rPr>
                <w:noProof/>
              </w:rPr>
              <w:t>168</w:t>
            </w:r>
          </w:p>
        </w:tc>
        <w:tc>
          <w:tcPr>
            <w:tcW w:w="3638" w:type="dxa"/>
            <w:shd w:val="clear" w:color="auto" w:fill="C6EFCE"/>
            <w:tcMar>
              <w:left w:w="108" w:type="dxa"/>
              <w:right w:w="108" w:type="dxa"/>
            </w:tcMar>
          </w:tcPr>
          <w:p w14:paraId="04E0A047" w14:textId="77777777" w:rsidR="008E6885" w:rsidRDefault="00EA24E7">
            <w:pPr>
              <w:pStyle w:val="P68B1DB1-Normal39"/>
              <w:spacing w:after="0"/>
              <w:rPr>
                <w:rFonts w:eastAsia="Times New Roman" w:cs="Times New Roman"/>
                <w:noProof/>
              </w:rPr>
            </w:pPr>
            <w:r>
              <w:rPr>
                <w:noProof/>
              </w:rPr>
              <w:t>6.1.1.r. Renforcer l'analyse et développer la gestion des données dans le domaine de l'administration fiscale et douanière</w:t>
            </w:r>
          </w:p>
        </w:tc>
        <w:tc>
          <w:tcPr>
            <w:tcW w:w="1491" w:type="dxa"/>
            <w:shd w:val="clear" w:color="auto" w:fill="C6EFCE"/>
            <w:tcMar>
              <w:left w:w="108" w:type="dxa"/>
              <w:right w:w="108" w:type="dxa"/>
            </w:tcMar>
          </w:tcPr>
          <w:p w14:paraId="387175B2" w14:textId="77777777" w:rsidR="008E6885" w:rsidRDefault="00EA24E7">
            <w:pPr>
              <w:pStyle w:val="P68B1DB1-Normal39"/>
              <w:spacing w:after="0"/>
              <w:jc w:val="center"/>
              <w:rPr>
                <w:rFonts w:eastAsia="Times New Roman" w:cs="Times New Roman"/>
                <w:noProof/>
              </w:rPr>
            </w:pPr>
            <w:r>
              <w:rPr>
                <w:noProof/>
              </w:rPr>
              <w:t>Étape</w:t>
            </w:r>
          </w:p>
        </w:tc>
        <w:tc>
          <w:tcPr>
            <w:tcW w:w="3052" w:type="dxa"/>
            <w:shd w:val="clear" w:color="auto" w:fill="C6EFCE"/>
            <w:tcMar>
              <w:left w:w="108" w:type="dxa"/>
              <w:right w:w="108" w:type="dxa"/>
            </w:tcMar>
          </w:tcPr>
          <w:p w14:paraId="73BD0674" w14:textId="77777777" w:rsidR="008E6885" w:rsidRDefault="00EA24E7">
            <w:pPr>
              <w:pStyle w:val="P68B1DB1-Normal39"/>
              <w:spacing w:after="0"/>
              <w:jc w:val="both"/>
              <w:rPr>
                <w:rFonts w:eastAsia="Times New Roman" w:cs="Times New Roman"/>
                <w:noProof/>
              </w:rPr>
            </w:pPr>
            <w:r>
              <w:rPr>
                <w:noProof/>
              </w:rPr>
              <w:t>Mise en service d’un panier de services fondés sur des données pour chaque groupe de segmentation de contribuables</w:t>
            </w:r>
          </w:p>
        </w:tc>
      </w:tr>
      <w:tr w:rsidR="008E6885" w14:paraId="064411AF" w14:textId="77777777">
        <w:trPr>
          <w:trHeight w:val="300"/>
        </w:trPr>
        <w:tc>
          <w:tcPr>
            <w:tcW w:w="1449" w:type="dxa"/>
            <w:shd w:val="clear" w:color="auto" w:fill="C6EFCE"/>
            <w:tcMar>
              <w:left w:w="108" w:type="dxa"/>
              <w:right w:w="108" w:type="dxa"/>
            </w:tcMar>
            <w:vAlign w:val="center"/>
          </w:tcPr>
          <w:p w14:paraId="5A2EE3B0" w14:textId="77777777" w:rsidR="008E6885" w:rsidRDefault="00EA24E7">
            <w:pPr>
              <w:pStyle w:val="P68B1DB1-Normal39"/>
              <w:spacing w:after="0"/>
              <w:jc w:val="center"/>
              <w:rPr>
                <w:noProof/>
              </w:rPr>
            </w:pPr>
            <w:r>
              <w:rPr>
                <w:noProof/>
              </w:rPr>
              <w:t>169</w:t>
            </w:r>
          </w:p>
        </w:tc>
        <w:tc>
          <w:tcPr>
            <w:tcW w:w="3638" w:type="dxa"/>
            <w:shd w:val="clear" w:color="auto" w:fill="C6EFCE"/>
            <w:tcMar>
              <w:left w:w="108" w:type="dxa"/>
              <w:right w:w="108" w:type="dxa"/>
            </w:tcMar>
          </w:tcPr>
          <w:p w14:paraId="53E1C648" w14:textId="77777777" w:rsidR="008E6885" w:rsidRDefault="00EA24E7">
            <w:pPr>
              <w:pStyle w:val="P68B1DB1-Normal39"/>
              <w:spacing w:after="0"/>
              <w:rPr>
                <w:noProof/>
              </w:rPr>
            </w:pPr>
            <w:r>
              <w:rPr>
                <w:noProof/>
              </w:rPr>
              <w:t>6.1.1.r. Renforcer l'analyse et développer la gestion des données dans le domaine de l'administration fiscale et douanière</w:t>
            </w:r>
          </w:p>
        </w:tc>
        <w:tc>
          <w:tcPr>
            <w:tcW w:w="1491" w:type="dxa"/>
            <w:shd w:val="clear" w:color="auto" w:fill="C6EFCE"/>
            <w:tcMar>
              <w:left w:w="108" w:type="dxa"/>
              <w:right w:w="108" w:type="dxa"/>
            </w:tcMar>
          </w:tcPr>
          <w:p w14:paraId="17808EDA"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39F4FABE" w14:textId="77777777" w:rsidR="008E6885" w:rsidRDefault="00EA24E7">
            <w:pPr>
              <w:pStyle w:val="P68B1DB1-Normal39"/>
              <w:spacing w:after="0"/>
              <w:jc w:val="both"/>
              <w:rPr>
                <w:noProof/>
              </w:rPr>
            </w:pPr>
            <w:r>
              <w:rPr>
                <w:noProof/>
              </w:rPr>
              <w:t xml:space="preserve">Publication d'un manuel sur la gestion des risques de conformité </w:t>
            </w:r>
          </w:p>
        </w:tc>
      </w:tr>
      <w:tr w:rsidR="008E6885" w14:paraId="68BDE371" w14:textId="77777777">
        <w:trPr>
          <w:trHeight w:val="300"/>
        </w:trPr>
        <w:tc>
          <w:tcPr>
            <w:tcW w:w="1449" w:type="dxa"/>
            <w:shd w:val="clear" w:color="auto" w:fill="C6EFCE"/>
            <w:tcMar>
              <w:left w:w="108" w:type="dxa"/>
              <w:right w:w="108" w:type="dxa"/>
            </w:tcMar>
            <w:vAlign w:val="center"/>
          </w:tcPr>
          <w:p w14:paraId="7C672510" w14:textId="77777777" w:rsidR="008E6885" w:rsidRDefault="00EA24E7">
            <w:pPr>
              <w:pStyle w:val="P68B1DB1-Normal39"/>
              <w:spacing w:after="0"/>
              <w:jc w:val="center"/>
              <w:rPr>
                <w:noProof/>
              </w:rPr>
            </w:pPr>
            <w:r>
              <w:rPr>
                <w:noProof/>
              </w:rPr>
              <w:t>171</w:t>
            </w:r>
          </w:p>
        </w:tc>
        <w:tc>
          <w:tcPr>
            <w:tcW w:w="3638" w:type="dxa"/>
            <w:shd w:val="clear" w:color="auto" w:fill="C6EFCE"/>
            <w:tcMar>
              <w:left w:w="108" w:type="dxa"/>
              <w:right w:w="108" w:type="dxa"/>
            </w:tcMar>
          </w:tcPr>
          <w:p w14:paraId="1C05C363" w14:textId="77777777" w:rsidR="008E6885" w:rsidRDefault="00EA24E7">
            <w:pPr>
              <w:pStyle w:val="P68B1DB1-Normal39"/>
              <w:spacing w:after="0"/>
              <w:rPr>
                <w:noProof/>
              </w:rPr>
            </w:pPr>
            <w:r>
              <w:rPr>
                <w:noProof/>
              </w:rPr>
              <w:t>6.1.1.r. Renforcer l'analyse et développer la gestion des données dans le domaine de l'administration fiscale et douanière</w:t>
            </w:r>
          </w:p>
        </w:tc>
        <w:tc>
          <w:tcPr>
            <w:tcW w:w="1491" w:type="dxa"/>
            <w:shd w:val="clear" w:color="auto" w:fill="C6EFCE"/>
            <w:tcMar>
              <w:left w:w="108" w:type="dxa"/>
              <w:right w:w="108" w:type="dxa"/>
            </w:tcMar>
          </w:tcPr>
          <w:p w14:paraId="24256816"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4A16D388" w14:textId="77777777" w:rsidR="008E6885" w:rsidRDefault="00EA24E7">
            <w:pPr>
              <w:pStyle w:val="P68B1DB1-Normal39"/>
              <w:spacing w:after="0"/>
              <w:jc w:val="both"/>
              <w:rPr>
                <w:noProof/>
              </w:rPr>
            </w:pPr>
            <w:r>
              <w:rPr>
                <w:noProof/>
              </w:rPr>
              <w:t>Mise en œuvre des résultats de la recherche</w:t>
            </w:r>
          </w:p>
        </w:tc>
      </w:tr>
      <w:tr w:rsidR="008E6885" w14:paraId="1382DBD6" w14:textId="77777777">
        <w:trPr>
          <w:trHeight w:val="300"/>
        </w:trPr>
        <w:tc>
          <w:tcPr>
            <w:tcW w:w="1449" w:type="dxa"/>
            <w:shd w:val="clear" w:color="auto" w:fill="C6EFCE"/>
            <w:tcMar>
              <w:left w:w="108" w:type="dxa"/>
              <w:right w:w="108" w:type="dxa"/>
            </w:tcMar>
            <w:vAlign w:val="center"/>
          </w:tcPr>
          <w:p w14:paraId="57CB5A7D" w14:textId="77777777" w:rsidR="008E6885" w:rsidRDefault="00EA24E7">
            <w:pPr>
              <w:pStyle w:val="P68B1DB1-Normal39"/>
              <w:spacing w:after="0"/>
              <w:jc w:val="center"/>
              <w:rPr>
                <w:noProof/>
              </w:rPr>
            </w:pPr>
            <w:r>
              <w:rPr>
                <w:noProof/>
              </w:rPr>
              <w:t>174</w:t>
            </w:r>
          </w:p>
        </w:tc>
        <w:tc>
          <w:tcPr>
            <w:tcW w:w="3638" w:type="dxa"/>
            <w:shd w:val="clear" w:color="auto" w:fill="C6EFCE"/>
            <w:tcMar>
              <w:left w:w="108" w:type="dxa"/>
              <w:right w:w="108" w:type="dxa"/>
            </w:tcMar>
          </w:tcPr>
          <w:p w14:paraId="2F5B5197" w14:textId="77777777" w:rsidR="008E6885" w:rsidRDefault="00EA24E7">
            <w:pPr>
              <w:pStyle w:val="P68B1DB1-Normal39"/>
              <w:spacing w:after="0"/>
              <w:rPr>
                <w:noProof/>
              </w:rPr>
            </w:pPr>
            <w:r>
              <w:rPr>
                <w:noProof/>
              </w:rPr>
              <w:t>6.1.1.3.i. Formation du personnel avec plate-forme analytique et conseil</w:t>
            </w:r>
          </w:p>
        </w:tc>
        <w:tc>
          <w:tcPr>
            <w:tcW w:w="1491" w:type="dxa"/>
            <w:shd w:val="clear" w:color="auto" w:fill="C6EFCE"/>
            <w:tcMar>
              <w:left w:w="108" w:type="dxa"/>
              <w:right w:w="108" w:type="dxa"/>
            </w:tcMar>
          </w:tcPr>
          <w:p w14:paraId="5D55E213" w14:textId="77777777" w:rsidR="008E6885" w:rsidRDefault="00EA24E7">
            <w:pPr>
              <w:pStyle w:val="P68B1DB1-Normal39"/>
              <w:spacing w:after="0"/>
              <w:jc w:val="center"/>
              <w:rPr>
                <w:noProof/>
              </w:rPr>
            </w:pPr>
            <w:r>
              <w:rPr>
                <w:noProof/>
              </w:rPr>
              <w:t>Objectif</w:t>
            </w:r>
          </w:p>
        </w:tc>
        <w:tc>
          <w:tcPr>
            <w:tcW w:w="3052" w:type="dxa"/>
            <w:shd w:val="clear" w:color="auto" w:fill="C6EFCE"/>
            <w:tcMar>
              <w:left w:w="108" w:type="dxa"/>
              <w:right w:w="108" w:type="dxa"/>
            </w:tcMar>
          </w:tcPr>
          <w:p w14:paraId="42CED309" w14:textId="77777777" w:rsidR="008E6885" w:rsidRDefault="00EA24E7">
            <w:pPr>
              <w:pStyle w:val="P68B1DB1-Normal39"/>
              <w:spacing w:after="0"/>
              <w:jc w:val="both"/>
              <w:rPr>
                <w:noProof/>
              </w:rPr>
            </w:pPr>
            <w:r>
              <w:rPr>
                <w:noProof/>
              </w:rPr>
              <w:t>Formation du personnel pour travailler avec la plate-forme analytique</w:t>
            </w:r>
          </w:p>
        </w:tc>
      </w:tr>
      <w:tr w:rsidR="008E6885" w14:paraId="61E753A5" w14:textId="77777777">
        <w:trPr>
          <w:trHeight w:val="300"/>
        </w:trPr>
        <w:tc>
          <w:tcPr>
            <w:tcW w:w="1449" w:type="dxa"/>
            <w:shd w:val="clear" w:color="auto" w:fill="C6EFCE"/>
            <w:tcMar>
              <w:left w:w="108" w:type="dxa"/>
              <w:right w:w="108" w:type="dxa"/>
            </w:tcMar>
            <w:vAlign w:val="center"/>
          </w:tcPr>
          <w:p w14:paraId="1E3852DF" w14:textId="77777777" w:rsidR="008E6885" w:rsidRDefault="00EA24E7">
            <w:pPr>
              <w:pStyle w:val="P68B1DB1-Normal39"/>
              <w:spacing w:after="0"/>
              <w:jc w:val="center"/>
              <w:rPr>
                <w:noProof/>
              </w:rPr>
            </w:pPr>
            <w:r>
              <w:rPr>
                <w:noProof/>
              </w:rPr>
              <w:t>181</w:t>
            </w:r>
          </w:p>
        </w:tc>
        <w:tc>
          <w:tcPr>
            <w:tcW w:w="3638" w:type="dxa"/>
            <w:shd w:val="clear" w:color="auto" w:fill="C6EFCE"/>
            <w:tcMar>
              <w:left w:w="108" w:type="dxa"/>
              <w:right w:w="108" w:type="dxa"/>
            </w:tcMar>
          </w:tcPr>
          <w:p w14:paraId="71CFFC57" w14:textId="77777777" w:rsidR="008E6885" w:rsidRDefault="00EA24E7">
            <w:pPr>
              <w:pStyle w:val="P68B1DB1-Normal39"/>
              <w:spacing w:after="0"/>
              <w:rPr>
                <w:noProof/>
              </w:rPr>
            </w:pPr>
            <w:r>
              <w:rPr>
                <w:noProof/>
              </w:rPr>
              <w:t>6.1.2.4.i. Création d'une infrastructure pour l'exécution des services de contrôle à Kundziņsala</w:t>
            </w:r>
          </w:p>
        </w:tc>
        <w:tc>
          <w:tcPr>
            <w:tcW w:w="1491" w:type="dxa"/>
            <w:shd w:val="clear" w:color="auto" w:fill="C6EFCE"/>
            <w:tcMar>
              <w:left w:w="108" w:type="dxa"/>
              <w:right w:w="108" w:type="dxa"/>
            </w:tcMar>
          </w:tcPr>
          <w:p w14:paraId="531092CF"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3DDCFD1F" w14:textId="77777777" w:rsidR="008E6885" w:rsidRDefault="00EA24E7">
            <w:pPr>
              <w:pStyle w:val="P68B1DB1-Normal39"/>
              <w:spacing w:after="0"/>
              <w:jc w:val="both"/>
              <w:rPr>
                <w:noProof/>
              </w:rPr>
            </w:pPr>
            <w:r>
              <w:rPr>
                <w:noProof/>
              </w:rPr>
              <w:t>Conception conjointe – signature du contrat de construction</w:t>
            </w:r>
          </w:p>
        </w:tc>
      </w:tr>
      <w:tr w:rsidR="008E6885" w14:paraId="1B1B8BEB" w14:textId="77777777">
        <w:trPr>
          <w:trHeight w:val="300"/>
        </w:trPr>
        <w:tc>
          <w:tcPr>
            <w:tcW w:w="1449" w:type="dxa"/>
            <w:shd w:val="clear" w:color="auto" w:fill="C6EFCE"/>
            <w:tcMar>
              <w:left w:w="108" w:type="dxa"/>
              <w:right w:w="108" w:type="dxa"/>
            </w:tcMar>
            <w:vAlign w:val="center"/>
          </w:tcPr>
          <w:p w14:paraId="0280C26D" w14:textId="77777777" w:rsidR="008E6885" w:rsidRDefault="00EA24E7">
            <w:pPr>
              <w:pStyle w:val="P68B1DB1-Normal39"/>
              <w:spacing w:after="0"/>
              <w:jc w:val="center"/>
              <w:rPr>
                <w:noProof/>
              </w:rPr>
            </w:pPr>
            <w:r>
              <w:rPr>
                <w:noProof/>
              </w:rPr>
              <w:t>184</w:t>
            </w:r>
          </w:p>
        </w:tc>
        <w:tc>
          <w:tcPr>
            <w:tcW w:w="3638" w:type="dxa"/>
            <w:shd w:val="clear" w:color="auto" w:fill="C6EFCE"/>
            <w:tcMar>
              <w:left w:w="108" w:type="dxa"/>
              <w:right w:w="108" w:type="dxa"/>
            </w:tcMar>
          </w:tcPr>
          <w:p w14:paraId="20AF8F24" w14:textId="77777777" w:rsidR="008E6885" w:rsidRDefault="00EA24E7">
            <w:pPr>
              <w:pStyle w:val="P68B1DB1-Normal39"/>
              <w:spacing w:after="0"/>
              <w:rPr>
                <w:noProof/>
              </w:rPr>
            </w:pPr>
            <w:r>
              <w:rPr>
                <w:noProof/>
              </w:rPr>
              <w:t>6.1.2.4.i. Création d'une infrastructure pour l'exécution des services de contrôle à Kundziņsala</w:t>
            </w:r>
          </w:p>
        </w:tc>
        <w:tc>
          <w:tcPr>
            <w:tcW w:w="1491" w:type="dxa"/>
            <w:shd w:val="clear" w:color="auto" w:fill="C6EFCE"/>
            <w:tcMar>
              <w:left w:w="108" w:type="dxa"/>
              <w:right w:w="108" w:type="dxa"/>
            </w:tcMar>
          </w:tcPr>
          <w:p w14:paraId="0A130CC2"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17DD2D32" w14:textId="77777777" w:rsidR="008E6885" w:rsidRDefault="00EA24E7">
            <w:pPr>
              <w:pStyle w:val="P68B1DB1-Normal39"/>
              <w:spacing w:after="0"/>
              <w:jc w:val="both"/>
              <w:rPr>
                <w:noProof/>
              </w:rPr>
            </w:pPr>
            <w:r>
              <w:rPr>
                <w:noProof/>
              </w:rPr>
              <w:t>Achat et conclusion d'un contrat pour la fourniture et l'installation d'équipements de contrôle du fret à rayons X</w:t>
            </w:r>
          </w:p>
        </w:tc>
      </w:tr>
      <w:tr w:rsidR="008E6885" w14:paraId="5DF1101D" w14:textId="77777777">
        <w:trPr>
          <w:trHeight w:val="300"/>
        </w:trPr>
        <w:tc>
          <w:tcPr>
            <w:tcW w:w="1449" w:type="dxa"/>
            <w:shd w:val="clear" w:color="auto" w:fill="C6EFCE"/>
            <w:tcMar>
              <w:left w:w="108" w:type="dxa"/>
              <w:right w:w="108" w:type="dxa"/>
            </w:tcMar>
            <w:vAlign w:val="center"/>
          </w:tcPr>
          <w:p w14:paraId="0AD3650E" w14:textId="77777777" w:rsidR="008E6885" w:rsidRDefault="00EA24E7">
            <w:pPr>
              <w:pStyle w:val="P68B1DB1-Normal39"/>
              <w:spacing w:after="0"/>
              <w:jc w:val="center"/>
              <w:rPr>
                <w:noProof/>
              </w:rPr>
            </w:pPr>
            <w:r>
              <w:rPr>
                <w:noProof/>
              </w:rPr>
              <w:t>200</w:t>
            </w:r>
          </w:p>
        </w:tc>
        <w:tc>
          <w:tcPr>
            <w:tcW w:w="3638" w:type="dxa"/>
            <w:shd w:val="clear" w:color="auto" w:fill="C6EFCE"/>
            <w:tcMar>
              <w:left w:w="108" w:type="dxa"/>
              <w:right w:w="108" w:type="dxa"/>
            </w:tcMar>
          </w:tcPr>
          <w:p w14:paraId="6AD883C7" w14:textId="77777777" w:rsidR="008E6885" w:rsidRDefault="00EA24E7">
            <w:pPr>
              <w:pStyle w:val="P68B1DB1-Normal39"/>
              <w:spacing w:after="0"/>
              <w:rPr>
                <w:noProof/>
              </w:rPr>
            </w:pPr>
            <w:r>
              <w:rPr>
                <w:noProof/>
              </w:rPr>
              <w:t>6.3.1.1.i. Administration publique ouverte, transparente, équitable et responsable</w:t>
            </w:r>
          </w:p>
        </w:tc>
        <w:tc>
          <w:tcPr>
            <w:tcW w:w="1491" w:type="dxa"/>
            <w:shd w:val="clear" w:color="auto" w:fill="C6EFCE"/>
            <w:tcMar>
              <w:left w:w="108" w:type="dxa"/>
              <w:right w:w="108" w:type="dxa"/>
            </w:tcMar>
          </w:tcPr>
          <w:p w14:paraId="0F446441"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4DC6C7F0" w14:textId="77777777" w:rsidR="008E6885" w:rsidRDefault="00EA24E7">
            <w:pPr>
              <w:pStyle w:val="P68B1DB1-Normal39"/>
              <w:spacing w:after="0"/>
              <w:jc w:val="both"/>
              <w:rPr>
                <w:noProof/>
              </w:rPr>
            </w:pPr>
            <w:r>
              <w:rPr>
                <w:noProof/>
              </w:rPr>
              <w:t>Cadre de compétences disponible</w:t>
            </w:r>
          </w:p>
        </w:tc>
      </w:tr>
      <w:tr w:rsidR="008E6885" w14:paraId="42667D5C" w14:textId="77777777">
        <w:trPr>
          <w:trHeight w:val="300"/>
        </w:trPr>
        <w:tc>
          <w:tcPr>
            <w:tcW w:w="1449" w:type="dxa"/>
            <w:shd w:val="clear" w:color="auto" w:fill="C6EFCE"/>
            <w:tcMar>
              <w:left w:w="108" w:type="dxa"/>
              <w:right w:w="108" w:type="dxa"/>
            </w:tcMar>
            <w:vAlign w:val="center"/>
          </w:tcPr>
          <w:p w14:paraId="0403FEC8" w14:textId="77777777" w:rsidR="008E6885" w:rsidRDefault="00EA24E7">
            <w:pPr>
              <w:pStyle w:val="P68B1DB1-Normal39"/>
              <w:spacing w:after="0"/>
              <w:jc w:val="center"/>
              <w:rPr>
                <w:noProof/>
              </w:rPr>
            </w:pPr>
            <w:r>
              <w:rPr>
                <w:noProof/>
              </w:rPr>
              <w:t>202</w:t>
            </w:r>
          </w:p>
        </w:tc>
        <w:tc>
          <w:tcPr>
            <w:tcW w:w="3638" w:type="dxa"/>
            <w:shd w:val="clear" w:color="auto" w:fill="C6EFCE"/>
            <w:tcMar>
              <w:left w:w="108" w:type="dxa"/>
              <w:right w:w="108" w:type="dxa"/>
            </w:tcMar>
          </w:tcPr>
          <w:p w14:paraId="2851F4C2" w14:textId="77777777" w:rsidR="008E6885" w:rsidRDefault="00EA24E7">
            <w:pPr>
              <w:pStyle w:val="P68B1DB1-Normal39"/>
              <w:spacing w:after="0"/>
              <w:rPr>
                <w:noProof/>
              </w:rPr>
            </w:pPr>
            <w:r>
              <w:rPr>
                <w:noProof/>
              </w:rPr>
              <w:t xml:space="preserve">6.3.1.2.i. Administration publique professionnelle, ouverte et responsable </w:t>
            </w:r>
          </w:p>
        </w:tc>
        <w:tc>
          <w:tcPr>
            <w:tcW w:w="1491" w:type="dxa"/>
            <w:shd w:val="clear" w:color="auto" w:fill="C6EFCE"/>
            <w:tcMar>
              <w:left w:w="108" w:type="dxa"/>
              <w:right w:w="108" w:type="dxa"/>
            </w:tcMar>
          </w:tcPr>
          <w:p w14:paraId="6B276F7F"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62ED3DBE" w14:textId="77777777" w:rsidR="008E6885" w:rsidRDefault="00EA24E7">
            <w:pPr>
              <w:pStyle w:val="P68B1DB1-Normal39"/>
              <w:spacing w:after="0"/>
              <w:jc w:val="both"/>
              <w:rPr>
                <w:noProof/>
              </w:rPr>
            </w:pPr>
            <w:r>
              <w:rPr>
                <w:noProof/>
              </w:rPr>
              <w:t>Cadre de compétences disponible, y compris les programmes de formation</w:t>
            </w:r>
          </w:p>
        </w:tc>
      </w:tr>
      <w:tr w:rsidR="008E6885" w14:paraId="7CAF707D" w14:textId="77777777">
        <w:trPr>
          <w:trHeight w:val="300"/>
        </w:trPr>
        <w:tc>
          <w:tcPr>
            <w:tcW w:w="1449" w:type="dxa"/>
            <w:shd w:val="clear" w:color="auto" w:fill="C6EFCE"/>
            <w:tcMar>
              <w:left w:w="108" w:type="dxa"/>
              <w:right w:w="108" w:type="dxa"/>
            </w:tcMar>
            <w:vAlign w:val="center"/>
          </w:tcPr>
          <w:p w14:paraId="70E41C5E" w14:textId="77777777" w:rsidR="008E6885" w:rsidRDefault="00EA24E7">
            <w:pPr>
              <w:pStyle w:val="P68B1DB1-Normal39"/>
              <w:spacing w:after="0"/>
              <w:jc w:val="center"/>
              <w:rPr>
                <w:noProof/>
              </w:rPr>
            </w:pPr>
            <w:r>
              <w:rPr>
                <w:noProof/>
              </w:rPr>
              <w:t>219</w:t>
            </w:r>
          </w:p>
        </w:tc>
        <w:tc>
          <w:tcPr>
            <w:tcW w:w="3638" w:type="dxa"/>
            <w:shd w:val="clear" w:color="auto" w:fill="C6EFCE"/>
            <w:tcMar>
              <w:left w:w="108" w:type="dxa"/>
              <w:right w:w="108" w:type="dxa"/>
            </w:tcMar>
          </w:tcPr>
          <w:p w14:paraId="7A213C34" w14:textId="77777777" w:rsidR="008E6885" w:rsidRDefault="00EA24E7">
            <w:pPr>
              <w:pStyle w:val="P68B1DB1-Normal39"/>
              <w:spacing w:after="0"/>
              <w:rPr>
                <w:noProof/>
              </w:rPr>
            </w:pPr>
            <w:r>
              <w:rPr>
                <w:noProof/>
              </w:rPr>
              <w:t>7.2.i. Sécurité et stabilité de l'approvisionnement énergétique et synchronisation avec le réseau de l'Union</w:t>
            </w:r>
          </w:p>
        </w:tc>
        <w:tc>
          <w:tcPr>
            <w:tcW w:w="1491" w:type="dxa"/>
            <w:shd w:val="clear" w:color="auto" w:fill="C6EFCE"/>
            <w:tcMar>
              <w:left w:w="108" w:type="dxa"/>
              <w:right w:w="108" w:type="dxa"/>
            </w:tcMar>
          </w:tcPr>
          <w:p w14:paraId="680F930B"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38890C73" w14:textId="77777777" w:rsidR="008E6885" w:rsidRDefault="00EA24E7">
            <w:pPr>
              <w:pStyle w:val="P68B1DB1-Normal39"/>
              <w:spacing w:after="0"/>
              <w:jc w:val="both"/>
              <w:rPr>
                <w:noProof/>
              </w:rPr>
            </w:pPr>
            <w:r>
              <w:rPr>
                <w:noProof/>
              </w:rPr>
              <w:t>Règlement régissant l'installation d'un système de stockage d'énergie par batterie</w:t>
            </w:r>
          </w:p>
        </w:tc>
      </w:tr>
      <w:tr w:rsidR="008E6885" w14:paraId="2E30FAC7" w14:textId="77777777">
        <w:trPr>
          <w:trHeight w:val="300"/>
        </w:trPr>
        <w:tc>
          <w:tcPr>
            <w:tcW w:w="1449" w:type="dxa"/>
            <w:shd w:val="clear" w:color="auto" w:fill="C6EFCE"/>
            <w:tcMar>
              <w:left w:w="108" w:type="dxa"/>
              <w:right w:w="108" w:type="dxa"/>
            </w:tcMar>
            <w:vAlign w:val="center"/>
          </w:tcPr>
          <w:p w14:paraId="717B6E02" w14:textId="77777777" w:rsidR="008E6885" w:rsidRDefault="00EA24E7">
            <w:pPr>
              <w:pStyle w:val="P68B1DB1-Normal39"/>
              <w:spacing w:after="0"/>
              <w:jc w:val="center"/>
              <w:rPr>
                <w:noProof/>
              </w:rPr>
            </w:pPr>
            <w:r>
              <w:rPr>
                <w:noProof/>
              </w:rPr>
              <w:t>223</w:t>
            </w:r>
          </w:p>
        </w:tc>
        <w:tc>
          <w:tcPr>
            <w:tcW w:w="3638" w:type="dxa"/>
            <w:shd w:val="clear" w:color="auto" w:fill="C6EFCE"/>
            <w:tcMar>
              <w:left w:w="108" w:type="dxa"/>
              <w:right w:w="108" w:type="dxa"/>
            </w:tcMar>
          </w:tcPr>
          <w:p w14:paraId="273833A5" w14:textId="77777777" w:rsidR="008E6885" w:rsidRDefault="00EA24E7">
            <w:pPr>
              <w:pStyle w:val="P68B1DB1-Normal39"/>
              <w:spacing w:after="0"/>
              <w:rPr>
                <w:noProof/>
              </w:rPr>
            </w:pPr>
            <w:r>
              <w:rPr>
                <w:noProof/>
              </w:rPr>
              <w:t>7.3.i. Modernisation, numérisation et sécurisation des réseaux de transport et de distribution d’électricité</w:t>
            </w:r>
          </w:p>
        </w:tc>
        <w:tc>
          <w:tcPr>
            <w:tcW w:w="1491" w:type="dxa"/>
            <w:shd w:val="clear" w:color="auto" w:fill="C6EFCE"/>
            <w:tcMar>
              <w:left w:w="108" w:type="dxa"/>
              <w:right w:w="108" w:type="dxa"/>
            </w:tcMar>
          </w:tcPr>
          <w:p w14:paraId="32221097"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5FE34DEA" w14:textId="77777777" w:rsidR="008E6885" w:rsidRDefault="00EA24E7">
            <w:pPr>
              <w:pStyle w:val="P68B1DB1-Normal39"/>
              <w:spacing w:after="0"/>
              <w:jc w:val="both"/>
              <w:rPr>
                <w:noProof/>
              </w:rPr>
            </w:pPr>
            <w:r>
              <w:rPr>
                <w:noProof/>
              </w:rPr>
              <w:t>Réglementation régissant les investissements dans les réseaux nationaux de transport et de distribution d'électricité</w:t>
            </w:r>
          </w:p>
        </w:tc>
      </w:tr>
      <w:tr w:rsidR="008E6885" w14:paraId="08AC3A46" w14:textId="77777777">
        <w:trPr>
          <w:trHeight w:val="300"/>
        </w:trPr>
        <w:tc>
          <w:tcPr>
            <w:tcW w:w="1449" w:type="dxa"/>
            <w:shd w:val="clear" w:color="auto" w:fill="C6EFCE"/>
            <w:tcMar>
              <w:left w:w="108" w:type="dxa"/>
              <w:right w:w="108" w:type="dxa"/>
            </w:tcMar>
            <w:vAlign w:val="center"/>
          </w:tcPr>
          <w:p w14:paraId="281165EF" w14:textId="77777777" w:rsidR="008E6885" w:rsidRDefault="00EA24E7">
            <w:pPr>
              <w:pStyle w:val="P68B1DB1-Normal39"/>
              <w:spacing w:after="0"/>
              <w:jc w:val="center"/>
              <w:rPr>
                <w:noProof/>
              </w:rPr>
            </w:pPr>
            <w:r>
              <w:rPr>
                <w:noProof/>
              </w:rPr>
              <w:t>229</w:t>
            </w:r>
          </w:p>
        </w:tc>
        <w:tc>
          <w:tcPr>
            <w:tcW w:w="3638" w:type="dxa"/>
            <w:shd w:val="clear" w:color="auto" w:fill="C6EFCE"/>
            <w:tcMar>
              <w:left w:w="108" w:type="dxa"/>
              <w:right w:w="108" w:type="dxa"/>
            </w:tcMar>
          </w:tcPr>
          <w:p w14:paraId="3E8039CC" w14:textId="77777777" w:rsidR="008E6885" w:rsidRDefault="00EA24E7">
            <w:pPr>
              <w:pStyle w:val="P68B1DB1-Normal39"/>
              <w:spacing w:after="0"/>
              <w:rPr>
                <w:noProof/>
              </w:rPr>
            </w:pPr>
            <w:r>
              <w:rPr>
                <w:noProof/>
              </w:rPr>
              <w:t>7.4.i. Accroître l’utilisation du biométhane durable</w:t>
            </w:r>
          </w:p>
        </w:tc>
        <w:tc>
          <w:tcPr>
            <w:tcW w:w="1491" w:type="dxa"/>
            <w:shd w:val="clear" w:color="auto" w:fill="C6EFCE"/>
            <w:tcMar>
              <w:left w:w="108" w:type="dxa"/>
              <w:right w:w="108" w:type="dxa"/>
            </w:tcMar>
          </w:tcPr>
          <w:p w14:paraId="583614E2" w14:textId="77777777" w:rsidR="008E6885" w:rsidRDefault="00EA24E7">
            <w:pPr>
              <w:pStyle w:val="P68B1DB1-Normal39"/>
              <w:spacing w:after="0"/>
              <w:jc w:val="center"/>
              <w:rPr>
                <w:noProof/>
              </w:rPr>
            </w:pPr>
            <w:r>
              <w:rPr>
                <w:noProof/>
              </w:rPr>
              <w:t>Étape</w:t>
            </w:r>
          </w:p>
        </w:tc>
        <w:tc>
          <w:tcPr>
            <w:tcW w:w="3052" w:type="dxa"/>
            <w:shd w:val="clear" w:color="auto" w:fill="C6EFCE"/>
            <w:tcMar>
              <w:left w:w="108" w:type="dxa"/>
              <w:right w:w="108" w:type="dxa"/>
            </w:tcMar>
          </w:tcPr>
          <w:p w14:paraId="2DCC10C6" w14:textId="77777777" w:rsidR="008E6885" w:rsidRDefault="00EA24E7">
            <w:pPr>
              <w:pStyle w:val="P68B1DB1-Normal39"/>
              <w:spacing w:after="0"/>
              <w:jc w:val="both"/>
              <w:rPr>
                <w:noProof/>
              </w:rPr>
            </w:pPr>
            <w:r>
              <w:rPr>
                <w:noProof/>
              </w:rPr>
              <w:t>Réglementation régissant les investissements dans le secteur du biométhane</w:t>
            </w:r>
          </w:p>
        </w:tc>
      </w:tr>
      <w:tr w:rsidR="008E6885" w14:paraId="7A301DB7" w14:textId="77777777">
        <w:trPr>
          <w:trHeight w:val="300"/>
        </w:trPr>
        <w:tc>
          <w:tcPr>
            <w:tcW w:w="1449" w:type="dxa"/>
            <w:shd w:val="clear" w:color="auto" w:fill="C6EFCE"/>
            <w:tcMar>
              <w:left w:w="108" w:type="dxa"/>
              <w:right w:w="108" w:type="dxa"/>
            </w:tcMar>
            <w:vAlign w:val="center"/>
          </w:tcPr>
          <w:p w14:paraId="524447B3" w14:textId="77777777" w:rsidR="008E6885" w:rsidRDefault="00EA24E7">
            <w:pPr>
              <w:pStyle w:val="P68B1DB1-Normal39"/>
              <w:spacing w:after="0"/>
              <w:jc w:val="center"/>
              <w:rPr>
                <w:noProof/>
              </w:rPr>
            </w:pPr>
            <w:r>
              <w:rPr>
                <w:noProof/>
              </w:rPr>
              <w:t xml:space="preserve"> </w:t>
            </w:r>
          </w:p>
        </w:tc>
        <w:tc>
          <w:tcPr>
            <w:tcW w:w="3638" w:type="dxa"/>
            <w:shd w:val="clear" w:color="auto" w:fill="C6EFCE"/>
            <w:tcMar>
              <w:left w:w="108" w:type="dxa"/>
              <w:right w:w="108" w:type="dxa"/>
            </w:tcMar>
            <w:vAlign w:val="center"/>
          </w:tcPr>
          <w:p w14:paraId="207F87AE" w14:textId="77777777" w:rsidR="008E6885" w:rsidRDefault="00EA24E7">
            <w:pPr>
              <w:pStyle w:val="P68B1DB1-Normal39"/>
              <w:spacing w:after="0"/>
              <w:rPr>
                <w:noProof/>
              </w:rPr>
            </w:pPr>
            <w:r>
              <w:rPr>
                <w:noProof/>
              </w:rPr>
              <w:t xml:space="preserve"> </w:t>
            </w:r>
          </w:p>
        </w:tc>
        <w:tc>
          <w:tcPr>
            <w:tcW w:w="1491" w:type="dxa"/>
            <w:shd w:val="clear" w:color="auto" w:fill="C6EFCE"/>
            <w:tcMar>
              <w:left w:w="108" w:type="dxa"/>
              <w:right w:w="108" w:type="dxa"/>
            </w:tcMar>
          </w:tcPr>
          <w:p w14:paraId="5784D608" w14:textId="77777777" w:rsidR="008E6885" w:rsidRDefault="00EA24E7">
            <w:pPr>
              <w:pStyle w:val="P68B1DB1-Normal39"/>
              <w:spacing w:after="0"/>
              <w:jc w:val="center"/>
              <w:rPr>
                <w:noProof/>
              </w:rPr>
            </w:pPr>
            <w:r>
              <w:rPr>
                <w:noProof/>
              </w:rPr>
              <w:t>Montant des acomptes provisionnels</w:t>
            </w:r>
          </w:p>
        </w:tc>
        <w:tc>
          <w:tcPr>
            <w:tcW w:w="3052" w:type="dxa"/>
            <w:shd w:val="clear" w:color="auto" w:fill="C6EFCE"/>
            <w:tcMar>
              <w:left w:w="108" w:type="dxa"/>
              <w:right w:w="108" w:type="dxa"/>
            </w:tcMar>
            <w:vAlign w:val="center"/>
          </w:tcPr>
          <w:p w14:paraId="1E13D71C" w14:textId="77777777" w:rsidR="008E6885" w:rsidRDefault="00EA24E7">
            <w:pPr>
              <w:pStyle w:val="P68B1DB1-Normal40"/>
              <w:spacing w:after="0"/>
              <w:jc w:val="both"/>
              <w:rPr>
                <w:noProof/>
              </w:rPr>
            </w:pPr>
            <w:r>
              <w:rPr>
                <w:noProof/>
                <w:sz w:val="20"/>
              </w:rPr>
              <w:t> </w:t>
            </w:r>
            <w:r>
              <w:rPr>
                <w:noProof/>
                <w:color w:val="000000" w:themeColor="text1"/>
              </w:rPr>
              <w:t>339</w:t>
            </w:r>
            <w:r>
              <w:rPr>
                <w:noProof/>
                <w:sz w:val="20"/>
              </w:rPr>
              <w:t> </w:t>
            </w:r>
            <w:r>
              <w:rPr>
                <w:noProof/>
                <w:color w:val="000000" w:themeColor="text1"/>
              </w:rPr>
              <w:t>038</w:t>
            </w:r>
            <w:r>
              <w:rPr>
                <w:noProof/>
                <w:sz w:val="20"/>
              </w:rPr>
              <w:t> </w:t>
            </w:r>
            <w:r>
              <w:rPr>
                <w:noProof/>
                <w:color w:val="000000" w:themeColor="text1"/>
              </w:rPr>
              <w:t>937 EUR</w:t>
            </w:r>
          </w:p>
        </w:tc>
      </w:tr>
    </w:tbl>
    <w:p w14:paraId="22F0FFCD" w14:textId="77777777" w:rsidR="008E6885" w:rsidRDefault="008E6885">
      <w:pPr>
        <w:pStyle w:val="ListParagraph"/>
        <w:spacing w:after="0" w:line="257" w:lineRule="auto"/>
        <w:ind w:left="567" w:hanging="567"/>
        <w:jc w:val="both"/>
        <w:rPr>
          <w:rFonts w:ascii="Times New Roman" w:eastAsia="Times New Roman" w:hAnsi="Times New Roman" w:cs="Times New Roman"/>
          <w:noProof/>
        </w:rPr>
      </w:pPr>
    </w:p>
    <w:p w14:paraId="12921AF1" w14:textId="77777777" w:rsidR="008E6885" w:rsidRDefault="00EA24E7">
      <w:pPr>
        <w:pStyle w:val="P68B1DB1-ListParagraph37"/>
        <w:numPr>
          <w:ilvl w:val="1"/>
          <w:numId w:val="11"/>
        </w:numPr>
        <w:spacing w:after="0" w:line="257" w:lineRule="auto"/>
        <w:ind w:left="567" w:hanging="567"/>
        <w:jc w:val="both"/>
        <w:rPr>
          <w:rFonts w:eastAsia="Times New Roman" w:cs="Times New Roman"/>
          <w:noProof/>
        </w:rPr>
      </w:pPr>
      <w:r>
        <w:rPr>
          <w:noProof/>
        </w:rPr>
        <w:t>Quatrième tranche (soutien non remboursable):</w:t>
      </w:r>
    </w:p>
    <w:p w14:paraId="0A203D43" w14:textId="77777777" w:rsidR="008E6885" w:rsidRDefault="008E6885">
      <w:pPr>
        <w:pStyle w:val="ListParagraph"/>
        <w:spacing w:after="0" w:line="257" w:lineRule="auto"/>
        <w:ind w:left="567" w:hanging="567"/>
        <w:jc w:val="both"/>
        <w:rPr>
          <w:rFonts w:ascii="Times New Roman" w:eastAsia="Times New Roman" w:hAnsi="Times New Roman" w:cs="Times New Roman"/>
          <w:noProof/>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3543"/>
        <w:gridCol w:w="1560"/>
        <w:gridCol w:w="2976"/>
      </w:tblGrid>
      <w:tr w:rsidR="008E6885" w14:paraId="7D7306B0" w14:textId="77777777">
        <w:trPr>
          <w:trHeight w:val="300"/>
          <w:tblHeader/>
        </w:trPr>
        <w:tc>
          <w:tcPr>
            <w:tcW w:w="1550" w:type="dxa"/>
            <w:shd w:val="clear" w:color="auto" w:fill="BDD7EE"/>
            <w:tcMar>
              <w:left w:w="108" w:type="dxa"/>
              <w:right w:w="108" w:type="dxa"/>
            </w:tcMar>
            <w:vAlign w:val="center"/>
          </w:tcPr>
          <w:p w14:paraId="11DADF2D" w14:textId="77777777" w:rsidR="008E6885" w:rsidRDefault="00EA24E7">
            <w:pPr>
              <w:pStyle w:val="P68B1DB1-Normal44"/>
              <w:spacing w:after="0"/>
              <w:jc w:val="center"/>
              <w:rPr>
                <w:rFonts w:ascii="Calibri" w:hAnsi="Calibri"/>
                <w:noProof/>
              </w:rPr>
            </w:pPr>
            <w:r>
              <w:rPr>
                <w:noProof/>
              </w:rPr>
              <w:t>Numéro séquentiel</w:t>
            </w:r>
          </w:p>
        </w:tc>
        <w:tc>
          <w:tcPr>
            <w:tcW w:w="3543" w:type="dxa"/>
            <w:shd w:val="clear" w:color="auto" w:fill="BDD7EE"/>
            <w:tcMar>
              <w:left w:w="108" w:type="dxa"/>
              <w:right w:w="108" w:type="dxa"/>
            </w:tcMar>
            <w:vAlign w:val="center"/>
          </w:tcPr>
          <w:p w14:paraId="14B07ECB" w14:textId="77777777" w:rsidR="008E6885" w:rsidRDefault="00EA24E7">
            <w:pPr>
              <w:spacing w:after="0"/>
              <w:jc w:val="center"/>
              <w:rPr>
                <w:rFonts w:ascii="Calibri" w:eastAsia="Calibri" w:hAnsi="Calibri" w:cs="Arial"/>
                <w:noProof/>
              </w:rPr>
            </w:pPr>
            <w:r>
              <w:rPr>
                <w:rFonts w:ascii="Times New Roman" w:eastAsia="Calibri" w:hAnsi="Times New Roman" w:cs="Arial"/>
                <w:b/>
                <w:noProof/>
                <w:color w:val="000000"/>
              </w:rPr>
              <w:t>Mesure connexe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color w:val="000000"/>
              </w:rPr>
              <w:t>(Réforme ou investissement)</w:t>
            </w:r>
          </w:p>
        </w:tc>
        <w:tc>
          <w:tcPr>
            <w:tcW w:w="1560" w:type="dxa"/>
            <w:shd w:val="clear" w:color="auto" w:fill="BDD7EE"/>
            <w:tcMar>
              <w:left w:w="108" w:type="dxa"/>
              <w:right w:w="108" w:type="dxa"/>
            </w:tcMar>
            <w:vAlign w:val="center"/>
          </w:tcPr>
          <w:p w14:paraId="51FCE320" w14:textId="77777777" w:rsidR="008E6885" w:rsidRDefault="00EA24E7">
            <w:pPr>
              <w:pStyle w:val="P68B1DB1-Normal44"/>
              <w:spacing w:after="0"/>
              <w:jc w:val="center"/>
              <w:rPr>
                <w:rFonts w:ascii="Calibri" w:hAnsi="Calibri"/>
                <w:noProof/>
              </w:rPr>
            </w:pPr>
            <w:r>
              <w:rPr>
                <w:noProof/>
              </w:rPr>
              <w:t>Étape/cible</w:t>
            </w:r>
          </w:p>
        </w:tc>
        <w:tc>
          <w:tcPr>
            <w:tcW w:w="2976" w:type="dxa"/>
            <w:shd w:val="clear" w:color="auto" w:fill="BDD7EE"/>
            <w:tcMar>
              <w:left w:w="108" w:type="dxa"/>
              <w:right w:w="108" w:type="dxa"/>
            </w:tcMar>
            <w:vAlign w:val="center"/>
          </w:tcPr>
          <w:p w14:paraId="6DA210FF" w14:textId="77777777" w:rsidR="008E6885" w:rsidRDefault="00EA24E7">
            <w:pPr>
              <w:pStyle w:val="P68B1DB1-Normal44"/>
              <w:spacing w:after="0"/>
              <w:jc w:val="center"/>
              <w:rPr>
                <w:rFonts w:ascii="Calibri" w:hAnsi="Calibri"/>
                <w:noProof/>
              </w:rPr>
            </w:pPr>
            <w:r>
              <w:rPr>
                <w:noProof/>
              </w:rPr>
              <w:t>Nom</w:t>
            </w:r>
          </w:p>
        </w:tc>
      </w:tr>
      <w:tr w:rsidR="008E6885" w14:paraId="3021CFCF" w14:textId="77777777">
        <w:trPr>
          <w:trHeight w:val="300"/>
        </w:trPr>
        <w:tc>
          <w:tcPr>
            <w:tcW w:w="1550" w:type="dxa"/>
            <w:shd w:val="clear" w:color="auto" w:fill="C6EFCE"/>
            <w:tcMar>
              <w:left w:w="108" w:type="dxa"/>
              <w:right w:w="108" w:type="dxa"/>
            </w:tcMar>
            <w:vAlign w:val="center"/>
          </w:tcPr>
          <w:p w14:paraId="40D4781C" w14:textId="77777777" w:rsidR="008E6885" w:rsidRDefault="00EA24E7">
            <w:pPr>
              <w:pStyle w:val="P68B1DB1-Normal45"/>
              <w:spacing w:after="0"/>
              <w:jc w:val="center"/>
              <w:rPr>
                <w:rFonts w:ascii="Calibri" w:hAnsi="Calibri"/>
                <w:noProof/>
              </w:rPr>
            </w:pPr>
            <w:r>
              <w:rPr>
                <w:noProof/>
              </w:rPr>
              <w:t>8</w:t>
            </w:r>
          </w:p>
        </w:tc>
        <w:tc>
          <w:tcPr>
            <w:tcW w:w="3543" w:type="dxa"/>
            <w:shd w:val="clear" w:color="auto" w:fill="C6EFCE"/>
            <w:tcMar>
              <w:left w:w="108" w:type="dxa"/>
              <w:right w:w="108" w:type="dxa"/>
            </w:tcMar>
          </w:tcPr>
          <w:p w14:paraId="3210B2D9" w14:textId="77777777" w:rsidR="008E6885" w:rsidRDefault="00EA24E7">
            <w:pPr>
              <w:pStyle w:val="P68B1DB1-Normal45"/>
              <w:spacing w:after="0"/>
              <w:rPr>
                <w:rFonts w:ascii="Calibri" w:hAnsi="Calibri"/>
                <w:noProof/>
              </w:rPr>
            </w:pPr>
            <w:r>
              <w:rPr>
                <w:noProof/>
              </w:rPr>
              <w:t xml:space="preserve">1.2.1.1.i. Améliorer l'efficacité énergétique des immeubles comprenant plusieurs appartements </w:t>
            </w:r>
          </w:p>
        </w:tc>
        <w:tc>
          <w:tcPr>
            <w:tcW w:w="1560" w:type="dxa"/>
            <w:shd w:val="clear" w:color="auto" w:fill="C6EFCE"/>
            <w:tcMar>
              <w:left w:w="108" w:type="dxa"/>
              <w:right w:w="108" w:type="dxa"/>
            </w:tcMar>
          </w:tcPr>
          <w:p w14:paraId="45A9FF28" w14:textId="77777777" w:rsidR="008E6885" w:rsidRDefault="00EA24E7">
            <w:pPr>
              <w:pStyle w:val="P68B1DB1-Normal45"/>
              <w:spacing w:after="0"/>
              <w:jc w:val="center"/>
              <w:rPr>
                <w:rFonts w:ascii="Calibri" w:hAnsi="Calibri"/>
                <w:noProof/>
              </w:rPr>
            </w:pPr>
            <w:r>
              <w:rPr>
                <w:noProof/>
              </w:rPr>
              <w:t>Objectif</w:t>
            </w:r>
          </w:p>
        </w:tc>
        <w:tc>
          <w:tcPr>
            <w:tcW w:w="2976" w:type="dxa"/>
            <w:shd w:val="clear" w:color="auto" w:fill="C6EFCE"/>
            <w:tcMar>
              <w:left w:w="108" w:type="dxa"/>
              <w:right w:w="108" w:type="dxa"/>
            </w:tcMar>
          </w:tcPr>
          <w:p w14:paraId="25AE7095" w14:textId="77777777" w:rsidR="008E6885" w:rsidRDefault="00EA24E7">
            <w:pPr>
              <w:pStyle w:val="P68B1DB1-Normal45"/>
              <w:spacing w:after="0"/>
              <w:jc w:val="both"/>
              <w:rPr>
                <w:rFonts w:ascii="Calibri" w:hAnsi="Calibri"/>
                <w:noProof/>
              </w:rPr>
            </w:pPr>
            <w:r>
              <w:rPr>
                <w:noProof/>
              </w:rPr>
              <w:t xml:space="preserve">Contrats signés </w:t>
            </w:r>
          </w:p>
        </w:tc>
      </w:tr>
      <w:tr w:rsidR="008E6885" w14:paraId="2EC92E48" w14:textId="77777777">
        <w:trPr>
          <w:trHeight w:val="300"/>
        </w:trPr>
        <w:tc>
          <w:tcPr>
            <w:tcW w:w="1550" w:type="dxa"/>
            <w:shd w:val="clear" w:color="auto" w:fill="C6EFCE"/>
            <w:tcMar>
              <w:left w:w="108" w:type="dxa"/>
              <w:right w:w="108" w:type="dxa"/>
            </w:tcMar>
            <w:vAlign w:val="center"/>
          </w:tcPr>
          <w:p w14:paraId="1C2DFD36" w14:textId="77777777" w:rsidR="008E6885" w:rsidRDefault="00EA24E7">
            <w:pPr>
              <w:pStyle w:val="P68B1DB1-Normal45"/>
              <w:spacing w:after="0"/>
              <w:jc w:val="center"/>
              <w:rPr>
                <w:rFonts w:ascii="Calibri" w:hAnsi="Calibri"/>
                <w:noProof/>
              </w:rPr>
            </w:pPr>
            <w:r>
              <w:rPr>
                <w:noProof/>
              </w:rPr>
              <w:t>14</w:t>
            </w:r>
          </w:p>
        </w:tc>
        <w:tc>
          <w:tcPr>
            <w:tcW w:w="3543" w:type="dxa"/>
            <w:shd w:val="clear" w:color="auto" w:fill="C6EFCE"/>
            <w:tcMar>
              <w:left w:w="108" w:type="dxa"/>
              <w:right w:w="108" w:type="dxa"/>
            </w:tcMar>
          </w:tcPr>
          <w:p w14:paraId="2B57BF42" w14:textId="77777777" w:rsidR="008E6885" w:rsidRDefault="00EA24E7">
            <w:pPr>
              <w:pStyle w:val="P68B1DB1-Normal45"/>
              <w:spacing w:after="0"/>
              <w:rPr>
                <w:rFonts w:ascii="Calibri" w:hAnsi="Calibri"/>
                <w:noProof/>
              </w:rPr>
            </w:pPr>
            <w:r>
              <w:rPr>
                <w:noProof/>
              </w:rPr>
              <w:t xml:space="preserve">1.2.1.3.i. Améliorer l'efficacité énergétique des bâtiments municipaux </w:t>
            </w:r>
          </w:p>
        </w:tc>
        <w:tc>
          <w:tcPr>
            <w:tcW w:w="1560" w:type="dxa"/>
            <w:shd w:val="clear" w:color="auto" w:fill="C6EFCE"/>
            <w:tcMar>
              <w:left w:w="108" w:type="dxa"/>
              <w:right w:w="108" w:type="dxa"/>
            </w:tcMar>
          </w:tcPr>
          <w:p w14:paraId="60511B1F" w14:textId="77777777" w:rsidR="008E6885" w:rsidRDefault="00EA24E7">
            <w:pPr>
              <w:pStyle w:val="P68B1DB1-Normal45"/>
              <w:spacing w:after="0"/>
              <w:jc w:val="center"/>
              <w:rPr>
                <w:rFonts w:ascii="Calibri" w:hAnsi="Calibri"/>
                <w:noProof/>
              </w:rPr>
            </w:pPr>
            <w:r>
              <w:rPr>
                <w:noProof/>
              </w:rPr>
              <w:t>Objectif</w:t>
            </w:r>
          </w:p>
        </w:tc>
        <w:tc>
          <w:tcPr>
            <w:tcW w:w="2976" w:type="dxa"/>
            <w:shd w:val="clear" w:color="auto" w:fill="C6EFCE"/>
            <w:tcMar>
              <w:left w:w="108" w:type="dxa"/>
              <w:right w:w="108" w:type="dxa"/>
            </w:tcMar>
          </w:tcPr>
          <w:p w14:paraId="228A4D6E" w14:textId="77777777" w:rsidR="008E6885" w:rsidRDefault="00EA24E7">
            <w:pPr>
              <w:pStyle w:val="P68B1DB1-Normal45"/>
              <w:spacing w:after="0"/>
              <w:jc w:val="both"/>
              <w:rPr>
                <w:rFonts w:ascii="Calibri" w:hAnsi="Calibri"/>
                <w:noProof/>
              </w:rPr>
            </w:pPr>
            <w:r>
              <w:rPr>
                <w:noProof/>
              </w:rPr>
              <w:t xml:space="preserve">Attribution des marchés </w:t>
            </w:r>
          </w:p>
        </w:tc>
      </w:tr>
      <w:tr w:rsidR="008E6885" w14:paraId="50D7716F" w14:textId="77777777">
        <w:trPr>
          <w:trHeight w:val="300"/>
        </w:trPr>
        <w:tc>
          <w:tcPr>
            <w:tcW w:w="1550" w:type="dxa"/>
            <w:shd w:val="clear" w:color="auto" w:fill="C6EFCE"/>
            <w:tcMar>
              <w:left w:w="108" w:type="dxa"/>
              <w:right w:w="108" w:type="dxa"/>
            </w:tcMar>
            <w:vAlign w:val="center"/>
          </w:tcPr>
          <w:p w14:paraId="77015845" w14:textId="77777777" w:rsidR="008E6885" w:rsidRDefault="00EA24E7">
            <w:pPr>
              <w:pStyle w:val="P68B1DB1-Normal45"/>
              <w:spacing w:after="0"/>
              <w:jc w:val="center"/>
              <w:rPr>
                <w:rFonts w:ascii="Calibri" w:hAnsi="Calibri"/>
                <w:noProof/>
              </w:rPr>
            </w:pPr>
            <w:r>
              <w:rPr>
                <w:noProof/>
              </w:rPr>
              <w:t>21</w:t>
            </w:r>
          </w:p>
        </w:tc>
        <w:tc>
          <w:tcPr>
            <w:tcW w:w="3543" w:type="dxa"/>
            <w:shd w:val="clear" w:color="auto" w:fill="C6EFCE"/>
            <w:tcMar>
              <w:left w:w="108" w:type="dxa"/>
              <w:right w:w="108" w:type="dxa"/>
            </w:tcMar>
          </w:tcPr>
          <w:p w14:paraId="09A44049" w14:textId="77777777" w:rsidR="008E6885" w:rsidRDefault="00EA24E7">
            <w:pPr>
              <w:pStyle w:val="P68B1DB1-Normal45"/>
              <w:spacing w:after="0"/>
              <w:rPr>
                <w:rFonts w:ascii="Calibri" w:hAnsi="Calibri"/>
                <w:noProof/>
              </w:rPr>
            </w:pPr>
            <w:r>
              <w:rPr>
                <w:noProof/>
              </w:rPr>
              <w:t>1.2.1.5.i. Modernisation des réseaux de transport et de distribution d'électricité</w:t>
            </w:r>
          </w:p>
        </w:tc>
        <w:tc>
          <w:tcPr>
            <w:tcW w:w="1560" w:type="dxa"/>
            <w:shd w:val="clear" w:color="auto" w:fill="C6EFCE"/>
            <w:tcMar>
              <w:left w:w="108" w:type="dxa"/>
              <w:right w:w="108" w:type="dxa"/>
            </w:tcMar>
          </w:tcPr>
          <w:p w14:paraId="7D42F5AD" w14:textId="77777777" w:rsidR="008E6885" w:rsidRDefault="00EA24E7">
            <w:pPr>
              <w:pStyle w:val="P68B1DB1-Normal45"/>
              <w:spacing w:after="0"/>
              <w:jc w:val="center"/>
              <w:rPr>
                <w:rFonts w:ascii="Calibri" w:hAnsi="Calibri"/>
                <w:noProof/>
              </w:rPr>
            </w:pPr>
            <w:r>
              <w:rPr>
                <w:noProof/>
              </w:rPr>
              <w:t>Étape</w:t>
            </w:r>
          </w:p>
        </w:tc>
        <w:tc>
          <w:tcPr>
            <w:tcW w:w="2976" w:type="dxa"/>
            <w:shd w:val="clear" w:color="auto" w:fill="C6EFCE"/>
            <w:tcMar>
              <w:left w:w="108" w:type="dxa"/>
              <w:right w:w="108" w:type="dxa"/>
            </w:tcMar>
          </w:tcPr>
          <w:p w14:paraId="0CD7E0CB" w14:textId="77777777" w:rsidR="008E6885" w:rsidRDefault="00EA24E7">
            <w:pPr>
              <w:pStyle w:val="P68B1DB1-Normal45"/>
              <w:spacing w:after="0"/>
              <w:jc w:val="both"/>
              <w:rPr>
                <w:rFonts w:ascii="Calibri" w:hAnsi="Calibri"/>
                <w:noProof/>
              </w:rPr>
            </w:pPr>
            <w:r>
              <w:rPr>
                <w:noProof/>
              </w:rPr>
              <w:t xml:space="preserve">Entrée en vigueur d’un ou de plusieurs actes juridiques relatifs à l’énergie éolienne sur les terres publiques </w:t>
            </w:r>
          </w:p>
        </w:tc>
      </w:tr>
      <w:tr w:rsidR="008E6885" w14:paraId="4CCEEBE1" w14:textId="77777777">
        <w:trPr>
          <w:trHeight w:val="300"/>
        </w:trPr>
        <w:tc>
          <w:tcPr>
            <w:tcW w:w="1550" w:type="dxa"/>
            <w:shd w:val="clear" w:color="auto" w:fill="C6EFCE"/>
            <w:tcMar>
              <w:left w:w="108" w:type="dxa"/>
              <w:right w:w="108" w:type="dxa"/>
            </w:tcMar>
            <w:vAlign w:val="center"/>
          </w:tcPr>
          <w:p w14:paraId="7427972C" w14:textId="77777777" w:rsidR="008E6885" w:rsidRDefault="00EA24E7">
            <w:pPr>
              <w:pStyle w:val="P68B1DB1-Normal45"/>
              <w:spacing w:after="0"/>
              <w:jc w:val="center"/>
              <w:rPr>
                <w:rFonts w:eastAsia="Times New Roman" w:cs="Times New Roman"/>
                <w:noProof/>
              </w:rPr>
            </w:pPr>
            <w:r>
              <w:rPr>
                <w:noProof/>
              </w:rPr>
              <w:t>24</w:t>
            </w:r>
          </w:p>
        </w:tc>
        <w:tc>
          <w:tcPr>
            <w:tcW w:w="3543" w:type="dxa"/>
            <w:shd w:val="clear" w:color="auto" w:fill="C6EFCE"/>
            <w:tcMar>
              <w:left w:w="108" w:type="dxa"/>
              <w:right w:w="108" w:type="dxa"/>
            </w:tcMar>
          </w:tcPr>
          <w:p w14:paraId="2DDF69BF" w14:textId="77777777" w:rsidR="008E6885" w:rsidRDefault="00EA24E7">
            <w:pPr>
              <w:pStyle w:val="P68B1DB1-Normal45"/>
              <w:spacing w:after="0"/>
              <w:rPr>
                <w:rFonts w:eastAsia="Times New Roman" w:cs="Times New Roman"/>
                <w:noProof/>
              </w:rPr>
            </w:pPr>
            <w:r>
              <w:rPr>
                <w:noProof/>
              </w:rPr>
              <w:t>1.3.1.r. Adaptation du système de gestion des catastrophes aux changements climatiques, services de secours et d'intervention rapide</w:t>
            </w:r>
          </w:p>
        </w:tc>
        <w:tc>
          <w:tcPr>
            <w:tcW w:w="1560" w:type="dxa"/>
            <w:shd w:val="clear" w:color="auto" w:fill="C6EFCE"/>
            <w:tcMar>
              <w:left w:w="108" w:type="dxa"/>
              <w:right w:w="108" w:type="dxa"/>
            </w:tcMar>
          </w:tcPr>
          <w:p w14:paraId="6EE89A7A" w14:textId="77777777" w:rsidR="008E6885" w:rsidRDefault="00EA24E7">
            <w:pPr>
              <w:pStyle w:val="P68B1DB1-Normal45"/>
              <w:spacing w:after="0"/>
              <w:jc w:val="center"/>
              <w:rPr>
                <w:rFonts w:eastAsia="Times New Roman" w:cs="Times New Roman"/>
                <w:noProof/>
              </w:rPr>
            </w:pPr>
            <w:r>
              <w:rPr>
                <w:noProof/>
              </w:rPr>
              <w:t>Étape</w:t>
            </w:r>
          </w:p>
        </w:tc>
        <w:tc>
          <w:tcPr>
            <w:tcW w:w="2976" w:type="dxa"/>
            <w:shd w:val="clear" w:color="auto" w:fill="C6EFCE"/>
            <w:tcMar>
              <w:left w:w="108" w:type="dxa"/>
              <w:right w:w="108" w:type="dxa"/>
            </w:tcMar>
          </w:tcPr>
          <w:p w14:paraId="6C7B2F35" w14:textId="77777777" w:rsidR="008E6885" w:rsidRDefault="00EA24E7">
            <w:pPr>
              <w:pStyle w:val="P68B1DB1-Normal45"/>
              <w:spacing w:after="0"/>
              <w:jc w:val="both"/>
              <w:rPr>
                <w:rFonts w:eastAsia="Times New Roman" w:cs="Times New Roman"/>
                <w:noProof/>
              </w:rPr>
            </w:pPr>
            <w:r>
              <w:rPr>
                <w:noProof/>
              </w:rPr>
              <w:t>Acte juridique relatif au système national d'alerte précoce</w:t>
            </w:r>
          </w:p>
        </w:tc>
      </w:tr>
      <w:tr w:rsidR="008E6885" w14:paraId="006A1F62" w14:textId="77777777">
        <w:trPr>
          <w:trHeight w:val="300"/>
        </w:trPr>
        <w:tc>
          <w:tcPr>
            <w:tcW w:w="1550" w:type="dxa"/>
            <w:shd w:val="clear" w:color="auto" w:fill="C6EFCE"/>
            <w:tcMar>
              <w:left w:w="108" w:type="dxa"/>
              <w:right w:w="108" w:type="dxa"/>
            </w:tcMar>
            <w:vAlign w:val="center"/>
          </w:tcPr>
          <w:p w14:paraId="393BF8AC" w14:textId="77777777" w:rsidR="008E6885" w:rsidRDefault="00EA24E7">
            <w:pPr>
              <w:pStyle w:val="P68B1DB1-Normal45"/>
              <w:spacing w:after="0"/>
              <w:jc w:val="center"/>
              <w:rPr>
                <w:rFonts w:ascii="Calibri" w:hAnsi="Calibri"/>
                <w:noProof/>
              </w:rPr>
            </w:pPr>
            <w:r>
              <w:rPr>
                <w:noProof/>
              </w:rPr>
              <w:t>25</w:t>
            </w:r>
          </w:p>
        </w:tc>
        <w:tc>
          <w:tcPr>
            <w:tcW w:w="3543" w:type="dxa"/>
            <w:shd w:val="clear" w:color="auto" w:fill="C6EFCE"/>
            <w:tcMar>
              <w:left w:w="108" w:type="dxa"/>
              <w:right w:w="108" w:type="dxa"/>
            </w:tcMar>
          </w:tcPr>
          <w:p w14:paraId="4CBFA178" w14:textId="77777777" w:rsidR="008E6885" w:rsidRDefault="00EA24E7">
            <w:pPr>
              <w:pStyle w:val="P68B1DB1-Normal45"/>
              <w:spacing w:after="0"/>
              <w:rPr>
                <w:rFonts w:ascii="Calibri" w:hAnsi="Calibri"/>
                <w:noProof/>
              </w:rPr>
            </w:pPr>
            <w:r>
              <w:rPr>
                <w:noProof/>
              </w:rPr>
              <w:t>1.3.1.2.i. Investissements dans les infrastructures de réduction des risques d'inondation</w:t>
            </w:r>
          </w:p>
        </w:tc>
        <w:tc>
          <w:tcPr>
            <w:tcW w:w="1560" w:type="dxa"/>
            <w:shd w:val="clear" w:color="auto" w:fill="C6EFCE"/>
            <w:tcMar>
              <w:left w:w="108" w:type="dxa"/>
              <w:right w:w="108" w:type="dxa"/>
            </w:tcMar>
          </w:tcPr>
          <w:p w14:paraId="6EA26144" w14:textId="77777777" w:rsidR="008E6885" w:rsidRDefault="00EA24E7">
            <w:pPr>
              <w:pStyle w:val="P68B1DB1-Normal45"/>
              <w:spacing w:after="0"/>
              <w:jc w:val="center"/>
              <w:rPr>
                <w:rFonts w:ascii="Calibri" w:hAnsi="Calibri"/>
                <w:noProof/>
              </w:rPr>
            </w:pPr>
            <w:r>
              <w:rPr>
                <w:noProof/>
              </w:rPr>
              <w:t>Objectif</w:t>
            </w:r>
          </w:p>
        </w:tc>
        <w:tc>
          <w:tcPr>
            <w:tcW w:w="2976" w:type="dxa"/>
            <w:shd w:val="clear" w:color="auto" w:fill="C6EFCE"/>
            <w:tcMar>
              <w:left w:w="108" w:type="dxa"/>
              <w:right w:w="108" w:type="dxa"/>
            </w:tcMar>
          </w:tcPr>
          <w:p w14:paraId="667A6463" w14:textId="77777777" w:rsidR="008E6885" w:rsidRDefault="00EA24E7">
            <w:pPr>
              <w:pStyle w:val="P68B1DB1-Normal45"/>
              <w:spacing w:after="0"/>
              <w:jc w:val="both"/>
              <w:rPr>
                <w:rFonts w:ascii="Calibri" w:hAnsi="Calibri"/>
                <w:noProof/>
              </w:rPr>
            </w:pPr>
            <w:r>
              <w:rPr>
                <w:noProof/>
              </w:rPr>
              <w:t>Signature des contrats de construction</w:t>
            </w:r>
          </w:p>
        </w:tc>
      </w:tr>
      <w:tr w:rsidR="008E6885" w14:paraId="2D186624" w14:textId="77777777">
        <w:trPr>
          <w:trHeight w:val="300"/>
        </w:trPr>
        <w:tc>
          <w:tcPr>
            <w:tcW w:w="1550" w:type="dxa"/>
            <w:shd w:val="clear" w:color="auto" w:fill="C6EFCE"/>
            <w:tcMar>
              <w:left w:w="108" w:type="dxa"/>
              <w:right w:w="108" w:type="dxa"/>
            </w:tcMar>
            <w:vAlign w:val="center"/>
          </w:tcPr>
          <w:p w14:paraId="024297EC" w14:textId="77777777" w:rsidR="008E6885" w:rsidRDefault="00EA24E7">
            <w:pPr>
              <w:pStyle w:val="P68B1DB1-Normal45"/>
              <w:spacing w:after="0"/>
              <w:jc w:val="center"/>
              <w:rPr>
                <w:rFonts w:ascii="Calibri" w:hAnsi="Calibri"/>
                <w:noProof/>
              </w:rPr>
            </w:pPr>
            <w:r>
              <w:rPr>
                <w:noProof/>
              </w:rPr>
              <w:t>36</w:t>
            </w:r>
          </w:p>
        </w:tc>
        <w:tc>
          <w:tcPr>
            <w:tcW w:w="3543" w:type="dxa"/>
            <w:shd w:val="clear" w:color="auto" w:fill="C6EFCE"/>
            <w:tcMar>
              <w:left w:w="108" w:type="dxa"/>
              <w:right w:w="108" w:type="dxa"/>
            </w:tcMar>
          </w:tcPr>
          <w:p w14:paraId="4FCAD761" w14:textId="77777777" w:rsidR="008E6885" w:rsidRDefault="00EA24E7">
            <w:pPr>
              <w:pStyle w:val="P68B1DB1-Normal45"/>
              <w:spacing w:after="0"/>
              <w:rPr>
                <w:rFonts w:ascii="Calibri" w:hAnsi="Calibri"/>
                <w:noProof/>
              </w:rPr>
            </w:pPr>
            <w:r>
              <w:rPr>
                <w:noProof/>
              </w:rPr>
              <w:t>2.1.2.2.i. Services en nuage</w:t>
            </w:r>
          </w:p>
        </w:tc>
        <w:tc>
          <w:tcPr>
            <w:tcW w:w="1560" w:type="dxa"/>
            <w:shd w:val="clear" w:color="auto" w:fill="C6EFCE"/>
            <w:tcMar>
              <w:left w:w="108" w:type="dxa"/>
              <w:right w:w="108" w:type="dxa"/>
            </w:tcMar>
          </w:tcPr>
          <w:p w14:paraId="33B594BE" w14:textId="77777777" w:rsidR="008E6885" w:rsidRDefault="00EA24E7">
            <w:pPr>
              <w:pStyle w:val="P68B1DB1-Normal45"/>
              <w:spacing w:after="0"/>
              <w:jc w:val="center"/>
              <w:rPr>
                <w:rFonts w:ascii="Calibri" w:hAnsi="Calibri"/>
                <w:noProof/>
              </w:rPr>
            </w:pPr>
            <w:r>
              <w:rPr>
                <w:noProof/>
              </w:rPr>
              <w:t>Objectif</w:t>
            </w:r>
          </w:p>
        </w:tc>
        <w:tc>
          <w:tcPr>
            <w:tcW w:w="2976" w:type="dxa"/>
            <w:shd w:val="clear" w:color="auto" w:fill="C6EFCE"/>
            <w:tcMar>
              <w:left w:w="108" w:type="dxa"/>
              <w:right w:w="108" w:type="dxa"/>
            </w:tcMar>
          </w:tcPr>
          <w:p w14:paraId="581808DA" w14:textId="77777777" w:rsidR="008E6885" w:rsidRDefault="00EA24E7">
            <w:pPr>
              <w:pStyle w:val="P68B1DB1-Normal45"/>
              <w:spacing w:after="0"/>
              <w:jc w:val="both"/>
              <w:rPr>
                <w:rFonts w:ascii="Calibri" w:hAnsi="Calibri"/>
                <w:noProof/>
              </w:rPr>
            </w:pPr>
            <w:r>
              <w:rPr>
                <w:noProof/>
              </w:rPr>
              <w:t>Services en nuage fournis aux autorités publiques</w:t>
            </w:r>
          </w:p>
        </w:tc>
      </w:tr>
      <w:tr w:rsidR="008E6885" w14:paraId="6D6976F1" w14:textId="77777777">
        <w:trPr>
          <w:trHeight w:val="300"/>
        </w:trPr>
        <w:tc>
          <w:tcPr>
            <w:tcW w:w="1550" w:type="dxa"/>
            <w:shd w:val="clear" w:color="auto" w:fill="C6EFCE"/>
            <w:tcMar>
              <w:left w:w="108" w:type="dxa"/>
              <w:right w:w="108" w:type="dxa"/>
            </w:tcMar>
            <w:vAlign w:val="center"/>
          </w:tcPr>
          <w:p w14:paraId="1C134FD8" w14:textId="77777777" w:rsidR="008E6885" w:rsidRDefault="00EA24E7">
            <w:pPr>
              <w:pStyle w:val="P68B1DB1-Normal45"/>
              <w:spacing w:after="0"/>
              <w:jc w:val="center"/>
              <w:rPr>
                <w:rFonts w:ascii="Calibri" w:hAnsi="Calibri"/>
                <w:noProof/>
              </w:rPr>
            </w:pPr>
            <w:r>
              <w:rPr>
                <w:noProof/>
              </w:rPr>
              <w:t>44</w:t>
            </w:r>
          </w:p>
        </w:tc>
        <w:tc>
          <w:tcPr>
            <w:tcW w:w="3543" w:type="dxa"/>
            <w:shd w:val="clear" w:color="auto" w:fill="C6EFCE"/>
            <w:tcMar>
              <w:left w:w="108" w:type="dxa"/>
              <w:right w:w="108" w:type="dxa"/>
            </w:tcMar>
          </w:tcPr>
          <w:p w14:paraId="2BEAC000" w14:textId="77777777" w:rsidR="008E6885" w:rsidRDefault="00EA24E7">
            <w:pPr>
              <w:pStyle w:val="P68B1DB1-Normal45"/>
              <w:spacing w:after="0"/>
              <w:rPr>
                <w:rFonts w:ascii="Calibri" w:hAnsi="Calibri"/>
                <w:noProof/>
              </w:rPr>
            </w:pPr>
            <w:r>
              <w:rPr>
                <w:noProof/>
              </w:rPr>
              <w:t xml:space="preserve">2.2.1.1.i. Soutien à la mise en place de pôles d’innovation numérique et de points de contact régionaux </w:t>
            </w:r>
          </w:p>
        </w:tc>
        <w:tc>
          <w:tcPr>
            <w:tcW w:w="1560" w:type="dxa"/>
            <w:shd w:val="clear" w:color="auto" w:fill="C6EFCE"/>
            <w:tcMar>
              <w:left w:w="108" w:type="dxa"/>
              <w:right w:w="108" w:type="dxa"/>
            </w:tcMar>
          </w:tcPr>
          <w:p w14:paraId="67D4921F" w14:textId="77777777" w:rsidR="008E6885" w:rsidRDefault="00EA24E7">
            <w:pPr>
              <w:pStyle w:val="P68B1DB1-Normal45"/>
              <w:spacing w:after="0"/>
              <w:jc w:val="center"/>
              <w:rPr>
                <w:rFonts w:ascii="Calibri" w:hAnsi="Calibri"/>
                <w:noProof/>
              </w:rPr>
            </w:pPr>
            <w:r>
              <w:rPr>
                <w:noProof/>
              </w:rPr>
              <w:t>Objectif</w:t>
            </w:r>
          </w:p>
        </w:tc>
        <w:tc>
          <w:tcPr>
            <w:tcW w:w="2976" w:type="dxa"/>
            <w:shd w:val="clear" w:color="auto" w:fill="C6EFCE"/>
            <w:tcMar>
              <w:left w:w="108" w:type="dxa"/>
              <w:right w:w="108" w:type="dxa"/>
            </w:tcMar>
          </w:tcPr>
          <w:p w14:paraId="60F68C19" w14:textId="77777777" w:rsidR="008E6885" w:rsidRDefault="00EA24E7">
            <w:pPr>
              <w:pStyle w:val="P68B1DB1-Normal45"/>
              <w:spacing w:after="0"/>
              <w:jc w:val="both"/>
              <w:rPr>
                <w:rFonts w:ascii="Calibri" w:hAnsi="Calibri"/>
                <w:noProof/>
              </w:rPr>
            </w:pPr>
            <w:r>
              <w:rPr>
                <w:noProof/>
              </w:rPr>
              <w:t xml:space="preserve">Feuilles de route pour la transformation numérique </w:t>
            </w:r>
          </w:p>
        </w:tc>
      </w:tr>
      <w:tr w:rsidR="008E6885" w14:paraId="27CA5A77" w14:textId="77777777">
        <w:trPr>
          <w:trHeight w:val="300"/>
        </w:trPr>
        <w:tc>
          <w:tcPr>
            <w:tcW w:w="1550" w:type="dxa"/>
            <w:shd w:val="clear" w:color="auto" w:fill="C6EFCE"/>
            <w:tcMar>
              <w:left w:w="108" w:type="dxa"/>
              <w:right w:w="108" w:type="dxa"/>
            </w:tcMar>
            <w:vAlign w:val="center"/>
          </w:tcPr>
          <w:p w14:paraId="0204EFEB" w14:textId="77777777" w:rsidR="008E6885" w:rsidRDefault="00EA24E7">
            <w:pPr>
              <w:pStyle w:val="P68B1DB1-Normal45"/>
              <w:spacing w:after="0"/>
              <w:jc w:val="center"/>
              <w:rPr>
                <w:rFonts w:ascii="Calibri" w:hAnsi="Calibri"/>
                <w:noProof/>
              </w:rPr>
            </w:pPr>
            <w:r>
              <w:rPr>
                <w:noProof/>
              </w:rPr>
              <w:t>46</w:t>
            </w:r>
          </w:p>
        </w:tc>
        <w:tc>
          <w:tcPr>
            <w:tcW w:w="3543" w:type="dxa"/>
            <w:shd w:val="clear" w:color="auto" w:fill="C6EFCE"/>
            <w:tcMar>
              <w:left w:w="108" w:type="dxa"/>
              <w:right w:w="108" w:type="dxa"/>
            </w:tcMar>
          </w:tcPr>
          <w:p w14:paraId="1274C14C" w14:textId="77777777" w:rsidR="008E6885" w:rsidRDefault="00EA24E7">
            <w:pPr>
              <w:pStyle w:val="P68B1DB1-Normal45"/>
              <w:spacing w:after="0"/>
              <w:rPr>
                <w:rFonts w:ascii="Calibri" w:hAnsi="Calibri"/>
                <w:noProof/>
              </w:rPr>
            </w:pPr>
            <w:r>
              <w:rPr>
                <w:noProof/>
              </w:rPr>
              <w:t>2.2.1.2.i. Numérisation des entités</w:t>
            </w:r>
          </w:p>
        </w:tc>
        <w:tc>
          <w:tcPr>
            <w:tcW w:w="1560" w:type="dxa"/>
            <w:shd w:val="clear" w:color="auto" w:fill="C6EFCE"/>
            <w:tcMar>
              <w:left w:w="108" w:type="dxa"/>
              <w:right w:w="108" w:type="dxa"/>
            </w:tcMar>
          </w:tcPr>
          <w:p w14:paraId="2428398F" w14:textId="77777777" w:rsidR="008E6885" w:rsidRDefault="00EA24E7">
            <w:pPr>
              <w:pStyle w:val="P68B1DB1-Normal45"/>
              <w:spacing w:after="0"/>
              <w:jc w:val="center"/>
              <w:rPr>
                <w:rFonts w:ascii="Calibri" w:hAnsi="Calibri"/>
                <w:noProof/>
              </w:rPr>
            </w:pPr>
            <w:r>
              <w:rPr>
                <w:noProof/>
              </w:rPr>
              <w:t>Objectif</w:t>
            </w:r>
          </w:p>
        </w:tc>
        <w:tc>
          <w:tcPr>
            <w:tcW w:w="2976" w:type="dxa"/>
            <w:shd w:val="clear" w:color="auto" w:fill="C6EFCE"/>
            <w:tcMar>
              <w:left w:w="108" w:type="dxa"/>
              <w:right w:w="108" w:type="dxa"/>
            </w:tcMar>
          </w:tcPr>
          <w:p w14:paraId="3634EF3A" w14:textId="77777777" w:rsidR="008E6885" w:rsidRDefault="00EA24E7">
            <w:pPr>
              <w:pStyle w:val="P68B1DB1-Normal45"/>
              <w:spacing w:after="0"/>
              <w:jc w:val="both"/>
              <w:rPr>
                <w:rFonts w:ascii="Calibri" w:hAnsi="Calibri"/>
                <w:noProof/>
              </w:rPr>
            </w:pPr>
            <w:r>
              <w:rPr>
                <w:noProof/>
              </w:rPr>
              <w:t xml:space="preserve">Amélioration du test de maturité numérique des entités </w:t>
            </w:r>
          </w:p>
        </w:tc>
      </w:tr>
      <w:tr w:rsidR="008E6885" w14:paraId="4BA9FC17" w14:textId="77777777">
        <w:trPr>
          <w:trHeight w:val="300"/>
        </w:trPr>
        <w:tc>
          <w:tcPr>
            <w:tcW w:w="1550" w:type="dxa"/>
            <w:shd w:val="clear" w:color="auto" w:fill="C6EFCE"/>
            <w:tcMar>
              <w:left w:w="108" w:type="dxa"/>
              <w:right w:w="108" w:type="dxa"/>
            </w:tcMar>
            <w:vAlign w:val="center"/>
          </w:tcPr>
          <w:p w14:paraId="18FD4B45" w14:textId="77777777" w:rsidR="008E6885" w:rsidRDefault="00EA24E7">
            <w:pPr>
              <w:pStyle w:val="P68B1DB1-Normal45"/>
              <w:spacing w:after="0"/>
              <w:jc w:val="center"/>
              <w:rPr>
                <w:rFonts w:ascii="Calibri" w:hAnsi="Calibri"/>
                <w:noProof/>
              </w:rPr>
            </w:pPr>
            <w:r>
              <w:rPr>
                <w:noProof/>
              </w:rPr>
              <w:t>48</w:t>
            </w:r>
          </w:p>
        </w:tc>
        <w:tc>
          <w:tcPr>
            <w:tcW w:w="3543" w:type="dxa"/>
            <w:shd w:val="clear" w:color="auto" w:fill="C6EFCE"/>
            <w:tcMar>
              <w:left w:w="108" w:type="dxa"/>
              <w:right w:w="108" w:type="dxa"/>
            </w:tcMar>
          </w:tcPr>
          <w:p w14:paraId="483D46D8" w14:textId="77777777" w:rsidR="008E6885" w:rsidRDefault="00EA24E7">
            <w:pPr>
              <w:pStyle w:val="P68B1DB1-Normal46"/>
              <w:spacing w:after="0"/>
              <w:rPr>
                <w:rFonts w:ascii="Calibri" w:hAnsi="Calibri"/>
                <w:noProof/>
              </w:rPr>
            </w:pPr>
            <w:r>
              <w:rPr>
                <w:noProof/>
                <w:color w:val="000000"/>
              </w:rPr>
              <w:t xml:space="preserve">2.2.1.3.i. </w:t>
            </w:r>
            <w:r>
              <w:rPr>
                <w:noProof/>
              </w:rPr>
              <w:t>Soutien à l'introduction de produits et services dans les entreprises</w:t>
            </w:r>
          </w:p>
        </w:tc>
        <w:tc>
          <w:tcPr>
            <w:tcW w:w="1560" w:type="dxa"/>
            <w:shd w:val="clear" w:color="auto" w:fill="C6EFCE"/>
            <w:tcMar>
              <w:left w:w="108" w:type="dxa"/>
              <w:right w:w="108" w:type="dxa"/>
            </w:tcMar>
          </w:tcPr>
          <w:p w14:paraId="71D3AFD2" w14:textId="77777777" w:rsidR="008E6885" w:rsidRDefault="00EA24E7">
            <w:pPr>
              <w:pStyle w:val="P68B1DB1-Normal45"/>
              <w:spacing w:after="0"/>
              <w:jc w:val="center"/>
              <w:rPr>
                <w:rFonts w:ascii="Calibri" w:hAnsi="Calibri"/>
                <w:noProof/>
              </w:rPr>
            </w:pPr>
            <w:r>
              <w:rPr>
                <w:noProof/>
              </w:rPr>
              <w:t>Objectif</w:t>
            </w:r>
          </w:p>
        </w:tc>
        <w:tc>
          <w:tcPr>
            <w:tcW w:w="2976" w:type="dxa"/>
            <w:shd w:val="clear" w:color="auto" w:fill="C6EFCE"/>
            <w:tcMar>
              <w:left w:w="108" w:type="dxa"/>
              <w:right w:w="108" w:type="dxa"/>
            </w:tcMar>
          </w:tcPr>
          <w:p w14:paraId="610D05F2" w14:textId="77777777" w:rsidR="008E6885" w:rsidRDefault="00EA24E7">
            <w:pPr>
              <w:pStyle w:val="P68B1DB1-Normal40"/>
              <w:spacing w:after="0"/>
              <w:jc w:val="both"/>
              <w:rPr>
                <w:noProof/>
                <w:sz w:val="20"/>
                <w:szCs w:val="20"/>
              </w:rPr>
            </w:pPr>
            <w:r>
              <w:rPr>
                <w:noProof/>
              </w:rPr>
              <w:t>Conventions de subvention signées et financement privé engagé</w:t>
            </w:r>
          </w:p>
        </w:tc>
      </w:tr>
      <w:tr w:rsidR="008E6885" w14:paraId="544C3F07" w14:textId="77777777">
        <w:trPr>
          <w:trHeight w:val="300"/>
        </w:trPr>
        <w:tc>
          <w:tcPr>
            <w:tcW w:w="1550" w:type="dxa"/>
            <w:shd w:val="clear" w:color="auto" w:fill="C6EFCE"/>
            <w:tcMar>
              <w:left w:w="108" w:type="dxa"/>
              <w:right w:w="108" w:type="dxa"/>
            </w:tcMar>
            <w:vAlign w:val="center"/>
          </w:tcPr>
          <w:p w14:paraId="5338DCC4" w14:textId="77777777" w:rsidR="008E6885" w:rsidRDefault="00EA24E7">
            <w:pPr>
              <w:pStyle w:val="P68B1DB1-Normal45"/>
              <w:spacing w:after="0"/>
              <w:jc w:val="center"/>
              <w:rPr>
                <w:rFonts w:ascii="Calibri" w:hAnsi="Calibri"/>
                <w:noProof/>
              </w:rPr>
            </w:pPr>
            <w:r>
              <w:rPr>
                <w:noProof/>
              </w:rPr>
              <w:t>51</w:t>
            </w:r>
          </w:p>
        </w:tc>
        <w:tc>
          <w:tcPr>
            <w:tcW w:w="3543" w:type="dxa"/>
            <w:shd w:val="clear" w:color="auto" w:fill="C6EFCE"/>
            <w:tcMar>
              <w:left w:w="108" w:type="dxa"/>
              <w:right w:w="108" w:type="dxa"/>
            </w:tcMar>
          </w:tcPr>
          <w:p w14:paraId="477A1FF2" w14:textId="77777777" w:rsidR="008E6885" w:rsidRDefault="00EA24E7">
            <w:pPr>
              <w:pStyle w:val="P68B1DB1-Normal45"/>
              <w:spacing w:after="0"/>
              <w:rPr>
                <w:rFonts w:ascii="Calibri" w:hAnsi="Calibri"/>
                <w:noProof/>
              </w:rPr>
            </w:pPr>
            <w:r>
              <w:rPr>
                <w:noProof/>
              </w:rPr>
              <w:t>2.2.1.4.i. Instrument financier destiné à faciliter la transformation numérique des opérateurs économiques</w:t>
            </w:r>
          </w:p>
        </w:tc>
        <w:tc>
          <w:tcPr>
            <w:tcW w:w="1560" w:type="dxa"/>
            <w:shd w:val="clear" w:color="auto" w:fill="C6EFCE"/>
            <w:tcMar>
              <w:left w:w="108" w:type="dxa"/>
              <w:right w:w="108" w:type="dxa"/>
            </w:tcMar>
          </w:tcPr>
          <w:p w14:paraId="33287177" w14:textId="77777777" w:rsidR="008E6885" w:rsidRDefault="00EA24E7">
            <w:pPr>
              <w:pStyle w:val="P68B1DB1-Normal45"/>
              <w:spacing w:after="0"/>
              <w:jc w:val="center"/>
              <w:rPr>
                <w:rFonts w:ascii="Calibri" w:hAnsi="Calibri"/>
                <w:noProof/>
              </w:rPr>
            </w:pPr>
            <w:r>
              <w:rPr>
                <w:noProof/>
              </w:rPr>
              <w:t>Objectif</w:t>
            </w:r>
          </w:p>
        </w:tc>
        <w:tc>
          <w:tcPr>
            <w:tcW w:w="2976" w:type="dxa"/>
            <w:shd w:val="clear" w:color="auto" w:fill="C6EFCE"/>
            <w:tcMar>
              <w:left w:w="108" w:type="dxa"/>
              <w:right w:w="108" w:type="dxa"/>
            </w:tcMar>
          </w:tcPr>
          <w:p w14:paraId="3195A0F2" w14:textId="77777777" w:rsidR="008E6885" w:rsidRDefault="00EA24E7">
            <w:pPr>
              <w:pStyle w:val="P68B1DB1-Normal45"/>
              <w:spacing w:after="0"/>
              <w:jc w:val="both"/>
              <w:rPr>
                <w:noProof/>
                <w:color w:val="000000" w:themeColor="text1"/>
              </w:rPr>
            </w:pPr>
            <w:r>
              <w:rPr>
                <w:noProof/>
              </w:rPr>
              <w:t>Contrats de prêt signés et financements privés engagés</w:t>
            </w:r>
          </w:p>
        </w:tc>
      </w:tr>
      <w:tr w:rsidR="008E6885" w14:paraId="2E462DF6" w14:textId="77777777">
        <w:trPr>
          <w:trHeight w:val="300"/>
        </w:trPr>
        <w:tc>
          <w:tcPr>
            <w:tcW w:w="1550" w:type="dxa"/>
            <w:shd w:val="clear" w:color="auto" w:fill="C6EFCE"/>
            <w:tcMar>
              <w:left w:w="108" w:type="dxa"/>
              <w:right w:w="108" w:type="dxa"/>
            </w:tcMar>
            <w:vAlign w:val="center"/>
          </w:tcPr>
          <w:p w14:paraId="0C1AC497" w14:textId="77777777" w:rsidR="008E6885" w:rsidRDefault="00EA24E7">
            <w:pPr>
              <w:pStyle w:val="P68B1DB1-Normal45"/>
              <w:jc w:val="center"/>
              <w:rPr>
                <w:noProof/>
                <w:color w:val="000000" w:themeColor="text1"/>
              </w:rPr>
            </w:pPr>
            <w:r>
              <w:rPr>
                <w:noProof/>
              </w:rPr>
              <w:t>54</w:t>
            </w:r>
          </w:p>
        </w:tc>
        <w:tc>
          <w:tcPr>
            <w:tcW w:w="3543" w:type="dxa"/>
            <w:shd w:val="clear" w:color="auto" w:fill="C6EFCE"/>
            <w:tcMar>
              <w:left w:w="108" w:type="dxa"/>
              <w:right w:w="108" w:type="dxa"/>
            </w:tcMar>
          </w:tcPr>
          <w:p w14:paraId="79F48E8C" w14:textId="79FAC635" w:rsidR="008E6885" w:rsidRDefault="00EA24E7">
            <w:pPr>
              <w:pStyle w:val="P68B1DB1-Normal45"/>
              <w:rPr>
                <w:noProof/>
                <w:color w:val="000000" w:themeColor="text1"/>
              </w:rPr>
            </w:pPr>
            <w:r>
              <w:rPr>
                <w:noProof/>
              </w:rPr>
              <w:t>2.2.1.5.i. Favoriser la transformation numérique des entreprises de médias</w:t>
            </w:r>
          </w:p>
        </w:tc>
        <w:tc>
          <w:tcPr>
            <w:tcW w:w="1560" w:type="dxa"/>
            <w:shd w:val="clear" w:color="auto" w:fill="C6EFCE"/>
            <w:tcMar>
              <w:left w:w="108" w:type="dxa"/>
              <w:right w:w="108" w:type="dxa"/>
            </w:tcMar>
          </w:tcPr>
          <w:p w14:paraId="360D8BD1" w14:textId="77777777" w:rsidR="008E6885" w:rsidRDefault="00EA24E7">
            <w:pPr>
              <w:pStyle w:val="P68B1DB1-Normal45"/>
              <w:jc w:val="center"/>
              <w:rPr>
                <w:noProof/>
                <w:color w:val="000000" w:themeColor="text1"/>
              </w:rPr>
            </w:pPr>
            <w:r>
              <w:rPr>
                <w:noProof/>
              </w:rPr>
              <w:t>Étape</w:t>
            </w:r>
          </w:p>
        </w:tc>
        <w:tc>
          <w:tcPr>
            <w:tcW w:w="2976" w:type="dxa"/>
            <w:shd w:val="clear" w:color="auto" w:fill="C6EFCE"/>
            <w:tcMar>
              <w:left w:w="108" w:type="dxa"/>
              <w:right w:w="108" w:type="dxa"/>
            </w:tcMar>
          </w:tcPr>
          <w:p w14:paraId="40B9AD9D" w14:textId="77777777" w:rsidR="008E6885" w:rsidRDefault="00EA24E7">
            <w:pPr>
              <w:pStyle w:val="P68B1DB1-Normal45"/>
              <w:jc w:val="both"/>
              <w:rPr>
                <w:noProof/>
                <w:color w:val="000000" w:themeColor="text1"/>
              </w:rPr>
            </w:pPr>
            <w:r>
              <w:rPr>
                <w:noProof/>
              </w:rPr>
              <w:t>Régime de soutien mis en place</w:t>
            </w:r>
          </w:p>
        </w:tc>
      </w:tr>
      <w:tr w:rsidR="008E6885" w14:paraId="059C7B42" w14:textId="77777777">
        <w:trPr>
          <w:trHeight w:val="300"/>
        </w:trPr>
        <w:tc>
          <w:tcPr>
            <w:tcW w:w="1550" w:type="dxa"/>
            <w:shd w:val="clear" w:color="auto" w:fill="C6EFCE"/>
            <w:tcMar>
              <w:left w:w="108" w:type="dxa"/>
              <w:right w:w="108" w:type="dxa"/>
            </w:tcMar>
            <w:vAlign w:val="center"/>
          </w:tcPr>
          <w:p w14:paraId="555E0C9C" w14:textId="77777777" w:rsidR="008E6885" w:rsidRDefault="00EA24E7">
            <w:pPr>
              <w:pStyle w:val="P68B1DB1-Normal45"/>
              <w:spacing w:after="0"/>
              <w:jc w:val="center"/>
              <w:rPr>
                <w:rFonts w:ascii="Calibri" w:hAnsi="Calibri"/>
                <w:noProof/>
              </w:rPr>
            </w:pPr>
            <w:r>
              <w:rPr>
                <w:noProof/>
              </w:rPr>
              <w:t>86</w:t>
            </w:r>
          </w:p>
        </w:tc>
        <w:tc>
          <w:tcPr>
            <w:tcW w:w="3543" w:type="dxa"/>
            <w:shd w:val="clear" w:color="auto" w:fill="C6EFCE"/>
            <w:tcMar>
              <w:left w:w="108" w:type="dxa"/>
              <w:right w:w="108" w:type="dxa"/>
            </w:tcMar>
          </w:tcPr>
          <w:p w14:paraId="14169923" w14:textId="77777777" w:rsidR="008E6885" w:rsidRDefault="00EA24E7">
            <w:pPr>
              <w:pStyle w:val="P68B1DB1-Normal45"/>
              <w:spacing w:after="0"/>
              <w:rPr>
                <w:rFonts w:ascii="Calibri" w:hAnsi="Calibri"/>
                <w:noProof/>
              </w:rPr>
            </w:pPr>
            <w:r>
              <w:rPr>
                <w:noProof/>
              </w:rPr>
              <w:t xml:space="preserve">3.1.1.1.i. Amélioration du réseau routier régional et local </w:t>
            </w:r>
          </w:p>
        </w:tc>
        <w:tc>
          <w:tcPr>
            <w:tcW w:w="1560" w:type="dxa"/>
            <w:shd w:val="clear" w:color="auto" w:fill="C6EFCE"/>
            <w:tcMar>
              <w:left w:w="108" w:type="dxa"/>
              <w:right w:w="108" w:type="dxa"/>
            </w:tcMar>
          </w:tcPr>
          <w:p w14:paraId="41FD8CBC" w14:textId="77777777" w:rsidR="008E6885" w:rsidRDefault="00EA24E7">
            <w:pPr>
              <w:pStyle w:val="P68B1DB1-Normal45"/>
              <w:spacing w:after="0"/>
              <w:jc w:val="center"/>
              <w:rPr>
                <w:rFonts w:ascii="Calibri" w:hAnsi="Calibri"/>
                <w:noProof/>
              </w:rPr>
            </w:pPr>
            <w:r>
              <w:rPr>
                <w:noProof/>
              </w:rPr>
              <w:t>Objectif</w:t>
            </w:r>
          </w:p>
        </w:tc>
        <w:tc>
          <w:tcPr>
            <w:tcW w:w="2976" w:type="dxa"/>
            <w:shd w:val="clear" w:color="auto" w:fill="C6EFCE"/>
            <w:tcMar>
              <w:left w:w="108" w:type="dxa"/>
              <w:right w:w="108" w:type="dxa"/>
            </w:tcMar>
          </w:tcPr>
          <w:p w14:paraId="370CEAE7" w14:textId="77777777" w:rsidR="008E6885" w:rsidRDefault="00EA24E7">
            <w:pPr>
              <w:pStyle w:val="P68B1DB1-Normal45"/>
              <w:spacing w:after="0"/>
              <w:jc w:val="both"/>
              <w:rPr>
                <w:rFonts w:ascii="Calibri" w:hAnsi="Calibri"/>
                <w:noProof/>
              </w:rPr>
            </w:pPr>
            <w:r>
              <w:rPr>
                <w:noProof/>
              </w:rPr>
              <w:t>Routes régionales et locales rénovées ou reconstruites</w:t>
            </w:r>
          </w:p>
        </w:tc>
      </w:tr>
      <w:tr w:rsidR="008E6885" w14:paraId="247C76BD" w14:textId="77777777">
        <w:trPr>
          <w:trHeight w:val="300"/>
        </w:trPr>
        <w:tc>
          <w:tcPr>
            <w:tcW w:w="1550" w:type="dxa"/>
            <w:shd w:val="clear" w:color="auto" w:fill="C6EFCE"/>
            <w:tcMar>
              <w:left w:w="108" w:type="dxa"/>
              <w:right w:w="108" w:type="dxa"/>
            </w:tcMar>
            <w:vAlign w:val="center"/>
          </w:tcPr>
          <w:p w14:paraId="5F31568F" w14:textId="77777777" w:rsidR="008E6885" w:rsidRDefault="00EA24E7">
            <w:pPr>
              <w:pStyle w:val="P68B1DB1-Normal45"/>
              <w:spacing w:after="0"/>
              <w:jc w:val="center"/>
              <w:rPr>
                <w:rFonts w:ascii="Calibri" w:hAnsi="Calibri"/>
                <w:noProof/>
              </w:rPr>
            </w:pPr>
            <w:r>
              <w:rPr>
                <w:noProof/>
              </w:rPr>
              <w:t>90</w:t>
            </w:r>
          </w:p>
        </w:tc>
        <w:tc>
          <w:tcPr>
            <w:tcW w:w="3543" w:type="dxa"/>
            <w:shd w:val="clear" w:color="auto" w:fill="C6EFCE"/>
            <w:tcMar>
              <w:left w:w="108" w:type="dxa"/>
              <w:right w:w="108" w:type="dxa"/>
            </w:tcMar>
          </w:tcPr>
          <w:p w14:paraId="02D2A603" w14:textId="77777777" w:rsidR="008E6885" w:rsidRDefault="00EA24E7">
            <w:pPr>
              <w:pStyle w:val="P68B1DB1-Normal45"/>
              <w:spacing w:after="0"/>
              <w:rPr>
                <w:rFonts w:ascii="Calibri" w:hAnsi="Calibri"/>
                <w:noProof/>
              </w:rPr>
            </w:pPr>
            <w:r>
              <w:rPr>
                <w:noProof/>
              </w:rPr>
              <w:t xml:space="preserve">3.1.1.2.i. Renforcer la capacité des municipalités à améliorer l'efficacité et la qualité des services </w:t>
            </w:r>
          </w:p>
        </w:tc>
        <w:tc>
          <w:tcPr>
            <w:tcW w:w="1560" w:type="dxa"/>
            <w:shd w:val="clear" w:color="auto" w:fill="C6EFCE"/>
            <w:tcMar>
              <w:left w:w="108" w:type="dxa"/>
              <w:right w:w="108" w:type="dxa"/>
            </w:tcMar>
          </w:tcPr>
          <w:p w14:paraId="66377071" w14:textId="77777777" w:rsidR="008E6885" w:rsidRDefault="00EA24E7">
            <w:pPr>
              <w:pStyle w:val="P68B1DB1-Normal45"/>
              <w:spacing w:after="0"/>
              <w:jc w:val="center"/>
              <w:rPr>
                <w:rFonts w:ascii="Calibri" w:hAnsi="Calibri"/>
                <w:noProof/>
              </w:rPr>
            </w:pPr>
            <w:r>
              <w:rPr>
                <w:noProof/>
              </w:rPr>
              <w:t>Étape</w:t>
            </w:r>
          </w:p>
        </w:tc>
        <w:tc>
          <w:tcPr>
            <w:tcW w:w="2976" w:type="dxa"/>
            <w:shd w:val="clear" w:color="auto" w:fill="C6EFCE"/>
            <w:tcMar>
              <w:left w:w="108" w:type="dxa"/>
              <w:right w:w="108" w:type="dxa"/>
            </w:tcMar>
          </w:tcPr>
          <w:p w14:paraId="77E19776" w14:textId="77777777" w:rsidR="008E6885" w:rsidRDefault="00EA24E7">
            <w:pPr>
              <w:pStyle w:val="P68B1DB1-Normal45"/>
              <w:spacing w:after="0"/>
              <w:jc w:val="both"/>
              <w:rPr>
                <w:rFonts w:ascii="Calibri" w:hAnsi="Calibri"/>
                <w:noProof/>
              </w:rPr>
            </w:pPr>
            <w:r>
              <w:rPr>
                <w:noProof/>
              </w:rPr>
              <w:t xml:space="preserve">Évaluation des services publics des collectivités locales </w:t>
            </w:r>
          </w:p>
        </w:tc>
      </w:tr>
      <w:tr w:rsidR="008E6885" w14:paraId="13DA692E" w14:textId="77777777">
        <w:trPr>
          <w:trHeight w:val="300"/>
        </w:trPr>
        <w:tc>
          <w:tcPr>
            <w:tcW w:w="1550" w:type="dxa"/>
            <w:shd w:val="clear" w:color="auto" w:fill="C6EFCE"/>
            <w:tcMar>
              <w:left w:w="108" w:type="dxa"/>
              <w:right w:w="108" w:type="dxa"/>
            </w:tcMar>
            <w:vAlign w:val="center"/>
          </w:tcPr>
          <w:p w14:paraId="55E407A7" w14:textId="77777777" w:rsidR="008E6885" w:rsidRDefault="00EA24E7">
            <w:pPr>
              <w:pStyle w:val="P68B1DB1-Normal45"/>
              <w:spacing w:after="0"/>
              <w:jc w:val="center"/>
              <w:rPr>
                <w:noProof/>
              </w:rPr>
            </w:pPr>
            <w:r>
              <w:rPr>
                <w:noProof/>
              </w:rPr>
              <w:t>92</w:t>
            </w:r>
          </w:p>
        </w:tc>
        <w:tc>
          <w:tcPr>
            <w:tcW w:w="3543" w:type="dxa"/>
            <w:shd w:val="clear" w:color="auto" w:fill="C6EFCE"/>
            <w:tcMar>
              <w:left w:w="108" w:type="dxa"/>
              <w:right w:w="108" w:type="dxa"/>
            </w:tcMar>
          </w:tcPr>
          <w:p w14:paraId="28066717" w14:textId="77777777" w:rsidR="008E6885" w:rsidRDefault="00EA24E7">
            <w:pPr>
              <w:pStyle w:val="P68B1DB1-Normal45"/>
              <w:spacing w:after="0"/>
              <w:rPr>
                <w:noProof/>
              </w:rPr>
            </w:pPr>
            <w:r>
              <w:rPr>
                <w:noProof/>
              </w:rPr>
              <w:t xml:space="preserve">3.1.1.2.i. Renforcer la capacité des municipalités à améliorer l'efficacité et la qualité des services </w:t>
            </w:r>
          </w:p>
        </w:tc>
        <w:tc>
          <w:tcPr>
            <w:tcW w:w="1560" w:type="dxa"/>
            <w:shd w:val="clear" w:color="auto" w:fill="C6EFCE"/>
            <w:tcMar>
              <w:left w:w="108" w:type="dxa"/>
              <w:right w:w="108" w:type="dxa"/>
            </w:tcMar>
          </w:tcPr>
          <w:p w14:paraId="18AD9388" w14:textId="77777777" w:rsidR="008E6885" w:rsidRDefault="00EA24E7">
            <w:pPr>
              <w:pStyle w:val="P68B1DB1-Normal45"/>
              <w:spacing w:after="0"/>
              <w:jc w:val="center"/>
              <w:rPr>
                <w:noProof/>
              </w:rPr>
            </w:pPr>
            <w:r>
              <w:rPr>
                <w:noProof/>
              </w:rPr>
              <w:t>Objectif</w:t>
            </w:r>
          </w:p>
        </w:tc>
        <w:tc>
          <w:tcPr>
            <w:tcW w:w="2976" w:type="dxa"/>
            <w:shd w:val="clear" w:color="auto" w:fill="C6EFCE"/>
            <w:tcMar>
              <w:left w:w="108" w:type="dxa"/>
              <w:right w:w="108" w:type="dxa"/>
            </w:tcMar>
          </w:tcPr>
          <w:p w14:paraId="56018865" w14:textId="77777777" w:rsidR="008E6885" w:rsidRDefault="00EA24E7">
            <w:pPr>
              <w:pStyle w:val="P68B1DB1-Normal45"/>
              <w:spacing w:after="0"/>
              <w:jc w:val="both"/>
              <w:rPr>
                <w:noProof/>
              </w:rPr>
            </w:pPr>
            <w:r>
              <w:rPr>
                <w:noProof/>
              </w:rPr>
              <w:t xml:space="preserve">Personnes formées </w:t>
            </w:r>
          </w:p>
        </w:tc>
      </w:tr>
      <w:tr w:rsidR="008E6885" w14:paraId="05931B1D" w14:textId="77777777">
        <w:trPr>
          <w:trHeight w:val="300"/>
        </w:trPr>
        <w:tc>
          <w:tcPr>
            <w:tcW w:w="1550" w:type="dxa"/>
            <w:shd w:val="clear" w:color="auto" w:fill="C6EFCE"/>
            <w:tcMar>
              <w:left w:w="108" w:type="dxa"/>
              <w:right w:w="108" w:type="dxa"/>
            </w:tcMar>
            <w:vAlign w:val="center"/>
          </w:tcPr>
          <w:p w14:paraId="3D01BF0F" w14:textId="77777777" w:rsidR="008E6885" w:rsidRDefault="00EA24E7">
            <w:pPr>
              <w:pStyle w:val="P68B1DB1-Normal45"/>
              <w:spacing w:after="0"/>
              <w:jc w:val="center"/>
              <w:rPr>
                <w:noProof/>
              </w:rPr>
            </w:pPr>
            <w:r>
              <w:rPr>
                <w:noProof/>
              </w:rPr>
              <w:t>102</w:t>
            </w:r>
          </w:p>
        </w:tc>
        <w:tc>
          <w:tcPr>
            <w:tcW w:w="3543" w:type="dxa"/>
            <w:shd w:val="clear" w:color="auto" w:fill="C6EFCE"/>
            <w:tcMar>
              <w:left w:w="108" w:type="dxa"/>
              <w:right w:w="108" w:type="dxa"/>
            </w:tcMar>
          </w:tcPr>
          <w:p w14:paraId="070B88E1" w14:textId="77777777" w:rsidR="008E6885" w:rsidRDefault="00EA24E7">
            <w:pPr>
              <w:pStyle w:val="P68B1DB1-Normal45"/>
              <w:spacing w:after="0"/>
              <w:rPr>
                <w:noProof/>
              </w:rPr>
            </w:pPr>
            <w:r>
              <w:rPr>
                <w:noProof/>
              </w:rPr>
              <w:t xml:space="preserve">3.1.1.4.i. Création d'un fonds de financement pour la construction de logements à loyer modique </w:t>
            </w:r>
          </w:p>
        </w:tc>
        <w:tc>
          <w:tcPr>
            <w:tcW w:w="1560" w:type="dxa"/>
            <w:shd w:val="clear" w:color="auto" w:fill="C6EFCE"/>
            <w:tcMar>
              <w:left w:w="108" w:type="dxa"/>
              <w:right w:w="108" w:type="dxa"/>
            </w:tcMar>
          </w:tcPr>
          <w:p w14:paraId="608EDED4" w14:textId="77777777" w:rsidR="008E6885" w:rsidRDefault="00EA24E7">
            <w:pPr>
              <w:pStyle w:val="P68B1DB1-Normal45"/>
              <w:spacing w:after="0"/>
              <w:jc w:val="center"/>
              <w:rPr>
                <w:noProof/>
              </w:rPr>
            </w:pPr>
            <w:r>
              <w:rPr>
                <w:noProof/>
              </w:rPr>
              <w:t>Objectif</w:t>
            </w:r>
          </w:p>
        </w:tc>
        <w:tc>
          <w:tcPr>
            <w:tcW w:w="2976" w:type="dxa"/>
            <w:shd w:val="clear" w:color="auto" w:fill="C6EFCE"/>
            <w:tcMar>
              <w:left w:w="108" w:type="dxa"/>
              <w:right w:w="108" w:type="dxa"/>
            </w:tcMar>
          </w:tcPr>
          <w:p w14:paraId="6407429B" w14:textId="77777777" w:rsidR="008E6885" w:rsidRDefault="00EA24E7">
            <w:pPr>
              <w:pStyle w:val="P68B1DB1-Normal45"/>
              <w:spacing w:after="0"/>
              <w:jc w:val="both"/>
              <w:rPr>
                <w:noProof/>
              </w:rPr>
            </w:pPr>
            <w:r>
              <w:rPr>
                <w:noProof/>
              </w:rPr>
              <w:t xml:space="preserve">Nombre d'appartements </w:t>
            </w:r>
          </w:p>
        </w:tc>
      </w:tr>
      <w:tr w:rsidR="008E6885" w14:paraId="126000C9" w14:textId="77777777">
        <w:trPr>
          <w:trHeight w:val="300"/>
        </w:trPr>
        <w:tc>
          <w:tcPr>
            <w:tcW w:w="1550" w:type="dxa"/>
            <w:shd w:val="clear" w:color="auto" w:fill="C6EFCE"/>
            <w:tcMar>
              <w:left w:w="108" w:type="dxa"/>
              <w:right w:w="108" w:type="dxa"/>
            </w:tcMar>
            <w:vAlign w:val="center"/>
          </w:tcPr>
          <w:p w14:paraId="7783E31A" w14:textId="77777777" w:rsidR="008E6885" w:rsidRDefault="00EA24E7">
            <w:pPr>
              <w:pStyle w:val="P68B1DB1-Normal45"/>
              <w:spacing w:after="0"/>
              <w:jc w:val="center"/>
              <w:rPr>
                <w:rFonts w:ascii="Calibri" w:hAnsi="Calibri"/>
                <w:noProof/>
              </w:rPr>
            </w:pPr>
            <w:r>
              <w:rPr>
                <w:noProof/>
              </w:rPr>
              <w:t>115</w:t>
            </w:r>
          </w:p>
        </w:tc>
        <w:tc>
          <w:tcPr>
            <w:tcW w:w="3543" w:type="dxa"/>
            <w:shd w:val="clear" w:color="auto" w:fill="C6EFCE"/>
            <w:tcMar>
              <w:left w:w="108" w:type="dxa"/>
              <w:right w:w="108" w:type="dxa"/>
            </w:tcMar>
          </w:tcPr>
          <w:p w14:paraId="19AC45CC" w14:textId="77777777" w:rsidR="008E6885" w:rsidRDefault="00EA24E7">
            <w:pPr>
              <w:pStyle w:val="P68B1DB1-Normal45"/>
              <w:spacing w:after="0"/>
              <w:rPr>
                <w:rFonts w:ascii="Calibri" w:hAnsi="Calibri"/>
                <w:noProof/>
              </w:rPr>
            </w:pPr>
            <w:r>
              <w:rPr>
                <w:noProof/>
              </w:rPr>
              <w:t>3.1.2.1.i. Mesures visant à promouvoir l'accès aux services publics et à l'emploi pour les personnes souffrant de déficiences fonctionnelles</w:t>
            </w:r>
          </w:p>
        </w:tc>
        <w:tc>
          <w:tcPr>
            <w:tcW w:w="1560" w:type="dxa"/>
            <w:shd w:val="clear" w:color="auto" w:fill="C6EFCE"/>
            <w:tcMar>
              <w:left w:w="108" w:type="dxa"/>
              <w:right w:w="108" w:type="dxa"/>
            </w:tcMar>
          </w:tcPr>
          <w:p w14:paraId="00FE6593" w14:textId="77777777" w:rsidR="008E6885" w:rsidRDefault="00EA24E7">
            <w:pPr>
              <w:pStyle w:val="P68B1DB1-Normal45"/>
              <w:spacing w:after="0"/>
              <w:jc w:val="center"/>
              <w:rPr>
                <w:rFonts w:ascii="Calibri" w:hAnsi="Calibri"/>
                <w:noProof/>
              </w:rPr>
            </w:pPr>
            <w:r>
              <w:rPr>
                <w:noProof/>
              </w:rPr>
              <w:t>Étape</w:t>
            </w:r>
          </w:p>
        </w:tc>
        <w:tc>
          <w:tcPr>
            <w:tcW w:w="2976" w:type="dxa"/>
            <w:shd w:val="clear" w:color="auto" w:fill="C6EFCE"/>
            <w:tcMar>
              <w:left w:w="108" w:type="dxa"/>
              <w:right w:w="108" w:type="dxa"/>
            </w:tcMar>
          </w:tcPr>
          <w:p w14:paraId="3A8B704D" w14:textId="77777777" w:rsidR="008E6885" w:rsidRDefault="00EA24E7">
            <w:pPr>
              <w:pStyle w:val="P68B1DB1-Normal45"/>
              <w:spacing w:after="0"/>
              <w:jc w:val="both"/>
              <w:rPr>
                <w:rFonts w:ascii="Calibri" w:hAnsi="Calibri"/>
                <w:noProof/>
              </w:rPr>
            </w:pPr>
            <w:r>
              <w:rPr>
                <w:noProof/>
              </w:rPr>
              <w:t xml:space="preserve">Sélection du groupe cible pour adapter son logement </w:t>
            </w:r>
          </w:p>
        </w:tc>
      </w:tr>
      <w:tr w:rsidR="008E6885" w14:paraId="56E561F0" w14:textId="77777777">
        <w:trPr>
          <w:trHeight w:val="300"/>
        </w:trPr>
        <w:tc>
          <w:tcPr>
            <w:tcW w:w="1550" w:type="dxa"/>
            <w:shd w:val="clear" w:color="auto" w:fill="C6EFCE"/>
            <w:tcMar>
              <w:left w:w="108" w:type="dxa"/>
              <w:right w:w="108" w:type="dxa"/>
            </w:tcMar>
            <w:vAlign w:val="center"/>
          </w:tcPr>
          <w:p w14:paraId="080AD08D" w14:textId="77777777" w:rsidR="008E6885" w:rsidRDefault="00EA24E7">
            <w:pPr>
              <w:pStyle w:val="P68B1DB1-Normal45"/>
              <w:spacing w:after="0"/>
              <w:jc w:val="center"/>
              <w:rPr>
                <w:noProof/>
              </w:rPr>
            </w:pPr>
            <w:r>
              <w:rPr>
                <w:noProof/>
              </w:rPr>
              <w:t>130</w:t>
            </w:r>
          </w:p>
        </w:tc>
        <w:tc>
          <w:tcPr>
            <w:tcW w:w="3543" w:type="dxa"/>
            <w:shd w:val="clear" w:color="auto" w:fill="C6EFCE"/>
            <w:tcMar>
              <w:left w:w="108" w:type="dxa"/>
              <w:right w:w="108" w:type="dxa"/>
            </w:tcMar>
          </w:tcPr>
          <w:p w14:paraId="21EF672C" w14:textId="77777777" w:rsidR="008E6885" w:rsidRDefault="00EA24E7">
            <w:pPr>
              <w:pStyle w:val="P68B1DB1-Normal45"/>
              <w:spacing w:after="0"/>
              <w:rPr>
                <w:noProof/>
              </w:rPr>
            </w:pPr>
            <w:r>
              <w:rPr>
                <w:noProof/>
              </w:rPr>
              <w:t>3.1.2.5.i. Participation au marché du travail des chômeurs, des demandeurs d'emploi et des personnes menacées de chômage</w:t>
            </w:r>
          </w:p>
        </w:tc>
        <w:tc>
          <w:tcPr>
            <w:tcW w:w="1560" w:type="dxa"/>
            <w:shd w:val="clear" w:color="auto" w:fill="C6EFCE"/>
            <w:tcMar>
              <w:left w:w="108" w:type="dxa"/>
              <w:right w:w="108" w:type="dxa"/>
            </w:tcMar>
          </w:tcPr>
          <w:p w14:paraId="7855D46E" w14:textId="77777777" w:rsidR="008E6885" w:rsidRDefault="00EA24E7">
            <w:pPr>
              <w:pStyle w:val="P68B1DB1-Normal45"/>
              <w:spacing w:after="0"/>
              <w:jc w:val="center"/>
              <w:rPr>
                <w:noProof/>
              </w:rPr>
            </w:pPr>
            <w:r>
              <w:rPr>
                <w:noProof/>
              </w:rPr>
              <w:t>Objectif</w:t>
            </w:r>
          </w:p>
        </w:tc>
        <w:tc>
          <w:tcPr>
            <w:tcW w:w="2976" w:type="dxa"/>
            <w:shd w:val="clear" w:color="auto" w:fill="C6EFCE"/>
            <w:tcMar>
              <w:left w:w="108" w:type="dxa"/>
              <w:right w:w="108" w:type="dxa"/>
            </w:tcMar>
          </w:tcPr>
          <w:p w14:paraId="0FC36AD0" w14:textId="77777777" w:rsidR="008E6885" w:rsidRDefault="00EA24E7">
            <w:pPr>
              <w:pStyle w:val="P68B1DB1-Normal45"/>
              <w:spacing w:after="0"/>
              <w:jc w:val="both"/>
              <w:rPr>
                <w:noProof/>
                <w:color w:val="000000" w:themeColor="text1"/>
              </w:rPr>
            </w:pPr>
            <w:r>
              <w:rPr>
                <w:noProof/>
              </w:rPr>
              <w:t>Personnes participant à la formation</w:t>
            </w:r>
          </w:p>
        </w:tc>
      </w:tr>
      <w:tr w:rsidR="008E6885" w14:paraId="26914624" w14:textId="77777777">
        <w:trPr>
          <w:trHeight w:val="300"/>
        </w:trPr>
        <w:tc>
          <w:tcPr>
            <w:tcW w:w="1550" w:type="dxa"/>
            <w:shd w:val="clear" w:color="auto" w:fill="C6EFCE"/>
            <w:tcMar>
              <w:left w:w="108" w:type="dxa"/>
              <w:right w:w="108" w:type="dxa"/>
            </w:tcMar>
            <w:vAlign w:val="center"/>
          </w:tcPr>
          <w:p w14:paraId="38EB0CC1" w14:textId="77777777" w:rsidR="008E6885" w:rsidRDefault="00EA24E7">
            <w:pPr>
              <w:pStyle w:val="P68B1DB1-Normal45"/>
              <w:spacing w:after="0"/>
              <w:jc w:val="center"/>
              <w:rPr>
                <w:rFonts w:ascii="Calibri" w:hAnsi="Calibri"/>
                <w:noProof/>
              </w:rPr>
            </w:pPr>
            <w:r>
              <w:rPr>
                <w:noProof/>
              </w:rPr>
              <w:t>133</w:t>
            </w:r>
          </w:p>
        </w:tc>
        <w:tc>
          <w:tcPr>
            <w:tcW w:w="3543" w:type="dxa"/>
            <w:shd w:val="clear" w:color="auto" w:fill="C6EFCE"/>
            <w:tcMar>
              <w:left w:w="108" w:type="dxa"/>
              <w:right w:w="108" w:type="dxa"/>
            </w:tcMar>
          </w:tcPr>
          <w:p w14:paraId="2C55166A" w14:textId="77777777" w:rsidR="008E6885" w:rsidRDefault="00EA24E7">
            <w:pPr>
              <w:pStyle w:val="P68B1DB1-Normal45"/>
              <w:spacing w:after="0"/>
              <w:rPr>
                <w:rFonts w:ascii="Calibri" w:hAnsi="Calibri"/>
                <w:noProof/>
              </w:rPr>
            </w:pPr>
            <w:r>
              <w:rPr>
                <w:noProof/>
              </w:rPr>
              <w:t>4.1.1.r. Durabilité et résilience d’un système de soins de santé intégré, global et centré sur l’humain</w:t>
            </w:r>
          </w:p>
        </w:tc>
        <w:tc>
          <w:tcPr>
            <w:tcW w:w="1560" w:type="dxa"/>
            <w:shd w:val="clear" w:color="auto" w:fill="C6EFCE"/>
            <w:tcMar>
              <w:left w:w="108" w:type="dxa"/>
              <w:right w:w="108" w:type="dxa"/>
            </w:tcMar>
          </w:tcPr>
          <w:p w14:paraId="5749B33A" w14:textId="77777777" w:rsidR="008E6885" w:rsidRDefault="00EA24E7">
            <w:pPr>
              <w:pStyle w:val="P68B1DB1-Normal45"/>
              <w:spacing w:after="0"/>
              <w:jc w:val="center"/>
              <w:rPr>
                <w:rFonts w:ascii="Calibri" w:hAnsi="Calibri"/>
                <w:noProof/>
              </w:rPr>
            </w:pPr>
            <w:r>
              <w:rPr>
                <w:noProof/>
              </w:rPr>
              <w:t>Étape</w:t>
            </w:r>
          </w:p>
        </w:tc>
        <w:tc>
          <w:tcPr>
            <w:tcW w:w="2976" w:type="dxa"/>
            <w:shd w:val="clear" w:color="auto" w:fill="C6EFCE"/>
            <w:tcMar>
              <w:left w:w="108" w:type="dxa"/>
              <w:right w:w="108" w:type="dxa"/>
            </w:tcMar>
          </w:tcPr>
          <w:p w14:paraId="416DA64A" w14:textId="77777777" w:rsidR="008E6885" w:rsidRDefault="00EA24E7">
            <w:pPr>
              <w:pStyle w:val="P68B1DB1-Normal45"/>
              <w:spacing w:after="0"/>
              <w:jc w:val="both"/>
              <w:rPr>
                <w:rFonts w:ascii="Calibri" w:hAnsi="Calibri"/>
                <w:noProof/>
              </w:rPr>
            </w:pPr>
            <w:r>
              <w:rPr>
                <w:noProof/>
              </w:rPr>
              <w:t xml:space="preserve">Référence génomique de la population lettone </w:t>
            </w:r>
          </w:p>
        </w:tc>
      </w:tr>
      <w:tr w:rsidR="008E6885" w14:paraId="562CC203" w14:textId="77777777">
        <w:trPr>
          <w:trHeight w:val="300"/>
        </w:trPr>
        <w:tc>
          <w:tcPr>
            <w:tcW w:w="1550" w:type="dxa"/>
            <w:shd w:val="clear" w:color="auto" w:fill="C6EFCE"/>
            <w:tcMar>
              <w:left w:w="108" w:type="dxa"/>
              <w:right w:w="108" w:type="dxa"/>
            </w:tcMar>
            <w:vAlign w:val="center"/>
          </w:tcPr>
          <w:p w14:paraId="2E3CA414" w14:textId="77777777" w:rsidR="008E6885" w:rsidRDefault="00EA24E7">
            <w:pPr>
              <w:pStyle w:val="P68B1DB1-Normal45"/>
              <w:spacing w:after="0"/>
              <w:jc w:val="center"/>
              <w:rPr>
                <w:noProof/>
              </w:rPr>
            </w:pPr>
            <w:r>
              <w:rPr>
                <w:noProof/>
              </w:rPr>
              <w:t>134</w:t>
            </w:r>
          </w:p>
        </w:tc>
        <w:tc>
          <w:tcPr>
            <w:tcW w:w="3543" w:type="dxa"/>
            <w:shd w:val="clear" w:color="auto" w:fill="C6EFCE"/>
            <w:tcMar>
              <w:left w:w="108" w:type="dxa"/>
              <w:right w:w="108" w:type="dxa"/>
            </w:tcMar>
          </w:tcPr>
          <w:p w14:paraId="676F544D" w14:textId="77777777" w:rsidR="008E6885" w:rsidRDefault="00EA24E7">
            <w:pPr>
              <w:pStyle w:val="P68B1DB1-Normal45"/>
              <w:spacing w:after="0"/>
              <w:rPr>
                <w:noProof/>
              </w:rPr>
            </w:pPr>
            <w:r>
              <w:rPr>
                <w:noProof/>
              </w:rPr>
              <w:t>4.1.1.r. Durabilité et résilience d’un système de soins de santé intégré, global et centré sur l’humain</w:t>
            </w:r>
          </w:p>
        </w:tc>
        <w:tc>
          <w:tcPr>
            <w:tcW w:w="1560" w:type="dxa"/>
            <w:shd w:val="clear" w:color="auto" w:fill="C6EFCE"/>
            <w:tcMar>
              <w:left w:w="108" w:type="dxa"/>
              <w:right w:w="108" w:type="dxa"/>
            </w:tcMar>
          </w:tcPr>
          <w:p w14:paraId="3502014A" w14:textId="77777777" w:rsidR="008E6885" w:rsidRDefault="00EA24E7">
            <w:pPr>
              <w:pStyle w:val="P68B1DB1-Normal45"/>
              <w:spacing w:after="0"/>
              <w:jc w:val="center"/>
              <w:rPr>
                <w:noProof/>
              </w:rPr>
            </w:pPr>
            <w:r>
              <w:rPr>
                <w:noProof/>
              </w:rPr>
              <w:t>Étape</w:t>
            </w:r>
          </w:p>
        </w:tc>
        <w:tc>
          <w:tcPr>
            <w:tcW w:w="2976" w:type="dxa"/>
            <w:shd w:val="clear" w:color="auto" w:fill="C6EFCE"/>
            <w:tcMar>
              <w:left w:w="108" w:type="dxa"/>
              <w:right w:w="108" w:type="dxa"/>
            </w:tcMar>
          </w:tcPr>
          <w:p w14:paraId="28F83C44" w14:textId="77777777" w:rsidR="008E6885" w:rsidRDefault="00EA24E7">
            <w:pPr>
              <w:pStyle w:val="P68B1DB1-Normal45"/>
              <w:spacing w:after="0"/>
              <w:jc w:val="both"/>
              <w:rPr>
                <w:noProof/>
                <w:color w:val="000000" w:themeColor="text1"/>
              </w:rPr>
            </w:pPr>
            <w:r>
              <w:rPr>
                <w:noProof/>
              </w:rPr>
              <w:t>Gestion méthodologique dans le domaine de l'oncologie</w:t>
            </w:r>
          </w:p>
        </w:tc>
      </w:tr>
      <w:tr w:rsidR="008E6885" w14:paraId="32730B53" w14:textId="77777777">
        <w:trPr>
          <w:trHeight w:val="300"/>
        </w:trPr>
        <w:tc>
          <w:tcPr>
            <w:tcW w:w="1550" w:type="dxa"/>
            <w:shd w:val="clear" w:color="auto" w:fill="C6EFCE"/>
            <w:tcMar>
              <w:left w:w="108" w:type="dxa"/>
              <w:right w:w="108" w:type="dxa"/>
            </w:tcMar>
            <w:vAlign w:val="center"/>
          </w:tcPr>
          <w:p w14:paraId="0E1BC79B" w14:textId="77777777" w:rsidR="008E6885" w:rsidRDefault="00EA24E7">
            <w:pPr>
              <w:pStyle w:val="P68B1DB1-Normal45"/>
              <w:spacing w:after="0"/>
              <w:jc w:val="center"/>
              <w:rPr>
                <w:rFonts w:ascii="Calibri" w:hAnsi="Calibri"/>
                <w:noProof/>
              </w:rPr>
            </w:pPr>
            <w:r>
              <w:rPr>
                <w:noProof/>
              </w:rPr>
              <w:t>141</w:t>
            </w:r>
          </w:p>
        </w:tc>
        <w:tc>
          <w:tcPr>
            <w:tcW w:w="3543" w:type="dxa"/>
            <w:shd w:val="clear" w:color="auto" w:fill="C6EFCE"/>
            <w:tcMar>
              <w:left w:w="108" w:type="dxa"/>
              <w:right w:w="108" w:type="dxa"/>
            </w:tcMar>
          </w:tcPr>
          <w:p w14:paraId="5AC548F8" w14:textId="77777777" w:rsidR="008E6885" w:rsidRDefault="00EA24E7">
            <w:pPr>
              <w:pStyle w:val="P68B1DB1-Normal45"/>
              <w:spacing w:after="0"/>
              <w:rPr>
                <w:rFonts w:ascii="Calibri" w:hAnsi="Calibri"/>
                <w:noProof/>
              </w:rPr>
            </w:pPr>
            <w:r>
              <w:rPr>
                <w:noProof/>
              </w:rPr>
              <w:t>4.1.1.3.i. Soutien aux infrastructures ou aux équipements des prestataires de services de soins ambulatoires secondaires</w:t>
            </w:r>
          </w:p>
        </w:tc>
        <w:tc>
          <w:tcPr>
            <w:tcW w:w="1560" w:type="dxa"/>
            <w:shd w:val="clear" w:color="auto" w:fill="C6EFCE"/>
            <w:tcMar>
              <w:left w:w="108" w:type="dxa"/>
              <w:right w:w="108" w:type="dxa"/>
            </w:tcMar>
          </w:tcPr>
          <w:p w14:paraId="5D8D2CC1" w14:textId="77777777" w:rsidR="008E6885" w:rsidRDefault="00EA24E7">
            <w:pPr>
              <w:pStyle w:val="P68B1DB1-Normal45"/>
              <w:spacing w:after="0"/>
              <w:jc w:val="center"/>
              <w:rPr>
                <w:rFonts w:ascii="Calibri" w:hAnsi="Calibri"/>
                <w:noProof/>
              </w:rPr>
            </w:pPr>
            <w:r>
              <w:rPr>
                <w:noProof/>
              </w:rPr>
              <w:t>Objectif</w:t>
            </w:r>
          </w:p>
        </w:tc>
        <w:tc>
          <w:tcPr>
            <w:tcW w:w="2976" w:type="dxa"/>
            <w:shd w:val="clear" w:color="auto" w:fill="C6EFCE"/>
            <w:tcMar>
              <w:left w:w="108" w:type="dxa"/>
              <w:right w:w="108" w:type="dxa"/>
            </w:tcMar>
          </w:tcPr>
          <w:p w14:paraId="0BFAE014" w14:textId="77777777" w:rsidR="008E6885" w:rsidRDefault="00EA24E7">
            <w:pPr>
              <w:pStyle w:val="P68B1DB1-Normal46"/>
              <w:spacing w:after="0"/>
              <w:jc w:val="both"/>
              <w:rPr>
                <w:rFonts w:ascii="Calibri" w:hAnsi="Calibri"/>
                <w:noProof/>
              </w:rPr>
            </w:pPr>
            <w:r>
              <w:rPr>
                <w:noProof/>
              </w:rPr>
              <w:t xml:space="preserve">Prestataires de soins de santé ambulatoires secondaires </w:t>
            </w:r>
          </w:p>
        </w:tc>
      </w:tr>
      <w:tr w:rsidR="008E6885" w14:paraId="12B26F77" w14:textId="77777777">
        <w:trPr>
          <w:trHeight w:val="300"/>
        </w:trPr>
        <w:tc>
          <w:tcPr>
            <w:tcW w:w="1550" w:type="dxa"/>
            <w:shd w:val="clear" w:color="auto" w:fill="C6EFCE"/>
            <w:tcMar>
              <w:left w:w="108" w:type="dxa"/>
              <w:right w:w="108" w:type="dxa"/>
            </w:tcMar>
            <w:vAlign w:val="center"/>
          </w:tcPr>
          <w:p w14:paraId="02864181" w14:textId="77777777" w:rsidR="008E6885" w:rsidRDefault="00EA24E7">
            <w:pPr>
              <w:pStyle w:val="P68B1DB1-Normal45"/>
              <w:spacing w:after="0"/>
              <w:jc w:val="center"/>
              <w:rPr>
                <w:rFonts w:ascii="Calibri" w:hAnsi="Calibri"/>
                <w:noProof/>
              </w:rPr>
            </w:pPr>
            <w:r>
              <w:rPr>
                <w:noProof/>
              </w:rPr>
              <w:t>145</w:t>
            </w:r>
          </w:p>
        </w:tc>
        <w:tc>
          <w:tcPr>
            <w:tcW w:w="3543" w:type="dxa"/>
            <w:shd w:val="clear" w:color="auto" w:fill="C6EFCE"/>
            <w:tcMar>
              <w:left w:w="108" w:type="dxa"/>
              <w:right w:w="108" w:type="dxa"/>
            </w:tcMar>
          </w:tcPr>
          <w:p w14:paraId="738B96E0" w14:textId="77777777" w:rsidR="008E6885" w:rsidRDefault="00EA24E7">
            <w:pPr>
              <w:pStyle w:val="P68B1DB1-Normal45"/>
              <w:spacing w:after="0"/>
              <w:rPr>
                <w:rFonts w:ascii="Calibri" w:hAnsi="Calibri"/>
                <w:noProof/>
              </w:rPr>
            </w:pPr>
            <w:r>
              <w:rPr>
                <w:noProof/>
              </w:rPr>
              <w:t>4.2.1.r. Mise à disposition de ressources humaines et renforcement des compétences</w:t>
            </w:r>
          </w:p>
        </w:tc>
        <w:tc>
          <w:tcPr>
            <w:tcW w:w="1560" w:type="dxa"/>
            <w:shd w:val="clear" w:color="auto" w:fill="C6EFCE"/>
            <w:tcMar>
              <w:left w:w="108" w:type="dxa"/>
              <w:right w:w="108" w:type="dxa"/>
            </w:tcMar>
          </w:tcPr>
          <w:p w14:paraId="4D28053D" w14:textId="77777777" w:rsidR="008E6885" w:rsidRDefault="00EA24E7">
            <w:pPr>
              <w:pStyle w:val="P68B1DB1-Normal45"/>
              <w:spacing w:after="0"/>
              <w:jc w:val="center"/>
              <w:rPr>
                <w:rFonts w:ascii="Calibri" w:hAnsi="Calibri"/>
                <w:noProof/>
              </w:rPr>
            </w:pPr>
            <w:r>
              <w:rPr>
                <w:noProof/>
              </w:rPr>
              <w:t>Étape</w:t>
            </w:r>
          </w:p>
        </w:tc>
        <w:tc>
          <w:tcPr>
            <w:tcW w:w="2976" w:type="dxa"/>
            <w:shd w:val="clear" w:color="auto" w:fill="C6EFCE"/>
            <w:tcMar>
              <w:left w:w="108" w:type="dxa"/>
              <w:right w:w="108" w:type="dxa"/>
            </w:tcMar>
          </w:tcPr>
          <w:p w14:paraId="135DDB4A" w14:textId="77777777" w:rsidR="008E6885" w:rsidRDefault="00EA24E7">
            <w:pPr>
              <w:pStyle w:val="P68B1DB1-Normal45"/>
              <w:spacing w:after="0"/>
              <w:jc w:val="both"/>
              <w:rPr>
                <w:rFonts w:ascii="Calibri" w:hAnsi="Calibri"/>
                <w:noProof/>
              </w:rPr>
            </w:pPr>
            <w:r>
              <w:rPr>
                <w:noProof/>
              </w:rPr>
              <w:t>Nouveau modèle de rémunération du personnel de santé</w:t>
            </w:r>
          </w:p>
        </w:tc>
      </w:tr>
      <w:tr w:rsidR="008E6885" w14:paraId="2C775894" w14:textId="77777777">
        <w:trPr>
          <w:trHeight w:val="300"/>
        </w:trPr>
        <w:tc>
          <w:tcPr>
            <w:tcW w:w="1550" w:type="dxa"/>
            <w:shd w:val="clear" w:color="auto" w:fill="C6EFCE"/>
            <w:tcMar>
              <w:left w:w="108" w:type="dxa"/>
              <w:right w:w="108" w:type="dxa"/>
            </w:tcMar>
            <w:vAlign w:val="center"/>
          </w:tcPr>
          <w:p w14:paraId="626AE9F1" w14:textId="77777777" w:rsidR="008E6885" w:rsidRDefault="00EA24E7">
            <w:pPr>
              <w:pStyle w:val="P68B1DB1-Normal45"/>
              <w:jc w:val="center"/>
              <w:rPr>
                <w:noProof/>
                <w:color w:val="000000" w:themeColor="text1"/>
              </w:rPr>
            </w:pPr>
            <w:r>
              <w:rPr>
                <w:noProof/>
              </w:rPr>
              <w:t>148</w:t>
            </w:r>
          </w:p>
        </w:tc>
        <w:tc>
          <w:tcPr>
            <w:tcW w:w="3543" w:type="dxa"/>
            <w:shd w:val="clear" w:color="auto" w:fill="C6EFCE"/>
            <w:tcMar>
              <w:left w:w="108" w:type="dxa"/>
              <w:right w:w="108" w:type="dxa"/>
            </w:tcMar>
          </w:tcPr>
          <w:p w14:paraId="3A9DA7DB" w14:textId="77777777" w:rsidR="008E6885" w:rsidRDefault="00EA24E7">
            <w:pPr>
              <w:pStyle w:val="P68B1DB1-Normal45"/>
              <w:rPr>
                <w:noProof/>
                <w:color w:val="000000" w:themeColor="text1"/>
              </w:rPr>
            </w:pPr>
            <w:r>
              <w:rPr>
                <w:noProof/>
              </w:rPr>
              <w:t>4.2.1.1.i Appui à la mise en œuvre du système de mise en valeur des ressources humaines</w:t>
            </w:r>
          </w:p>
        </w:tc>
        <w:tc>
          <w:tcPr>
            <w:tcW w:w="1560" w:type="dxa"/>
            <w:shd w:val="clear" w:color="auto" w:fill="C6EFCE"/>
            <w:tcMar>
              <w:left w:w="108" w:type="dxa"/>
              <w:right w:w="108" w:type="dxa"/>
            </w:tcMar>
          </w:tcPr>
          <w:p w14:paraId="4D3D4636" w14:textId="77777777" w:rsidR="008E6885" w:rsidRDefault="00EA24E7">
            <w:pPr>
              <w:pStyle w:val="P68B1DB1-Normal45"/>
              <w:jc w:val="center"/>
              <w:rPr>
                <w:noProof/>
                <w:color w:val="000000" w:themeColor="text1"/>
              </w:rPr>
            </w:pPr>
            <w:r>
              <w:rPr>
                <w:noProof/>
              </w:rPr>
              <w:t>Étape</w:t>
            </w:r>
          </w:p>
        </w:tc>
        <w:tc>
          <w:tcPr>
            <w:tcW w:w="2976" w:type="dxa"/>
            <w:shd w:val="clear" w:color="auto" w:fill="C6EFCE"/>
            <w:tcMar>
              <w:left w:w="108" w:type="dxa"/>
              <w:right w:w="108" w:type="dxa"/>
            </w:tcMar>
          </w:tcPr>
          <w:p w14:paraId="42BB74A9" w14:textId="77777777" w:rsidR="008E6885" w:rsidRDefault="00EA24E7">
            <w:pPr>
              <w:pStyle w:val="P68B1DB1-Normal45"/>
              <w:jc w:val="both"/>
              <w:rPr>
                <w:noProof/>
                <w:color w:val="000000" w:themeColor="text1"/>
              </w:rPr>
            </w:pPr>
            <w:r>
              <w:rPr>
                <w:noProof/>
              </w:rPr>
              <w:t>Simulations en éducation médicale</w:t>
            </w:r>
          </w:p>
        </w:tc>
      </w:tr>
      <w:tr w:rsidR="008E6885" w14:paraId="3FAE406C" w14:textId="77777777">
        <w:trPr>
          <w:trHeight w:val="300"/>
        </w:trPr>
        <w:tc>
          <w:tcPr>
            <w:tcW w:w="1550" w:type="dxa"/>
            <w:shd w:val="clear" w:color="auto" w:fill="C6EFCE"/>
            <w:tcMar>
              <w:left w:w="108" w:type="dxa"/>
              <w:right w:w="108" w:type="dxa"/>
            </w:tcMar>
            <w:vAlign w:val="center"/>
          </w:tcPr>
          <w:p w14:paraId="798DEFCB" w14:textId="77777777" w:rsidR="008E6885" w:rsidRDefault="00EA24E7">
            <w:pPr>
              <w:pStyle w:val="P68B1DB1-Normal45"/>
              <w:spacing w:after="0"/>
              <w:jc w:val="center"/>
              <w:rPr>
                <w:rFonts w:ascii="Calibri" w:hAnsi="Calibri"/>
                <w:noProof/>
              </w:rPr>
            </w:pPr>
            <w:r>
              <w:rPr>
                <w:noProof/>
              </w:rPr>
              <w:t>153</w:t>
            </w:r>
          </w:p>
        </w:tc>
        <w:tc>
          <w:tcPr>
            <w:tcW w:w="3543" w:type="dxa"/>
            <w:shd w:val="clear" w:color="auto" w:fill="C6EFCE"/>
            <w:tcMar>
              <w:left w:w="108" w:type="dxa"/>
              <w:right w:w="108" w:type="dxa"/>
            </w:tcMar>
          </w:tcPr>
          <w:p w14:paraId="55352A44" w14:textId="77777777" w:rsidR="008E6885" w:rsidRDefault="00EA24E7">
            <w:pPr>
              <w:pStyle w:val="P68B1DB1-Normal45"/>
              <w:spacing w:after="0"/>
              <w:rPr>
                <w:rFonts w:ascii="Calibri" w:hAnsi="Calibri"/>
                <w:noProof/>
              </w:rPr>
            </w:pPr>
            <w:r>
              <w:rPr>
                <w:noProof/>
              </w:rPr>
              <w:t>4.3.1.1.i. Soutien à l'évaluation et à l'amélioration de la qualité et de l'accessibilité des soins de santé secondaires non hospitaliers</w:t>
            </w:r>
          </w:p>
        </w:tc>
        <w:tc>
          <w:tcPr>
            <w:tcW w:w="1560" w:type="dxa"/>
            <w:shd w:val="clear" w:color="auto" w:fill="C6EFCE"/>
            <w:tcMar>
              <w:left w:w="108" w:type="dxa"/>
              <w:right w:w="108" w:type="dxa"/>
            </w:tcMar>
          </w:tcPr>
          <w:p w14:paraId="73A365B7" w14:textId="77777777" w:rsidR="008E6885" w:rsidRDefault="00EA24E7">
            <w:pPr>
              <w:pStyle w:val="P68B1DB1-Normal45"/>
              <w:spacing w:after="0"/>
              <w:jc w:val="center"/>
              <w:rPr>
                <w:rFonts w:ascii="Calibri" w:hAnsi="Calibri"/>
                <w:noProof/>
              </w:rPr>
            </w:pPr>
            <w:r>
              <w:rPr>
                <w:noProof/>
              </w:rPr>
              <w:t>Étape</w:t>
            </w:r>
          </w:p>
        </w:tc>
        <w:tc>
          <w:tcPr>
            <w:tcW w:w="2976" w:type="dxa"/>
            <w:shd w:val="clear" w:color="auto" w:fill="C6EFCE"/>
            <w:tcMar>
              <w:left w:w="108" w:type="dxa"/>
              <w:right w:w="108" w:type="dxa"/>
            </w:tcMar>
          </w:tcPr>
          <w:p w14:paraId="5E8216B7" w14:textId="77777777" w:rsidR="008E6885" w:rsidRDefault="00EA24E7">
            <w:pPr>
              <w:pStyle w:val="P68B1DB1-Normal45"/>
              <w:spacing w:after="0"/>
              <w:jc w:val="both"/>
              <w:rPr>
                <w:rFonts w:ascii="Calibri" w:hAnsi="Calibri"/>
                <w:noProof/>
              </w:rPr>
            </w:pPr>
            <w:r>
              <w:rPr>
                <w:noProof/>
              </w:rPr>
              <w:t>Politiques de santé publique</w:t>
            </w:r>
          </w:p>
        </w:tc>
      </w:tr>
      <w:tr w:rsidR="008E6885" w14:paraId="58D3D5C8" w14:textId="77777777">
        <w:trPr>
          <w:trHeight w:val="300"/>
        </w:trPr>
        <w:tc>
          <w:tcPr>
            <w:tcW w:w="1550" w:type="dxa"/>
            <w:shd w:val="clear" w:color="auto" w:fill="C6EFCE"/>
            <w:tcMar>
              <w:left w:w="108" w:type="dxa"/>
              <w:right w:w="108" w:type="dxa"/>
            </w:tcMar>
            <w:vAlign w:val="center"/>
          </w:tcPr>
          <w:p w14:paraId="1AEA5630" w14:textId="77777777" w:rsidR="008E6885" w:rsidRDefault="00EA24E7">
            <w:pPr>
              <w:pStyle w:val="P68B1DB1-Normal45"/>
              <w:spacing w:after="0"/>
              <w:jc w:val="center"/>
              <w:rPr>
                <w:rFonts w:ascii="Calibri" w:hAnsi="Calibri"/>
                <w:noProof/>
              </w:rPr>
            </w:pPr>
            <w:r>
              <w:rPr>
                <w:noProof/>
              </w:rPr>
              <w:t>157</w:t>
            </w:r>
          </w:p>
        </w:tc>
        <w:tc>
          <w:tcPr>
            <w:tcW w:w="3543" w:type="dxa"/>
            <w:shd w:val="clear" w:color="auto" w:fill="C6EFCE"/>
            <w:tcMar>
              <w:left w:w="108" w:type="dxa"/>
              <w:right w:w="108" w:type="dxa"/>
            </w:tcMar>
          </w:tcPr>
          <w:p w14:paraId="2AF938F2" w14:textId="77777777" w:rsidR="008E6885" w:rsidRDefault="00EA24E7">
            <w:pPr>
              <w:pStyle w:val="P68B1DB1-Normal45"/>
              <w:spacing w:after="0"/>
              <w:rPr>
                <w:rFonts w:ascii="Calibri" w:hAnsi="Calibri"/>
                <w:noProof/>
              </w:rPr>
            </w:pPr>
            <w:r>
              <w:rPr>
                <w:noProof/>
              </w:rPr>
              <w:t>5.1.1.2.i. Instrument de soutien à la recherche et à l'internationalisation</w:t>
            </w:r>
          </w:p>
        </w:tc>
        <w:tc>
          <w:tcPr>
            <w:tcW w:w="1560" w:type="dxa"/>
            <w:shd w:val="clear" w:color="auto" w:fill="C6EFCE"/>
            <w:tcMar>
              <w:left w:w="108" w:type="dxa"/>
              <w:right w:w="108" w:type="dxa"/>
            </w:tcMar>
          </w:tcPr>
          <w:p w14:paraId="360A56A9" w14:textId="77777777" w:rsidR="008E6885" w:rsidRDefault="00EA24E7">
            <w:pPr>
              <w:pStyle w:val="P68B1DB1-Normal45"/>
              <w:spacing w:after="0"/>
              <w:jc w:val="center"/>
              <w:rPr>
                <w:rFonts w:ascii="Calibri" w:hAnsi="Calibri"/>
                <w:noProof/>
              </w:rPr>
            </w:pPr>
            <w:r>
              <w:rPr>
                <w:noProof/>
              </w:rPr>
              <w:t>Étape</w:t>
            </w:r>
          </w:p>
        </w:tc>
        <w:tc>
          <w:tcPr>
            <w:tcW w:w="2976" w:type="dxa"/>
            <w:shd w:val="clear" w:color="auto" w:fill="C6EFCE"/>
            <w:tcMar>
              <w:left w:w="108" w:type="dxa"/>
              <w:right w:w="108" w:type="dxa"/>
            </w:tcMar>
          </w:tcPr>
          <w:p w14:paraId="45AB5475" w14:textId="77777777" w:rsidR="008E6885" w:rsidRDefault="00EA24E7">
            <w:pPr>
              <w:pStyle w:val="P68B1DB1-Normal45"/>
              <w:spacing w:after="0"/>
              <w:jc w:val="both"/>
              <w:rPr>
                <w:rFonts w:ascii="Calibri" w:hAnsi="Calibri"/>
                <w:noProof/>
              </w:rPr>
            </w:pPr>
            <w:r>
              <w:rPr>
                <w:noProof/>
              </w:rPr>
              <w:t>Entrée en vigueur du ou des actes juridiques régissant quatre programmes d'aide</w:t>
            </w:r>
          </w:p>
        </w:tc>
      </w:tr>
      <w:tr w:rsidR="008E6885" w14:paraId="1E391227" w14:textId="77777777">
        <w:trPr>
          <w:trHeight w:val="300"/>
        </w:trPr>
        <w:tc>
          <w:tcPr>
            <w:tcW w:w="1550" w:type="dxa"/>
            <w:shd w:val="clear" w:color="auto" w:fill="C6EFCE"/>
            <w:tcMar>
              <w:left w:w="108" w:type="dxa"/>
              <w:right w:w="108" w:type="dxa"/>
            </w:tcMar>
            <w:vAlign w:val="center"/>
          </w:tcPr>
          <w:p w14:paraId="51BD4C39" w14:textId="77777777" w:rsidR="008E6885" w:rsidRDefault="00EA24E7">
            <w:pPr>
              <w:pStyle w:val="P68B1DB1-Normal45"/>
              <w:spacing w:after="0"/>
              <w:jc w:val="center"/>
              <w:rPr>
                <w:rFonts w:ascii="Calibri" w:hAnsi="Calibri"/>
                <w:noProof/>
              </w:rPr>
            </w:pPr>
            <w:r>
              <w:rPr>
                <w:noProof/>
              </w:rPr>
              <w:t>172</w:t>
            </w:r>
          </w:p>
        </w:tc>
        <w:tc>
          <w:tcPr>
            <w:tcW w:w="3543" w:type="dxa"/>
            <w:shd w:val="clear" w:color="auto" w:fill="C6EFCE"/>
            <w:tcMar>
              <w:left w:w="108" w:type="dxa"/>
              <w:right w:w="108" w:type="dxa"/>
            </w:tcMar>
          </w:tcPr>
          <w:p w14:paraId="6621F621" w14:textId="77777777" w:rsidR="008E6885" w:rsidRDefault="00EA24E7">
            <w:pPr>
              <w:pStyle w:val="P68B1DB1-Normal45"/>
              <w:spacing w:after="0"/>
              <w:rPr>
                <w:rFonts w:ascii="Calibri" w:hAnsi="Calibri"/>
                <w:noProof/>
              </w:rPr>
            </w:pPr>
            <w:r>
              <w:rPr>
                <w:noProof/>
              </w:rPr>
              <w:t>6.1.1.1.i. Modernisation des solutions analytiques existantes</w:t>
            </w:r>
          </w:p>
        </w:tc>
        <w:tc>
          <w:tcPr>
            <w:tcW w:w="1560" w:type="dxa"/>
            <w:shd w:val="clear" w:color="auto" w:fill="C6EFCE"/>
            <w:tcMar>
              <w:left w:w="108" w:type="dxa"/>
              <w:right w:w="108" w:type="dxa"/>
            </w:tcMar>
          </w:tcPr>
          <w:p w14:paraId="3FEC3E82" w14:textId="77777777" w:rsidR="008E6885" w:rsidRDefault="00EA24E7">
            <w:pPr>
              <w:pStyle w:val="P68B1DB1-Normal45"/>
              <w:spacing w:after="0"/>
              <w:jc w:val="center"/>
              <w:rPr>
                <w:rFonts w:ascii="Calibri" w:hAnsi="Calibri"/>
                <w:noProof/>
              </w:rPr>
            </w:pPr>
            <w:r>
              <w:rPr>
                <w:noProof/>
              </w:rPr>
              <w:t>Étape</w:t>
            </w:r>
          </w:p>
        </w:tc>
        <w:tc>
          <w:tcPr>
            <w:tcW w:w="2976" w:type="dxa"/>
            <w:shd w:val="clear" w:color="auto" w:fill="C6EFCE"/>
            <w:tcMar>
              <w:left w:w="108" w:type="dxa"/>
              <w:right w:w="108" w:type="dxa"/>
            </w:tcMar>
          </w:tcPr>
          <w:p w14:paraId="6526D7FE" w14:textId="77777777" w:rsidR="008E6885" w:rsidRDefault="00EA24E7">
            <w:pPr>
              <w:pStyle w:val="P68B1DB1-Normal45"/>
              <w:spacing w:after="0"/>
              <w:jc w:val="both"/>
              <w:rPr>
                <w:rFonts w:ascii="Calibri" w:hAnsi="Calibri"/>
                <w:noProof/>
              </w:rPr>
            </w:pPr>
            <w:r>
              <w:rPr>
                <w:noProof/>
              </w:rPr>
              <w:t>Modifications apportées aux systèmes informatiques</w:t>
            </w:r>
          </w:p>
        </w:tc>
      </w:tr>
      <w:tr w:rsidR="008E6885" w14:paraId="44243650" w14:textId="77777777">
        <w:trPr>
          <w:trHeight w:val="300"/>
        </w:trPr>
        <w:tc>
          <w:tcPr>
            <w:tcW w:w="1550" w:type="dxa"/>
            <w:shd w:val="clear" w:color="auto" w:fill="C6EFCE"/>
            <w:tcMar>
              <w:left w:w="108" w:type="dxa"/>
              <w:right w:w="108" w:type="dxa"/>
            </w:tcMar>
            <w:vAlign w:val="center"/>
          </w:tcPr>
          <w:p w14:paraId="0E7A24B5" w14:textId="77777777" w:rsidR="008E6885" w:rsidRDefault="00EA24E7">
            <w:pPr>
              <w:pStyle w:val="P68B1DB1-Normal45"/>
              <w:spacing w:after="0"/>
              <w:jc w:val="center"/>
              <w:rPr>
                <w:rFonts w:ascii="Calibri" w:hAnsi="Calibri"/>
                <w:noProof/>
              </w:rPr>
            </w:pPr>
            <w:r>
              <w:rPr>
                <w:noProof/>
              </w:rPr>
              <w:t>173</w:t>
            </w:r>
          </w:p>
        </w:tc>
        <w:tc>
          <w:tcPr>
            <w:tcW w:w="3543" w:type="dxa"/>
            <w:shd w:val="clear" w:color="auto" w:fill="C6EFCE"/>
            <w:tcMar>
              <w:left w:w="108" w:type="dxa"/>
              <w:right w:w="108" w:type="dxa"/>
            </w:tcMar>
          </w:tcPr>
          <w:p w14:paraId="7EDEF29E" w14:textId="77777777" w:rsidR="008E6885" w:rsidRDefault="00EA24E7">
            <w:pPr>
              <w:pStyle w:val="P68B1DB1-Normal45"/>
              <w:spacing w:after="0"/>
              <w:rPr>
                <w:rFonts w:ascii="Calibri" w:hAnsi="Calibri"/>
                <w:noProof/>
              </w:rPr>
            </w:pPr>
            <w:r>
              <w:rPr>
                <w:noProof/>
              </w:rPr>
              <w:t>6.1.1.2.i. Mise au point de nouveaux systèmes analytiques</w:t>
            </w:r>
          </w:p>
        </w:tc>
        <w:tc>
          <w:tcPr>
            <w:tcW w:w="1560" w:type="dxa"/>
            <w:shd w:val="clear" w:color="auto" w:fill="C6EFCE"/>
            <w:tcMar>
              <w:left w:w="108" w:type="dxa"/>
              <w:right w:w="108" w:type="dxa"/>
            </w:tcMar>
          </w:tcPr>
          <w:p w14:paraId="4A0E8073" w14:textId="77777777" w:rsidR="008E6885" w:rsidRDefault="00EA24E7">
            <w:pPr>
              <w:pStyle w:val="P68B1DB1-Normal45"/>
              <w:spacing w:after="0"/>
              <w:jc w:val="center"/>
              <w:rPr>
                <w:rFonts w:ascii="Calibri" w:hAnsi="Calibri"/>
                <w:noProof/>
              </w:rPr>
            </w:pPr>
            <w:r>
              <w:rPr>
                <w:noProof/>
              </w:rPr>
              <w:t>Étape</w:t>
            </w:r>
          </w:p>
        </w:tc>
        <w:tc>
          <w:tcPr>
            <w:tcW w:w="2976" w:type="dxa"/>
            <w:shd w:val="clear" w:color="auto" w:fill="C6EFCE"/>
            <w:tcMar>
              <w:left w:w="108" w:type="dxa"/>
              <w:right w:w="108" w:type="dxa"/>
            </w:tcMar>
          </w:tcPr>
          <w:p w14:paraId="296288BB" w14:textId="77777777" w:rsidR="008E6885" w:rsidRDefault="00EA24E7">
            <w:pPr>
              <w:pStyle w:val="P68B1DB1-Normal45"/>
              <w:spacing w:after="0"/>
              <w:jc w:val="both"/>
              <w:rPr>
                <w:rFonts w:ascii="Calibri" w:hAnsi="Calibri"/>
                <w:noProof/>
              </w:rPr>
            </w:pPr>
            <w:r>
              <w:rPr>
                <w:noProof/>
              </w:rPr>
              <w:t xml:space="preserve">Système de segmentation des contribuables </w:t>
            </w:r>
          </w:p>
        </w:tc>
      </w:tr>
      <w:tr w:rsidR="008E6885" w14:paraId="4128EA42" w14:textId="77777777">
        <w:trPr>
          <w:trHeight w:val="300"/>
        </w:trPr>
        <w:tc>
          <w:tcPr>
            <w:tcW w:w="1550" w:type="dxa"/>
            <w:shd w:val="clear" w:color="auto" w:fill="C6EFCE"/>
            <w:tcMar>
              <w:left w:w="108" w:type="dxa"/>
              <w:right w:w="108" w:type="dxa"/>
            </w:tcMar>
            <w:vAlign w:val="center"/>
          </w:tcPr>
          <w:p w14:paraId="3C4486BC" w14:textId="77777777" w:rsidR="008E6885" w:rsidRDefault="00EA24E7">
            <w:pPr>
              <w:pStyle w:val="P68B1DB1-Normal45"/>
              <w:spacing w:after="0"/>
              <w:jc w:val="center"/>
              <w:rPr>
                <w:rFonts w:ascii="Calibri" w:hAnsi="Calibri"/>
                <w:noProof/>
              </w:rPr>
            </w:pPr>
            <w:r>
              <w:rPr>
                <w:noProof/>
              </w:rPr>
              <w:t>182</w:t>
            </w:r>
          </w:p>
        </w:tc>
        <w:tc>
          <w:tcPr>
            <w:tcW w:w="3543" w:type="dxa"/>
            <w:shd w:val="clear" w:color="auto" w:fill="C6EFCE"/>
            <w:tcMar>
              <w:left w:w="108" w:type="dxa"/>
              <w:right w:w="108" w:type="dxa"/>
            </w:tcMar>
          </w:tcPr>
          <w:p w14:paraId="2BF1B4D0" w14:textId="77777777" w:rsidR="008E6885" w:rsidRDefault="00EA24E7">
            <w:pPr>
              <w:pStyle w:val="P68B1DB1-Normal45"/>
              <w:spacing w:after="0"/>
              <w:rPr>
                <w:rFonts w:ascii="Calibri" w:hAnsi="Calibri"/>
                <w:noProof/>
              </w:rPr>
            </w:pPr>
            <w:r>
              <w:rPr>
                <w:noProof/>
              </w:rPr>
              <w:t xml:space="preserve"> 6.1.2.4.i. Création d'une infrastructure pour l'exécution des services de contrôle à Kundziņsala</w:t>
            </w:r>
          </w:p>
        </w:tc>
        <w:tc>
          <w:tcPr>
            <w:tcW w:w="1560" w:type="dxa"/>
            <w:shd w:val="clear" w:color="auto" w:fill="C6EFCE"/>
            <w:tcMar>
              <w:left w:w="108" w:type="dxa"/>
              <w:right w:w="108" w:type="dxa"/>
            </w:tcMar>
          </w:tcPr>
          <w:p w14:paraId="72B25338" w14:textId="77777777" w:rsidR="008E6885" w:rsidRDefault="00EA24E7">
            <w:pPr>
              <w:pStyle w:val="P68B1DB1-Normal45"/>
              <w:spacing w:after="0"/>
              <w:jc w:val="center"/>
              <w:rPr>
                <w:rFonts w:ascii="Calibri" w:hAnsi="Calibri"/>
                <w:noProof/>
              </w:rPr>
            </w:pPr>
            <w:r>
              <w:rPr>
                <w:noProof/>
              </w:rPr>
              <w:t>Étape</w:t>
            </w:r>
          </w:p>
        </w:tc>
        <w:tc>
          <w:tcPr>
            <w:tcW w:w="2976" w:type="dxa"/>
            <w:shd w:val="clear" w:color="auto" w:fill="C6EFCE"/>
            <w:tcMar>
              <w:left w:w="108" w:type="dxa"/>
              <w:right w:w="108" w:type="dxa"/>
            </w:tcMar>
          </w:tcPr>
          <w:p w14:paraId="3E2F8C5F" w14:textId="77777777" w:rsidR="008E6885" w:rsidRDefault="00EA24E7">
            <w:pPr>
              <w:pStyle w:val="P68B1DB1-Normal45"/>
              <w:spacing w:after="0"/>
              <w:jc w:val="both"/>
              <w:rPr>
                <w:rFonts w:ascii="Calibri" w:hAnsi="Calibri"/>
                <w:noProof/>
              </w:rPr>
            </w:pPr>
            <w:r>
              <w:rPr>
                <w:noProof/>
              </w:rPr>
              <w:t xml:space="preserve">Permis de construire reçu </w:t>
            </w:r>
          </w:p>
        </w:tc>
      </w:tr>
      <w:tr w:rsidR="008E6885" w14:paraId="4A46306E" w14:textId="77777777">
        <w:trPr>
          <w:trHeight w:val="300"/>
        </w:trPr>
        <w:tc>
          <w:tcPr>
            <w:tcW w:w="1550" w:type="dxa"/>
            <w:shd w:val="clear" w:color="auto" w:fill="C6EFCE"/>
            <w:tcMar>
              <w:left w:w="108" w:type="dxa"/>
              <w:right w:w="108" w:type="dxa"/>
            </w:tcMar>
            <w:vAlign w:val="center"/>
          </w:tcPr>
          <w:p w14:paraId="59AFC655" w14:textId="77777777" w:rsidR="008E6885" w:rsidRDefault="00EA24E7">
            <w:pPr>
              <w:pStyle w:val="P68B1DB1-Normal45"/>
              <w:jc w:val="center"/>
              <w:rPr>
                <w:noProof/>
              </w:rPr>
            </w:pPr>
            <w:r>
              <w:rPr>
                <w:noProof/>
              </w:rPr>
              <w:t>187</w:t>
            </w:r>
          </w:p>
        </w:tc>
        <w:tc>
          <w:tcPr>
            <w:tcW w:w="3543" w:type="dxa"/>
            <w:shd w:val="clear" w:color="auto" w:fill="C6EFCE"/>
            <w:tcMar>
              <w:left w:w="108" w:type="dxa"/>
              <w:right w:w="108" w:type="dxa"/>
            </w:tcMar>
          </w:tcPr>
          <w:p w14:paraId="47589B59" w14:textId="77777777" w:rsidR="008E6885" w:rsidRDefault="00EA24E7">
            <w:pPr>
              <w:pStyle w:val="P68B1DB1-Normal45"/>
              <w:rPr>
                <w:noProof/>
              </w:rPr>
            </w:pPr>
            <w:r>
              <w:rPr>
                <w:noProof/>
              </w:rPr>
              <w:t>6.2.1.1.i. Création d’un pôle d’innovation en matière de lutte contre le blanchiment de capitaux afin d’améliorer l’identification du blanchiment de capitaux</w:t>
            </w:r>
          </w:p>
        </w:tc>
        <w:tc>
          <w:tcPr>
            <w:tcW w:w="1560" w:type="dxa"/>
            <w:shd w:val="clear" w:color="auto" w:fill="C6EFCE"/>
            <w:tcMar>
              <w:left w:w="108" w:type="dxa"/>
              <w:right w:w="108" w:type="dxa"/>
            </w:tcMar>
          </w:tcPr>
          <w:p w14:paraId="2D4C7176" w14:textId="77777777" w:rsidR="008E6885" w:rsidRDefault="00EA24E7">
            <w:pPr>
              <w:pStyle w:val="P68B1DB1-Normal45"/>
              <w:jc w:val="center"/>
              <w:rPr>
                <w:noProof/>
              </w:rPr>
            </w:pPr>
            <w:r>
              <w:rPr>
                <w:noProof/>
              </w:rPr>
              <w:t>Étape</w:t>
            </w:r>
          </w:p>
        </w:tc>
        <w:tc>
          <w:tcPr>
            <w:tcW w:w="2976" w:type="dxa"/>
            <w:shd w:val="clear" w:color="auto" w:fill="C6EFCE"/>
            <w:tcMar>
              <w:left w:w="108" w:type="dxa"/>
              <w:right w:w="108" w:type="dxa"/>
            </w:tcMar>
          </w:tcPr>
          <w:p w14:paraId="68A98452" w14:textId="77777777" w:rsidR="008E6885" w:rsidRDefault="00EA24E7">
            <w:pPr>
              <w:pStyle w:val="P68B1DB1-Normal46"/>
              <w:jc w:val="both"/>
              <w:rPr>
                <w:noProof/>
                <w:color w:val="000000"/>
              </w:rPr>
            </w:pPr>
            <w:r>
              <w:rPr>
                <w:noProof/>
              </w:rPr>
              <w:t>Plateforme de coopération pour le renseignement financier et le partage des connaissances en matière d'identification du blanchiment d'argent</w:t>
            </w:r>
          </w:p>
        </w:tc>
      </w:tr>
      <w:tr w:rsidR="008E6885" w14:paraId="29B30B63" w14:textId="77777777">
        <w:trPr>
          <w:trHeight w:val="300"/>
        </w:trPr>
        <w:tc>
          <w:tcPr>
            <w:tcW w:w="1550" w:type="dxa"/>
            <w:shd w:val="clear" w:color="auto" w:fill="C6EFCE"/>
            <w:tcMar>
              <w:left w:w="108" w:type="dxa"/>
              <w:right w:w="108" w:type="dxa"/>
            </w:tcMar>
            <w:vAlign w:val="center"/>
          </w:tcPr>
          <w:p w14:paraId="01BCC25B" w14:textId="77777777" w:rsidR="008E6885" w:rsidRDefault="00EA24E7">
            <w:pPr>
              <w:pStyle w:val="P68B1DB1-Normal45"/>
              <w:spacing w:after="0"/>
              <w:jc w:val="center"/>
              <w:rPr>
                <w:noProof/>
              </w:rPr>
            </w:pPr>
            <w:r>
              <w:rPr>
                <w:noProof/>
              </w:rPr>
              <w:t>190</w:t>
            </w:r>
          </w:p>
        </w:tc>
        <w:tc>
          <w:tcPr>
            <w:tcW w:w="3543" w:type="dxa"/>
            <w:shd w:val="clear" w:color="auto" w:fill="C6EFCE"/>
            <w:tcMar>
              <w:left w:w="108" w:type="dxa"/>
              <w:right w:w="108" w:type="dxa"/>
            </w:tcMar>
          </w:tcPr>
          <w:p w14:paraId="4178E118" w14:textId="77777777" w:rsidR="008E6885" w:rsidRDefault="00EA24E7">
            <w:pPr>
              <w:pStyle w:val="P68B1DB1-Normal45"/>
              <w:spacing w:after="0"/>
              <w:rPr>
                <w:noProof/>
              </w:rPr>
            </w:pPr>
            <w:r>
              <w:rPr>
                <w:noProof/>
              </w:rPr>
              <w:t>6.2.1.2.i. Renforcement de la capacité d'enquêter sur la criminalité économique</w:t>
            </w:r>
          </w:p>
        </w:tc>
        <w:tc>
          <w:tcPr>
            <w:tcW w:w="1560" w:type="dxa"/>
            <w:shd w:val="clear" w:color="auto" w:fill="C6EFCE"/>
            <w:tcMar>
              <w:left w:w="108" w:type="dxa"/>
              <w:right w:w="108" w:type="dxa"/>
            </w:tcMar>
          </w:tcPr>
          <w:p w14:paraId="55602CDD" w14:textId="77777777" w:rsidR="008E6885" w:rsidRDefault="00EA24E7">
            <w:pPr>
              <w:pStyle w:val="P68B1DB1-Normal45"/>
              <w:spacing w:after="0"/>
              <w:jc w:val="center"/>
              <w:rPr>
                <w:noProof/>
              </w:rPr>
            </w:pPr>
            <w:r>
              <w:rPr>
                <w:noProof/>
              </w:rPr>
              <w:t>Objectif</w:t>
            </w:r>
          </w:p>
        </w:tc>
        <w:tc>
          <w:tcPr>
            <w:tcW w:w="2976" w:type="dxa"/>
            <w:shd w:val="clear" w:color="auto" w:fill="C6EFCE"/>
            <w:tcMar>
              <w:left w:w="108" w:type="dxa"/>
              <w:right w:w="108" w:type="dxa"/>
            </w:tcMar>
          </w:tcPr>
          <w:p w14:paraId="65A5EE47" w14:textId="77777777" w:rsidR="008E6885" w:rsidRDefault="00EA24E7">
            <w:pPr>
              <w:pStyle w:val="P68B1DB1-Normal46"/>
              <w:spacing w:after="0"/>
              <w:jc w:val="both"/>
              <w:rPr>
                <w:noProof/>
                <w:color w:val="000000"/>
              </w:rPr>
            </w:pPr>
            <w:r>
              <w:rPr>
                <w:noProof/>
              </w:rPr>
              <w:t>Nombre d’agents des services répressifs titulaires d’un certificat d’enquête sur le blanchiment de capitaux</w:t>
            </w:r>
          </w:p>
        </w:tc>
      </w:tr>
      <w:tr w:rsidR="008E6885" w14:paraId="43AF5353" w14:textId="77777777">
        <w:trPr>
          <w:trHeight w:val="300"/>
        </w:trPr>
        <w:tc>
          <w:tcPr>
            <w:tcW w:w="1550" w:type="dxa"/>
            <w:shd w:val="clear" w:color="auto" w:fill="C6EFCE"/>
            <w:tcMar>
              <w:left w:w="108" w:type="dxa"/>
              <w:right w:w="108" w:type="dxa"/>
            </w:tcMar>
            <w:vAlign w:val="center"/>
          </w:tcPr>
          <w:p w14:paraId="54C89687" w14:textId="77777777" w:rsidR="008E6885" w:rsidRDefault="00EA24E7">
            <w:pPr>
              <w:pStyle w:val="P68B1DB1-Normal45"/>
              <w:spacing w:after="0"/>
              <w:jc w:val="center"/>
              <w:rPr>
                <w:noProof/>
              </w:rPr>
            </w:pPr>
            <w:r>
              <w:rPr>
                <w:noProof/>
              </w:rPr>
              <w:t>191</w:t>
            </w:r>
          </w:p>
        </w:tc>
        <w:tc>
          <w:tcPr>
            <w:tcW w:w="3543" w:type="dxa"/>
            <w:shd w:val="clear" w:color="auto" w:fill="C6EFCE"/>
            <w:tcMar>
              <w:left w:w="108" w:type="dxa"/>
              <w:right w:w="108" w:type="dxa"/>
            </w:tcMar>
          </w:tcPr>
          <w:p w14:paraId="2E439069" w14:textId="77777777" w:rsidR="008E6885" w:rsidRDefault="00EA24E7">
            <w:pPr>
              <w:pStyle w:val="P68B1DB1-Normal45"/>
              <w:spacing w:after="0"/>
              <w:rPr>
                <w:noProof/>
              </w:rPr>
            </w:pPr>
            <w:r>
              <w:rPr>
                <w:noProof/>
              </w:rPr>
              <w:t>6.2.1.2.i. Renforcement de la capacité d'enquêter sur la criminalité économique</w:t>
            </w:r>
          </w:p>
        </w:tc>
        <w:tc>
          <w:tcPr>
            <w:tcW w:w="1560" w:type="dxa"/>
            <w:shd w:val="clear" w:color="auto" w:fill="C6EFCE"/>
            <w:tcMar>
              <w:left w:w="108" w:type="dxa"/>
              <w:right w:w="108" w:type="dxa"/>
            </w:tcMar>
          </w:tcPr>
          <w:p w14:paraId="7107DE0A" w14:textId="77777777" w:rsidR="008E6885" w:rsidRDefault="00EA24E7">
            <w:pPr>
              <w:pStyle w:val="P68B1DB1-Normal45"/>
              <w:spacing w:after="0"/>
              <w:jc w:val="center"/>
              <w:rPr>
                <w:noProof/>
              </w:rPr>
            </w:pPr>
            <w:r>
              <w:rPr>
                <w:noProof/>
              </w:rPr>
              <w:t>Étape</w:t>
            </w:r>
          </w:p>
        </w:tc>
        <w:tc>
          <w:tcPr>
            <w:tcW w:w="2976" w:type="dxa"/>
            <w:shd w:val="clear" w:color="auto" w:fill="C6EFCE"/>
            <w:tcMar>
              <w:left w:w="108" w:type="dxa"/>
              <w:right w:w="108" w:type="dxa"/>
            </w:tcMar>
          </w:tcPr>
          <w:p w14:paraId="55DE13ED" w14:textId="77777777" w:rsidR="008E6885" w:rsidRDefault="00EA24E7">
            <w:pPr>
              <w:pStyle w:val="P68B1DB1-Normal45"/>
              <w:spacing w:after="0"/>
              <w:jc w:val="both"/>
              <w:rPr>
                <w:noProof/>
              </w:rPr>
            </w:pPr>
            <w:r>
              <w:rPr>
                <w:noProof/>
              </w:rPr>
              <w:t xml:space="preserve">Équipement pour les responsables de l'application de la loi </w:t>
            </w:r>
          </w:p>
        </w:tc>
      </w:tr>
      <w:tr w:rsidR="008E6885" w14:paraId="5511353A" w14:textId="77777777">
        <w:trPr>
          <w:trHeight w:val="300"/>
        </w:trPr>
        <w:tc>
          <w:tcPr>
            <w:tcW w:w="1550" w:type="dxa"/>
            <w:shd w:val="clear" w:color="auto" w:fill="C6EFCE"/>
            <w:tcMar>
              <w:left w:w="108" w:type="dxa"/>
              <w:right w:w="108" w:type="dxa"/>
            </w:tcMar>
            <w:vAlign w:val="center"/>
          </w:tcPr>
          <w:p w14:paraId="381C6408" w14:textId="77777777" w:rsidR="008E6885" w:rsidRDefault="00EA24E7">
            <w:pPr>
              <w:pStyle w:val="P68B1DB1-Normal45"/>
              <w:spacing w:after="0"/>
              <w:jc w:val="center"/>
              <w:rPr>
                <w:noProof/>
              </w:rPr>
            </w:pPr>
            <w:r>
              <w:rPr>
                <w:noProof/>
              </w:rPr>
              <w:t>192</w:t>
            </w:r>
          </w:p>
        </w:tc>
        <w:tc>
          <w:tcPr>
            <w:tcW w:w="3543" w:type="dxa"/>
            <w:shd w:val="clear" w:color="auto" w:fill="C6EFCE"/>
            <w:tcMar>
              <w:left w:w="108" w:type="dxa"/>
              <w:right w:w="108" w:type="dxa"/>
            </w:tcMar>
          </w:tcPr>
          <w:p w14:paraId="34364852" w14:textId="77777777" w:rsidR="008E6885" w:rsidRDefault="00EA24E7">
            <w:pPr>
              <w:pStyle w:val="P68B1DB1-Normal45"/>
              <w:spacing w:after="0"/>
              <w:rPr>
                <w:noProof/>
              </w:rPr>
            </w:pPr>
            <w:r>
              <w:rPr>
                <w:noProof/>
              </w:rPr>
              <w:t xml:space="preserve">6.2.1.3.i. Création d'un centre de formation </w:t>
            </w:r>
          </w:p>
        </w:tc>
        <w:tc>
          <w:tcPr>
            <w:tcW w:w="1560" w:type="dxa"/>
            <w:shd w:val="clear" w:color="auto" w:fill="C6EFCE"/>
            <w:tcMar>
              <w:left w:w="108" w:type="dxa"/>
              <w:right w:w="108" w:type="dxa"/>
            </w:tcMar>
          </w:tcPr>
          <w:p w14:paraId="21813B39" w14:textId="77777777" w:rsidR="008E6885" w:rsidRDefault="00EA24E7">
            <w:pPr>
              <w:pStyle w:val="P68B1DB1-Normal45"/>
              <w:spacing w:after="0"/>
              <w:jc w:val="center"/>
              <w:rPr>
                <w:noProof/>
              </w:rPr>
            </w:pPr>
            <w:r>
              <w:rPr>
                <w:noProof/>
              </w:rPr>
              <w:t>Étape</w:t>
            </w:r>
          </w:p>
        </w:tc>
        <w:tc>
          <w:tcPr>
            <w:tcW w:w="2976" w:type="dxa"/>
            <w:shd w:val="clear" w:color="auto" w:fill="C6EFCE"/>
            <w:tcMar>
              <w:left w:w="108" w:type="dxa"/>
              <w:right w:w="108" w:type="dxa"/>
            </w:tcMar>
          </w:tcPr>
          <w:p w14:paraId="75C9AD7B" w14:textId="77777777" w:rsidR="008E6885" w:rsidRDefault="00EA24E7">
            <w:pPr>
              <w:pStyle w:val="P68B1DB1-Normal46"/>
              <w:spacing w:after="0"/>
              <w:jc w:val="both"/>
              <w:rPr>
                <w:noProof/>
                <w:color w:val="000000"/>
              </w:rPr>
            </w:pPr>
            <w:r>
              <w:rPr>
                <w:noProof/>
              </w:rPr>
              <w:t>Acte(s) juridique(s) relatif(s) au centre de formation</w:t>
            </w:r>
          </w:p>
        </w:tc>
      </w:tr>
      <w:tr w:rsidR="008E6885" w14:paraId="703AD130" w14:textId="77777777">
        <w:trPr>
          <w:trHeight w:val="300"/>
        </w:trPr>
        <w:tc>
          <w:tcPr>
            <w:tcW w:w="1550" w:type="dxa"/>
            <w:shd w:val="clear" w:color="auto" w:fill="C6EFCE"/>
            <w:tcMar>
              <w:left w:w="108" w:type="dxa"/>
              <w:right w:w="108" w:type="dxa"/>
            </w:tcMar>
            <w:vAlign w:val="center"/>
          </w:tcPr>
          <w:p w14:paraId="1033E17E" w14:textId="77777777" w:rsidR="008E6885" w:rsidRDefault="00EA24E7">
            <w:pPr>
              <w:pStyle w:val="P68B1DB1-Normal45"/>
              <w:spacing w:after="0"/>
              <w:jc w:val="center"/>
              <w:rPr>
                <w:rFonts w:ascii="Calibri" w:hAnsi="Calibri"/>
                <w:noProof/>
              </w:rPr>
            </w:pPr>
            <w:r>
              <w:rPr>
                <w:noProof/>
              </w:rPr>
              <w:t>193</w:t>
            </w:r>
          </w:p>
        </w:tc>
        <w:tc>
          <w:tcPr>
            <w:tcW w:w="3543" w:type="dxa"/>
            <w:shd w:val="clear" w:color="auto" w:fill="C6EFCE"/>
            <w:tcMar>
              <w:left w:w="108" w:type="dxa"/>
              <w:right w:w="108" w:type="dxa"/>
            </w:tcMar>
          </w:tcPr>
          <w:p w14:paraId="315E5612" w14:textId="77777777" w:rsidR="008E6885" w:rsidRDefault="00EA24E7">
            <w:pPr>
              <w:pStyle w:val="P68B1DB1-Normal46"/>
              <w:spacing w:after="0"/>
              <w:rPr>
                <w:rFonts w:ascii="Calibri" w:hAnsi="Calibri"/>
                <w:noProof/>
              </w:rPr>
            </w:pPr>
            <w:r>
              <w:rPr>
                <w:noProof/>
              </w:rPr>
              <w:t xml:space="preserve">6.2.1.3.i. Création d'un centre de formation </w:t>
            </w:r>
          </w:p>
        </w:tc>
        <w:tc>
          <w:tcPr>
            <w:tcW w:w="1560" w:type="dxa"/>
            <w:shd w:val="clear" w:color="auto" w:fill="C6EFCE"/>
            <w:tcMar>
              <w:left w:w="108" w:type="dxa"/>
              <w:right w:w="108" w:type="dxa"/>
            </w:tcMar>
          </w:tcPr>
          <w:p w14:paraId="0B18CC54" w14:textId="77777777" w:rsidR="008E6885" w:rsidRDefault="00EA24E7">
            <w:pPr>
              <w:pStyle w:val="P68B1DB1-Normal45"/>
              <w:spacing w:after="0"/>
              <w:jc w:val="center"/>
              <w:rPr>
                <w:rFonts w:ascii="Calibri" w:hAnsi="Calibri"/>
                <w:noProof/>
              </w:rPr>
            </w:pPr>
            <w:r>
              <w:rPr>
                <w:noProof/>
              </w:rPr>
              <w:t>Objectif</w:t>
            </w:r>
          </w:p>
        </w:tc>
        <w:tc>
          <w:tcPr>
            <w:tcW w:w="2976" w:type="dxa"/>
            <w:shd w:val="clear" w:color="auto" w:fill="C6EFCE"/>
            <w:tcMar>
              <w:left w:w="108" w:type="dxa"/>
              <w:right w:w="108" w:type="dxa"/>
            </w:tcMar>
          </w:tcPr>
          <w:p w14:paraId="5163798C" w14:textId="77777777" w:rsidR="008E6885" w:rsidRDefault="00EA24E7">
            <w:pPr>
              <w:pStyle w:val="P68B1DB1-Normal45"/>
              <w:spacing w:after="0"/>
              <w:jc w:val="both"/>
              <w:rPr>
                <w:rFonts w:ascii="Calibri" w:hAnsi="Calibri"/>
                <w:noProof/>
              </w:rPr>
            </w:pPr>
            <w:r>
              <w:rPr>
                <w:noProof/>
              </w:rPr>
              <w:t xml:space="preserve">Nouveaux programmes de formation </w:t>
            </w:r>
          </w:p>
        </w:tc>
      </w:tr>
      <w:tr w:rsidR="008E6885" w14:paraId="491CE6C5" w14:textId="77777777">
        <w:trPr>
          <w:trHeight w:val="300"/>
        </w:trPr>
        <w:tc>
          <w:tcPr>
            <w:tcW w:w="1550" w:type="dxa"/>
            <w:shd w:val="clear" w:color="auto" w:fill="C6EFCE"/>
            <w:tcMar>
              <w:left w:w="108" w:type="dxa"/>
              <w:right w:w="108" w:type="dxa"/>
            </w:tcMar>
            <w:vAlign w:val="center"/>
          </w:tcPr>
          <w:p w14:paraId="1B781CC5" w14:textId="77777777" w:rsidR="008E6885" w:rsidRDefault="00EA24E7">
            <w:pPr>
              <w:pStyle w:val="P68B1DB1-Normal45"/>
              <w:spacing w:after="0"/>
              <w:jc w:val="center"/>
              <w:rPr>
                <w:rFonts w:ascii="Calibri" w:hAnsi="Calibri"/>
                <w:noProof/>
              </w:rPr>
            </w:pPr>
            <w:r>
              <w:rPr>
                <w:noProof/>
              </w:rPr>
              <w:t>195</w:t>
            </w:r>
          </w:p>
        </w:tc>
        <w:tc>
          <w:tcPr>
            <w:tcW w:w="3543" w:type="dxa"/>
            <w:shd w:val="clear" w:color="auto" w:fill="C6EFCE"/>
            <w:tcMar>
              <w:left w:w="108" w:type="dxa"/>
              <w:right w:w="108" w:type="dxa"/>
            </w:tcMar>
          </w:tcPr>
          <w:p w14:paraId="69F46EA1" w14:textId="77777777" w:rsidR="008E6885" w:rsidRDefault="00EA24E7">
            <w:pPr>
              <w:pStyle w:val="P68B1DB1-Normal46"/>
              <w:spacing w:after="0"/>
              <w:rPr>
                <w:rFonts w:ascii="Calibri" w:hAnsi="Calibri"/>
                <w:noProof/>
              </w:rPr>
            </w:pPr>
            <w:r>
              <w:rPr>
                <w:noProof/>
              </w:rPr>
              <w:t xml:space="preserve">6.2.1.3.i. Création d'un centre de formation </w:t>
            </w:r>
          </w:p>
        </w:tc>
        <w:tc>
          <w:tcPr>
            <w:tcW w:w="1560" w:type="dxa"/>
            <w:shd w:val="clear" w:color="auto" w:fill="C6EFCE"/>
            <w:tcMar>
              <w:left w:w="108" w:type="dxa"/>
              <w:right w:w="108" w:type="dxa"/>
            </w:tcMar>
          </w:tcPr>
          <w:p w14:paraId="6145181D" w14:textId="77777777" w:rsidR="008E6885" w:rsidRDefault="00EA24E7">
            <w:pPr>
              <w:pStyle w:val="P68B1DB1-Normal45"/>
              <w:spacing w:after="0"/>
              <w:jc w:val="center"/>
              <w:rPr>
                <w:rFonts w:ascii="Calibri" w:hAnsi="Calibri"/>
                <w:noProof/>
              </w:rPr>
            </w:pPr>
            <w:r>
              <w:rPr>
                <w:noProof/>
              </w:rPr>
              <w:t>Étape</w:t>
            </w:r>
          </w:p>
        </w:tc>
        <w:tc>
          <w:tcPr>
            <w:tcW w:w="2976" w:type="dxa"/>
            <w:shd w:val="clear" w:color="auto" w:fill="C6EFCE"/>
            <w:tcMar>
              <w:left w:w="108" w:type="dxa"/>
              <w:right w:w="108" w:type="dxa"/>
            </w:tcMar>
          </w:tcPr>
          <w:p w14:paraId="32BAF384" w14:textId="77777777" w:rsidR="008E6885" w:rsidRDefault="00EA24E7">
            <w:pPr>
              <w:pStyle w:val="P68B1DB1-Normal46"/>
              <w:spacing w:after="0"/>
              <w:jc w:val="both"/>
              <w:rPr>
                <w:rFonts w:ascii="Calibri" w:hAnsi="Calibri"/>
                <w:noProof/>
              </w:rPr>
            </w:pPr>
            <w:r>
              <w:rPr>
                <w:noProof/>
              </w:rPr>
              <w:t>Centre de formation rénové et équipé</w:t>
            </w:r>
          </w:p>
        </w:tc>
      </w:tr>
      <w:tr w:rsidR="008E6885" w14:paraId="46D2523F" w14:textId="77777777">
        <w:trPr>
          <w:trHeight w:val="300"/>
        </w:trPr>
        <w:tc>
          <w:tcPr>
            <w:tcW w:w="1550" w:type="dxa"/>
            <w:shd w:val="clear" w:color="auto" w:fill="C6EFCE"/>
            <w:tcMar>
              <w:left w:w="108" w:type="dxa"/>
              <w:right w:w="108" w:type="dxa"/>
            </w:tcMar>
            <w:vAlign w:val="center"/>
          </w:tcPr>
          <w:p w14:paraId="74CDE8E8" w14:textId="77777777" w:rsidR="008E6885" w:rsidRDefault="00EA24E7">
            <w:pPr>
              <w:pStyle w:val="P68B1DB1-Normal45"/>
              <w:spacing w:after="0"/>
              <w:jc w:val="center"/>
              <w:rPr>
                <w:noProof/>
              </w:rPr>
            </w:pPr>
            <w:r>
              <w:rPr>
                <w:noProof/>
              </w:rPr>
              <w:t>203</w:t>
            </w:r>
          </w:p>
        </w:tc>
        <w:tc>
          <w:tcPr>
            <w:tcW w:w="3543" w:type="dxa"/>
            <w:shd w:val="clear" w:color="auto" w:fill="C6EFCE"/>
            <w:tcMar>
              <w:left w:w="108" w:type="dxa"/>
              <w:right w:w="108" w:type="dxa"/>
            </w:tcMar>
          </w:tcPr>
          <w:p w14:paraId="1A6D0837" w14:textId="77777777" w:rsidR="008E6885" w:rsidRDefault="00EA24E7">
            <w:pPr>
              <w:pStyle w:val="P68B1DB1-Normal46"/>
              <w:spacing w:after="0"/>
              <w:rPr>
                <w:noProof/>
                <w:color w:val="000000"/>
              </w:rPr>
            </w:pPr>
            <w:r>
              <w:rPr>
                <w:noProof/>
              </w:rPr>
              <w:t>6.3.1.2.i. Administration publique professionnelle, ouverte et responsable</w:t>
            </w:r>
            <w:r>
              <w:rPr>
                <w:b/>
                <w:noProof/>
                <w:sz w:val="20"/>
              </w:rPr>
              <w:t xml:space="preserve"> </w:t>
            </w:r>
          </w:p>
        </w:tc>
        <w:tc>
          <w:tcPr>
            <w:tcW w:w="1560" w:type="dxa"/>
            <w:shd w:val="clear" w:color="auto" w:fill="C6EFCE"/>
            <w:tcMar>
              <w:left w:w="108" w:type="dxa"/>
              <w:right w:w="108" w:type="dxa"/>
            </w:tcMar>
          </w:tcPr>
          <w:p w14:paraId="63E0EA3D" w14:textId="77777777" w:rsidR="008E6885" w:rsidRDefault="00EA24E7">
            <w:pPr>
              <w:pStyle w:val="P68B1DB1-Normal45"/>
              <w:spacing w:after="0"/>
              <w:jc w:val="center"/>
              <w:rPr>
                <w:noProof/>
              </w:rPr>
            </w:pPr>
            <w:r>
              <w:rPr>
                <w:noProof/>
              </w:rPr>
              <w:t>Objectif</w:t>
            </w:r>
          </w:p>
        </w:tc>
        <w:tc>
          <w:tcPr>
            <w:tcW w:w="2976" w:type="dxa"/>
            <w:shd w:val="clear" w:color="auto" w:fill="C6EFCE"/>
            <w:tcMar>
              <w:left w:w="108" w:type="dxa"/>
              <w:right w:w="108" w:type="dxa"/>
            </w:tcMar>
          </w:tcPr>
          <w:p w14:paraId="46871235" w14:textId="77777777" w:rsidR="008E6885" w:rsidRDefault="00EA24E7">
            <w:pPr>
              <w:pStyle w:val="P68B1DB1-Normal46"/>
              <w:spacing w:after="0"/>
              <w:jc w:val="both"/>
              <w:rPr>
                <w:noProof/>
                <w:color w:val="000000"/>
              </w:rPr>
            </w:pPr>
            <w:r>
              <w:rPr>
                <w:noProof/>
              </w:rPr>
              <w:t xml:space="preserve">Formations suivies </w:t>
            </w:r>
          </w:p>
        </w:tc>
      </w:tr>
      <w:tr w:rsidR="008E6885" w14:paraId="13B46DC8" w14:textId="77777777">
        <w:trPr>
          <w:trHeight w:val="300"/>
        </w:trPr>
        <w:tc>
          <w:tcPr>
            <w:tcW w:w="1550" w:type="dxa"/>
            <w:shd w:val="clear" w:color="auto" w:fill="C6EFCE"/>
            <w:tcMar>
              <w:left w:w="108" w:type="dxa"/>
              <w:right w:w="108" w:type="dxa"/>
            </w:tcMar>
            <w:vAlign w:val="center"/>
          </w:tcPr>
          <w:p w14:paraId="0DAA104F" w14:textId="77777777" w:rsidR="008E6885" w:rsidRDefault="00EA24E7">
            <w:pPr>
              <w:pStyle w:val="P68B1DB1-Normal45"/>
              <w:spacing w:after="0"/>
              <w:jc w:val="center"/>
              <w:rPr>
                <w:rFonts w:ascii="Calibri" w:hAnsi="Calibri"/>
                <w:noProof/>
              </w:rPr>
            </w:pPr>
            <w:r>
              <w:rPr>
                <w:noProof/>
              </w:rPr>
              <w:t>204</w:t>
            </w:r>
          </w:p>
        </w:tc>
        <w:tc>
          <w:tcPr>
            <w:tcW w:w="3543" w:type="dxa"/>
            <w:shd w:val="clear" w:color="auto" w:fill="C6EFCE"/>
            <w:tcMar>
              <w:left w:w="108" w:type="dxa"/>
              <w:right w:w="108" w:type="dxa"/>
            </w:tcMar>
          </w:tcPr>
          <w:p w14:paraId="50405CDF" w14:textId="77777777" w:rsidR="008E6885" w:rsidRDefault="00EA24E7">
            <w:pPr>
              <w:pStyle w:val="P68B1DB1-Normal45"/>
              <w:spacing w:after="0"/>
              <w:rPr>
                <w:rFonts w:ascii="Calibri" w:hAnsi="Calibri"/>
                <w:noProof/>
              </w:rPr>
            </w:pPr>
            <w:r>
              <w:rPr>
                <w:noProof/>
              </w:rPr>
              <w:t xml:space="preserve">6.3.1.3.i. Développement de l'écosystème d'innovation de l'administration publique </w:t>
            </w:r>
          </w:p>
        </w:tc>
        <w:tc>
          <w:tcPr>
            <w:tcW w:w="1560" w:type="dxa"/>
            <w:shd w:val="clear" w:color="auto" w:fill="C6EFCE"/>
            <w:tcMar>
              <w:left w:w="108" w:type="dxa"/>
              <w:right w:w="108" w:type="dxa"/>
            </w:tcMar>
          </w:tcPr>
          <w:p w14:paraId="5037BD5D" w14:textId="77777777" w:rsidR="008E6885" w:rsidRDefault="00EA24E7">
            <w:pPr>
              <w:pStyle w:val="P68B1DB1-Normal45"/>
              <w:spacing w:after="0"/>
              <w:jc w:val="center"/>
              <w:rPr>
                <w:rFonts w:ascii="Calibri" w:hAnsi="Calibri"/>
                <w:noProof/>
              </w:rPr>
            </w:pPr>
            <w:r>
              <w:rPr>
                <w:noProof/>
              </w:rPr>
              <w:t>Étape</w:t>
            </w:r>
          </w:p>
        </w:tc>
        <w:tc>
          <w:tcPr>
            <w:tcW w:w="2976" w:type="dxa"/>
            <w:shd w:val="clear" w:color="auto" w:fill="C6EFCE"/>
            <w:tcMar>
              <w:left w:w="108" w:type="dxa"/>
              <w:right w:w="108" w:type="dxa"/>
            </w:tcMar>
          </w:tcPr>
          <w:p w14:paraId="05687746" w14:textId="77777777" w:rsidR="008E6885" w:rsidRDefault="00EA24E7">
            <w:pPr>
              <w:pStyle w:val="P68B1DB1-Normal46"/>
              <w:spacing w:after="0"/>
              <w:jc w:val="both"/>
              <w:rPr>
                <w:rFonts w:ascii="Calibri" w:hAnsi="Calibri"/>
                <w:noProof/>
              </w:rPr>
            </w:pPr>
            <w:r>
              <w:rPr>
                <w:noProof/>
              </w:rPr>
              <w:t>Laboratoire d'innovation</w:t>
            </w:r>
          </w:p>
        </w:tc>
      </w:tr>
      <w:tr w:rsidR="008E6885" w14:paraId="6C4EC372" w14:textId="77777777">
        <w:trPr>
          <w:trHeight w:val="300"/>
        </w:trPr>
        <w:tc>
          <w:tcPr>
            <w:tcW w:w="1550" w:type="dxa"/>
            <w:shd w:val="clear" w:color="auto" w:fill="C6EFCE"/>
            <w:tcMar>
              <w:left w:w="108" w:type="dxa"/>
              <w:right w:w="108" w:type="dxa"/>
            </w:tcMar>
            <w:vAlign w:val="center"/>
          </w:tcPr>
          <w:p w14:paraId="0BE451B9" w14:textId="77777777" w:rsidR="008E6885" w:rsidRDefault="00EA24E7">
            <w:pPr>
              <w:spacing w:after="0"/>
              <w:jc w:val="center"/>
              <w:rPr>
                <w:rFonts w:ascii="Times New Roman" w:eastAsia="Calibri" w:hAnsi="Times New Roman" w:cs="Times New Roman"/>
                <w:noProof/>
                <w:color w:val="000000"/>
              </w:rPr>
            </w:pPr>
            <w:r>
              <w:rPr>
                <w:rStyle w:val="normaltextrun"/>
                <w:rFonts w:ascii="Times New Roman" w:hAnsi="Times New Roman" w:cs="Times New Roman" w:hint="eastAsia"/>
                <w:noProof/>
                <w:color w:val="000000"/>
              </w:rPr>
              <w:t>207 </w:t>
            </w:r>
          </w:p>
        </w:tc>
        <w:tc>
          <w:tcPr>
            <w:tcW w:w="3543" w:type="dxa"/>
            <w:shd w:val="clear" w:color="auto" w:fill="C6EFCE"/>
            <w:tcMar>
              <w:left w:w="108" w:type="dxa"/>
              <w:right w:w="108" w:type="dxa"/>
            </w:tcMar>
          </w:tcPr>
          <w:p w14:paraId="511FE54C" w14:textId="77777777" w:rsidR="008E6885" w:rsidRDefault="00EA24E7">
            <w:pPr>
              <w:spacing w:after="0"/>
              <w:rPr>
                <w:rFonts w:ascii="Times New Roman" w:eastAsia="Calibri" w:hAnsi="Times New Roman" w:cs="Times New Roman"/>
                <w:bCs/>
                <w:noProof/>
              </w:rPr>
            </w:pPr>
            <w:r>
              <w:rPr>
                <w:rStyle w:val="normaltextrun"/>
                <w:rFonts w:ascii="Times New Roman" w:hAnsi="Times New Roman" w:cs="Times New Roman" w:hint="eastAsia"/>
                <w:noProof/>
                <w:color w:val="000000"/>
              </w:rPr>
              <w:t>6.3.1.4.i. Croissance des organisations non gouvernementales pour renforcer la représentation de la sécurité sociale et surveiller les intérêts publics </w:t>
            </w:r>
          </w:p>
        </w:tc>
        <w:tc>
          <w:tcPr>
            <w:tcW w:w="1560" w:type="dxa"/>
            <w:shd w:val="clear" w:color="auto" w:fill="C6EFCE"/>
            <w:tcMar>
              <w:left w:w="108" w:type="dxa"/>
              <w:right w:w="108" w:type="dxa"/>
            </w:tcMar>
          </w:tcPr>
          <w:p w14:paraId="4FAC6C33" w14:textId="77777777" w:rsidR="008E6885" w:rsidRDefault="00EA24E7">
            <w:pPr>
              <w:spacing w:after="0"/>
              <w:jc w:val="center"/>
              <w:rPr>
                <w:rFonts w:ascii="Times New Roman" w:eastAsia="Calibri" w:hAnsi="Times New Roman" w:cs="Times New Roman"/>
                <w:noProof/>
                <w:color w:val="000000"/>
              </w:rPr>
            </w:pPr>
            <w:r>
              <w:rPr>
                <w:rStyle w:val="normaltextrun"/>
                <w:rFonts w:ascii="Times New Roman" w:hAnsi="Times New Roman" w:cs="Times New Roman"/>
                <w:noProof/>
                <w:color w:val="000000"/>
              </w:rPr>
              <w:t>Objectif</w:t>
            </w:r>
          </w:p>
        </w:tc>
        <w:tc>
          <w:tcPr>
            <w:tcW w:w="2976" w:type="dxa"/>
            <w:shd w:val="clear" w:color="auto" w:fill="C6EFCE"/>
            <w:tcMar>
              <w:left w:w="108" w:type="dxa"/>
              <w:right w:w="108" w:type="dxa"/>
            </w:tcMar>
          </w:tcPr>
          <w:p w14:paraId="24BFC755" w14:textId="40145526" w:rsidR="008E6885" w:rsidRDefault="00EA24E7">
            <w:pPr>
              <w:spacing w:after="0"/>
              <w:jc w:val="both"/>
              <w:rPr>
                <w:rFonts w:ascii="Times New Roman" w:eastAsia="Calibri" w:hAnsi="Times New Roman" w:cs="Times New Roman"/>
                <w:noProof/>
              </w:rPr>
            </w:pPr>
            <w:r>
              <w:rPr>
                <w:rStyle w:val="normaltextrun"/>
                <w:rFonts w:ascii="Times New Roman" w:hAnsi="Times New Roman" w:cs="Times New Roman"/>
                <w:noProof/>
                <w:color w:val="000000"/>
              </w:rPr>
              <w:t>Bénéficiaires du programme de soutien</w:t>
            </w:r>
          </w:p>
        </w:tc>
      </w:tr>
      <w:tr w:rsidR="008E6885" w14:paraId="786D168C" w14:textId="77777777">
        <w:trPr>
          <w:trHeight w:val="300"/>
        </w:trPr>
        <w:tc>
          <w:tcPr>
            <w:tcW w:w="1550" w:type="dxa"/>
            <w:shd w:val="clear" w:color="auto" w:fill="C6EFCE"/>
            <w:tcMar>
              <w:left w:w="108" w:type="dxa"/>
              <w:right w:w="108" w:type="dxa"/>
            </w:tcMar>
            <w:vAlign w:val="center"/>
          </w:tcPr>
          <w:p w14:paraId="24ACD5C4" w14:textId="77777777" w:rsidR="008E6885" w:rsidRDefault="00EA24E7">
            <w:pPr>
              <w:pStyle w:val="P68B1DB1-Normal45"/>
              <w:spacing w:after="0"/>
              <w:jc w:val="center"/>
              <w:rPr>
                <w:noProof/>
              </w:rPr>
            </w:pPr>
            <w:r>
              <w:rPr>
                <w:noProof/>
              </w:rPr>
              <w:t>212</w:t>
            </w:r>
          </w:p>
        </w:tc>
        <w:tc>
          <w:tcPr>
            <w:tcW w:w="3543" w:type="dxa"/>
            <w:shd w:val="clear" w:color="auto" w:fill="C6EFCE"/>
            <w:tcMar>
              <w:left w:w="108" w:type="dxa"/>
              <w:right w:w="108" w:type="dxa"/>
            </w:tcMar>
          </w:tcPr>
          <w:p w14:paraId="159182AB" w14:textId="77777777" w:rsidR="008E6885" w:rsidRDefault="00EA24E7">
            <w:pPr>
              <w:pStyle w:val="P68B1DB1-Normal45"/>
              <w:spacing w:after="0"/>
              <w:rPr>
                <w:noProof/>
              </w:rPr>
            </w:pPr>
            <w:r>
              <w:rPr>
                <w:noProof/>
              </w:rPr>
              <w:t xml:space="preserve">6.4.3.r. Élaboration et mise en œuvre d'une stratégie de professionnalisation </w:t>
            </w:r>
          </w:p>
        </w:tc>
        <w:tc>
          <w:tcPr>
            <w:tcW w:w="1560" w:type="dxa"/>
            <w:shd w:val="clear" w:color="auto" w:fill="C6EFCE"/>
            <w:tcMar>
              <w:left w:w="108" w:type="dxa"/>
              <w:right w:w="108" w:type="dxa"/>
            </w:tcMar>
          </w:tcPr>
          <w:p w14:paraId="0A4E9205" w14:textId="77777777" w:rsidR="008E6885" w:rsidRDefault="00EA24E7">
            <w:pPr>
              <w:pStyle w:val="P68B1DB1-Normal45"/>
              <w:spacing w:after="0"/>
              <w:jc w:val="center"/>
              <w:rPr>
                <w:noProof/>
              </w:rPr>
            </w:pPr>
            <w:r>
              <w:rPr>
                <w:noProof/>
              </w:rPr>
              <w:t>Étape</w:t>
            </w:r>
          </w:p>
        </w:tc>
        <w:tc>
          <w:tcPr>
            <w:tcW w:w="2976" w:type="dxa"/>
            <w:shd w:val="clear" w:color="auto" w:fill="C6EFCE"/>
            <w:tcMar>
              <w:left w:w="108" w:type="dxa"/>
              <w:right w:w="108" w:type="dxa"/>
            </w:tcMar>
          </w:tcPr>
          <w:p w14:paraId="034490A1" w14:textId="77777777" w:rsidR="008E6885" w:rsidRDefault="00EA24E7">
            <w:pPr>
              <w:pStyle w:val="P68B1DB1-Normal45"/>
              <w:spacing w:after="0"/>
              <w:rPr>
                <w:noProof/>
              </w:rPr>
            </w:pPr>
            <w:r>
              <w:rPr>
                <w:noProof/>
              </w:rPr>
              <w:t xml:space="preserve">Centralisation des achats </w:t>
            </w:r>
          </w:p>
        </w:tc>
      </w:tr>
      <w:tr w:rsidR="008E6885" w14:paraId="7EB50AAA" w14:textId="77777777">
        <w:trPr>
          <w:trHeight w:val="300"/>
        </w:trPr>
        <w:tc>
          <w:tcPr>
            <w:tcW w:w="1550" w:type="dxa"/>
            <w:shd w:val="clear" w:color="auto" w:fill="C6EFCE"/>
            <w:tcMar>
              <w:left w:w="108" w:type="dxa"/>
              <w:right w:w="108" w:type="dxa"/>
            </w:tcMar>
            <w:vAlign w:val="center"/>
          </w:tcPr>
          <w:p w14:paraId="0C07038F" w14:textId="77777777" w:rsidR="008E6885" w:rsidRDefault="00EA24E7">
            <w:pPr>
              <w:pStyle w:val="P68B1DB1-Normal45"/>
              <w:spacing w:after="0"/>
              <w:jc w:val="center"/>
              <w:rPr>
                <w:rFonts w:ascii="Calibri" w:hAnsi="Calibri"/>
                <w:noProof/>
              </w:rPr>
            </w:pPr>
            <w:r>
              <w:rPr>
                <w:noProof/>
              </w:rPr>
              <w:t>214</w:t>
            </w:r>
          </w:p>
        </w:tc>
        <w:tc>
          <w:tcPr>
            <w:tcW w:w="3543" w:type="dxa"/>
            <w:shd w:val="clear" w:color="auto" w:fill="C6EFCE"/>
            <w:tcMar>
              <w:left w:w="108" w:type="dxa"/>
              <w:right w:w="108" w:type="dxa"/>
            </w:tcMar>
          </w:tcPr>
          <w:p w14:paraId="04203163" w14:textId="77777777" w:rsidR="008E6885" w:rsidRDefault="00EA24E7">
            <w:pPr>
              <w:pStyle w:val="P68B1DB1-Normal45"/>
              <w:spacing w:after="0"/>
              <w:rPr>
                <w:rFonts w:ascii="Calibri" w:hAnsi="Calibri"/>
                <w:noProof/>
              </w:rPr>
            </w:pPr>
            <w:r>
              <w:rPr>
                <w:noProof/>
              </w:rPr>
              <w:t>6.4.4.r. Renforcement des capacités informatiques et analytiques de l'IUB</w:t>
            </w:r>
          </w:p>
        </w:tc>
        <w:tc>
          <w:tcPr>
            <w:tcW w:w="1560" w:type="dxa"/>
            <w:shd w:val="clear" w:color="auto" w:fill="C6EFCE"/>
            <w:tcMar>
              <w:left w:w="108" w:type="dxa"/>
              <w:right w:w="108" w:type="dxa"/>
            </w:tcMar>
          </w:tcPr>
          <w:p w14:paraId="62134B6D" w14:textId="77777777" w:rsidR="008E6885" w:rsidRDefault="00EA24E7">
            <w:pPr>
              <w:pStyle w:val="P68B1DB1-Normal45"/>
              <w:spacing w:after="0"/>
              <w:jc w:val="center"/>
              <w:rPr>
                <w:rFonts w:ascii="Calibri" w:hAnsi="Calibri"/>
                <w:noProof/>
              </w:rPr>
            </w:pPr>
            <w:r>
              <w:rPr>
                <w:noProof/>
              </w:rPr>
              <w:t>Étape</w:t>
            </w:r>
          </w:p>
        </w:tc>
        <w:tc>
          <w:tcPr>
            <w:tcW w:w="2976" w:type="dxa"/>
            <w:shd w:val="clear" w:color="auto" w:fill="C6EFCE"/>
            <w:tcMar>
              <w:left w:w="108" w:type="dxa"/>
              <w:right w:w="108" w:type="dxa"/>
            </w:tcMar>
          </w:tcPr>
          <w:p w14:paraId="194171BC" w14:textId="77777777" w:rsidR="008E6885" w:rsidRDefault="00EA24E7">
            <w:pPr>
              <w:pStyle w:val="P68B1DB1-Normal45"/>
              <w:spacing w:after="0"/>
              <w:jc w:val="both"/>
              <w:rPr>
                <w:rFonts w:ascii="Calibri" w:hAnsi="Calibri"/>
                <w:noProof/>
              </w:rPr>
            </w:pPr>
            <w:r>
              <w:rPr>
                <w:noProof/>
              </w:rPr>
              <w:t xml:space="preserve">Système de gestion des publications </w:t>
            </w:r>
          </w:p>
        </w:tc>
      </w:tr>
      <w:tr w:rsidR="008E6885" w14:paraId="1B71A07B" w14:textId="77777777">
        <w:trPr>
          <w:trHeight w:val="300"/>
        </w:trPr>
        <w:tc>
          <w:tcPr>
            <w:tcW w:w="1550" w:type="dxa"/>
            <w:shd w:val="clear" w:color="auto" w:fill="C6EFCE"/>
            <w:tcMar>
              <w:left w:w="108" w:type="dxa"/>
              <w:right w:w="108" w:type="dxa"/>
            </w:tcMar>
            <w:vAlign w:val="center"/>
          </w:tcPr>
          <w:p w14:paraId="02672601" w14:textId="77777777" w:rsidR="008E6885" w:rsidRDefault="00EA24E7">
            <w:pPr>
              <w:pStyle w:val="P68B1DB1-Normal45"/>
              <w:spacing w:after="0"/>
              <w:jc w:val="center"/>
              <w:rPr>
                <w:rFonts w:ascii="Calibri" w:hAnsi="Calibri"/>
                <w:noProof/>
              </w:rPr>
            </w:pPr>
            <w:r>
              <w:rPr>
                <w:noProof/>
              </w:rPr>
              <w:t>215</w:t>
            </w:r>
          </w:p>
        </w:tc>
        <w:tc>
          <w:tcPr>
            <w:tcW w:w="3543" w:type="dxa"/>
            <w:shd w:val="clear" w:color="auto" w:fill="C6EFCE"/>
            <w:tcMar>
              <w:left w:w="108" w:type="dxa"/>
              <w:right w:w="108" w:type="dxa"/>
            </w:tcMar>
          </w:tcPr>
          <w:p w14:paraId="4A29ACC9" w14:textId="77777777" w:rsidR="008E6885" w:rsidRDefault="00EA24E7">
            <w:pPr>
              <w:pStyle w:val="P68B1DB1-Normal45"/>
              <w:spacing w:after="0"/>
              <w:rPr>
                <w:rFonts w:ascii="Calibri" w:hAnsi="Calibri"/>
                <w:noProof/>
              </w:rPr>
            </w:pPr>
            <w:r>
              <w:rPr>
                <w:noProof/>
              </w:rPr>
              <w:t>7.1.r. Transformer le secteur énergétique national</w:t>
            </w:r>
          </w:p>
        </w:tc>
        <w:tc>
          <w:tcPr>
            <w:tcW w:w="1560" w:type="dxa"/>
            <w:shd w:val="clear" w:color="auto" w:fill="C6EFCE"/>
            <w:tcMar>
              <w:left w:w="108" w:type="dxa"/>
              <w:right w:w="108" w:type="dxa"/>
            </w:tcMar>
          </w:tcPr>
          <w:p w14:paraId="3BD66C3F" w14:textId="77777777" w:rsidR="008E6885" w:rsidRDefault="00EA24E7">
            <w:pPr>
              <w:pStyle w:val="P68B1DB1-Normal45"/>
              <w:spacing w:after="0"/>
              <w:jc w:val="center"/>
              <w:rPr>
                <w:rFonts w:ascii="Calibri" w:hAnsi="Calibri"/>
                <w:noProof/>
              </w:rPr>
            </w:pPr>
            <w:r>
              <w:rPr>
                <w:noProof/>
              </w:rPr>
              <w:t>Étape</w:t>
            </w:r>
          </w:p>
        </w:tc>
        <w:tc>
          <w:tcPr>
            <w:tcW w:w="2976" w:type="dxa"/>
            <w:shd w:val="clear" w:color="auto" w:fill="C6EFCE"/>
            <w:tcMar>
              <w:left w:w="108" w:type="dxa"/>
              <w:right w:w="108" w:type="dxa"/>
            </w:tcMar>
          </w:tcPr>
          <w:p w14:paraId="2C037379" w14:textId="77777777" w:rsidR="008E6885" w:rsidRDefault="00EA24E7">
            <w:pPr>
              <w:pStyle w:val="P68B1DB1-Normal45"/>
              <w:spacing w:after="0"/>
              <w:jc w:val="both"/>
              <w:rPr>
                <w:rFonts w:ascii="Calibri" w:hAnsi="Calibri"/>
                <w:noProof/>
              </w:rPr>
            </w:pPr>
            <w:r>
              <w:rPr>
                <w:noProof/>
              </w:rPr>
              <w:t>Actes juridiques établissant un cadre pour l’enregistrement et l’exploitation des communautés énergétiques</w:t>
            </w:r>
          </w:p>
        </w:tc>
      </w:tr>
      <w:tr w:rsidR="008E6885" w14:paraId="6AB5D2C1" w14:textId="77777777">
        <w:trPr>
          <w:trHeight w:val="300"/>
        </w:trPr>
        <w:tc>
          <w:tcPr>
            <w:tcW w:w="1550" w:type="dxa"/>
            <w:shd w:val="clear" w:color="auto" w:fill="C6EFCE"/>
            <w:tcMar>
              <w:left w:w="108" w:type="dxa"/>
              <w:right w:w="108" w:type="dxa"/>
            </w:tcMar>
            <w:vAlign w:val="center"/>
          </w:tcPr>
          <w:p w14:paraId="71265903" w14:textId="77777777" w:rsidR="008E6885" w:rsidRDefault="00EA24E7">
            <w:pPr>
              <w:pStyle w:val="P68B1DB1-Normal45"/>
              <w:spacing w:after="0"/>
              <w:jc w:val="center"/>
              <w:rPr>
                <w:rFonts w:ascii="Calibri" w:hAnsi="Calibri"/>
                <w:noProof/>
              </w:rPr>
            </w:pPr>
            <w:r>
              <w:rPr>
                <w:noProof/>
              </w:rPr>
              <w:t>216</w:t>
            </w:r>
          </w:p>
        </w:tc>
        <w:tc>
          <w:tcPr>
            <w:tcW w:w="3543" w:type="dxa"/>
            <w:shd w:val="clear" w:color="auto" w:fill="C6EFCE"/>
            <w:tcMar>
              <w:left w:w="108" w:type="dxa"/>
              <w:right w:w="108" w:type="dxa"/>
            </w:tcMar>
          </w:tcPr>
          <w:p w14:paraId="6731A91F" w14:textId="77777777" w:rsidR="008E6885" w:rsidRDefault="00EA24E7">
            <w:pPr>
              <w:pStyle w:val="P68B1DB1-Normal45"/>
              <w:spacing w:after="0"/>
              <w:rPr>
                <w:rFonts w:ascii="Calibri" w:hAnsi="Calibri"/>
                <w:noProof/>
              </w:rPr>
            </w:pPr>
            <w:r>
              <w:rPr>
                <w:noProof/>
              </w:rPr>
              <w:t>7.1.r. Transformer le secteur énergétique national</w:t>
            </w:r>
          </w:p>
        </w:tc>
        <w:tc>
          <w:tcPr>
            <w:tcW w:w="1560" w:type="dxa"/>
            <w:shd w:val="clear" w:color="auto" w:fill="C6EFCE"/>
            <w:tcMar>
              <w:left w:w="108" w:type="dxa"/>
              <w:right w:w="108" w:type="dxa"/>
            </w:tcMar>
          </w:tcPr>
          <w:p w14:paraId="7731ECCA" w14:textId="77777777" w:rsidR="008E6885" w:rsidRDefault="00EA24E7">
            <w:pPr>
              <w:pStyle w:val="P68B1DB1-Normal45"/>
              <w:spacing w:after="0"/>
              <w:jc w:val="center"/>
              <w:rPr>
                <w:rFonts w:ascii="Calibri" w:hAnsi="Calibri"/>
                <w:noProof/>
              </w:rPr>
            </w:pPr>
            <w:r>
              <w:rPr>
                <w:noProof/>
              </w:rPr>
              <w:t>Étape</w:t>
            </w:r>
          </w:p>
        </w:tc>
        <w:tc>
          <w:tcPr>
            <w:tcW w:w="2976" w:type="dxa"/>
            <w:shd w:val="clear" w:color="auto" w:fill="C6EFCE"/>
            <w:tcMar>
              <w:left w:w="108" w:type="dxa"/>
              <w:right w:w="108" w:type="dxa"/>
            </w:tcMar>
            <w:vAlign w:val="center"/>
          </w:tcPr>
          <w:p w14:paraId="5155FC1D" w14:textId="77777777" w:rsidR="008E6885" w:rsidRDefault="00EA24E7">
            <w:pPr>
              <w:pStyle w:val="P68B1DB1-Normal45"/>
              <w:spacing w:after="0"/>
              <w:jc w:val="both"/>
              <w:rPr>
                <w:rFonts w:ascii="Calibri" w:hAnsi="Calibri"/>
                <w:noProof/>
              </w:rPr>
            </w:pPr>
            <w:r>
              <w:rPr>
                <w:noProof/>
              </w:rPr>
              <w:t>Législation modifiant les normes relatives au commerce et à la consommation d'électricité</w:t>
            </w:r>
          </w:p>
        </w:tc>
      </w:tr>
      <w:tr w:rsidR="008E6885" w14:paraId="5152CA6E" w14:textId="77777777">
        <w:trPr>
          <w:trHeight w:val="300"/>
        </w:trPr>
        <w:tc>
          <w:tcPr>
            <w:tcW w:w="1550" w:type="dxa"/>
            <w:shd w:val="clear" w:color="auto" w:fill="C6EFCE"/>
            <w:tcMar>
              <w:left w:w="108" w:type="dxa"/>
              <w:right w:w="108" w:type="dxa"/>
            </w:tcMar>
            <w:vAlign w:val="center"/>
          </w:tcPr>
          <w:p w14:paraId="5C63175E" w14:textId="77777777" w:rsidR="008E6885" w:rsidRDefault="00EA24E7">
            <w:pPr>
              <w:pStyle w:val="P68B1DB1-Normal45"/>
              <w:spacing w:after="0"/>
              <w:jc w:val="center"/>
              <w:rPr>
                <w:noProof/>
                <w:color w:val="000000" w:themeColor="text1"/>
              </w:rPr>
            </w:pPr>
            <w:r>
              <w:rPr>
                <w:noProof/>
              </w:rPr>
              <w:t>217</w:t>
            </w:r>
          </w:p>
        </w:tc>
        <w:tc>
          <w:tcPr>
            <w:tcW w:w="3543" w:type="dxa"/>
            <w:shd w:val="clear" w:color="auto" w:fill="C6EFCE"/>
            <w:tcMar>
              <w:left w:w="108" w:type="dxa"/>
              <w:right w:w="108" w:type="dxa"/>
            </w:tcMar>
          </w:tcPr>
          <w:p w14:paraId="60846882" w14:textId="77777777" w:rsidR="008E6885" w:rsidRDefault="00EA24E7">
            <w:pPr>
              <w:pStyle w:val="P68B1DB1-Normal45"/>
              <w:spacing w:after="0"/>
              <w:rPr>
                <w:noProof/>
                <w:color w:val="000000" w:themeColor="text1"/>
              </w:rPr>
            </w:pPr>
            <w:r>
              <w:rPr>
                <w:noProof/>
              </w:rPr>
              <w:t>7.1.r. Transformer le secteur énergétique national</w:t>
            </w:r>
          </w:p>
        </w:tc>
        <w:tc>
          <w:tcPr>
            <w:tcW w:w="1560" w:type="dxa"/>
            <w:shd w:val="clear" w:color="auto" w:fill="C6EFCE"/>
            <w:tcMar>
              <w:left w:w="108" w:type="dxa"/>
              <w:right w:w="108" w:type="dxa"/>
            </w:tcMar>
          </w:tcPr>
          <w:p w14:paraId="52AA2AA0" w14:textId="77777777" w:rsidR="008E6885" w:rsidRDefault="00EA24E7">
            <w:pPr>
              <w:pStyle w:val="P68B1DB1-Normal45"/>
              <w:spacing w:after="0"/>
              <w:jc w:val="center"/>
              <w:rPr>
                <w:noProof/>
                <w:color w:val="000000" w:themeColor="text1"/>
              </w:rPr>
            </w:pPr>
            <w:r>
              <w:rPr>
                <w:noProof/>
              </w:rPr>
              <w:t>Étape</w:t>
            </w:r>
          </w:p>
        </w:tc>
        <w:tc>
          <w:tcPr>
            <w:tcW w:w="2976" w:type="dxa"/>
            <w:shd w:val="clear" w:color="auto" w:fill="C6EFCE"/>
            <w:tcMar>
              <w:left w:w="108" w:type="dxa"/>
              <w:right w:w="108" w:type="dxa"/>
            </w:tcMar>
            <w:vAlign w:val="center"/>
          </w:tcPr>
          <w:p w14:paraId="65322F70" w14:textId="77777777" w:rsidR="008E6885" w:rsidRDefault="00EA24E7">
            <w:pPr>
              <w:pStyle w:val="P68B1DB1-Normal45"/>
              <w:spacing w:after="0"/>
              <w:jc w:val="both"/>
              <w:rPr>
                <w:noProof/>
                <w:color w:val="000000" w:themeColor="text1"/>
              </w:rPr>
            </w:pPr>
            <w:r>
              <w:rPr>
                <w:noProof/>
              </w:rPr>
              <w:t>Législation sur l'optimisation du réseau électrique</w:t>
            </w:r>
          </w:p>
        </w:tc>
      </w:tr>
      <w:tr w:rsidR="008E6885" w14:paraId="74721D61" w14:textId="77777777">
        <w:trPr>
          <w:trHeight w:val="300"/>
        </w:trPr>
        <w:tc>
          <w:tcPr>
            <w:tcW w:w="1550" w:type="dxa"/>
            <w:shd w:val="clear" w:color="auto" w:fill="C6EFCE"/>
            <w:tcMar>
              <w:left w:w="108" w:type="dxa"/>
              <w:right w:w="108" w:type="dxa"/>
            </w:tcMar>
            <w:vAlign w:val="center"/>
          </w:tcPr>
          <w:p w14:paraId="702CC9A1" w14:textId="77777777" w:rsidR="008E6885" w:rsidRDefault="00EA24E7">
            <w:pPr>
              <w:pStyle w:val="P68B1DB1-Normal45"/>
              <w:spacing w:after="0"/>
              <w:jc w:val="center"/>
              <w:rPr>
                <w:rFonts w:ascii="Calibri" w:hAnsi="Calibri"/>
                <w:noProof/>
              </w:rPr>
            </w:pPr>
            <w:r>
              <w:rPr>
                <w:noProof/>
              </w:rPr>
              <w:t xml:space="preserve"> </w:t>
            </w:r>
          </w:p>
        </w:tc>
        <w:tc>
          <w:tcPr>
            <w:tcW w:w="3543" w:type="dxa"/>
            <w:shd w:val="clear" w:color="auto" w:fill="C6EFCE"/>
            <w:tcMar>
              <w:left w:w="108" w:type="dxa"/>
              <w:right w:w="108" w:type="dxa"/>
            </w:tcMar>
            <w:vAlign w:val="center"/>
          </w:tcPr>
          <w:p w14:paraId="0140265E" w14:textId="77777777" w:rsidR="008E6885" w:rsidRDefault="00EA24E7">
            <w:pPr>
              <w:pStyle w:val="P68B1DB1-Normal45"/>
              <w:spacing w:after="0"/>
              <w:rPr>
                <w:rFonts w:ascii="Calibri" w:hAnsi="Calibri"/>
                <w:noProof/>
              </w:rPr>
            </w:pPr>
            <w:r>
              <w:rPr>
                <w:noProof/>
              </w:rPr>
              <w:t xml:space="preserve"> </w:t>
            </w:r>
          </w:p>
        </w:tc>
        <w:tc>
          <w:tcPr>
            <w:tcW w:w="1560" w:type="dxa"/>
            <w:shd w:val="clear" w:color="auto" w:fill="C6EFCE"/>
            <w:tcMar>
              <w:left w:w="108" w:type="dxa"/>
              <w:right w:w="108" w:type="dxa"/>
            </w:tcMar>
          </w:tcPr>
          <w:p w14:paraId="150CA7D0" w14:textId="77777777" w:rsidR="008E6885" w:rsidRDefault="00EA24E7">
            <w:pPr>
              <w:pStyle w:val="P68B1DB1-Normal45"/>
              <w:spacing w:after="0"/>
              <w:jc w:val="center"/>
              <w:rPr>
                <w:rFonts w:ascii="Calibri" w:hAnsi="Calibri"/>
                <w:noProof/>
              </w:rPr>
            </w:pPr>
            <w:r>
              <w:rPr>
                <w:noProof/>
              </w:rPr>
              <w:t>Montant des acomptes provisionnels</w:t>
            </w:r>
          </w:p>
        </w:tc>
        <w:tc>
          <w:tcPr>
            <w:tcW w:w="2976" w:type="dxa"/>
            <w:shd w:val="clear" w:color="auto" w:fill="C6EFCE"/>
            <w:tcMar>
              <w:left w:w="108" w:type="dxa"/>
              <w:right w:w="108" w:type="dxa"/>
            </w:tcMar>
            <w:vAlign w:val="center"/>
          </w:tcPr>
          <w:p w14:paraId="218E8ADE" w14:textId="77777777" w:rsidR="008E6885" w:rsidRDefault="00EA24E7">
            <w:pPr>
              <w:spacing w:after="0"/>
              <w:jc w:val="both"/>
              <w:rPr>
                <w:rFonts w:ascii="Times New Roman" w:eastAsia="Times New Roman" w:hAnsi="Times New Roman" w:cs="Times New Roman"/>
                <w:noProof/>
                <w:color w:val="000000"/>
              </w:rPr>
            </w:pPr>
            <w:r>
              <w:rPr>
                <w:rFonts w:ascii="Times New Roman" w:hAnsi="Times New Roman"/>
                <w:noProof/>
                <w:sz w:val="20"/>
              </w:rPr>
              <w:t> </w:t>
            </w:r>
            <w:r>
              <w:rPr>
                <w:rFonts w:ascii="Times New Roman" w:eastAsia="Calibri" w:hAnsi="Times New Roman" w:cs="Arial"/>
                <w:noProof/>
                <w:color w:val="000000"/>
              </w:rPr>
              <w:t>428</w:t>
            </w:r>
            <w:r>
              <w:rPr>
                <w:rFonts w:ascii="Times New Roman" w:hAnsi="Times New Roman"/>
                <w:noProof/>
                <w:sz w:val="20"/>
              </w:rPr>
              <w:t> </w:t>
            </w:r>
            <w:r>
              <w:rPr>
                <w:rFonts w:ascii="Times New Roman" w:eastAsia="Calibri" w:hAnsi="Times New Roman" w:cs="Arial"/>
                <w:noProof/>
                <w:color w:val="000000"/>
              </w:rPr>
              <w:t>996</w:t>
            </w:r>
            <w:r>
              <w:rPr>
                <w:rFonts w:ascii="Times New Roman" w:hAnsi="Times New Roman"/>
                <w:noProof/>
                <w:sz w:val="20"/>
              </w:rPr>
              <w:t> </w:t>
            </w:r>
            <w:r>
              <w:rPr>
                <w:rFonts w:ascii="Times New Roman" w:eastAsia="Calibri" w:hAnsi="Times New Roman" w:cs="Arial"/>
                <w:noProof/>
                <w:color w:val="000000"/>
              </w:rPr>
              <w:t>309 EUR</w:t>
            </w:r>
          </w:p>
        </w:tc>
      </w:tr>
    </w:tbl>
    <w:p w14:paraId="58DE19AC" w14:textId="77777777" w:rsidR="008E6885" w:rsidRDefault="008E6885">
      <w:pPr>
        <w:spacing w:after="0" w:line="257" w:lineRule="auto"/>
        <w:ind w:left="567" w:hanging="567"/>
        <w:contextualSpacing/>
        <w:jc w:val="both"/>
        <w:rPr>
          <w:rFonts w:ascii="Times New Roman" w:eastAsia="Times New Roman" w:hAnsi="Times New Roman" w:cs="Times New Roman"/>
          <w:noProof/>
        </w:rPr>
      </w:pPr>
    </w:p>
    <w:p w14:paraId="5B8BAE47" w14:textId="77777777" w:rsidR="008E6885" w:rsidRDefault="00EA24E7">
      <w:pPr>
        <w:pStyle w:val="P68B1DB1-Normal46"/>
        <w:numPr>
          <w:ilvl w:val="1"/>
          <w:numId w:val="11"/>
        </w:numPr>
        <w:spacing w:after="0" w:line="257" w:lineRule="auto"/>
        <w:ind w:left="567" w:hanging="567"/>
        <w:contextualSpacing/>
        <w:jc w:val="both"/>
        <w:rPr>
          <w:rFonts w:eastAsia="Times New Roman" w:cs="Times New Roman"/>
          <w:noProof/>
        </w:rPr>
      </w:pPr>
      <w:r>
        <w:rPr>
          <w:noProof/>
        </w:rPr>
        <w:t>Cinquième tranche (soutien non remboursable):</w:t>
      </w:r>
    </w:p>
    <w:p w14:paraId="18A9CEFC" w14:textId="77777777" w:rsidR="008E6885" w:rsidRDefault="008E6885">
      <w:pPr>
        <w:spacing w:after="0" w:line="257" w:lineRule="auto"/>
        <w:ind w:left="567" w:hanging="567"/>
        <w:contextualSpacing/>
        <w:jc w:val="both"/>
        <w:rPr>
          <w:rFonts w:ascii="Times New Roman" w:eastAsia="Times New Roman" w:hAnsi="Times New Roman" w:cs="Times New Roman"/>
          <w:noProof/>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2"/>
        <w:gridCol w:w="3655"/>
        <w:gridCol w:w="1433"/>
        <w:gridCol w:w="3019"/>
      </w:tblGrid>
      <w:tr w:rsidR="008E6885" w14:paraId="464B9ED5" w14:textId="77777777">
        <w:trPr>
          <w:trHeight w:val="300"/>
          <w:tblHeader/>
        </w:trPr>
        <w:tc>
          <w:tcPr>
            <w:tcW w:w="1522" w:type="dxa"/>
            <w:shd w:val="clear" w:color="auto" w:fill="BDD7EE"/>
            <w:tcMar>
              <w:left w:w="108" w:type="dxa"/>
              <w:right w:w="108" w:type="dxa"/>
            </w:tcMar>
            <w:vAlign w:val="center"/>
          </w:tcPr>
          <w:p w14:paraId="45765052" w14:textId="77777777" w:rsidR="008E6885" w:rsidRDefault="00EA24E7">
            <w:pPr>
              <w:pStyle w:val="P68B1DB1-Normal44"/>
              <w:spacing w:after="0"/>
              <w:jc w:val="center"/>
              <w:rPr>
                <w:rFonts w:ascii="Calibri" w:hAnsi="Calibri"/>
                <w:noProof/>
              </w:rPr>
            </w:pPr>
            <w:r>
              <w:rPr>
                <w:noProof/>
              </w:rPr>
              <w:t>Numéro séquentiel</w:t>
            </w:r>
          </w:p>
        </w:tc>
        <w:tc>
          <w:tcPr>
            <w:tcW w:w="3655" w:type="dxa"/>
            <w:shd w:val="clear" w:color="auto" w:fill="BDD7EE"/>
            <w:tcMar>
              <w:left w:w="108" w:type="dxa"/>
              <w:right w:w="108" w:type="dxa"/>
            </w:tcMar>
            <w:vAlign w:val="center"/>
          </w:tcPr>
          <w:p w14:paraId="66F42B29" w14:textId="77777777" w:rsidR="008E6885" w:rsidRDefault="00EA24E7">
            <w:pPr>
              <w:spacing w:after="0"/>
              <w:jc w:val="center"/>
              <w:rPr>
                <w:rFonts w:ascii="Calibri" w:eastAsia="Calibri" w:hAnsi="Calibri" w:cs="Arial"/>
                <w:noProof/>
              </w:rPr>
            </w:pPr>
            <w:r>
              <w:rPr>
                <w:rFonts w:ascii="Times New Roman" w:eastAsia="Calibri" w:hAnsi="Times New Roman" w:cs="Arial"/>
                <w:b/>
                <w:noProof/>
                <w:color w:val="000000"/>
              </w:rPr>
              <w:t>Mesure connexe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color w:val="000000"/>
              </w:rPr>
              <w:t>(Réforme ou investissement)</w:t>
            </w:r>
          </w:p>
        </w:tc>
        <w:tc>
          <w:tcPr>
            <w:tcW w:w="1433" w:type="dxa"/>
            <w:shd w:val="clear" w:color="auto" w:fill="BDD7EE"/>
            <w:tcMar>
              <w:left w:w="108" w:type="dxa"/>
              <w:right w:w="108" w:type="dxa"/>
            </w:tcMar>
            <w:vAlign w:val="center"/>
          </w:tcPr>
          <w:p w14:paraId="4028A7C6" w14:textId="77777777" w:rsidR="008E6885" w:rsidRDefault="00EA24E7">
            <w:pPr>
              <w:pStyle w:val="P68B1DB1-Normal44"/>
              <w:spacing w:after="0"/>
              <w:jc w:val="center"/>
              <w:rPr>
                <w:rFonts w:ascii="Calibri" w:hAnsi="Calibri"/>
                <w:noProof/>
              </w:rPr>
            </w:pPr>
            <w:r>
              <w:rPr>
                <w:noProof/>
              </w:rPr>
              <w:t>Étape/cible</w:t>
            </w:r>
          </w:p>
        </w:tc>
        <w:tc>
          <w:tcPr>
            <w:tcW w:w="3019" w:type="dxa"/>
            <w:shd w:val="clear" w:color="auto" w:fill="BDD7EE"/>
            <w:tcMar>
              <w:left w:w="108" w:type="dxa"/>
              <w:right w:w="108" w:type="dxa"/>
            </w:tcMar>
            <w:vAlign w:val="center"/>
          </w:tcPr>
          <w:p w14:paraId="72B935A3" w14:textId="77777777" w:rsidR="008E6885" w:rsidRDefault="00EA24E7">
            <w:pPr>
              <w:pStyle w:val="P68B1DB1-Normal44"/>
              <w:spacing w:after="0"/>
              <w:jc w:val="center"/>
              <w:rPr>
                <w:rFonts w:ascii="Calibri" w:hAnsi="Calibri"/>
                <w:noProof/>
              </w:rPr>
            </w:pPr>
            <w:r>
              <w:rPr>
                <w:noProof/>
              </w:rPr>
              <w:t>Nom</w:t>
            </w:r>
          </w:p>
        </w:tc>
      </w:tr>
      <w:tr w:rsidR="008E6885" w14:paraId="70C77CE4" w14:textId="77777777">
        <w:trPr>
          <w:trHeight w:val="300"/>
        </w:trPr>
        <w:tc>
          <w:tcPr>
            <w:tcW w:w="1522" w:type="dxa"/>
            <w:shd w:val="clear" w:color="auto" w:fill="C6EFCE"/>
            <w:tcMar>
              <w:left w:w="108" w:type="dxa"/>
              <w:right w:w="108" w:type="dxa"/>
            </w:tcMar>
            <w:vAlign w:val="center"/>
          </w:tcPr>
          <w:p w14:paraId="5E192B84" w14:textId="77777777" w:rsidR="008E6885" w:rsidRDefault="00EA24E7">
            <w:pPr>
              <w:pStyle w:val="P68B1DB1-Normal45"/>
              <w:spacing w:after="0"/>
              <w:jc w:val="center"/>
              <w:rPr>
                <w:rFonts w:ascii="Calibri" w:hAnsi="Calibri"/>
                <w:noProof/>
              </w:rPr>
            </w:pPr>
            <w:r>
              <w:rPr>
                <w:noProof/>
              </w:rPr>
              <w:t>2</w:t>
            </w:r>
          </w:p>
        </w:tc>
        <w:tc>
          <w:tcPr>
            <w:tcW w:w="3655" w:type="dxa"/>
            <w:shd w:val="clear" w:color="auto" w:fill="C6EFCE"/>
            <w:tcMar>
              <w:left w:w="108" w:type="dxa"/>
              <w:right w:w="108" w:type="dxa"/>
            </w:tcMar>
          </w:tcPr>
          <w:p w14:paraId="06A75481" w14:textId="77777777" w:rsidR="008E6885" w:rsidRDefault="00EA24E7">
            <w:pPr>
              <w:pStyle w:val="P68B1DB1-Normal45"/>
              <w:spacing w:after="0"/>
              <w:rPr>
                <w:rFonts w:ascii="Calibri" w:hAnsi="Calibri"/>
                <w:noProof/>
              </w:rPr>
            </w:pPr>
            <w:r>
              <w:rPr>
                <w:noProof/>
              </w:rPr>
              <w:t>1.1.1.r. Un système de transport durable</w:t>
            </w:r>
          </w:p>
        </w:tc>
        <w:tc>
          <w:tcPr>
            <w:tcW w:w="1433" w:type="dxa"/>
            <w:shd w:val="clear" w:color="auto" w:fill="C6EFCE"/>
            <w:tcMar>
              <w:left w:w="108" w:type="dxa"/>
              <w:right w:w="108" w:type="dxa"/>
            </w:tcMar>
          </w:tcPr>
          <w:p w14:paraId="5C617B67" w14:textId="77777777" w:rsidR="008E6885" w:rsidRDefault="00EA24E7">
            <w:pPr>
              <w:pStyle w:val="P68B1DB1-Normal45"/>
              <w:spacing w:after="0"/>
              <w:jc w:val="center"/>
              <w:rPr>
                <w:rFonts w:ascii="Calibri" w:hAnsi="Calibri"/>
                <w:noProof/>
              </w:rPr>
            </w:pPr>
            <w:r>
              <w:rPr>
                <w:noProof/>
              </w:rPr>
              <w:t>Étape</w:t>
            </w:r>
          </w:p>
        </w:tc>
        <w:tc>
          <w:tcPr>
            <w:tcW w:w="3019" w:type="dxa"/>
            <w:shd w:val="clear" w:color="auto" w:fill="C6EFCE"/>
            <w:tcMar>
              <w:left w:w="108" w:type="dxa"/>
              <w:right w:w="108" w:type="dxa"/>
            </w:tcMar>
          </w:tcPr>
          <w:p w14:paraId="22C81482" w14:textId="77777777" w:rsidR="008E6885" w:rsidRDefault="00EA24E7">
            <w:pPr>
              <w:pStyle w:val="P68B1DB1-Normal45"/>
              <w:spacing w:after="0"/>
              <w:jc w:val="both"/>
              <w:rPr>
                <w:rFonts w:ascii="Calibri" w:hAnsi="Calibri"/>
                <w:noProof/>
              </w:rPr>
            </w:pPr>
            <w:r>
              <w:rPr>
                <w:noProof/>
              </w:rPr>
              <w:t>Réforme durable des transports publics</w:t>
            </w:r>
          </w:p>
        </w:tc>
      </w:tr>
      <w:tr w:rsidR="008E6885" w14:paraId="65818153" w14:textId="77777777">
        <w:trPr>
          <w:trHeight w:val="300"/>
        </w:trPr>
        <w:tc>
          <w:tcPr>
            <w:tcW w:w="1522" w:type="dxa"/>
            <w:shd w:val="clear" w:color="auto" w:fill="C6EFCE"/>
            <w:tcMar>
              <w:left w:w="108" w:type="dxa"/>
              <w:right w:w="108" w:type="dxa"/>
            </w:tcMar>
            <w:vAlign w:val="center"/>
          </w:tcPr>
          <w:p w14:paraId="300F237A" w14:textId="77777777" w:rsidR="008E6885" w:rsidRDefault="00EA24E7">
            <w:pPr>
              <w:pStyle w:val="P68B1DB1-Normal45"/>
              <w:spacing w:after="0"/>
              <w:jc w:val="center"/>
              <w:rPr>
                <w:noProof/>
              </w:rPr>
            </w:pPr>
            <w:r>
              <w:rPr>
                <w:noProof/>
              </w:rPr>
              <w:t>3</w:t>
            </w:r>
          </w:p>
        </w:tc>
        <w:tc>
          <w:tcPr>
            <w:tcW w:w="3655" w:type="dxa"/>
            <w:shd w:val="clear" w:color="auto" w:fill="C6EFCE"/>
            <w:tcMar>
              <w:left w:w="108" w:type="dxa"/>
              <w:right w:w="108" w:type="dxa"/>
            </w:tcMar>
          </w:tcPr>
          <w:p w14:paraId="4FD0C17B" w14:textId="77777777" w:rsidR="008E6885" w:rsidRDefault="00EA24E7">
            <w:pPr>
              <w:pStyle w:val="P68B1DB1-Normal45"/>
              <w:spacing w:after="0"/>
              <w:rPr>
                <w:noProof/>
              </w:rPr>
            </w:pPr>
            <w:r>
              <w:rPr>
                <w:noProof/>
              </w:rPr>
              <w:t>1.1.1.i. Amélioration de l'infrastructure des transports métropolitains de Riga</w:t>
            </w:r>
          </w:p>
        </w:tc>
        <w:tc>
          <w:tcPr>
            <w:tcW w:w="1433" w:type="dxa"/>
            <w:shd w:val="clear" w:color="auto" w:fill="C6EFCE"/>
            <w:tcMar>
              <w:left w:w="108" w:type="dxa"/>
              <w:right w:w="108" w:type="dxa"/>
            </w:tcMar>
          </w:tcPr>
          <w:p w14:paraId="169B7470" w14:textId="77777777" w:rsidR="008E6885" w:rsidRDefault="00EA24E7">
            <w:pPr>
              <w:pStyle w:val="P68B1DB1-Normal45"/>
              <w:spacing w:after="0"/>
              <w:jc w:val="center"/>
              <w:rPr>
                <w:noProof/>
                <w:highlight w:val="yellow"/>
              </w:rPr>
            </w:pPr>
            <w:r>
              <w:rPr>
                <w:noProof/>
              </w:rPr>
              <w:t>Étape</w:t>
            </w:r>
          </w:p>
        </w:tc>
        <w:tc>
          <w:tcPr>
            <w:tcW w:w="3019" w:type="dxa"/>
            <w:shd w:val="clear" w:color="auto" w:fill="C6EFCE"/>
            <w:tcMar>
              <w:left w:w="108" w:type="dxa"/>
              <w:right w:w="108" w:type="dxa"/>
            </w:tcMar>
          </w:tcPr>
          <w:p w14:paraId="64CE9D9D" w14:textId="77777777" w:rsidR="008E6885" w:rsidRDefault="00EA24E7">
            <w:pPr>
              <w:pStyle w:val="P68B1DB1-Normal45"/>
              <w:spacing w:after="0"/>
              <w:jc w:val="both"/>
              <w:rPr>
                <w:noProof/>
                <w:highlight w:val="yellow"/>
              </w:rPr>
            </w:pPr>
            <w:r>
              <w:rPr>
                <w:noProof/>
              </w:rPr>
              <w:t>Projets de transport</w:t>
            </w:r>
          </w:p>
        </w:tc>
      </w:tr>
      <w:tr w:rsidR="008E6885" w14:paraId="3B334719" w14:textId="77777777">
        <w:trPr>
          <w:trHeight w:val="300"/>
        </w:trPr>
        <w:tc>
          <w:tcPr>
            <w:tcW w:w="1522" w:type="dxa"/>
            <w:shd w:val="clear" w:color="auto" w:fill="C6EFCE"/>
            <w:tcMar>
              <w:left w:w="108" w:type="dxa"/>
              <w:right w:w="108" w:type="dxa"/>
            </w:tcMar>
            <w:vAlign w:val="center"/>
          </w:tcPr>
          <w:p w14:paraId="344B3F92" w14:textId="77777777" w:rsidR="008E6885" w:rsidRDefault="00EA24E7">
            <w:pPr>
              <w:pStyle w:val="P68B1DB1-Normal45"/>
              <w:spacing w:after="0"/>
              <w:jc w:val="center"/>
              <w:rPr>
                <w:rFonts w:eastAsia="Times New Roman" w:cs="Times New Roman"/>
                <w:noProof/>
              </w:rPr>
            </w:pPr>
            <w:r>
              <w:rPr>
                <w:noProof/>
              </w:rPr>
              <w:t>4</w:t>
            </w:r>
          </w:p>
        </w:tc>
        <w:tc>
          <w:tcPr>
            <w:tcW w:w="3655" w:type="dxa"/>
            <w:shd w:val="clear" w:color="auto" w:fill="C6EFCE"/>
            <w:tcMar>
              <w:left w:w="108" w:type="dxa"/>
              <w:right w:w="108" w:type="dxa"/>
            </w:tcMar>
          </w:tcPr>
          <w:p w14:paraId="45D28587" w14:textId="77777777" w:rsidR="008E6885" w:rsidRDefault="00EA24E7">
            <w:pPr>
              <w:pStyle w:val="P68B1DB1-Normal45"/>
              <w:spacing w:after="0"/>
              <w:rPr>
                <w:rFonts w:eastAsia="Times New Roman" w:cs="Times New Roman"/>
                <w:noProof/>
              </w:rPr>
            </w:pPr>
            <w:r>
              <w:rPr>
                <w:noProof/>
              </w:rPr>
              <w:t>1.1.1.i. Amélioration de l'infrastructure des transports métropolitains de Riga</w:t>
            </w:r>
          </w:p>
        </w:tc>
        <w:tc>
          <w:tcPr>
            <w:tcW w:w="1433" w:type="dxa"/>
            <w:shd w:val="clear" w:color="auto" w:fill="C6EFCE"/>
            <w:tcMar>
              <w:left w:w="108" w:type="dxa"/>
              <w:right w:w="108" w:type="dxa"/>
            </w:tcMar>
          </w:tcPr>
          <w:p w14:paraId="38595C71" w14:textId="77777777" w:rsidR="008E6885" w:rsidRDefault="00EA24E7">
            <w:pPr>
              <w:pStyle w:val="P68B1DB1-Normal45"/>
              <w:spacing w:after="0"/>
              <w:jc w:val="center"/>
              <w:rPr>
                <w:rFonts w:eastAsia="Times New Roman" w:cs="Times New Roman"/>
                <w:noProof/>
              </w:rPr>
            </w:pPr>
            <w:r>
              <w:rPr>
                <w:noProof/>
              </w:rPr>
              <w:t>Étape</w:t>
            </w:r>
          </w:p>
        </w:tc>
        <w:tc>
          <w:tcPr>
            <w:tcW w:w="3019" w:type="dxa"/>
            <w:shd w:val="clear" w:color="auto" w:fill="C6EFCE"/>
            <w:tcMar>
              <w:left w:w="108" w:type="dxa"/>
              <w:right w:w="108" w:type="dxa"/>
            </w:tcMar>
          </w:tcPr>
          <w:p w14:paraId="573C3111" w14:textId="77777777" w:rsidR="008E6885" w:rsidRDefault="00EA24E7">
            <w:pPr>
              <w:pStyle w:val="P68B1DB1-Normal45"/>
              <w:spacing w:after="0"/>
              <w:jc w:val="both"/>
              <w:rPr>
                <w:rFonts w:eastAsia="Times New Roman" w:cs="Times New Roman"/>
                <w:noProof/>
              </w:rPr>
            </w:pPr>
            <w:r>
              <w:rPr>
                <w:noProof/>
              </w:rPr>
              <w:t>Signature du ou des contrats pour la gare centrale de Riga</w:t>
            </w:r>
          </w:p>
        </w:tc>
      </w:tr>
      <w:tr w:rsidR="008E6885" w14:paraId="40FF2AA2" w14:textId="77777777">
        <w:trPr>
          <w:trHeight w:val="300"/>
        </w:trPr>
        <w:tc>
          <w:tcPr>
            <w:tcW w:w="1522" w:type="dxa"/>
            <w:shd w:val="clear" w:color="auto" w:fill="C6EFCE"/>
            <w:tcMar>
              <w:left w:w="108" w:type="dxa"/>
              <w:right w:w="108" w:type="dxa"/>
            </w:tcMar>
            <w:vAlign w:val="center"/>
          </w:tcPr>
          <w:p w14:paraId="393B4F77" w14:textId="77777777" w:rsidR="008E6885" w:rsidRDefault="00EA24E7">
            <w:pPr>
              <w:pStyle w:val="P68B1DB1-Normal45"/>
              <w:spacing w:after="0"/>
              <w:jc w:val="center"/>
              <w:rPr>
                <w:noProof/>
              </w:rPr>
            </w:pPr>
            <w:r>
              <w:rPr>
                <w:noProof/>
              </w:rPr>
              <w:t>4a</w:t>
            </w:r>
          </w:p>
        </w:tc>
        <w:tc>
          <w:tcPr>
            <w:tcW w:w="3655" w:type="dxa"/>
            <w:shd w:val="clear" w:color="auto" w:fill="C6EFCE"/>
            <w:tcMar>
              <w:left w:w="108" w:type="dxa"/>
              <w:right w:w="108" w:type="dxa"/>
            </w:tcMar>
          </w:tcPr>
          <w:p w14:paraId="336469B7" w14:textId="77777777" w:rsidR="008E6885" w:rsidRDefault="00EA24E7">
            <w:pPr>
              <w:pStyle w:val="P68B1DB1-Normal45"/>
              <w:spacing w:after="0"/>
              <w:rPr>
                <w:noProof/>
              </w:rPr>
            </w:pPr>
            <w:r>
              <w:rPr>
                <w:noProof/>
              </w:rPr>
              <w:t>1.1.1.i. Amélioration de l'infrastructure des transports métropolitains de Riga</w:t>
            </w:r>
          </w:p>
        </w:tc>
        <w:tc>
          <w:tcPr>
            <w:tcW w:w="1433" w:type="dxa"/>
            <w:shd w:val="clear" w:color="auto" w:fill="C6EFCE"/>
            <w:tcMar>
              <w:left w:w="108" w:type="dxa"/>
              <w:right w:w="108" w:type="dxa"/>
            </w:tcMar>
          </w:tcPr>
          <w:p w14:paraId="2E385105"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418907DB" w14:textId="77777777" w:rsidR="008E6885" w:rsidRDefault="00EA24E7">
            <w:pPr>
              <w:pStyle w:val="P68B1DB1-Normal45"/>
              <w:spacing w:after="0"/>
              <w:jc w:val="both"/>
              <w:rPr>
                <w:noProof/>
              </w:rPr>
            </w:pPr>
            <w:r>
              <w:rPr>
                <w:noProof/>
              </w:rPr>
              <w:t>Gare centrale de Riga</w:t>
            </w:r>
          </w:p>
        </w:tc>
      </w:tr>
      <w:tr w:rsidR="008E6885" w14:paraId="6E31311F" w14:textId="77777777">
        <w:trPr>
          <w:trHeight w:val="300"/>
        </w:trPr>
        <w:tc>
          <w:tcPr>
            <w:tcW w:w="1522" w:type="dxa"/>
            <w:shd w:val="clear" w:color="auto" w:fill="C6EFCE"/>
            <w:tcMar>
              <w:left w:w="108" w:type="dxa"/>
              <w:right w:w="108" w:type="dxa"/>
            </w:tcMar>
            <w:vAlign w:val="center"/>
          </w:tcPr>
          <w:p w14:paraId="18136D09" w14:textId="77777777" w:rsidR="008E6885" w:rsidRDefault="00EA24E7">
            <w:pPr>
              <w:pStyle w:val="P68B1DB1-Normal45"/>
              <w:spacing w:after="0"/>
              <w:jc w:val="center"/>
              <w:rPr>
                <w:noProof/>
              </w:rPr>
            </w:pPr>
            <w:r>
              <w:rPr>
                <w:noProof/>
              </w:rPr>
              <w:t>9</w:t>
            </w:r>
          </w:p>
        </w:tc>
        <w:tc>
          <w:tcPr>
            <w:tcW w:w="3655" w:type="dxa"/>
            <w:shd w:val="clear" w:color="auto" w:fill="C6EFCE"/>
            <w:tcMar>
              <w:left w:w="108" w:type="dxa"/>
              <w:right w:w="108" w:type="dxa"/>
            </w:tcMar>
          </w:tcPr>
          <w:p w14:paraId="3C4AA020" w14:textId="77777777" w:rsidR="008E6885" w:rsidRDefault="00EA24E7">
            <w:pPr>
              <w:pStyle w:val="P68B1DB1-Normal45"/>
              <w:spacing w:after="0"/>
              <w:rPr>
                <w:noProof/>
              </w:rPr>
            </w:pPr>
            <w:r>
              <w:rPr>
                <w:noProof/>
              </w:rPr>
              <w:t xml:space="preserve">1.2.1.1.i. Améliorer l'efficacité énergétique des immeubles comprenant plusieurs appartements </w:t>
            </w:r>
          </w:p>
        </w:tc>
        <w:tc>
          <w:tcPr>
            <w:tcW w:w="1433" w:type="dxa"/>
            <w:shd w:val="clear" w:color="auto" w:fill="C6EFCE"/>
            <w:tcMar>
              <w:left w:w="108" w:type="dxa"/>
              <w:right w:w="108" w:type="dxa"/>
            </w:tcMar>
          </w:tcPr>
          <w:p w14:paraId="15EDCBC3"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5EAEAD0A" w14:textId="77777777" w:rsidR="008E6885" w:rsidRDefault="00EA24E7">
            <w:pPr>
              <w:pStyle w:val="P68B1DB1-Normal45"/>
              <w:spacing w:after="0"/>
              <w:jc w:val="both"/>
              <w:rPr>
                <w:noProof/>
              </w:rPr>
            </w:pPr>
            <w:r>
              <w:rPr>
                <w:noProof/>
              </w:rPr>
              <w:t>Réduction de la consommation d'énergie primaire dans les immeubles comprenant plusieurs appartements</w:t>
            </w:r>
          </w:p>
        </w:tc>
      </w:tr>
      <w:tr w:rsidR="008E6885" w14:paraId="604F208B" w14:textId="77777777">
        <w:trPr>
          <w:trHeight w:val="300"/>
        </w:trPr>
        <w:tc>
          <w:tcPr>
            <w:tcW w:w="1522" w:type="dxa"/>
            <w:shd w:val="clear" w:color="auto" w:fill="C6EFCE"/>
            <w:tcMar>
              <w:left w:w="108" w:type="dxa"/>
              <w:right w:w="108" w:type="dxa"/>
            </w:tcMar>
            <w:vAlign w:val="center"/>
          </w:tcPr>
          <w:p w14:paraId="70365FF4" w14:textId="77777777" w:rsidR="008E6885" w:rsidRDefault="00EA24E7">
            <w:pPr>
              <w:pStyle w:val="P68B1DB1-Normal45"/>
              <w:spacing w:after="0"/>
              <w:jc w:val="center"/>
              <w:rPr>
                <w:noProof/>
              </w:rPr>
            </w:pPr>
            <w:r>
              <w:rPr>
                <w:noProof/>
              </w:rPr>
              <w:t>11</w:t>
            </w:r>
          </w:p>
        </w:tc>
        <w:tc>
          <w:tcPr>
            <w:tcW w:w="3655" w:type="dxa"/>
            <w:shd w:val="clear" w:color="auto" w:fill="C6EFCE"/>
            <w:tcMar>
              <w:left w:w="108" w:type="dxa"/>
              <w:right w:w="108" w:type="dxa"/>
            </w:tcMar>
          </w:tcPr>
          <w:p w14:paraId="710C10D8" w14:textId="77777777" w:rsidR="008E6885" w:rsidRDefault="00EA24E7">
            <w:pPr>
              <w:pStyle w:val="P68B1DB1-Normal45"/>
              <w:spacing w:after="0"/>
              <w:rPr>
                <w:noProof/>
              </w:rPr>
            </w:pPr>
            <w:r>
              <w:rPr>
                <w:noProof/>
              </w:rPr>
              <w:t>1.2.1.2.i. Accroître l'efficacité énergétique des entreprises sous la forme d'un instrument financier combiné</w:t>
            </w:r>
          </w:p>
        </w:tc>
        <w:tc>
          <w:tcPr>
            <w:tcW w:w="1433" w:type="dxa"/>
            <w:shd w:val="clear" w:color="auto" w:fill="C6EFCE"/>
            <w:tcMar>
              <w:left w:w="108" w:type="dxa"/>
              <w:right w:w="108" w:type="dxa"/>
            </w:tcMar>
          </w:tcPr>
          <w:p w14:paraId="76EF1C63"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4E20EDC9" w14:textId="2E457D77" w:rsidR="008E6885" w:rsidRDefault="00EA24E7">
            <w:pPr>
              <w:pStyle w:val="P68B1DB1-Normal45"/>
              <w:spacing w:after="0"/>
              <w:jc w:val="both"/>
              <w:rPr>
                <w:noProof/>
              </w:rPr>
            </w:pPr>
            <w:r>
              <w:rPr>
                <w:noProof/>
              </w:rPr>
              <w:t>Réductions prévues des émissions de GES</w:t>
            </w:r>
          </w:p>
        </w:tc>
      </w:tr>
      <w:tr w:rsidR="008E6885" w14:paraId="05804758" w14:textId="77777777">
        <w:trPr>
          <w:trHeight w:val="300"/>
        </w:trPr>
        <w:tc>
          <w:tcPr>
            <w:tcW w:w="1522" w:type="dxa"/>
            <w:shd w:val="clear" w:color="auto" w:fill="C6EFCE"/>
            <w:tcMar>
              <w:left w:w="108" w:type="dxa"/>
              <w:right w:w="108" w:type="dxa"/>
            </w:tcMar>
            <w:vAlign w:val="center"/>
          </w:tcPr>
          <w:p w14:paraId="56A05D3F" w14:textId="77777777" w:rsidR="008E6885" w:rsidRDefault="00EA24E7">
            <w:pPr>
              <w:pStyle w:val="P68B1DB1-Normal45"/>
              <w:spacing w:after="0"/>
              <w:jc w:val="center"/>
              <w:rPr>
                <w:noProof/>
              </w:rPr>
            </w:pPr>
            <w:r>
              <w:rPr>
                <w:noProof/>
              </w:rPr>
              <w:t>12</w:t>
            </w:r>
          </w:p>
        </w:tc>
        <w:tc>
          <w:tcPr>
            <w:tcW w:w="3655" w:type="dxa"/>
            <w:shd w:val="clear" w:color="auto" w:fill="C6EFCE"/>
            <w:tcMar>
              <w:left w:w="108" w:type="dxa"/>
              <w:right w:w="108" w:type="dxa"/>
            </w:tcMar>
          </w:tcPr>
          <w:p w14:paraId="6126112D" w14:textId="77777777" w:rsidR="008E6885" w:rsidRDefault="00EA24E7">
            <w:pPr>
              <w:pStyle w:val="P68B1DB1-Normal45"/>
              <w:spacing w:after="0"/>
              <w:rPr>
                <w:noProof/>
              </w:rPr>
            </w:pPr>
            <w:r>
              <w:rPr>
                <w:noProof/>
              </w:rPr>
              <w:t>1.2.1.2.i. Accroître l'efficacité énergétique des entreprises sous la forme d'un instrument financier combiné</w:t>
            </w:r>
          </w:p>
        </w:tc>
        <w:tc>
          <w:tcPr>
            <w:tcW w:w="1433" w:type="dxa"/>
            <w:shd w:val="clear" w:color="auto" w:fill="C6EFCE"/>
            <w:tcMar>
              <w:left w:w="108" w:type="dxa"/>
              <w:right w:w="108" w:type="dxa"/>
            </w:tcMar>
          </w:tcPr>
          <w:p w14:paraId="0C6DDCA5"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6DB64BA1" w14:textId="3AEAFC0C" w:rsidR="008E6885" w:rsidRDefault="00EA24E7">
            <w:pPr>
              <w:pStyle w:val="P68B1DB1-Normal45"/>
              <w:spacing w:after="0"/>
              <w:jc w:val="both"/>
              <w:rPr>
                <w:noProof/>
              </w:rPr>
            </w:pPr>
            <w:r>
              <w:rPr>
                <w:noProof/>
              </w:rPr>
              <w:t>Contrats signés</w:t>
            </w:r>
          </w:p>
        </w:tc>
      </w:tr>
      <w:tr w:rsidR="008E6885" w14:paraId="5A374603" w14:textId="77777777">
        <w:trPr>
          <w:trHeight w:val="300"/>
        </w:trPr>
        <w:tc>
          <w:tcPr>
            <w:tcW w:w="1522" w:type="dxa"/>
            <w:shd w:val="clear" w:color="auto" w:fill="C6EFCE"/>
            <w:tcMar>
              <w:left w:w="108" w:type="dxa"/>
              <w:right w:w="108" w:type="dxa"/>
            </w:tcMar>
            <w:vAlign w:val="center"/>
          </w:tcPr>
          <w:p w14:paraId="253DA528" w14:textId="77777777" w:rsidR="008E6885" w:rsidRDefault="00EA24E7">
            <w:pPr>
              <w:pStyle w:val="P68B1DB1-Normal45"/>
              <w:spacing w:after="0"/>
              <w:jc w:val="center"/>
              <w:rPr>
                <w:rFonts w:ascii="Calibri" w:hAnsi="Calibri"/>
                <w:noProof/>
              </w:rPr>
            </w:pPr>
            <w:r>
              <w:rPr>
                <w:noProof/>
              </w:rPr>
              <w:t>15</w:t>
            </w:r>
          </w:p>
        </w:tc>
        <w:tc>
          <w:tcPr>
            <w:tcW w:w="3655" w:type="dxa"/>
            <w:shd w:val="clear" w:color="auto" w:fill="C6EFCE"/>
            <w:tcMar>
              <w:left w:w="108" w:type="dxa"/>
              <w:right w:w="108" w:type="dxa"/>
            </w:tcMar>
          </w:tcPr>
          <w:p w14:paraId="48F5AD1F" w14:textId="77777777" w:rsidR="008E6885" w:rsidRDefault="00EA24E7">
            <w:pPr>
              <w:pStyle w:val="P68B1DB1-Normal45"/>
              <w:spacing w:after="0"/>
              <w:rPr>
                <w:rFonts w:ascii="Calibri" w:hAnsi="Calibri"/>
                <w:noProof/>
              </w:rPr>
            </w:pPr>
            <w:r>
              <w:rPr>
                <w:noProof/>
              </w:rPr>
              <w:t xml:space="preserve">1.2.1.3.i. Améliorer l'efficacité énergétique des bâtiments municipaux </w:t>
            </w:r>
          </w:p>
        </w:tc>
        <w:tc>
          <w:tcPr>
            <w:tcW w:w="1433" w:type="dxa"/>
            <w:shd w:val="clear" w:color="auto" w:fill="C6EFCE"/>
            <w:tcMar>
              <w:left w:w="108" w:type="dxa"/>
              <w:right w:w="108" w:type="dxa"/>
            </w:tcMar>
          </w:tcPr>
          <w:p w14:paraId="13FF63F1" w14:textId="77777777" w:rsidR="008E6885" w:rsidRDefault="00EA24E7">
            <w:pPr>
              <w:pStyle w:val="P68B1DB1-Normal45"/>
              <w:spacing w:after="0"/>
              <w:jc w:val="center"/>
              <w:rPr>
                <w:rFonts w:ascii="Calibri" w:hAnsi="Calibri"/>
                <w:noProof/>
              </w:rPr>
            </w:pPr>
            <w:r>
              <w:rPr>
                <w:noProof/>
              </w:rPr>
              <w:t>Objectif</w:t>
            </w:r>
          </w:p>
        </w:tc>
        <w:tc>
          <w:tcPr>
            <w:tcW w:w="3019" w:type="dxa"/>
            <w:shd w:val="clear" w:color="auto" w:fill="C6EFCE"/>
            <w:tcMar>
              <w:left w:w="108" w:type="dxa"/>
              <w:right w:w="108" w:type="dxa"/>
            </w:tcMar>
          </w:tcPr>
          <w:p w14:paraId="47A9DAAF" w14:textId="63D42C94" w:rsidR="008E6885" w:rsidRDefault="00EA24E7">
            <w:pPr>
              <w:pStyle w:val="P68B1DB1-Normal45"/>
              <w:spacing w:after="0"/>
              <w:jc w:val="both"/>
              <w:rPr>
                <w:rFonts w:ascii="Calibri" w:hAnsi="Calibri"/>
                <w:noProof/>
              </w:rPr>
            </w:pPr>
            <w:r>
              <w:rPr>
                <w:noProof/>
              </w:rPr>
              <w:t>Réduction de la consommation d'énergie primaire dans les bâtiments municipaux</w:t>
            </w:r>
          </w:p>
        </w:tc>
      </w:tr>
      <w:tr w:rsidR="008E6885" w14:paraId="54BF2763" w14:textId="77777777">
        <w:trPr>
          <w:trHeight w:val="300"/>
        </w:trPr>
        <w:tc>
          <w:tcPr>
            <w:tcW w:w="1522" w:type="dxa"/>
            <w:shd w:val="clear" w:color="auto" w:fill="C6EFCE"/>
            <w:tcMar>
              <w:left w:w="108" w:type="dxa"/>
              <w:right w:w="108" w:type="dxa"/>
            </w:tcMar>
            <w:vAlign w:val="center"/>
          </w:tcPr>
          <w:p w14:paraId="1585C426" w14:textId="77777777" w:rsidR="008E6885" w:rsidRDefault="00EA24E7">
            <w:pPr>
              <w:pStyle w:val="P68B1DB1-Normal45"/>
              <w:spacing w:after="0"/>
              <w:jc w:val="center"/>
              <w:rPr>
                <w:noProof/>
              </w:rPr>
            </w:pPr>
            <w:r>
              <w:rPr>
                <w:noProof/>
              </w:rPr>
              <w:t>18</w:t>
            </w:r>
          </w:p>
        </w:tc>
        <w:tc>
          <w:tcPr>
            <w:tcW w:w="3655" w:type="dxa"/>
            <w:shd w:val="clear" w:color="auto" w:fill="C6EFCE"/>
            <w:tcMar>
              <w:left w:w="108" w:type="dxa"/>
              <w:right w:w="108" w:type="dxa"/>
            </w:tcMar>
          </w:tcPr>
          <w:p w14:paraId="47C29E3A" w14:textId="77777777" w:rsidR="008E6885" w:rsidRDefault="00EA24E7">
            <w:pPr>
              <w:pStyle w:val="P68B1DB1-Normal45"/>
              <w:spacing w:after="0"/>
              <w:rPr>
                <w:noProof/>
              </w:rPr>
            </w:pPr>
            <w:r>
              <w:rPr>
                <w:noProof/>
              </w:rPr>
              <w:t>1.2.1.4.i. Améliorer l'efficacité énergétique des bâtiments du secteur public</w:t>
            </w:r>
          </w:p>
        </w:tc>
        <w:tc>
          <w:tcPr>
            <w:tcW w:w="1433" w:type="dxa"/>
            <w:shd w:val="clear" w:color="auto" w:fill="C6EFCE"/>
            <w:tcMar>
              <w:left w:w="108" w:type="dxa"/>
              <w:right w:w="108" w:type="dxa"/>
            </w:tcMar>
          </w:tcPr>
          <w:p w14:paraId="103CE84C"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0BA85B31" w14:textId="5DBF09E6" w:rsidR="008E6885" w:rsidRDefault="00EA24E7">
            <w:pPr>
              <w:pStyle w:val="P68B1DB1-Normal45"/>
              <w:spacing w:after="0"/>
              <w:jc w:val="both"/>
              <w:rPr>
                <w:noProof/>
              </w:rPr>
            </w:pPr>
            <w:r>
              <w:rPr>
                <w:noProof/>
              </w:rPr>
              <w:t>Réduction de la consommation d'énergie primaire dans les bâtiments publics</w:t>
            </w:r>
          </w:p>
        </w:tc>
      </w:tr>
      <w:tr w:rsidR="008E6885" w14:paraId="0ABD295E" w14:textId="77777777">
        <w:trPr>
          <w:trHeight w:val="300"/>
        </w:trPr>
        <w:tc>
          <w:tcPr>
            <w:tcW w:w="1522" w:type="dxa"/>
            <w:shd w:val="clear" w:color="auto" w:fill="C6EFCE"/>
            <w:tcMar>
              <w:left w:w="108" w:type="dxa"/>
              <w:right w:w="108" w:type="dxa"/>
            </w:tcMar>
            <w:vAlign w:val="center"/>
          </w:tcPr>
          <w:p w14:paraId="4456F0D5" w14:textId="77777777" w:rsidR="008E6885" w:rsidRDefault="00EA24E7">
            <w:pPr>
              <w:pStyle w:val="P68B1DB1-Normal45"/>
              <w:spacing w:after="0"/>
              <w:jc w:val="center"/>
              <w:rPr>
                <w:noProof/>
              </w:rPr>
            </w:pPr>
            <w:r>
              <w:rPr>
                <w:noProof/>
              </w:rPr>
              <w:t>20</w:t>
            </w:r>
          </w:p>
        </w:tc>
        <w:tc>
          <w:tcPr>
            <w:tcW w:w="3655" w:type="dxa"/>
            <w:shd w:val="clear" w:color="auto" w:fill="C6EFCE"/>
            <w:tcMar>
              <w:left w:w="108" w:type="dxa"/>
              <w:right w:w="108" w:type="dxa"/>
            </w:tcMar>
          </w:tcPr>
          <w:p w14:paraId="5661FC7C" w14:textId="77777777" w:rsidR="008E6885" w:rsidRDefault="00EA24E7">
            <w:pPr>
              <w:pStyle w:val="P68B1DB1-Normal45"/>
              <w:spacing w:after="0"/>
              <w:rPr>
                <w:noProof/>
              </w:rPr>
            </w:pPr>
            <w:r>
              <w:rPr>
                <w:noProof/>
              </w:rPr>
              <w:t>1.2.1.5.i. Modernisation des réseaux de transport et de distribution d'électricité</w:t>
            </w:r>
          </w:p>
        </w:tc>
        <w:tc>
          <w:tcPr>
            <w:tcW w:w="1433" w:type="dxa"/>
            <w:shd w:val="clear" w:color="auto" w:fill="C6EFCE"/>
            <w:tcMar>
              <w:left w:w="108" w:type="dxa"/>
              <w:right w:w="108" w:type="dxa"/>
            </w:tcMar>
          </w:tcPr>
          <w:p w14:paraId="08200A7A"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503E8D3C" w14:textId="77777777" w:rsidR="008E6885" w:rsidRDefault="00EA24E7">
            <w:pPr>
              <w:pStyle w:val="P68B1DB1-Normal45"/>
              <w:spacing w:after="0"/>
              <w:jc w:val="both"/>
              <w:rPr>
                <w:noProof/>
              </w:rPr>
            </w:pPr>
            <w:r>
              <w:rPr>
                <w:noProof/>
              </w:rPr>
              <w:t>Points de raccordement pour recharger les véhicules électriques et les installations de microgénération</w:t>
            </w:r>
          </w:p>
        </w:tc>
      </w:tr>
      <w:tr w:rsidR="008E6885" w14:paraId="2C384F09" w14:textId="77777777">
        <w:trPr>
          <w:trHeight w:val="300"/>
        </w:trPr>
        <w:tc>
          <w:tcPr>
            <w:tcW w:w="1522" w:type="dxa"/>
            <w:shd w:val="clear" w:color="auto" w:fill="C6EFCE"/>
            <w:tcMar>
              <w:left w:w="108" w:type="dxa"/>
              <w:right w:w="108" w:type="dxa"/>
            </w:tcMar>
            <w:vAlign w:val="center"/>
          </w:tcPr>
          <w:p w14:paraId="15E8A436" w14:textId="77777777" w:rsidR="008E6885" w:rsidRDefault="00EA24E7">
            <w:pPr>
              <w:pStyle w:val="P68B1DB1-Normal45"/>
              <w:spacing w:after="0"/>
              <w:jc w:val="center"/>
              <w:rPr>
                <w:noProof/>
              </w:rPr>
            </w:pPr>
            <w:r>
              <w:rPr>
                <w:noProof/>
              </w:rPr>
              <w:t>23</w:t>
            </w:r>
          </w:p>
        </w:tc>
        <w:tc>
          <w:tcPr>
            <w:tcW w:w="3655" w:type="dxa"/>
            <w:shd w:val="clear" w:color="auto" w:fill="C6EFCE"/>
            <w:tcMar>
              <w:left w:w="108" w:type="dxa"/>
              <w:right w:w="108" w:type="dxa"/>
            </w:tcMar>
          </w:tcPr>
          <w:p w14:paraId="18F073C7" w14:textId="77777777" w:rsidR="008E6885" w:rsidRDefault="00EA24E7">
            <w:pPr>
              <w:pStyle w:val="P68B1DB1-Normal45"/>
              <w:spacing w:after="0"/>
              <w:rPr>
                <w:noProof/>
              </w:rPr>
            </w:pPr>
            <w:r>
              <w:rPr>
                <w:noProof/>
              </w:rPr>
              <w:t>1.3.1.1.i. Accroître la capacité des services de secours</w:t>
            </w:r>
          </w:p>
        </w:tc>
        <w:tc>
          <w:tcPr>
            <w:tcW w:w="1433" w:type="dxa"/>
            <w:shd w:val="clear" w:color="auto" w:fill="C6EFCE"/>
            <w:tcMar>
              <w:left w:w="108" w:type="dxa"/>
              <w:right w:w="108" w:type="dxa"/>
            </w:tcMar>
          </w:tcPr>
          <w:p w14:paraId="5B9649B2"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2F96188B" w14:textId="04EB981F" w:rsidR="008E6885" w:rsidRDefault="00EA24E7">
            <w:pPr>
              <w:pStyle w:val="P68B1DB1-Normal45"/>
              <w:spacing w:after="0"/>
              <w:jc w:val="both"/>
              <w:rPr>
                <w:noProof/>
              </w:rPr>
            </w:pPr>
            <w:r>
              <w:rPr>
                <w:noProof/>
              </w:rPr>
              <w:t>Centres de gestion des catastrophes</w:t>
            </w:r>
          </w:p>
        </w:tc>
      </w:tr>
      <w:tr w:rsidR="008E6885" w14:paraId="28F292B8" w14:textId="77777777">
        <w:trPr>
          <w:trHeight w:val="300"/>
        </w:trPr>
        <w:tc>
          <w:tcPr>
            <w:tcW w:w="1522" w:type="dxa"/>
            <w:shd w:val="clear" w:color="auto" w:fill="C6EFCE"/>
            <w:tcMar>
              <w:left w:w="108" w:type="dxa"/>
              <w:right w:w="108" w:type="dxa"/>
            </w:tcMar>
            <w:vAlign w:val="center"/>
          </w:tcPr>
          <w:p w14:paraId="073CCB23" w14:textId="77777777" w:rsidR="008E6885" w:rsidRDefault="00EA24E7">
            <w:pPr>
              <w:pStyle w:val="P68B1DB1-Normal45"/>
              <w:spacing w:after="0"/>
              <w:jc w:val="center"/>
              <w:rPr>
                <w:noProof/>
              </w:rPr>
            </w:pPr>
            <w:r>
              <w:rPr>
                <w:noProof/>
              </w:rPr>
              <w:t>26</w:t>
            </w:r>
          </w:p>
        </w:tc>
        <w:tc>
          <w:tcPr>
            <w:tcW w:w="3655" w:type="dxa"/>
            <w:shd w:val="clear" w:color="auto" w:fill="C6EFCE"/>
            <w:tcMar>
              <w:left w:w="108" w:type="dxa"/>
              <w:right w:w="108" w:type="dxa"/>
            </w:tcMar>
          </w:tcPr>
          <w:p w14:paraId="4249C067" w14:textId="77777777" w:rsidR="008E6885" w:rsidRDefault="00EA24E7">
            <w:pPr>
              <w:pStyle w:val="P68B1DB1-Normal45"/>
              <w:spacing w:after="0"/>
              <w:rPr>
                <w:noProof/>
              </w:rPr>
            </w:pPr>
            <w:r>
              <w:rPr>
                <w:noProof/>
              </w:rPr>
              <w:t>1.3.1.2.i. Investissements dans les infrastructures de réduction des risques d'inondation</w:t>
            </w:r>
          </w:p>
        </w:tc>
        <w:tc>
          <w:tcPr>
            <w:tcW w:w="1433" w:type="dxa"/>
            <w:shd w:val="clear" w:color="auto" w:fill="C6EFCE"/>
            <w:tcMar>
              <w:left w:w="108" w:type="dxa"/>
              <w:right w:w="108" w:type="dxa"/>
            </w:tcMar>
          </w:tcPr>
          <w:p w14:paraId="2266FC39"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63E6D126" w14:textId="77777777" w:rsidR="008E6885" w:rsidRDefault="00EA24E7">
            <w:pPr>
              <w:pStyle w:val="P68B1DB1-Normal45"/>
              <w:spacing w:after="0"/>
              <w:jc w:val="both"/>
              <w:rPr>
                <w:noProof/>
              </w:rPr>
            </w:pPr>
            <w:r>
              <w:rPr>
                <w:noProof/>
              </w:rPr>
              <w:t>Projets de protection contre les risques d'inondation</w:t>
            </w:r>
          </w:p>
        </w:tc>
      </w:tr>
      <w:tr w:rsidR="008E6885" w14:paraId="14DE2F18" w14:textId="77777777">
        <w:trPr>
          <w:trHeight w:val="300"/>
        </w:trPr>
        <w:tc>
          <w:tcPr>
            <w:tcW w:w="1522" w:type="dxa"/>
            <w:shd w:val="clear" w:color="auto" w:fill="C6EFCE"/>
            <w:tcMar>
              <w:left w:w="108" w:type="dxa"/>
              <w:right w:w="108" w:type="dxa"/>
            </w:tcMar>
            <w:vAlign w:val="center"/>
          </w:tcPr>
          <w:p w14:paraId="7CF3769B" w14:textId="77777777" w:rsidR="008E6885" w:rsidRDefault="00EA24E7">
            <w:pPr>
              <w:pStyle w:val="P68B1DB1-Normal45"/>
              <w:spacing w:after="0"/>
              <w:jc w:val="center"/>
              <w:rPr>
                <w:noProof/>
              </w:rPr>
            </w:pPr>
            <w:r>
              <w:rPr>
                <w:noProof/>
              </w:rPr>
              <w:t>30</w:t>
            </w:r>
          </w:p>
        </w:tc>
        <w:tc>
          <w:tcPr>
            <w:tcW w:w="3655" w:type="dxa"/>
            <w:shd w:val="clear" w:color="auto" w:fill="C6EFCE"/>
            <w:tcMar>
              <w:left w:w="108" w:type="dxa"/>
              <w:right w:w="108" w:type="dxa"/>
            </w:tcMar>
          </w:tcPr>
          <w:p w14:paraId="231A0961" w14:textId="77777777" w:rsidR="008E6885" w:rsidRDefault="00EA24E7">
            <w:pPr>
              <w:pStyle w:val="P68B1DB1-Normal45"/>
              <w:spacing w:after="0"/>
              <w:rPr>
                <w:noProof/>
              </w:rPr>
            </w:pPr>
            <w:r>
              <w:rPr>
                <w:noProof/>
              </w:rPr>
              <w:t>2.1.1.1.i. Modernisation de l'administration et transformation numérique des services</w:t>
            </w:r>
          </w:p>
        </w:tc>
        <w:tc>
          <w:tcPr>
            <w:tcW w:w="1433" w:type="dxa"/>
            <w:shd w:val="clear" w:color="auto" w:fill="C6EFCE"/>
            <w:tcMar>
              <w:left w:w="108" w:type="dxa"/>
              <w:right w:w="108" w:type="dxa"/>
            </w:tcMar>
          </w:tcPr>
          <w:p w14:paraId="38E68576"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7E9AD4AF" w14:textId="5D378F63" w:rsidR="008E6885" w:rsidRDefault="00EA24E7">
            <w:pPr>
              <w:pStyle w:val="P68B1DB1-Normal45"/>
              <w:spacing w:after="0"/>
              <w:jc w:val="both"/>
              <w:rPr>
                <w:noProof/>
              </w:rPr>
            </w:pPr>
            <w:r>
              <w:rPr>
                <w:noProof/>
              </w:rPr>
              <w:t>Solutions ou systèmes TIC</w:t>
            </w:r>
          </w:p>
        </w:tc>
      </w:tr>
      <w:tr w:rsidR="008E6885" w14:paraId="0110E7F2" w14:textId="77777777">
        <w:trPr>
          <w:trHeight w:val="300"/>
        </w:trPr>
        <w:tc>
          <w:tcPr>
            <w:tcW w:w="1522" w:type="dxa"/>
            <w:shd w:val="clear" w:color="auto" w:fill="C6EFCE"/>
            <w:tcMar>
              <w:left w:w="108" w:type="dxa"/>
              <w:right w:w="108" w:type="dxa"/>
            </w:tcMar>
            <w:vAlign w:val="center"/>
          </w:tcPr>
          <w:p w14:paraId="2AC16664" w14:textId="77777777" w:rsidR="008E6885" w:rsidRDefault="00EA24E7">
            <w:pPr>
              <w:pStyle w:val="P68B1DB1-Normal45"/>
              <w:spacing w:after="0"/>
              <w:jc w:val="center"/>
              <w:rPr>
                <w:noProof/>
              </w:rPr>
            </w:pPr>
            <w:r>
              <w:rPr>
                <w:noProof/>
              </w:rPr>
              <w:t>34</w:t>
            </w:r>
          </w:p>
        </w:tc>
        <w:tc>
          <w:tcPr>
            <w:tcW w:w="3655" w:type="dxa"/>
            <w:shd w:val="clear" w:color="auto" w:fill="C6EFCE"/>
            <w:tcMar>
              <w:left w:w="108" w:type="dxa"/>
              <w:right w:w="108" w:type="dxa"/>
            </w:tcMar>
          </w:tcPr>
          <w:p w14:paraId="5881C66B" w14:textId="77777777" w:rsidR="008E6885" w:rsidRDefault="00EA24E7">
            <w:pPr>
              <w:pStyle w:val="P68B1DB1-Normal45"/>
              <w:spacing w:after="0"/>
              <w:rPr>
                <w:noProof/>
                <w:color w:val="000000" w:themeColor="text1"/>
              </w:rPr>
            </w:pPr>
            <w:r>
              <w:rPr>
                <w:noProof/>
              </w:rPr>
              <w:t xml:space="preserve">2.1.2.1.i. Plateformes, solutions ou systèmes centralisés </w:t>
            </w:r>
          </w:p>
        </w:tc>
        <w:tc>
          <w:tcPr>
            <w:tcW w:w="1433" w:type="dxa"/>
            <w:shd w:val="clear" w:color="auto" w:fill="C6EFCE"/>
            <w:tcMar>
              <w:left w:w="108" w:type="dxa"/>
              <w:right w:w="108" w:type="dxa"/>
            </w:tcMar>
          </w:tcPr>
          <w:p w14:paraId="05A5EAA4"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49273B0B" w14:textId="3784B6A9" w:rsidR="008E6885" w:rsidRDefault="00EA24E7">
            <w:pPr>
              <w:pStyle w:val="P68B1DB1-Normal45"/>
              <w:spacing w:after="0"/>
              <w:jc w:val="both"/>
              <w:rPr>
                <w:noProof/>
              </w:rPr>
            </w:pPr>
            <w:r>
              <w:rPr>
                <w:noProof/>
              </w:rPr>
              <w:t>Plateformes, solutions ou systèmes TIC centralisés</w:t>
            </w:r>
          </w:p>
        </w:tc>
      </w:tr>
      <w:tr w:rsidR="008E6885" w14:paraId="0BEC8375" w14:textId="77777777">
        <w:trPr>
          <w:trHeight w:val="300"/>
        </w:trPr>
        <w:tc>
          <w:tcPr>
            <w:tcW w:w="1522" w:type="dxa"/>
            <w:shd w:val="clear" w:color="auto" w:fill="C6EFCE"/>
            <w:tcMar>
              <w:left w:w="108" w:type="dxa"/>
              <w:right w:w="108" w:type="dxa"/>
            </w:tcMar>
            <w:vAlign w:val="center"/>
          </w:tcPr>
          <w:p w14:paraId="009EE551" w14:textId="77777777" w:rsidR="008E6885" w:rsidRDefault="00EA24E7">
            <w:pPr>
              <w:pStyle w:val="P68B1DB1-Normal45"/>
              <w:spacing w:after="0"/>
              <w:jc w:val="center"/>
              <w:rPr>
                <w:noProof/>
              </w:rPr>
            </w:pPr>
            <w:r>
              <w:rPr>
                <w:noProof/>
              </w:rPr>
              <w:t>39</w:t>
            </w:r>
          </w:p>
        </w:tc>
        <w:tc>
          <w:tcPr>
            <w:tcW w:w="3655" w:type="dxa"/>
            <w:shd w:val="clear" w:color="auto" w:fill="C6EFCE"/>
            <w:tcMar>
              <w:left w:w="108" w:type="dxa"/>
              <w:right w:w="108" w:type="dxa"/>
            </w:tcMar>
          </w:tcPr>
          <w:p w14:paraId="6AD002F5" w14:textId="77777777" w:rsidR="008E6885" w:rsidRDefault="00EA24E7">
            <w:pPr>
              <w:pStyle w:val="P68B1DB1-Normal45"/>
              <w:spacing w:after="0"/>
              <w:rPr>
                <w:noProof/>
              </w:rPr>
            </w:pPr>
            <w:r>
              <w:rPr>
                <w:noProof/>
              </w:rPr>
              <w:t>2.1.3.1.i. Disponibilité, partage et analyse des données</w:t>
            </w:r>
          </w:p>
        </w:tc>
        <w:tc>
          <w:tcPr>
            <w:tcW w:w="1433" w:type="dxa"/>
            <w:shd w:val="clear" w:color="auto" w:fill="C6EFCE"/>
            <w:tcMar>
              <w:left w:w="108" w:type="dxa"/>
              <w:right w:w="108" w:type="dxa"/>
            </w:tcMar>
          </w:tcPr>
          <w:p w14:paraId="490E4EA0"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44EB24B8" w14:textId="77777777" w:rsidR="008E6885" w:rsidRDefault="00EA24E7">
            <w:pPr>
              <w:pStyle w:val="P68B1DB1-Normal45"/>
              <w:spacing w:after="0"/>
              <w:jc w:val="both"/>
              <w:rPr>
                <w:noProof/>
              </w:rPr>
            </w:pPr>
            <w:r>
              <w:rPr>
                <w:noProof/>
              </w:rPr>
              <w:t>Disponibilité des ensembles de données sur les plateformes</w:t>
            </w:r>
          </w:p>
        </w:tc>
      </w:tr>
      <w:tr w:rsidR="008E6885" w14:paraId="7289468D" w14:textId="77777777">
        <w:trPr>
          <w:trHeight w:val="300"/>
        </w:trPr>
        <w:tc>
          <w:tcPr>
            <w:tcW w:w="1522" w:type="dxa"/>
            <w:shd w:val="clear" w:color="auto" w:fill="C6EFCE"/>
            <w:tcMar>
              <w:left w:w="108" w:type="dxa"/>
              <w:right w:w="108" w:type="dxa"/>
            </w:tcMar>
            <w:vAlign w:val="center"/>
          </w:tcPr>
          <w:p w14:paraId="0B7BE677" w14:textId="77777777" w:rsidR="008E6885" w:rsidRDefault="00EA24E7">
            <w:pPr>
              <w:pStyle w:val="P68B1DB1-Normal45"/>
              <w:spacing w:after="0"/>
              <w:jc w:val="center"/>
              <w:rPr>
                <w:noProof/>
              </w:rPr>
            </w:pPr>
            <w:r>
              <w:rPr>
                <w:noProof/>
              </w:rPr>
              <w:t>44 bis</w:t>
            </w:r>
          </w:p>
        </w:tc>
        <w:tc>
          <w:tcPr>
            <w:tcW w:w="3655" w:type="dxa"/>
            <w:shd w:val="clear" w:color="auto" w:fill="C6EFCE"/>
            <w:tcMar>
              <w:left w:w="108" w:type="dxa"/>
              <w:right w:w="108" w:type="dxa"/>
            </w:tcMar>
          </w:tcPr>
          <w:p w14:paraId="2B45173B" w14:textId="77777777" w:rsidR="008E6885" w:rsidRDefault="00EA24E7">
            <w:pPr>
              <w:pStyle w:val="P68B1DB1-Normal45"/>
              <w:spacing w:after="0"/>
              <w:rPr>
                <w:noProof/>
              </w:rPr>
            </w:pPr>
            <w:r>
              <w:rPr>
                <w:noProof/>
              </w:rPr>
              <w:t>2.2.1.1.i. Soutien à la mise en place de pôles d’innovation numérique et de points de contact régionaux</w:t>
            </w:r>
          </w:p>
        </w:tc>
        <w:tc>
          <w:tcPr>
            <w:tcW w:w="1433" w:type="dxa"/>
            <w:shd w:val="clear" w:color="auto" w:fill="C6EFCE"/>
            <w:tcMar>
              <w:left w:w="108" w:type="dxa"/>
              <w:right w:w="108" w:type="dxa"/>
            </w:tcMar>
          </w:tcPr>
          <w:p w14:paraId="14990E86"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4ECEE739" w14:textId="77777777" w:rsidR="008E6885" w:rsidRDefault="00EA24E7">
            <w:pPr>
              <w:pStyle w:val="P68B1DB1-Normal45"/>
              <w:spacing w:after="0"/>
              <w:jc w:val="both"/>
              <w:rPr>
                <w:noProof/>
              </w:rPr>
            </w:pPr>
            <w:r>
              <w:rPr>
                <w:noProof/>
              </w:rPr>
              <w:t>Soutien à la transformation numérique des entités par les pôles européens d’innovation numérique (EDIH)</w:t>
            </w:r>
          </w:p>
        </w:tc>
      </w:tr>
      <w:tr w:rsidR="008E6885" w14:paraId="70B6AD52" w14:textId="77777777">
        <w:trPr>
          <w:trHeight w:val="300"/>
        </w:trPr>
        <w:tc>
          <w:tcPr>
            <w:tcW w:w="1522" w:type="dxa"/>
            <w:shd w:val="clear" w:color="auto" w:fill="C6EFCE"/>
            <w:tcMar>
              <w:left w:w="108" w:type="dxa"/>
              <w:right w:w="108" w:type="dxa"/>
            </w:tcMar>
            <w:vAlign w:val="center"/>
          </w:tcPr>
          <w:p w14:paraId="17648F0E" w14:textId="77777777" w:rsidR="008E6885" w:rsidRDefault="00EA24E7">
            <w:pPr>
              <w:pStyle w:val="P68B1DB1-Normal45"/>
              <w:spacing w:after="0"/>
              <w:jc w:val="center"/>
              <w:rPr>
                <w:rFonts w:ascii="Calibri" w:hAnsi="Calibri"/>
                <w:noProof/>
              </w:rPr>
            </w:pPr>
            <w:r>
              <w:rPr>
                <w:noProof/>
              </w:rPr>
              <w:t>53</w:t>
            </w:r>
          </w:p>
        </w:tc>
        <w:tc>
          <w:tcPr>
            <w:tcW w:w="3655" w:type="dxa"/>
            <w:shd w:val="clear" w:color="auto" w:fill="C6EFCE"/>
            <w:tcMar>
              <w:left w:w="108" w:type="dxa"/>
              <w:right w:w="108" w:type="dxa"/>
            </w:tcMar>
          </w:tcPr>
          <w:p w14:paraId="07D0BB12" w14:textId="77777777" w:rsidR="008E6885" w:rsidRDefault="00EA24E7">
            <w:pPr>
              <w:pStyle w:val="P68B1DB1-Normal45"/>
              <w:spacing w:after="0"/>
              <w:rPr>
                <w:rFonts w:ascii="Calibri" w:hAnsi="Calibri"/>
                <w:noProof/>
              </w:rPr>
            </w:pPr>
            <w:r>
              <w:rPr>
                <w:noProof/>
              </w:rPr>
              <w:t>2.2.1.5.i. Favoriser la transformation numérique des entreprises de médias</w:t>
            </w:r>
          </w:p>
        </w:tc>
        <w:tc>
          <w:tcPr>
            <w:tcW w:w="1433" w:type="dxa"/>
            <w:shd w:val="clear" w:color="auto" w:fill="C6EFCE"/>
            <w:tcMar>
              <w:left w:w="108" w:type="dxa"/>
              <w:right w:w="108" w:type="dxa"/>
            </w:tcMar>
          </w:tcPr>
          <w:p w14:paraId="6DA550BE" w14:textId="77777777" w:rsidR="008E6885" w:rsidRDefault="00EA24E7">
            <w:pPr>
              <w:pStyle w:val="P68B1DB1-Normal45"/>
              <w:spacing w:after="0"/>
              <w:jc w:val="center"/>
              <w:rPr>
                <w:rFonts w:ascii="Calibri" w:hAnsi="Calibri"/>
                <w:noProof/>
              </w:rPr>
            </w:pPr>
            <w:r>
              <w:rPr>
                <w:noProof/>
              </w:rPr>
              <w:t>Objectif</w:t>
            </w:r>
          </w:p>
        </w:tc>
        <w:tc>
          <w:tcPr>
            <w:tcW w:w="3019" w:type="dxa"/>
            <w:shd w:val="clear" w:color="auto" w:fill="C6EFCE"/>
            <w:tcMar>
              <w:left w:w="108" w:type="dxa"/>
              <w:right w:w="108" w:type="dxa"/>
            </w:tcMar>
          </w:tcPr>
          <w:p w14:paraId="7A17737E" w14:textId="7960483C" w:rsidR="008E6885" w:rsidRDefault="00EA24E7">
            <w:pPr>
              <w:pStyle w:val="P68B1DB1-Normal45"/>
              <w:spacing w:after="0"/>
              <w:jc w:val="both"/>
              <w:rPr>
                <w:rFonts w:ascii="Calibri" w:hAnsi="Calibri"/>
                <w:noProof/>
              </w:rPr>
            </w:pPr>
            <w:r>
              <w:rPr>
                <w:noProof/>
              </w:rPr>
              <w:t>Plateformes ou solutions informatiques</w:t>
            </w:r>
          </w:p>
        </w:tc>
      </w:tr>
      <w:tr w:rsidR="008E6885" w14:paraId="1F924C99" w14:textId="77777777">
        <w:trPr>
          <w:trHeight w:val="300"/>
        </w:trPr>
        <w:tc>
          <w:tcPr>
            <w:tcW w:w="1522" w:type="dxa"/>
            <w:shd w:val="clear" w:color="auto" w:fill="C6EFCE"/>
            <w:tcMar>
              <w:left w:w="108" w:type="dxa"/>
              <w:right w:w="108" w:type="dxa"/>
            </w:tcMar>
            <w:vAlign w:val="center"/>
          </w:tcPr>
          <w:p w14:paraId="2B240911" w14:textId="77777777" w:rsidR="008E6885" w:rsidRDefault="00EA24E7">
            <w:pPr>
              <w:pStyle w:val="P68B1DB1-Normal45"/>
              <w:spacing w:after="0"/>
              <w:jc w:val="center"/>
              <w:rPr>
                <w:rFonts w:ascii="Calibri" w:hAnsi="Calibri"/>
                <w:noProof/>
              </w:rPr>
            </w:pPr>
            <w:r>
              <w:rPr>
                <w:noProof/>
              </w:rPr>
              <w:t>61</w:t>
            </w:r>
          </w:p>
        </w:tc>
        <w:tc>
          <w:tcPr>
            <w:tcW w:w="3655" w:type="dxa"/>
            <w:shd w:val="clear" w:color="auto" w:fill="C6EFCE"/>
            <w:tcMar>
              <w:left w:w="108" w:type="dxa"/>
              <w:right w:w="108" w:type="dxa"/>
            </w:tcMar>
          </w:tcPr>
          <w:p w14:paraId="207CA8C5" w14:textId="77777777" w:rsidR="008E6885" w:rsidRDefault="00EA24E7">
            <w:pPr>
              <w:pStyle w:val="P68B1DB1-Normal45"/>
              <w:spacing w:after="0"/>
              <w:rPr>
                <w:noProof/>
              </w:rPr>
            </w:pPr>
            <w:r>
              <w:rPr>
                <w:noProof/>
              </w:rPr>
              <w:t xml:space="preserve">2.3.1.r. Élaboration d'un cadre de soutien durable et socialement responsable pour l'éducation et la formation des adultes </w:t>
            </w:r>
          </w:p>
        </w:tc>
        <w:tc>
          <w:tcPr>
            <w:tcW w:w="1433" w:type="dxa"/>
            <w:shd w:val="clear" w:color="auto" w:fill="C6EFCE"/>
            <w:tcMar>
              <w:left w:w="108" w:type="dxa"/>
              <w:right w:w="108" w:type="dxa"/>
            </w:tcMar>
          </w:tcPr>
          <w:p w14:paraId="69634E01"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21B45E4C" w14:textId="77777777" w:rsidR="008E6885" w:rsidRDefault="00EA24E7">
            <w:pPr>
              <w:pStyle w:val="P68B1DB1-Normal45"/>
              <w:spacing w:after="0"/>
              <w:jc w:val="both"/>
              <w:rPr>
                <w:noProof/>
                <w:sz w:val="20"/>
                <w:szCs w:val="20"/>
              </w:rPr>
            </w:pPr>
            <w:r>
              <w:rPr>
                <w:noProof/>
              </w:rPr>
              <w:t>Approche du compte de formation individuel</w:t>
            </w:r>
          </w:p>
        </w:tc>
      </w:tr>
      <w:tr w:rsidR="008E6885" w14:paraId="223EC402" w14:textId="77777777">
        <w:trPr>
          <w:trHeight w:val="300"/>
        </w:trPr>
        <w:tc>
          <w:tcPr>
            <w:tcW w:w="1522" w:type="dxa"/>
            <w:shd w:val="clear" w:color="auto" w:fill="C6EFCE"/>
            <w:tcMar>
              <w:left w:w="108" w:type="dxa"/>
              <w:right w:w="108" w:type="dxa"/>
            </w:tcMar>
            <w:vAlign w:val="center"/>
          </w:tcPr>
          <w:p w14:paraId="4A914BE5" w14:textId="77777777" w:rsidR="008E6885" w:rsidRDefault="00EA24E7">
            <w:pPr>
              <w:pStyle w:val="P68B1DB1-Normal45"/>
              <w:spacing w:after="0"/>
              <w:jc w:val="center"/>
              <w:rPr>
                <w:rFonts w:ascii="Calibri" w:hAnsi="Calibri"/>
                <w:noProof/>
              </w:rPr>
            </w:pPr>
            <w:r>
              <w:rPr>
                <w:noProof/>
              </w:rPr>
              <w:t>62</w:t>
            </w:r>
          </w:p>
        </w:tc>
        <w:tc>
          <w:tcPr>
            <w:tcW w:w="3655" w:type="dxa"/>
            <w:shd w:val="clear" w:color="auto" w:fill="C6EFCE"/>
            <w:tcMar>
              <w:left w:w="108" w:type="dxa"/>
              <w:right w:w="108" w:type="dxa"/>
            </w:tcMar>
          </w:tcPr>
          <w:p w14:paraId="43196084" w14:textId="77777777" w:rsidR="008E6885" w:rsidRDefault="00EA24E7">
            <w:pPr>
              <w:pStyle w:val="P68B1DB1-Normal45"/>
              <w:spacing w:after="0"/>
              <w:rPr>
                <w:noProof/>
              </w:rPr>
            </w:pPr>
            <w:r>
              <w:rPr>
                <w:noProof/>
              </w:rPr>
              <w:t>2.3.1.1.i. Fournir des compétences numériques</w:t>
            </w:r>
          </w:p>
        </w:tc>
        <w:tc>
          <w:tcPr>
            <w:tcW w:w="1433" w:type="dxa"/>
            <w:shd w:val="clear" w:color="auto" w:fill="C6EFCE"/>
            <w:tcMar>
              <w:left w:w="108" w:type="dxa"/>
              <w:right w:w="108" w:type="dxa"/>
            </w:tcMar>
          </w:tcPr>
          <w:p w14:paraId="3F987701"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571A2D0A" w14:textId="7DC013A3" w:rsidR="008E6885" w:rsidRDefault="00EA24E7">
            <w:pPr>
              <w:pStyle w:val="P68B1DB1-Normal47"/>
              <w:spacing w:after="0"/>
              <w:jc w:val="both"/>
              <w:rPr>
                <w:rFonts w:cs="Arial"/>
                <w:noProof/>
              </w:rPr>
            </w:pPr>
            <w:r>
              <w:rPr>
                <w:noProof/>
              </w:rPr>
              <w:t>Modules conçus pour les programmes d'études de l'enseignement supérieur</w:t>
            </w:r>
          </w:p>
        </w:tc>
      </w:tr>
      <w:tr w:rsidR="008E6885" w14:paraId="512F3321" w14:textId="77777777">
        <w:trPr>
          <w:trHeight w:val="300"/>
        </w:trPr>
        <w:tc>
          <w:tcPr>
            <w:tcW w:w="1522" w:type="dxa"/>
            <w:shd w:val="clear" w:color="auto" w:fill="C6EFCE"/>
            <w:tcMar>
              <w:left w:w="108" w:type="dxa"/>
              <w:right w:w="108" w:type="dxa"/>
            </w:tcMar>
            <w:vAlign w:val="center"/>
          </w:tcPr>
          <w:p w14:paraId="5CF23F5D" w14:textId="77777777" w:rsidR="008E6885" w:rsidRDefault="00EA24E7">
            <w:pPr>
              <w:pStyle w:val="P68B1DB1-Normal45"/>
              <w:spacing w:after="0"/>
              <w:jc w:val="center"/>
              <w:rPr>
                <w:rFonts w:ascii="Calibri" w:hAnsi="Calibri"/>
                <w:noProof/>
              </w:rPr>
            </w:pPr>
            <w:r>
              <w:rPr>
                <w:noProof/>
              </w:rPr>
              <w:t>64</w:t>
            </w:r>
          </w:p>
        </w:tc>
        <w:tc>
          <w:tcPr>
            <w:tcW w:w="3655" w:type="dxa"/>
            <w:shd w:val="clear" w:color="auto" w:fill="C6EFCE"/>
            <w:tcMar>
              <w:left w:w="108" w:type="dxa"/>
              <w:right w:w="108" w:type="dxa"/>
            </w:tcMar>
          </w:tcPr>
          <w:p w14:paraId="5475CD4B" w14:textId="77777777" w:rsidR="008E6885" w:rsidRDefault="00EA24E7">
            <w:pPr>
              <w:pStyle w:val="P68B1DB1-Normal45"/>
              <w:spacing w:after="0"/>
              <w:rPr>
                <w:noProof/>
              </w:rPr>
            </w:pPr>
            <w:r>
              <w:rPr>
                <w:noProof/>
              </w:rPr>
              <w:t xml:space="preserve">2.3.1.2.i. Développement des compétences numériques </w:t>
            </w:r>
          </w:p>
        </w:tc>
        <w:tc>
          <w:tcPr>
            <w:tcW w:w="1433" w:type="dxa"/>
            <w:shd w:val="clear" w:color="auto" w:fill="C6EFCE"/>
            <w:tcMar>
              <w:left w:w="108" w:type="dxa"/>
              <w:right w:w="108" w:type="dxa"/>
            </w:tcMar>
          </w:tcPr>
          <w:p w14:paraId="46518F69"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41F78ED4" w14:textId="77777777" w:rsidR="008E6885" w:rsidRDefault="00EA24E7">
            <w:pPr>
              <w:pStyle w:val="P68B1DB1-Normal46"/>
              <w:spacing w:after="0"/>
              <w:jc w:val="both"/>
              <w:rPr>
                <w:noProof/>
              </w:rPr>
            </w:pPr>
            <w:r>
              <w:rPr>
                <w:noProof/>
              </w:rPr>
              <w:t>Formations aux compétences numériques</w:t>
            </w:r>
          </w:p>
        </w:tc>
      </w:tr>
      <w:tr w:rsidR="008E6885" w14:paraId="378AB4E7" w14:textId="77777777">
        <w:trPr>
          <w:trHeight w:val="300"/>
        </w:trPr>
        <w:tc>
          <w:tcPr>
            <w:tcW w:w="1522" w:type="dxa"/>
            <w:shd w:val="clear" w:color="auto" w:fill="C6EFCE"/>
            <w:tcMar>
              <w:left w:w="108" w:type="dxa"/>
              <w:right w:w="108" w:type="dxa"/>
            </w:tcMar>
            <w:vAlign w:val="center"/>
          </w:tcPr>
          <w:p w14:paraId="1AC96A35" w14:textId="77777777" w:rsidR="008E6885" w:rsidRDefault="00EA24E7">
            <w:pPr>
              <w:pStyle w:val="P68B1DB1-Normal45"/>
              <w:jc w:val="center"/>
              <w:rPr>
                <w:noProof/>
                <w:color w:val="000000" w:themeColor="text1"/>
              </w:rPr>
            </w:pPr>
            <w:r>
              <w:rPr>
                <w:noProof/>
              </w:rPr>
              <w:t>68 bis</w:t>
            </w:r>
          </w:p>
        </w:tc>
        <w:tc>
          <w:tcPr>
            <w:tcW w:w="3655" w:type="dxa"/>
            <w:shd w:val="clear" w:color="auto" w:fill="C6EFCE"/>
            <w:tcMar>
              <w:left w:w="108" w:type="dxa"/>
              <w:right w:w="108" w:type="dxa"/>
            </w:tcMar>
          </w:tcPr>
          <w:p w14:paraId="3BFC3857" w14:textId="2492DC76" w:rsidR="008E6885" w:rsidRDefault="00EA24E7">
            <w:pPr>
              <w:pStyle w:val="P68B1DB1-Normal45"/>
              <w:rPr>
                <w:noProof/>
                <w:color w:val="000000" w:themeColor="text1"/>
              </w:rPr>
            </w:pPr>
            <w:r>
              <w:rPr>
                <w:noProof/>
              </w:rPr>
              <w:t>2.3.1.5.i. Compétences numériques par l’intermédiaire de la plateforme de compte d’apprentissage individuel</w:t>
            </w:r>
          </w:p>
        </w:tc>
        <w:tc>
          <w:tcPr>
            <w:tcW w:w="1433" w:type="dxa"/>
            <w:shd w:val="clear" w:color="auto" w:fill="C6EFCE"/>
            <w:tcMar>
              <w:left w:w="108" w:type="dxa"/>
              <w:right w:w="108" w:type="dxa"/>
            </w:tcMar>
          </w:tcPr>
          <w:p w14:paraId="560A2736" w14:textId="77777777" w:rsidR="008E6885" w:rsidRDefault="00EA24E7">
            <w:pPr>
              <w:pStyle w:val="P68B1DB1-Normal45"/>
              <w:jc w:val="center"/>
              <w:rPr>
                <w:noProof/>
                <w:color w:val="000000" w:themeColor="text1"/>
              </w:rPr>
            </w:pPr>
            <w:r>
              <w:rPr>
                <w:noProof/>
              </w:rPr>
              <w:t>Objectif</w:t>
            </w:r>
          </w:p>
        </w:tc>
        <w:tc>
          <w:tcPr>
            <w:tcW w:w="3019" w:type="dxa"/>
            <w:shd w:val="clear" w:color="auto" w:fill="C6EFCE"/>
            <w:tcMar>
              <w:left w:w="108" w:type="dxa"/>
              <w:right w:w="108" w:type="dxa"/>
            </w:tcMar>
          </w:tcPr>
          <w:p w14:paraId="5E8F3901" w14:textId="4CBE5F82" w:rsidR="008E6885" w:rsidRDefault="00EA24E7">
            <w:pPr>
              <w:pStyle w:val="P68B1DB1-Normal46"/>
              <w:jc w:val="both"/>
              <w:rPr>
                <w:noProof/>
              </w:rPr>
            </w:pPr>
            <w:r>
              <w:rPr>
                <w:noProof/>
              </w:rPr>
              <w:t>Formations aux compétences numériques</w:t>
            </w:r>
          </w:p>
        </w:tc>
      </w:tr>
      <w:tr w:rsidR="008E6885" w14:paraId="6196DA85" w14:textId="77777777">
        <w:trPr>
          <w:trHeight w:val="300"/>
        </w:trPr>
        <w:tc>
          <w:tcPr>
            <w:tcW w:w="1522" w:type="dxa"/>
            <w:shd w:val="clear" w:color="auto" w:fill="C6EFCE"/>
            <w:tcMar>
              <w:left w:w="108" w:type="dxa"/>
              <w:right w:w="108" w:type="dxa"/>
            </w:tcMar>
            <w:vAlign w:val="center"/>
          </w:tcPr>
          <w:p w14:paraId="5F4ADE14" w14:textId="77777777" w:rsidR="008E6885" w:rsidRDefault="00EA24E7">
            <w:pPr>
              <w:pStyle w:val="P68B1DB1-Normal45"/>
              <w:spacing w:after="0"/>
              <w:jc w:val="center"/>
              <w:rPr>
                <w:rFonts w:ascii="Calibri" w:hAnsi="Calibri"/>
                <w:noProof/>
              </w:rPr>
            </w:pPr>
            <w:r>
              <w:rPr>
                <w:noProof/>
              </w:rPr>
              <w:t>73</w:t>
            </w:r>
          </w:p>
        </w:tc>
        <w:tc>
          <w:tcPr>
            <w:tcW w:w="3655" w:type="dxa"/>
            <w:shd w:val="clear" w:color="auto" w:fill="C6EFCE"/>
            <w:tcMar>
              <w:left w:w="108" w:type="dxa"/>
              <w:right w:w="108" w:type="dxa"/>
            </w:tcMar>
          </w:tcPr>
          <w:p w14:paraId="56368F23" w14:textId="77777777" w:rsidR="008E6885" w:rsidRDefault="00EA24E7">
            <w:pPr>
              <w:pStyle w:val="P68B1DB1-Normal45"/>
              <w:spacing w:after="0"/>
              <w:rPr>
                <w:noProof/>
              </w:rPr>
            </w:pPr>
            <w:r>
              <w:rPr>
                <w:noProof/>
              </w:rPr>
              <w:t>2.3.2.1.i. Compétences numériques pour les personnes, y compris les jeunes</w:t>
            </w:r>
          </w:p>
        </w:tc>
        <w:tc>
          <w:tcPr>
            <w:tcW w:w="1433" w:type="dxa"/>
            <w:shd w:val="clear" w:color="auto" w:fill="C6EFCE"/>
            <w:tcMar>
              <w:left w:w="108" w:type="dxa"/>
              <w:right w:w="108" w:type="dxa"/>
            </w:tcMar>
          </w:tcPr>
          <w:p w14:paraId="061E24CF"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4D76CCAD" w14:textId="3E62CB7A" w:rsidR="008E6885" w:rsidRDefault="00EA24E7">
            <w:pPr>
              <w:pStyle w:val="P68B1DB1-Normal45"/>
              <w:spacing w:after="0"/>
              <w:jc w:val="both"/>
              <w:rPr>
                <w:noProof/>
                <w:sz w:val="20"/>
                <w:szCs w:val="20"/>
              </w:rPr>
            </w:pPr>
            <w:r>
              <w:rPr>
                <w:noProof/>
              </w:rPr>
              <w:t>Système numérique d’animation socio-éducative dans les municipalités</w:t>
            </w:r>
          </w:p>
        </w:tc>
      </w:tr>
      <w:tr w:rsidR="008E6885" w14:paraId="749D7502" w14:textId="77777777">
        <w:trPr>
          <w:trHeight w:val="300"/>
        </w:trPr>
        <w:tc>
          <w:tcPr>
            <w:tcW w:w="1522" w:type="dxa"/>
            <w:shd w:val="clear" w:color="auto" w:fill="C6EFCE"/>
            <w:tcMar>
              <w:left w:w="108" w:type="dxa"/>
              <w:right w:w="108" w:type="dxa"/>
            </w:tcMar>
            <w:vAlign w:val="center"/>
          </w:tcPr>
          <w:p w14:paraId="7349F9B4" w14:textId="77777777" w:rsidR="008E6885" w:rsidRDefault="00EA24E7">
            <w:pPr>
              <w:pStyle w:val="P68B1DB1-Normal45"/>
              <w:spacing w:after="0"/>
              <w:jc w:val="center"/>
              <w:rPr>
                <w:rFonts w:ascii="Calibri" w:hAnsi="Calibri"/>
                <w:noProof/>
              </w:rPr>
            </w:pPr>
            <w:r>
              <w:rPr>
                <w:noProof/>
              </w:rPr>
              <w:t>76</w:t>
            </w:r>
          </w:p>
        </w:tc>
        <w:tc>
          <w:tcPr>
            <w:tcW w:w="3655" w:type="dxa"/>
            <w:shd w:val="clear" w:color="auto" w:fill="C6EFCE"/>
            <w:tcMar>
              <w:left w:w="108" w:type="dxa"/>
              <w:right w:w="108" w:type="dxa"/>
            </w:tcMar>
          </w:tcPr>
          <w:p w14:paraId="77FD62FA" w14:textId="77777777" w:rsidR="008E6885" w:rsidRDefault="00EA24E7">
            <w:pPr>
              <w:pStyle w:val="P68B1DB1-Normal45"/>
              <w:spacing w:after="0"/>
              <w:rPr>
                <w:noProof/>
              </w:rPr>
            </w:pPr>
            <w:r>
              <w:rPr>
                <w:noProof/>
              </w:rPr>
              <w:t>2.3.2.2.i. Développement des compétences et des capacités en matière de transformation numérique des administrations étatiques et locales</w:t>
            </w:r>
          </w:p>
        </w:tc>
        <w:tc>
          <w:tcPr>
            <w:tcW w:w="1433" w:type="dxa"/>
            <w:shd w:val="clear" w:color="auto" w:fill="C6EFCE"/>
            <w:tcMar>
              <w:left w:w="108" w:type="dxa"/>
              <w:right w:w="108" w:type="dxa"/>
            </w:tcMar>
          </w:tcPr>
          <w:p w14:paraId="4ECB02EF"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5D3C7D3D" w14:textId="6F24EB92" w:rsidR="008E6885" w:rsidRDefault="00EA24E7">
            <w:pPr>
              <w:pStyle w:val="P68B1DB1-Normal45"/>
              <w:spacing w:after="0"/>
              <w:jc w:val="both"/>
              <w:rPr>
                <w:noProof/>
                <w:sz w:val="20"/>
                <w:szCs w:val="20"/>
              </w:rPr>
            </w:pPr>
            <w:r>
              <w:rPr>
                <w:noProof/>
              </w:rPr>
              <w:t>Formations suivies</w:t>
            </w:r>
          </w:p>
        </w:tc>
      </w:tr>
      <w:tr w:rsidR="008E6885" w14:paraId="52B78B2D" w14:textId="77777777">
        <w:trPr>
          <w:trHeight w:val="300"/>
        </w:trPr>
        <w:tc>
          <w:tcPr>
            <w:tcW w:w="1522" w:type="dxa"/>
            <w:shd w:val="clear" w:color="auto" w:fill="C6EFCE"/>
            <w:tcMar>
              <w:left w:w="108" w:type="dxa"/>
              <w:right w:w="108" w:type="dxa"/>
            </w:tcMar>
            <w:vAlign w:val="center"/>
          </w:tcPr>
          <w:p w14:paraId="579EC47D" w14:textId="77777777" w:rsidR="008E6885" w:rsidRDefault="00EA24E7">
            <w:pPr>
              <w:pStyle w:val="P68B1DB1-Normal45"/>
              <w:spacing w:after="0"/>
              <w:jc w:val="center"/>
              <w:rPr>
                <w:rFonts w:ascii="Calibri" w:hAnsi="Calibri"/>
                <w:noProof/>
              </w:rPr>
            </w:pPr>
            <w:r>
              <w:rPr>
                <w:noProof/>
              </w:rPr>
              <w:t>83</w:t>
            </w:r>
          </w:p>
        </w:tc>
        <w:tc>
          <w:tcPr>
            <w:tcW w:w="3655" w:type="dxa"/>
            <w:shd w:val="clear" w:color="auto" w:fill="C6EFCE"/>
            <w:tcMar>
              <w:left w:w="108" w:type="dxa"/>
              <w:right w:w="108" w:type="dxa"/>
            </w:tcMar>
          </w:tcPr>
          <w:p w14:paraId="00E4C582" w14:textId="77777777" w:rsidR="008E6885" w:rsidRDefault="00EA24E7">
            <w:pPr>
              <w:pStyle w:val="P68B1DB1-Normal45"/>
              <w:spacing w:after="0"/>
              <w:rPr>
                <w:noProof/>
              </w:rPr>
            </w:pPr>
            <w:r>
              <w:rPr>
                <w:noProof/>
              </w:rPr>
              <w:t>2.4.1.2.i. Développement des infrastructures du «dernier kilomètre» du réseau à haut débit ou à très haute capacité</w:t>
            </w:r>
          </w:p>
        </w:tc>
        <w:tc>
          <w:tcPr>
            <w:tcW w:w="1433" w:type="dxa"/>
            <w:shd w:val="clear" w:color="auto" w:fill="C6EFCE"/>
            <w:tcMar>
              <w:left w:w="108" w:type="dxa"/>
              <w:right w:w="108" w:type="dxa"/>
            </w:tcMar>
          </w:tcPr>
          <w:p w14:paraId="6379B463"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4F0A2197" w14:textId="77777777" w:rsidR="008E6885" w:rsidRDefault="00EA24E7">
            <w:pPr>
              <w:pStyle w:val="P68B1DB1-Normal45"/>
              <w:spacing w:after="0"/>
              <w:jc w:val="both"/>
              <w:rPr>
                <w:noProof/>
                <w:sz w:val="20"/>
                <w:szCs w:val="20"/>
              </w:rPr>
            </w:pPr>
            <w:r>
              <w:rPr>
                <w:noProof/>
              </w:rPr>
              <w:t>Accès au réseau à très haut débit à très haute capacité</w:t>
            </w:r>
          </w:p>
        </w:tc>
      </w:tr>
      <w:tr w:rsidR="008E6885" w14:paraId="41F48779" w14:textId="77777777">
        <w:trPr>
          <w:trHeight w:val="1164"/>
        </w:trPr>
        <w:tc>
          <w:tcPr>
            <w:tcW w:w="1522" w:type="dxa"/>
            <w:shd w:val="clear" w:color="auto" w:fill="C6EFCE"/>
            <w:tcMar>
              <w:left w:w="108" w:type="dxa"/>
              <w:right w:w="108" w:type="dxa"/>
            </w:tcMar>
            <w:vAlign w:val="center"/>
          </w:tcPr>
          <w:p w14:paraId="666317B6" w14:textId="77777777" w:rsidR="008E6885" w:rsidRDefault="00EA24E7">
            <w:pPr>
              <w:pStyle w:val="P68B1DB1-Normal45"/>
              <w:spacing w:after="0"/>
              <w:jc w:val="center"/>
              <w:rPr>
                <w:rFonts w:ascii="Calibri" w:hAnsi="Calibri"/>
                <w:noProof/>
              </w:rPr>
            </w:pPr>
            <w:r>
              <w:rPr>
                <w:noProof/>
              </w:rPr>
              <w:t>96</w:t>
            </w:r>
          </w:p>
        </w:tc>
        <w:tc>
          <w:tcPr>
            <w:tcW w:w="3655" w:type="dxa"/>
            <w:shd w:val="clear" w:color="auto" w:fill="C6EFCE"/>
            <w:tcMar>
              <w:left w:w="108" w:type="dxa"/>
              <w:right w:w="108" w:type="dxa"/>
            </w:tcMar>
          </w:tcPr>
          <w:p w14:paraId="02917D35" w14:textId="77777777" w:rsidR="008E6885" w:rsidRDefault="00EA24E7">
            <w:pPr>
              <w:pStyle w:val="P68B1DB1-Normal45"/>
              <w:spacing w:after="0"/>
              <w:rPr>
                <w:rFonts w:ascii="Calibri" w:hAnsi="Calibri"/>
                <w:noProof/>
              </w:rPr>
            </w:pPr>
            <w:r>
              <w:rPr>
                <w:noProof/>
              </w:rPr>
              <w:t xml:space="preserve">3.1.1.3.i. Investissements dans les infrastructures publiques pour le développement de parcs industriels dans les régions </w:t>
            </w:r>
          </w:p>
        </w:tc>
        <w:tc>
          <w:tcPr>
            <w:tcW w:w="1433" w:type="dxa"/>
            <w:shd w:val="clear" w:color="auto" w:fill="C6EFCE"/>
            <w:tcMar>
              <w:left w:w="108" w:type="dxa"/>
              <w:right w:w="108" w:type="dxa"/>
            </w:tcMar>
          </w:tcPr>
          <w:p w14:paraId="227D16CC" w14:textId="77777777" w:rsidR="008E6885" w:rsidRDefault="00EA24E7">
            <w:pPr>
              <w:pStyle w:val="P68B1DB1-Normal45"/>
              <w:spacing w:after="0"/>
              <w:jc w:val="center"/>
              <w:rPr>
                <w:rFonts w:cs="Times New Roman"/>
                <w:noProof/>
              </w:rPr>
            </w:pPr>
            <w:r>
              <w:rPr>
                <w:noProof/>
              </w:rPr>
              <w:t>Objectif</w:t>
            </w:r>
          </w:p>
        </w:tc>
        <w:tc>
          <w:tcPr>
            <w:tcW w:w="3019" w:type="dxa"/>
            <w:shd w:val="clear" w:color="auto" w:fill="C6EFCE"/>
            <w:tcMar>
              <w:left w:w="108" w:type="dxa"/>
              <w:right w:w="108" w:type="dxa"/>
            </w:tcMar>
          </w:tcPr>
          <w:p w14:paraId="33E060F6" w14:textId="77777777" w:rsidR="008E6885" w:rsidRDefault="00EA24E7">
            <w:pPr>
              <w:pStyle w:val="P68B1DB1-Normal48"/>
              <w:spacing w:after="0"/>
              <w:jc w:val="both"/>
              <w:rPr>
                <w:rFonts w:eastAsia="Calibri" w:cs="Arial"/>
                <w:noProof/>
              </w:rPr>
            </w:pPr>
            <w:r>
              <w:rPr>
                <w:noProof/>
              </w:rPr>
              <w:t>Parcs industriels et territoires dans les régions</w:t>
            </w:r>
          </w:p>
        </w:tc>
      </w:tr>
      <w:tr w:rsidR="008E6885" w14:paraId="62F9FAB7" w14:textId="77777777">
        <w:trPr>
          <w:trHeight w:val="300"/>
        </w:trPr>
        <w:tc>
          <w:tcPr>
            <w:tcW w:w="1522" w:type="dxa"/>
            <w:shd w:val="clear" w:color="auto" w:fill="C6EFCE"/>
            <w:tcMar>
              <w:left w:w="108" w:type="dxa"/>
              <w:right w:w="108" w:type="dxa"/>
            </w:tcMar>
            <w:vAlign w:val="center"/>
          </w:tcPr>
          <w:p w14:paraId="5CFDF915" w14:textId="77777777" w:rsidR="008E6885" w:rsidRDefault="00EA24E7">
            <w:pPr>
              <w:pStyle w:val="P68B1DB1-Normal45"/>
              <w:spacing w:after="0"/>
              <w:jc w:val="center"/>
              <w:rPr>
                <w:rFonts w:ascii="Calibri" w:hAnsi="Calibri"/>
                <w:noProof/>
              </w:rPr>
            </w:pPr>
            <w:r>
              <w:rPr>
                <w:noProof/>
              </w:rPr>
              <w:t>103</w:t>
            </w:r>
          </w:p>
        </w:tc>
        <w:tc>
          <w:tcPr>
            <w:tcW w:w="3655" w:type="dxa"/>
            <w:shd w:val="clear" w:color="auto" w:fill="C6EFCE"/>
            <w:tcMar>
              <w:left w:w="108" w:type="dxa"/>
              <w:right w:w="108" w:type="dxa"/>
            </w:tcMar>
          </w:tcPr>
          <w:p w14:paraId="16498973" w14:textId="77777777" w:rsidR="008E6885" w:rsidRDefault="00EA24E7">
            <w:pPr>
              <w:pStyle w:val="P68B1DB1-Normal45"/>
              <w:spacing w:after="0"/>
              <w:rPr>
                <w:noProof/>
              </w:rPr>
            </w:pPr>
            <w:r>
              <w:rPr>
                <w:noProof/>
              </w:rPr>
              <w:t>3.1.1.4.i. Création d'un fonds de financement pour la construction de logements à loyer modique</w:t>
            </w:r>
          </w:p>
        </w:tc>
        <w:tc>
          <w:tcPr>
            <w:tcW w:w="1433" w:type="dxa"/>
            <w:shd w:val="clear" w:color="auto" w:fill="C6EFCE"/>
            <w:tcMar>
              <w:left w:w="108" w:type="dxa"/>
              <w:right w:w="108" w:type="dxa"/>
            </w:tcMar>
          </w:tcPr>
          <w:p w14:paraId="1E2ACD0F"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6B09687A" w14:textId="766E4196" w:rsidR="008E6885" w:rsidRDefault="00EA24E7">
            <w:pPr>
              <w:pStyle w:val="P68B1DB1-Normal45"/>
              <w:spacing w:after="0"/>
              <w:jc w:val="both"/>
              <w:rPr>
                <w:noProof/>
                <w:sz w:val="20"/>
                <w:szCs w:val="20"/>
              </w:rPr>
            </w:pPr>
            <w:r>
              <w:rPr>
                <w:noProof/>
              </w:rPr>
              <w:t>Nombre d'appartements prêts à fonctionner</w:t>
            </w:r>
          </w:p>
        </w:tc>
      </w:tr>
      <w:tr w:rsidR="008E6885" w14:paraId="17D59B4A" w14:textId="77777777">
        <w:trPr>
          <w:trHeight w:val="300"/>
        </w:trPr>
        <w:tc>
          <w:tcPr>
            <w:tcW w:w="1522" w:type="dxa"/>
            <w:shd w:val="clear" w:color="auto" w:fill="C6EFCE"/>
            <w:tcMar>
              <w:left w:w="108" w:type="dxa"/>
              <w:right w:w="108" w:type="dxa"/>
            </w:tcMar>
            <w:vAlign w:val="center"/>
          </w:tcPr>
          <w:p w14:paraId="2B143BFD" w14:textId="77777777" w:rsidR="008E6885" w:rsidRDefault="00EA24E7">
            <w:pPr>
              <w:pStyle w:val="P68B1DB1-Normal45"/>
              <w:spacing w:after="0"/>
              <w:jc w:val="center"/>
              <w:rPr>
                <w:rFonts w:ascii="Calibri" w:hAnsi="Calibri"/>
                <w:noProof/>
              </w:rPr>
            </w:pPr>
            <w:r>
              <w:rPr>
                <w:noProof/>
              </w:rPr>
              <w:t>106</w:t>
            </w:r>
          </w:p>
        </w:tc>
        <w:tc>
          <w:tcPr>
            <w:tcW w:w="3655" w:type="dxa"/>
            <w:shd w:val="clear" w:color="auto" w:fill="C6EFCE"/>
            <w:tcMar>
              <w:left w:w="108" w:type="dxa"/>
              <w:right w:w="108" w:type="dxa"/>
            </w:tcMar>
          </w:tcPr>
          <w:p w14:paraId="424E15E7" w14:textId="77777777" w:rsidR="008E6885" w:rsidRDefault="00EA24E7">
            <w:pPr>
              <w:pStyle w:val="P68B1DB1-Normal45"/>
              <w:spacing w:after="0"/>
              <w:rPr>
                <w:noProof/>
              </w:rPr>
            </w:pPr>
            <w:r>
              <w:rPr>
                <w:noProof/>
              </w:rPr>
              <w:t xml:space="preserve">3.1.1.5.i. Développement de l'infrastructure et de l'équipement des établissements d'enseignement </w:t>
            </w:r>
          </w:p>
        </w:tc>
        <w:tc>
          <w:tcPr>
            <w:tcW w:w="1433" w:type="dxa"/>
            <w:shd w:val="clear" w:color="auto" w:fill="C6EFCE"/>
            <w:tcMar>
              <w:left w:w="108" w:type="dxa"/>
              <w:right w:w="108" w:type="dxa"/>
            </w:tcMar>
          </w:tcPr>
          <w:p w14:paraId="48AB1336"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660CE5B7" w14:textId="7ED719F0" w:rsidR="008E6885" w:rsidRDefault="00EA24E7">
            <w:pPr>
              <w:pStyle w:val="P68B1DB1-Normal45"/>
              <w:spacing w:after="0"/>
              <w:jc w:val="both"/>
              <w:rPr>
                <w:noProof/>
                <w:sz w:val="20"/>
                <w:szCs w:val="20"/>
              </w:rPr>
            </w:pPr>
            <w:r>
              <w:rPr>
                <w:noProof/>
              </w:rPr>
              <w:t>Modernisation des infrastructures scolaires</w:t>
            </w:r>
          </w:p>
        </w:tc>
      </w:tr>
      <w:tr w:rsidR="008E6885" w14:paraId="4B5B80E7" w14:textId="77777777">
        <w:trPr>
          <w:trHeight w:val="300"/>
        </w:trPr>
        <w:tc>
          <w:tcPr>
            <w:tcW w:w="1522" w:type="dxa"/>
            <w:shd w:val="clear" w:color="auto" w:fill="C6EFCE"/>
            <w:tcMar>
              <w:left w:w="108" w:type="dxa"/>
              <w:right w:w="108" w:type="dxa"/>
            </w:tcMar>
            <w:vAlign w:val="center"/>
          </w:tcPr>
          <w:p w14:paraId="78B31862" w14:textId="77777777" w:rsidR="008E6885" w:rsidRDefault="00EA24E7">
            <w:pPr>
              <w:pStyle w:val="P68B1DB1-Normal45"/>
              <w:spacing w:after="0"/>
              <w:jc w:val="center"/>
              <w:rPr>
                <w:rFonts w:ascii="Calibri" w:hAnsi="Calibri"/>
                <w:noProof/>
              </w:rPr>
            </w:pPr>
            <w:r>
              <w:rPr>
                <w:noProof/>
              </w:rPr>
              <w:t>109</w:t>
            </w:r>
          </w:p>
        </w:tc>
        <w:tc>
          <w:tcPr>
            <w:tcW w:w="3655" w:type="dxa"/>
            <w:shd w:val="clear" w:color="auto" w:fill="C6EFCE"/>
            <w:tcMar>
              <w:left w:w="108" w:type="dxa"/>
              <w:right w:w="108" w:type="dxa"/>
            </w:tcMar>
          </w:tcPr>
          <w:p w14:paraId="09BB51C7" w14:textId="77777777" w:rsidR="008E6885" w:rsidRDefault="00EA24E7">
            <w:pPr>
              <w:pStyle w:val="P68B1DB1-Normal45"/>
              <w:spacing w:after="0"/>
              <w:rPr>
                <w:rFonts w:ascii="Calibri" w:hAnsi="Calibri"/>
                <w:noProof/>
              </w:rPr>
            </w:pPr>
            <w:r>
              <w:rPr>
                <w:noProof/>
              </w:rPr>
              <w:t xml:space="preserve">3.1.1.6.i. Achat d'autobus scolaires électriques </w:t>
            </w:r>
          </w:p>
        </w:tc>
        <w:tc>
          <w:tcPr>
            <w:tcW w:w="1433" w:type="dxa"/>
            <w:shd w:val="clear" w:color="auto" w:fill="C6EFCE"/>
            <w:tcMar>
              <w:left w:w="108" w:type="dxa"/>
              <w:right w:w="108" w:type="dxa"/>
            </w:tcMar>
          </w:tcPr>
          <w:p w14:paraId="723D019A" w14:textId="77777777" w:rsidR="008E6885" w:rsidRDefault="00EA24E7">
            <w:pPr>
              <w:pStyle w:val="P68B1DB1-Normal45"/>
              <w:spacing w:after="0"/>
              <w:jc w:val="center"/>
              <w:rPr>
                <w:rFonts w:ascii="Calibri" w:hAnsi="Calibri"/>
                <w:noProof/>
              </w:rPr>
            </w:pPr>
            <w:r>
              <w:rPr>
                <w:noProof/>
              </w:rPr>
              <w:t>Objectif</w:t>
            </w:r>
          </w:p>
        </w:tc>
        <w:tc>
          <w:tcPr>
            <w:tcW w:w="3019" w:type="dxa"/>
            <w:shd w:val="clear" w:color="auto" w:fill="C6EFCE"/>
            <w:tcMar>
              <w:left w:w="108" w:type="dxa"/>
              <w:right w:w="108" w:type="dxa"/>
            </w:tcMar>
          </w:tcPr>
          <w:p w14:paraId="297367A2" w14:textId="1D0B1589" w:rsidR="008E6885" w:rsidRDefault="00EA24E7">
            <w:pPr>
              <w:pStyle w:val="P68B1DB1-Normal45"/>
              <w:spacing w:after="0"/>
              <w:jc w:val="both"/>
              <w:rPr>
                <w:rFonts w:ascii="Calibri" w:hAnsi="Calibri"/>
                <w:noProof/>
              </w:rPr>
            </w:pPr>
            <w:r>
              <w:rPr>
                <w:noProof/>
              </w:rPr>
              <w:t>Autobus scolaires électriques</w:t>
            </w:r>
          </w:p>
        </w:tc>
      </w:tr>
      <w:tr w:rsidR="008E6885" w14:paraId="057AA158" w14:textId="77777777">
        <w:trPr>
          <w:trHeight w:val="300"/>
        </w:trPr>
        <w:tc>
          <w:tcPr>
            <w:tcW w:w="1522" w:type="dxa"/>
            <w:shd w:val="clear" w:color="auto" w:fill="C6EFCE"/>
            <w:tcMar>
              <w:left w:w="108" w:type="dxa"/>
              <w:right w:w="108" w:type="dxa"/>
            </w:tcMar>
            <w:vAlign w:val="center"/>
          </w:tcPr>
          <w:p w14:paraId="106CE999" w14:textId="77777777" w:rsidR="008E6885" w:rsidRDefault="00EA24E7">
            <w:pPr>
              <w:spacing w:after="0"/>
              <w:jc w:val="center"/>
              <w:rPr>
                <w:rFonts w:ascii="Times New Roman" w:eastAsia="Calibri" w:hAnsi="Times New Roman" w:cs="Times New Roman"/>
                <w:noProof/>
                <w:color w:val="000000"/>
              </w:rPr>
            </w:pPr>
            <w:r>
              <w:rPr>
                <w:rStyle w:val="normaltextrun"/>
                <w:rFonts w:ascii="Times New Roman" w:hAnsi="Times New Roman" w:cs="Times New Roman"/>
                <w:noProof/>
                <w:color w:val="000000"/>
              </w:rPr>
              <w:t>109a </w:t>
            </w:r>
          </w:p>
        </w:tc>
        <w:tc>
          <w:tcPr>
            <w:tcW w:w="3655" w:type="dxa"/>
            <w:shd w:val="clear" w:color="auto" w:fill="C6EFCE"/>
            <w:tcMar>
              <w:left w:w="108" w:type="dxa"/>
              <w:right w:w="108" w:type="dxa"/>
            </w:tcMar>
          </w:tcPr>
          <w:p w14:paraId="3D4A5797" w14:textId="77777777" w:rsidR="008E6885" w:rsidRDefault="00EA24E7">
            <w:pPr>
              <w:spacing w:after="0"/>
              <w:rPr>
                <w:rFonts w:ascii="Times New Roman" w:eastAsia="Calibri" w:hAnsi="Times New Roman" w:cs="Times New Roman"/>
                <w:noProof/>
                <w:color w:val="000000"/>
              </w:rPr>
            </w:pPr>
            <w:r>
              <w:rPr>
                <w:rStyle w:val="normaltextrun"/>
                <w:rFonts w:ascii="Times New Roman" w:hAnsi="Times New Roman" w:cs="Times New Roman"/>
                <w:noProof/>
                <w:color w:val="000000"/>
              </w:rPr>
              <w:t>3.1.1.7.i. Prêts aux promoteurs immobiliers pour la construction de logements à loyer modique </w:t>
            </w:r>
          </w:p>
        </w:tc>
        <w:tc>
          <w:tcPr>
            <w:tcW w:w="1433" w:type="dxa"/>
            <w:shd w:val="clear" w:color="auto" w:fill="C6EFCE"/>
            <w:tcMar>
              <w:left w:w="108" w:type="dxa"/>
              <w:right w:w="108" w:type="dxa"/>
            </w:tcMar>
          </w:tcPr>
          <w:p w14:paraId="680F20DB" w14:textId="77777777" w:rsidR="008E6885" w:rsidRDefault="00EA24E7">
            <w:pPr>
              <w:spacing w:after="0"/>
              <w:jc w:val="center"/>
              <w:rPr>
                <w:rFonts w:ascii="Times New Roman" w:eastAsia="Calibri" w:hAnsi="Times New Roman" w:cs="Times New Roman"/>
                <w:noProof/>
                <w:color w:val="000000"/>
              </w:rPr>
            </w:pPr>
            <w:r>
              <w:rPr>
                <w:rStyle w:val="normaltextrun"/>
                <w:rFonts w:ascii="Times New Roman" w:hAnsi="Times New Roman" w:cs="Times New Roman"/>
                <w:noProof/>
                <w:color w:val="000000"/>
              </w:rPr>
              <w:t>Étape</w:t>
            </w:r>
          </w:p>
        </w:tc>
        <w:tc>
          <w:tcPr>
            <w:tcW w:w="3019" w:type="dxa"/>
            <w:shd w:val="clear" w:color="auto" w:fill="C6EFCE"/>
            <w:tcMar>
              <w:left w:w="108" w:type="dxa"/>
              <w:right w:w="108" w:type="dxa"/>
            </w:tcMar>
          </w:tcPr>
          <w:p w14:paraId="276C6C11" w14:textId="4D45DA4C" w:rsidR="008E6885" w:rsidRDefault="00EA24E7">
            <w:pPr>
              <w:spacing w:after="0"/>
              <w:jc w:val="both"/>
              <w:rPr>
                <w:rFonts w:ascii="Times New Roman" w:eastAsia="Calibri" w:hAnsi="Times New Roman" w:cs="Times New Roman"/>
                <w:noProof/>
                <w:color w:val="000000" w:themeColor="text1"/>
              </w:rPr>
            </w:pPr>
            <w:r>
              <w:rPr>
                <w:rStyle w:val="normaltextrun"/>
                <w:rFonts w:ascii="Times New Roman" w:hAnsi="Times New Roman" w:cs="Times New Roman"/>
                <w:noProof/>
                <w:color w:val="000000"/>
              </w:rPr>
              <w:t>Accord de mise en œuvre et réalisation de l'investissement</w:t>
            </w:r>
          </w:p>
        </w:tc>
      </w:tr>
      <w:tr w:rsidR="008E6885" w14:paraId="15FE888D" w14:textId="77777777">
        <w:trPr>
          <w:trHeight w:val="300"/>
        </w:trPr>
        <w:tc>
          <w:tcPr>
            <w:tcW w:w="1522" w:type="dxa"/>
            <w:shd w:val="clear" w:color="auto" w:fill="C6EFCE"/>
            <w:tcMar>
              <w:left w:w="108" w:type="dxa"/>
              <w:right w:w="108" w:type="dxa"/>
            </w:tcMar>
            <w:vAlign w:val="center"/>
          </w:tcPr>
          <w:p w14:paraId="4C8C664A" w14:textId="77777777" w:rsidR="008E6885" w:rsidRDefault="00EA24E7">
            <w:pPr>
              <w:pStyle w:val="P68B1DB1-Normal45"/>
              <w:spacing w:after="0"/>
              <w:jc w:val="center"/>
              <w:rPr>
                <w:noProof/>
              </w:rPr>
            </w:pPr>
            <w:r>
              <w:rPr>
                <w:noProof/>
              </w:rPr>
              <w:t>109b</w:t>
            </w:r>
          </w:p>
        </w:tc>
        <w:tc>
          <w:tcPr>
            <w:tcW w:w="3655" w:type="dxa"/>
            <w:shd w:val="clear" w:color="auto" w:fill="C6EFCE"/>
            <w:tcMar>
              <w:left w:w="108" w:type="dxa"/>
              <w:right w:w="108" w:type="dxa"/>
            </w:tcMar>
          </w:tcPr>
          <w:p w14:paraId="413CFD00" w14:textId="77777777" w:rsidR="008E6885" w:rsidRDefault="00EA24E7">
            <w:pPr>
              <w:pStyle w:val="P68B1DB1-Normal45"/>
              <w:spacing w:after="0"/>
              <w:rPr>
                <w:noProof/>
              </w:rPr>
            </w:pPr>
            <w:r>
              <w:rPr>
                <w:noProof/>
              </w:rPr>
              <w:t>3.1.1.7.i. Prêts aux promoteurs immobiliers pour la construction de logements à loyer modique</w:t>
            </w:r>
          </w:p>
        </w:tc>
        <w:tc>
          <w:tcPr>
            <w:tcW w:w="1433" w:type="dxa"/>
            <w:shd w:val="clear" w:color="auto" w:fill="C6EFCE"/>
            <w:tcMar>
              <w:left w:w="108" w:type="dxa"/>
              <w:right w:w="108" w:type="dxa"/>
            </w:tcMar>
          </w:tcPr>
          <w:p w14:paraId="5BC2B3DA"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577A9DA4" w14:textId="77777777" w:rsidR="008E6885" w:rsidRDefault="00EA24E7">
            <w:pPr>
              <w:pStyle w:val="P68B1DB1-Normal45"/>
              <w:spacing w:after="0"/>
              <w:jc w:val="both"/>
              <w:rPr>
                <w:noProof/>
              </w:rPr>
            </w:pPr>
            <w:r>
              <w:rPr>
                <w:noProof/>
              </w:rPr>
              <w:t>Accords juridiques signés avec les bénéficiaires finaux</w:t>
            </w:r>
          </w:p>
        </w:tc>
      </w:tr>
      <w:tr w:rsidR="008E6885" w14:paraId="314B696C" w14:textId="77777777">
        <w:trPr>
          <w:trHeight w:val="300"/>
        </w:trPr>
        <w:tc>
          <w:tcPr>
            <w:tcW w:w="1522" w:type="dxa"/>
            <w:shd w:val="clear" w:color="auto" w:fill="C6EFCE"/>
            <w:tcMar>
              <w:left w:w="108" w:type="dxa"/>
              <w:right w:w="108" w:type="dxa"/>
            </w:tcMar>
            <w:vAlign w:val="center"/>
          </w:tcPr>
          <w:p w14:paraId="60C9593F" w14:textId="77777777" w:rsidR="008E6885" w:rsidRDefault="00EA24E7">
            <w:pPr>
              <w:pStyle w:val="P68B1DB1-Normal45"/>
              <w:spacing w:after="0"/>
              <w:jc w:val="center"/>
              <w:rPr>
                <w:noProof/>
              </w:rPr>
            </w:pPr>
            <w:r>
              <w:rPr>
                <w:noProof/>
              </w:rPr>
              <w:t>114</w:t>
            </w:r>
          </w:p>
        </w:tc>
        <w:tc>
          <w:tcPr>
            <w:tcW w:w="3655" w:type="dxa"/>
            <w:shd w:val="clear" w:color="auto" w:fill="C6EFCE"/>
            <w:tcMar>
              <w:left w:w="108" w:type="dxa"/>
              <w:right w:w="108" w:type="dxa"/>
            </w:tcMar>
          </w:tcPr>
          <w:p w14:paraId="27719F6E" w14:textId="77777777" w:rsidR="008E6885" w:rsidRDefault="00EA24E7">
            <w:pPr>
              <w:pStyle w:val="P68B1DB1-Normal45"/>
              <w:spacing w:after="0"/>
              <w:rPr>
                <w:noProof/>
              </w:rPr>
            </w:pPr>
            <w:r>
              <w:rPr>
                <w:noProof/>
              </w:rPr>
              <w:t>3.1.2.1.i. Mesures visant à promouvoir l'accès aux services publics et à l'emploi pour les personnes souffrant de déficiences fonctionnelles</w:t>
            </w:r>
          </w:p>
        </w:tc>
        <w:tc>
          <w:tcPr>
            <w:tcW w:w="1433" w:type="dxa"/>
            <w:shd w:val="clear" w:color="auto" w:fill="C6EFCE"/>
            <w:tcMar>
              <w:left w:w="108" w:type="dxa"/>
              <w:right w:w="108" w:type="dxa"/>
            </w:tcMar>
          </w:tcPr>
          <w:p w14:paraId="4CFDF4C2"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45A3A05A" w14:textId="77777777" w:rsidR="008E6885" w:rsidRDefault="00EA24E7">
            <w:pPr>
              <w:pStyle w:val="P68B1DB1-Normal45"/>
              <w:spacing w:after="0"/>
              <w:jc w:val="both"/>
              <w:rPr>
                <w:noProof/>
              </w:rPr>
            </w:pPr>
            <w:r>
              <w:rPr>
                <w:noProof/>
              </w:rPr>
              <w:t>Adaptation des bâtiments de l'État et des collectivités locales</w:t>
            </w:r>
          </w:p>
        </w:tc>
      </w:tr>
      <w:tr w:rsidR="008E6885" w14:paraId="477E7115" w14:textId="77777777">
        <w:trPr>
          <w:trHeight w:val="300"/>
        </w:trPr>
        <w:tc>
          <w:tcPr>
            <w:tcW w:w="1522" w:type="dxa"/>
            <w:shd w:val="clear" w:color="auto" w:fill="C6EFCE"/>
            <w:tcMar>
              <w:left w:w="108" w:type="dxa"/>
              <w:right w:w="108" w:type="dxa"/>
            </w:tcMar>
            <w:vAlign w:val="center"/>
          </w:tcPr>
          <w:p w14:paraId="35182E13" w14:textId="77777777" w:rsidR="008E6885" w:rsidRDefault="00EA24E7">
            <w:pPr>
              <w:pStyle w:val="P68B1DB1-Normal45"/>
              <w:spacing w:after="0"/>
              <w:jc w:val="center"/>
              <w:rPr>
                <w:rFonts w:eastAsia="Times New Roman" w:cs="Times New Roman"/>
                <w:noProof/>
              </w:rPr>
            </w:pPr>
            <w:r>
              <w:rPr>
                <w:noProof/>
              </w:rPr>
              <w:t>117</w:t>
            </w:r>
          </w:p>
        </w:tc>
        <w:tc>
          <w:tcPr>
            <w:tcW w:w="3655" w:type="dxa"/>
            <w:shd w:val="clear" w:color="auto" w:fill="C6EFCE"/>
            <w:tcMar>
              <w:left w:w="108" w:type="dxa"/>
              <w:right w:w="108" w:type="dxa"/>
            </w:tcMar>
          </w:tcPr>
          <w:p w14:paraId="7BAC6092" w14:textId="77777777" w:rsidR="008E6885" w:rsidRDefault="00EA24E7">
            <w:pPr>
              <w:pStyle w:val="P68B1DB1-Normal45"/>
              <w:spacing w:after="0"/>
              <w:rPr>
                <w:noProof/>
              </w:rPr>
            </w:pPr>
            <w:r>
              <w:rPr>
                <w:noProof/>
              </w:rPr>
              <w:t>3.1.2.1.i. Mesures visant à promouvoir l'accès aux services publics et à l'emploi pour les personnes souffrant de déficiences fonctionnelles</w:t>
            </w:r>
          </w:p>
        </w:tc>
        <w:tc>
          <w:tcPr>
            <w:tcW w:w="1433" w:type="dxa"/>
            <w:shd w:val="clear" w:color="auto" w:fill="C6EFCE"/>
            <w:tcMar>
              <w:left w:w="108" w:type="dxa"/>
              <w:right w:w="108" w:type="dxa"/>
            </w:tcMar>
          </w:tcPr>
          <w:p w14:paraId="1F01C0CB"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214DFA0C" w14:textId="77777777" w:rsidR="008E6885" w:rsidRDefault="00EA24E7">
            <w:pPr>
              <w:pStyle w:val="P68B1DB1-Normal45"/>
              <w:spacing w:after="0"/>
              <w:jc w:val="both"/>
              <w:rPr>
                <w:noProof/>
              </w:rPr>
            </w:pPr>
            <w:r>
              <w:rPr>
                <w:noProof/>
              </w:rPr>
              <w:t>Adaptation du logement</w:t>
            </w:r>
          </w:p>
        </w:tc>
      </w:tr>
      <w:tr w:rsidR="008E6885" w14:paraId="356DDC1C" w14:textId="77777777">
        <w:trPr>
          <w:trHeight w:val="300"/>
        </w:trPr>
        <w:tc>
          <w:tcPr>
            <w:tcW w:w="1522" w:type="dxa"/>
            <w:shd w:val="clear" w:color="auto" w:fill="C6EFCE"/>
            <w:tcMar>
              <w:left w:w="108" w:type="dxa"/>
              <w:right w:w="108" w:type="dxa"/>
            </w:tcMar>
            <w:vAlign w:val="center"/>
          </w:tcPr>
          <w:p w14:paraId="58C4FA7C" w14:textId="77777777" w:rsidR="008E6885" w:rsidRDefault="00EA24E7">
            <w:pPr>
              <w:pStyle w:val="P68B1DB1-Normal45"/>
              <w:spacing w:after="0"/>
              <w:jc w:val="center"/>
              <w:rPr>
                <w:rFonts w:eastAsia="Times New Roman" w:cs="Times New Roman"/>
                <w:noProof/>
              </w:rPr>
            </w:pPr>
            <w:r>
              <w:rPr>
                <w:noProof/>
              </w:rPr>
              <w:t>120</w:t>
            </w:r>
          </w:p>
        </w:tc>
        <w:tc>
          <w:tcPr>
            <w:tcW w:w="3655" w:type="dxa"/>
            <w:shd w:val="clear" w:color="auto" w:fill="C6EFCE"/>
            <w:tcMar>
              <w:left w:w="108" w:type="dxa"/>
              <w:right w:w="108" w:type="dxa"/>
            </w:tcMar>
          </w:tcPr>
          <w:p w14:paraId="17CA484E" w14:textId="77777777" w:rsidR="008E6885" w:rsidRDefault="00EA24E7">
            <w:pPr>
              <w:pStyle w:val="P68B1DB1-Normal45"/>
              <w:spacing w:after="0"/>
              <w:rPr>
                <w:noProof/>
              </w:rPr>
            </w:pPr>
            <w:r>
              <w:rPr>
                <w:noProof/>
              </w:rPr>
              <w:t xml:space="preserve">3.1.2.2.i. Développement d'un outil de prévision </w:t>
            </w:r>
          </w:p>
        </w:tc>
        <w:tc>
          <w:tcPr>
            <w:tcW w:w="1433" w:type="dxa"/>
            <w:shd w:val="clear" w:color="auto" w:fill="C6EFCE"/>
            <w:tcMar>
              <w:left w:w="108" w:type="dxa"/>
              <w:right w:w="108" w:type="dxa"/>
            </w:tcMar>
          </w:tcPr>
          <w:p w14:paraId="4644A955"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53210947" w14:textId="0BD471ED" w:rsidR="008E6885" w:rsidRDefault="00EA24E7">
            <w:pPr>
              <w:pStyle w:val="P68B1DB1-Normal45"/>
              <w:spacing w:after="0"/>
              <w:jc w:val="both"/>
              <w:rPr>
                <w:noProof/>
              </w:rPr>
            </w:pPr>
            <w:r>
              <w:rPr>
                <w:noProof/>
              </w:rPr>
              <w:t>Développement d'un outil de prévision</w:t>
            </w:r>
          </w:p>
        </w:tc>
      </w:tr>
      <w:tr w:rsidR="008E6885" w14:paraId="02D4F92D" w14:textId="77777777">
        <w:trPr>
          <w:trHeight w:val="300"/>
        </w:trPr>
        <w:tc>
          <w:tcPr>
            <w:tcW w:w="1522" w:type="dxa"/>
            <w:shd w:val="clear" w:color="auto" w:fill="C6EFCE"/>
            <w:tcMar>
              <w:left w:w="108" w:type="dxa"/>
              <w:right w:w="108" w:type="dxa"/>
            </w:tcMar>
            <w:vAlign w:val="center"/>
          </w:tcPr>
          <w:p w14:paraId="52A1E68D" w14:textId="77777777" w:rsidR="008E6885" w:rsidRDefault="00EA24E7">
            <w:pPr>
              <w:pStyle w:val="P68B1DB1-Normal45"/>
              <w:spacing w:after="0"/>
              <w:jc w:val="center"/>
              <w:rPr>
                <w:rFonts w:eastAsia="Times New Roman" w:cs="Times New Roman"/>
                <w:noProof/>
              </w:rPr>
            </w:pPr>
            <w:r>
              <w:rPr>
                <w:noProof/>
              </w:rPr>
              <w:t>123</w:t>
            </w:r>
          </w:p>
        </w:tc>
        <w:tc>
          <w:tcPr>
            <w:tcW w:w="3655" w:type="dxa"/>
            <w:shd w:val="clear" w:color="auto" w:fill="C6EFCE"/>
            <w:tcMar>
              <w:left w:w="108" w:type="dxa"/>
              <w:right w:w="108" w:type="dxa"/>
            </w:tcMar>
          </w:tcPr>
          <w:p w14:paraId="28169AE5" w14:textId="77777777" w:rsidR="008E6885" w:rsidRDefault="00EA24E7">
            <w:pPr>
              <w:pStyle w:val="P68B1DB1-Normal45"/>
              <w:spacing w:after="0"/>
              <w:rPr>
                <w:noProof/>
              </w:rPr>
            </w:pPr>
            <w:r>
              <w:rPr>
                <w:noProof/>
              </w:rPr>
              <w:t xml:space="preserve">3.1.2.3.i. Résilience et continuité du service d'aide sociale de longue durée </w:t>
            </w:r>
          </w:p>
        </w:tc>
        <w:tc>
          <w:tcPr>
            <w:tcW w:w="1433" w:type="dxa"/>
            <w:shd w:val="clear" w:color="auto" w:fill="C6EFCE"/>
            <w:tcMar>
              <w:left w:w="108" w:type="dxa"/>
              <w:right w:w="108" w:type="dxa"/>
            </w:tcMar>
          </w:tcPr>
          <w:p w14:paraId="06411DB5"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0B1D6C6B" w14:textId="70233C2E" w:rsidR="008E6885" w:rsidRDefault="00EA24E7">
            <w:pPr>
              <w:pStyle w:val="P68B1DB1-Normal45"/>
              <w:spacing w:after="0"/>
              <w:jc w:val="both"/>
              <w:rPr>
                <w:noProof/>
              </w:rPr>
            </w:pPr>
            <w:r>
              <w:rPr>
                <w:noProof/>
              </w:rPr>
              <w:t>Fourniture de places pour des services de soins de longue durée</w:t>
            </w:r>
          </w:p>
        </w:tc>
      </w:tr>
      <w:tr w:rsidR="008E6885" w14:paraId="233B17CE" w14:textId="77777777">
        <w:trPr>
          <w:trHeight w:val="300"/>
        </w:trPr>
        <w:tc>
          <w:tcPr>
            <w:tcW w:w="1522" w:type="dxa"/>
            <w:shd w:val="clear" w:color="auto" w:fill="C6EFCE"/>
            <w:tcMar>
              <w:left w:w="108" w:type="dxa"/>
              <w:right w:w="108" w:type="dxa"/>
            </w:tcMar>
            <w:vAlign w:val="center"/>
          </w:tcPr>
          <w:p w14:paraId="3F67DE95" w14:textId="77777777" w:rsidR="008E6885" w:rsidRDefault="00EA24E7">
            <w:pPr>
              <w:pStyle w:val="P68B1DB1-Normal45"/>
              <w:spacing w:after="0"/>
              <w:jc w:val="center"/>
              <w:rPr>
                <w:rFonts w:eastAsia="Times New Roman" w:cs="Times New Roman"/>
                <w:noProof/>
              </w:rPr>
            </w:pPr>
            <w:r>
              <w:rPr>
                <w:noProof/>
              </w:rPr>
              <w:t>125</w:t>
            </w:r>
          </w:p>
        </w:tc>
        <w:tc>
          <w:tcPr>
            <w:tcW w:w="3655" w:type="dxa"/>
            <w:shd w:val="clear" w:color="auto" w:fill="C6EFCE"/>
            <w:tcMar>
              <w:left w:w="108" w:type="dxa"/>
              <w:right w:w="108" w:type="dxa"/>
            </w:tcMar>
          </w:tcPr>
          <w:p w14:paraId="0ED2CC8E" w14:textId="77777777" w:rsidR="008E6885" w:rsidRDefault="00EA24E7">
            <w:pPr>
              <w:pStyle w:val="P68B1DB1-Normal45"/>
              <w:spacing w:after="0"/>
              <w:rPr>
                <w:noProof/>
              </w:rPr>
            </w:pPr>
            <w:r>
              <w:rPr>
                <w:noProof/>
              </w:rPr>
              <w:t xml:space="preserve">3.1.2.4.i. Développement synergique des services de réadaptation sociale et professionnelle pour la promotion de la résilience des personnes ayant des déficiences fonctionnelles </w:t>
            </w:r>
          </w:p>
        </w:tc>
        <w:tc>
          <w:tcPr>
            <w:tcW w:w="1433" w:type="dxa"/>
            <w:shd w:val="clear" w:color="auto" w:fill="C6EFCE"/>
            <w:tcMar>
              <w:left w:w="108" w:type="dxa"/>
              <w:right w:w="108" w:type="dxa"/>
            </w:tcMar>
          </w:tcPr>
          <w:p w14:paraId="47FE2692"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7C1A97B6" w14:textId="12C89B90" w:rsidR="008E6885" w:rsidRDefault="00EA24E7">
            <w:pPr>
              <w:pStyle w:val="P68B1DB1-Normal45"/>
              <w:spacing w:after="0"/>
              <w:jc w:val="both"/>
              <w:rPr>
                <w:noProof/>
              </w:rPr>
            </w:pPr>
            <w:r>
              <w:rPr>
                <w:noProof/>
              </w:rPr>
              <w:t>Adaptation des bâtiments</w:t>
            </w:r>
          </w:p>
        </w:tc>
      </w:tr>
      <w:tr w:rsidR="008E6885" w14:paraId="7492D4CC" w14:textId="77777777">
        <w:trPr>
          <w:trHeight w:val="300"/>
        </w:trPr>
        <w:tc>
          <w:tcPr>
            <w:tcW w:w="1522" w:type="dxa"/>
            <w:shd w:val="clear" w:color="auto" w:fill="C6EFCE"/>
            <w:tcMar>
              <w:left w:w="108" w:type="dxa"/>
              <w:right w:w="108" w:type="dxa"/>
            </w:tcMar>
            <w:vAlign w:val="center"/>
          </w:tcPr>
          <w:p w14:paraId="2D0D08E3" w14:textId="77777777" w:rsidR="008E6885" w:rsidRDefault="00EA24E7">
            <w:pPr>
              <w:pStyle w:val="P68B1DB1-Normal45"/>
              <w:spacing w:after="0"/>
              <w:jc w:val="center"/>
              <w:rPr>
                <w:noProof/>
                <w:color w:val="000000" w:themeColor="text1"/>
              </w:rPr>
            </w:pPr>
            <w:r>
              <w:rPr>
                <w:noProof/>
              </w:rPr>
              <w:t>130a</w:t>
            </w:r>
          </w:p>
        </w:tc>
        <w:tc>
          <w:tcPr>
            <w:tcW w:w="3655" w:type="dxa"/>
            <w:shd w:val="clear" w:color="auto" w:fill="C6EFCE"/>
            <w:tcMar>
              <w:left w:w="108" w:type="dxa"/>
              <w:right w:w="108" w:type="dxa"/>
            </w:tcMar>
          </w:tcPr>
          <w:p w14:paraId="681AB824" w14:textId="77777777" w:rsidR="008E6885" w:rsidRDefault="00EA24E7">
            <w:pPr>
              <w:pStyle w:val="P68B1DB1-Normal45"/>
              <w:spacing w:after="0"/>
              <w:rPr>
                <w:noProof/>
              </w:rPr>
            </w:pPr>
            <w:r>
              <w:rPr>
                <w:noProof/>
              </w:rPr>
              <w:t>3.1.2.6.i. Faciliter la disponibilité des aides techniques</w:t>
            </w:r>
          </w:p>
        </w:tc>
        <w:tc>
          <w:tcPr>
            <w:tcW w:w="1433" w:type="dxa"/>
            <w:shd w:val="clear" w:color="auto" w:fill="C6EFCE"/>
            <w:tcMar>
              <w:left w:w="108" w:type="dxa"/>
              <w:right w:w="108" w:type="dxa"/>
            </w:tcMar>
          </w:tcPr>
          <w:p w14:paraId="64172873"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6777A8C7" w14:textId="41A1EEC0" w:rsidR="008E6885" w:rsidRDefault="00EA24E7">
            <w:pPr>
              <w:pStyle w:val="P68B1DB1-Normal46"/>
              <w:spacing w:after="0"/>
              <w:jc w:val="both"/>
              <w:rPr>
                <w:noProof/>
                <w:color w:val="000000"/>
              </w:rPr>
            </w:pPr>
            <w:r>
              <w:rPr>
                <w:noProof/>
                <w:kern w:val="0"/>
                <w:sz w:val="20"/>
                <w:szCs w:val="20"/>
                <w14:ligatures w14:val="none"/>
              </w:rPr>
              <w:t> </w:t>
            </w:r>
            <w:r>
              <w:rPr>
                <w:noProof/>
                <w:color w:val="000000"/>
              </w:rPr>
              <w:t>7,6</w:t>
            </w:r>
            <w:r>
              <w:rPr>
                <w:noProof/>
                <w:kern w:val="0"/>
                <w:sz w:val="20"/>
                <w:szCs w:val="20"/>
                <w14:ligatures w14:val="none"/>
              </w:rPr>
              <w:t> </w:t>
            </w:r>
            <w:r>
              <w:rPr>
                <w:noProof/>
                <w:color w:val="000000"/>
              </w:rPr>
              <w:t>millions d’EUR versés au CNRC «Vaivari» pour faciliter la disponibilité d’aides techniques</w:t>
            </w:r>
          </w:p>
        </w:tc>
      </w:tr>
      <w:tr w:rsidR="008E6885" w14:paraId="6B544418" w14:textId="77777777">
        <w:trPr>
          <w:trHeight w:val="300"/>
        </w:trPr>
        <w:tc>
          <w:tcPr>
            <w:tcW w:w="1522" w:type="dxa"/>
            <w:shd w:val="clear" w:color="auto" w:fill="C6EFCE"/>
            <w:tcMar>
              <w:left w:w="108" w:type="dxa"/>
              <w:right w:w="108" w:type="dxa"/>
            </w:tcMar>
            <w:vAlign w:val="center"/>
          </w:tcPr>
          <w:p w14:paraId="3FFA95A3" w14:textId="77777777" w:rsidR="008E6885" w:rsidRDefault="00EA24E7">
            <w:pPr>
              <w:pStyle w:val="P68B1DB1-Normal45"/>
              <w:spacing w:after="0"/>
              <w:jc w:val="center"/>
              <w:rPr>
                <w:noProof/>
              </w:rPr>
            </w:pPr>
            <w:r>
              <w:rPr>
                <w:noProof/>
              </w:rPr>
              <w:t>137</w:t>
            </w:r>
          </w:p>
        </w:tc>
        <w:tc>
          <w:tcPr>
            <w:tcW w:w="3655" w:type="dxa"/>
            <w:shd w:val="clear" w:color="auto" w:fill="C6EFCE"/>
            <w:tcMar>
              <w:left w:w="108" w:type="dxa"/>
              <w:right w:w="108" w:type="dxa"/>
            </w:tcMar>
          </w:tcPr>
          <w:p w14:paraId="0B4B6E0D" w14:textId="77777777" w:rsidR="008E6885" w:rsidRDefault="00EA24E7">
            <w:pPr>
              <w:pStyle w:val="P68B1DB1-Normal45"/>
              <w:spacing w:after="0"/>
              <w:rPr>
                <w:noProof/>
              </w:rPr>
            </w:pPr>
            <w:r>
              <w:rPr>
                <w:noProof/>
              </w:rPr>
              <w:t>4.1.1.1.i. Appui à la recherche en santé publique</w:t>
            </w:r>
          </w:p>
        </w:tc>
        <w:tc>
          <w:tcPr>
            <w:tcW w:w="1433" w:type="dxa"/>
            <w:shd w:val="clear" w:color="auto" w:fill="C6EFCE"/>
            <w:tcMar>
              <w:left w:w="108" w:type="dxa"/>
              <w:right w:w="108" w:type="dxa"/>
            </w:tcMar>
          </w:tcPr>
          <w:p w14:paraId="67C9A869"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3E4EAD1F" w14:textId="77777777" w:rsidR="008E6885" w:rsidRDefault="00EA24E7">
            <w:pPr>
              <w:pStyle w:val="P68B1DB1-Normal45"/>
              <w:spacing w:after="0"/>
              <w:jc w:val="both"/>
              <w:rPr>
                <w:noProof/>
              </w:rPr>
            </w:pPr>
            <w:r>
              <w:rPr>
                <w:noProof/>
              </w:rPr>
              <w:t>Politiques et études de santé publique</w:t>
            </w:r>
          </w:p>
        </w:tc>
      </w:tr>
      <w:tr w:rsidR="008E6885" w14:paraId="27752543" w14:textId="77777777">
        <w:trPr>
          <w:trHeight w:val="300"/>
        </w:trPr>
        <w:tc>
          <w:tcPr>
            <w:tcW w:w="1522" w:type="dxa"/>
            <w:shd w:val="clear" w:color="auto" w:fill="C6EFCE"/>
            <w:tcMar>
              <w:left w:w="108" w:type="dxa"/>
              <w:right w:w="108" w:type="dxa"/>
            </w:tcMar>
            <w:vAlign w:val="center"/>
          </w:tcPr>
          <w:p w14:paraId="1AC531A6" w14:textId="77777777" w:rsidR="008E6885" w:rsidRDefault="00EA24E7">
            <w:pPr>
              <w:pStyle w:val="P68B1DB1-Normal45"/>
              <w:spacing w:after="0"/>
              <w:jc w:val="center"/>
              <w:rPr>
                <w:noProof/>
              </w:rPr>
            </w:pPr>
            <w:r>
              <w:rPr>
                <w:noProof/>
              </w:rPr>
              <w:t>140</w:t>
            </w:r>
          </w:p>
        </w:tc>
        <w:tc>
          <w:tcPr>
            <w:tcW w:w="3655" w:type="dxa"/>
            <w:shd w:val="clear" w:color="auto" w:fill="C6EFCE"/>
            <w:tcMar>
              <w:left w:w="108" w:type="dxa"/>
              <w:right w:w="108" w:type="dxa"/>
            </w:tcMar>
          </w:tcPr>
          <w:p w14:paraId="1A0E7A8F" w14:textId="77777777" w:rsidR="008E6885" w:rsidRDefault="00EA24E7">
            <w:pPr>
              <w:pStyle w:val="P68B1DB1-Normal45"/>
              <w:spacing w:after="0"/>
              <w:rPr>
                <w:noProof/>
              </w:rPr>
            </w:pPr>
            <w:r>
              <w:rPr>
                <w:noProof/>
              </w:rPr>
              <w:t>4.1.1.2.i. Soutien à l'infrastructure ou à l'équipement des hôpitaux</w:t>
            </w:r>
          </w:p>
        </w:tc>
        <w:tc>
          <w:tcPr>
            <w:tcW w:w="1433" w:type="dxa"/>
            <w:shd w:val="clear" w:color="auto" w:fill="C6EFCE"/>
            <w:tcMar>
              <w:left w:w="108" w:type="dxa"/>
              <w:right w:w="108" w:type="dxa"/>
            </w:tcMar>
          </w:tcPr>
          <w:p w14:paraId="38807DD7"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34687C4B" w14:textId="77777777" w:rsidR="008E6885" w:rsidRDefault="00EA24E7">
            <w:pPr>
              <w:pStyle w:val="P68B1DB1-Normal45"/>
              <w:spacing w:after="0"/>
              <w:jc w:val="both"/>
              <w:rPr>
                <w:noProof/>
              </w:rPr>
            </w:pPr>
            <w:r>
              <w:rPr>
                <w:noProof/>
              </w:rPr>
              <w:t>Infrastructure ou équipement hospitalier</w:t>
            </w:r>
          </w:p>
        </w:tc>
      </w:tr>
      <w:tr w:rsidR="008E6885" w14:paraId="0D1B2CA9" w14:textId="77777777">
        <w:trPr>
          <w:trHeight w:val="300"/>
        </w:trPr>
        <w:tc>
          <w:tcPr>
            <w:tcW w:w="1522" w:type="dxa"/>
            <w:shd w:val="clear" w:color="auto" w:fill="C6EFCE"/>
            <w:tcMar>
              <w:left w:w="108" w:type="dxa"/>
              <w:right w:w="108" w:type="dxa"/>
            </w:tcMar>
            <w:vAlign w:val="center"/>
          </w:tcPr>
          <w:p w14:paraId="542330EA" w14:textId="77777777" w:rsidR="008E6885" w:rsidRDefault="00EA24E7">
            <w:pPr>
              <w:pStyle w:val="P68B1DB1-Normal45"/>
              <w:spacing w:after="0"/>
              <w:jc w:val="center"/>
              <w:rPr>
                <w:noProof/>
              </w:rPr>
            </w:pPr>
            <w:r>
              <w:rPr>
                <w:noProof/>
              </w:rPr>
              <w:t>142</w:t>
            </w:r>
          </w:p>
        </w:tc>
        <w:tc>
          <w:tcPr>
            <w:tcW w:w="3655" w:type="dxa"/>
            <w:shd w:val="clear" w:color="auto" w:fill="C6EFCE"/>
            <w:tcMar>
              <w:left w:w="108" w:type="dxa"/>
              <w:right w:w="108" w:type="dxa"/>
            </w:tcMar>
          </w:tcPr>
          <w:p w14:paraId="651855F9" w14:textId="77777777" w:rsidR="008E6885" w:rsidRDefault="00EA24E7">
            <w:pPr>
              <w:pStyle w:val="P68B1DB1-Normal45"/>
              <w:spacing w:after="0"/>
              <w:rPr>
                <w:noProof/>
              </w:rPr>
            </w:pPr>
            <w:r>
              <w:rPr>
                <w:noProof/>
              </w:rPr>
              <w:t>4.1.1.3.i. Soutien aux infrastructures ou aux équipements des prestataires de services de soins ambulatoires secondaires</w:t>
            </w:r>
          </w:p>
        </w:tc>
        <w:tc>
          <w:tcPr>
            <w:tcW w:w="1433" w:type="dxa"/>
            <w:shd w:val="clear" w:color="auto" w:fill="C6EFCE"/>
            <w:tcMar>
              <w:left w:w="108" w:type="dxa"/>
              <w:right w:w="108" w:type="dxa"/>
            </w:tcMar>
          </w:tcPr>
          <w:p w14:paraId="71A730E8"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360C335C" w14:textId="77777777" w:rsidR="008E6885" w:rsidRDefault="00EA24E7">
            <w:pPr>
              <w:pStyle w:val="P68B1DB1-Normal45"/>
              <w:spacing w:after="0"/>
              <w:jc w:val="both"/>
              <w:rPr>
                <w:noProof/>
              </w:rPr>
            </w:pPr>
            <w:r>
              <w:rPr>
                <w:noProof/>
              </w:rPr>
              <w:t>Prestataires de soins de santé ambulatoires secondaires</w:t>
            </w:r>
          </w:p>
        </w:tc>
      </w:tr>
      <w:tr w:rsidR="008E6885" w14:paraId="3BDDA60A" w14:textId="77777777">
        <w:trPr>
          <w:trHeight w:val="300"/>
        </w:trPr>
        <w:tc>
          <w:tcPr>
            <w:tcW w:w="1522" w:type="dxa"/>
            <w:shd w:val="clear" w:color="auto" w:fill="C6EFCE"/>
            <w:tcMar>
              <w:left w:w="108" w:type="dxa"/>
              <w:right w:w="108" w:type="dxa"/>
            </w:tcMar>
            <w:vAlign w:val="center"/>
          </w:tcPr>
          <w:p w14:paraId="668D19DF" w14:textId="77777777" w:rsidR="008E6885" w:rsidRDefault="00EA24E7">
            <w:pPr>
              <w:pStyle w:val="P68B1DB1-Normal45"/>
              <w:spacing w:after="0"/>
              <w:jc w:val="center"/>
              <w:rPr>
                <w:noProof/>
              </w:rPr>
            </w:pPr>
            <w:r>
              <w:rPr>
                <w:noProof/>
              </w:rPr>
              <w:t>150</w:t>
            </w:r>
          </w:p>
        </w:tc>
        <w:tc>
          <w:tcPr>
            <w:tcW w:w="3655" w:type="dxa"/>
            <w:shd w:val="clear" w:color="auto" w:fill="C6EFCE"/>
            <w:tcMar>
              <w:left w:w="108" w:type="dxa"/>
              <w:right w:w="108" w:type="dxa"/>
            </w:tcMar>
          </w:tcPr>
          <w:p w14:paraId="4E266EFB" w14:textId="77777777" w:rsidR="008E6885" w:rsidRDefault="00EA24E7">
            <w:pPr>
              <w:spacing w:after="0"/>
              <w:rPr>
                <w:rFonts w:ascii="Times New Roman" w:eastAsia="Calibri" w:hAnsi="Times New Roman" w:cs="Arial"/>
                <w:noProof/>
                <w:color w:val="000000"/>
              </w:rPr>
            </w:pPr>
            <w:r>
              <w:rPr>
                <w:rFonts w:ascii="Times New Roman" w:eastAsia="Calibri" w:hAnsi="Times New Roman" w:cs="Arial"/>
                <w:noProof/>
                <w:color w:val="000000" w:themeColor="text1"/>
              </w:rPr>
              <w:t xml:space="preserve">4.3.1.r. </w:t>
            </w:r>
            <w:r>
              <w:rPr>
                <w:rFonts w:ascii="Times New Roman" w:eastAsia="Times New Roman" w:hAnsi="Times New Roman" w:cs="Times New Roman"/>
                <w:noProof/>
              </w:rPr>
              <w:t xml:space="preserve">Durabilité des soins de santé et utilisation efficace des ressources de santé </w:t>
            </w:r>
          </w:p>
        </w:tc>
        <w:tc>
          <w:tcPr>
            <w:tcW w:w="1433" w:type="dxa"/>
            <w:shd w:val="clear" w:color="auto" w:fill="C6EFCE"/>
            <w:tcMar>
              <w:left w:w="108" w:type="dxa"/>
              <w:right w:w="108" w:type="dxa"/>
            </w:tcMar>
          </w:tcPr>
          <w:p w14:paraId="337C6D66"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477DB034" w14:textId="350497B0" w:rsidR="008E6885" w:rsidRDefault="00EA24E7">
            <w:pPr>
              <w:pStyle w:val="P68B1DB1-Normal45"/>
              <w:spacing w:after="0"/>
              <w:jc w:val="both"/>
              <w:rPr>
                <w:noProof/>
              </w:rPr>
            </w:pPr>
            <w:r>
              <w:rPr>
                <w:noProof/>
              </w:rPr>
              <w:t>Nouveaux modèles de prestation de services de santé</w:t>
            </w:r>
          </w:p>
        </w:tc>
      </w:tr>
      <w:tr w:rsidR="008E6885" w14:paraId="691859A9" w14:textId="77777777">
        <w:trPr>
          <w:trHeight w:val="300"/>
        </w:trPr>
        <w:tc>
          <w:tcPr>
            <w:tcW w:w="1522" w:type="dxa"/>
            <w:shd w:val="clear" w:color="auto" w:fill="C6EFCE"/>
            <w:tcMar>
              <w:left w:w="108" w:type="dxa"/>
              <w:right w:w="108" w:type="dxa"/>
            </w:tcMar>
            <w:vAlign w:val="center"/>
          </w:tcPr>
          <w:p w14:paraId="41379DBB" w14:textId="77777777" w:rsidR="008E6885" w:rsidRDefault="00EA24E7">
            <w:pPr>
              <w:pStyle w:val="P68B1DB1-Normal45"/>
              <w:spacing w:after="0"/>
              <w:jc w:val="center"/>
              <w:rPr>
                <w:noProof/>
              </w:rPr>
            </w:pPr>
            <w:r>
              <w:rPr>
                <w:noProof/>
              </w:rPr>
              <w:t>156</w:t>
            </w:r>
          </w:p>
        </w:tc>
        <w:tc>
          <w:tcPr>
            <w:tcW w:w="3655" w:type="dxa"/>
            <w:shd w:val="clear" w:color="auto" w:fill="C6EFCE"/>
            <w:tcMar>
              <w:left w:w="108" w:type="dxa"/>
              <w:right w:w="108" w:type="dxa"/>
            </w:tcMar>
          </w:tcPr>
          <w:p w14:paraId="0DAAEF72" w14:textId="77777777" w:rsidR="008E6885" w:rsidRDefault="00EA24E7">
            <w:pPr>
              <w:pStyle w:val="P68B1DB1-Normal45"/>
              <w:spacing w:after="0"/>
              <w:rPr>
                <w:noProof/>
              </w:rPr>
            </w:pPr>
            <w:r>
              <w:rPr>
                <w:noProof/>
              </w:rPr>
              <w:t>5.1.1.1.i. Appui à un modèle de gouvernance du système d'innovation à part entière</w:t>
            </w:r>
          </w:p>
        </w:tc>
        <w:tc>
          <w:tcPr>
            <w:tcW w:w="1433" w:type="dxa"/>
            <w:shd w:val="clear" w:color="auto" w:fill="C6EFCE"/>
            <w:tcMar>
              <w:left w:w="108" w:type="dxa"/>
              <w:right w:w="108" w:type="dxa"/>
            </w:tcMar>
          </w:tcPr>
          <w:p w14:paraId="71B09A17"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1F144E9B" w14:textId="0C3C1382" w:rsidR="008E6885" w:rsidRDefault="00EA24E7">
            <w:pPr>
              <w:pStyle w:val="P68B1DB1-Normal45"/>
              <w:spacing w:after="0"/>
              <w:jc w:val="both"/>
              <w:rPr>
                <w:noProof/>
              </w:rPr>
            </w:pPr>
            <w:r>
              <w:rPr>
                <w:noProof/>
              </w:rPr>
              <w:t>Rapports de suivi</w:t>
            </w:r>
          </w:p>
        </w:tc>
      </w:tr>
      <w:tr w:rsidR="008E6885" w14:paraId="2ADCA2C5" w14:textId="77777777">
        <w:trPr>
          <w:trHeight w:val="300"/>
        </w:trPr>
        <w:tc>
          <w:tcPr>
            <w:tcW w:w="1522" w:type="dxa"/>
            <w:shd w:val="clear" w:color="auto" w:fill="C6EFCE"/>
            <w:tcMar>
              <w:left w:w="108" w:type="dxa"/>
              <w:right w:w="108" w:type="dxa"/>
            </w:tcMar>
            <w:vAlign w:val="center"/>
          </w:tcPr>
          <w:p w14:paraId="6634A1ED" w14:textId="77777777" w:rsidR="008E6885" w:rsidRDefault="00EA24E7">
            <w:pPr>
              <w:pStyle w:val="P68B1DB1-Normal45"/>
              <w:spacing w:after="0"/>
              <w:jc w:val="center"/>
              <w:rPr>
                <w:rFonts w:ascii="Calibri" w:hAnsi="Calibri"/>
                <w:noProof/>
              </w:rPr>
            </w:pPr>
            <w:r>
              <w:rPr>
                <w:noProof/>
              </w:rPr>
              <w:t>158</w:t>
            </w:r>
          </w:p>
        </w:tc>
        <w:tc>
          <w:tcPr>
            <w:tcW w:w="3655" w:type="dxa"/>
            <w:shd w:val="clear" w:color="auto" w:fill="C6EFCE"/>
            <w:tcMar>
              <w:left w:w="108" w:type="dxa"/>
              <w:right w:w="108" w:type="dxa"/>
            </w:tcMar>
          </w:tcPr>
          <w:p w14:paraId="0C34F2C4" w14:textId="77777777" w:rsidR="008E6885" w:rsidRDefault="00EA24E7">
            <w:pPr>
              <w:pStyle w:val="P68B1DB1-Normal45"/>
              <w:spacing w:after="0"/>
              <w:rPr>
                <w:rFonts w:ascii="Calibri" w:hAnsi="Calibri"/>
                <w:noProof/>
              </w:rPr>
            </w:pPr>
            <w:r>
              <w:rPr>
                <w:noProof/>
              </w:rPr>
              <w:t>5.1.1.2.i. Instrument de soutien à la recherche et à l'internationalisation</w:t>
            </w:r>
          </w:p>
        </w:tc>
        <w:tc>
          <w:tcPr>
            <w:tcW w:w="1433" w:type="dxa"/>
            <w:shd w:val="clear" w:color="auto" w:fill="C6EFCE"/>
            <w:tcMar>
              <w:left w:w="108" w:type="dxa"/>
              <w:right w:w="108" w:type="dxa"/>
            </w:tcMar>
          </w:tcPr>
          <w:p w14:paraId="665211BB" w14:textId="77777777" w:rsidR="008E6885" w:rsidRDefault="00EA24E7">
            <w:pPr>
              <w:pStyle w:val="P68B1DB1-Normal45"/>
              <w:spacing w:after="0"/>
              <w:jc w:val="center"/>
              <w:rPr>
                <w:rFonts w:ascii="Calibri" w:hAnsi="Calibri"/>
                <w:noProof/>
              </w:rPr>
            </w:pPr>
            <w:r>
              <w:rPr>
                <w:noProof/>
              </w:rPr>
              <w:t>Objectif</w:t>
            </w:r>
          </w:p>
        </w:tc>
        <w:tc>
          <w:tcPr>
            <w:tcW w:w="3019" w:type="dxa"/>
            <w:shd w:val="clear" w:color="auto" w:fill="C6EFCE"/>
            <w:tcMar>
              <w:left w:w="108" w:type="dxa"/>
              <w:right w:w="108" w:type="dxa"/>
            </w:tcMar>
          </w:tcPr>
          <w:p w14:paraId="757F2C8A" w14:textId="77777777" w:rsidR="008E6885" w:rsidRDefault="00EA24E7">
            <w:pPr>
              <w:pStyle w:val="P68B1DB1-Normal45"/>
              <w:spacing w:after="0"/>
              <w:jc w:val="both"/>
              <w:rPr>
                <w:rFonts w:ascii="Calibri" w:hAnsi="Calibri"/>
                <w:noProof/>
              </w:rPr>
            </w:pPr>
            <w:r>
              <w:rPr>
                <w:noProof/>
              </w:rPr>
              <w:t>Engagement de financement</w:t>
            </w:r>
          </w:p>
        </w:tc>
      </w:tr>
      <w:tr w:rsidR="008E6885" w14:paraId="0EA6EB98" w14:textId="77777777">
        <w:trPr>
          <w:trHeight w:val="300"/>
        </w:trPr>
        <w:tc>
          <w:tcPr>
            <w:tcW w:w="1522" w:type="dxa"/>
            <w:shd w:val="clear" w:color="auto" w:fill="C6EFCE"/>
            <w:tcMar>
              <w:left w:w="108" w:type="dxa"/>
              <w:right w:w="108" w:type="dxa"/>
            </w:tcMar>
            <w:vAlign w:val="center"/>
          </w:tcPr>
          <w:p w14:paraId="6D5D2420" w14:textId="77777777" w:rsidR="008E6885" w:rsidRDefault="00EA24E7">
            <w:pPr>
              <w:pStyle w:val="P68B1DB1-Normal45"/>
              <w:spacing w:after="0"/>
              <w:jc w:val="center"/>
              <w:rPr>
                <w:noProof/>
              </w:rPr>
            </w:pPr>
            <w:r>
              <w:rPr>
                <w:noProof/>
              </w:rPr>
              <w:t>160</w:t>
            </w:r>
          </w:p>
        </w:tc>
        <w:tc>
          <w:tcPr>
            <w:tcW w:w="3655" w:type="dxa"/>
            <w:shd w:val="clear" w:color="auto" w:fill="C6EFCE"/>
            <w:tcMar>
              <w:left w:w="108" w:type="dxa"/>
              <w:right w:w="108" w:type="dxa"/>
            </w:tcMar>
          </w:tcPr>
          <w:p w14:paraId="293FC12F" w14:textId="77777777" w:rsidR="008E6885" w:rsidRDefault="00EA24E7">
            <w:pPr>
              <w:pStyle w:val="P68B1DB1-Normal45"/>
              <w:spacing w:after="0"/>
              <w:rPr>
                <w:noProof/>
              </w:rPr>
            </w:pPr>
            <w:r>
              <w:rPr>
                <w:noProof/>
              </w:rPr>
              <w:t>5.2.1.r. Réforme de l'enseignement supérieur, de l'excellence scientifique et de la gouvernance</w:t>
            </w:r>
          </w:p>
        </w:tc>
        <w:tc>
          <w:tcPr>
            <w:tcW w:w="1433" w:type="dxa"/>
            <w:shd w:val="clear" w:color="auto" w:fill="C6EFCE"/>
            <w:tcMar>
              <w:left w:w="108" w:type="dxa"/>
              <w:right w:w="108" w:type="dxa"/>
            </w:tcMar>
          </w:tcPr>
          <w:p w14:paraId="0DE2EEBC"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55ED60C9" w14:textId="77777777" w:rsidR="008E6885" w:rsidRDefault="00EA24E7">
            <w:pPr>
              <w:pStyle w:val="P68B1DB1-Normal40"/>
              <w:spacing w:after="0"/>
              <w:jc w:val="both"/>
              <w:rPr>
                <w:rFonts w:eastAsia="Calibri" w:cs="Arial"/>
                <w:noProof/>
                <w:color w:val="000000"/>
              </w:rPr>
            </w:pPr>
            <w:r>
              <w:rPr>
                <w:noProof/>
              </w:rPr>
              <w:t>Réforme de l'enseignement supérieur</w:t>
            </w:r>
          </w:p>
        </w:tc>
      </w:tr>
      <w:tr w:rsidR="008E6885" w14:paraId="6A799F49" w14:textId="77777777">
        <w:trPr>
          <w:trHeight w:val="300"/>
        </w:trPr>
        <w:tc>
          <w:tcPr>
            <w:tcW w:w="1522" w:type="dxa"/>
            <w:shd w:val="clear" w:color="auto" w:fill="C6EFCE"/>
            <w:tcMar>
              <w:left w:w="108" w:type="dxa"/>
              <w:right w:w="108" w:type="dxa"/>
            </w:tcMar>
            <w:vAlign w:val="center"/>
          </w:tcPr>
          <w:p w14:paraId="34A8E143" w14:textId="77777777" w:rsidR="008E6885" w:rsidRDefault="00EA24E7">
            <w:pPr>
              <w:pStyle w:val="P68B1DB1-Normal45"/>
              <w:spacing w:after="0"/>
              <w:jc w:val="center"/>
              <w:rPr>
                <w:noProof/>
              </w:rPr>
            </w:pPr>
            <w:r>
              <w:rPr>
                <w:noProof/>
              </w:rPr>
              <w:t>162</w:t>
            </w:r>
          </w:p>
        </w:tc>
        <w:tc>
          <w:tcPr>
            <w:tcW w:w="3655" w:type="dxa"/>
            <w:shd w:val="clear" w:color="auto" w:fill="C6EFCE"/>
            <w:tcMar>
              <w:left w:w="108" w:type="dxa"/>
              <w:right w:w="108" w:type="dxa"/>
            </w:tcMar>
          </w:tcPr>
          <w:p w14:paraId="4DD6A646" w14:textId="77777777" w:rsidR="008E6885" w:rsidRDefault="00EA24E7">
            <w:pPr>
              <w:pStyle w:val="P68B1DB1-Normal45"/>
              <w:spacing w:after="0"/>
              <w:rPr>
                <w:noProof/>
              </w:rPr>
            </w:pPr>
            <w:r>
              <w:rPr>
                <w:noProof/>
              </w:rPr>
              <w:t>5.2.1.r. Réforme de l'enseignement supérieur, de l'excellence scientifique et de la gouvernance</w:t>
            </w:r>
          </w:p>
        </w:tc>
        <w:tc>
          <w:tcPr>
            <w:tcW w:w="1433" w:type="dxa"/>
            <w:shd w:val="clear" w:color="auto" w:fill="C6EFCE"/>
            <w:tcMar>
              <w:left w:w="108" w:type="dxa"/>
              <w:right w:w="108" w:type="dxa"/>
            </w:tcMar>
          </w:tcPr>
          <w:p w14:paraId="3EB5AA97"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5A5E308E" w14:textId="77C50A29" w:rsidR="008E6885" w:rsidRDefault="00EA24E7">
            <w:pPr>
              <w:pStyle w:val="P68B1DB1-Normal45"/>
              <w:spacing w:after="0"/>
              <w:jc w:val="both"/>
              <w:rPr>
                <w:noProof/>
              </w:rPr>
            </w:pPr>
            <w:r>
              <w:rPr>
                <w:noProof/>
              </w:rPr>
              <w:t>Changements de gouvernance dans les universités publiques</w:t>
            </w:r>
          </w:p>
        </w:tc>
      </w:tr>
      <w:tr w:rsidR="008E6885" w14:paraId="0DB0139D" w14:textId="77777777">
        <w:trPr>
          <w:trHeight w:val="300"/>
        </w:trPr>
        <w:tc>
          <w:tcPr>
            <w:tcW w:w="1522" w:type="dxa"/>
            <w:shd w:val="clear" w:color="auto" w:fill="C6EFCE"/>
            <w:tcMar>
              <w:left w:w="108" w:type="dxa"/>
              <w:right w:w="108" w:type="dxa"/>
            </w:tcMar>
            <w:vAlign w:val="center"/>
          </w:tcPr>
          <w:p w14:paraId="56E09C58" w14:textId="77777777" w:rsidR="008E6885" w:rsidRDefault="00EA24E7">
            <w:pPr>
              <w:pStyle w:val="P68B1DB1-Normal45"/>
              <w:spacing w:after="0"/>
              <w:jc w:val="center"/>
              <w:rPr>
                <w:noProof/>
              </w:rPr>
            </w:pPr>
            <w:r>
              <w:rPr>
                <w:noProof/>
              </w:rPr>
              <w:t>163</w:t>
            </w:r>
          </w:p>
        </w:tc>
        <w:tc>
          <w:tcPr>
            <w:tcW w:w="3655" w:type="dxa"/>
            <w:shd w:val="clear" w:color="auto" w:fill="C6EFCE"/>
            <w:tcMar>
              <w:left w:w="108" w:type="dxa"/>
              <w:right w:w="108" w:type="dxa"/>
            </w:tcMar>
          </w:tcPr>
          <w:p w14:paraId="01DABA3C" w14:textId="77777777" w:rsidR="008E6885" w:rsidRDefault="00EA24E7">
            <w:pPr>
              <w:pStyle w:val="P68B1DB1-Normal45"/>
              <w:spacing w:after="0"/>
              <w:rPr>
                <w:noProof/>
              </w:rPr>
            </w:pPr>
            <w:r>
              <w:rPr>
                <w:noProof/>
              </w:rPr>
              <w:t>5.2.1.1.i. Subventions de recherche, de développement et de consolidation</w:t>
            </w:r>
          </w:p>
        </w:tc>
        <w:tc>
          <w:tcPr>
            <w:tcW w:w="1433" w:type="dxa"/>
            <w:shd w:val="clear" w:color="auto" w:fill="C6EFCE"/>
            <w:tcMar>
              <w:left w:w="108" w:type="dxa"/>
              <w:right w:w="108" w:type="dxa"/>
            </w:tcMar>
          </w:tcPr>
          <w:p w14:paraId="3F27303E"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5D7286F3" w14:textId="5D23BFFA" w:rsidR="008E6885" w:rsidRDefault="00EA24E7">
            <w:pPr>
              <w:pStyle w:val="P68B1DB1-Normal45"/>
              <w:spacing w:after="0"/>
              <w:jc w:val="both"/>
              <w:rPr>
                <w:noProof/>
              </w:rPr>
            </w:pPr>
            <w:r>
              <w:rPr>
                <w:noProof/>
              </w:rPr>
              <w:t>Décisions de paiement finales pour les plans de consolidation</w:t>
            </w:r>
          </w:p>
        </w:tc>
      </w:tr>
      <w:tr w:rsidR="008E6885" w14:paraId="57FFF5F5" w14:textId="77777777">
        <w:trPr>
          <w:trHeight w:val="300"/>
        </w:trPr>
        <w:tc>
          <w:tcPr>
            <w:tcW w:w="1522" w:type="dxa"/>
            <w:shd w:val="clear" w:color="auto" w:fill="C6EFCE"/>
            <w:tcMar>
              <w:left w:w="108" w:type="dxa"/>
              <w:right w:w="108" w:type="dxa"/>
            </w:tcMar>
            <w:vAlign w:val="center"/>
          </w:tcPr>
          <w:p w14:paraId="36ED20C3" w14:textId="77777777" w:rsidR="008E6885" w:rsidRDefault="00EA24E7">
            <w:pPr>
              <w:pStyle w:val="P68B1DB1-Normal45"/>
              <w:spacing w:after="0"/>
              <w:jc w:val="center"/>
              <w:rPr>
                <w:noProof/>
              </w:rPr>
            </w:pPr>
            <w:r>
              <w:rPr>
                <w:noProof/>
              </w:rPr>
              <w:t>164</w:t>
            </w:r>
          </w:p>
        </w:tc>
        <w:tc>
          <w:tcPr>
            <w:tcW w:w="3655" w:type="dxa"/>
            <w:shd w:val="clear" w:color="auto" w:fill="C6EFCE"/>
            <w:tcMar>
              <w:left w:w="108" w:type="dxa"/>
              <w:right w:w="108" w:type="dxa"/>
            </w:tcMar>
          </w:tcPr>
          <w:p w14:paraId="420EB18E" w14:textId="77777777" w:rsidR="008E6885" w:rsidRDefault="00EA24E7">
            <w:pPr>
              <w:pStyle w:val="P68B1DB1-Normal45"/>
              <w:spacing w:after="0"/>
              <w:rPr>
                <w:noProof/>
              </w:rPr>
            </w:pPr>
            <w:r>
              <w:rPr>
                <w:noProof/>
              </w:rPr>
              <w:t>5.2.1.1.i. Subventions de recherche, de développement et de consolidation</w:t>
            </w:r>
          </w:p>
        </w:tc>
        <w:tc>
          <w:tcPr>
            <w:tcW w:w="1433" w:type="dxa"/>
            <w:shd w:val="clear" w:color="auto" w:fill="C6EFCE"/>
            <w:tcMar>
              <w:left w:w="108" w:type="dxa"/>
              <w:right w:w="108" w:type="dxa"/>
            </w:tcMar>
          </w:tcPr>
          <w:p w14:paraId="48BE70D3"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4CFB1921" w14:textId="77777777" w:rsidR="008E6885" w:rsidRDefault="00EA24E7">
            <w:pPr>
              <w:pStyle w:val="P68B1DB1-Normal45"/>
              <w:spacing w:after="0"/>
              <w:jc w:val="both"/>
              <w:rPr>
                <w:noProof/>
              </w:rPr>
            </w:pPr>
            <w:r>
              <w:rPr>
                <w:noProof/>
              </w:rPr>
              <w:t>Signature de conventions de subvention de carrière universitaire et de recherche</w:t>
            </w:r>
          </w:p>
        </w:tc>
      </w:tr>
      <w:tr w:rsidR="008E6885" w14:paraId="23187CE3" w14:textId="77777777">
        <w:trPr>
          <w:trHeight w:val="300"/>
        </w:trPr>
        <w:tc>
          <w:tcPr>
            <w:tcW w:w="1522" w:type="dxa"/>
            <w:shd w:val="clear" w:color="auto" w:fill="C6EFCE"/>
            <w:tcMar>
              <w:left w:w="108" w:type="dxa"/>
              <w:right w:w="108" w:type="dxa"/>
            </w:tcMar>
            <w:vAlign w:val="center"/>
          </w:tcPr>
          <w:p w14:paraId="118B9239" w14:textId="77777777" w:rsidR="008E6885" w:rsidRDefault="00EA24E7">
            <w:pPr>
              <w:pStyle w:val="P68B1DB1-Normal45"/>
              <w:spacing w:after="0"/>
              <w:jc w:val="center"/>
              <w:rPr>
                <w:rFonts w:ascii="Calibri" w:hAnsi="Calibri"/>
                <w:noProof/>
              </w:rPr>
            </w:pPr>
            <w:r>
              <w:rPr>
                <w:noProof/>
              </w:rPr>
              <w:t>176</w:t>
            </w:r>
          </w:p>
        </w:tc>
        <w:tc>
          <w:tcPr>
            <w:tcW w:w="3655" w:type="dxa"/>
            <w:shd w:val="clear" w:color="auto" w:fill="C6EFCE"/>
            <w:tcMar>
              <w:left w:w="108" w:type="dxa"/>
              <w:right w:w="108" w:type="dxa"/>
            </w:tcMar>
          </w:tcPr>
          <w:p w14:paraId="32753C7F" w14:textId="77777777" w:rsidR="008E6885" w:rsidRDefault="00EA24E7">
            <w:pPr>
              <w:pStyle w:val="P68B1DB1-Normal45"/>
              <w:spacing w:after="0"/>
              <w:rPr>
                <w:rFonts w:ascii="Calibri" w:hAnsi="Calibri"/>
                <w:noProof/>
              </w:rPr>
            </w:pPr>
            <w:r>
              <w:rPr>
                <w:noProof/>
              </w:rPr>
              <w:t>6.1.2.1.i. Raccordement des scanners ferroviaires à BAXE et développement d'une plateforme d'analyse d'images radiographiques</w:t>
            </w:r>
          </w:p>
        </w:tc>
        <w:tc>
          <w:tcPr>
            <w:tcW w:w="1433" w:type="dxa"/>
            <w:shd w:val="clear" w:color="auto" w:fill="C6EFCE"/>
            <w:tcMar>
              <w:left w:w="108" w:type="dxa"/>
              <w:right w:w="108" w:type="dxa"/>
            </w:tcMar>
          </w:tcPr>
          <w:p w14:paraId="569E98EB" w14:textId="77777777" w:rsidR="008E6885" w:rsidRDefault="00EA24E7">
            <w:pPr>
              <w:pStyle w:val="P68B1DB1-Normal45"/>
              <w:spacing w:after="0"/>
              <w:jc w:val="center"/>
              <w:rPr>
                <w:rFonts w:ascii="Calibri" w:hAnsi="Calibri"/>
                <w:noProof/>
              </w:rPr>
            </w:pPr>
            <w:r>
              <w:rPr>
                <w:noProof/>
              </w:rPr>
              <w:t>Étape</w:t>
            </w:r>
          </w:p>
        </w:tc>
        <w:tc>
          <w:tcPr>
            <w:tcW w:w="3019" w:type="dxa"/>
            <w:shd w:val="clear" w:color="auto" w:fill="C6EFCE"/>
            <w:tcMar>
              <w:left w:w="108" w:type="dxa"/>
              <w:right w:w="108" w:type="dxa"/>
            </w:tcMar>
          </w:tcPr>
          <w:p w14:paraId="1D5D65D6" w14:textId="77777777" w:rsidR="008E6885" w:rsidRDefault="00EA24E7">
            <w:pPr>
              <w:pStyle w:val="P68B1DB1-Normal45"/>
              <w:spacing w:after="0"/>
              <w:jc w:val="both"/>
              <w:rPr>
                <w:rFonts w:ascii="Calibri" w:hAnsi="Calibri"/>
                <w:noProof/>
              </w:rPr>
            </w:pPr>
            <w:r>
              <w:rPr>
                <w:noProof/>
              </w:rPr>
              <w:t>Scanners ferroviaires connectés au système d'information BAXE</w:t>
            </w:r>
          </w:p>
        </w:tc>
      </w:tr>
      <w:tr w:rsidR="008E6885" w14:paraId="6BFC9D4D" w14:textId="77777777">
        <w:trPr>
          <w:trHeight w:val="300"/>
        </w:trPr>
        <w:tc>
          <w:tcPr>
            <w:tcW w:w="1522" w:type="dxa"/>
            <w:shd w:val="clear" w:color="auto" w:fill="C6EFCE"/>
            <w:tcMar>
              <w:left w:w="108" w:type="dxa"/>
              <w:right w:w="108" w:type="dxa"/>
            </w:tcMar>
            <w:vAlign w:val="center"/>
          </w:tcPr>
          <w:p w14:paraId="7D7BE881" w14:textId="77777777" w:rsidR="008E6885" w:rsidRDefault="00EA24E7">
            <w:pPr>
              <w:pStyle w:val="P68B1DB1-Normal45"/>
              <w:spacing w:after="0"/>
              <w:jc w:val="center"/>
              <w:rPr>
                <w:noProof/>
              </w:rPr>
            </w:pPr>
            <w:r>
              <w:rPr>
                <w:noProof/>
              </w:rPr>
              <w:t>177</w:t>
            </w:r>
          </w:p>
        </w:tc>
        <w:tc>
          <w:tcPr>
            <w:tcW w:w="3655" w:type="dxa"/>
            <w:shd w:val="clear" w:color="auto" w:fill="C6EFCE"/>
            <w:tcMar>
              <w:left w:w="108" w:type="dxa"/>
              <w:right w:w="108" w:type="dxa"/>
            </w:tcMar>
          </w:tcPr>
          <w:p w14:paraId="1593871D" w14:textId="77777777" w:rsidR="008E6885" w:rsidRDefault="00EA24E7">
            <w:pPr>
              <w:pStyle w:val="P68B1DB1-Normal46"/>
              <w:spacing w:after="0" w:line="240" w:lineRule="auto"/>
              <w:rPr>
                <w:noProof/>
                <w:color w:val="000000"/>
              </w:rPr>
            </w:pPr>
            <w:r>
              <w:rPr>
                <w:noProof/>
              </w:rPr>
              <w:t>6.1.2.1.i. Raccordement des scanners ferroviaires à BAXE et création d'une plateforme d'analyse d'images par rayons X</w:t>
            </w:r>
            <w:r>
              <w:rPr>
                <w:noProof/>
                <w:color w:val="000000"/>
              </w:rPr>
              <w:t xml:space="preserve"> </w:t>
            </w:r>
          </w:p>
        </w:tc>
        <w:tc>
          <w:tcPr>
            <w:tcW w:w="1433" w:type="dxa"/>
            <w:shd w:val="clear" w:color="auto" w:fill="C6EFCE"/>
            <w:tcMar>
              <w:left w:w="108" w:type="dxa"/>
              <w:right w:w="108" w:type="dxa"/>
            </w:tcMar>
          </w:tcPr>
          <w:p w14:paraId="57B32CE4"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0FCDFA00" w14:textId="3F88C80A" w:rsidR="008E6885" w:rsidRDefault="00EA24E7">
            <w:pPr>
              <w:pStyle w:val="P68B1DB1-Normal45"/>
              <w:spacing w:after="0"/>
              <w:jc w:val="both"/>
              <w:rPr>
                <w:noProof/>
              </w:rPr>
            </w:pPr>
            <w:r>
              <w:rPr>
                <w:noProof/>
              </w:rPr>
              <w:t>Plateforme d'analyse d'images à rayons X</w:t>
            </w:r>
          </w:p>
        </w:tc>
      </w:tr>
      <w:tr w:rsidR="008E6885" w14:paraId="6A1C46B3" w14:textId="77777777">
        <w:trPr>
          <w:trHeight w:val="300"/>
        </w:trPr>
        <w:tc>
          <w:tcPr>
            <w:tcW w:w="1522" w:type="dxa"/>
            <w:shd w:val="clear" w:color="auto" w:fill="C6EFCE"/>
            <w:tcMar>
              <w:left w:w="108" w:type="dxa"/>
              <w:right w:w="108" w:type="dxa"/>
            </w:tcMar>
            <w:vAlign w:val="center"/>
          </w:tcPr>
          <w:p w14:paraId="552B81DE" w14:textId="77777777" w:rsidR="008E6885" w:rsidRDefault="00EA24E7">
            <w:pPr>
              <w:pStyle w:val="P68B1DB1-Normal45"/>
              <w:spacing w:after="0"/>
              <w:jc w:val="center"/>
              <w:rPr>
                <w:rFonts w:ascii="Calibri" w:hAnsi="Calibri"/>
                <w:noProof/>
              </w:rPr>
            </w:pPr>
            <w:r>
              <w:rPr>
                <w:noProof/>
              </w:rPr>
              <w:t>180</w:t>
            </w:r>
          </w:p>
        </w:tc>
        <w:tc>
          <w:tcPr>
            <w:tcW w:w="3655" w:type="dxa"/>
            <w:shd w:val="clear" w:color="auto" w:fill="C6EFCE"/>
            <w:tcMar>
              <w:left w:w="108" w:type="dxa"/>
              <w:right w:w="108" w:type="dxa"/>
            </w:tcMar>
          </w:tcPr>
          <w:p w14:paraId="0121F4E6" w14:textId="77777777" w:rsidR="008E6885" w:rsidRDefault="00EA24E7">
            <w:pPr>
              <w:pStyle w:val="P68B1DB1-Normal45"/>
              <w:spacing w:after="0"/>
              <w:rPr>
                <w:rFonts w:ascii="Calibri" w:hAnsi="Calibri"/>
                <w:noProof/>
              </w:rPr>
            </w:pPr>
            <w:r>
              <w:rPr>
                <w:noProof/>
              </w:rPr>
              <w:t>6.1.2.3.i. Amélioration du contrôle douanier des envois postaux reçus au point de contrôle douanier de l'aéroport</w:t>
            </w:r>
          </w:p>
        </w:tc>
        <w:tc>
          <w:tcPr>
            <w:tcW w:w="1433" w:type="dxa"/>
            <w:shd w:val="clear" w:color="auto" w:fill="C6EFCE"/>
            <w:tcMar>
              <w:left w:w="108" w:type="dxa"/>
              <w:right w:w="108" w:type="dxa"/>
            </w:tcMar>
          </w:tcPr>
          <w:p w14:paraId="0EBCC777" w14:textId="77777777" w:rsidR="008E6885" w:rsidRDefault="00EA24E7">
            <w:pPr>
              <w:pStyle w:val="P68B1DB1-Normal45"/>
              <w:spacing w:after="0"/>
              <w:jc w:val="center"/>
              <w:rPr>
                <w:rFonts w:ascii="Calibri" w:hAnsi="Calibri"/>
                <w:noProof/>
              </w:rPr>
            </w:pPr>
            <w:r>
              <w:rPr>
                <w:noProof/>
              </w:rPr>
              <w:t>Étape</w:t>
            </w:r>
          </w:p>
        </w:tc>
        <w:tc>
          <w:tcPr>
            <w:tcW w:w="3019" w:type="dxa"/>
            <w:shd w:val="clear" w:color="auto" w:fill="C6EFCE"/>
            <w:tcMar>
              <w:left w:w="108" w:type="dxa"/>
              <w:right w:w="108" w:type="dxa"/>
            </w:tcMar>
          </w:tcPr>
          <w:p w14:paraId="7B3CE4A3" w14:textId="7D6F08E3" w:rsidR="008E6885" w:rsidRDefault="00EA24E7">
            <w:pPr>
              <w:pStyle w:val="P68B1DB1-Normal46"/>
              <w:spacing w:after="0"/>
              <w:jc w:val="both"/>
              <w:rPr>
                <w:rFonts w:ascii="Calibri" w:hAnsi="Calibri"/>
                <w:noProof/>
              </w:rPr>
            </w:pPr>
            <w:r>
              <w:rPr>
                <w:noProof/>
              </w:rPr>
              <w:t>Ligne de scannage et de tri du courrier à l'aéroport de Riga</w:t>
            </w:r>
          </w:p>
        </w:tc>
      </w:tr>
      <w:tr w:rsidR="008E6885" w14:paraId="6EC2F1A6" w14:textId="77777777">
        <w:trPr>
          <w:trHeight w:val="300"/>
        </w:trPr>
        <w:tc>
          <w:tcPr>
            <w:tcW w:w="1522" w:type="dxa"/>
            <w:shd w:val="clear" w:color="auto" w:fill="C6EFCE"/>
            <w:tcMar>
              <w:left w:w="108" w:type="dxa"/>
              <w:right w:w="108" w:type="dxa"/>
            </w:tcMar>
            <w:vAlign w:val="center"/>
          </w:tcPr>
          <w:p w14:paraId="59D11E76" w14:textId="77777777" w:rsidR="008E6885" w:rsidRDefault="00EA24E7">
            <w:pPr>
              <w:pStyle w:val="P68B1DB1-Normal45"/>
              <w:spacing w:after="0"/>
              <w:jc w:val="center"/>
              <w:rPr>
                <w:noProof/>
              </w:rPr>
            </w:pPr>
            <w:r>
              <w:rPr>
                <w:noProof/>
              </w:rPr>
              <w:t>183</w:t>
            </w:r>
          </w:p>
        </w:tc>
        <w:tc>
          <w:tcPr>
            <w:tcW w:w="3655" w:type="dxa"/>
            <w:shd w:val="clear" w:color="auto" w:fill="C6EFCE"/>
            <w:tcMar>
              <w:left w:w="108" w:type="dxa"/>
              <w:right w:w="108" w:type="dxa"/>
            </w:tcMar>
          </w:tcPr>
          <w:p w14:paraId="468A821D" w14:textId="77777777" w:rsidR="008E6885" w:rsidRDefault="00EA24E7">
            <w:pPr>
              <w:pStyle w:val="P68B1DB1-Normal45"/>
              <w:spacing w:after="0"/>
              <w:rPr>
                <w:noProof/>
              </w:rPr>
            </w:pPr>
            <w:r>
              <w:rPr>
                <w:noProof/>
              </w:rPr>
              <w:t>6.1.2.4.i. Création d'une infrastructure pour l'exécution des services de contrôle à Kundziņsala</w:t>
            </w:r>
          </w:p>
        </w:tc>
        <w:tc>
          <w:tcPr>
            <w:tcW w:w="1433" w:type="dxa"/>
            <w:shd w:val="clear" w:color="auto" w:fill="C6EFCE"/>
            <w:tcMar>
              <w:left w:w="108" w:type="dxa"/>
              <w:right w:w="108" w:type="dxa"/>
            </w:tcMar>
          </w:tcPr>
          <w:p w14:paraId="4AAE65EE"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1F893BAC" w14:textId="27B4E3D4" w:rsidR="008E6885" w:rsidRDefault="00EA24E7">
            <w:pPr>
              <w:pStyle w:val="P68B1DB1-Normal46"/>
              <w:spacing w:after="0"/>
              <w:jc w:val="both"/>
              <w:rPr>
                <w:noProof/>
              </w:rPr>
            </w:pPr>
            <w:r>
              <w:rPr>
                <w:noProof/>
              </w:rPr>
              <w:t>Structures et équipements de roulement et de fermeture</w:t>
            </w:r>
          </w:p>
        </w:tc>
      </w:tr>
      <w:tr w:rsidR="008E6885" w14:paraId="2D053A4D" w14:textId="77777777">
        <w:trPr>
          <w:trHeight w:val="300"/>
        </w:trPr>
        <w:tc>
          <w:tcPr>
            <w:tcW w:w="1522" w:type="dxa"/>
            <w:shd w:val="clear" w:color="auto" w:fill="C6EFCE"/>
            <w:tcMar>
              <w:left w:w="108" w:type="dxa"/>
              <w:right w:w="108" w:type="dxa"/>
            </w:tcMar>
            <w:vAlign w:val="center"/>
          </w:tcPr>
          <w:p w14:paraId="47BD6809" w14:textId="77777777" w:rsidR="008E6885" w:rsidRDefault="00EA24E7">
            <w:pPr>
              <w:pStyle w:val="P68B1DB1-Normal45"/>
              <w:spacing w:after="0"/>
              <w:jc w:val="center"/>
              <w:rPr>
                <w:rFonts w:ascii="Calibri" w:hAnsi="Calibri"/>
                <w:noProof/>
              </w:rPr>
            </w:pPr>
            <w:r>
              <w:rPr>
                <w:noProof/>
              </w:rPr>
              <w:t>221</w:t>
            </w:r>
          </w:p>
        </w:tc>
        <w:tc>
          <w:tcPr>
            <w:tcW w:w="3655" w:type="dxa"/>
            <w:shd w:val="clear" w:color="auto" w:fill="C6EFCE"/>
            <w:tcMar>
              <w:left w:w="108" w:type="dxa"/>
              <w:right w:w="108" w:type="dxa"/>
            </w:tcMar>
          </w:tcPr>
          <w:p w14:paraId="484D0F7D" w14:textId="77777777" w:rsidR="008E6885" w:rsidRDefault="00EA24E7">
            <w:pPr>
              <w:pStyle w:val="P68B1DB1-Normal45"/>
              <w:spacing w:after="0"/>
              <w:rPr>
                <w:rFonts w:ascii="Calibri" w:hAnsi="Calibri"/>
                <w:noProof/>
              </w:rPr>
            </w:pPr>
            <w:r>
              <w:rPr>
                <w:noProof/>
              </w:rPr>
              <w:t>7.2.i. Sécurité et stabilité de l'approvisionnement énergétique et synchronisation avec le réseau de l'Union</w:t>
            </w:r>
          </w:p>
        </w:tc>
        <w:tc>
          <w:tcPr>
            <w:tcW w:w="1433" w:type="dxa"/>
            <w:shd w:val="clear" w:color="auto" w:fill="C6EFCE"/>
            <w:tcMar>
              <w:left w:w="108" w:type="dxa"/>
              <w:right w:w="108" w:type="dxa"/>
            </w:tcMar>
          </w:tcPr>
          <w:p w14:paraId="4F580FAB" w14:textId="77777777" w:rsidR="008E6885" w:rsidRDefault="00EA24E7">
            <w:pPr>
              <w:pStyle w:val="P68B1DB1-Normal45"/>
              <w:spacing w:after="0"/>
              <w:jc w:val="center"/>
              <w:rPr>
                <w:rFonts w:ascii="Calibri" w:hAnsi="Calibri"/>
                <w:noProof/>
              </w:rPr>
            </w:pPr>
            <w:r>
              <w:rPr>
                <w:noProof/>
              </w:rPr>
              <w:t>Objectif</w:t>
            </w:r>
          </w:p>
        </w:tc>
        <w:tc>
          <w:tcPr>
            <w:tcW w:w="3019" w:type="dxa"/>
            <w:shd w:val="clear" w:color="auto" w:fill="C6EFCE"/>
            <w:tcMar>
              <w:left w:w="108" w:type="dxa"/>
              <w:right w:w="108" w:type="dxa"/>
            </w:tcMar>
          </w:tcPr>
          <w:p w14:paraId="005DE41F" w14:textId="77777777" w:rsidR="008E6885" w:rsidRDefault="00EA24E7">
            <w:pPr>
              <w:pStyle w:val="P68B1DB1-Normal45"/>
              <w:spacing w:after="0"/>
              <w:jc w:val="both"/>
              <w:rPr>
                <w:rFonts w:ascii="Calibri" w:hAnsi="Calibri"/>
                <w:noProof/>
              </w:rPr>
            </w:pPr>
            <w:r>
              <w:rPr>
                <w:noProof/>
              </w:rPr>
              <w:t>Système de stockage d'énergie par batterie (BESS)</w:t>
            </w:r>
          </w:p>
        </w:tc>
      </w:tr>
      <w:tr w:rsidR="008E6885" w14:paraId="6700A0F9" w14:textId="77777777">
        <w:trPr>
          <w:trHeight w:val="300"/>
        </w:trPr>
        <w:tc>
          <w:tcPr>
            <w:tcW w:w="1522" w:type="dxa"/>
            <w:shd w:val="clear" w:color="auto" w:fill="C6EFCE"/>
            <w:tcMar>
              <w:left w:w="108" w:type="dxa"/>
              <w:right w:w="108" w:type="dxa"/>
            </w:tcMar>
            <w:vAlign w:val="center"/>
          </w:tcPr>
          <w:p w14:paraId="3C9A68ED" w14:textId="77777777" w:rsidR="008E6885" w:rsidRDefault="00EA24E7">
            <w:pPr>
              <w:pStyle w:val="P68B1DB1-Normal45"/>
              <w:spacing w:after="0"/>
              <w:jc w:val="center"/>
              <w:rPr>
                <w:noProof/>
              </w:rPr>
            </w:pPr>
            <w:r>
              <w:rPr>
                <w:noProof/>
              </w:rPr>
              <w:t>224</w:t>
            </w:r>
          </w:p>
        </w:tc>
        <w:tc>
          <w:tcPr>
            <w:tcW w:w="3655" w:type="dxa"/>
            <w:shd w:val="clear" w:color="auto" w:fill="C6EFCE"/>
            <w:tcMar>
              <w:left w:w="108" w:type="dxa"/>
              <w:right w:w="108" w:type="dxa"/>
            </w:tcMar>
          </w:tcPr>
          <w:p w14:paraId="0AB822DE" w14:textId="77777777" w:rsidR="008E6885" w:rsidRDefault="00EA24E7">
            <w:pPr>
              <w:pStyle w:val="P68B1DB1-Normal45"/>
              <w:spacing w:after="0"/>
              <w:rPr>
                <w:noProof/>
              </w:rPr>
            </w:pPr>
            <w:r>
              <w:rPr>
                <w:noProof/>
              </w:rPr>
              <w:t>7.3.i. Modernisation, numérisation et sécurisation des réseaux de transport et de distribution d’électricité</w:t>
            </w:r>
          </w:p>
        </w:tc>
        <w:tc>
          <w:tcPr>
            <w:tcW w:w="1433" w:type="dxa"/>
            <w:shd w:val="clear" w:color="auto" w:fill="C6EFCE"/>
            <w:tcMar>
              <w:left w:w="108" w:type="dxa"/>
              <w:right w:w="108" w:type="dxa"/>
            </w:tcMar>
          </w:tcPr>
          <w:p w14:paraId="551E5F29"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093590CC" w14:textId="77777777" w:rsidR="008E6885" w:rsidRDefault="00EA24E7">
            <w:pPr>
              <w:pStyle w:val="P68B1DB1-Normal45"/>
              <w:spacing w:after="0"/>
              <w:jc w:val="both"/>
              <w:rPr>
                <w:noProof/>
              </w:rPr>
            </w:pPr>
            <w:r>
              <w:rPr>
                <w:noProof/>
              </w:rPr>
              <w:t>Capacité supplémentaire du réseau électrique</w:t>
            </w:r>
          </w:p>
        </w:tc>
      </w:tr>
      <w:tr w:rsidR="008E6885" w14:paraId="656C52A6" w14:textId="77777777">
        <w:trPr>
          <w:trHeight w:val="300"/>
        </w:trPr>
        <w:tc>
          <w:tcPr>
            <w:tcW w:w="1522" w:type="dxa"/>
            <w:shd w:val="clear" w:color="auto" w:fill="C6EFCE"/>
            <w:tcMar>
              <w:left w:w="108" w:type="dxa"/>
              <w:right w:w="108" w:type="dxa"/>
            </w:tcMar>
            <w:vAlign w:val="center"/>
          </w:tcPr>
          <w:p w14:paraId="1E2C5982" w14:textId="77777777" w:rsidR="008E6885" w:rsidRDefault="00EA24E7">
            <w:pPr>
              <w:pStyle w:val="P68B1DB1-Normal45"/>
              <w:spacing w:after="0"/>
              <w:jc w:val="center"/>
              <w:rPr>
                <w:noProof/>
              </w:rPr>
            </w:pPr>
            <w:r>
              <w:rPr>
                <w:noProof/>
              </w:rPr>
              <w:t>225</w:t>
            </w:r>
          </w:p>
        </w:tc>
        <w:tc>
          <w:tcPr>
            <w:tcW w:w="3655" w:type="dxa"/>
            <w:shd w:val="clear" w:color="auto" w:fill="C6EFCE"/>
            <w:tcMar>
              <w:left w:w="108" w:type="dxa"/>
              <w:right w:w="108" w:type="dxa"/>
            </w:tcMar>
          </w:tcPr>
          <w:p w14:paraId="26729D08" w14:textId="77777777" w:rsidR="008E6885" w:rsidRDefault="00EA24E7">
            <w:pPr>
              <w:pStyle w:val="P68B1DB1-Normal45"/>
              <w:spacing w:after="0"/>
              <w:rPr>
                <w:noProof/>
              </w:rPr>
            </w:pPr>
            <w:r>
              <w:rPr>
                <w:noProof/>
              </w:rPr>
              <w:t>7.3.i. Modernisation, numérisation et sécurisation des réseaux de transport et de distribution d’électricité</w:t>
            </w:r>
          </w:p>
        </w:tc>
        <w:tc>
          <w:tcPr>
            <w:tcW w:w="1433" w:type="dxa"/>
            <w:shd w:val="clear" w:color="auto" w:fill="C6EFCE"/>
            <w:tcMar>
              <w:left w:w="108" w:type="dxa"/>
              <w:right w:w="108" w:type="dxa"/>
            </w:tcMar>
          </w:tcPr>
          <w:p w14:paraId="15FEF65A"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713DA83E" w14:textId="77777777" w:rsidR="008E6885" w:rsidRDefault="00EA24E7">
            <w:pPr>
              <w:pStyle w:val="P68B1DB1-Normal45"/>
              <w:spacing w:after="0"/>
              <w:jc w:val="both"/>
              <w:rPr>
                <w:noProof/>
              </w:rPr>
            </w:pPr>
            <w:r>
              <w:rPr>
                <w:noProof/>
              </w:rPr>
              <w:t>Sous-stations</w:t>
            </w:r>
          </w:p>
        </w:tc>
      </w:tr>
      <w:tr w:rsidR="008E6885" w14:paraId="08AC8F09" w14:textId="77777777">
        <w:trPr>
          <w:trHeight w:val="300"/>
        </w:trPr>
        <w:tc>
          <w:tcPr>
            <w:tcW w:w="1522" w:type="dxa"/>
            <w:shd w:val="clear" w:color="auto" w:fill="C6EFCE"/>
            <w:tcMar>
              <w:left w:w="108" w:type="dxa"/>
              <w:right w:w="108" w:type="dxa"/>
            </w:tcMar>
            <w:vAlign w:val="center"/>
          </w:tcPr>
          <w:p w14:paraId="07AB9B86" w14:textId="77777777" w:rsidR="008E6885" w:rsidRDefault="00EA24E7">
            <w:pPr>
              <w:pStyle w:val="P68B1DB1-Normal45"/>
              <w:spacing w:after="0"/>
              <w:jc w:val="center"/>
              <w:rPr>
                <w:noProof/>
              </w:rPr>
            </w:pPr>
            <w:r>
              <w:rPr>
                <w:noProof/>
              </w:rPr>
              <w:t>226</w:t>
            </w:r>
          </w:p>
        </w:tc>
        <w:tc>
          <w:tcPr>
            <w:tcW w:w="3655" w:type="dxa"/>
            <w:shd w:val="clear" w:color="auto" w:fill="C6EFCE"/>
            <w:tcMar>
              <w:left w:w="108" w:type="dxa"/>
              <w:right w:w="108" w:type="dxa"/>
            </w:tcMar>
          </w:tcPr>
          <w:p w14:paraId="5D7A28C3" w14:textId="77777777" w:rsidR="008E6885" w:rsidRDefault="00EA24E7">
            <w:pPr>
              <w:pStyle w:val="P68B1DB1-Normal45"/>
              <w:spacing w:after="0"/>
              <w:rPr>
                <w:noProof/>
              </w:rPr>
            </w:pPr>
            <w:r>
              <w:rPr>
                <w:noProof/>
              </w:rPr>
              <w:t>7.3.i. Modernisation, numérisation et sécurisation des réseaux de transport et de distribution d’électricité</w:t>
            </w:r>
          </w:p>
        </w:tc>
        <w:tc>
          <w:tcPr>
            <w:tcW w:w="1433" w:type="dxa"/>
            <w:shd w:val="clear" w:color="auto" w:fill="C6EFCE"/>
            <w:tcMar>
              <w:left w:w="108" w:type="dxa"/>
              <w:right w:w="108" w:type="dxa"/>
            </w:tcMar>
          </w:tcPr>
          <w:p w14:paraId="327AACD0" w14:textId="77777777" w:rsidR="008E6885" w:rsidRDefault="00EA24E7">
            <w:pPr>
              <w:pStyle w:val="P68B1DB1-Normal45"/>
              <w:spacing w:after="0"/>
              <w:jc w:val="center"/>
              <w:rPr>
                <w:noProof/>
              </w:rPr>
            </w:pPr>
            <w:r>
              <w:rPr>
                <w:noProof/>
              </w:rPr>
              <w:t>Objectif</w:t>
            </w:r>
          </w:p>
        </w:tc>
        <w:tc>
          <w:tcPr>
            <w:tcW w:w="3019" w:type="dxa"/>
            <w:shd w:val="clear" w:color="auto" w:fill="C6EFCE"/>
            <w:tcMar>
              <w:left w:w="108" w:type="dxa"/>
              <w:right w:w="108" w:type="dxa"/>
            </w:tcMar>
          </w:tcPr>
          <w:p w14:paraId="27447796" w14:textId="77777777" w:rsidR="008E6885" w:rsidRDefault="00EA24E7">
            <w:pPr>
              <w:pStyle w:val="P68B1DB1-Normal45"/>
              <w:spacing w:after="0"/>
              <w:jc w:val="both"/>
              <w:rPr>
                <w:noProof/>
              </w:rPr>
            </w:pPr>
            <w:r>
              <w:rPr>
                <w:noProof/>
              </w:rPr>
              <w:t>Lignes électriques construites</w:t>
            </w:r>
          </w:p>
        </w:tc>
      </w:tr>
      <w:tr w:rsidR="008E6885" w14:paraId="7D8C0711" w14:textId="77777777">
        <w:trPr>
          <w:trHeight w:val="300"/>
        </w:trPr>
        <w:tc>
          <w:tcPr>
            <w:tcW w:w="1522" w:type="dxa"/>
            <w:shd w:val="clear" w:color="auto" w:fill="C6EFCE"/>
            <w:tcMar>
              <w:left w:w="108" w:type="dxa"/>
              <w:right w:w="108" w:type="dxa"/>
            </w:tcMar>
            <w:vAlign w:val="center"/>
          </w:tcPr>
          <w:p w14:paraId="5EF80211" w14:textId="77777777" w:rsidR="008E6885" w:rsidRDefault="00EA24E7">
            <w:pPr>
              <w:pStyle w:val="P68B1DB1-Normal45"/>
              <w:spacing w:after="0"/>
              <w:jc w:val="center"/>
              <w:rPr>
                <w:noProof/>
              </w:rPr>
            </w:pPr>
            <w:r>
              <w:rPr>
                <w:noProof/>
              </w:rPr>
              <w:t>227</w:t>
            </w:r>
          </w:p>
        </w:tc>
        <w:tc>
          <w:tcPr>
            <w:tcW w:w="3655" w:type="dxa"/>
            <w:shd w:val="clear" w:color="auto" w:fill="C6EFCE"/>
            <w:tcMar>
              <w:left w:w="108" w:type="dxa"/>
              <w:right w:w="108" w:type="dxa"/>
            </w:tcMar>
          </w:tcPr>
          <w:p w14:paraId="6B74300C" w14:textId="77777777" w:rsidR="008E6885" w:rsidRDefault="00EA24E7">
            <w:pPr>
              <w:pStyle w:val="P68B1DB1-Normal45"/>
              <w:spacing w:after="0"/>
              <w:rPr>
                <w:noProof/>
              </w:rPr>
            </w:pPr>
            <w:r>
              <w:rPr>
                <w:noProof/>
              </w:rPr>
              <w:t>7.3.i. Modernisation, numérisation et sécurisation des réseaux de transport et de distribution d’électricité</w:t>
            </w:r>
          </w:p>
        </w:tc>
        <w:tc>
          <w:tcPr>
            <w:tcW w:w="1433" w:type="dxa"/>
            <w:shd w:val="clear" w:color="auto" w:fill="C6EFCE"/>
            <w:tcMar>
              <w:left w:w="108" w:type="dxa"/>
              <w:right w:w="108" w:type="dxa"/>
            </w:tcMar>
          </w:tcPr>
          <w:p w14:paraId="63642F73"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157D289F" w14:textId="77777777" w:rsidR="008E6885" w:rsidRDefault="00EA24E7">
            <w:pPr>
              <w:pStyle w:val="P68B1DB1-Normal45"/>
              <w:spacing w:after="0"/>
              <w:jc w:val="both"/>
              <w:rPr>
                <w:noProof/>
              </w:rPr>
            </w:pPr>
            <w:r>
              <w:rPr>
                <w:noProof/>
              </w:rPr>
              <w:t>Mises à niveau du système de gestion du réseau de distribution et disjoncteurs</w:t>
            </w:r>
          </w:p>
        </w:tc>
      </w:tr>
      <w:tr w:rsidR="008E6885" w14:paraId="69B7F9A3" w14:textId="77777777">
        <w:trPr>
          <w:trHeight w:val="300"/>
        </w:trPr>
        <w:tc>
          <w:tcPr>
            <w:tcW w:w="1522" w:type="dxa"/>
            <w:shd w:val="clear" w:color="auto" w:fill="C6EFCE"/>
            <w:tcMar>
              <w:left w:w="108" w:type="dxa"/>
              <w:right w:w="108" w:type="dxa"/>
            </w:tcMar>
            <w:vAlign w:val="center"/>
          </w:tcPr>
          <w:p w14:paraId="7FF816ED" w14:textId="77777777" w:rsidR="008E6885" w:rsidRDefault="00EA24E7">
            <w:pPr>
              <w:pStyle w:val="P68B1DB1-Normal45"/>
              <w:spacing w:after="0"/>
              <w:jc w:val="center"/>
              <w:rPr>
                <w:rFonts w:ascii="Calibri" w:hAnsi="Calibri"/>
                <w:noProof/>
              </w:rPr>
            </w:pPr>
            <w:r>
              <w:rPr>
                <w:noProof/>
              </w:rPr>
              <w:t>231</w:t>
            </w:r>
          </w:p>
        </w:tc>
        <w:tc>
          <w:tcPr>
            <w:tcW w:w="3655" w:type="dxa"/>
            <w:shd w:val="clear" w:color="auto" w:fill="C6EFCE"/>
            <w:tcMar>
              <w:left w:w="108" w:type="dxa"/>
              <w:right w:w="108" w:type="dxa"/>
            </w:tcMar>
          </w:tcPr>
          <w:p w14:paraId="6B9476C2" w14:textId="77777777" w:rsidR="008E6885" w:rsidRDefault="00EA24E7">
            <w:pPr>
              <w:pStyle w:val="P68B1DB1-Normal45"/>
              <w:spacing w:after="0"/>
              <w:rPr>
                <w:rFonts w:ascii="Calibri" w:hAnsi="Calibri"/>
                <w:noProof/>
              </w:rPr>
            </w:pPr>
            <w:r>
              <w:rPr>
                <w:noProof/>
              </w:rPr>
              <w:t>7.4.i. Accroître l’utilisation du biométhane durable</w:t>
            </w:r>
          </w:p>
        </w:tc>
        <w:tc>
          <w:tcPr>
            <w:tcW w:w="1433" w:type="dxa"/>
            <w:shd w:val="clear" w:color="auto" w:fill="C6EFCE"/>
            <w:tcMar>
              <w:left w:w="108" w:type="dxa"/>
              <w:right w:w="108" w:type="dxa"/>
            </w:tcMar>
          </w:tcPr>
          <w:p w14:paraId="399CE9A3" w14:textId="77777777" w:rsidR="008E6885" w:rsidRDefault="00EA24E7">
            <w:pPr>
              <w:pStyle w:val="P68B1DB1-Normal45"/>
              <w:spacing w:after="0"/>
              <w:jc w:val="center"/>
              <w:rPr>
                <w:rFonts w:ascii="Calibri" w:hAnsi="Calibri"/>
                <w:noProof/>
              </w:rPr>
            </w:pPr>
            <w:r>
              <w:rPr>
                <w:noProof/>
              </w:rPr>
              <w:t>Étape</w:t>
            </w:r>
          </w:p>
        </w:tc>
        <w:tc>
          <w:tcPr>
            <w:tcW w:w="3019" w:type="dxa"/>
            <w:shd w:val="clear" w:color="auto" w:fill="C6EFCE"/>
            <w:tcMar>
              <w:left w:w="108" w:type="dxa"/>
              <w:right w:w="108" w:type="dxa"/>
            </w:tcMar>
          </w:tcPr>
          <w:p w14:paraId="53BBE11D" w14:textId="77777777" w:rsidR="008E6885" w:rsidRDefault="00EA24E7">
            <w:pPr>
              <w:pStyle w:val="P68B1DB1-Normal45"/>
              <w:spacing w:after="0"/>
              <w:jc w:val="both"/>
              <w:rPr>
                <w:rFonts w:ascii="Calibri" w:hAnsi="Calibri"/>
                <w:noProof/>
              </w:rPr>
            </w:pPr>
            <w:r>
              <w:rPr>
                <w:noProof/>
              </w:rPr>
              <w:t>Point d'injection de biométhane</w:t>
            </w:r>
          </w:p>
        </w:tc>
      </w:tr>
      <w:tr w:rsidR="008E6885" w14:paraId="2268DF10" w14:textId="77777777">
        <w:trPr>
          <w:trHeight w:val="300"/>
        </w:trPr>
        <w:tc>
          <w:tcPr>
            <w:tcW w:w="1522" w:type="dxa"/>
            <w:shd w:val="clear" w:color="auto" w:fill="C6EFCE"/>
            <w:tcMar>
              <w:left w:w="108" w:type="dxa"/>
              <w:right w:w="108" w:type="dxa"/>
            </w:tcMar>
            <w:vAlign w:val="center"/>
          </w:tcPr>
          <w:p w14:paraId="51F0D5D4" w14:textId="77777777" w:rsidR="008E6885" w:rsidRDefault="00EA24E7">
            <w:pPr>
              <w:pStyle w:val="P68B1DB1-Normal45"/>
              <w:spacing w:after="0"/>
              <w:jc w:val="center"/>
              <w:rPr>
                <w:noProof/>
              </w:rPr>
            </w:pPr>
            <w:r>
              <w:rPr>
                <w:noProof/>
              </w:rPr>
              <w:t>232</w:t>
            </w:r>
          </w:p>
        </w:tc>
        <w:tc>
          <w:tcPr>
            <w:tcW w:w="3655" w:type="dxa"/>
            <w:shd w:val="clear" w:color="auto" w:fill="C6EFCE"/>
            <w:tcMar>
              <w:left w:w="108" w:type="dxa"/>
              <w:right w:w="108" w:type="dxa"/>
            </w:tcMar>
          </w:tcPr>
          <w:p w14:paraId="1F480A46" w14:textId="77777777" w:rsidR="008E6885" w:rsidRDefault="00EA24E7">
            <w:pPr>
              <w:pStyle w:val="P68B1DB1-Normal45"/>
              <w:spacing w:after="0"/>
              <w:rPr>
                <w:noProof/>
              </w:rPr>
            </w:pPr>
            <w:r>
              <w:rPr>
                <w:noProof/>
              </w:rPr>
              <w:t>7.4.i. Accroître l’utilisation du biométhane durable</w:t>
            </w:r>
          </w:p>
        </w:tc>
        <w:tc>
          <w:tcPr>
            <w:tcW w:w="1433" w:type="dxa"/>
            <w:shd w:val="clear" w:color="auto" w:fill="C6EFCE"/>
            <w:tcMar>
              <w:left w:w="108" w:type="dxa"/>
              <w:right w:w="108" w:type="dxa"/>
            </w:tcMar>
          </w:tcPr>
          <w:p w14:paraId="29BED441" w14:textId="77777777" w:rsidR="008E6885" w:rsidRDefault="00EA24E7">
            <w:pPr>
              <w:pStyle w:val="P68B1DB1-Normal45"/>
              <w:spacing w:after="0"/>
              <w:jc w:val="center"/>
              <w:rPr>
                <w:noProof/>
              </w:rPr>
            </w:pPr>
            <w:r>
              <w:rPr>
                <w:noProof/>
              </w:rPr>
              <w:t>Étape</w:t>
            </w:r>
          </w:p>
        </w:tc>
        <w:tc>
          <w:tcPr>
            <w:tcW w:w="3019" w:type="dxa"/>
            <w:shd w:val="clear" w:color="auto" w:fill="C6EFCE"/>
            <w:tcMar>
              <w:left w:w="108" w:type="dxa"/>
              <w:right w:w="108" w:type="dxa"/>
            </w:tcMar>
          </w:tcPr>
          <w:p w14:paraId="18E19DA1" w14:textId="77777777" w:rsidR="008E6885" w:rsidRDefault="00EA24E7">
            <w:pPr>
              <w:pStyle w:val="P68B1DB1-Normal45"/>
              <w:spacing w:after="0"/>
              <w:jc w:val="both"/>
              <w:rPr>
                <w:noProof/>
              </w:rPr>
            </w:pPr>
            <w:r>
              <w:rPr>
                <w:noProof/>
              </w:rPr>
              <w:t>Solutions informatiques pour la gestion du point d'injection de biométhane (PIF)</w:t>
            </w:r>
          </w:p>
        </w:tc>
      </w:tr>
      <w:tr w:rsidR="008E6885" w14:paraId="0CC73B22" w14:textId="77777777">
        <w:trPr>
          <w:trHeight w:val="300"/>
        </w:trPr>
        <w:tc>
          <w:tcPr>
            <w:tcW w:w="1522" w:type="dxa"/>
            <w:shd w:val="clear" w:color="auto" w:fill="C6EFCE"/>
            <w:tcMar>
              <w:left w:w="108" w:type="dxa"/>
              <w:right w:w="108" w:type="dxa"/>
            </w:tcMar>
            <w:vAlign w:val="center"/>
          </w:tcPr>
          <w:p w14:paraId="2C423DC8" w14:textId="77777777" w:rsidR="008E6885" w:rsidRDefault="008E6885">
            <w:pPr>
              <w:spacing w:after="0"/>
              <w:jc w:val="center"/>
              <w:rPr>
                <w:rFonts w:ascii="Times New Roman" w:eastAsia="Calibri" w:hAnsi="Times New Roman" w:cs="Arial"/>
                <w:noProof/>
                <w:color w:val="000000"/>
              </w:rPr>
            </w:pPr>
          </w:p>
        </w:tc>
        <w:tc>
          <w:tcPr>
            <w:tcW w:w="3655" w:type="dxa"/>
            <w:shd w:val="clear" w:color="auto" w:fill="C6EFCE"/>
            <w:tcMar>
              <w:left w:w="108" w:type="dxa"/>
              <w:right w:w="108" w:type="dxa"/>
            </w:tcMar>
          </w:tcPr>
          <w:p w14:paraId="0448FAC0" w14:textId="77777777" w:rsidR="008E6885" w:rsidRDefault="008E6885">
            <w:pPr>
              <w:spacing w:after="0"/>
              <w:rPr>
                <w:rFonts w:ascii="Times New Roman" w:eastAsia="Calibri" w:hAnsi="Times New Roman" w:cs="Arial"/>
                <w:noProof/>
                <w:color w:val="000000"/>
              </w:rPr>
            </w:pPr>
          </w:p>
        </w:tc>
        <w:tc>
          <w:tcPr>
            <w:tcW w:w="1433" w:type="dxa"/>
            <w:shd w:val="clear" w:color="auto" w:fill="C6EFCE"/>
            <w:tcMar>
              <w:left w:w="108" w:type="dxa"/>
              <w:right w:w="108" w:type="dxa"/>
            </w:tcMar>
          </w:tcPr>
          <w:p w14:paraId="7EC84A19" w14:textId="77777777" w:rsidR="008E6885" w:rsidRDefault="00EA24E7">
            <w:pPr>
              <w:pStyle w:val="P68B1DB1-Normal45"/>
              <w:spacing w:after="0"/>
              <w:jc w:val="center"/>
              <w:rPr>
                <w:noProof/>
              </w:rPr>
            </w:pPr>
            <w:r>
              <w:rPr>
                <w:noProof/>
              </w:rPr>
              <w:t>Montant des acomptes provisionnels</w:t>
            </w:r>
          </w:p>
        </w:tc>
        <w:tc>
          <w:tcPr>
            <w:tcW w:w="3019" w:type="dxa"/>
            <w:shd w:val="clear" w:color="auto" w:fill="C6EFCE"/>
            <w:tcMar>
              <w:left w:w="108" w:type="dxa"/>
              <w:right w:w="108" w:type="dxa"/>
            </w:tcMar>
            <w:vAlign w:val="center"/>
          </w:tcPr>
          <w:p w14:paraId="64CFA3AE" w14:textId="77777777" w:rsidR="008E6885" w:rsidRDefault="00EA24E7">
            <w:pPr>
              <w:spacing w:after="0"/>
              <w:jc w:val="both"/>
              <w:rPr>
                <w:rFonts w:ascii="Times New Roman" w:eastAsia="Calibri" w:hAnsi="Times New Roman" w:cs="Arial"/>
                <w:noProof/>
                <w:color w:val="000000" w:themeColor="text1"/>
              </w:rPr>
            </w:pPr>
            <w:r>
              <w:rPr>
                <w:rFonts w:ascii="Times New Roman" w:hAnsi="Times New Roman"/>
                <w:noProof/>
                <w:sz w:val="20"/>
              </w:rPr>
              <w:t> </w:t>
            </w:r>
            <w:r>
              <w:rPr>
                <w:rFonts w:ascii="Times New Roman" w:eastAsia="Calibri" w:hAnsi="Times New Roman" w:cs="Arial"/>
                <w:noProof/>
                <w:color w:val="000000"/>
              </w:rPr>
              <w:t>582</w:t>
            </w:r>
            <w:r>
              <w:rPr>
                <w:rFonts w:ascii="Times New Roman" w:hAnsi="Times New Roman"/>
                <w:noProof/>
                <w:sz w:val="20"/>
              </w:rPr>
              <w:t> </w:t>
            </w:r>
            <w:r>
              <w:rPr>
                <w:rFonts w:ascii="Times New Roman" w:eastAsia="Calibri" w:hAnsi="Times New Roman" w:cs="Arial"/>
                <w:noProof/>
                <w:color w:val="000000"/>
              </w:rPr>
              <w:t>209</w:t>
            </w:r>
            <w:r>
              <w:rPr>
                <w:rFonts w:ascii="Times New Roman" w:hAnsi="Times New Roman"/>
                <w:noProof/>
                <w:sz w:val="20"/>
              </w:rPr>
              <w:t> </w:t>
            </w:r>
            <w:r>
              <w:rPr>
                <w:rFonts w:ascii="Times New Roman" w:eastAsia="Calibri" w:hAnsi="Times New Roman" w:cs="Arial"/>
                <w:noProof/>
                <w:color w:val="000000"/>
              </w:rPr>
              <w:t>276 EUR</w:t>
            </w:r>
          </w:p>
        </w:tc>
      </w:tr>
    </w:tbl>
    <w:p w14:paraId="52343090" w14:textId="77777777" w:rsidR="008E6885" w:rsidRDefault="008E6885">
      <w:pPr>
        <w:pStyle w:val="ListParagraph"/>
        <w:spacing w:after="0" w:line="257" w:lineRule="auto"/>
        <w:ind w:left="567" w:hanging="567"/>
        <w:jc w:val="both"/>
        <w:rPr>
          <w:rFonts w:ascii="Times New Roman" w:eastAsia="Times New Roman" w:hAnsi="Times New Roman" w:cs="Times New Roman"/>
          <w:noProof/>
        </w:rPr>
      </w:pPr>
    </w:p>
    <w:p w14:paraId="4282D82F" w14:textId="77777777" w:rsidR="008E6885" w:rsidRDefault="008E6885">
      <w:pPr>
        <w:rPr>
          <w:noProof/>
        </w:rPr>
        <w:sectPr w:rsidR="008E6885" w:rsidSect="0048758A">
          <w:headerReference w:type="default" r:id="rId47"/>
          <w:footerReference w:type="default" r:id="rId48"/>
          <w:pgSz w:w="11906" w:h="16838"/>
          <w:pgMar w:top="1440" w:right="1440" w:bottom="1440" w:left="1440" w:header="708" w:footer="708" w:gutter="0"/>
          <w:cols w:space="708"/>
          <w:docGrid w:linePitch="360"/>
        </w:sectPr>
      </w:pPr>
    </w:p>
    <w:p w14:paraId="118F2F68" w14:textId="77777777" w:rsidR="008E6885" w:rsidRDefault="00EA24E7">
      <w:pPr>
        <w:pStyle w:val="P68B1DB1-Normal2"/>
        <w:spacing w:after="480" w:line="240" w:lineRule="auto"/>
        <w:jc w:val="both"/>
        <w:rPr>
          <w:rFonts w:ascii="Calibri" w:hAnsi="Calibri"/>
          <w:noProof/>
          <w:sz w:val="22"/>
        </w:rPr>
      </w:pPr>
      <w:r>
        <w:rPr>
          <w:noProof/>
        </w:rPr>
        <w:t xml:space="preserve">SECTION 3: DISPOSITIONS SUPPLÉMENTAIRES </w:t>
      </w:r>
    </w:p>
    <w:p w14:paraId="3D1A58F6" w14:textId="77777777" w:rsidR="008E6885" w:rsidRDefault="00EA24E7">
      <w:pPr>
        <w:pStyle w:val="P68B1DB1-Normal2"/>
        <w:numPr>
          <w:ilvl w:val="6"/>
          <w:numId w:val="29"/>
        </w:numPr>
        <w:spacing w:after="0" w:line="240" w:lineRule="auto"/>
        <w:ind w:left="567" w:hanging="567"/>
        <w:contextualSpacing/>
        <w:jc w:val="both"/>
        <w:rPr>
          <w:rFonts w:eastAsia="Times New Roman" w:cs="Times New Roman"/>
          <w:bCs/>
          <w:noProof/>
        </w:rPr>
      </w:pPr>
      <w:r>
        <w:rPr>
          <w:noProof/>
        </w:rPr>
        <w:t>Modalités de suivi et de mise en œuvre du plan pour la reprise et la résilience</w:t>
      </w:r>
    </w:p>
    <w:p w14:paraId="36D3A757" w14:textId="77777777" w:rsidR="008E6885" w:rsidRDefault="00EA24E7">
      <w:pPr>
        <w:pStyle w:val="P68B1DB1-Normal5"/>
        <w:spacing w:before="120" w:after="120" w:line="240" w:lineRule="auto"/>
        <w:jc w:val="both"/>
        <w:rPr>
          <w:rFonts w:ascii="Calibri" w:hAnsi="Calibri"/>
          <w:noProof/>
          <w:sz w:val="22"/>
        </w:rPr>
      </w:pPr>
      <w:r>
        <w:rPr>
          <w:noProof/>
        </w:rPr>
        <w:t>La mise en œuvre du plan est coordonnée par le ministère des finances.</w:t>
      </w:r>
    </w:p>
    <w:p w14:paraId="70C78381" w14:textId="77777777" w:rsidR="008E6885" w:rsidRDefault="00EA24E7">
      <w:pPr>
        <w:pStyle w:val="P68B1DB1-Normal5"/>
        <w:spacing w:before="120" w:after="120" w:line="240" w:lineRule="auto"/>
        <w:jc w:val="both"/>
        <w:rPr>
          <w:rFonts w:ascii="Calibri" w:hAnsi="Calibri"/>
          <w:noProof/>
          <w:sz w:val="22"/>
        </w:rPr>
      </w:pPr>
      <w:r>
        <w:rPr>
          <w:noProof/>
        </w:rPr>
        <w:t>Le ministère des finances exerce les fonctions de l'autorité de gestion; celles-ci sont séparées de ses autres fonctions, y compris celles de l'autorité d'audit.</w:t>
      </w:r>
    </w:p>
    <w:p w14:paraId="310CCFF8" w14:textId="77777777" w:rsidR="008E6885" w:rsidRDefault="00EA24E7">
      <w:pPr>
        <w:pStyle w:val="P68B1DB1-Normal5"/>
        <w:spacing w:before="120" w:after="120" w:line="240" w:lineRule="auto"/>
        <w:jc w:val="both"/>
        <w:rPr>
          <w:rFonts w:ascii="Calibri" w:hAnsi="Calibri"/>
          <w:noProof/>
          <w:sz w:val="22"/>
        </w:rPr>
      </w:pPr>
      <w:r>
        <w:rPr>
          <w:noProof/>
        </w:rPr>
        <w:t>Le ministère des finances, en tant qu’autorité de gestion, est chargé du développement du système de gestion et de contrôle du plan, de la coordination du processus d’établissement des rapports pendant la mise en œuvre du plan (rapport semestriel sur l’élaboration et l’état d’avancement du plan) et d’autres fonctions. L’Agence centrale de financement et de passation des marchés (CFCA) a été désignée comme organisme intermédiaire délégué chargé de la mise en œuvre, du contrôle et du suivi du plan.</w:t>
      </w:r>
    </w:p>
    <w:p w14:paraId="53932A58" w14:textId="77777777" w:rsidR="008E6885" w:rsidRDefault="00EA24E7">
      <w:pPr>
        <w:pStyle w:val="P68B1DB1-Normal5"/>
        <w:spacing w:before="120" w:after="120" w:line="240" w:lineRule="auto"/>
        <w:jc w:val="both"/>
        <w:rPr>
          <w:rFonts w:ascii="Calibri" w:hAnsi="Calibri"/>
          <w:noProof/>
          <w:sz w:val="22"/>
        </w:rPr>
      </w:pPr>
      <w:r>
        <w:rPr>
          <w:noProof/>
        </w:rPr>
        <w:t>L’autorité d’audit, qui est indépendante des autres services du ministère des finances dans ses activités de planification, d’audit, d’établissement de rapports et d’avis, élabore un plan de stratégie d’audit et prépare un résumé des audits effectués pour accompagner la demande de paiement. Les ministères sectoriels et la chancellerie d'État assument les responsabilités liées à la mise en œuvre du plan.</w:t>
      </w:r>
    </w:p>
    <w:p w14:paraId="4FCC5639" w14:textId="77777777" w:rsidR="008E6885" w:rsidRDefault="00EA24E7">
      <w:pPr>
        <w:pStyle w:val="P68B1DB1-Normal5"/>
        <w:spacing w:before="120" w:after="120" w:line="240" w:lineRule="auto"/>
        <w:jc w:val="both"/>
        <w:rPr>
          <w:rFonts w:ascii="Calibri" w:hAnsi="Calibri"/>
          <w:noProof/>
          <w:sz w:val="22"/>
        </w:rPr>
      </w:pPr>
      <w:r>
        <w:rPr>
          <w:noProof/>
        </w:rPr>
        <w:t>Les ressources administratives nécessaires aux fonctions de gestion et de suivi du plan sont fournies dans les limites des ressources existantes des institutions responsables, en utilisant les ressources humaines supplémentaires nécessaires. La participation des autorités à la mise en œuvre du plan s'inscrit dans le cadre défini de leurs activités et fonctions essentielles. Le financement des ministères sectoriels pour la mise en œuvre du plan est alloué conformément aux procédures nationales pertinentes pour le financement par le budget de l’État.</w:t>
      </w:r>
    </w:p>
    <w:p w14:paraId="6D14A3E4" w14:textId="77777777" w:rsidR="008E6885" w:rsidRDefault="00EA24E7">
      <w:pPr>
        <w:pStyle w:val="P68B1DB1-Normal5"/>
        <w:spacing w:before="120" w:after="120" w:line="240" w:lineRule="auto"/>
        <w:jc w:val="both"/>
        <w:rPr>
          <w:rFonts w:ascii="Calibri" w:hAnsi="Calibri"/>
          <w:noProof/>
          <w:sz w:val="22"/>
        </w:rPr>
      </w:pPr>
      <w:r>
        <w:rPr>
          <w:noProof/>
        </w:rPr>
        <w:t>Un programme budgétaire distinct pour les flux financiers liés au plan pour la reprise et la résilience est prévu dans le budget de l’État, ce qui garantit la traçabilité et la séparabilité des flux financiers.</w:t>
      </w:r>
    </w:p>
    <w:p w14:paraId="4BE06434" w14:textId="77777777" w:rsidR="008E6885" w:rsidRDefault="008E6885">
      <w:pPr>
        <w:spacing w:before="120" w:after="120" w:line="240" w:lineRule="auto"/>
        <w:jc w:val="both"/>
        <w:rPr>
          <w:rFonts w:ascii="Calibri" w:eastAsia="Calibri" w:hAnsi="Calibri" w:cs="Arial"/>
          <w:noProof/>
          <w:kern w:val="0"/>
          <w:sz w:val="22"/>
          <w:szCs w:val="22"/>
          <w14:ligatures w14:val="none"/>
        </w:rPr>
      </w:pPr>
    </w:p>
    <w:p w14:paraId="7A70FAD3" w14:textId="77777777" w:rsidR="008E6885" w:rsidRDefault="00EA24E7">
      <w:pPr>
        <w:pStyle w:val="P68B1DB1-Normal2"/>
        <w:numPr>
          <w:ilvl w:val="6"/>
          <w:numId w:val="29"/>
        </w:numPr>
        <w:spacing w:after="0" w:line="240" w:lineRule="auto"/>
        <w:ind w:left="567" w:hanging="567"/>
        <w:contextualSpacing/>
        <w:jc w:val="both"/>
        <w:rPr>
          <w:rFonts w:eastAsia="Times New Roman" w:cs="Times New Roman"/>
          <w:bCs/>
          <w:noProof/>
        </w:rPr>
      </w:pPr>
      <w:r>
        <w:rPr>
          <w:noProof/>
        </w:rPr>
        <w:t>Modalités permettant à la Commission d'accéder pleinement aux données sous-jacentes</w:t>
      </w:r>
    </w:p>
    <w:p w14:paraId="5B536BFC" w14:textId="77777777" w:rsidR="008E6885" w:rsidRDefault="00EA24E7">
      <w:pPr>
        <w:pStyle w:val="P68B1DB1-Normal5"/>
        <w:spacing w:before="120" w:after="120" w:line="240" w:lineRule="auto"/>
        <w:jc w:val="both"/>
        <w:rPr>
          <w:rFonts w:ascii="Calibri" w:hAnsi="Calibri"/>
          <w:noProof/>
          <w:sz w:val="22"/>
        </w:rPr>
      </w:pPr>
      <w:r>
        <w:rPr>
          <w:noProof/>
        </w:rPr>
        <w:t>Le ministère des finances, en tant qu’organe central de coordination du plan pour la reprise et la résilience de la Lettonie et de sa mise en œuvre, est responsable de la coordination et du suivi globaux du plan. Les données relatives à la mise en œuvre et au suivi du plan sont stockées dans le système existant de gestion et de contrôle des fonds de l’UE, KPVIS. KPVIS est adapté aux exigences du règlement (UE) 2021/241 en ce qui concerne la collecte de données, les rapports d’avancement et les demandes de paiement, y compris pour collecter des indicateurs et d’autres informations nécessaires pour démontrer et rendre compte de la réalisation des jalons et cibles. Le KPVIS est utilisé par tous les acteurs participant à la mise en œuvre du plan, y compris les bénéficiaires et les autorités de suivi entre l’ACCP, les ministères d’exécution et l’autorité d’audit, entre autres. Les ministères sectoriels gèrent et mettent à jour en permanence, dans le KPVIS, les informations relatives à l’état d’avancement et aux résultats du plan, aux contrôles effectués, aux contrôles, y compris les déficiences constatées et à toutes les mesures correctives prises.</w:t>
      </w:r>
    </w:p>
    <w:p w14:paraId="2A627BCA" w14:textId="77777777" w:rsidR="008E6885" w:rsidRDefault="00EA24E7">
      <w:pPr>
        <w:pStyle w:val="P68B1DB1-Normal5"/>
        <w:spacing w:before="120" w:after="120" w:line="240" w:lineRule="auto"/>
        <w:jc w:val="both"/>
        <w:rPr>
          <w:rFonts w:ascii="Calibri" w:hAnsi="Calibri"/>
          <w:noProof/>
          <w:sz w:val="22"/>
        </w:rPr>
      </w:pPr>
      <w:r>
        <w:rPr>
          <w:noProof/>
        </w:rPr>
        <w:t>Conformément à l’article 24, paragraphe 2, du règlement (UE) 2021/241, lorsque les jalons et cibles pertinents convenus à la section 2.1 de la présente annexe sont atteints, la Lettonie présente à la Commission une demande dûment justifiée de paiement de la contribution financière. La Lettonie veille à ce que, sur demande, la Commission ait pleinement accès aux données pertinentes sous-jacentes qui étayent la justification appropriée de la demande de paiement, tant pour l’évaluation de la demande de paiement conformément à l’article 24, paragraphe 3, du règlement (UE) 2021/241 qu’à des fins d’audit et de contrôle.</w:t>
      </w:r>
    </w:p>
    <w:p w14:paraId="1F3EC210" w14:textId="77777777" w:rsidR="008E6885" w:rsidRDefault="008E6885">
      <w:pPr>
        <w:rPr>
          <w:noProof/>
        </w:rPr>
      </w:pPr>
    </w:p>
    <w:sectPr w:rsidR="008E6885">
      <w:headerReference w:type="even" r:id="rId49"/>
      <w:headerReference w:type="default" r:id="rId50"/>
      <w:footerReference w:type="even" r:id="rId51"/>
      <w:footerReference w:type="default" r:id="rId52"/>
      <w:headerReference w:type="first" r:id="rId53"/>
      <w:footerReference w:type="first" r:id="rId54"/>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EE12EF" w14:textId="77777777" w:rsidR="008F3251" w:rsidRDefault="008F3251">
      <w:pPr>
        <w:spacing w:after="0" w:line="240" w:lineRule="auto"/>
      </w:pPr>
      <w:r>
        <w:separator/>
      </w:r>
    </w:p>
  </w:endnote>
  <w:endnote w:type="continuationSeparator" w:id="0">
    <w:p w14:paraId="4ADB7D32" w14:textId="77777777" w:rsidR="008F3251" w:rsidRDefault="008F3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AD65C" w14:textId="0EB9D573" w:rsidR="00BB4340" w:rsidRPr="00BB4340" w:rsidRDefault="00BB4340" w:rsidP="00BB4340">
    <w:pPr>
      <w:pStyle w:val="FooterCoverPage"/>
      <w:rPr>
        <w:rFonts w:ascii="Arial" w:hAnsi="Arial" w:cs="Arial"/>
        <w:b/>
        <w:sz w:val="48"/>
      </w:rPr>
    </w:pPr>
    <w:r w:rsidRPr="00BB4340">
      <w:rPr>
        <w:rFonts w:ascii="Arial" w:hAnsi="Arial" w:cs="Arial"/>
        <w:b/>
        <w:sz w:val="48"/>
      </w:rPr>
      <w:t>FR</w:t>
    </w:r>
    <w:r w:rsidRPr="00BB4340">
      <w:rPr>
        <w:rFonts w:ascii="Arial" w:hAnsi="Arial" w:cs="Arial"/>
        <w:b/>
        <w:sz w:val="48"/>
      </w:rPr>
      <w:tab/>
    </w:r>
    <w:r w:rsidRPr="00BB4340">
      <w:rPr>
        <w:rFonts w:ascii="Arial" w:hAnsi="Arial" w:cs="Arial"/>
        <w:b/>
        <w:sz w:val="48"/>
      </w:rPr>
      <w:tab/>
    </w:r>
    <w:r w:rsidRPr="00BB4340">
      <w:tab/>
    </w:r>
    <w:r w:rsidRPr="00BB434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65514" w14:textId="1EF84D7F" w:rsidR="00BB4340" w:rsidRPr="00BB4340" w:rsidRDefault="00BB4340" w:rsidP="00BB4340">
    <w:pPr>
      <w:pStyle w:val="FooterCoverPage"/>
      <w:rPr>
        <w:rFonts w:ascii="Arial" w:hAnsi="Arial" w:cs="Arial"/>
        <w:b/>
        <w:sz w:val="48"/>
      </w:rPr>
    </w:pPr>
    <w:r w:rsidRPr="00BB4340">
      <w:rPr>
        <w:rFonts w:ascii="Arial" w:hAnsi="Arial" w:cs="Arial"/>
        <w:b/>
        <w:sz w:val="48"/>
      </w:rPr>
      <w:t>FR</w:t>
    </w:r>
    <w:r w:rsidRPr="00BB4340">
      <w:rPr>
        <w:rFonts w:ascii="Arial" w:hAnsi="Arial" w:cs="Arial"/>
        <w:b/>
        <w:sz w:val="48"/>
      </w:rPr>
      <w:tab/>
    </w:r>
    <w:r w:rsidRPr="00BB4340">
      <w:rPr>
        <w:rFonts w:ascii="Arial" w:hAnsi="Arial" w:cs="Arial"/>
        <w:b/>
        <w:sz w:val="48"/>
      </w:rPr>
      <w:tab/>
    </w:r>
    <w:r w:rsidRPr="00BB4340">
      <w:tab/>
    </w:r>
    <w:r w:rsidRPr="00BB434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47D7B" w14:textId="77777777" w:rsidR="00BB4340" w:rsidRPr="00BB4340" w:rsidRDefault="00BB4340" w:rsidP="00BB434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A9269" w14:textId="77777777" w:rsidR="008E6885" w:rsidRDefault="008E68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13973032"/>
      <w:docPartObj>
        <w:docPartGallery w:val="Page Numbers (Bottom of Page)"/>
        <w:docPartUnique/>
      </w:docPartObj>
    </w:sdtPr>
    <w:sdtEndPr/>
    <w:sdtContent>
      <w:p w14:paraId="24F36D6E" w14:textId="777C0D96" w:rsidR="008E6885" w:rsidRDefault="00EA24E7">
        <w:pPr>
          <w:pStyle w:val="Footer"/>
          <w:jc w:val="center"/>
        </w:pPr>
        <w:r>
          <w:fldChar w:fldCharType="begin"/>
        </w:r>
        <w:r>
          <w:instrText xml:space="preserve"> PAGE   \* MERGEFORMAT </w:instrText>
        </w:r>
        <w:r>
          <w:fldChar w:fldCharType="separate"/>
        </w:r>
        <w:r w:rsidR="00BB4340">
          <w:rPr>
            <w:noProof/>
          </w:rPr>
          <w:t>1</w:t>
        </w:r>
        <w:r>
          <w:fldChar w:fldCharType="end"/>
        </w:r>
      </w:p>
    </w:sdtContent>
  </w:sdt>
  <w:p w14:paraId="29B9D64D" w14:textId="77777777" w:rsidR="008E6885" w:rsidRDefault="008E688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923CC" w14:textId="77777777" w:rsidR="008E6885" w:rsidRDefault="008E688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24145308"/>
      <w:docPartObj>
        <w:docPartGallery w:val="Page Numbers (Bottom of Page)"/>
        <w:docPartUnique/>
      </w:docPartObj>
    </w:sdtPr>
    <w:sdtEndPr/>
    <w:sdtContent>
      <w:p w14:paraId="2307F832" w14:textId="655CE130" w:rsidR="008E6885" w:rsidRDefault="00EA24E7">
        <w:pPr>
          <w:pStyle w:val="Footer"/>
          <w:jc w:val="center"/>
        </w:pPr>
        <w:r>
          <w:fldChar w:fldCharType="begin"/>
        </w:r>
        <w:r>
          <w:instrText xml:space="preserve"> PAGE   \* MERGEFORMAT </w:instrText>
        </w:r>
        <w:r>
          <w:fldChar w:fldCharType="separate"/>
        </w:r>
        <w:r w:rsidR="00BB4340">
          <w:rPr>
            <w:noProof/>
          </w:rPr>
          <w:t>13</w:t>
        </w:r>
        <w:r>
          <w:fldChar w:fldCharType="end"/>
        </w:r>
      </w:p>
    </w:sdtContent>
  </w:sdt>
  <w:p w14:paraId="03C9648B" w14:textId="77777777" w:rsidR="008E6885" w:rsidRDefault="008E688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079020572"/>
      <w:docPartObj>
        <w:docPartGallery w:val="Page Numbers (Bottom of Page)"/>
        <w:docPartUnique/>
      </w:docPartObj>
    </w:sdtPr>
    <w:sdtEndPr/>
    <w:sdtContent>
      <w:p w14:paraId="3D68686D" w14:textId="77777777" w:rsidR="008E6885" w:rsidRDefault="00EA24E7">
        <w:pPr>
          <w:pStyle w:val="Footer"/>
          <w:jc w:val="center"/>
        </w:pPr>
        <w:r>
          <w:fldChar w:fldCharType="begin"/>
        </w:r>
        <w:r>
          <w:instrText xml:space="preserve"> PAGE   \* MERGEFORMAT </w:instrText>
        </w:r>
        <w:r>
          <w:fldChar w:fldCharType="separate"/>
        </w:r>
        <w:r>
          <w:t>2</w:t>
        </w:r>
        <w:r>
          <w:fldChar w:fldCharType="end"/>
        </w:r>
      </w:p>
    </w:sdtContent>
  </w:sdt>
  <w:p w14:paraId="697AFC4E" w14:textId="77777777" w:rsidR="008E6885" w:rsidRDefault="008E688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21448537"/>
      <w:docPartObj>
        <w:docPartGallery w:val="Page Numbers (Bottom of Page)"/>
        <w:docPartUnique/>
      </w:docPartObj>
    </w:sdtPr>
    <w:sdtEndPr/>
    <w:sdtContent>
      <w:p w14:paraId="72B57122" w14:textId="77777777" w:rsidR="008E6885" w:rsidRDefault="00EA24E7">
        <w:pPr>
          <w:pStyle w:val="Footer"/>
          <w:jc w:val="center"/>
        </w:pPr>
        <w:r>
          <w:fldChar w:fldCharType="begin"/>
        </w:r>
        <w:r>
          <w:instrText xml:space="preserve"> PAGE   \* MERGEFORMAT </w:instrText>
        </w:r>
        <w:r>
          <w:fldChar w:fldCharType="separate"/>
        </w:r>
        <w:r>
          <w:t>2</w:t>
        </w:r>
        <w:r>
          <w:fldChar w:fldCharType="end"/>
        </w:r>
      </w:p>
    </w:sdtContent>
  </w:sdt>
  <w:p w14:paraId="35C21B11" w14:textId="77777777" w:rsidR="008E6885" w:rsidRDefault="008E688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517268096"/>
      <w:docPartObj>
        <w:docPartGallery w:val="Page Numbers (Bottom of Page)"/>
        <w:docPartUnique/>
      </w:docPartObj>
    </w:sdtPr>
    <w:sdtEndPr/>
    <w:sdtContent>
      <w:p w14:paraId="0C238E91" w14:textId="77777777" w:rsidR="008E6885" w:rsidRDefault="00EA24E7">
        <w:pPr>
          <w:pStyle w:val="Footer"/>
          <w:jc w:val="center"/>
        </w:pPr>
        <w:r>
          <w:fldChar w:fldCharType="begin"/>
        </w:r>
        <w:r>
          <w:instrText xml:space="preserve"> PAGE   \* MERGEFORMAT </w:instrText>
        </w:r>
        <w:r>
          <w:fldChar w:fldCharType="separate"/>
        </w:r>
        <w:r>
          <w:t>2</w:t>
        </w:r>
        <w:r>
          <w:fldChar w:fldCharType="end"/>
        </w:r>
      </w:p>
    </w:sdtContent>
  </w:sdt>
  <w:p w14:paraId="4B20F58A" w14:textId="77777777" w:rsidR="008E6885" w:rsidRDefault="008E688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291966781"/>
      <w:docPartObj>
        <w:docPartGallery w:val="Page Numbers (Bottom of Page)"/>
        <w:docPartUnique/>
      </w:docPartObj>
    </w:sdtPr>
    <w:sdtEndPr/>
    <w:sdtContent>
      <w:p w14:paraId="24811338" w14:textId="77777777" w:rsidR="008E6885" w:rsidRDefault="00EA24E7">
        <w:pPr>
          <w:pStyle w:val="Footer"/>
          <w:jc w:val="center"/>
        </w:pPr>
        <w:r>
          <w:fldChar w:fldCharType="begin"/>
        </w:r>
        <w:r>
          <w:instrText xml:space="preserve"> PAGE   \* MERGEFORMAT </w:instrText>
        </w:r>
        <w:r>
          <w:fldChar w:fldCharType="separate"/>
        </w:r>
        <w:r>
          <w:t>2</w:t>
        </w:r>
        <w:r>
          <w:fldChar w:fldCharType="end"/>
        </w:r>
      </w:p>
    </w:sdtContent>
  </w:sdt>
  <w:p w14:paraId="06CB0F02" w14:textId="77777777" w:rsidR="008E6885" w:rsidRDefault="008E688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622453708"/>
      <w:docPartObj>
        <w:docPartGallery w:val="Page Numbers (Bottom of Page)"/>
        <w:docPartUnique/>
      </w:docPartObj>
    </w:sdtPr>
    <w:sdtEndPr/>
    <w:sdtContent>
      <w:p w14:paraId="1A83F7FB" w14:textId="77777777" w:rsidR="008E6885" w:rsidRDefault="00EA24E7">
        <w:pPr>
          <w:pStyle w:val="Footer"/>
          <w:jc w:val="center"/>
        </w:pPr>
        <w:r>
          <w:fldChar w:fldCharType="begin"/>
        </w:r>
        <w:r>
          <w:instrText xml:space="preserve"> PAGE   \* MERGEFORMAT </w:instrText>
        </w:r>
        <w:r>
          <w:fldChar w:fldCharType="separate"/>
        </w:r>
        <w:r>
          <w:t>2</w:t>
        </w:r>
        <w:r>
          <w:fldChar w:fldCharType="end"/>
        </w:r>
      </w:p>
    </w:sdtContent>
  </w:sdt>
  <w:p w14:paraId="53CD1E2A" w14:textId="77777777" w:rsidR="008E6885" w:rsidRDefault="008E688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544203152"/>
      <w:docPartObj>
        <w:docPartGallery w:val="Page Numbers (Bottom of Page)"/>
        <w:docPartUnique/>
      </w:docPartObj>
    </w:sdtPr>
    <w:sdtEndPr/>
    <w:sdtContent>
      <w:p w14:paraId="5141877E" w14:textId="77777777" w:rsidR="008E6885" w:rsidRDefault="00EA24E7">
        <w:pPr>
          <w:pStyle w:val="Footer"/>
          <w:jc w:val="center"/>
        </w:pPr>
        <w:r>
          <w:fldChar w:fldCharType="begin"/>
        </w:r>
        <w:r>
          <w:instrText xml:space="preserve"> PAGE   \* MERGEFORMAT </w:instrText>
        </w:r>
        <w:r>
          <w:fldChar w:fldCharType="separate"/>
        </w:r>
        <w:r>
          <w:t>2</w:t>
        </w:r>
        <w:r>
          <w:fldChar w:fldCharType="end"/>
        </w:r>
      </w:p>
    </w:sdtContent>
  </w:sdt>
  <w:p w14:paraId="59F7C88F" w14:textId="77777777" w:rsidR="008E6885" w:rsidRDefault="008E688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91624978"/>
      <w:docPartObj>
        <w:docPartGallery w:val="Page Numbers (Bottom of Page)"/>
        <w:docPartUnique/>
      </w:docPartObj>
    </w:sdtPr>
    <w:sdtEndPr/>
    <w:sdtContent>
      <w:p w14:paraId="51D94BB2" w14:textId="77777777" w:rsidR="008E6885" w:rsidRDefault="00EA24E7">
        <w:pPr>
          <w:pStyle w:val="Footer"/>
          <w:jc w:val="center"/>
        </w:pPr>
        <w:r>
          <w:fldChar w:fldCharType="begin"/>
        </w:r>
        <w:r>
          <w:instrText xml:space="preserve"> PAGE   \* MERGEFORMAT </w:instrText>
        </w:r>
        <w:r>
          <w:fldChar w:fldCharType="separate"/>
        </w:r>
        <w:r>
          <w:t>2</w:t>
        </w:r>
        <w:r>
          <w:fldChar w:fldCharType="end"/>
        </w:r>
      </w:p>
    </w:sdtContent>
  </w:sdt>
  <w:p w14:paraId="1839D265" w14:textId="77777777" w:rsidR="008E6885" w:rsidRDefault="008E688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2571338"/>
      <w:docPartObj>
        <w:docPartGallery w:val="Page Numbers (Bottom of Page)"/>
        <w:docPartUnique/>
      </w:docPartObj>
    </w:sdtPr>
    <w:sdtEndPr/>
    <w:sdtContent>
      <w:p w14:paraId="07AC9905" w14:textId="77777777" w:rsidR="008E6885" w:rsidRDefault="00EA24E7">
        <w:pPr>
          <w:pStyle w:val="Footer"/>
          <w:jc w:val="center"/>
        </w:pPr>
        <w:r>
          <w:fldChar w:fldCharType="begin"/>
        </w:r>
        <w:r>
          <w:instrText xml:space="preserve"> PAGE   \* MERGEFORMAT </w:instrText>
        </w:r>
        <w:r>
          <w:fldChar w:fldCharType="separate"/>
        </w:r>
        <w:r>
          <w:t>2</w:t>
        </w:r>
        <w:r>
          <w:fldChar w:fldCharType="end"/>
        </w:r>
      </w:p>
    </w:sdtContent>
  </w:sdt>
  <w:p w14:paraId="0376FC88" w14:textId="77777777" w:rsidR="008E6885" w:rsidRDefault="008E688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9342555"/>
      <w:docPartObj>
        <w:docPartGallery w:val="Page Numbers (Bottom of Page)"/>
        <w:docPartUnique/>
      </w:docPartObj>
    </w:sdtPr>
    <w:sdtEndPr/>
    <w:sdtContent>
      <w:p w14:paraId="23D565F9" w14:textId="77777777" w:rsidR="008E6885" w:rsidRDefault="00EA24E7">
        <w:pPr>
          <w:pStyle w:val="Footer"/>
          <w:jc w:val="center"/>
        </w:pPr>
        <w:r>
          <w:fldChar w:fldCharType="begin"/>
        </w:r>
        <w:r>
          <w:instrText xml:space="preserve"> PAGE   \* MERGEFORMAT </w:instrText>
        </w:r>
        <w:r>
          <w:fldChar w:fldCharType="separate"/>
        </w:r>
        <w:r>
          <w:t>2</w:t>
        </w:r>
        <w:r>
          <w:fldChar w:fldCharType="end"/>
        </w:r>
      </w:p>
    </w:sdtContent>
  </w:sdt>
  <w:p w14:paraId="4CB5C711" w14:textId="77777777" w:rsidR="008E6885" w:rsidRDefault="008E688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82391405"/>
      <w:docPartObj>
        <w:docPartGallery w:val="Page Numbers (Bottom of Page)"/>
        <w:docPartUnique/>
      </w:docPartObj>
    </w:sdtPr>
    <w:sdtEndPr/>
    <w:sdtContent>
      <w:p w14:paraId="17A6A0BB" w14:textId="77777777" w:rsidR="008E6885" w:rsidRDefault="00EA24E7">
        <w:pPr>
          <w:pStyle w:val="Footer"/>
          <w:jc w:val="center"/>
        </w:pPr>
        <w:r>
          <w:fldChar w:fldCharType="begin"/>
        </w:r>
        <w:r>
          <w:instrText xml:space="preserve"> PAGE   \* MERGEFORMAT </w:instrText>
        </w:r>
        <w:r>
          <w:fldChar w:fldCharType="separate"/>
        </w:r>
        <w:r>
          <w:t>2</w:t>
        </w:r>
        <w:r>
          <w:fldChar w:fldCharType="end"/>
        </w:r>
      </w:p>
    </w:sdtContent>
  </w:sdt>
  <w:p w14:paraId="6E70EE03" w14:textId="77777777" w:rsidR="008E6885" w:rsidRDefault="008E688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699973378"/>
      <w:docPartObj>
        <w:docPartGallery w:val="Page Numbers (Bottom of Page)"/>
        <w:docPartUnique/>
      </w:docPartObj>
    </w:sdtPr>
    <w:sdtEndPr/>
    <w:sdtContent>
      <w:p w14:paraId="321F38F7" w14:textId="77777777" w:rsidR="008E6885" w:rsidRDefault="00EA24E7">
        <w:pPr>
          <w:pStyle w:val="Footer"/>
          <w:jc w:val="center"/>
        </w:pPr>
        <w:r>
          <w:fldChar w:fldCharType="begin"/>
        </w:r>
        <w:r>
          <w:instrText xml:space="preserve"> PAGE   \* MERGEFORMAT </w:instrText>
        </w:r>
        <w:r>
          <w:fldChar w:fldCharType="separate"/>
        </w:r>
        <w:r>
          <w:t>2</w:t>
        </w:r>
        <w:r>
          <w:fldChar w:fldCharType="end"/>
        </w:r>
      </w:p>
    </w:sdtContent>
  </w:sdt>
  <w:p w14:paraId="72D928AE" w14:textId="77777777" w:rsidR="008E6885" w:rsidRDefault="008E688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891004594"/>
      <w:docPartObj>
        <w:docPartGallery w:val="Page Numbers (Bottom of Page)"/>
        <w:docPartUnique/>
      </w:docPartObj>
    </w:sdtPr>
    <w:sdtEndPr/>
    <w:sdtContent>
      <w:p w14:paraId="3534250B" w14:textId="77777777" w:rsidR="008E6885" w:rsidRDefault="00EA24E7">
        <w:pPr>
          <w:pStyle w:val="Footer"/>
          <w:jc w:val="center"/>
        </w:pPr>
        <w:r>
          <w:fldChar w:fldCharType="begin"/>
        </w:r>
        <w:r>
          <w:instrText xml:space="preserve"> PAGE   \* MERGEFORMAT </w:instrText>
        </w:r>
        <w:r>
          <w:fldChar w:fldCharType="separate"/>
        </w:r>
        <w:r>
          <w:t>2</w:t>
        </w:r>
        <w:r>
          <w:fldChar w:fldCharType="end"/>
        </w:r>
      </w:p>
    </w:sdtContent>
  </w:sdt>
  <w:p w14:paraId="2C7DD843" w14:textId="77777777" w:rsidR="008E6885" w:rsidRDefault="008E688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67310734"/>
      <w:docPartObj>
        <w:docPartGallery w:val="Page Numbers (Bottom of Page)"/>
        <w:docPartUnique/>
      </w:docPartObj>
    </w:sdtPr>
    <w:sdtEndPr/>
    <w:sdtContent>
      <w:p w14:paraId="57C4C163" w14:textId="77777777" w:rsidR="008E6885" w:rsidRDefault="00EA24E7">
        <w:pPr>
          <w:pStyle w:val="Footer"/>
          <w:jc w:val="center"/>
        </w:pPr>
        <w:r>
          <w:fldChar w:fldCharType="begin"/>
        </w:r>
        <w:r>
          <w:instrText xml:space="preserve"> PAGE   \* MERGEFORMAT </w:instrText>
        </w:r>
        <w:r>
          <w:fldChar w:fldCharType="separate"/>
        </w:r>
        <w:r>
          <w:t>2</w:t>
        </w:r>
        <w:r>
          <w:fldChar w:fldCharType="end"/>
        </w:r>
      </w:p>
    </w:sdtContent>
  </w:sdt>
  <w:p w14:paraId="323BD785" w14:textId="77777777" w:rsidR="008E6885" w:rsidRDefault="008E688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9B967" w14:textId="77777777" w:rsidR="008E6885" w:rsidRDefault="008E688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537388059"/>
      <w:docPartObj>
        <w:docPartGallery w:val="Page Numbers (Bottom of Page)"/>
        <w:docPartUnique/>
      </w:docPartObj>
    </w:sdtPr>
    <w:sdtEndPr/>
    <w:sdtContent>
      <w:p w14:paraId="6C698724" w14:textId="77777777" w:rsidR="008E6885" w:rsidRDefault="00EA24E7">
        <w:pPr>
          <w:pStyle w:val="Footer"/>
          <w:jc w:val="center"/>
        </w:pPr>
        <w:r>
          <w:fldChar w:fldCharType="begin"/>
        </w:r>
        <w:r>
          <w:instrText xml:space="preserve"> PAGE   \* MERGEFORMAT </w:instrText>
        </w:r>
        <w:r>
          <w:fldChar w:fldCharType="separate"/>
        </w:r>
        <w:r>
          <w:t>2</w:t>
        </w:r>
        <w:r>
          <w:fldChar w:fldCharType="end"/>
        </w:r>
      </w:p>
    </w:sdtContent>
  </w:sdt>
  <w:p w14:paraId="2772584E" w14:textId="77777777" w:rsidR="008E6885" w:rsidRDefault="008E6885">
    <w:pPr>
      <w:pStyle w:val="FooterCouncil"/>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E0B9B" w14:textId="77777777" w:rsidR="008E6885" w:rsidRDefault="008E6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8AC64F" w14:textId="77777777" w:rsidR="008F3251" w:rsidRDefault="008F3251">
      <w:pPr>
        <w:spacing w:after="0" w:line="240" w:lineRule="auto"/>
      </w:pPr>
      <w:r>
        <w:separator/>
      </w:r>
    </w:p>
  </w:footnote>
  <w:footnote w:type="continuationSeparator" w:id="0">
    <w:p w14:paraId="0847C1CE" w14:textId="77777777" w:rsidR="008F3251" w:rsidRDefault="008F3251">
      <w:pPr>
        <w:spacing w:after="0" w:line="240" w:lineRule="auto"/>
      </w:pPr>
      <w:r>
        <w:continuationSeparator/>
      </w:r>
    </w:p>
  </w:footnote>
  <w:footnote w:id="1">
    <w:p w14:paraId="572C6922" w14:textId="77777777" w:rsidR="008E6885" w:rsidRDefault="00EA24E7">
      <w:pPr>
        <w:pStyle w:val="FootnoteText"/>
        <w:ind w:left="284" w:hanging="284"/>
        <w:jc w:val="both"/>
        <w:rPr>
          <w:rFonts w:ascii="Times New Roman" w:hAnsi="Times New Roman" w:cs="Times New Roman"/>
        </w:rPr>
      </w:pPr>
      <w:r>
        <w:rPr>
          <w:rStyle w:val="FootnoteReference"/>
        </w:rPr>
        <w:footnoteRef/>
      </w:r>
      <w:r>
        <w:t xml:space="preserve"> </w:t>
      </w:r>
      <w:r>
        <w:tab/>
      </w:r>
      <w:r>
        <w:rPr>
          <w:rFonts w:ascii="Times New Roman" w:hAnsi="Times New Roman" w:cs="Times New Roman"/>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2">
    <w:p w14:paraId="5DCA177D" w14:textId="77777777" w:rsidR="008E6885" w:rsidRDefault="00EA24E7">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3">
    <w:p w14:paraId="2CF403F5" w14:textId="77777777" w:rsidR="008E6885" w:rsidRDefault="00EA24E7">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4">
    <w:p w14:paraId="284896E9" w14:textId="77777777" w:rsidR="008E6885" w:rsidRDefault="00EA24E7">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73B45" w14:textId="77777777" w:rsidR="00BB4340" w:rsidRPr="00BB4340" w:rsidRDefault="00BB4340" w:rsidP="00BB434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2C8F8" w14:textId="77777777" w:rsidR="00BB4340" w:rsidRPr="00BB4340" w:rsidRDefault="00BB4340" w:rsidP="00BB434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A7DE8" w14:textId="77777777" w:rsidR="00BB4340" w:rsidRPr="00BB4340" w:rsidRDefault="00BB4340" w:rsidP="00BB434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8556A" w14:textId="77777777" w:rsidR="008E6885" w:rsidRDefault="008E688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18190" w14:textId="77777777" w:rsidR="008E6885" w:rsidRDefault="008E68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26A68" w14:textId="77777777" w:rsidR="008E6885" w:rsidRDefault="008E688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83778" w14:textId="77777777" w:rsidR="008E6885" w:rsidRDefault="008E688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44499" w14:textId="77777777" w:rsidR="008E6885" w:rsidRDefault="008E688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3EDF7" w14:textId="77777777" w:rsidR="008E6885" w:rsidRDefault="008E688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37507" w14:textId="77777777" w:rsidR="008E6885" w:rsidRDefault="008E688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4B0D2" w14:textId="77777777" w:rsidR="008E6885" w:rsidRDefault="008E688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1F180" w14:textId="77777777" w:rsidR="008E6885" w:rsidRDefault="008E688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6DFFC" w14:textId="77777777" w:rsidR="008E6885" w:rsidRDefault="008E688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5E9F1" w14:textId="77777777" w:rsidR="008E6885" w:rsidRDefault="008E688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3C211" w14:textId="77777777" w:rsidR="008E6885" w:rsidRDefault="008E688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ECD3B" w14:textId="77777777" w:rsidR="008E6885" w:rsidRDefault="008E688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54D6A" w14:textId="77777777" w:rsidR="008E6885" w:rsidRDefault="008E688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38A5B" w14:textId="77777777" w:rsidR="008E6885" w:rsidRDefault="008E688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B3452" w14:textId="77777777" w:rsidR="008E6885" w:rsidRDefault="008E688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5D58" w14:textId="77777777" w:rsidR="008E6885" w:rsidRDefault="008E688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3B4AC" w14:textId="77777777" w:rsidR="008E6885" w:rsidRDefault="008E688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7FEA" w14:textId="77777777" w:rsidR="008E6885" w:rsidRDefault="008E688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A6044" w14:textId="77777777" w:rsidR="008E6885" w:rsidRDefault="008E68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1C3C87B"/>
    <w:multiLevelType w:val="hybridMultilevel"/>
    <w:tmpl w:val="FFFFFFFF"/>
    <w:lvl w:ilvl="0" w:tplc="8A66F388">
      <w:start w:val="1"/>
      <w:numFmt w:val="decimal"/>
      <w:lvlText w:val="%1."/>
      <w:lvlJc w:val="left"/>
      <w:pPr>
        <w:ind w:left="720" w:hanging="360"/>
      </w:pPr>
    </w:lvl>
    <w:lvl w:ilvl="1" w:tplc="5FA49E40">
      <w:start w:val="1"/>
      <w:numFmt w:val="lowerLetter"/>
      <w:lvlText w:val="%2."/>
      <w:lvlJc w:val="left"/>
      <w:pPr>
        <w:ind w:left="1440" w:hanging="360"/>
      </w:pPr>
    </w:lvl>
    <w:lvl w:ilvl="2" w:tplc="673AB81A">
      <w:start w:val="1"/>
      <w:numFmt w:val="lowerRoman"/>
      <w:lvlText w:val="%3."/>
      <w:lvlJc w:val="right"/>
      <w:pPr>
        <w:ind w:left="2160" w:hanging="180"/>
      </w:pPr>
    </w:lvl>
    <w:lvl w:ilvl="3" w:tplc="5A086774">
      <w:start w:val="1"/>
      <w:numFmt w:val="decimal"/>
      <w:lvlText w:val="%4."/>
      <w:lvlJc w:val="left"/>
      <w:pPr>
        <w:ind w:left="2880" w:hanging="360"/>
      </w:pPr>
    </w:lvl>
    <w:lvl w:ilvl="4" w:tplc="35FEDC4A">
      <w:start w:val="1"/>
      <w:numFmt w:val="lowerLetter"/>
      <w:lvlText w:val="%5."/>
      <w:lvlJc w:val="left"/>
      <w:pPr>
        <w:ind w:left="3600" w:hanging="360"/>
      </w:pPr>
    </w:lvl>
    <w:lvl w:ilvl="5" w:tplc="C0283FBC">
      <w:start w:val="1"/>
      <w:numFmt w:val="lowerRoman"/>
      <w:lvlText w:val="%6."/>
      <w:lvlJc w:val="right"/>
      <w:pPr>
        <w:ind w:left="4320" w:hanging="180"/>
      </w:pPr>
    </w:lvl>
    <w:lvl w:ilvl="6" w:tplc="758841B6">
      <w:start w:val="1"/>
      <w:numFmt w:val="decimal"/>
      <w:lvlText w:val="%7."/>
      <w:lvlJc w:val="left"/>
      <w:pPr>
        <w:ind w:left="5040" w:hanging="360"/>
      </w:pPr>
    </w:lvl>
    <w:lvl w:ilvl="7" w:tplc="3C086934">
      <w:start w:val="1"/>
      <w:numFmt w:val="lowerLetter"/>
      <w:lvlText w:val="%8."/>
      <w:lvlJc w:val="left"/>
      <w:pPr>
        <w:ind w:left="5760" w:hanging="360"/>
      </w:pPr>
    </w:lvl>
    <w:lvl w:ilvl="8" w:tplc="61B82436">
      <w:start w:val="1"/>
      <w:numFmt w:val="lowerRoman"/>
      <w:lvlText w:val="%9."/>
      <w:lvlJc w:val="right"/>
      <w:pPr>
        <w:ind w:left="6480" w:hanging="180"/>
      </w:pPr>
    </w:lvl>
  </w:abstractNum>
  <w:abstractNum w:abstractNumId="5" w15:restartNumberingAfterBreak="0">
    <w:nsid w:val="046425DD"/>
    <w:multiLevelType w:val="hybridMultilevel"/>
    <w:tmpl w:val="A2483014"/>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ED0780A"/>
    <w:multiLevelType w:val="hybridMultilevel"/>
    <w:tmpl w:val="F934EEBE"/>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A76257"/>
    <w:multiLevelType w:val="hybridMultilevel"/>
    <w:tmpl w:val="FFFFFFFF"/>
    <w:lvl w:ilvl="0" w:tplc="88A2362A">
      <w:start w:val="1"/>
      <w:numFmt w:val="bullet"/>
      <w:lvlText w:val=""/>
      <w:lvlJc w:val="left"/>
      <w:pPr>
        <w:ind w:left="720" w:hanging="360"/>
      </w:pPr>
      <w:rPr>
        <w:rFonts w:ascii="Symbol" w:hAnsi="Symbol" w:hint="default"/>
      </w:rPr>
    </w:lvl>
    <w:lvl w:ilvl="1" w:tplc="44A26E8E">
      <w:start w:val="1"/>
      <w:numFmt w:val="bullet"/>
      <w:lvlText w:val="o"/>
      <w:lvlJc w:val="left"/>
      <w:pPr>
        <w:ind w:left="1440" w:hanging="360"/>
      </w:pPr>
      <w:rPr>
        <w:rFonts w:ascii="Courier New" w:hAnsi="Courier New" w:hint="default"/>
      </w:rPr>
    </w:lvl>
    <w:lvl w:ilvl="2" w:tplc="B712B9DC">
      <w:start w:val="1"/>
      <w:numFmt w:val="bullet"/>
      <w:lvlText w:val=""/>
      <w:lvlJc w:val="left"/>
      <w:pPr>
        <w:ind w:left="2160" w:hanging="360"/>
      </w:pPr>
      <w:rPr>
        <w:rFonts w:ascii="Wingdings" w:hAnsi="Wingdings" w:hint="default"/>
      </w:rPr>
    </w:lvl>
    <w:lvl w:ilvl="3" w:tplc="B68A4742">
      <w:start w:val="1"/>
      <w:numFmt w:val="bullet"/>
      <w:lvlText w:val=""/>
      <w:lvlJc w:val="left"/>
      <w:pPr>
        <w:ind w:left="2880" w:hanging="360"/>
      </w:pPr>
      <w:rPr>
        <w:rFonts w:ascii="Symbol" w:hAnsi="Symbol" w:hint="default"/>
      </w:rPr>
    </w:lvl>
    <w:lvl w:ilvl="4" w:tplc="35428C36">
      <w:start w:val="1"/>
      <w:numFmt w:val="bullet"/>
      <w:lvlText w:val="o"/>
      <w:lvlJc w:val="left"/>
      <w:pPr>
        <w:ind w:left="3600" w:hanging="360"/>
      </w:pPr>
      <w:rPr>
        <w:rFonts w:ascii="Courier New" w:hAnsi="Courier New" w:hint="default"/>
      </w:rPr>
    </w:lvl>
    <w:lvl w:ilvl="5" w:tplc="890AE8BC">
      <w:start w:val="1"/>
      <w:numFmt w:val="bullet"/>
      <w:lvlText w:val=""/>
      <w:lvlJc w:val="left"/>
      <w:pPr>
        <w:ind w:left="4320" w:hanging="360"/>
      </w:pPr>
      <w:rPr>
        <w:rFonts w:ascii="Wingdings" w:hAnsi="Wingdings" w:hint="default"/>
      </w:rPr>
    </w:lvl>
    <w:lvl w:ilvl="6" w:tplc="288E19B2">
      <w:start w:val="1"/>
      <w:numFmt w:val="bullet"/>
      <w:lvlText w:val=""/>
      <w:lvlJc w:val="left"/>
      <w:pPr>
        <w:ind w:left="5040" w:hanging="360"/>
      </w:pPr>
      <w:rPr>
        <w:rFonts w:ascii="Symbol" w:hAnsi="Symbol" w:hint="default"/>
      </w:rPr>
    </w:lvl>
    <w:lvl w:ilvl="7" w:tplc="3E08292C">
      <w:start w:val="1"/>
      <w:numFmt w:val="bullet"/>
      <w:lvlText w:val="o"/>
      <w:lvlJc w:val="left"/>
      <w:pPr>
        <w:ind w:left="5760" w:hanging="360"/>
      </w:pPr>
      <w:rPr>
        <w:rFonts w:ascii="Courier New" w:hAnsi="Courier New" w:hint="default"/>
      </w:rPr>
    </w:lvl>
    <w:lvl w:ilvl="8" w:tplc="CC34A436">
      <w:start w:val="1"/>
      <w:numFmt w:val="bullet"/>
      <w:lvlText w:val=""/>
      <w:lvlJc w:val="left"/>
      <w:pPr>
        <w:ind w:left="6480" w:hanging="360"/>
      </w:pPr>
      <w:rPr>
        <w:rFonts w:ascii="Wingdings" w:hAnsi="Wingdings" w:hint="default"/>
      </w:rPr>
    </w:lvl>
  </w:abstractNum>
  <w:abstractNum w:abstractNumId="8" w15:restartNumberingAfterBreak="0">
    <w:nsid w:val="1A073459"/>
    <w:multiLevelType w:val="hybridMultilevel"/>
    <w:tmpl w:val="FFFFFFFF"/>
    <w:lvl w:ilvl="0" w:tplc="123E4430">
      <w:start w:val="1"/>
      <w:numFmt w:val="decimal"/>
      <w:lvlText w:val="%1)"/>
      <w:lvlJc w:val="left"/>
      <w:pPr>
        <w:ind w:left="720" w:hanging="360"/>
      </w:pPr>
    </w:lvl>
    <w:lvl w:ilvl="1" w:tplc="7A324778">
      <w:start w:val="1"/>
      <w:numFmt w:val="lowerLetter"/>
      <w:lvlText w:val="%2."/>
      <w:lvlJc w:val="left"/>
      <w:pPr>
        <w:ind w:left="1440" w:hanging="360"/>
      </w:pPr>
    </w:lvl>
    <w:lvl w:ilvl="2" w:tplc="51FCA30A">
      <w:start w:val="1"/>
      <w:numFmt w:val="lowerRoman"/>
      <w:lvlText w:val="%3."/>
      <w:lvlJc w:val="right"/>
      <w:pPr>
        <w:ind w:left="2160" w:hanging="180"/>
      </w:pPr>
    </w:lvl>
    <w:lvl w:ilvl="3" w:tplc="5B149F68">
      <w:start w:val="1"/>
      <w:numFmt w:val="decimal"/>
      <w:lvlText w:val="%4."/>
      <w:lvlJc w:val="left"/>
      <w:pPr>
        <w:ind w:left="2880" w:hanging="360"/>
      </w:pPr>
    </w:lvl>
    <w:lvl w:ilvl="4" w:tplc="ED64A882">
      <w:start w:val="1"/>
      <w:numFmt w:val="lowerLetter"/>
      <w:lvlText w:val="%5."/>
      <w:lvlJc w:val="left"/>
      <w:pPr>
        <w:ind w:left="3600" w:hanging="360"/>
      </w:pPr>
    </w:lvl>
    <w:lvl w:ilvl="5" w:tplc="2E98FD7E">
      <w:start w:val="1"/>
      <w:numFmt w:val="lowerRoman"/>
      <w:lvlText w:val="%6."/>
      <w:lvlJc w:val="right"/>
      <w:pPr>
        <w:ind w:left="4320" w:hanging="180"/>
      </w:pPr>
    </w:lvl>
    <w:lvl w:ilvl="6" w:tplc="877AB83E">
      <w:start w:val="1"/>
      <w:numFmt w:val="decimal"/>
      <w:lvlText w:val="%7."/>
      <w:lvlJc w:val="left"/>
      <w:pPr>
        <w:ind w:left="5040" w:hanging="360"/>
      </w:pPr>
    </w:lvl>
    <w:lvl w:ilvl="7" w:tplc="AFD04244">
      <w:start w:val="1"/>
      <w:numFmt w:val="lowerLetter"/>
      <w:lvlText w:val="%8."/>
      <w:lvlJc w:val="left"/>
      <w:pPr>
        <w:ind w:left="5760" w:hanging="360"/>
      </w:pPr>
    </w:lvl>
    <w:lvl w:ilvl="8" w:tplc="91783B42">
      <w:start w:val="1"/>
      <w:numFmt w:val="lowerRoman"/>
      <w:lvlText w:val="%9."/>
      <w:lvlJc w:val="right"/>
      <w:pPr>
        <w:ind w:left="648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7622F0"/>
    <w:multiLevelType w:val="hybridMultilevel"/>
    <w:tmpl w:val="0E286EAA"/>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427FF0"/>
    <w:multiLevelType w:val="hybridMultilevel"/>
    <w:tmpl w:val="EF228A1C"/>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0945C2"/>
    <w:multiLevelType w:val="hybridMultilevel"/>
    <w:tmpl w:val="CB169566"/>
    <w:lvl w:ilvl="0" w:tplc="EAF455E0">
      <w:start w:val="1"/>
      <w:numFmt w:val="decimal"/>
      <w:lvlText w:val="%1."/>
      <w:lvlJc w:val="left"/>
      <w:pPr>
        <w:ind w:left="720" w:hanging="360"/>
      </w:pPr>
    </w:lvl>
    <w:lvl w:ilvl="1" w:tplc="F5DCACF6">
      <w:start w:val="1"/>
      <w:numFmt w:val="lowerLetter"/>
      <w:lvlText w:val="%2."/>
      <w:lvlJc w:val="left"/>
      <w:pPr>
        <w:ind w:left="1440" w:hanging="360"/>
      </w:pPr>
    </w:lvl>
    <w:lvl w:ilvl="2" w:tplc="CC8C8BDC">
      <w:start w:val="1"/>
      <w:numFmt w:val="lowerRoman"/>
      <w:lvlText w:val="%3."/>
      <w:lvlJc w:val="right"/>
      <w:pPr>
        <w:ind w:left="2160" w:hanging="180"/>
      </w:pPr>
    </w:lvl>
    <w:lvl w:ilvl="3" w:tplc="EF7E4B18">
      <w:start w:val="1"/>
      <w:numFmt w:val="decimal"/>
      <w:lvlText w:val="%4."/>
      <w:lvlJc w:val="left"/>
      <w:pPr>
        <w:ind w:left="2880" w:hanging="360"/>
      </w:pPr>
    </w:lvl>
    <w:lvl w:ilvl="4" w:tplc="552E2408">
      <w:start w:val="1"/>
      <w:numFmt w:val="lowerLetter"/>
      <w:lvlText w:val="%5."/>
      <w:lvlJc w:val="left"/>
      <w:pPr>
        <w:ind w:left="3600" w:hanging="360"/>
      </w:pPr>
    </w:lvl>
    <w:lvl w:ilvl="5" w:tplc="A0D21BBE">
      <w:start w:val="1"/>
      <w:numFmt w:val="lowerRoman"/>
      <w:lvlText w:val="%6."/>
      <w:lvlJc w:val="right"/>
      <w:pPr>
        <w:ind w:left="4320" w:hanging="180"/>
      </w:pPr>
    </w:lvl>
    <w:lvl w:ilvl="6" w:tplc="B0C60D04">
      <w:start w:val="1"/>
      <w:numFmt w:val="decimal"/>
      <w:lvlText w:val="%7."/>
      <w:lvlJc w:val="left"/>
      <w:pPr>
        <w:ind w:left="5040" w:hanging="360"/>
      </w:pPr>
    </w:lvl>
    <w:lvl w:ilvl="7" w:tplc="94B202D4">
      <w:start w:val="1"/>
      <w:numFmt w:val="lowerLetter"/>
      <w:lvlText w:val="%8."/>
      <w:lvlJc w:val="left"/>
      <w:pPr>
        <w:ind w:left="5760" w:hanging="360"/>
      </w:pPr>
    </w:lvl>
    <w:lvl w:ilvl="8" w:tplc="E2C41580">
      <w:start w:val="1"/>
      <w:numFmt w:val="lowerRoman"/>
      <w:lvlText w:val="%9."/>
      <w:lvlJc w:val="right"/>
      <w:pPr>
        <w:ind w:left="6480" w:hanging="180"/>
      </w:p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FB1FAE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7575552"/>
    <w:multiLevelType w:val="hybridMultilevel"/>
    <w:tmpl w:val="EFF090CC"/>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8B90A1F"/>
    <w:multiLevelType w:val="hybridMultilevel"/>
    <w:tmpl w:val="FFFFFFFF"/>
    <w:lvl w:ilvl="0" w:tplc="E52688FC">
      <w:start w:val="1"/>
      <w:numFmt w:val="bullet"/>
      <w:lvlText w:val="-"/>
      <w:lvlJc w:val="left"/>
      <w:pPr>
        <w:ind w:left="720" w:hanging="360"/>
      </w:pPr>
      <w:rPr>
        <w:rFonts w:ascii="Calibri" w:hAnsi="Calibri" w:hint="default"/>
      </w:rPr>
    </w:lvl>
    <w:lvl w:ilvl="1" w:tplc="AD02AB88">
      <w:start w:val="1"/>
      <w:numFmt w:val="bullet"/>
      <w:lvlText w:val="o"/>
      <w:lvlJc w:val="left"/>
      <w:pPr>
        <w:ind w:left="1440" w:hanging="360"/>
      </w:pPr>
      <w:rPr>
        <w:rFonts w:ascii="Courier New" w:hAnsi="Courier New" w:hint="default"/>
      </w:rPr>
    </w:lvl>
    <w:lvl w:ilvl="2" w:tplc="32B6D372">
      <w:start w:val="1"/>
      <w:numFmt w:val="bullet"/>
      <w:lvlText w:val=""/>
      <w:lvlJc w:val="left"/>
      <w:pPr>
        <w:ind w:left="2160" w:hanging="360"/>
      </w:pPr>
      <w:rPr>
        <w:rFonts w:ascii="Wingdings" w:hAnsi="Wingdings" w:hint="default"/>
      </w:rPr>
    </w:lvl>
    <w:lvl w:ilvl="3" w:tplc="50401DF8">
      <w:start w:val="1"/>
      <w:numFmt w:val="bullet"/>
      <w:lvlText w:val=""/>
      <w:lvlJc w:val="left"/>
      <w:pPr>
        <w:ind w:left="2880" w:hanging="360"/>
      </w:pPr>
      <w:rPr>
        <w:rFonts w:ascii="Symbol" w:hAnsi="Symbol" w:hint="default"/>
      </w:rPr>
    </w:lvl>
    <w:lvl w:ilvl="4" w:tplc="2F948600">
      <w:start w:val="1"/>
      <w:numFmt w:val="bullet"/>
      <w:lvlText w:val="o"/>
      <w:lvlJc w:val="left"/>
      <w:pPr>
        <w:ind w:left="3600" w:hanging="360"/>
      </w:pPr>
      <w:rPr>
        <w:rFonts w:ascii="Courier New" w:hAnsi="Courier New" w:hint="default"/>
      </w:rPr>
    </w:lvl>
    <w:lvl w:ilvl="5" w:tplc="1FFC6D94">
      <w:start w:val="1"/>
      <w:numFmt w:val="bullet"/>
      <w:lvlText w:val=""/>
      <w:lvlJc w:val="left"/>
      <w:pPr>
        <w:ind w:left="4320" w:hanging="360"/>
      </w:pPr>
      <w:rPr>
        <w:rFonts w:ascii="Wingdings" w:hAnsi="Wingdings" w:hint="default"/>
      </w:rPr>
    </w:lvl>
    <w:lvl w:ilvl="6" w:tplc="23D85B18">
      <w:start w:val="1"/>
      <w:numFmt w:val="bullet"/>
      <w:lvlText w:val=""/>
      <w:lvlJc w:val="left"/>
      <w:pPr>
        <w:ind w:left="5040" w:hanging="360"/>
      </w:pPr>
      <w:rPr>
        <w:rFonts w:ascii="Symbol" w:hAnsi="Symbol" w:hint="default"/>
      </w:rPr>
    </w:lvl>
    <w:lvl w:ilvl="7" w:tplc="191E0B4E">
      <w:start w:val="1"/>
      <w:numFmt w:val="bullet"/>
      <w:lvlText w:val="o"/>
      <w:lvlJc w:val="left"/>
      <w:pPr>
        <w:ind w:left="5760" w:hanging="360"/>
      </w:pPr>
      <w:rPr>
        <w:rFonts w:ascii="Courier New" w:hAnsi="Courier New" w:hint="default"/>
      </w:rPr>
    </w:lvl>
    <w:lvl w:ilvl="8" w:tplc="EC4841AA">
      <w:start w:val="1"/>
      <w:numFmt w:val="bullet"/>
      <w:lvlText w:val=""/>
      <w:lvlJc w:val="left"/>
      <w:pPr>
        <w:ind w:left="6480" w:hanging="360"/>
      </w:pPr>
      <w:rPr>
        <w:rFonts w:ascii="Wingdings" w:hAnsi="Wingdings" w:hint="default"/>
      </w:r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E2B597B"/>
    <w:multiLevelType w:val="hybridMultilevel"/>
    <w:tmpl w:val="3A764690"/>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E510BAF"/>
    <w:multiLevelType w:val="hybridMultilevel"/>
    <w:tmpl w:val="EDDEF082"/>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078310E"/>
    <w:multiLevelType w:val="hybridMultilevel"/>
    <w:tmpl w:val="5D48E69A"/>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19D04FB"/>
    <w:multiLevelType w:val="hybridMultilevel"/>
    <w:tmpl w:val="92763622"/>
    <w:lvl w:ilvl="0" w:tplc="3ED27ADC">
      <w:start w:val="1"/>
      <w:numFmt w:val="bullet"/>
      <w:lvlText w:val="-"/>
      <w:lvlJc w:val="left"/>
      <w:pPr>
        <w:ind w:left="720" w:hanging="360"/>
      </w:pPr>
      <w:rPr>
        <w:rFonts w:ascii="Calibri" w:hAnsi="Calibri" w:hint="default"/>
      </w:rPr>
    </w:lvl>
    <w:lvl w:ilvl="1" w:tplc="B854E73C">
      <w:start w:val="1"/>
      <w:numFmt w:val="bullet"/>
      <w:lvlText w:val="o"/>
      <w:lvlJc w:val="left"/>
      <w:pPr>
        <w:ind w:left="1440" w:hanging="360"/>
      </w:pPr>
      <w:rPr>
        <w:rFonts w:ascii="Courier New" w:hAnsi="Courier New" w:hint="default"/>
      </w:rPr>
    </w:lvl>
    <w:lvl w:ilvl="2" w:tplc="9146BEB8">
      <w:start w:val="1"/>
      <w:numFmt w:val="bullet"/>
      <w:lvlText w:val=""/>
      <w:lvlJc w:val="left"/>
      <w:pPr>
        <w:ind w:left="2160" w:hanging="360"/>
      </w:pPr>
      <w:rPr>
        <w:rFonts w:ascii="Wingdings" w:hAnsi="Wingdings" w:hint="default"/>
      </w:rPr>
    </w:lvl>
    <w:lvl w:ilvl="3" w:tplc="327E56E4">
      <w:start w:val="1"/>
      <w:numFmt w:val="bullet"/>
      <w:lvlText w:val=""/>
      <w:lvlJc w:val="left"/>
      <w:pPr>
        <w:ind w:left="2880" w:hanging="360"/>
      </w:pPr>
      <w:rPr>
        <w:rFonts w:ascii="Symbol" w:hAnsi="Symbol" w:hint="default"/>
      </w:rPr>
    </w:lvl>
    <w:lvl w:ilvl="4" w:tplc="CF78A566">
      <w:start w:val="1"/>
      <w:numFmt w:val="bullet"/>
      <w:lvlText w:val="o"/>
      <w:lvlJc w:val="left"/>
      <w:pPr>
        <w:ind w:left="3600" w:hanging="360"/>
      </w:pPr>
      <w:rPr>
        <w:rFonts w:ascii="Courier New" w:hAnsi="Courier New" w:hint="default"/>
      </w:rPr>
    </w:lvl>
    <w:lvl w:ilvl="5" w:tplc="DD581F56">
      <w:start w:val="1"/>
      <w:numFmt w:val="bullet"/>
      <w:lvlText w:val=""/>
      <w:lvlJc w:val="left"/>
      <w:pPr>
        <w:ind w:left="4320" w:hanging="360"/>
      </w:pPr>
      <w:rPr>
        <w:rFonts w:ascii="Wingdings" w:hAnsi="Wingdings" w:hint="default"/>
      </w:rPr>
    </w:lvl>
    <w:lvl w:ilvl="6" w:tplc="6BD4FD90">
      <w:start w:val="1"/>
      <w:numFmt w:val="bullet"/>
      <w:lvlText w:val=""/>
      <w:lvlJc w:val="left"/>
      <w:pPr>
        <w:ind w:left="5040" w:hanging="360"/>
      </w:pPr>
      <w:rPr>
        <w:rFonts w:ascii="Symbol" w:hAnsi="Symbol" w:hint="default"/>
      </w:rPr>
    </w:lvl>
    <w:lvl w:ilvl="7" w:tplc="0B146826">
      <w:start w:val="1"/>
      <w:numFmt w:val="bullet"/>
      <w:lvlText w:val="o"/>
      <w:lvlJc w:val="left"/>
      <w:pPr>
        <w:ind w:left="5760" w:hanging="360"/>
      </w:pPr>
      <w:rPr>
        <w:rFonts w:ascii="Courier New" w:hAnsi="Courier New" w:hint="default"/>
      </w:rPr>
    </w:lvl>
    <w:lvl w:ilvl="8" w:tplc="00D41976">
      <w:start w:val="1"/>
      <w:numFmt w:val="bullet"/>
      <w:lvlText w:val=""/>
      <w:lvlJc w:val="left"/>
      <w:pPr>
        <w:ind w:left="6480" w:hanging="360"/>
      </w:pPr>
      <w:rPr>
        <w:rFonts w:ascii="Wingdings" w:hAnsi="Wingdings" w:hint="default"/>
      </w:rPr>
    </w:lvl>
  </w:abstractNum>
  <w:abstractNum w:abstractNumId="30" w15:restartNumberingAfterBreak="0">
    <w:nsid w:val="6221643F"/>
    <w:multiLevelType w:val="hybridMultilevel"/>
    <w:tmpl w:val="4868142C"/>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69925810"/>
    <w:multiLevelType w:val="hybridMultilevel"/>
    <w:tmpl w:val="2914455E"/>
    <w:lvl w:ilvl="0" w:tplc="7F683D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DD6BDB3"/>
    <w:multiLevelType w:val="hybridMultilevel"/>
    <w:tmpl w:val="FFFFFFFF"/>
    <w:lvl w:ilvl="0" w:tplc="2D16EBCA">
      <w:start w:val="1"/>
      <w:numFmt w:val="decimal"/>
      <w:lvlText w:val="%1."/>
      <w:lvlJc w:val="left"/>
      <w:pPr>
        <w:ind w:left="720" w:hanging="360"/>
      </w:pPr>
    </w:lvl>
    <w:lvl w:ilvl="1" w:tplc="34308672">
      <w:start w:val="1"/>
      <w:numFmt w:val="lowerLetter"/>
      <w:lvlText w:val="%2."/>
      <w:lvlJc w:val="left"/>
      <w:pPr>
        <w:ind w:left="1440" w:hanging="360"/>
      </w:pPr>
    </w:lvl>
    <w:lvl w:ilvl="2" w:tplc="527CD6DE">
      <w:start w:val="1"/>
      <w:numFmt w:val="lowerRoman"/>
      <w:lvlText w:val="%3."/>
      <w:lvlJc w:val="right"/>
      <w:pPr>
        <w:ind w:left="2160" w:hanging="180"/>
      </w:pPr>
    </w:lvl>
    <w:lvl w:ilvl="3" w:tplc="A236814E">
      <w:start w:val="1"/>
      <w:numFmt w:val="decimal"/>
      <w:lvlText w:val="%4."/>
      <w:lvlJc w:val="left"/>
      <w:pPr>
        <w:ind w:left="2880" w:hanging="360"/>
      </w:pPr>
    </w:lvl>
    <w:lvl w:ilvl="4" w:tplc="111A6580">
      <w:start w:val="1"/>
      <w:numFmt w:val="lowerLetter"/>
      <w:lvlText w:val="%5."/>
      <w:lvlJc w:val="left"/>
      <w:pPr>
        <w:ind w:left="3600" w:hanging="360"/>
      </w:pPr>
    </w:lvl>
    <w:lvl w:ilvl="5" w:tplc="5FCA30C2">
      <w:start w:val="1"/>
      <w:numFmt w:val="lowerRoman"/>
      <w:lvlText w:val="%6."/>
      <w:lvlJc w:val="right"/>
      <w:pPr>
        <w:ind w:left="4320" w:hanging="180"/>
      </w:pPr>
    </w:lvl>
    <w:lvl w:ilvl="6" w:tplc="D0002A4C">
      <w:start w:val="1"/>
      <w:numFmt w:val="decimal"/>
      <w:lvlText w:val="%7."/>
      <w:lvlJc w:val="left"/>
      <w:pPr>
        <w:ind w:left="5040" w:hanging="360"/>
      </w:pPr>
    </w:lvl>
    <w:lvl w:ilvl="7" w:tplc="FE386298">
      <w:start w:val="1"/>
      <w:numFmt w:val="lowerLetter"/>
      <w:lvlText w:val="%8."/>
      <w:lvlJc w:val="left"/>
      <w:pPr>
        <w:ind w:left="5760" w:hanging="360"/>
      </w:pPr>
    </w:lvl>
    <w:lvl w:ilvl="8" w:tplc="FE04848E">
      <w:start w:val="1"/>
      <w:numFmt w:val="lowerRoman"/>
      <w:lvlText w:val="%9."/>
      <w:lvlJc w:val="right"/>
      <w:pPr>
        <w:ind w:left="6480" w:hanging="180"/>
      </w:pPr>
    </w:lvl>
  </w:abstractNum>
  <w:abstractNum w:abstractNumId="34" w15:restartNumberingAfterBreak="0">
    <w:nsid w:val="6E115006"/>
    <w:multiLevelType w:val="hybridMultilevel"/>
    <w:tmpl w:val="FFFFFFFF"/>
    <w:lvl w:ilvl="0" w:tplc="10BC4B2A">
      <w:start w:val="1"/>
      <w:numFmt w:val="lowerLetter"/>
      <w:lvlText w:val="%1."/>
      <w:lvlJc w:val="left"/>
      <w:pPr>
        <w:ind w:left="720" w:hanging="360"/>
      </w:pPr>
    </w:lvl>
    <w:lvl w:ilvl="1" w:tplc="F922279A">
      <w:start w:val="1"/>
      <w:numFmt w:val="lowerLetter"/>
      <w:lvlText w:val="%2."/>
      <w:lvlJc w:val="left"/>
      <w:pPr>
        <w:ind w:left="1440" w:hanging="360"/>
      </w:pPr>
    </w:lvl>
    <w:lvl w:ilvl="2" w:tplc="C5BEAAB0">
      <w:start w:val="1"/>
      <w:numFmt w:val="lowerRoman"/>
      <w:lvlText w:val="%3."/>
      <w:lvlJc w:val="right"/>
      <w:pPr>
        <w:ind w:left="2160" w:hanging="180"/>
      </w:pPr>
    </w:lvl>
    <w:lvl w:ilvl="3" w:tplc="C434933C">
      <w:start w:val="1"/>
      <w:numFmt w:val="decimal"/>
      <w:lvlText w:val="%4."/>
      <w:lvlJc w:val="left"/>
      <w:pPr>
        <w:ind w:left="2880" w:hanging="360"/>
      </w:pPr>
    </w:lvl>
    <w:lvl w:ilvl="4" w:tplc="DB2805AC">
      <w:start w:val="1"/>
      <w:numFmt w:val="lowerLetter"/>
      <w:lvlText w:val="%5."/>
      <w:lvlJc w:val="left"/>
      <w:pPr>
        <w:ind w:left="3600" w:hanging="360"/>
      </w:pPr>
    </w:lvl>
    <w:lvl w:ilvl="5" w:tplc="E5CEADE6">
      <w:start w:val="1"/>
      <w:numFmt w:val="lowerRoman"/>
      <w:lvlText w:val="%6."/>
      <w:lvlJc w:val="right"/>
      <w:pPr>
        <w:ind w:left="4320" w:hanging="180"/>
      </w:pPr>
    </w:lvl>
    <w:lvl w:ilvl="6" w:tplc="BB7C1F68">
      <w:start w:val="1"/>
      <w:numFmt w:val="decimal"/>
      <w:lvlText w:val="%7."/>
      <w:lvlJc w:val="left"/>
      <w:pPr>
        <w:ind w:left="5040" w:hanging="360"/>
      </w:pPr>
    </w:lvl>
    <w:lvl w:ilvl="7" w:tplc="2DEC4626">
      <w:start w:val="1"/>
      <w:numFmt w:val="lowerLetter"/>
      <w:lvlText w:val="%8."/>
      <w:lvlJc w:val="left"/>
      <w:pPr>
        <w:ind w:left="5760" w:hanging="360"/>
      </w:pPr>
    </w:lvl>
    <w:lvl w:ilvl="8" w:tplc="B3D22C0C">
      <w:start w:val="1"/>
      <w:numFmt w:val="lowerRoman"/>
      <w:lvlText w:val="%9."/>
      <w:lvlJc w:val="right"/>
      <w:pPr>
        <w:ind w:left="6480" w:hanging="180"/>
      </w:pPr>
    </w:lvl>
  </w:abstractNum>
  <w:abstractNum w:abstractNumId="35" w15:restartNumberingAfterBreak="0">
    <w:nsid w:val="778A4C65"/>
    <w:multiLevelType w:val="hybridMultilevel"/>
    <w:tmpl w:val="EF621046"/>
    <w:lvl w:ilvl="0" w:tplc="CB645FEE">
      <w:start w:val="1"/>
      <w:numFmt w:val="decimal"/>
      <w:lvlText w:val="%1."/>
      <w:lvlJc w:val="left"/>
      <w:pPr>
        <w:ind w:left="720" w:hanging="360"/>
      </w:pPr>
    </w:lvl>
    <w:lvl w:ilvl="1" w:tplc="83F26026">
      <w:start w:val="1"/>
      <w:numFmt w:val="lowerLetter"/>
      <w:lvlText w:val="%2."/>
      <w:lvlJc w:val="left"/>
      <w:pPr>
        <w:ind w:left="1440" w:hanging="360"/>
      </w:pPr>
    </w:lvl>
    <w:lvl w:ilvl="2" w:tplc="2E18D7DC">
      <w:start w:val="1"/>
      <w:numFmt w:val="lowerRoman"/>
      <w:lvlText w:val="%3."/>
      <w:lvlJc w:val="right"/>
      <w:pPr>
        <w:ind w:left="2160" w:hanging="180"/>
      </w:pPr>
    </w:lvl>
    <w:lvl w:ilvl="3" w:tplc="A7142E72">
      <w:start w:val="1"/>
      <w:numFmt w:val="decimal"/>
      <w:lvlText w:val="%4."/>
      <w:lvlJc w:val="left"/>
      <w:pPr>
        <w:ind w:left="2880" w:hanging="360"/>
      </w:pPr>
    </w:lvl>
    <w:lvl w:ilvl="4" w:tplc="42A8742A">
      <w:start w:val="1"/>
      <w:numFmt w:val="lowerLetter"/>
      <w:lvlText w:val="%5."/>
      <w:lvlJc w:val="left"/>
      <w:pPr>
        <w:ind w:left="3600" w:hanging="360"/>
      </w:pPr>
    </w:lvl>
    <w:lvl w:ilvl="5" w:tplc="FB5490CC">
      <w:start w:val="1"/>
      <w:numFmt w:val="lowerRoman"/>
      <w:lvlText w:val="%6."/>
      <w:lvlJc w:val="right"/>
      <w:pPr>
        <w:ind w:left="4320" w:hanging="180"/>
      </w:pPr>
    </w:lvl>
    <w:lvl w:ilvl="6" w:tplc="8D8A8446">
      <w:start w:val="1"/>
      <w:numFmt w:val="decimal"/>
      <w:lvlText w:val="%7."/>
      <w:lvlJc w:val="left"/>
      <w:pPr>
        <w:ind w:left="5040" w:hanging="360"/>
      </w:pPr>
    </w:lvl>
    <w:lvl w:ilvl="7" w:tplc="F7DE84A4">
      <w:start w:val="1"/>
      <w:numFmt w:val="lowerLetter"/>
      <w:lvlText w:val="%8."/>
      <w:lvlJc w:val="left"/>
      <w:pPr>
        <w:ind w:left="5760" w:hanging="360"/>
      </w:pPr>
    </w:lvl>
    <w:lvl w:ilvl="8" w:tplc="04E62464">
      <w:start w:val="1"/>
      <w:numFmt w:val="lowerRoman"/>
      <w:lvlText w:val="%9."/>
      <w:lvlJc w:val="right"/>
      <w:pPr>
        <w:ind w:left="6480" w:hanging="180"/>
      </w:pPr>
    </w:lvl>
  </w:abstractNum>
  <w:abstractNum w:abstractNumId="36" w15:restartNumberingAfterBreak="0">
    <w:nsid w:val="798B097C"/>
    <w:multiLevelType w:val="hybridMultilevel"/>
    <w:tmpl w:val="0B38D1B0"/>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B5675B8"/>
    <w:multiLevelType w:val="hybridMultilevel"/>
    <w:tmpl w:val="68842828"/>
    <w:lvl w:ilvl="0" w:tplc="DFD806DC">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num>
  <w:num w:numId="2">
    <w:abstractNumId w:val="7"/>
  </w:num>
  <w:num w:numId="3">
    <w:abstractNumId w:val="13"/>
  </w:num>
  <w:num w:numId="4">
    <w:abstractNumId w:val="35"/>
  </w:num>
  <w:num w:numId="5">
    <w:abstractNumId w:val="8"/>
  </w:num>
  <w:num w:numId="6">
    <w:abstractNumId w:val="34"/>
  </w:num>
  <w:num w:numId="7">
    <w:abstractNumId w:val="32"/>
  </w:num>
  <w:num w:numId="8">
    <w:abstractNumId w:val="29"/>
  </w:num>
  <w:num w:numId="9">
    <w:abstractNumId w:val="37"/>
  </w:num>
  <w:num w:numId="10">
    <w:abstractNumId w:val="4"/>
  </w:num>
  <w:num w:numId="11">
    <w:abstractNumId w:val="16"/>
  </w:num>
  <w:num w:numId="12">
    <w:abstractNumId w:val="25"/>
  </w:num>
  <w:num w:numId="13">
    <w:abstractNumId w:val="19"/>
  </w:num>
  <w:num w:numId="14">
    <w:abstractNumId w:val="31"/>
  </w:num>
  <w:num w:numId="15">
    <w:abstractNumId w:val="15"/>
  </w:num>
  <w:num w:numId="16">
    <w:abstractNumId w:val="20"/>
  </w:num>
  <w:num w:numId="17">
    <w:abstractNumId w:val="12"/>
  </w:num>
  <w:num w:numId="18">
    <w:abstractNumId w:val="9"/>
  </w:num>
  <w:num w:numId="19">
    <w:abstractNumId w:val="21"/>
  </w:num>
  <w:num w:numId="20">
    <w:abstractNumId w:val="23"/>
  </w:num>
  <w:num w:numId="21">
    <w:abstractNumId w:val="24"/>
  </w:num>
  <w:num w:numId="22">
    <w:abstractNumId w:val="14"/>
  </w:num>
  <w:num w:numId="23">
    <w:abstractNumId w:val="22"/>
  </w:num>
  <w:num w:numId="24">
    <w:abstractNumId w:val="38"/>
  </w:num>
  <w:num w:numId="25">
    <w:abstractNumId w:val="3"/>
  </w:num>
  <w:num w:numId="26">
    <w:abstractNumId w:val="2"/>
  </w:num>
  <w:num w:numId="27">
    <w:abstractNumId w:val="1"/>
  </w:num>
  <w:num w:numId="28">
    <w:abstractNumId w:val="0"/>
  </w:num>
  <w:num w:numId="29">
    <w:abstractNumId w:val="33"/>
  </w:num>
  <w:num w:numId="30">
    <w:abstractNumId w:val="36"/>
  </w:num>
  <w:num w:numId="31">
    <w:abstractNumId w:val="10"/>
  </w:num>
  <w:num w:numId="32">
    <w:abstractNumId w:val="6"/>
  </w:num>
  <w:num w:numId="33">
    <w:abstractNumId w:val="30"/>
  </w:num>
  <w:num w:numId="34">
    <w:abstractNumId w:val="17"/>
  </w:num>
  <w:num w:numId="35">
    <w:abstractNumId w:val="26"/>
  </w:num>
  <w:num w:numId="36">
    <w:abstractNumId w:val="28"/>
  </w:num>
  <w:num w:numId="37">
    <w:abstractNumId w:val="27"/>
  </w:num>
  <w:num w:numId="38">
    <w:abstractNumId w:val="11"/>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de la"/>
    <w:docVar w:name="LW_ANNEX_NBR_FIRST" w:val="1"/>
    <w:docVar w:name="LW_ANNEX_NBR_LAST" w:val="1"/>
    <w:docVar w:name="LW_ANNEX_UNIQUE" w:val="1"/>
    <w:docVar w:name="LW_CORRIGENDUM" w:val="&lt;UNUSED&gt;"/>
    <w:docVar w:name="LW_COVERPAGE_EXISTS" w:val="True"/>
    <w:docVar w:name="LW_COVERPAGE_GUID" w:val="9967E2F7-FCE1-438C-8E09-D7D79E3552E2"/>
    <w:docVar w:name="LW_COVERPAGE_TYPE" w:val="1"/>
    <w:docVar w:name="LW_CROSSREFERENCE" w:val="{SWD(2026) 159 final}"/>
    <w:docVar w:name="LW_DocType" w:val="NORMAL"/>
    <w:docVar w:name="LW_EMISSION" w:val="15.6.2026"/>
    <w:docVar w:name="LW_EMISSION_ISODATE" w:val="2026-06-15"/>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portant modification de la décision d\u8217?exécution du 13 juillet 2021 relative à l\u8217?approbation de l\u8217?évaluation du plan pour la reprise et la résilience pour la Lettonie"/>
    <w:docVar w:name="LW_PART_NBR" w:val="1"/>
    <w:docVar w:name="LW_PART_NBR_TOTAL" w:val="1"/>
    <w:docVar w:name="LW_REF.INST.NEW" w:val="COM"/>
    <w:docVar w:name="LW_REF.INST.NEW_ADOPTED" w:val="final"/>
    <w:docVar w:name="LW_REF.INST.NEW_TEXT" w:val="(2026) 2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0048758A"/>
    <w:rsid w:val="00016755"/>
    <w:rsid w:val="0004101B"/>
    <w:rsid w:val="00074B47"/>
    <w:rsid w:val="00081A22"/>
    <w:rsid w:val="000871A0"/>
    <w:rsid w:val="000C12E0"/>
    <w:rsid w:val="00162E63"/>
    <w:rsid w:val="00162FFE"/>
    <w:rsid w:val="00173D42"/>
    <w:rsid w:val="001766CC"/>
    <w:rsid w:val="001D3FF1"/>
    <w:rsid w:val="001E0F90"/>
    <w:rsid w:val="001E7F8E"/>
    <w:rsid w:val="002023C4"/>
    <w:rsid w:val="00227370"/>
    <w:rsid w:val="002F1AC1"/>
    <w:rsid w:val="0033153A"/>
    <w:rsid w:val="003324BB"/>
    <w:rsid w:val="00340E04"/>
    <w:rsid w:val="0034166C"/>
    <w:rsid w:val="00342881"/>
    <w:rsid w:val="00346F2A"/>
    <w:rsid w:val="00355CE9"/>
    <w:rsid w:val="003607A9"/>
    <w:rsid w:val="003B5C74"/>
    <w:rsid w:val="003D741C"/>
    <w:rsid w:val="003F2016"/>
    <w:rsid w:val="00411600"/>
    <w:rsid w:val="004143DA"/>
    <w:rsid w:val="00436FD9"/>
    <w:rsid w:val="004434B8"/>
    <w:rsid w:val="004539E7"/>
    <w:rsid w:val="0048758A"/>
    <w:rsid w:val="004962D6"/>
    <w:rsid w:val="004B2332"/>
    <w:rsid w:val="004D4036"/>
    <w:rsid w:val="005102BE"/>
    <w:rsid w:val="00517918"/>
    <w:rsid w:val="00546C29"/>
    <w:rsid w:val="00584A13"/>
    <w:rsid w:val="005963AD"/>
    <w:rsid w:val="005B3B8D"/>
    <w:rsid w:val="005B4783"/>
    <w:rsid w:val="005B643A"/>
    <w:rsid w:val="005C32E1"/>
    <w:rsid w:val="005E1117"/>
    <w:rsid w:val="005F4C10"/>
    <w:rsid w:val="0060119B"/>
    <w:rsid w:val="00611029"/>
    <w:rsid w:val="00616D68"/>
    <w:rsid w:val="00621A30"/>
    <w:rsid w:val="00634738"/>
    <w:rsid w:val="006E7297"/>
    <w:rsid w:val="007273A9"/>
    <w:rsid w:val="007928C0"/>
    <w:rsid w:val="007A5F74"/>
    <w:rsid w:val="007E08A7"/>
    <w:rsid w:val="00811E70"/>
    <w:rsid w:val="0085720A"/>
    <w:rsid w:val="00881BCF"/>
    <w:rsid w:val="008C559E"/>
    <w:rsid w:val="008E6885"/>
    <w:rsid w:val="008F3251"/>
    <w:rsid w:val="009050CA"/>
    <w:rsid w:val="009114FE"/>
    <w:rsid w:val="009214DC"/>
    <w:rsid w:val="00952567"/>
    <w:rsid w:val="009655E6"/>
    <w:rsid w:val="00985597"/>
    <w:rsid w:val="00990967"/>
    <w:rsid w:val="009A49FC"/>
    <w:rsid w:val="009B68ED"/>
    <w:rsid w:val="009D27A2"/>
    <w:rsid w:val="009E10B4"/>
    <w:rsid w:val="00A06FAC"/>
    <w:rsid w:val="00A17574"/>
    <w:rsid w:val="00A36C2C"/>
    <w:rsid w:val="00A60746"/>
    <w:rsid w:val="00A75C20"/>
    <w:rsid w:val="00A95071"/>
    <w:rsid w:val="00A956D0"/>
    <w:rsid w:val="00AC35C6"/>
    <w:rsid w:val="00B13BA9"/>
    <w:rsid w:val="00B54A84"/>
    <w:rsid w:val="00B63B06"/>
    <w:rsid w:val="00B8649D"/>
    <w:rsid w:val="00B869CC"/>
    <w:rsid w:val="00BB4340"/>
    <w:rsid w:val="00BF5D82"/>
    <w:rsid w:val="00C15016"/>
    <w:rsid w:val="00C44A22"/>
    <w:rsid w:val="00C46F10"/>
    <w:rsid w:val="00C473B9"/>
    <w:rsid w:val="00C565BA"/>
    <w:rsid w:val="00C56BD9"/>
    <w:rsid w:val="00C64AD7"/>
    <w:rsid w:val="00C73002"/>
    <w:rsid w:val="00C80573"/>
    <w:rsid w:val="00CB011D"/>
    <w:rsid w:val="00CB2A3C"/>
    <w:rsid w:val="00CE397B"/>
    <w:rsid w:val="00D20351"/>
    <w:rsid w:val="00D57C89"/>
    <w:rsid w:val="00D65580"/>
    <w:rsid w:val="00D65E84"/>
    <w:rsid w:val="00D9449E"/>
    <w:rsid w:val="00DD5708"/>
    <w:rsid w:val="00E1758D"/>
    <w:rsid w:val="00E66D29"/>
    <w:rsid w:val="00EA24E7"/>
    <w:rsid w:val="00EA4399"/>
    <w:rsid w:val="00EC74E8"/>
    <w:rsid w:val="00F1218A"/>
    <w:rsid w:val="00F37077"/>
    <w:rsid w:val="00F411B5"/>
    <w:rsid w:val="00F5057F"/>
    <w:rsid w:val="00F56861"/>
    <w:rsid w:val="00F65BA2"/>
    <w:rsid w:val="00FB62EE"/>
    <w:rsid w:val="00FE51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D95DD1"/>
  <w15:chartTrackingRefBased/>
  <w15:docId w15:val="{A4BA1CAB-63D1-4893-B5D8-88ED3B727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 w:eastAsia="fr-B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75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75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75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875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5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5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5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5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5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5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75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75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875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5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5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5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5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58A"/>
    <w:rPr>
      <w:rFonts w:eastAsiaTheme="majorEastAsia" w:cstheme="majorBidi"/>
      <w:color w:val="272727" w:themeColor="text1" w:themeTint="D8"/>
    </w:rPr>
  </w:style>
  <w:style w:type="paragraph" w:styleId="Title">
    <w:name w:val="Title"/>
    <w:basedOn w:val="Normal"/>
    <w:next w:val="Normal"/>
    <w:link w:val="TitleChar"/>
    <w:uiPriority w:val="10"/>
    <w:qFormat/>
    <w:rsid w:val="0048758A"/>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48758A"/>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48758A"/>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48758A"/>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48758A"/>
    <w:pPr>
      <w:spacing w:before="160"/>
      <w:jc w:val="center"/>
    </w:pPr>
    <w:rPr>
      <w:i/>
      <w:iCs/>
      <w:color w:val="404040" w:themeColor="text1" w:themeTint="BF"/>
    </w:rPr>
  </w:style>
  <w:style w:type="character" w:customStyle="1" w:styleId="QuoteChar">
    <w:name w:val="Quote Char"/>
    <w:basedOn w:val="DefaultParagraphFont"/>
    <w:link w:val="Quote"/>
    <w:uiPriority w:val="29"/>
    <w:rsid w:val="0048758A"/>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48758A"/>
    <w:pPr>
      <w:ind w:left="720"/>
      <w:contextualSpacing/>
    </w:pPr>
  </w:style>
  <w:style w:type="character" w:styleId="IntenseEmphasis">
    <w:name w:val="Intense Emphasis"/>
    <w:basedOn w:val="DefaultParagraphFont"/>
    <w:uiPriority w:val="21"/>
    <w:qFormat/>
    <w:rsid w:val="0048758A"/>
    <w:rPr>
      <w:i/>
      <w:iCs/>
      <w:color w:val="0F4761" w:themeColor="accent1" w:themeShade="BF"/>
    </w:rPr>
  </w:style>
  <w:style w:type="paragraph" w:styleId="IntenseQuote">
    <w:name w:val="Intense Quote"/>
    <w:basedOn w:val="Normal"/>
    <w:next w:val="Normal"/>
    <w:link w:val="IntenseQuoteChar"/>
    <w:uiPriority w:val="30"/>
    <w:qFormat/>
    <w:rsid w:val="004875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58A"/>
    <w:rPr>
      <w:i/>
      <w:iCs/>
      <w:color w:val="0F4761" w:themeColor="accent1" w:themeShade="BF"/>
    </w:rPr>
  </w:style>
  <w:style w:type="character" w:styleId="IntenseReference">
    <w:name w:val="Intense Reference"/>
    <w:basedOn w:val="DefaultParagraphFont"/>
    <w:uiPriority w:val="32"/>
    <w:qFormat/>
    <w:rsid w:val="0048758A"/>
    <w:rPr>
      <w:b/>
      <w:bCs/>
      <w:smallCaps/>
      <w:color w:val="0F4761" w:themeColor="accent1" w:themeShade="BF"/>
    </w:rPr>
  </w:style>
  <w:style w:type="paragraph" w:styleId="FootnoteText">
    <w:name w:val="footnote text"/>
    <w:basedOn w:val="Normal"/>
    <w:link w:val="FootnoteTextChar"/>
    <w:uiPriority w:val="99"/>
    <w:semiHidden/>
    <w:unhideWhenUsed/>
    <w:rsid w:val="004875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758A"/>
    <w:rPr>
      <w:sz w:val="20"/>
      <w:szCs w:val="20"/>
    </w:rPr>
  </w:style>
  <w:style w:type="character" w:styleId="FootnoteReference">
    <w:name w:val="footnote reference"/>
    <w:basedOn w:val="DefaultParagraphFont"/>
    <w:uiPriority w:val="99"/>
    <w:semiHidden/>
    <w:unhideWhenUsed/>
    <w:rsid w:val="0048758A"/>
    <w:rPr>
      <w:shd w:val="clear" w:color="auto" w:fill="auto"/>
      <w:vertAlign w:val="superscript"/>
    </w:rPr>
  </w:style>
  <w:style w:type="paragraph" w:customStyle="1" w:styleId="TechnicalBlockBase">
    <w:name w:val="TechnicalBlockBase"/>
    <w:link w:val="TechnicalBlockBaseChar"/>
    <w:rsid w:val="00C56BD9"/>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14:ligatures w14:val="none"/>
    </w:rPr>
  </w:style>
  <w:style w:type="character" w:customStyle="1" w:styleId="TechnicalBlockBaseChar">
    <w:name w:val="TechnicalBlockBase Char"/>
    <w:basedOn w:val="EntInstitChar"/>
    <w:link w:val="TechnicalBlockBase"/>
    <w:rsid w:val="00C56BD9"/>
    <w:rPr>
      <w:rFonts w:ascii="Arial New Roman" w:eastAsia="Times New Roman" w:hAnsi="Arial New Roman" w:cs="Arial"/>
      <w:b/>
      <w:i/>
      <w:dstrike/>
      <w:color w:val="606060"/>
      <w:kern w:val="0"/>
      <w:sz w:val="10"/>
      <w:szCs w:val="20"/>
      <w:u w:val="words" w:color="606060"/>
      <w14:ligatures w14:val="none"/>
    </w:rPr>
  </w:style>
  <w:style w:type="paragraph" w:customStyle="1" w:styleId="TBEntRefer">
    <w:name w:val="TBEntRefer"/>
    <w:basedOn w:val="TechnicalBlockBase"/>
    <w:link w:val="EntReferChar"/>
    <w:rsid w:val="00C56BD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C56BD9"/>
    <w:rPr>
      <w:rFonts w:ascii="Arial" w:eastAsia="Times New Roman" w:hAnsi="Arial" w:cs="Arial"/>
      <w:b/>
      <w:kern w:val="0"/>
      <w:sz w:val="23"/>
      <w:szCs w:val="20"/>
      <w:u w:color="606060"/>
      <w14:ligatures w14:val="none"/>
    </w:rPr>
  </w:style>
  <w:style w:type="paragraph" w:customStyle="1" w:styleId="TBDistrbMarkers">
    <w:name w:val="TBDistrbMarkers"/>
    <w:basedOn w:val="TBEntRefer"/>
    <w:qFormat/>
    <w:rsid w:val="00C56BD9"/>
    <w:pPr>
      <w:tabs>
        <w:tab w:val="left" w:pos="2262"/>
      </w:tabs>
    </w:pPr>
    <w:rPr>
      <w:i/>
      <w:iCs/>
      <w:szCs w:val="23"/>
    </w:rPr>
  </w:style>
  <w:style w:type="paragraph" w:customStyle="1" w:styleId="TBEntACP">
    <w:name w:val="TBEntACP"/>
    <w:basedOn w:val="TechnicalBlockBase"/>
    <w:rsid w:val="00C56BD9"/>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C56BD9"/>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C56BD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C56BD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C56BD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C56BD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C56BD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C56BD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C56BD9"/>
    <w:rPr>
      <w:rFonts w:ascii="Arial" w:eastAsia="Times New Roman" w:hAnsi="Arial" w:cs="Arial"/>
      <w:b/>
      <w:kern w:val="0"/>
      <w:sz w:val="23"/>
      <w:szCs w:val="20"/>
      <w:u w:color="606060"/>
      <w14:ligatures w14:val="none"/>
    </w:rPr>
  </w:style>
  <w:style w:type="paragraph" w:customStyle="1" w:styleId="TBSubjectTable">
    <w:name w:val="TBSubjectTable"/>
    <w:basedOn w:val="TechnicalBlockBase"/>
    <w:rsid w:val="00C56BD9"/>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C56BD9"/>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C56BD9"/>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C56BD9"/>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C56BD9"/>
    <w:pPr>
      <w:widowControl/>
      <w:spacing w:before="40" w:after="40" w:line="240" w:lineRule="auto"/>
      <w:ind w:left="0" w:right="0"/>
    </w:pPr>
    <w:rPr>
      <w:rFonts w:ascii="Arial" w:hAnsi="Arial"/>
      <w:b w:val="0"/>
      <w:i w:val="0"/>
      <w:dstrike w:val="0"/>
      <w:color w:val="auto"/>
      <w:sz w:val="23"/>
      <w:u w:val="none"/>
    </w:rPr>
  </w:style>
  <w:style w:type="paragraph" w:customStyle="1" w:styleId="pj">
    <w:name w:val="p.j."/>
    <w:basedOn w:val="Normal"/>
    <w:uiPriority w:val="99"/>
    <w:unhideWhenUsed/>
    <w:rsid w:val="00C56BD9"/>
    <w:pPr>
      <w:spacing w:before="1200" w:after="120" w:line="276" w:lineRule="auto"/>
      <w:ind w:left="1440" w:hanging="1440"/>
    </w:pPr>
    <w:rPr>
      <w:rFonts w:ascii="Times New Roman" w:hAnsi="Times New Roman"/>
      <w:kern w:val="0"/>
      <w:szCs w:val="22"/>
      <w14:ligatures w14:val="none"/>
    </w:rPr>
  </w:style>
  <w:style w:type="paragraph" w:styleId="Header">
    <w:name w:val="header"/>
    <w:basedOn w:val="Normal"/>
    <w:link w:val="HeaderChar"/>
    <w:uiPriority w:val="99"/>
    <w:unhideWhenUsed/>
    <w:rsid w:val="00C56BD9"/>
    <w:pPr>
      <w:tabs>
        <w:tab w:val="center" w:pos="4535"/>
        <w:tab w:val="right" w:pos="9071"/>
      </w:tabs>
      <w:spacing w:after="120" w:line="240" w:lineRule="auto"/>
      <w:jc w:val="both"/>
    </w:pPr>
    <w:rPr>
      <w:rFonts w:ascii="Times New Roman" w:hAnsi="Times New Roman" w:cs="Times New Roman"/>
      <w:kern w:val="0"/>
      <w:szCs w:val="22"/>
      <w14:ligatures w14:val="none"/>
    </w:rPr>
  </w:style>
  <w:style w:type="character" w:customStyle="1" w:styleId="HeaderChar">
    <w:name w:val="Header Char"/>
    <w:basedOn w:val="DefaultParagraphFont"/>
    <w:link w:val="Header"/>
    <w:uiPriority w:val="99"/>
    <w:rsid w:val="00C56BD9"/>
    <w:rPr>
      <w:rFonts w:ascii="Times New Roman" w:hAnsi="Times New Roman" w:cs="Times New Roman"/>
      <w:kern w:val="0"/>
      <w:szCs w:val="22"/>
      <w14:ligatures w14:val="none"/>
    </w:rPr>
  </w:style>
  <w:style w:type="paragraph" w:styleId="Footer">
    <w:name w:val="footer"/>
    <w:basedOn w:val="Normal"/>
    <w:link w:val="FooterChar"/>
    <w:uiPriority w:val="99"/>
    <w:unhideWhenUsed/>
    <w:rsid w:val="00C56BD9"/>
    <w:pPr>
      <w:tabs>
        <w:tab w:val="center" w:pos="4535"/>
        <w:tab w:val="right" w:pos="9071"/>
        <w:tab w:val="right" w:pos="9921"/>
      </w:tabs>
      <w:spacing w:before="360" w:after="0" w:line="240" w:lineRule="auto"/>
      <w:ind w:left="-850" w:right="-850"/>
    </w:pPr>
    <w:rPr>
      <w:rFonts w:ascii="Times New Roman" w:hAnsi="Times New Roman" w:cs="Times New Roman"/>
      <w:kern w:val="0"/>
      <w:szCs w:val="22"/>
      <w14:ligatures w14:val="none"/>
    </w:rPr>
  </w:style>
  <w:style w:type="character" w:customStyle="1" w:styleId="FooterChar">
    <w:name w:val="Footer Char"/>
    <w:basedOn w:val="DefaultParagraphFont"/>
    <w:link w:val="Footer"/>
    <w:uiPriority w:val="99"/>
    <w:rsid w:val="00C56BD9"/>
    <w:rPr>
      <w:rFonts w:ascii="Times New Roman" w:hAnsi="Times New Roman" w:cs="Times New Roman"/>
      <w:kern w:val="0"/>
      <w:szCs w:val="22"/>
      <w14:ligatures w14:val="none"/>
    </w:rPr>
  </w:style>
  <w:style w:type="paragraph" w:styleId="TOCHeading">
    <w:name w:val="TOC Heading"/>
    <w:basedOn w:val="Normal"/>
    <w:next w:val="Normal"/>
    <w:uiPriority w:val="39"/>
    <w:semiHidden/>
    <w:unhideWhenUsed/>
    <w:qFormat/>
    <w:rsid w:val="00C56BD9"/>
    <w:pPr>
      <w:spacing w:before="120" w:after="240" w:line="240" w:lineRule="auto"/>
      <w:jc w:val="center"/>
    </w:pPr>
    <w:rPr>
      <w:rFonts w:ascii="Times New Roman" w:hAnsi="Times New Roman" w:cs="Times New Roman"/>
      <w:b/>
      <w:kern w:val="0"/>
      <w:sz w:val="28"/>
      <w:szCs w:val="22"/>
      <w14:ligatures w14:val="none"/>
    </w:rPr>
  </w:style>
  <w:style w:type="paragraph" w:styleId="TOC1">
    <w:name w:val="toc 1"/>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14:ligatures w14:val="none"/>
    </w:rPr>
  </w:style>
  <w:style w:type="paragraph" w:styleId="TOC2">
    <w:name w:val="toc 2"/>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14:ligatures w14:val="none"/>
    </w:rPr>
  </w:style>
  <w:style w:type="paragraph" w:styleId="TOC3">
    <w:name w:val="toc 3"/>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14:ligatures w14:val="none"/>
    </w:rPr>
  </w:style>
  <w:style w:type="paragraph" w:styleId="TOC4">
    <w:name w:val="toc 4"/>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14:ligatures w14:val="none"/>
    </w:rPr>
  </w:style>
  <w:style w:type="paragraph" w:styleId="TOC5">
    <w:name w:val="toc 5"/>
    <w:basedOn w:val="Normal"/>
    <w:next w:val="Normal"/>
    <w:uiPriority w:val="39"/>
    <w:semiHidden/>
    <w:unhideWhenUsed/>
    <w:rsid w:val="00C56BD9"/>
    <w:pPr>
      <w:tabs>
        <w:tab w:val="right" w:leader="dot" w:pos="9071"/>
      </w:tabs>
      <w:spacing w:before="300" w:after="120" w:line="240" w:lineRule="auto"/>
    </w:pPr>
    <w:rPr>
      <w:rFonts w:ascii="Times New Roman" w:hAnsi="Times New Roman" w:cs="Times New Roman"/>
      <w:kern w:val="0"/>
      <w:szCs w:val="22"/>
      <w14:ligatures w14:val="none"/>
    </w:rPr>
  </w:style>
  <w:style w:type="paragraph" w:styleId="TOC6">
    <w:name w:val="toc 6"/>
    <w:basedOn w:val="Normal"/>
    <w:next w:val="Normal"/>
    <w:uiPriority w:val="39"/>
    <w:semiHidden/>
    <w:unhideWhenUsed/>
    <w:rsid w:val="00C56BD9"/>
    <w:pPr>
      <w:tabs>
        <w:tab w:val="right" w:leader="dot" w:pos="9071"/>
      </w:tabs>
      <w:spacing w:before="240" w:after="120" w:line="240" w:lineRule="auto"/>
    </w:pPr>
    <w:rPr>
      <w:rFonts w:ascii="Times New Roman" w:hAnsi="Times New Roman" w:cs="Times New Roman"/>
      <w:kern w:val="0"/>
      <w:szCs w:val="22"/>
      <w14:ligatures w14:val="none"/>
    </w:rPr>
  </w:style>
  <w:style w:type="paragraph" w:styleId="TOC7">
    <w:name w:val="toc 7"/>
    <w:basedOn w:val="Normal"/>
    <w:next w:val="Normal"/>
    <w:uiPriority w:val="39"/>
    <w:semiHidden/>
    <w:unhideWhenUsed/>
    <w:rsid w:val="00C56BD9"/>
    <w:pPr>
      <w:tabs>
        <w:tab w:val="right" w:leader="dot" w:pos="9071"/>
      </w:tabs>
      <w:spacing w:before="180" w:after="120" w:line="240" w:lineRule="auto"/>
    </w:pPr>
    <w:rPr>
      <w:rFonts w:ascii="Times New Roman" w:hAnsi="Times New Roman" w:cs="Times New Roman"/>
      <w:kern w:val="0"/>
      <w:szCs w:val="22"/>
      <w14:ligatures w14:val="none"/>
    </w:rPr>
  </w:style>
  <w:style w:type="paragraph" w:styleId="TOC8">
    <w:name w:val="toc 8"/>
    <w:basedOn w:val="Normal"/>
    <w:next w:val="Normal"/>
    <w:uiPriority w:val="39"/>
    <w:semiHidden/>
    <w:unhideWhenUsed/>
    <w:rsid w:val="00C56BD9"/>
    <w:pPr>
      <w:tabs>
        <w:tab w:val="right" w:leader="dot" w:pos="9071"/>
      </w:tabs>
      <w:spacing w:before="120" w:after="120" w:line="240" w:lineRule="auto"/>
    </w:pPr>
    <w:rPr>
      <w:rFonts w:ascii="Times New Roman" w:hAnsi="Times New Roman" w:cs="Times New Roman"/>
      <w:kern w:val="0"/>
      <w:szCs w:val="22"/>
      <w14:ligatures w14:val="none"/>
    </w:rPr>
  </w:style>
  <w:style w:type="paragraph" w:styleId="TOC9">
    <w:name w:val="toc 9"/>
    <w:basedOn w:val="Normal"/>
    <w:next w:val="Normal"/>
    <w:uiPriority w:val="39"/>
    <w:semiHidden/>
    <w:unhideWhenUsed/>
    <w:rsid w:val="00C56BD9"/>
    <w:pPr>
      <w:tabs>
        <w:tab w:val="right" w:leader="dot" w:pos="9071"/>
      </w:tabs>
      <w:spacing w:before="120" w:after="120" w:line="240" w:lineRule="auto"/>
      <w:jc w:val="both"/>
    </w:pPr>
    <w:rPr>
      <w:rFonts w:ascii="Times New Roman" w:hAnsi="Times New Roman" w:cs="Times New Roman"/>
      <w:kern w:val="0"/>
      <w:szCs w:val="22"/>
      <w14:ligatures w14:val="none"/>
    </w:rPr>
  </w:style>
  <w:style w:type="paragraph" w:customStyle="1" w:styleId="HeaderLandscape">
    <w:name w:val="HeaderLandscape"/>
    <w:basedOn w:val="Normal"/>
    <w:rsid w:val="00C56BD9"/>
    <w:pPr>
      <w:tabs>
        <w:tab w:val="center" w:pos="7285"/>
        <w:tab w:val="right" w:pos="14003"/>
      </w:tabs>
      <w:spacing w:after="120" w:line="240" w:lineRule="auto"/>
      <w:jc w:val="both"/>
    </w:pPr>
    <w:rPr>
      <w:rFonts w:ascii="Times New Roman" w:hAnsi="Times New Roman" w:cs="Times New Roman"/>
      <w:kern w:val="0"/>
      <w:szCs w:val="22"/>
      <w14:ligatures w14:val="none"/>
    </w:rPr>
  </w:style>
  <w:style w:type="paragraph" w:customStyle="1" w:styleId="FooterLandscape">
    <w:name w:val="FooterLandscape"/>
    <w:basedOn w:val="Normal"/>
    <w:rsid w:val="00C56BD9"/>
    <w:pPr>
      <w:tabs>
        <w:tab w:val="center" w:pos="7285"/>
        <w:tab w:val="center" w:pos="10913"/>
        <w:tab w:val="right" w:pos="15137"/>
      </w:tabs>
      <w:spacing w:before="360" w:after="0" w:line="240" w:lineRule="auto"/>
      <w:ind w:left="-567" w:right="-567"/>
    </w:pPr>
    <w:rPr>
      <w:rFonts w:ascii="Times New Roman" w:hAnsi="Times New Roman" w:cs="Times New Roman"/>
      <w:kern w:val="0"/>
      <w:szCs w:val="22"/>
      <w14:ligatures w14:val="none"/>
    </w:rPr>
  </w:style>
  <w:style w:type="paragraph" w:customStyle="1" w:styleId="HeaderSensitivity">
    <w:name w:val="Header Sensitivity"/>
    <w:basedOn w:val="Normal"/>
    <w:rsid w:val="00C56BD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56BD9"/>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C56BD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rsid w:val="00C56BD9"/>
    <w:pPr>
      <w:spacing w:before="120" w:after="120" w:line="240" w:lineRule="auto"/>
      <w:ind w:left="850"/>
      <w:jc w:val="both"/>
    </w:pPr>
    <w:rPr>
      <w:rFonts w:ascii="Times New Roman" w:hAnsi="Times New Roman" w:cs="Times New Roman"/>
      <w:kern w:val="0"/>
      <w:szCs w:val="22"/>
      <w14:ligatures w14:val="none"/>
    </w:rPr>
  </w:style>
  <w:style w:type="paragraph" w:customStyle="1" w:styleId="Text2">
    <w:name w:val="Text 2"/>
    <w:basedOn w:val="Normal"/>
    <w:rsid w:val="00C56BD9"/>
    <w:pPr>
      <w:spacing w:before="120" w:after="120" w:line="240" w:lineRule="auto"/>
      <w:ind w:left="1417"/>
      <w:jc w:val="both"/>
    </w:pPr>
    <w:rPr>
      <w:rFonts w:ascii="Times New Roman" w:hAnsi="Times New Roman" w:cs="Times New Roman"/>
      <w:kern w:val="0"/>
      <w:szCs w:val="22"/>
      <w14:ligatures w14:val="none"/>
    </w:rPr>
  </w:style>
  <w:style w:type="paragraph" w:customStyle="1" w:styleId="Text3">
    <w:name w:val="Text 3"/>
    <w:basedOn w:val="Normal"/>
    <w:rsid w:val="00C56BD9"/>
    <w:pPr>
      <w:spacing w:before="120" w:after="120" w:line="240" w:lineRule="auto"/>
      <w:ind w:left="1984"/>
      <w:jc w:val="both"/>
    </w:pPr>
    <w:rPr>
      <w:rFonts w:ascii="Times New Roman" w:hAnsi="Times New Roman" w:cs="Times New Roman"/>
      <w:kern w:val="0"/>
      <w:szCs w:val="22"/>
      <w14:ligatures w14:val="none"/>
    </w:rPr>
  </w:style>
  <w:style w:type="paragraph" w:customStyle="1" w:styleId="Text4">
    <w:name w:val="Text 4"/>
    <w:basedOn w:val="Normal"/>
    <w:rsid w:val="00C56BD9"/>
    <w:pPr>
      <w:spacing w:before="120" w:after="120" w:line="240" w:lineRule="auto"/>
      <w:ind w:left="2551"/>
      <w:jc w:val="both"/>
    </w:pPr>
    <w:rPr>
      <w:rFonts w:ascii="Times New Roman" w:hAnsi="Times New Roman" w:cs="Times New Roman"/>
      <w:kern w:val="0"/>
      <w:szCs w:val="22"/>
      <w14:ligatures w14:val="none"/>
    </w:rPr>
  </w:style>
  <w:style w:type="paragraph" w:customStyle="1" w:styleId="NormalCentered">
    <w:name w:val="Normal Centered"/>
    <w:basedOn w:val="Normal"/>
    <w:rsid w:val="00C56BD9"/>
    <w:pPr>
      <w:spacing w:before="120" w:after="120" w:line="240" w:lineRule="auto"/>
      <w:jc w:val="center"/>
    </w:pPr>
    <w:rPr>
      <w:rFonts w:ascii="Times New Roman" w:hAnsi="Times New Roman" w:cs="Times New Roman"/>
      <w:kern w:val="0"/>
      <w:szCs w:val="22"/>
      <w14:ligatures w14:val="none"/>
    </w:rPr>
  </w:style>
  <w:style w:type="paragraph" w:customStyle="1" w:styleId="NormalLeft">
    <w:name w:val="Normal Left"/>
    <w:basedOn w:val="Normal"/>
    <w:rsid w:val="00C56BD9"/>
    <w:pPr>
      <w:spacing w:before="120" w:after="120" w:line="240" w:lineRule="auto"/>
    </w:pPr>
    <w:rPr>
      <w:rFonts w:ascii="Times New Roman" w:hAnsi="Times New Roman" w:cs="Times New Roman"/>
      <w:kern w:val="0"/>
      <w:szCs w:val="22"/>
      <w14:ligatures w14:val="none"/>
    </w:rPr>
  </w:style>
  <w:style w:type="paragraph" w:customStyle="1" w:styleId="NormalRight">
    <w:name w:val="Normal Right"/>
    <w:basedOn w:val="Normal"/>
    <w:rsid w:val="00C56BD9"/>
    <w:pPr>
      <w:spacing w:before="120" w:after="120" w:line="240" w:lineRule="auto"/>
      <w:jc w:val="right"/>
    </w:pPr>
    <w:rPr>
      <w:rFonts w:ascii="Times New Roman" w:hAnsi="Times New Roman" w:cs="Times New Roman"/>
      <w:kern w:val="0"/>
      <w:szCs w:val="22"/>
      <w14:ligatures w14:val="none"/>
    </w:rPr>
  </w:style>
  <w:style w:type="paragraph" w:customStyle="1" w:styleId="QuotedText">
    <w:name w:val="Quoted Text"/>
    <w:basedOn w:val="Normal"/>
    <w:rsid w:val="00C56BD9"/>
    <w:pPr>
      <w:spacing w:before="120" w:after="120" w:line="240" w:lineRule="auto"/>
      <w:ind w:left="1417"/>
      <w:jc w:val="both"/>
    </w:pPr>
    <w:rPr>
      <w:rFonts w:ascii="Times New Roman" w:hAnsi="Times New Roman" w:cs="Times New Roman"/>
      <w:kern w:val="0"/>
      <w:szCs w:val="22"/>
      <w14:ligatures w14:val="none"/>
    </w:rPr>
  </w:style>
  <w:style w:type="paragraph" w:customStyle="1" w:styleId="Point0">
    <w:name w:val="Point 0"/>
    <w:basedOn w:val="Normal"/>
    <w:rsid w:val="00C56BD9"/>
    <w:pPr>
      <w:spacing w:before="120" w:after="120" w:line="240" w:lineRule="auto"/>
      <w:ind w:left="850" w:hanging="850"/>
      <w:jc w:val="both"/>
    </w:pPr>
    <w:rPr>
      <w:rFonts w:ascii="Times New Roman" w:hAnsi="Times New Roman" w:cs="Times New Roman"/>
      <w:kern w:val="0"/>
      <w:szCs w:val="22"/>
      <w14:ligatures w14:val="none"/>
    </w:rPr>
  </w:style>
  <w:style w:type="paragraph" w:customStyle="1" w:styleId="Point1">
    <w:name w:val="Point 1"/>
    <w:basedOn w:val="Normal"/>
    <w:rsid w:val="00C56BD9"/>
    <w:pPr>
      <w:spacing w:before="120" w:after="120" w:line="240" w:lineRule="auto"/>
      <w:ind w:left="1417" w:hanging="567"/>
      <w:jc w:val="both"/>
    </w:pPr>
    <w:rPr>
      <w:rFonts w:ascii="Times New Roman" w:hAnsi="Times New Roman" w:cs="Times New Roman"/>
      <w:kern w:val="0"/>
      <w:szCs w:val="22"/>
      <w14:ligatures w14:val="none"/>
    </w:rPr>
  </w:style>
  <w:style w:type="paragraph" w:customStyle="1" w:styleId="Point2">
    <w:name w:val="Point 2"/>
    <w:basedOn w:val="Normal"/>
    <w:rsid w:val="00C56BD9"/>
    <w:pPr>
      <w:spacing w:before="120" w:after="120" w:line="240" w:lineRule="auto"/>
      <w:ind w:left="1984" w:hanging="567"/>
      <w:jc w:val="both"/>
    </w:pPr>
    <w:rPr>
      <w:rFonts w:ascii="Times New Roman" w:hAnsi="Times New Roman" w:cs="Times New Roman"/>
      <w:kern w:val="0"/>
      <w:szCs w:val="22"/>
      <w14:ligatures w14:val="none"/>
    </w:rPr>
  </w:style>
  <w:style w:type="paragraph" w:customStyle="1" w:styleId="Point3">
    <w:name w:val="Point 3"/>
    <w:basedOn w:val="Normal"/>
    <w:rsid w:val="00C56BD9"/>
    <w:pPr>
      <w:spacing w:before="120" w:after="120" w:line="240" w:lineRule="auto"/>
      <w:ind w:left="2551" w:hanging="567"/>
      <w:jc w:val="both"/>
    </w:pPr>
    <w:rPr>
      <w:rFonts w:ascii="Times New Roman" w:hAnsi="Times New Roman" w:cs="Times New Roman"/>
      <w:kern w:val="0"/>
      <w:szCs w:val="22"/>
      <w14:ligatures w14:val="none"/>
    </w:rPr>
  </w:style>
  <w:style w:type="paragraph" w:customStyle="1" w:styleId="Point4">
    <w:name w:val="Point 4"/>
    <w:basedOn w:val="Normal"/>
    <w:rsid w:val="00C56BD9"/>
    <w:pPr>
      <w:spacing w:before="120" w:after="120" w:line="240" w:lineRule="auto"/>
      <w:ind w:left="3118" w:hanging="567"/>
      <w:jc w:val="both"/>
    </w:pPr>
    <w:rPr>
      <w:rFonts w:ascii="Times New Roman" w:hAnsi="Times New Roman" w:cs="Times New Roman"/>
      <w:kern w:val="0"/>
      <w:szCs w:val="22"/>
      <w14:ligatures w14:val="none"/>
    </w:rPr>
  </w:style>
  <w:style w:type="paragraph" w:customStyle="1" w:styleId="Tiret0">
    <w:name w:val="Tiret 0"/>
    <w:basedOn w:val="Point0"/>
    <w:rsid w:val="00C56BD9"/>
    <w:pPr>
      <w:numPr>
        <w:numId w:val="12"/>
      </w:numPr>
      <w:tabs>
        <w:tab w:val="clear" w:pos="850"/>
      </w:tabs>
      <w:ind w:left="0" w:firstLine="0"/>
    </w:pPr>
  </w:style>
  <w:style w:type="paragraph" w:customStyle="1" w:styleId="Tiret1">
    <w:name w:val="Tiret 1"/>
    <w:basedOn w:val="Point1"/>
    <w:rsid w:val="00C56BD9"/>
    <w:pPr>
      <w:numPr>
        <w:numId w:val="13"/>
      </w:numPr>
      <w:tabs>
        <w:tab w:val="clear" w:pos="1417"/>
      </w:tabs>
      <w:ind w:left="0" w:firstLine="0"/>
    </w:pPr>
  </w:style>
  <w:style w:type="paragraph" w:customStyle="1" w:styleId="Tiret2">
    <w:name w:val="Tiret 2"/>
    <w:basedOn w:val="Point2"/>
    <w:rsid w:val="00C56BD9"/>
    <w:pPr>
      <w:numPr>
        <w:numId w:val="14"/>
      </w:numPr>
      <w:tabs>
        <w:tab w:val="clear" w:pos="1984"/>
      </w:tabs>
      <w:ind w:left="0" w:firstLine="0"/>
    </w:pPr>
  </w:style>
  <w:style w:type="paragraph" w:customStyle="1" w:styleId="Tiret3">
    <w:name w:val="Tiret 3"/>
    <w:basedOn w:val="Point3"/>
    <w:rsid w:val="00C56BD9"/>
    <w:pPr>
      <w:numPr>
        <w:numId w:val="15"/>
      </w:numPr>
      <w:tabs>
        <w:tab w:val="clear" w:pos="2551"/>
      </w:tabs>
      <w:ind w:left="0" w:firstLine="0"/>
    </w:pPr>
  </w:style>
  <w:style w:type="paragraph" w:customStyle="1" w:styleId="Tiret4">
    <w:name w:val="Tiret 4"/>
    <w:basedOn w:val="Point4"/>
    <w:rsid w:val="00C56BD9"/>
    <w:pPr>
      <w:numPr>
        <w:numId w:val="16"/>
      </w:numPr>
      <w:tabs>
        <w:tab w:val="clear" w:pos="3118"/>
      </w:tabs>
      <w:ind w:left="0" w:firstLine="0"/>
    </w:pPr>
  </w:style>
  <w:style w:type="paragraph" w:customStyle="1" w:styleId="PointDouble0">
    <w:name w:val="PointDouble 0"/>
    <w:basedOn w:val="Normal"/>
    <w:rsid w:val="00C56BD9"/>
    <w:pPr>
      <w:tabs>
        <w:tab w:val="left" w:pos="850"/>
      </w:tabs>
      <w:spacing w:before="120" w:after="120" w:line="240" w:lineRule="auto"/>
      <w:ind w:left="1417" w:hanging="1417"/>
      <w:jc w:val="both"/>
    </w:pPr>
    <w:rPr>
      <w:rFonts w:ascii="Times New Roman" w:hAnsi="Times New Roman" w:cs="Times New Roman"/>
      <w:kern w:val="0"/>
      <w:szCs w:val="22"/>
      <w14:ligatures w14:val="none"/>
    </w:rPr>
  </w:style>
  <w:style w:type="paragraph" w:customStyle="1" w:styleId="PointDouble1">
    <w:name w:val="PointDouble 1"/>
    <w:basedOn w:val="Normal"/>
    <w:rsid w:val="00C56BD9"/>
    <w:pPr>
      <w:tabs>
        <w:tab w:val="left" w:pos="1417"/>
      </w:tabs>
      <w:spacing w:before="120" w:after="120" w:line="240" w:lineRule="auto"/>
      <w:ind w:left="1984" w:hanging="1134"/>
      <w:jc w:val="both"/>
    </w:pPr>
    <w:rPr>
      <w:rFonts w:ascii="Times New Roman" w:hAnsi="Times New Roman" w:cs="Times New Roman"/>
      <w:kern w:val="0"/>
      <w:szCs w:val="22"/>
      <w14:ligatures w14:val="none"/>
    </w:rPr>
  </w:style>
  <w:style w:type="paragraph" w:customStyle="1" w:styleId="PointDouble2">
    <w:name w:val="PointDouble 2"/>
    <w:basedOn w:val="Normal"/>
    <w:rsid w:val="00C56BD9"/>
    <w:pPr>
      <w:tabs>
        <w:tab w:val="left" w:pos="1984"/>
      </w:tabs>
      <w:spacing w:before="120" w:after="120" w:line="240" w:lineRule="auto"/>
      <w:ind w:left="2551" w:hanging="1134"/>
      <w:jc w:val="both"/>
    </w:pPr>
    <w:rPr>
      <w:rFonts w:ascii="Times New Roman" w:hAnsi="Times New Roman" w:cs="Times New Roman"/>
      <w:kern w:val="0"/>
      <w:szCs w:val="22"/>
      <w14:ligatures w14:val="none"/>
    </w:rPr>
  </w:style>
  <w:style w:type="paragraph" w:customStyle="1" w:styleId="PointDouble3">
    <w:name w:val="PointDouble 3"/>
    <w:basedOn w:val="Normal"/>
    <w:rsid w:val="00C56BD9"/>
    <w:pPr>
      <w:tabs>
        <w:tab w:val="left" w:pos="2551"/>
      </w:tabs>
      <w:spacing w:before="120" w:after="120" w:line="240" w:lineRule="auto"/>
      <w:ind w:left="3118" w:hanging="1134"/>
      <w:jc w:val="both"/>
    </w:pPr>
    <w:rPr>
      <w:rFonts w:ascii="Times New Roman" w:hAnsi="Times New Roman" w:cs="Times New Roman"/>
      <w:kern w:val="0"/>
      <w:szCs w:val="22"/>
      <w14:ligatures w14:val="none"/>
    </w:rPr>
  </w:style>
  <w:style w:type="paragraph" w:customStyle="1" w:styleId="PointDouble4">
    <w:name w:val="PointDouble 4"/>
    <w:basedOn w:val="Normal"/>
    <w:rsid w:val="00C56BD9"/>
    <w:pPr>
      <w:tabs>
        <w:tab w:val="left" w:pos="3118"/>
      </w:tabs>
      <w:spacing w:before="120" w:after="120" w:line="240" w:lineRule="auto"/>
      <w:ind w:left="3685" w:hanging="1134"/>
      <w:jc w:val="both"/>
    </w:pPr>
    <w:rPr>
      <w:rFonts w:ascii="Times New Roman" w:hAnsi="Times New Roman" w:cs="Times New Roman"/>
      <w:kern w:val="0"/>
      <w:szCs w:val="22"/>
      <w14:ligatures w14:val="none"/>
    </w:rPr>
  </w:style>
  <w:style w:type="paragraph" w:customStyle="1" w:styleId="PointTriple0">
    <w:name w:val="PointTriple 0"/>
    <w:basedOn w:val="Normal"/>
    <w:rsid w:val="00C56BD9"/>
    <w:pPr>
      <w:tabs>
        <w:tab w:val="left" w:pos="850"/>
        <w:tab w:val="left" w:pos="1417"/>
      </w:tabs>
      <w:spacing w:before="120" w:after="120" w:line="240" w:lineRule="auto"/>
      <w:ind w:left="1984" w:hanging="1984"/>
      <w:jc w:val="both"/>
    </w:pPr>
    <w:rPr>
      <w:rFonts w:ascii="Times New Roman" w:hAnsi="Times New Roman" w:cs="Times New Roman"/>
      <w:kern w:val="0"/>
      <w:szCs w:val="22"/>
      <w14:ligatures w14:val="none"/>
    </w:rPr>
  </w:style>
  <w:style w:type="paragraph" w:customStyle="1" w:styleId="PointTriple1">
    <w:name w:val="PointTriple 1"/>
    <w:basedOn w:val="Normal"/>
    <w:rsid w:val="00C56BD9"/>
    <w:pPr>
      <w:tabs>
        <w:tab w:val="left" w:pos="1417"/>
        <w:tab w:val="left" w:pos="1984"/>
      </w:tabs>
      <w:spacing w:before="120" w:after="120" w:line="240" w:lineRule="auto"/>
      <w:ind w:left="2551" w:hanging="1701"/>
      <w:jc w:val="both"/>
    </w:pPr>
    <w:rPr>
      <w:rFonts w:ascii="Times New Roman" w:hAnsi="Times New Roman" w:cs="Times New Roman"/>
      <w:kern w:val="0"/>
      <w:szCs w:val="22"/>
      <w14:ligatures w14:val="none"/>
    </w:rPr>
  </w:style>
  <w:style w:type="paragraph" w:customStyle="1" w:styleId="PointTriple2">
    <w:name w:val="PointTriple 2"/>
    <w:basedOn w:val="Normal"/>
    <w:rsid w:val="00C56BD9"/>
    <w:pPr>
      <w:tabs>
        <w:tab w:val="left" w:pos="1984"/>
        <w:tab w:val="left" w:pos="2551"/>
      </w:tabs>
      <w:spacing w:before="120" w:after="120" w:line="240" w:lineRule="auto"/>
      <w:ind w:left="3118" w:hanging="1701"/>
      <w:jc w:val="both"/>
    </w:pPr>
    <w:rPr>
      <w:rFonts w:ascii="Times New Roman" w:hAnsi="Times New Roman" w:cs="Times New Roman"/>
      <w:kern w:val="0"/>
      <w:szCs w:val="22"/>
      <w14:ligatures w14:val="none"/>
    </w:rPr>
  </w:style>
  <w:style w:type="paragraph" w:customStyle="1" w:styleId="PointTriple3">
    <w:name w:val="PointTriple 3"/>
    <w:basedOn w:val="Normal"/>
    <w:rsid w:val="00C56BD9"/>
    <w:pPr>
      <w:tabs>
        <w:tab w:val="left" w:pos="2551"/>
        <w:tab w:val="left" w:pos="3118"/>
      </w:tabs>
      <w:spacing w:before="120" w:after="120" w:line="240" w:lineRule="auto"/>
      <w:ind w:left="3685" w:hanging="1701"/>
      <w:jc w:val="both"/>
    </w:pPr>
    <w:rPr>
      <w:rFonts w:ascii="Times New Roman" w:hAnsi="Times New Roman" w:cs="Times New Roman"/>
      <w:kern w:val="0"/>
      <w:szCs w:val="22"/>
      <w14:ligatures w14:val="none"/>
    </w:rPr>
  </w:style>
  <w:style w:type="paragraph" w:customStyle="1" w:styleId="PointTriple4">
    <w:name w:val="PointTriple 4"/>
    <w:basedOn w:val="Normal"/>
    <w:rsid w:val="00C56BD9"/>
    <w:pPr>
      <w:tabs>
        <w:tab w:val="left" w:pos="3118"/>
        <w:tab w:val="left" w:pos="3685"/>
      </w:tabs>
      <w:spacing w:before="120" w:after="120" w:line="240" w:lineRule="auto"/>
      <w:ind w:left="4252" w:hanging="1701"/>
      <w:jc w:val="both"/>
    </w:pPr>
    <w:rPr>
      <w:rFonts w:ascii="Times New Roman" w:hAnsi="Times New Roman" w:cs="Times New Roman"/>
      <w:kern w:val="0"/>
      <w:szCs w:val="22"/>
      <w14:ligatures w14:val="none"/>
    </w:rPr>
  </w:style>
  <w:style w:type="paragraph" w:customStyle="1" w:styleId="NumPar1">
    <w:name w:val="NumPar 1"/>
    <w:basedOn w:val="Normal"/>
    <w:next w:val="Text1"/>
    <w:rsid w:val="00C56BD9"/>
    <w:pPr>
      <w:numPr>
        <w:numId w:val="17"/>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2">
    <w:name w:val="NumPar 2"/>
    <w:basedOn w:val="Normal"/>
    <w:next w:val="Text1"/>
    <w:rsid w:val="00C56BD9"/>
    <w:pPr>
      <w:numPr>
        <w:ilvl w:val="1"/>
        <w:numId w:val="17"/>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3">
    <w:name w:val="NumPar 3"/>
    <w:basedOn w:val="Normal"/>
    <w:next w:val="Text1"/>
    <w:rsid w:val="00C56BD9"/>
    <w:pPr>
      <w:numPr>
        <w:ilvl w:val="2"/>
        <w:numId w:val="17"/>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4">
    <w:name w:val="NumPar 4"/>
    <w:basedOn w:val="Normal"/>
    <w:next w:val="Text1"/>
    <w:rsid w:val="00C56BD9"/>
    <w:pPr>
      <w:numPr>
        <w:ilvl w:val="3"/>
        <w:numId w:val="17"/>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ManualNumPar1">
    <w:name w:val="Manual NumPar 1"/>
    <w:basedOn w:val="Normal"/>
    <w:next w:val="Text1"/>
    <w:rsid w:val="00C56BD9"/>
    <w:pPr>
      <w:spacing w:before="120" w:after="120" w:line="240" w:lineRule="auto"/>
      <w:ind w:left="850" w:hanging="850"/>
      <w:jc w:val="both"/>
    </w:pPr>
    <w:rPr>
      <w:rFonts w:ascii="Times New Roman" w:hAnsi="Times New Roman" w:cs="Times New Roman"/>
      <w:kern w:val="0"/>
      <w:szCs w:val="22"/>
      <w14:ligatures w14:val="none"/>
    </w:rPr>
  </w:style>
  <w:style w:type="paragraph" w:customStyle="1" w:styleId="ManualNumPar2">
    <w:name w:val="Manual NumPar 2"/>
    <w:basedOn w:val="Normal"/>
    <w:next w:val="Text1"/>
    <w:rsid w:val="00C56BD9"/>
    <w:pPr>
      <w:spacing w:before="120" w:after="120" w:line="240" w:lineRule="auto"/>
      <w:ind w:left="850" w:hanging="850"/>
      <w:jc w:val="both"/>
    </w:pPr>
    <w:rPr>
      <w:rFonts w:ascii="Times New Roman" w:hAnsi="Times New Roman" w:cs="Times New Roman"/>
      <w:kern w:val="0"/>
      <w:szCs w:val="22"/>
      <w14:ligatures w14:val="none"/>
    </w:rPr>
  </w:style>
  <w:style w:type="paragraph" w:customStyle="1" w:styleId="ManualNumPar3">
    <w:name w:val="Manual NumPar 3"/>
    <w:basedOn w:val="Normal"/>
    <w:next w:val="Text1"/>
    <w:rsid w:val="00C56BD9"/>
    <w:pPr>
      <w:spacing w:before="120" w:after="120" w:line="240" w:lineRule="auto"/>
      <w:ind w:left="850" w:hanging="850"/>
      <w:jc w:val="both"/>
    </w:pPr>
    <w:rPr>
      <w:rFonts w:ascii="Times New Roman" w:hAnsi="Times New Roman" w:cs="Times New Roman"/>
      <w:kern w:val="0"/>
      <w:szCs w:val="22"/>
      <w14:ligatures w14:val="none"/>
    </w:rPr>
  </w:style>
  <w:style w:type="paragraph" w:customStyle="1" w:styleId="ManualNumPar4">
    <w:name w:val="Manual NumPar 4"/>
    <w:basedOn w:val="Normal"/>
    <w:next w:val="Text1"/>
    <w:rsid w:val="00C56BD9"/>
    <w:pPr>
      <w:spacing w:before="120" w:after="120" w:line="240" w:lineRule="auto"/>
      <w:ind w:left="850" w:hanging="850"/>
      <w:jc w:val="both"/>
    </w:pPr>
    <w:rPr>
      <w:rFonts w:ascii="Times New Roman" w:hAnsi="Times New Roman" w:cs="Times New Roman"/>
      <w:kern w:val="0"/>
      <w:szCs w:val="22"/>
      <w14:ligatures w14:val="none"/>
    </w:rPr>
  </w:style>
  <w:style w:type="paragraph" w:customStyle="1" w:styleId="QuotedNumPar">
    <w:name w:val="Quoted NumPar"/>
    <w:basedOn w:val="Normal"/>
    <w:rsid w:val="00C56BD9"/>
    <w:pPr>
      <w:spacing w:before="120" w:after="120" w:line="240" w:lineRule="auto"/>
      <w:ind w:left="1417" w:hanging="567"/>
      <w:jc w:val="both"/>
    </w:pPr>
    <w:rPr>
      <w:rFonts w:ascii="Times New Roman" w:hAnsi="Times New Roman" w:cs="Times New Roman"/>
      <w:kern w:val="0"/>
      <w:szCs w:val="22"/>
      <w14:ligatures w14:val="none"/>
    </w:rPr>
  </w:style>
  <w:style w:type="paragraph" w:customStyle="1" w:styleId="ManualHeading1">
    <w:name w:val="Manual Heading 1"/>
    <w:basedOn w:val="Normal"/>
    <w:next w:val="Text1"/>
    <w:rsid w:val="00C56BD9"/>
    <w:pPr>
      <w:keepNext/>
      <w:tabs>
        <w:tab w:val="left" w:pos="850"/>
      </w:tabs>
      <w:spacing w:before="360" w:after="120" w:line="240" w:lineRule="auto"/>
      <w:ind w:left="850" w:hanging="850"/>
      <w:jc w:val="both"/>
      <w:outlineLvl w:val="0"/>
    </w:pPr>
    <w:rPr>
      <w:rFonts w:ascii="Times New Roman" w:hAnsi="Times New Roman" w:cs="Times New Roman"/>
      <w:b/>
      <w:smallCaps/>
      <w:kern w:val="0"/>
      <w:szCs w:val="22"/>
      <w14:ligatures w14:val="none"/>
    </w:rPr>
  </w:style>
  <w:style w:type="paragraph" w:customStyle="1" w:styleId="ManualHeading2">
    <w:name w:val="Manual Heading 2"/>
    <w:basedOn w:val="Normal"/>
    <w:next w:val="Text1"/>
    <w:rsid w:val="00C56BD9"/>
    <w:pPr>
      <w:keepNext/>
      <w:tabs>
        <w:tab w:val="left" w:pos="850"/>
      </w:tabs>
      <w:spacing w:before="120" w:after="120" w:line="240" w:lineRule="auto"/>
      <w:ind w:left="850" w:hanging="850"/>
      <w:jc w:val="both"/>
      <w:outlineLvl w:val="1"/>
    </w:pPr>
    <w:rPr>
      <w:rFonts w:ascii="Times New Roman" w:hAnsi="Times New Roman" w:cs="Times New Roman"/>
      <w:b/>
      <w:kern w:val="0"/>
      <w:szCs w:val="22"/>
      <w14:ligatures w14:val="none"/>
    </w:rPr>
  </w:style>
  <w:style w:type="paragraph" w:customStyle="1" w:styleId="ManualHeading3">
    <w:name w:val="Manual Heading 3"/>
    <w:basedOn w:val="Normal"/>
    <w:next w:val="Text1"/>
    <w:rsid w:val="00C56BD9"/>
    <w:pPr>
      <w:keepNext/>
      <w:tabs>
        <w:tab w:val="left" w:pos="850"/>
      </w:tabs>
      <w:spacing w:before="120" w:after="120" w:line="240" w:lineRule="auto"/>
      <w:ind w:left="850" w:hanging="850"/>
      <w:jc w:val="both"/>
      <w:outlineLvl w:val="2"/>
    </w:pPr>
    <w:rPr>
      <w:rFonts w:ascii="Times New Roman" w:hAnsi="Times New Roman" w:cs="Times New Roman"/>
      <w:i/>
      <w:kern w:val="0"/>
      <w:szCs w:val="22"/>
      <w14:ligatures w14:val="none"/>
    </w:rPr>
  </w:style>
  <w:style w:type="paragraph" w:customStyle="1" w:styleId="ManualHeading4">
    <w:name w:val="Manual Heading 4"/>
    <w:basedOn w:val="Normal"/>
    <w:next w:val="Text1"/>
    <w:rsid w:val="00C56BD9"/>
    <w:pPr>
      <w:keepNext/>
      <w:tabs>
        <w:tab w:val="left" w:pos="850"/>
      </w:tabs>
      <w:spacing w:before="120" w:after="120" w:line="240" w:lineRule="auto"/>
      <w:ind w:left="850" w:hanging="850"/>
      <w:jc w:val="both"/>
      <w:outlineLvl w:val="3"/>
    </w:pPr>
    <w:rPr>
      <w:rFonts w:ascii="Times New Roman" w:hAnsi="Times New Roman" w:cs="Times New Roman"/>
      <w:kern w:val="0"/>
      <w:szCs w:val="22"/>
      <w14:ligatures w14:val="none"/>
    </w:rPr>
  </w:style>
  <w:style w:type="paragraph" w:customStyle="1" w:styleId="ChapterTitle">
    <w:name w:val="ChapterTitle"/>
    <w:basedOn w:val="Normal"/>
    <w:next w:val="Normal"/>
    <w:rsid w:val="00C56BD9"/>
    <w:pPr>
      <w:keepNext/>
      <w:spacing w:before="120" w:after="360" w:line="240" w:lineRule="auto"/>
      <w:jc w:val="center"/>
    </w:pPr>
    <w:rPr>
      <w:rFonts w:ascii="Times New Roman" w:hAnsi="Times New Roman" w:cs="Times New Roman"/>
      <w:b/>
      <w:kern w:val="0"/>
      <w:sz w:val="32"/>
      <w:szCs w:val="22"/>
      <w14:ligatures w14:val="none"/>
    </w:rPr>
  </w:style>
  <w:style w:type="paragraph" w:customStyle="1" w:styleId="PartTitle">
    <w:name w:val="PartTitle"/>
    <w:basedOn w:val="Normal"/>
    <w:next w:val="ChapterTitle"/>
    <w:rsid w:val="00C56BD9"/>
    <w:pPr>
      <w:keepNext/>
      <w:pageBreakBefore/>
      <w:spacing w:before="120" w:after="360" w:line="240" w:lineRule="auto"/>
      <w:jc w:val="center"/>
    </w:pPr>
    <w:rPr>
      <w:rFonts w:ascii="Times New Roman" w:hAnsi="Times New Roman" w:cs="Times New Roman"/>
      <w:b/>
      <w:kern w:val="0"/>
      <w:sz w:val="36"/>
      <w:szCs w:val="22"/>
      <w14:ligatures w14:val="none"/>
    </w:rPr>
  </w:style>
  <w:style w:type="paragraph" w:customStyle="1" w:styleId="SectionTitle">
    <w:name w:val="SectionTitle"/>
    <w:basedOn w:val="Normal"/>
    <w:next w:val="Heading1"/>
    <w:rsid w:val="00C56BD9"/>
    <w:pPr>
      <w:keepNext/>
      <w:spacing w:before="120" w:after="360" w:line="240" w:lineRule="auto"/>
      <w:jc w:val="center"/>
    </w:pPr>
    <w:rPr>
      <w:rFonts w:ascii="Times New Roman" w:hAnsi="Times New Roman" w:cs="Times New Roman"/>
      <w:b/>
      <w:smallCaps/>
      <w:kern w:val="0"/>
      <w:sz w:val="28"/>
      <w:szCs w:val="22"/>
      <w14:ligatures w14:val="none"/>
    </w:rPr>
  </w:style>
  <w:style w:type="paragraph" w:customStyle="1" w:styleId="TableTitle">
    <w:name w:val="Table Title"/>
    <w:basedOn w:val="Normal"/>
    <w:next w:val="Normal"/>
    <w:rsid w:val="00C56BD9"/>
    <w:pPr>
      <w:spacing w:before="120" w:after="120" w:line="240" w:lineRule="auto"/>
      <w:jc w:val="center"/>
    </w:pPr>
    <w:rPr>
      <w:rFonts w:ascii="Times New Roman" w:hAnsi="Times New Roman" w:cs="Times New Roman"/>
      <w:b/>
      <w:kern w:val="0"/>
      <w:szCs w:val="22"/>
      <w14:ligatures w14:val="none"/>
    </w:rPr>
  </w:style>
  <w:style w:type="character" w:customStyle="1" w:styleId="Marker">
    <w:name w:val="Marker"/>
    <w:basedOn w:val="DefaultParagraphFont"/>
    <w:rsid w:val="00C56BD9"/>
    <w:rPr>
      <w:color w:val="0000FF"/>
      <w:bdr w:val="none" w:sz="0" w:space="0" w:color="auto"/>
      <w:shd w:val="clear" w:color="auto" w:fill="auto"/>
    </w:rPr>
  </w:style>
  <w:style w:type="character" w:customStyle="1" w:styleId="Marker1">
    <w:name w:val="Marker1"/>
    <w:basedOn w:val="DefaultParagraphFont"/>
    <w:rsid w:val="00C56BD9"/>
    <w:rPr>
      <w:color w:val="008000"/>
      <w:shd w:val="clear" w:color="auto" w:fill="auto"/>
    </w:rPr>
  </w:style>
  <w:style w:type="character" w:customStyle="1" w:styleId="Marker2">
    <w:name w:val="Marker2"/>
    <w:basedOn w:val="DefaultParagraphFont"/>
    <w:rsid w:val="00C56BD9"/>
    <w:rPr>
      <w:color w:val="FF0000"/>
      <w:shd w:val="clear" w:color="auto" w:fill="auto"/>
    </w:rPr>
  </w:style>
  <w:style w:type="paragraph" w:customStyle="1" w:styleId="Point0number">
    <w:name w:val="Point 0 (number)"/>
    <w:basedOn w:val="Normal"/>
    <w:rsid w:val="00C56BD9"/>
    <w:pPr>
      <w:numPr>
        <w:numId w:val="18"/>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1number">
    <w:name w:val="Point 1 (number)"/>
    <w:basedOn w:val="Normal"/>
    <w:rsid w:val="00C56BD9"/>
    <w:pPr>
      <w:numPr>
        <w:ilvl w:val="2"/>
        <w:numId w:val="18"/>
      </w:numPr>
      <w:tabs>
        <w:tab w:val="clear" w:pos="1417"/>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2number">
    <w:name w:val="Point 2 (number)"/>
    <w:basedOn w:val="Normal"/>
    <w:rsid w:val="00C56BD9"/>
    <w:pPr>
      <w:numPr>
        <w:ilvl w:val="4"/>
        <w:numId w:val="18"/>
      </w:numPr>
      <w:tabs>
        <w:tab w:val="clear" w:pos="1984"/>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3number">
    <w:name w:val="Point 3 (number)"/>
    <w:basedOn w:val="Normal"/>
    <w:rsid w:val="00C56BD9"/>
    <w:pPr>
      <w:numPr>
        <w:ilvl w:val="6"/>
        <w:numId w:val="18"/>
      </w:numPr>
      <w:tabs>
        <w:tab w:val="clear" w:pos="2551"/>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0letter">
    <w:name w:val="Point 0 (letter)"/>
    <w:basedOn w:val="Normal"/>
    <w:rsid w:val="00C56BD9"/>
    <w:pPr>
      <w:numPr>
        <w:ilvl w:val="1"/>
        <w:numId w:val="18"/>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1letter">
    <w:name w:val="Point 1 (letter)"/>
    <w:basedOn w:val="Normal"/>
    <w:rsid w:val="00C56BD9"/>
    <w:pPr>
      <w:numPr>
        <w:ilvl w:val="3"/>
        <w:numId w:val="18"/>
      </w:numPr>
      <w:tabs>
        <w:tab w:val="clear" w:pos="1417"/>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2letter">
    <w:name w:val="Point 2 (letter)"/>
    <w:basedOn w:val="Normal"/>
    <w:rsid w:val="00C56BD9"/>
    <w:pPr>
      <w:numPr>
        <w:ilvl w:val="5"/>
        <w:numId w:val="18"/>
      </w:numPr>
      <w:tabs>
        <w:tab w:val="clear" w:pos="1984"/>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3letter">
    <w:name w:val="Point 3 (letter)"/>
    <w:basedOn w:val="Normal"/>
    <w:rsid w:val="00C56BD9"/>
    <w:pPr>
      <w:numPr>
        <w:ilvl w:val="7"/>
        <w:numId w:val="18"/>
      </w:numPr>
      <w:tabs>
        <w:tab w:val="clear" w:pos="2551"/>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4letter">
    <w:name w:val="Point 4 (letter)"/>
    <w:basedOn w:val="Normal"/>
    <w:rsid w:val="00C56BD9"/>
    <w:pPr>
      <w:numPr>
        <w:ilvl w:val="8"/>
        <w:numId w:val="18"/>
      </w:numPr>
      <w:tabs>
        <w:tab w:val="clear" w:pos="3118"/>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Bullet0">
    <w:name w:val="Bullet 0"/>
    <w:basedOn w:val="Normal"/>
    <w:rsid w:val="00C56BD9"/>
    <w:pPr>
      <w:numPr>
        <w:numId w:val="19"/>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Bullet1">
    <w:name w:val="Bullet 1"/>
    <w:basedOn w:val="Normal"/>
    <w:rsid w:val="00C56BD9"/>
    <w:pPr>
      <w:numPr>
        <w:numId w:val="20"/>
      </w:numPr>
      <w:tabs>
        <w:tab w:val="clear" w:pos="1417"/>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Bullet2">
    <w:name w:val="Bullet 2"/>
    <w:basedOn w:val="Normal"/>
    <w:rsid w:val="00C56BD9"/>
    <w:pPr>
      <w:numPr>
        <w:numId w:val="21"/>
      </w:numPr>
      <w:tabs>
        <w:tab w:val="clear" w:pos="1984"/>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Bullet3">
    <w:name w:val="Bullet 3"/>
    <w:basedOn w:val="Normal"/>
    <w:rsid w:val="00C56BD9"/>
    <w:pPr>
      <w:numPr>
        <w:numId w:val="22"/>
      </w:numPr>
      <w:tabs>
        <w:tab w:val="clear" w:pos="2551"/>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Bullet4">
    <w:name w:val="Bullet 4"/>
    <w:basedOn w:val="Normal"/>
    <w:rsid w:val="00C56BD9"/>
    <w:pPr>
      <w:numPr>
        <w:numId w:val="23"/>
      </w:numPr>
      <w:tabs>
        <w:tab w:val="clear" w:pos="3118"/>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Langue">
    <w:name w:val="Langue"/>
    <w:basedOn w:val="Normal"/>
    <w:next w:val="Rfrenceinterne"/>
    <w:rsid w:val="00C56BD9"/>
    <w:pPr>
      <w:framePr w:wrap="around" w:vAnchor="page" w:hAnchor="text" w:xAlign="center" w:y="14741"/>
      <w:spacing w:after="600" w:line="240" w:lineRule="auto"/>
      <w:jc w:val="center"/>
    </w:pPr>
    <w:rPr>
      <w:rFonts w:ascii="Times New Roman" w:hAnsi="Times New Roman" w:cs="Times New Roman"/>
      <w:b/>
      <w:caps/>
      <w:kern w:val="0"/>
      <w:szCs w:val="22"/>
      <w14:ligatures w14:val="none"/>
    </w:rPr>
  </w:style>
  <w:style w:type="paragraph" w:customStyle="1" w:styleId="Nomdelinstitution">
    <w:name w:val="Nom de l'institution"/>
    <w:basedOn w:val="Normal"/>
    <w:next w:val="Emission"/>
    <w:rsid w:val="00C56BD9"/>
    <w:pPr>
      <w:spacing w:after="0" w:line="240" w:lineRule="auto"/>
    </w:pPr>
    <w:rPr>
      <w:rFonts w:ascii="Arial" w:hAnsi="Arial" w:cs="Arial"/>
      <w:kern w:val="0"/>
      <w:szCs w:val="22"/>
      <w14:ligatures w14:val="none"/>
    </w:rPr>
  </w:style>
  <w:style w:type="paragraph" w:customStyle="1" w:styleId="Emission">
    <w:name w:val="Emission"/>
    <w:basedOn w:val="Normal"/>
    <w:next w:val="Rfrenceinstitutionnelle"/>
    <w:rsid w:val="00C56BD9"/>
    <w:pPr>
      <w:spacing w:after="0" w:line="240" w:lineRule="auto"/>
      <w:ind w:left="5103"/>
    </w:pPr>
    <w:rPr>
      <w:rFonts w:ascii="Times New Roman" w:hAnsi="Times New Roman" w:cs="Times New Roman"/>
      <w:kern w:val="0"/>
      <w:szCs w:val="22"/>
      <w14:ligatures w14:val="none"/>
    </w:rPr>
  </w:style>
  <w:style w:type="paragraph" w:customStyle="1" w:styleId="Rfrenceinstitutionnelle">
    <w:name w:val="Référence institutionnelle"/>
    <w:basedOn w:val="Normal"/>
    <w:next w:val="Confidentialit"/>
    <w:rsid w:val="00C56BD9"/>
    <w:pPr>
      <w:spacing w:after="240" w:line="240" w:lineRule="auto"/>
      <w:ind w:left="5103"/>
    </w:pPr>
    <w:rPr>
      <w:rFonts w:ascii="Times New Roman" w:hAnsi="Times New Roman" w:cs="Times New Roman"/>
      <w:kern w:val="0"/>
      <w:szCs w:val="22"/>
      <w14:ligatures w14:val="none"/>
    </w:rPr>
  </w:style>
  <w:style w:type="paragraph" w:customStyle="1" w:styleId="Pagedecouverture">
    <w:name w:val="Page de couverture"/>
    <w:basedOn w:val="Normal"/>
    <w:next w:val="Normal"/>
    <w:rsid w:val="00C56BD9"/>
    <w:pPr>
      <w:spacing w:after="0" w:line="240" w:lineRule="auto"/>
      <w:jc w:val="both"/>
    </w:pPr>
    <w:rPr>
      <w:rFonts w:ascii="Times New Roman" w:hAnsi="Times New Roman" w:cs="Times New Roman"/>
      <w:kern w:val="0"/>
      <w:szCs w:val="22"/>
      <w14:ligatures w14:val="none"/>
    </w:rPr>
  </w:style>
  <w:style w:type="paragraph" w:customStyle="1" w:styleId="Declassification">
    <w:name w:val="Declassification"/>
    <w:basedOn w:val="Normal"/>
    <w:next w:val="Normal"/>
    <w:rsid w:val="00C56BD9"/>
    <w:pPr>
      <w:spacing w:after="0" w:line="240" w:lineRule="auto"/>
      <w:jc w:val="both"/>
    </w:pPr>
    <w:rPr>
      <w:rFonts w:ascii="Times New Roman" w:hAnsi="Times New Roman" w:cs="Times New Roman"/>
      <w:kern w:val="0"/>
      <w:szCs w:val="22"/>
      <w14:ligatures w14:val="none"/>
    </w:rPr>
  </w:style>
  <w:style w:type="paragraph" w:customStyle="1" w:styleId="Disclaimer">
    <w:name w:val="Disclaimer"/>
    <w:basedOn w:val="Normal"/>
    <w:rsid w:val="00C56BD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C56BD9"/>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C56BD9"/>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C56BD9"/>
    <w:pPr>
      <w:spacing w:after="0" w:line="276" w:lineRule="auto"/>
      <w:ind w:left="5103"/>
    </w:pPr>
    <w:rPr>
      <w:rFonts w:ascii="Times New Roman" w:hAnsi="Times New Roman" w:cs="Times New Roman"/>
      <w:i/>
      <w:kern w:val="0"/>
      <w:sz w:val="28"/>
      <w:szCs w:val="22"/>
      <w14:ligatures w14:val="none"/>
    </w:rPr>
  </w:style>
  <w:style w:type="paragraph" w:customStyle="1" w:styleId="Annexetitreexpos">
    <w:name w:val="Annexe titre (exposé)"/>
    <w:basedOn w:val="Normal"/>
    <w:next w:val="Normal"/>
    <w:rsid w:val="00C56BD9"/>
    <w:pPr>
      <w:spacing w:before="120" w:after="120" w:line="240" w:lineRule="auto"/>
      <w:jc w:val="center"/>
    </w:pPr>
    <w:rPr>
      <w:rFonts w:ascii="Times New Roman" w:hAnsi="Times New Roman" w:cs="Times New Roman"/>
      <w:b/>
      <w:kern w:val="0"/>
      <w:szCs w:val="22"/>
      <w:u w:val="single"/>
      <w14:ligatures w14:val="none"/>
    </w:rPr>
  </w:style>
  <w:style w:type="paragraph" w:customStyle="1" w:styleId="Annexetitre">
    <w:name w:val="Annexe titre"/>
    <w:basedOn w:val="Normal"/>
    <w:next w:val="Normal"/>
    <w:rsid w:val="00C56BD9"/>
    <w:pPr>
      <w:spacing w:before="120" w:after="120" w:line="240" w:lineRule="auto"/>
      <w:jc w:val="center"/>
    </w:pPr>
    <w:rPr>
      <w:rFonts w:ascii="Times New Roman" w:hAnsi="Times New Roman" w:cs="Times New Roman"/>
      <w:b/>
      <w:kern w:val="0"/>
      <w:szCs w:val="22"/>
      <w:u w:val="single"/>
      <w14:ligatures w14:val="none"/>
    </w:rPr>
  </w:style>
  <w:style w:type="paragraph" w:customStyle="1" w:styleId="Annexetitrefichefinancire">
    <w:name w:val="Annexe titre (fiche financière)"/>
    <w:basedOn w:val="Normal"/>
    <w:next w:val="Normal"/>
    <w:rsid w:val="00C56BD9"/>
    <w:pPr>
      <w:spacing w:before="120" w:after="120" w:line="240" w:lineRule="auto"/>
      <w:jc w:val="center"/>
    </w:pPr>
    <w:rPr>
      <w:rFonts w:ascii="Times New Roman" w:hAnsi="Times New Roman" w:cs="Times New Roman"/>
      <w:b/>
      <w:kern w:val="0"/>
      <w:szCs w:val="22"/>
      <w:u w:val="single"/>
      <w14:ligatures w14:val="none"/>
    </w:rPr>
  </w:style>
  <w:style w:type="paragraph" w:customStyle="1" w:styleId="Applicationdirecte">
    <w:name w:val="Application directe"/>
    <w:basedOn w:val="Normal"/>
    <w:next w:val="Fait"/>
    <w:rsid w:val="00C56BD9"/>
    <w:pPr>
      <w:spacing w:before="480" w:after="120" w:line="240" w:lineRule="auto"/>
      <w:jc w:val="both"/>
    </w:pPr>
    <w:rPr>
      <w:rFonts w:ascii="Times New Roman" w:hAnsi="Times New Roman" w:cs="Times New Roman"/>
      <w:kern w:val="0"/>
      <w:szCs w:val="22"/>
      <w14:ligatures w14:val="none"/>
    </w:rPr>
  </w:style>
  <w:style w:type="paragraph" w:customStyle="1" w:styleId="Avertissementtitre">
    <w:name w:val="Avertissement titre"/>
    <w:basedOn w:val="Normal"/>
    <w:next w:val="Normal"/>
    <w:rsid w:val="00C56BD9"/>
    <w:pPr>
      <w:keepNext/>
      <w:spacing w:before="480" w:after="120" w:line="240" w:lineRule="auto"/>
      <w:jc w:val="both"/>
    </w:pPr>
    <w:rPr>
      <w:rFonts w:ascii="Times New Roman" w:hAnsi="Times New Roman" w:cs="Times New Roman"/>
      <w:kern w:val="0"/>
      <w:szCs w:val="22"/>
      <w:u w:val="single"/>
      <w14:ligatures w14:val="none"/>
    </w:rPr>
  </w:style>
  <w:style w:type="paragraph" w:customStyle="1" w:styleId="Confidence">
    <w:name w:val="Confidence"/>
    <w:basedOn w:val="Normal"/>
    <w:next w:val="Normal"/>
    <w:rsid w:val="00C56BD9"/>
    <w:pPr>
      <w:spacing w:before="360" w:after="120" w:line="240" w:lineRule="auto"/>
      <w:jc w:val="center"/>
    </w:pPr>
    <w:rPr>
      <w:rFonts w:ascii="Times New Roman" w:hAnsi="Times New Roman" w:cs="Times New Roman"/>
      <w:kern w:val="0"/>
      <w:szCs w:val="22"/>
      <w14:ligatures w14:val="none"/>
    </w:rPr>
  </w:style>
  <w:style w:type="paragraph" w:customStyle="1" w:styleId="Confidentialit">
    <w:name w:val="Confidentialité"/>
    <w:basedOn w:val="Normal"/>
    <w:next w:val="TypedudocumentPagedecouverture"/>
    <w:rsid w:val="00C56BD9"/>
    <w:pPr>
      <w:spacing w:before="240" w:after="240" w:line="240" w:lineRule="auto"/>
      <w:ind w:left="5103"/>
    </w:pPr>
    <w:rPr>
      <w:rFonts w:ascii="Times New Roman" w:hAnsi="Times New Roman" w:cs="Times New Roman"/>
      <w:i/>
      <w:kern w:val="0"/>
      <w:sz w:val="32"/>
      <w:szCs w:val="22"/>
      <w14:ligatures w14:val="none"/>
    </w:rPr>
  </w:style>
  <w:style w:type="paragraph" w:customStyle="1" w:styleId="Considrant">
    <w:name w:val="Considérant"/>
    <w:basedOn w:val="Normal"/>
    <w:rsid w:val="00C56BD9"/>
    <w:pPr>
      <w:numPr>
        <w:numId w:val="24"/>
      </w:numPr>
      <w:tabs>
        <w:tab w:val="clear" w:pos="709"/>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Corrigendum">
    <w:name w:val="Corrigendum"/>
    <w:basedOn w:val="Normal"/>
    <w:next w:val="Normal"/>
    <w:rsid w:val="00C56BD9"/>
    <w:pPr>
      <w:spacing w:after="240" w:line="240" w:lineRule="auto"/>
    </w:pPr>
    <w:rPr>
      <w:rFonts w:ascii="Times New Roman" w:hAnsi="Times New Roman" w:cs="Times New Roman"/>
      <w:kern w:val="0"/>
      <w:szCs w:val="22"/>
      <w14:ligatures w14:val="none"/>
    </w:rPr>
  </w:style>
  <w:style w:type="paragraph" w:customStyle="1" w:styleId="Datedadoption">
    <w:name w:val="Date d'adoption"/>
    <w:basedOn w:val="Normal"/>
    <w:next w:val="IntrtEEE"/>
    <w:rsid w:val="00C56BD9"/>
    <w:pPr>
      <w:spacing w:before="360" w:after="0" w:line="240" w:lineRule="auto"/>
      <w:jc w:val="center"/>
    </w:pPr>
    <w:rPr>
      <w:rFonts w:ascii="Times New Roman" w:hAnsi="Times New Roman" w:cs="Times New Roman"/>
      <w:b/>
      <w:kern w:val="0"/>
      <w:szCs w:val="22"/>
      <w14:ligatures w14:val="none"/>
    </w:rPr>
  </w:style>
  <w:style w:type="paragraph" w:customStyle="1" w:styleId="Exposdesmotifstitre">
    <w:name w:val="Exposé des motifs titre"/>
    <w:basedOn w:val="Normal"/>
    <w:next w:val="Normal"/>
    <w:rsid w:val="00C56BD9"/>
    <w:pPr>
      <w:spacing w:before="120" w:after="120" w:line="240" w:lineRule="auto"/>
      <w:jc w:val="center"/>
    </w:pPr>
    <w:rPr>
      <w:rFonts w:ascii="Times New Roman" w:hAnsi="Times New Roman" w:cs="Times New Roman"/>
      <w:b/>
      <w:kern w:val="0"/>
      <w:szCs w:val="22"/>
      <w:u w:val="single"/>
      <w14:ligatures w14:val="none"/>
    </w:rPr>
  </w:style>
  <w:style w:type="paragraph" w:customStyle="1" w:styleId="Fait">
    <w:name w:val="Fait à"/>
    <w:basedOn w:val="Normal"/>
    <w:next w:val="Institutionquisigne"/>
    <w:rsid w:val="00C56BD9"/>
    <w:pPr>
      <w:keepNext/>
      <w:spacing w:before="120" w:after="0" w:line="240" w:lineRule="auto"/>
      <w:jc w:val="both"/>
    </w:pPr>
    <w:rPr>
      <w:rFonts w:ascii="Times New Roman" w:hAnsi="Times New Roman" w:cs="Times New Roman"/>
      <w:kern w:val="0"/>
      <w:szCs w:val="22"/>
      <w14:ligatures w14:val="none"/>
    </w:rPr>
  </w:style>
  <w:style w:type="paragraph" w:customStyle="1" w:styleId="Formuledadoption">
    <w:name w:val="Formule d'adoption"/>
    <w:basedOn w:val="Normal"/>
    <w:next w:val="Titrearticle"/>
    <w:rsid w:val="00C56BD9"/>
    <w:pPr>
      <w:keepNext/>
      <w:spacing w:before="120" w:after="120" w:line="240" w:lineRule="auto"/>
      <w:jc w:val="both"/>
    </w:pPr>
    <w:rPr>
      <w:rFonts w:ascii="Times New Roman" w:hAnsi="Times New Roman" w:cs="Times New Roman"/>
      <w:kern w:val="0"/>
      <w:szCs w:val="22"/>
      <w14:ligatures w14:val="none"/>
    </w:rPr>
  </w:style>
  <w:style w:type="paragraph" w:customStyle="1" w:styleId="Institutionquiagit">
    <w:name w:val="Institution qui agit"/>
    <w:basedOn w:val="Normal"/>
    <w:next w:val="Normal"/>
    <w:rsid w:val="00C56BD9"/>
    <w:pPr>
      <w:keepNext/>
      <w:spacing w:before="600" w:after="120" w:line="240" w:lineRule="auto"/>
      <w:jc w:val="both"/>
    </w:pPr>
    <w:rPr>
      <w:rFonts w:ascii="Times New Roman" w:hAnsi="Times New Roman" w:cs="Times New Roman"/>
      <w:kern w:val="0"/>
      <w:szCs w:val="22"/>
      <w14:ligatures w14:val="none"/>
    </w:rPr>
  </w:style>
  <w:style w:type="paragraph" w:customStyle="1" w:styleId="Institutionquisigne">
    <w:name w:val="Institution qui signe"/>
    <w:basedOn w:val="Normal"/>
    <w:next w:val="Personnequisigne"/>
    <w:rsid w:val="00C56BD9"/>
    <w:pPr>
      <w:keepNext/>
      <w:tabs>
        <w:tab w:val="left" w:pos="4252"/>
      </w:tabs>
      <w:spacing w:before="720" w:after="0" w:line="240" w:lineRule="auto"/>
      <w:jc w:val="both"/>
    </w:pPr>
    <w:rPr>
      <w:rFonts w:ascii="Times New Roman" w:hAnsi="Times New Roman" w:cs="Times New Roman"/>
      <w:i/>
      <w:kern w:val="0"/>
      <w:szCs w:val="22"/>
      <w14:ligatures w14:val="none"/>
    </w:rPr>
  </w:style>
  <w:style w:type="paragraph" w:customStyle="1" w:styleId="ManualConsidrant">
    <w:name w:val="Manual Considérant"/>
    <w:basedOn w:val="Normal"/>
    <w:rsid w:val="00C56BD9"/>
    <w:pPr>
      <w:spacing w:before="120" w:after="120" w:line="240" w:lineRule="auto"/>
      <w:ind w:left="709" w:hanging="709"/>
      <w:jc w:val="both"/>
    </w:pPr>
    <w:rPr>
      <w:rFonts w:ascii="Times New Roman" w:hAnsi="Times New Roman" w:cs="Times New Roman"/>
      <w:kern w:val="0"/>
      <w:szCs w:val="22"/>
      <w14:ligatures w14:val="none"/>
    </w:rPr>
  </w:style>
  <w:style w:type="paragraph" w:customStyle="1" w:styleId="Personnequisigne">
    <w:name w:val="Personne qui signe"/>
    <w:basedOn w:val="Normal"/>
    <w:next w:val="Institutionquisigne"/>
    <w:rsid w:val="00C56BD9"/>
    <w:pPr>
      <w:tabs>
        <w:tab w:val="left" w:pos="4252"/>
      </w:tabs>
      <w:spacing w:after="0" w:line="240" w:lineRule="auto"/>
    </w:pPr>
    <w:rPr>
      <w:rFonts w:ascii="Times New Roman" w:hAnsi="Times New Roman" w:cs="Times New Roman"/>
      <w:i/>
      <w:kern w:val="0"/>
      <w:szCs w:val="22"/>
      <w14:ligatures w14:val="none"/>
    </w:rPr>
  </w:style>
  <w:style w:type="paragraph" w:customStyle="1" w:styleId="Rfrenceinterinstitutionnelle">
    <w:name w:val="Référence interinstitutionnelle"/>
    <w:basedOn w:val="Normal"/>
    <w:next w:val="Statut"/>
    <w:rsid w:val="00C56BD9"/>
    <w:pPr>
      <w:spacing w:after="0" w:line="240" w:lineRule="auto"/>
      <w:ind w:left="5103"/>
    </w:pPr>
    <w:rPr>
      <w:rFonts w:ascii="Times New Roman" w:hAnsi="Times New Roman" w:cs="Times New Roman"/>
      <w:kern w:val="0"/>
      <w:szCs w:val="22"/>
      <w14:ligatures w14:val="none"/>
    </w:rPr>
  </w:style>
  <w:style w:type="paragraph" w:customStyle="1" w:styleId="Rfrenceinterne">
    <w:name w:val="Référence interne"/>
    <w:basedOn w:val="Normal"/>
    <w:next w:val="Rfrenceinterinstitutionnelle"/>
    <w:rsid w:val="00C56BD9"/>
    <w:pPr>
      <w:spacing w:after="0" w:line="240" w:lineRule="auto"/>
      <w:ind w:left="5103"/>
    </w:pPr>
    <w:rPr>
      <w:rFonts w:ascii="Times New Roman" w:hAnsi="Times New Roman" w:cs="Times New Roman"/>
      <w:kern w:val="0"/>
      <w:szCs w:val="22"/>
      <w14:ligatures w14:val="none"/>
    </w:rPr>
  </w:style>
  <w:style w:type="paragraph" w:customStyle="1" w:styleId="Statut">
    <w:name w:val="Statut"/>
    <w:basedOn w:val="Normal"/>
    <w:next w:val="Typedudocument"/>
    <w:rsid w:val="00C56BD9"/>
    <w:pPr>
      <w:spacing w:after="240" w:line="240" w:lineRule="auto"/>
      <w:jc w:val="center"/>
    </w:pPr>
    <w:rPr>
      <w:rFonts w:ascii="Times New Roman" w:hAnsi="Times New Roman" w:cs="Times New Roman"/>
      <w:kern w:val="0"/>
      <w:szCs w:val="22"/>
      <w14:ligatures w14:val="none"/>
    </w:rPr>
  </w:style>
  <w:style w:type="paragraph" w:customStyle="1" w:styleId="Titrearticle">
    <w:name w:val="Titre article"/>
    <w:basedOn w:val="Normal"/>
    <w:next w:val="Normal"/>
    <w:rsid w:val="00C56BD9"/>
    <w:pPr>
      <w:keepNext/>
      <w:spacing w:before="360" w:after="120" w:line="240" w:lineRule="auto"/>
      <w:jc w:val="center"/>
    </w:pPr>
    <w:rPr>
      <w:rFonts w:ascii="Times New Roman" w:hAnsi="Times New Roman" w:cs="Times New Roman"/>
      <w:i/>
      <w:kern w:val="0"/>
      <w:szCs w:val="22"/>
      <w14:ligatures w14:val="none"/>
    </w:rPr>
  </w:style>
  <w:style w:type="paragraph" w:customStyle="1" w:styleId="Typedudocument">
    <w:name w:val="Type du document"/>
    <w:basedOn w:val="Normal"/>
    <w:next w:val="Accompagnant"/>
    <w:rsid w:val="00C56BD9"/>
    <w:pPr>
      <w:spacing w:before="360" w:after="180" w:line="240" w:lineRule="auto"/>
      <w:jc w:val="center"/>
    </w:pPr>
    <w:rPr>
      <w:rFonts w:ascii="Times New Roman" w:hAnsi="Times New Roman" w:cs="Times New Roman"/>
      <w:b/>
      <w:kern w:val="0"/>
      <w:szCs w:val="22"/>
      <w14:ligatures w14:val="none"/>
    </w:rPr>
  </w:style>
  <w:style w:type="character" w:customStyle="1" w:styleId="Added">
    <w:name w:val="Added"/>
    <w:basedOn w:val="DefaultParagraphFont"/>
    <w:rsid w:val="00C56BD9"/>
    <w:rPr>
      <w:b/>
      <w:u w:val="single"/>
      <w:shd w:val="clear" w:color="auto" w:fill="auto"/>
    </w:rPr>
  </w:style>
  <w:style w:type="character" w:customStyle="1" w:styleId="Deleted">
    <w:name w:val="Deleted"/>
    <w:basedOn w:val="DefaultParagraphFont"/>
    <w:rsid w:val="00C56BD9"/>
    <w:rPr>
      <w:strike/>
      <w:dstrike w:val="0"/>
      <w:shd w:val="clear" w:color="auto" w:fill="auto"/>
    </w:rPr>
  </w:style>
  <w:style w:type="paragraph" w:customStyle="1" w:styleId="Address">
    <w:name w:val="Address"/>
    <w:basedOn w:val="Normal"/>
    <w:next w:val="Normal"/>
    <w:rsid w:val="00C56BD9"/>
    <w:pPr>
      <w:keepLines/>
      <w:spacing w:before="120" w:after="120" w:line="360" w:lineRule="auto"/>
      <w:ind w:left="3402"/>
    </w:pPr>
    <w:rPr>
      <w:rFonts w:ascii="Times New Roman" w:hAnsi="Times New Roman" w:cs="Times New Roman"/>
      <w:kern w:val="0"/>
      <w:szCs w:val="22"/>
      <w14:ligatures w14:val="none"/>
    </w:rPr>
  </w:style>
  <w:style w:type="paragraph" w:customStyle="1" w:styleId="Objetexterne">
    <w:name w:val="Objet externe"/>
    <w:basedOn w:val="Normal"/>
    <w:next w:val="Normal"/>
    <w:rsid w:val="00C56BD9"/>
    <w:pPr>
      <w:spacing w:before="120" w:after="120" w:line="240" w:lineRule="auto"/>
      <w:jc w:val="both"/>
    </w:pPr>
    <w:rPr>
      <w:rFonts w:ascii="Times New Roman" w:hAnsi="Times New Roman" w:cs="Times New Roman"/>
      <w:i/>
      <w:caps/>
      <w:kern w:val="0"/>
      <w:szCs w:val="22"/>
      <w14:ligatures w14:val="none"/>
    </w:rPr>
  </w:style>
  <w:style w:type="paragraph" w:customStyle="1" w:styleId="Supertitre">
    <w:name w:val="Supertitre"/>
    <w:basedOn w:val="Normal"/>
    <w:next w:val="Normal"/>
    <w:rsid w:val="00C56BD9"/>
    <w:pPr>
      <w:spacing w:after="600" w:line="240" w:lineRule="auto"/>
      <w:jc w:val="center"/>
    </w:pPr>
    <w:rPr>
      <w:rFonts w:ascii="Times New Roman" w:hAnsi="Times New Roman" w:cs="Times New Roman"/>
      <w:b/>
      <w:kern w:val="0"/>
      <w:szCs w:val="22"/>
      <w14:ligatures w14:val="none"/>
    </w:rPr>
  </w:style>
  <w:style w:type="paragraph" w:customStyle="1" w:styleId="Languesfaisantfoi">
    <w:name w:val="Langues faisant foi"/>
    <w:basedOn w:val="Normal"/>
    <w:next w:val="Normal"/>
    <w:rsid w:val="00C56BD9"/>
    <w:pPr>
      <w:spacing w:before="360" w:after="0" w:line="240" w:lineRule="auto"/>
      <w:jc w:val="center"/>
    </w:pPr>
    <w:rPr>
      <w:rFonts w:ascii="Times New Roman" w:hAnsi="Times New Roman" w:cs="Times New Roman"/>
      <w:kern w:val="0"/>
      <w:szCs w:val="22"/>
      <w14:ligatures w14:val="none"/>
    </w:rPr>
  </w:style>
  <w:style w:type="paragraph" w:customStyle="1" w:styleId="Rfrencecroise">
    <w:name w:val="Référence croisée"/>
    <w:basedOn w:val="Normal"/>
    <w:rsid w:val="00C56BD9"/>
    <w:pPr>
      <w:spacing w:after="0" w:line="240" w:lineRule="auto"/>
      <w:jc w:val="center"/>
    </w:pPr>
    <w:rPr>
      <w:rFonts w:ascii="Times New Roman" w:hAnsi="Times New Roman" w:cs="Times New Roman"/>
      <w:kern w:val="0"/>
      <w:szCs w:val="22"/>
      <w14:ligatures w14:val="none"/>
    </w:rPr>
  </w:style>
  <w:style w:type="paragraph" w:customStyle="1" w:styleId="Fichefinanciretitre">
    <w:name w:val="Fiche financière titre"/>
    <w:basedOn w:val="Normal"/>
    <w:next w:val="Normal"/>
    <w:rsid w:val="00C56BD9"/>
    <w:pPr>
      <w:spacing w:before="120" w:after="120" w:line="240" w:lineRule="auto"/>
      <w:jc w:val="center"/>
    </w:pPr>
    <w:rPr>
      <w:rFonts w:ascii="Times New Roman" w:hAnsi="Times New Roman" w:cs="Times New Roman"/>
      <w:b/>
      <w:kern w:val="0"/>
      <w:szCs w:val="22"/>
      <w:u w:val="single"/>
      <w14:ligatures w14:val="none"/>
    </w:rPr>
  </w:style>
  <w:style w:type="paragraph" w:customStyle="1" w:styleId="DatedadoptionPagedecouverture">
    <w:name w:val="Date d'adoption (Page de couverture)"/>
    <w:basedOn w:val="Datedadoption"/>
    <w:next w:val="IntrtEEEPagedecouverture"/>
    <w:rsid w:val="00C56BD9"/>
  </w:style>
  <w:style w:type="paragraph" w:customStyle="1" w:styleId="RfrenceinterinstitutionnellePagedecouverture">
    <w:name w:val="Référence interinstitutionnelle (Page de couverture)"/>
    <w:basedOn w:val="Rfrenceinterinstitutionnelle"/>
    <w:next w:val="Confidentialit"/>
    <w:rsid w:val="00C56BD9"/>
  </w:style>
  <w:style w:type="paragraph" w:customStyle="1" w:styleId="StatutPagedecouverture">
    <w:name w:val="Statut (Page de couverture)"/>
    <w:basedOn w:val="Statut"/>
    <w:next w:val="TypedudocumentPagedecouverture"/>
    <w:rsid w:val="00C56BD9"/>
  </w:style>
  <w:style w:type="paragraph" w:customStyle="1" w:styleId="TypedudocumentPagedecouverture">
    <w:name w:val="Type du document (Page de couverture)"/>
    <w:basedOn w:val="Typedudocument"/>
    <w:next w:val="AccompagnantPagedecouverture"/>
    <w:rsid w:val="00C56BD9"/>
  </w:style>
  <w:style w:type="paragraph" w:customStyle="1" w:styleId="Volume">
    <w:name w:val="Volume"/>
    <w:basedOn w:val="Normal"/>
    <w:next w:val="Confidentialit"/>
    <w:rsid w:val="00C56BD9"/>
    <w:pPr>
      <w:spacing w:after="240" w:line="240" w:lineRule="auto"/>
      <w:ind w:left="5103"/>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C56BD9"/>
    <w:pPr>
      <w:spacing w:after="240"/>
    </w:pPr>
  </w:style>
  <w:style w:type="paragraph" w:customStyle="1" w:styleId="Accompagnant">
    <w:name w:val="Accompagnant"/>
    <w:basedOn w:val="Normal"/>
    <w:next w:val="Typeacteprincipal"/>
    <w:rsid w:val="00C56BD9"/>
    <w:pPr>
      <w:spacing w:before="180" w:after="240" w:line="240" w:lineRule="auto"/>
      <w:jc w:val="center"/>
    </w:pPr>
    <w:rPr>
      <w:rFonts w:ascii="Times New Roman" w:hAnsi="Times New Roman" w:cs="Times New Roman"/>
      <w:b/>
      <w:kern w:val="0"/>
      <w:szCs w:val="22"/>
      <w14:ligatures w14:val="none"/>
    </w:rPr>
  </w:style>
  <w:style w:type="paragraph" w:customStyle="1" w:styleId="Typeacteprincipal">
    <w:name w:val="Type acte principal"/>
    <w:basedOn w:val="Normal"/>
    <w:next w:val="Objetacteprincipal"/>
    <w:rsid w:val="00C56BD9"/>
    <w:pPr>
      <w:spacing w:after="240" w:line="240" w:lineRule="auto"/>
      <w:jc w:val="center"/>
    </w:pPr>
    <w:rPr>
      <w:rFonts w:ascii="Times New Roman" w:hAnsi="Times New Roman" w:cs="Times New Roman"/>
      <w:b/>
      <w:kern w:val="0"/>
      <w:szCs w:val="22"/>
      <w14:ligatures w14:val="none"/>
    </w:rPr>
  </w:style>
  <w:style w:type="paragraph" w:customStyle="1" w:styleId="Objetacteprincipal">
    <w:name w:val="Objet acte principal"/>
    <w:basedOn w:val="Normal"/>
    <w:next w:val="Titrearticle"/>
    <w:rsid w:val="00C56BD9"/>
    <w:pPr>
      <w:spacing w:after="360" w:line="240" w:lineRule="auto"/>
      <w:jc w:val="center"/>
    </w:pPr>
    <w:rPr>
      <w:rFonts w:ascii="Times New Roman" w:hAnsi="Times New Roman" w:cs="Times New Roman"/>
      <w:b/>
      <w:kern w:val="0"/>
      <w:szCs w:val="22"/>
      <w14:ligatures w14:val="none"/>
    </w:rPr>
  </w:style>
  <w:style w:type="paragraph" w:customStyle="1" w:styleId="IntrtEEEPagedecouverture">
    <w:name w:val="Intérêt EEE (Page de couverture)"/>
    <w:basedOn w:val="IntrtEEE"/>
    <w:next w:val="Rfrencecroise"/>
    <w:rsid w:val="00C56BD9"/>
  </w:style>
  <w:style w:type="paragraph" w:customStyle="1" w:styleId="AccompagnantPagedecouverture">
    <w:name w:val="Accompagnant (Page de couverture)"/>
    <w:basedOn w:val="Accompagnant"/>
    <w:next w:val="TypeacteprincipalPagedecouverture"/>
    <w:rsid w:val="00C56BD9"/>
  </w:style>
  <w:style w:type="paragraph" w:customStyle="1" w:styleId="TypeacteprincipalPagedecouverture">
    <w:name w:val="Type acte principal (Page de couverture)"/>
    <w:basedOn w:val="Typeacteprincipal"/>
    <w:next w:val="ObjetacteprincipalPagedecouverture"/>
    <w:rsid w:val="00C56BD9"/>
  </w:style>
  <w:style w:type="paragraph" w:customStyle="1" w:styleId="ObjetacteprincipalPagedecouverture">
    <w:name w:val="Objet acte principal (Page de couverture)"/>
    <w:basedOn w:val="Objetacteprincipal"/>
    <w:next w:val="Rfrencecroise"/>
    <w:rsid w:val="00C56BD9"/>
  </w:style>
  <w:style w:type="paragraph" w:customStyle="1" w:styleId="LanguesfaisantfoiPagedecouverture">
    <w:name w:val="Langues faisant foi (Page de couverture)"/>
    <w:basedOn w:val="Normal"/>
    <w:next w:val="Normal"/>
    <w:rsid w:val="00C56BD9"/>
    <w:pPr>
      <w:spacing w:before="360" w:after="0" w:line="240" w:lineRule="auto"/>
      <w:jc w:val="center"/>
    </w:pPr>
    <w:rPr>
      <w:rFonts w:ascii="Times New Roman" w:hAnsi="Times New Roman" w:cs="Times New Roman"/>
      <w:kern w:val="0"/>
      <w:szCs w:val="22"/>
      <w14:ligatures w14:val="none"/>
    </w:rPr>
  </w:style>
  <w:style w:type="character" w:styleId="CommentReference">
    <w:name w:val="annotation reference"/>
    <w:basedOn w:val="DefaultParagraphFont"/>
    <w:uiPriority w:val="99"/>
    <w:unhideWhenUsed/>
    <w:rsid w:val="00C56BD9"/>
    <w:rPr>
      <w:sz w:val="16"/>
      <w:szCs w:val="16"/>
    </w:rPr>
  </w:style>
  <w:style w:type="paragraph" w:styleId="CommentText">
    <w:name w:val="annotation text"/>
    <w:basedOn w:val="Normal"/>
    <w:link w:val="CommentTextChar"/>
    <w:uiPriority w:val="99"/>
    <w:unhideWhenUsed/>
    <w:rsid w:val="00C56BD9"/>
    <w:pPr>
      <w:spacing w:before="120" w:after="120" w:line="240" w:lineRule="auto"/>
      <w:jc w:val="both"/>
    </w:pPr>
    <w:rPr>
      <w:rFonts w:ascii="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C56BD9"/>
    <w:rPr>
      <w:rFonts w:ascii="Times New Roman" w:hAnsi="Times New Roman" w:cs="Times New Roman"/>
      <w:kern w:val="0"/>
      <w:sz w:val="20"/>
      <w:szCs w:val="20"/>
      <w14:ligatures w14:val="none"/>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C56BD9"/>
  </w:style>
  <w:style w:type="paragraph" w:styleId="BalloonText">
    <w:name w:val="Balloon Text"/>
    <w:basedOn w:val="Normal"/>
    <w:link w:val="BalloonTextChar"/>
    <w:uiPriority w:val="99"/>
    <w:semiHidden/>
    <w:unhideWhenUsed/>
    <w:rsid w:val="00C56BD9"/>
    <w:pPr>
      <w:spacing w:after="0" w:line="240" w:lineRule="auto"/>
      <w:jc w:val="both"/>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C56BD9"/>
    <w:rPr>
      <w:rFonts w:ascii="Segoe UI" w:hAnsi="Segoe UI" w:cs="Segoe UI"/>
      <w:kern w:val="0"/>
      <w:sz w:val="18"/>
      <w:szCs w:val="18"/>
      <w14:ligatures w14:val="none"/>
    </w:rPr>
  </w:style>
  <w:style w:type="paragraph" w:styleId="ListBullet">
    <w:name w:val="List Bullet"/>
    <w:basedOn w:val="Normal"/>
    <w:uiPriority w:val="99"/>
    <w:semiHidden/>
    <w:unhideWhenUsed/>
    <w:rsid w:val="00C56BD9"/>
    <w:pPr>
      <w:numPr>
        <w:numId w:val="25"/>
      </w:numPr>
      <w:tabs>
        <w:tab w:val="clear" w:pos="360"/>
      </w:tabs>
      <w:spacing w:before="120" w:after="120" w:line="240" w:lineRule="auto"/>
      <w:ind w:left="0" w:firstLine="0"/>
      <w:contextualSpacing/>
      <w:jc w:val="both"/>
    </w:pPr>
    <w:rPr>
      <w:rFonts w:ascii="Times New Roman" w:hAnsi="Times New Roman" w:cs="Times New Roman"/>
      <w:kern w:val="0"/>
      <w:szCs w:val="22"/>
      <w14:ligatures w14:val="none"/>
    </w:rPr>
  </w:style>
  <w:style w:type="paragraph" w:styleId="ListBullet2">
    <w:name w:val="List Bullet 2"/>
    <w:basedOn w:val="Normal"/>
    <w:uiPriority w:val="99"/>
    <w:semiHidden/>
    <w:unhideWhenUsed/>
    <w:rsid w:val="00C56BD9"/>
    <w:pPr>
      <w:numPr>
        <w:numId w:val="26"/>
      </w:numPr>
      <w:tabs>
        <w:tab w:val="clear" w:pos="643"/>
      </w:tabs>
      <w:spacing w:before="120" w:after="120" w:line="240" w:lineRule="auto"/>
      <w:ind w:left="0" w:firstLine="0"/>
      <w:contextualSpacing/>
      <w:jc w:val="both"/>
    </w:pPr>
    <w:rPr>
      <w:rFonts w:ascii="Times New Roman" w:hAnsi="Times New Roman" w:cs="Times New Roman"/>
      <w:kern w:val="0"/>
      <w:szCs w:val="22"/>
      <w14:ligatures w14:val="none"/>
    </w:rPr>
  </w:style>
  <w:style w:type="paragraph" w:styleId="ListBullet3">
    <w:name w:val="List Bullet 3"/>
    <w:basedOn w:val="Normal"/>
    <w:uiPriority w:val="99"/>
    <w:semiHidden/>
    <w:unhideWhenUsed/>
    <w:rsid w:val="00C56BD9"/>
    <w:pPr>
      <w:numPr>
        <w:numId w:val="27"/>
      </w:numPr>
      <w:tabs>
        <w:tab w:val="clear" w:pos="926"/>
      </w:tabs>
      <w:spacing w:before="120" w:after="120" w:line="240" w:lineRule="auto"/>
      <w:ind w:left="0" w:firstLine="0"/>
      <w:contextualSpacing/>
      <w:jc w:val="both"/>
    </w:pPr>
    <w:rPr>
      <w:rFonts w:ascii="Times New Roman" w:hAnsi="Times New Roman" w:cs="Times New Roman"/>
      <w:kern w:val="0"/>
      <w:szCs w:val="22"/>
      <w14:ligatures w14:val="none"/>
    </w:rPr>
  </w:style>
  <w:style w:type="paragraph" w:styleId="ListBullet4">
    <w:name w:val="List Bullet 4"/>
    <w:basedOn w:val="Normal"/>
    <w:uiPriority w:val="99"/>
    <w:semiHidden/>
    <w:unhideWhenUsed/>
    <w:rsid w:val="00C56BD9"/>
    <w:pPr>
      <w:numPr>
        <w:numId w:val="28"/>
      </w:numPr>
      <w:tabs>
        <w:tab w:val="clear" w:pos="1209"/>
      </w:tabs>
      <w:spacing w:before="120" w:after="120" w:line="240" w:lineRule="auto"/>
      <w:ind w:left="0" w:firstLine="0"/>
      <w:contextualSpacing/>
      <w:jc w:val="both"/>
    </w:pPr>
    <w:rPr>
      <w:rFonts w:ascii="Times New Roman" w:hAnsi="Times New Roman" w:cs="Times New Roman"/>
      <w:kern w:val="0"/>
      <w:szCs w:val="22"/>
      <w14:ligatures w14:val="none"/>
    </w:rPr>
  </w:style>
  <w:style w:type="paragraph" w:styleId="CommentSubject">
    <w:name w:val="annotation subject"/>
    <w:basedOn w:val="CommentText"/>
    <w:next w:val="CommentText"/>
    <w:link w:val="CommentSubjectChar"/>
    <w:uiPriority w:val="99"/>
    <w:semiHidden/>
    <w:unhideWhenUsed/>
    <w:rsid w:val="00C56BD9"/>
    <w:rPr>
      <w:b/>
      <w:bCs/>
    </w:rPr>
  </w:style>
  <w:style w:type="character" w:customStyle="1" w:styleId="CommentSubjectChar">
    <w:name w:val="Comment Subject Char"/>
    <w:basedOn w:val="CommentTextChar"/>
    <w:link w:val="CommentSubject"/>
    <w:uiPriority w:val="99"/>
    <w:semiHidden/>
    <w:rsid w:val="00C56BD9"/>
    <w:rPr>
      <w:rFonts w:ascii="Times New Roman" w:hAnsi="Times New Roman" w:cs="Times New Roman"/>
      <w:b/>
      <w:bCs/>
      <w:kern w:val="0"/>
      <w:sz w:val="20"/>
      <w:szCs w:val="20"/>
      <w14:ligatures w14:val="none"/>
    </w:rPr>
  </w:style>
  <w:style w:type="paragraph" w:styleId="Revision">
    <w:name w:val="Revision"/>
    <w:hidden/>
    <w:uiPriority w:val="99"/>
    <w:semiHidden/>
    <w:rsid w:val="00C56BD9"/>
    <w:pPr>
      <w:spacing w:after="0" w:line="240" w:lineRule="auto"/>
    </w:pPr>
    <w:rPr>
      <w:rFonts w:ascii="Times New Roman" w:hAnsi="Times New Roman" w:cs="Times New Roman"/>
      <w:kern w:val="0"/>
      <w:szCs w:val="22"/>
      <w14:ligatures w14:val="none"/>
    </w:rPr>
  </w:style>
  <w:style w:type="paragraph" w:customStyle="1" w:styleId="paragraph">
    <w:name w:val="paragraph"/>
    <w:basedOn w:val="Normal"/>
    <w:rsid w:val="00C56BD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C56BD9"/>
  </w:style>
  <w:style w:type="character" w:customStyle="1" w:styleId="eop">
    <w:name w:val="eop"/>
    <w:basedOn w:val="DefaultParagraphFont"/>
    <w:rsid w:val="00C56BD9"/>
  </w:style>
  <w:style w:type="table" w:styleId="TableGrid">
    <w:name w:val="Table Grid"/>
    <w:basedOn w:val="TableNormal"/>
    <w:uiPriority w:val="59"/>
    <w:rsid w:val="00C56BD9"/>
    <w:pPr>
      <w:spacing w:after="0" w:line="240" w:lineRule="auto"/>
    </w:pPr>
    <w:rPr>
      <w:kern w:val="0"/>
      <w:sz w:val="22"/>
      <w:szCs w:val="22"/>
      <w14:ligatures w14:val="none"/>
    </w:rPr>
    <w:tblPr/>
  </w:style>
  <w:style w:type="character" w:customStyle="1" w:styleId="Mention1">
    <w:name w:val="Mention1"/>
    <w:basedOn w:val="DefaultParagraphFont"/>
    <w:uiPriority w:val="99"/>
    <w:unhideWhenUsed/>
    <w:rsid w:val="00C56BD9"/>
    <w:rPr>
      <w:color w:val="2B579A"/>
      <w:shd w:val="clear" w:color="auto" w:fill="E6E6E6"/>
    </w:rPr>
  </w:style>
  <w:style w:type="character" w:styleId="Emphasis">
    <w:name w:val="Emphasis"/>
    <w:basedOn w:val="DefaultParagraphFont"/>
    <w:uiPriority w:val="20"/>
    <w:qFormat/>
    <w:rsid w:val="00C56BD9"/>
    <w:rPr>
      <w:i/>
      <w:iCs/>
    </w:rPr>
  </w:style>
  <w:style w:type="character" w:styleId="Hyperlink">
    <w:name w:val="Hyperlink"/>
    <w:basedOn w:val="DefaultParagraphFont"/>
    <w:uiPriority w:val="99"/>
    <w:unhideWhenUsed/>
    <w:rsid w:val="00C56BD9"/>
    <w:rPr>
      <w:color w:val="467886" w:themeColor="hyperlink"/>
      <w:u w:val="single"/>
    </w:rPr>
  </w:style>
  <w:style w:type="character" w:customStyle="1" w:styleId="phrase">
    <w:name w:val="phrase"/>
    <w:basedOn w:val="DefaultParagraphFont"/>
    <w:rsid w:val="00C56BD9"/>
  </w:style>
  <w:style w:type="character" w:customStyle="1" w:styleId="word">
    <w:name w:val="word"/>
    <w:basedOn w:val="DefaultParagraphFont"/>
    <w:rsid w:val="00C56BD9"/>
  </w:style>
  <w:style w:type="paragraph" w:customStyle="1" w:styleId="FooterCoverPage">
    <w:name w:val="Footer Cover Page"/>
    <w:basedOn w:val="Normal"/>
    <w:link w:val="FooterCoverPageChar"/>
    <w:rsid w:val="00C56BD9"/>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C56BD9"/>
    <w:rPr>
      <w:rFonts w:ascii="Times New Roman" w:hAnsi="Times New Roman" w:cs="Times New Roman"/>
    </w:rPr>
  </w:style>
  <w:style w:type="paragraph" w:customStyle="1" w:styleId="HeaderCoverPage">
    <w:name w:val="Header Cover Page"/>
    <w:basedOn w:val="Normal"/>
    <w:link w:val="HeaderCoverPageChar"/>
    <w:rsid w:val="00C56BD9"/>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C56BD9"/>
    <w:rPr>
      <w:rFonts w:ascii="Times New Roman" w:hAnsi="Times New Roman" w:cs="Times New Roman"/>
    </w:rPr>
  </w:style>
  <w:style w:type="paragraph" w:customStyle="1" w:styleId="TechnicalBlock">
    <w:name w:val="Technical Block"/>
    <w:basedOn w:val="Normal"/>
    <w:link w:val="TechnicalBlockChar"/>
    <w:rsid w:val="00C56BD9"/>
    <w:pPr>
      <w:spacing w:after="240" w:line="240" w:lineRule="auto"/>
      <w:jc w:val="center"/>
    </w:pPr>
    <w:rPr>
      <w:kern w:val="0"/>
      <w:sz w:val="22"/>
      <w:szCs w:val="22"/>
      <w14:ligatures w14:val="none"/>
    </w:rPr>
  </w:style>
  <w:style w:type="character" w:customStyle="1" w:styleId="TechnicalBlockChar">
    <w:name w:val="Technical Block Char"/>
    <w:basedOn w:val="DefaultParagraphFont"/>
    <w:link w:val="TechnicalBlock"/>
    <w:rsid w:val="00C56BD9"/>
    <w:rPr>
      <w:kern w:val="0"/>
      <w:sz w:val="22"/>
      <w:szCs w:val="22"/>
      <w14:ligatures w14:val="none"/>
    </w:rPr>
  </w:style>
  <w:style w:type="paragraph" w:customStyle="1" w:styleId="EntText">
    <w:name w:val="EntText"/>
    <w:basedOn w:val="Normal"/>
    <w:rsid w:val="00C56BD9"/>
    <w:pPr>
      <w:spacing w:before="120" w:after="120" w:line="360" w:lineRule="auto"/>
    </w:pPr>
    <w:rPr>
      <w:rFonts w:ascii="Times New Roman" w:hAnsi="Times New Roman" w:cs="Times New Roman"/>
      <w:kern w:val="0"/>
      <w:szCs w:val="22"/>
      <w14:ligatures w14:val="none"/>
    </w:rPr>
  </w:style>
  <w:style w:type="paragraph" w:customStyle="1" w:styleId="Lignefinal">
    <w:name w:val="Ligne final"/>
    <w:basedOn w:val="Normal"/>
    <w:next w:val="Normal"/>
    <w:rsid w:val="00C56BD9"/>
    <w:pPr>
      <w:pBdr>
        <w:bottom w:val="single" w:sz="4" w:space="0" w:color="000000"/>
      </w:pBdr>
      <w:spacing w:before="360" w:after="120" w:line="360" w:lineRule="auto"/>
      <w:ind w:left="3400" w:right="3400"/>
      <w:jc w:val="center"/>
    </w:pPr>
    <w:rPr>
      <w:rFonts w:ascii="Times New Roman" w:hAnsi="Times New Roman" w:cs="Times New Roman"/>
      <w:b/>
      <w:kern w:val="0"/>
      <w:szCs w:val="22"/>
      <w14:ligatures w14:val="none"/>
    </w:rPr>
  </w:style>
  <w:style w:type="paragraph" w:customStyle="1" w:styleId="nbbordered">
    <w:name w:val="nb bordered"/>
    <w:basedOn w:val="Normal"/>
    <w:link w:val="nbborderedChar"/>
    <w:rsid w:val="00C56BD9"/>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kern w:val="0"/>
      <w:sz w:val="22"/>
      <w:szCs w:val="22"/>
      <w14:ligatures w14:val="none"/>
    </w:rPr>
  </w:style>
  <w:style w:type="character" w:customStyle="1" w:styleId="nbborderedChar">
    <w:name w:val="nb bordered Char"/>
    <w:basedOn w:val="TechnicalBlockChar"/>
    <w:link w:val="nbbordered"/>
    <w:rsid w:val="00C56BD9"/>
    <w:rPr>
      <w:rFonts w:ascii="Times New Roman" w:hAnsi="Times New Roman" w:cs="Times New Roman"/>
      <w:b/>
      <w:kern w:val="0"/>
      <w:sz w:val="22"/>
      <w:szCs w:val="22"/>
      <w14:ligatures w14:val="none"/>
    </w:rPr>
  </w:style>
  <w:style w:type="paragraph" w:customStyle="1" w:styleId="HeaderCouncil">
    <w:name w:val="Header Council"/>
    <w:basedOn w:val="Normal"/>
    <w:link w:val="HeaderCouncilChar"/>
    <w:rsid w:val="00C56BD9"/>
    <w:pPr>
      <w:spacing w:after="0" w:line="276" w:lineRule="auto"/>
    </w:pPr>
    <w:rPr>
      <w:rFonts w:ascii="Times New Roman" w:hAnsi="Times New Roman"/>
      <w:kern w:val="0"/>
      <w:sz w:val="2"/>
      <w:szCs w:val="22"/>
      <w14:ligatures w14:val="none"/>
    </w:rPr>
  </w:style>
  <w:style w:type="character" w:customStyle="1" w:styleId="HeaderCouncilChar">
    <w:name w:val="Header Council Char"/>
    <w:basedOn w:val="DefaultParagraphFont"/>
    <w:link w:val="HeaderCouncil"/>
    <w:rsid w:val="00C56BD9"/>
    <w:rPr>
      <w:rFonts w:ascii="Times New Roman" w:hAnsi="Times New Roman"/>
      <w:kern w:val="0"/>
      <w:sz w:val="2"/>
      <w:szCs w:val="22"/>
      <w14:ligatures w14:val="none"/>
    </w:rPr>
  </w:style>
  <w:style w:type="paragraph" w:customStyle="1" w:styleId="HeaderCouncilLarge">
    <w:name w:val="Header Council Large"/>
    <w:basedOn w:val="Normal"/>
    <w:link w:val="HeaderCouncilLargeChar"/>
    <w:rsid w:val="00C56BD9"/>
    <w:pPr>
      <w:spacing w:after="440" w:line="276" w:lineRule="auto"/>
    </w:pPr>
    <w:rPr>
      <w:rFonts w:ascii="Times New Roman" w:hAnsi="Times New Roman"/>
      <w:kern w:val="0"/>
      <w:sz w:val="2"/>
      <w:szCs w:val="22"/>
      <w14:ligatures w14:val="none"/>
    </w:rPr>
  </w:style>
  <w:style w:type="character" w:customStyle="1" w:styleId="HeaderCouncilLargeChar">
    <w:name w:val="Header Council Large Char"/>
    <w:basedOn w:val="DefaultParagraphFont"/>
    <w:link w:val="HeaderCouncilLarge"/>
    <w:rsid w:val="00C56BD9"/>
    <w:rPr>
      <w:rFonts w:ascii="Times New Roman" w:hAnsi="Times New Roman"/>
      <w:kern w:val="0"/>
      <w:sz w:val="2"/>
      <w:szCs w:val="22"/>
      <w14:ligatures w14:val="none"/>
    </w:rPr>
  </w:style>
  <w:style w:type="paragraph" w:customStyle="1" w:styleId="FooterCouncil">
    <w:name w:val="Footer Council"/>
    <w:basedOn w:val="Normal"/>
    <w:link w:val="FooterCouncilChar"/>
    <w:rsid w:val="00C56BD9"/>
    <w:pPr>
      <w:spacing w:after="0" w:line="276" w:lineRule="auto"/>
    </w:pPr>
    <w:rPr>
      <w:rFonts w:ascii="Times New Roman" w:hAnsi="Times New Roman"/>
      <w:kern w:val="0"/>
      <w:sz w:val="2"/>
      <w:szCs w:val="22"/>
      <w14:ligatures w14:val="none"/>
    </w:rPr>
  </w:style>
  <w:style w:type="character" w:customStyle="1" w:styleId="FooterCouncilChar">
    <w:name w:val="Footer Council Char"/>
    <w:basedOn w:val="DefaultParagraphFont"/>
    <w:link w:val="FooterCouncil"/>
    <w:rsid w:val="00C56BD9"/>
    <w:rPr>
      <w:rFonts w:ascii="Times New Roman" w:hAnsi="Times New Roman"/>
      <w:kern w:val="0"/>
      <w:sz w:val="2"/>
      <w:szCs w:val="22"/>
      <w14:ligatures w14:val="none"/>
    </w:rPr>
  </w:style>
  <w:style w:type="paragraph" w:customStyle="1" w:styleId="FooterText">
    <w:name w:val="Footer Text"/>
    <w:basedOn w:val="Normal"/>
    <w:rsid w:val="00C56BD9"/>
    <w:pPr>
      <w:spacing w:after="0" w:line="240" w:lineRule="auto"/>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C56BD9"/>
    <w:rPr>
      <w:color w:val="808080"/>
    </w:rPr>
  </w:style>
  <w:style w:type="character" w:styleId="FollowedHyperlink">
    <w:name w:val="FollowedHyperlink"/>
    <w:basedOn w:val="DefaultParagraphFont"/>
    <w:uiPriority w:val="99"/>
    <w:semiHidden/>
    <w:unhideWhenUsed/>
    <w:rsid w:val="00C56BD9"/>
    <w:rPr>
      <w:color w:val="96607D" w:themeColor="followedHyperlink"/>
      <w:u w:val="single"/>
    </w:rPr>
  </w:style>
  <w:style w:type="character" w:customStyle="1" w:styleId="Mention2">
    <w:name w:val="Mention2"/>
    <w:basedOn w:val="DefaultParagraphFont"/>
    <w:uiPriority w:val="99"/>
    <w:unhideWhenUsed/>
    <w:rsid w:val="00C56BD9"/>
    <w:rPr>
      <w:color w:val="2B579A"/>
      <w:shd w:val="clear" w:color="auto" w:fill="E6E6E6"/>
    </w:rPr>
  </w:style>
  <w:style w:type="character" w:customStyle="1" w:styleId="ui-provider">
    <w:name w:val="ui-provider"/>
    <w:basedOn w:val="DefaultParagraphFont"/>
    <w:rsid w:val="00C56BD9"/>
  </w:style>
  <w:style w:type="paragraph" w:customStyle="1" w:styleId="P68B1DB1-Normal42">
    <w:name w:val="P68B1DB1-Normal42"/>
    <w:basedOn w:val="Normal"/>
    <w:rsid w:val="00C56BD9"/>
    <w:pPr>
      <w:spacing w:line="256" w:lineRule="auto"/>
    </w:pPr>
    <w:rPr>
      <w:rFonts w:ascii="Times New Roman" w:hAnsi="Times New Roman" w:cs="Times New Roman"/>
      <w:kern w:val="0"/>
      <w:sz w:val="18"/>
      <w:szCs w:val="20"/>
      <w14:ligatures w14:val="none"/>
    </w:rPr>
  </w:style>
  <w:style w:type="character" w:customStyle="1" w:styleId="UnresolvedMention1">
    <w:name w:val="Unresolved Mention1"/>
    <w:basedOn w:val="DefaultParagraphFont"/>
    <w:uiPriority w:val="99"/>
    <w:unhideWhenUsed/>
    <w:rsid w:val="00C56BD9"/>
    <w:rPr>
      <w:color w:val="605E5C"/>
      <w:shd w:val="clear" w:color="auto" w:fill="E1DFDD"/>
    </w:rPr>
  </w:style>
  <w:style w:type="paragraph" w:customStyle="1" w:styleId="P68B1DB1-Normal31">
    <w:name w:val="P68B1DB1-Normal31"/>
    <w:basedOn w:val="Normal"/>
    <w:uiPriority w:val="1"/>
    <w:rsid w:val="00C56BD9"/>
    <w:pPr>
      <w:spacing w:line="276" w:lineRule="auto"/>
    </w:pPr>
    <w:rPr>
      <w:rFonts w:asciiTheme="majorBidi" w:eastAsiaTheme="minorEastAsia" w:hAnsiTheme="majorBidi" w:cstheme="majorBidi"/>
      <w:kern w:val="0"/>
      <w:sz w:val="18"/>
      <w:szCs w:val="18"/>
      <w14:ligatures w14:val="none"/>
    </w:rPr>
  </w:style>
  <w:style w:type="character" w:customStyle="1" w:styleId="Mention3">
    <w:name w:val="Mention3"/>
    <w:basedOn w:val="DefaultParagraphFont"/>
    <w:uiPriority w:val="99"/>
    <w:unhideWhenUsed/>
    <w:rsid w:val="00C56BD9"/>
    <w:rPr>
      <w:color w:val="2B579A"/>
      <w:shd w:val="clear" w:color="auto" w:fill="E6E6E6"/>
    </w:rPr>
  </w:style>
  <w:style w:type="character" w:customStyle="1" w:styleId="cf11">
    <w:name w:val="cf11"/>
    <w:basedOn w:val="DefaultParagraphFont"/>
    <w:rsid w:val="00C56BD9"/>
    <w:rPr>
      <w:rFonts w:ascii="Segoe UI" w:hAnsi="Segoe UI" w:cs="Segoe UI" w:hint="default"/>
      <w:sz w:val="18"/>
      <w:szCs w:val="18"/>
    </w:rPr>
  </w:style>
  <w:style w:type="numbering" w:customStyle="1" w:styleId="NoList1">
    <w:name w:val="No List1"/>
    <w:next w:val="NoList"/>
    <w:uiPriority w:val="99"/>
    <w:semiHidden/>
    <w:unhideWhenUsed/>
    <w:rsid w:val="00C56BD9"/>
  </w:style>
  <w:style w:type="paragraph" w:customStyle="1" w:styleId="Typografi2">
    <w:name w:val="Typografi2"/>
    <w:basedOn w:val="Normal"/>
    <w:link w:val="Typografi2Tegn"/>
    <w:uiPriority w:val="1"/>
    <w:qFormat/>
    <w:rsid w:val="00C56BD9"/>
    <w:pPr>
      <w:spacing w:before="120" w:after="120" w:line="276" w:lineRule="auto"/>
      <w:jc w:val="both"/>
    </w:pPr>
    <w:rPr>
      <w:rFonts w:ascii="Times New Roman" w:eastAsia="Times New Roman" w:hAnsi="Times New Roman" w:cs="Times New Roman"/>
      <w:color w:val="006100"/>
      <w:kern w:val="0"/>
      <w14:ligatures w14:val="none"/>
    </w:rPr>
  </w:style>
  <w:style w:type="character" w:customStyle="1" w:styleId="Typografi2Tegn">
    <w:name w:val="Typografi2 Tegn"/>
    <w:basedOn w:val="DefaultParagraphFont"/>
    <w:link w:val="Typografi2"/>
    <w:uiPriority w:val="1"/>
    <w:rsid w:val="00C56BD9"/>
    <w:rPr>
      <w:rFonts w:ascii="Times New Roman" w:eastAsia="Times New Roman" w:hAnsi="Times New Roman" w:cs="Times New Roman"/>
      <w:color w:val="006100"/>
      <w:kern w:val="0"/>
      <w14:ligatures w14:val="none"/>
    </w:rPr>
  </w:style>
  <w:style w:type="character" w:customStyle="1" w:styleId="Mention30">
    <w:name w:val="Mention30"/>
    <w:basedOn w:val="DefaultParagraphFont"/>
    <w:uiPriority w:val="99"/>
    <w:unhideWhenUsed/>
    <w:rsid w:val="00C56BD9"/>
    <w:rPr>
      <w:color w:val="2B579A"/>
      <w:shd w:val="clear" w:color="auto" w:fill="E6E6E6"/>
    </w:rPr>
  </w:style>
  <w:style w:type="character" w:customStyle="1" w:styleId="Mention4">
    <w:name w:val="Mention4"/>
    <w:basedOn w:val="DefaultParagraphFont"/>
    <w:uiPriority w:val="99"/>
    <w:unhideWhenUsed/>
    <w:rsid w:val="00C56BD9"/>
    <w:rPr>
      <w:color w:val="2B579A"/>
      <w:shd w:val="clear" w:color="auto" w:fill="E6E6E6"/>
    </w:rPr>
  </w:style>
  <w:style w:type="character" w:customStyle="1" w:styleId="Mention5">
    <w:name w:val="Mention5"/>
    <w:basedOn w:val="DefaultParagraphFont"/>
    <w:uiPriority w:val="99"/>
    <w:unhideWhenUsed/>
    <w:rsid w:val="00C56BD9"/>
    <w:rPr>
      <w:color w:val="2B579A"/>
      <w:shd w:val="clear" w:color="auto" w:fill="E1DFDD"/>
    </w:rPr>
  </w:style>
  <w:style w:type="character" w:customStyle="1" w:styleId="Mention6">
    <w:name w:val="Mention6"/>
    <w:basedOn w:val="DefaultParagraphFont"/>
    <w:uiPriority w:val="99"/>
    <w:unhideWhenUsed/>
    <w:rsid w:val="00C56BD9"/>
    <w:rPr>
      <w:color w:val="2B579A"/>
      <w:shd w:val="clear" w:color="auto" w:fill="E1DFDD"/>
    </w:rPr>
  </w:style>
  <w:style w:type="character" w:customStyle="1" w:styleId="Mention7">
    <w:name w:val="Mention7"/>
    <w:basedOn w:val="DefaultParagraphFont"/>
    <w:uiPriority w:val="99"/>
    <w:unhideWhenUsed/>
    <w:rsid w:val="00C56BD9"/>
    <w:rPr>
      <w:color w:val="2B579A"/>
      <w:shd w:val="clear" w:color="auto" w:fill="E1DFDD"/>
    </w:rPr>
  </w:style>
  <w:style w:type="character" w:customStyle="1" w:styleId="UnresolvedMention2">
    <w:name w:val="Unresolved Mention2"/>
    <w:basedOn w:val="DefaultParagraphFont"/>
    <w:uiPriority w:val="99"/>
    <w:semiHidden/>
    <w:unhideWhenUsed/>
    <w:rsid w:val="00C56BD9"/>
    <w:rPr>
      <w:color w:val="605E5C"/>
      <w:shd w:val="clear" w:color="auto" w:fill="E1DFDD"/>
    </w:rPr>
  </w:style>
  <w:style w:type="character" w:customStyle="1" w:styleId="Mention8">
    <w:name w:val="Mention8"/>
    <w:basedOn w:val="DefaultParagraphFont"/>
    <w:uiPriority w:val="99"/>
    <w:unhideWhenUsed/>
    <w:rsid w:val="00C56BD9"/>
    <w:rPr>
      <w:color w:val="2B579A"/>
      <w:shd w:val="clear" w:color="auto" w:fill="E1DFDD"/>
    </w:rPr>
  </w:style>
  <w:style w:type="character" w:customStyle="1" w:styleId="UnresolvedMention3">
    <w:name w:val="Unresolved Mention3"/>
    <w:basedOn w:val="DefaultParagraphFont"/>
    <w:uiPriority w:val="99"/>
    <w:semiHidden/>
    <w:unhideWhenUsed/>
    <w:rsid w:val="00C56BD9"/>
    <w:rPr>
      <w:color w:val="605E5C"/>
      <w:shd w:val="clear" w:color="auto" w:fill="E1DFDD"/>
    </w:rPr>
  </w:style>
  <w:style w:type="character" w:customStyle="1" w:styleId="Mention">
    <w:name w:val="Mention"/>
    <w:basedOn w:val="DefaultParagraphFont"/>
    <w:uiPriority w:val="99"/>
    <w:unhideWhenUsed/>
    <w:rsid w:val="00C56BD9"/>
    <w:rPr>
      <w:color w:val="2B579A"/>
      <w:shd w:val="clear" w:color="auto" w:fill="E1DFDD"/>
    </w:rPr>
  </w:style>
  <w:style w:type="paragraph" w:customStyle="1" w:styleId="P68B1DB1-Normal1">
    <w:name w:val="P68B1DB1-Normal1"/>
    <w:basedOn w:val="Normal"/>
    <w:rPr>
      <w:rFonts w:ascii="Times New Roman" w:eastAsia="Calibri" w:hAnsi="Times New Roman" w:cs="Arial"/>
      <w:b/>
      <w:kern w:val="0"/>
      <w:szCs w:val="22"/>
      <w:u w:val="single"/>
      <w14:ligatures w14:val="none"/>
    </w:rPr>
  </w:style>
  <w:style w:type="paragraph" w:customStyle="1" w:styleId="P68B1DB1-Normal2">
    <w:name w:val="P68B1DB1-Normal2"/>
    <w:basedOn w:val="Normal"/>
    <w:rPr>
      <w:rFonts w:ascii="Times New Roman" w:eastAsia="Calibri" w:hAnsi="Times New Roman" w:cs="Arial"/>
      <w:b/>
      <w:kern w:val="0"/>
      <w:szCs w:val="22"/>
      <w14:ligatures w14:val="none"/>
    </w:rPr>
  </w:style>
  <w:style w:type="paragraph" w:customStyle="1" w:styleId="P68B1DB1-Normal3">
    <w:name w:val="P68B1DB1-Normal3"/>
    <w:basedOn w:val="Normal"/>
    <w:rPr>
      <w:rFonts w:ascii="Times New Roman" w:eastAsia="Calibri" w:hAnsi="Times New Roman" w:cs="Arial"/>
      <w:b/>
      <w:smallCaps/>
      <w:kern w:val="0"/>
      <w:szCs w:val="22"/>
      <w14:ligatures w14:val="none"/>
    </w:rPr>
  </w:style>
  <w:style w:type="paragraph" w:customStyle="1" w:styleId="P68B1DB1-Normal4">
    <w:name w:val="P68B1DB1-Normal4"/>
    <w:basedOn w:val="Normal"/>
    <w:rPr>
      <w:rFonts w:ascii="Times New Roman" w:eastAsia="Calibri" w:hAnsi="Times New Roman" w:cs="Arial"/>
      <w:kern w:val="0"/>
      <w14:ligatures w14:val="none"/>
    </w:rPr>
  </w:style>
  <w:style w:type="paragraph" w:customStyle="1" w:styleId="P68B1DB1-Normal5">
    <w:name w:val="P68B1DB1-Normal5"/>
    <w:basedOn w:val="Normal"/>
    <w:rPr>
      <w:rFonts w:ascii="Times New Roman" w:eastAsia="Calibri" w:hAnsi="Times New Roman" w:cs="Arial"/>
      <w:kern w:val="0"/>
      <w:szCs w:val="22"/>
      <w14:ligatures w14:val="none"/>
    </w:rPr>
  </w:style>
  <w:style w:type="paragraph" w:customStyle="1" w:styleId="P68B1DB1-Normal6">
    <w:name w:val="P68B1DB1-Normal6"/>
    <w:basedOn w:val="Normal"/>
    <w:rPr>
      <w:rFonts w:ascii="Times New Roman" w:eastAsia="Calibri" w:hAnsi="Times New Roman" w:cs="Arial"/>
      <w:b/>
      <w:kern w:val="0"/>
      <w:u w:val="single"/>
      <w14:ligatures w14:val="none"/>
    </w:rPr>
  </w:style>
  <w:style w:type="paragraph" w:customStyle="1" w:styleId="P68B1DB1-Normal7">
    <w:name w:val="P68B1DB1-Normal7"/>
    <w:basedOn w:val="Normal"/>
    <w:rPr>
      <w:rFonts w:ascii="Times New Roman" w:eastAsia="Calibri" w:hAnsi="Times New Roman" w:cs="Arial"/>
      <w:kern w:val="0"/>
      <w:u w:val="single"/>
      <w14:ligatures w14:val="none"/>
    </w:rPr>
  </w:style>
  <w:style w:type="paragraph" w:customStyle="1" w:styleId="P68B1DB1-Normal8">
    <w:name w:val="P68B1DB1-Normal8"/>
    <w:basedOn w:val="Normal"/>
    <w:rPr>
      <w:rFonts w:ascii="Times New Roman" w:eastAsia="Calibri" w:hAnsi="Times New Roman" w:cs="Times New Roman"/>
      <w:b/>
      <w:kern w:val="0"/>
      <w:sz w:val="18"/>
      <w:szCs w:val="18"/>
      <w14:ligatures w14:val="none"/>
    </w:rPr>
  </w:style>
  <w:style w:type="paragraph" w:customStyle="1" w:styleId="P68B1DB1-Normal9">
    <w:name w:val="P68B1DB1-Normal9"/>
    <w:basedOn w:val="Normal"/>
    <w:rPr>
      <w:rFonts w:ascii="Times New Roman" w:eastAsia="Calibri" w:hAnsi="Times New Roman" w:cs="Times New Roman"/>
      <w:kern w:val="0"/>
      <w:sz w:val="18"/>
      <w:szCs w:val="18"/>
      <w14:ligatures w14:val="none"/>
    </w:rPr>
  </w:style>
  <w:style w:type="paragraph" w:customStyle="1" w:styleId="P68B1DB1-Normal10">
    <w:name w:val="P68B1DB1-Normal10"/>
    <w:basedOn w:val="Normal"/>
    <w:rPr>
      <w:rFonts w:ascii="Times New Roman" w:eastAsia="MS Mincho" w:hAnsi="Times New Roman" w:cs="Times New Roman"/>
      <w:kern w:val="0"/>
      <w:sz w:val="18"/>
      <w:szCs w:val="18"/>
      <w14:ligatures w14:val="none"/>
    </w:rPr>
  </w:style>
  <w:style w:type="paragraph" w:customStyle="1" w:styleId="P68B1DB1-ListParagraph11">
    <w:name w:val="P68B1DB1-ListParagraph11"/>
    <w:basedOn w:val="ListParagraph"/>
    <w:rPr>
      <w:rFonts w:ascii="Times New Roman" w:eastAsia="Calibri" w:hAnsi="Times New Roman" w:cs="Times New Roman"/>
      <w:kern w:val="0"/>
      <w:sz w:val="18"/>
      <w:szCs w:val="18"/>
      <w14:ligatures w14:val="none"/>
    </w:rPr>
  </w:style>
  <w:style w:type="paragraph" w:customStyle="1" w:styleId="P68B1DB1-ListParagraph12">
    <w:name w:val="P68B1DB1-ListParagraph12"/>
    <w:basedOn w:val="ListParagraph"/>
    <w:rPr>
      <w:rFonts w:ascii="Times New Roman" w:eastAsia="Calibri" w:hAnsi="Times New Roman" w:cs="Times New Roman"/>
      <w:color w:val="000000"/>
      <w:kern w:val="0"/>
      <w:sz w:val="18"/>
      <w:szCs w:val="18"/>
      <w14:ligatures w14:val="none"/>
    </w:rPr>
  </w:style>
  <w:style w:type="paragraph" w:customStyle="1" w:styleId="P68B1DB1-Normal13">
    <w:name w:val="P68B1DB1-Normal13"/>
    <w:basedOn w:val="Normal"/>
    <w:rPr>
      <w:rFonts w:ascii="Times New Roman" w:hAnsi="Times New Roman" w:cs="Times New Roman"/>
      <w:kern w:val="0"/>
      <w:sz w:val="18"/>
      <w:szCs w:val="18"/>
      <w14:ligatures w14:val="none"/>
    </w:rPr>
  </w:style>
  <w:style w:type="paragraph" w:customStyle="1" w:styleId="P68B1DB1-Normal14">
    <w:name w:val="P68B1DB1-Normal14"/>
    <w:basedOn w:val="Normal"/>
    <w:rPr>
      <w:rFonts w:ascii="Times New Roman" w:eastAsia="Times New Roman" w:hAnsi="Times New Roman" w:cs="Times New Roman"/>
      <w:kern w:val="0"/>
      <w:sz w:val="18"/>
      <w:szCs w:val="18"/>
      <w14:ligatures w14:val="none"/>
    </w:rPr>
  </w:style>
  <w:style w:type="paragraph" w:customStyle="1" w:styleId="P68B1DB1-Normal15">
    <w:name w:val="P68B1DB1-Normal15"/>
    <w:basedOn w:val="Normal"/>
    <w:rPr>
      <w:rFonts w:ascii="Times New Roman" w:eastAsia="Calibri" w:hAnsi="Times New Roman" w:cs="Arial"/>
      <w:kern w:val="0"/>
      <w:szCs w:val="22"/>
      <w:u w:val="single"/>
      <w14:ligatures w14:val="none"/>
    </w:rPr>
  </w:style>
  <w:style w:type="paragraph" w:customStyle="1" w:styleId="P68B1DB1-Normal16">
    <w:name w:val="P68B1DB1-Normal16"/>
    <w:basedOn w:val="Normal"/>
    <w:rPr>
      <w:rFonts w:ascii="Times New Roman" w:eastAsia="Calibri" w:hAnsi="Times New Roman" w:cs="Times New Roman"/>
      <w:kern w:val="0"/>
      <w14:ligatures w14:val="none"/>
    </w:rPr>
  </w:style>
  <w:style w:type="paragraph" w:customStyle="1" w:styleId="P68B1DB1-Normal17">
    <w:name w:val="P68B1DB1-Normal17"/>
    <w:basedOn w:val="Normal"/>
    <w:rPr>
      <w:rFonts w:ascii="Times New Roman" w:eastAsia="Calibri" w:hAnsi="Times New Roman" w:cs="Arial"/>
      <w:b/>
      <w:kern w:val="0"/>
      <w:sz w:val="18"/>
      <w:szCs w:val="18"/>
      <w14:ligatures w14:val="none"/>
    </w:rPr>
  </w:style>
  <w:style w:type="paragraph" w:customStyle="1" w:styleId="P68B1DB1-Normal18">
    <w:name w:val="P68B1DB1-Normal18"/>
    <w:basedOn w:val="Normal"/>
    <w:rPr>
      <w:kern w:val="0"/>
      <w:sz w:val="18"/>
      <w:szCs w:val="18"/>
      <w14:ligatures w14:val="none"/>
    </w:rPr>
  </w:style>
  <w:style w:type="paragraph" w:customStyle="1" w:styleId="P68B1DB1-Normal19">
    <w:name w:val="P68B1DB1-Normal19"/>
    <w:basedOn w:val="Normal"/>
    <w:rPr>
      <w:rFonts w:ascii="Times New Roman" w:eastAsia="Calibri" w:hAnsi="Times New Roman" w:cs="Arial"/>
      <w:kern w:val="0"/>
      <w:sz w:val="18"/>
      <w:szCs w:val="18"/>
      <w14:ligatures w14:val="none"/>
    </w:rPr>
  </w:style>
  <w:style w:type="paragraph" w:customStyle="1" w:styleId="P68B1DB1-Normal20">
    <w:name w:val="P68B1DB1-Normal20"/>
    <w:basedOn w:val="Normal"/>
    <w:rPr>
      <w:rFonts w:ascii="Times New Roman" w:hAnsi="Times New Roman"/>
      <w:kern w:val="0"/>
      <w:sz w:val="18"/>
      <w:szCs w:val="18"/>
      <w14:ligatures w14:val="none"/>
    </w:rPr>
  </w:style>
  <w:style w:type="paragraph" w:customStyle="1" w:styleId="P68B1DB1-Normal21">
    <w:name w:val="P68B1DB1-Normal21"/>
    <w:basedOn w:val="Normal"/>
    <w:rPr>
      <w:rFonts w:ascii="Times New Roman" w:hAnsi="Times New Roman"/>
      <w:kern w:val="0"/>
      <w14:ligatures w14:val="none"/>
    </w:rPr>
  </w:style>
  <w:style w:type="paragraph" w:customStyle="1" w:styleId="P68B1DB1-Normal22">
    <w:name w:val="P68B1DB1-Normal22"/>
    <w:basedOn w:val="Normal"/>
    <w:rPr>
      <w:kern w:val="0"/>
      <w14:ligatures w14:val="none"/>
    </w:rPr>
  </w:style>
  <w:style w:type="paragraph" w:customStyle="1" w:styleId="P68B1DB1-Normal23">
    <w:name w:val="P68B1DB1-Normal23"/>
    <w:basedOn w:val="Normal"/>
    <w:rPr>
      <w:rFonts w:ascii="Times New Roman" w:eastAsia="Calibri" w:hAnsi="Times New Roman" w:cs="Arial"/>
      <w:color w:val="000000"/>
      <w:kern w:val="0"/>
      <w:szCs w:val="22"/>
      <w14:ligatures w14:val="none"/>
    </w:rPr>
  </w:style>
  <w:style w:type="paragraph" w:customStyle="1" w:styleId="P68B1DB1-Normal24">
    <w:name w:val="P68B1DB1-Normal24"/>
    <w:basedOn w:val="Normal"/>
    <w:rPr>
      <w:rFonts w:ascii="Times New Roman" w:eastAsia="Calibri" w:hAnsi="Times New Roman" w:cs="Arial"/>
      <w:color w:val="000000"/>
      <w:kern w:val="0"/>
      <w14:ligatures w14:val="none"/>
    </w:rPr>
  </w:style>
  <w:style w:type="paragraph" w:customStyle="1" w:styleId="P68B1DB1-Normal25">
    <w:name w:val="P68B1DB1-Normal25"/>
    <w:basedOn w:val="Normal"/>
    <w:rPr>
      <w:color w:val="000000"/>
      <w:kern w:val="0"/>
      <w:sz w:val="18"/>
      <w:szCs w:val="18"/>
      <w14:ligatures w14:val="none"/>
    </w:rPr>
  </w:style>
  <w:style w:type="paragraph" w:customStyle="1" w:styleId="P68B1DB1-Normal26">
    <w:name w:val="P68B1DB1-Normal26"/>
    <w:basedOn w:val="Normal"/>
    <w:rPr>
      <w:rFonts w:ascii="Times New Roman" w:eastAsia="Calibri" w:hAnsi="Times New Roman" w:cs="Arial"/>
      <w:color w:val="000000"/>
      <w:kern w:val="0"/>
      <w:sz w:val="18"/>
      <w:szCs w:val="18"/>
      <w14:ligatures w14:val="none"/>
    </w:rPr>
  </w:style>
  <w:style w:type="paragraph" w:customStyle="1" w:styleId="P68B1DB1-ListParagraph27">
    <w:name w:val="P68B1DB1-ListParagraph27"/>
    <w:basedOn w:val="ListParagraph"/>
    <w:rPr>
      <w:rFonts w:ascii="Times New Roman" w:eastAsia="Calibri" w:hAnsi="Times New Roman" w:cs="Arial"/>
      <w:kern w:val="0"/>
      <w:sz w:val="18"/>
      <w:szCs w:val="18"/>
      <w14:ligatures w14:val="none"/>
    </w:rPr>
  </w:style>
  <w:style w:type="paragraph" w:customStyle="1" w:styleId="P68B1DB1-Normal28">
    <w:name w:val="P68B1DB1-Normal28"/>
    <w:basedOn w:val="Normal"/>
    <w:rPr>
      <w:kern w:val="0"/>
      <w:szCs w:val="22"/>
      <w:u w:val="single"/>
      <w14:ligatures w14:val="none"/>
    </w:rPr>
  </w:style>
  <w:style w:type="paragraph" w:customStyle="1" w:styleId="P68B1DB1-ListParagraph29">
    <w:name w:val="P68B1DB1-ListParagraph29"/>
    <w:basedOn w:val="ListParagraph"/>
    <w:rPr>
      <w:kern w:val="0"/>
      <w:sz w:val="18"/>
      <w:szCs w:val="18"/>
      <w14:ligatures w14:val="none"/>
    </w:rPr>
  </w:style>
  <w:style w:type="paragraph" w:customStyle="1" w:styleId="P68B1DB1-Normal30">
    <w:name w:val="P68B1DB1-Normal30"/>
    <w:basedOn w:val="Normal"/>
    <w:rPr>
      <w:rFonts w:ascii="Times New Roman" w:eastAsia="Calibri" w:hAnsi="Times New Roman"/>
      <w:kern w:val="0"/>
      <w14:ligatures w14:val="none"/>
    </w:rPr>
  </w:style>
  <w:style w:type="paragraph" w:customStyle="1" w:styleId="P68B1DB1-Normal32">
    <w:name w:val="P68B1DB1-Normal32"/>
    <w:basedOn w:val="Normal"/>
    <w:rPr>
      <w:rFonts w:ascii="Times New Roman" w:eastAsia="MS Gothic" w:hAnsi="Times New Roman" w:cs="Times New Roman"/>
      <w:b/>
      <w:smallCaps/>
      <w:kern w:val="0"/>
      <w:szCs w:val="28"/>
      <w14:ligatures w14:val="none"/>
    </w:rPr>
  </w:style>
  <w:style w:type="paragraph" w:customStyle="1" w:styleId="P68B1DB1-Normal33">
    <w:name w:val="P68B1DB1-Normal33"/>
    <w:basedOn w:val="Normal"/>
    <w:rPr>
      <w:rFonts w:ascii="Times New Roman" w:eastAsia="Calibri" w:hAnsi="Times New Roman" w:cs="Arial"/>
      <w:b/>
      <w:color w:val="000000"/>
      <w:kern w:val="0"/>
      <w:szCs w:val="22"/>
      <w14:ligatures w14:val="none"/>
    </w:rPr>
  </w:style>
  <w:style w:type="paragraph" w:customStyle="1" w:styleId="P68B1DB1-Normal34">
    <w:name w:val="P68B1DB1-Normal34"/>
    <w:basedOn w:val="Normal"/>
    <w:rPr>
      <w:kern w:val="0"/>
      <w:szCs w:val="22"/>
      <w14:ligatures w14:val="none"/>
    </w:rPr>
  </w:style>
  <w:style w:type="paragraph" w:customStyle="1" w:styleId="P68B1DB1-Normal35">
    <w:name w:val="P68B1DB1-Normal35"/>
    <w:basedOn w:val="Normal"/>
    <w:rPr>
      <w:rFonts w:ascii="Times New Roman" w:eastAsia="Calibri" w:hAnsi="Times New Roman" w:cs="Arial"/>
      <w:color w:val="000000"/>
      <w:kern w:val="0"/>
      <w:sz w:val="22"/>
      <w:szCs w:val="22"/>
      <w14:ligatures w14:val="none"/>
    </w:rPr>
  </w:style>
  <w:style w:type="paragraph" w:customStyle="1" w:styleId="P68B1DB1-Normal36">
    <w:name w:val="P68B1DB1-Normal36"/>
    <w:basedOn w:val="Normal"/>
    <w:rPr>
      <w:kern w:val="0"/>
      <w:sz w:val="22"/>
      <w:szCs w:val="22"/>
      <w14:ligatures w14:val="none"/>
    </w:rPr>
  </w:style>
  <w:style w:type="paragraph" w:customStyle="1" w:styleId="P68B1DB1-ListParagraph37">
    <w:name w:val="P68B1DB1-ListParagraph37"/>
    <w:basedOn w:val="ListParagraph"/>
    <w:rPr>
      <w:rFonts w:ascii="Times New Roman" w:hAnsi="Times New Roman"/>
    </w:rPr>
  </w:style>
  <w:style w:type="paragraph" w:customStyle="1" w:styleId="P68B1DB1-Normal38">
    <w:name w:val="P68B1DB1-Normal38"/>
    <w:basedOn w:val="Normal"/>
    <w:rPr>
      <w:rFonts w:ascii="Times New Roman" w:hAnsi="Times New Roman"/>
      <w:b/>
      <w:color w:val="000000" w:themeColor="text1"/>
    </w:rPr>
  </w:style>
  <w:style w:type="paragraph" w:customStyle="1" w:styleId="P68B1DB1-Normal39">
    <w:name w:val="P68B1DB1-Normal39"/>
    <w:basedOn w:val="Normal"/>
    <w:rPr>
      <w:rFonts w:ascii="Times New Roman" w:hAnsi="Times New Roman"/>
      <w:color w:val="000000" w:themeColor="text1"/>
    </w:rPr>
  </w:style>
  <w:style w:type="paragraph" w:customStyle="1" w:styleId="P68B1DB1-Normal40">
    <w:name w:val="P68B1DB1-Normal40"/>
    <w:basedOn w:val="Normal"/>
    <w:rPr>
      <w:rFonts w:ascii="Times New Roman" w:hAnsi="Times New Roman"/>
    </w:rPr>
  </w:style>
  <w:style w:type="paragraph" w:customStyle="1" w:styleId="P68B1DB1-Normal41">
    <w:name w:val="P68B1DB1-Normal41"/>
    <w:basedOn w:val="Normal"/>
    <w:rPr>
      <w:rFonts w:ascii="Times New Roman" w:hAnsi="Times New Roman" w:cs="Times New Roman"/>
      <w:color w:val="000000" w:themeColor="text1"/>
    </w:rPr>
  </w:style>
  <w:style w:type="paragraph" w:customStyle="1" w:styleId="P68B1DB1-Normal43">
    <w:name w:val="P68B1DB1-Normal43"/>
    <w:basedOn w:val="Normal"/>
    <w:rPr>
      <w:rFonts w:ascii="Times New Roman" w:hAnsi="Times New Roman" w:cs="Times New Roman"/>
    </w:rPr>
  </w:style>
  <w:style w:type="paragraph" w:customStyle="1" w:styleId="P68B1DB1-Normal44">
    <w:name w:val="P68B1DB1-Normal44"/>
    <w:basedOn w:val="Normal"/>
    <w:rPr>
      <w:rFonts w:ascii="Times New Roman" w:eastAsia="Calibri" w:hAnsi="Times New Roman" w:cs="Arial"/>
      <w:b/>
      <w:color w:val="000000"/>
    </w:rPr>
  </w:style>
  <w:style w:type="paragraph" w:customStyle="1" w:styleId="P68B1DB1-Normal45">
    <w:name w:val="P68B1DB1-Normal45"/>
    <w:basedOn w:val="Normal"/>
    <w:rPr>
      <w:rFonts w:ascii="Times New Roman" w:eastAsia="Calibri" w:hAnsi="Times New Roman" w:cs="Arial"/>
      <w:color w:val="000000"/>
    </w:rPr>
  </w:style>
  <w:style w:type="paragraph" w:customStyle="1" w:styleId="P68B1DB1-Normal46">
    <w:name w:val="P68B1DB1-Normal46"/>
    <w:basedOn w:val="Normal"/>
    <w:rPr>
      <w:rFonts w:ascii="Times New Roman" w:eastAsia="Calibri" w:hAnsi="Times New Roman" w:cs="Arial"/>
    </w:rPr>
  </w:style>
  <w:style w:type="paragraph" w:customStyle="1" w:styleId="P68B1DB1-Normal47">
    <w:name w:val="P68B1DB1-Normal47"/>
    <w:basedOn w:val="Normal"/>
    <w:rPr>
      <w:rFonts w:ascii="Times New Roman" w:eastAsia="Calibri" w:hAnsi="Times New Roman"/>
      <w:color w:val="000000" w:themeColor="text1"/>
    </w:rPr>
  </w:style>
  <w:style w:type="paragraph" w:customStyle="1" w:styleId="P68B1DB1-Normal48">
    <w:name w:val="P68B1DB1-Normal48"/>
    <w:basedOn w:val="Normal"/>
    <w:rPr>
      <w:rFonts w:ascii="Times New Roman" w:eastAsiaTheme="minorEastAsia" w:hAnsi="Times New Roman" w:cs="Times New Roman"/>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footer" Target="footer17.xml"/><Relationship Id="rId47" Type="http://schemas.openxmlformats.org/officeDocument/2006/relationships/header" Target="header20.xml"/><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footer" Target="footer1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17.xml"/><Relationship Id="rId54"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footer" Target="footer16.xml"/><Relationship Id="rId45" Type="http://schemas.openxmlformats.org/officeDocument/2006/relationships/header" Target="header19.xml"/><Relationship Id="rId53"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8.xml"/><Relationship Id="rId52" Type="http://schemas.openxmlformats.org/officeDocument/2006/relationships/footer" Target="foot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43" Type="http://schemas.openxmlformats.org/officeDocument/2006/relationships/header" Target="header18.xml"/><Relationship Id="rId48" Type="http://schemas.openxmlformats.org/officeDocument/2006/relationships/footer" Target="footer20.xml"/><Relationship Id="rId56"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footer" Target="footer2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31409-C298-4967-85D0-A6E744FC3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15</Pages>
  <Words>33959</Words>
  <Characters>193569</Characters>
  <Application>Microsoft Office Word</Application>
  <DocSecurity>0</DocSecurity>
  <Lines>1613</Lines>
  <Paragraphs>454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2026-06-05T13:42:00Z</dcterms:created>
  <dcterms:modified xsi:type="dcterms:W3CDTF">2026-06-25T13:21:00Z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2026-06-05T14:02:29Z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fefd74df-b025-4940-b914-07f47fd9661f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