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60D0DD" w14:textId="6DCB7AEC" w:rsidR="00511E72" w:rsidRPr="007F399E" w:rsidRDefault="00495B6A" w:rsidP="00495B6A">
      <w:pPr>
        <w:pStyle w:val="Pagedecouverture"/>
        <w:rPr>
          <w:noProof/>
        </w:rPr>
      </w:pPr>
      <w:bookmarkStart w:id="0" w:name="LW_BM_COVERPAGE"/>
      <w:r>
        <w:rPr>
          <w:noProof/>
        </w:rPr>
        <w:pict w14:anchorId="74641C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D5366C3-1596-4098-A82F-12F84F3F6711" style="width:455.25pt;height:286.5pt">
            <v:imagedata r:id="rId11" o:title=""/>
          </v:shape>
        </w:pict>
      </w:r>
    </w:p>
    <w:bookmarkEnd w:id="0"/>
    <w:p w14:paraId="7D882972" w14:textId="77777777" w:rsidR="00511E72" w:rsidRPr="007F399E" w:rsidRDefault="00511E72" w:rsidP="00511E72">
      <w:pPr>
        <w:rPr>
          <w:noProof/>
        </w:rPr>
        <w:sectPr w:rsidR="00511E72" w:rsidRPr="007F399E" w:rsidSect="00495B6A">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62769B95" w14:textId="7B3B8E0C" w:rsidR="00C1171F" w:rsidRPr="007F399E" w:rsidRDefault="00C1171F" w:rsidP="00D477B3">
      <w:pPr>
        <w:pStyle w:val="ListParagraph"/>
        <w:keepNext/>
        <w:numPr>
          <w:ilvl w:val="0"/>
          <w:numId w:val="1"/>
        </w:numPr>
        <w:ind w:left="357" w:hanging="357"/>
        <w:jc w:val="both"/>
        <w:rPr>
          <w:rFonts w:ascii="Times New Roman" w:hAnsi="Times New Roman" w:cs="Times New Roman"/>
          <w:b/>
          <w:bCs/>
          <w:noProof/>
        </w:rPr>
      </w:pPr>
      <w:bookmarkStart w:id="1" w:name="_GoBack"/>
      <w:bookmarkEnd w:id="1"/>
      <w:r w:rsidRPr="007F399E">
        <w:rPr>
          <w:rFonts w:ascii="Times New Roman" w:hAnsi="Times New Roman"/>
          <w:b/>
          <w:noProof/>
        </w:rPr>
        <w:lastRenderedPageBreak/>
        <w:t xml:space="preserve">Introducere </w:t>
      </w:r>
    </w:p>
    <w:p w14:paraId="54961318" w14:textId="736A5BF9" w:rsidR="00A80A5D" w:rsidRPr="007F399E" w:rsidRDefault="00C1171F" w:rsidP="00355F68">
      <w:pPr>
        <w:jc w:val="both"/>
        <w:rPr>
          <w:rFonts w:ascii="Times New Roman" w:hAnsi="Times New Roman" w:cs="Times New Roman"/>
          <w:noProof/>
        </w:rPr>
      </w:pPr>
      <w:r w:rsidRPr="007F399E">
        <w:rPr>
          <w:rFonts w:ascii="Times New Roman" w:hAnsi="Times New Roman"/>
          <w:noProof/>
        </w:rPr>
        <w:t>Directiva 1999/62/CE privind taxarea vehiculelor pentru utilizarea infrastructurilor rutiere</w:t>
      </w:r>
      <w:r w:rsidR="007F399E" w:rsidRPr="007F399E">
        <w:rPr>
          <w:rFonts w:ascii="Times New Roman" w:hAnsi="Times New Roman"/>
          <w:noProof/>
        </w:rPr>
        <w:t> </w:t>
      </w:r>
      <w:r w:rsidRPr="007F399E">
        <w:rPr>
          <w:rFonts w:ascii="Times New Roman" w:hAnsi="Times New Roman"/>
          <w:noProof/>
        </w:rPr>
        <w:t>(</w:t>
      </w:r>
      <w:r w:rsidRPr="007F399E">
        <w:rPr>
          <w:rStyle w:val="FootnoteReference"/>
          <w:rFonts w:ascii="Times New Roman" w:hAnsi="Times New Roman" w:cs="Times New Roman"/>
          <w:noProof/>
        </w:rPr>
        <w:footnoteReference w:id="1"/>
      </w:r>
      <w:r w:rsidRPr="007F399E">
        <w:rPr>
          <w:rFonts w:ascii="Times New Roman" w:hAnsi="Times New Roman"/>
          <w:noProof/>
        </w:rPr>
        <w:t xml:space="preserve">), </w:t>
      </w:r>
      <w:r w:rsidRPr="007F399E">
        <w:rPr>
          <w:rStyle w:val="Bodytext1"/>
          <w:rFonts w:ascii="Times New Roman" w:hAnsi="Times New Roman"/>
          <w:noProof/>
        </w:rPr>
        <w:t>astfel cum a fost modificată ultima dată prin Directiva (UE) 2025/2459</w:t>
      </w:r>
      <w:r w:rsidR="007F399E" w:rsidRPr="007F399E">
        <w:rPr>
          <w:rStyle w:val="Bodytext1"/>
          <w:rFonts w:ascii="Times New Roman" w:hAnsi="Times New Roman"/>
          <w:noProof/>
        </w:rPr>
        <w:t> </w:t>
      </w:r>
      <w:r w:rsidRPr="007F399E">
        <w:rPr>
          <w:rStyle w:val="Bodytext1"/>
          <w:rFonts w:ascii="Times New Roman" w:hAnsi="Times New Roman"/>
          <w:noProof/>
        </w:rPr>
        <w:t>(</w:t>
      </w:r>
      <w:r w:rsidRPr="007F399E">
        <w:rPr>
          <w:rStyle w:val="FootnoteReference"/>
          <w:rFonts w:ascii="Times New Roman" w:hAnsi="Times New Roman" w:cs="Times New Roman"/>
          <w:noProof/>
        </w:rPr>
        <w:footnoteReference w:id="2"/>
      </w:r>
      <w:r w:rsidRPr="007F399E">
        <w:rPr>
          <w:rStyle w:val="Bodytext1"/>
          <w:rFonts w:ascii="Times New Roman" w:hAnsi="Times New Roman"/>
          <w:noProof/>
        </w:rPr>
        <w:t>)</w:t>
      </w:r>
      <w:r w:rsidRPr="007F399E">
        <w:rPr>
          <w:rFonts w:ascii="Times New Roman" w:hAnsi="Times New Roman"/>
          <w:noProof/>
        </w:rPr>
        <w:t xml:space="preserve"> (denumită în continuare „directiva”), reglementează impunerea taxelor rutiere în Uniune. Directiva pune în aplicare principiile „utilizatorul plătește” și „poluatorul plătește” în transportul rutier. </w:t>
      </w:r>
    </w:p>
    <w:p w14:paraId="2F3DABF1" w14:textId="63627E59" w:rsidR="001739BE" w:rsidRPr="007F399E" w:rsidRDefault="00D65056" w:rsidP="00355F68">
      <w:pPr>
        <w:jc w:val="both"/>
        <w:rPr>
          <w:rFonts w:ascii="Times New Roman" w:hAnsi="Times New Roman" w:cs="Times New Roman"/>
          <w:noProof/>
        </w:rPr>
      </w:pPr>
      <w:r w:rsidRPr="007F399E">
        <w:rPr>
          <w:rFonts w:ascii="Times New Roman" w:hAnsi="Times New Roman"/>
          <w:noProof/>
        </w:rPr>
        <w:t xml:space="preserve">Directiva împuternicește Comisia să adopte acte delegate în anumite cazuri pentru o perioadă de cinci ani, începând cu 24 martie 2022. Directiva prevede obligația Comisiei de a întocmi un raport în acest sens cel târziu cu nouă luni înainte de încheierea perioadei de cinci ani. </w:t>
      </w:r>
    </w:p>
    <w:p w14:paraId="48EE3C44" w14:textId="04042CF7" w:rsidR="00287140" w:rsidRPr="007F399E" w:rsidRDefault="00C468EC" w:rsidP="00355F68">
      <w:pPr>
        <w:jc w:val="both"/>
        <w:rPr>
          <w:rFonts w:ascii="Times New Roman" w:hAnsi="Times New Roman" w:cs="Times New Roman"/>
          <w:noProof/>
        </w:rPr>
      </w:pPr>
      <w:r w:rsidRPr="007F399E">
        <w:rPr>
          <w:rFonts w:ascii="Times New Roman" w:hAnsi="Times New Roman"/>
          <w:noProof/>
        </w:rPr>
        <w:t>În temeiul articolului 9d din directivă, Comisia este împuternicită să adopte acte delegate pentru a modifica următoarele anexe, pentru a se asigura că acestea reflectă progresele științifice și tehnice:</w:t>
      </w:r>
    </w:p>
    <w:p w14:paraId="4BB9A412" w14:textId="610E138C" w:rsidR="00287140" w:rsidRPr="007F399E" w:rsidRDefault="00185773" w:rsidP="00287140">
      <w:pPr>
        <w:pStyle w:val="ListParagraph"/>
        <w:numPr>
          <w:ilvl w:val="0"/>
          <w:numId w:val="3"/>
        </w:numPr>
        <w:jc w:val="both"/>
        <w:rPr>
          <w:rFonts w:ascii="Times New Roman" w:hAnsi="Times New Roman" w:cs="Times New Roman"/>
          <w:noProof/>
        </w:rPr>
      </w:pPr>
      <w:r w:rsidRPr="007F399E">
        <w:rPr>
          <w:rFonts w:ascii="Times New Roman" w:hAnsi="Times New Roman"/>
          <w:noProof/>
        </w:rPr>
        <w:t>a</w:t>
      </w:r>
      <w:r w:rsidR="00564AD7" w:rsidRPr="007F399E">
        <w:rPr>
          <w:rFonts w:ascii="Times New Roman" w:hAnsi="Times New Roman"/>
          <w:noProof/>
        </w:rPr>
        <w:t xml:space="preserve">nexa 0, care definește limitele de emisie pentru clasele Euro, </w:t>
      </w:r>
    </w:p>
    <w:p w14:paraId="12EEA8AD" w14:textId="1649622E" w:rsidR="00287140" w:rsidRPr="007F399E" w:rsidRDefault="00D65056" w:rsidP="00355F68">
      <w:pPr>
        <w:pStyle w:val="ListParagraph"/>
        <w:numPr>
          <w:ilvl w:val="0"/>
          <w:numId w:val="3"/>
        </w:numPr>
        <w:jc w:val="both"/>
        <w:rPr>
          <w:rFonts w:ascii="Times New Roman" w:hAnsi="Times New Roman" w:cs="Times New Roman"/>
          <w:noProof/>
        </w:rPr>
      </w:pPr>
      <w:r w:rsidRPr="007F399E">
        <w:rPr>
          <w:rFonts w:ascii="Times New Roman" w:hAnsi="Times New Roman"/>
          <w:noProof/>
        </w:rPr>
        <w:t>formulele de la punctele 4.1 și 4.2 din anexa IIIa privind cerințele minime pentru stabilirea unei taxe bazate pe costurile externe legate de poluarea atmosferică și fonică;</w:t>
      </w:r>
    </w:p>
    <w:p w14:paraId="65DCD206" w14:textId="3923D8E7" w:rsidR="00DD1EB6" w:rsidRPr="007F399E" w:rsidRDefault="00DD1EB6" w:rsidP="00355F68">
      <w:pPr>
        <w:pStyle w:val="ListParagraph"/>
        <w:numPr>
          <w:ilvl w:val="0"/>
          <w:numId w:val="3"/>
        </w:numPr>
        <w:jc w:val="both"/>
        <w:rPr>
          <w:rFonts w:ascii="Times New Roman" w:hAnsi="Times New Roman" w:cs="Times New Roman"/>
          <w:noProof/>
        </w:rPr>
      </w:pPr>
      <w:r w:rsidRPr="007F399E">
        <w:rPr>
          <w:rFonts w:ascii="Times New Roman" w:hAnsi="Times New Roman"/>
          <w:noProof/>
        </w:rPr>
        <w:t>sumele indicate în tabelele din anexele IIIb și IIIc, care stabilesc valori de referință pentru taxele bazate pe costurile externe legate de poluarea atmosferică și fonică și de emisiile de CO</w:t>
      </w:r>
      <w:r w:rsidRPr="007F399E">
        <w:rPr>
          <w:rFonts w:ascii="Times New Roman" w:hAnsi="Times New Roman"/>
          <w:noProof/>
          <w:vertAlign w:val="subscript"/>
        </w:rPr>
        <w:t>2</w:t>
      </w:r>
      <w:r w:rsidRPr="007F399E">
        <w:rPr>
          <w:rFonts w:ascii="Times New Roman" w:hAnsi="Times New Roman"/>
          <w:noProof/>
        </w:rPr>
        <w:t>.</w:t>
      </w:r>
    </w:p>
    <w:p w14:paraId="194CEE40" w14:textId="7BDB5546" w:rsidR="0017729F" w:rsidRPr="007F399E" w:rsidRDefault="00C468EC" w:rsidP="00355F68">
      <w:pPr>
        <w:jc w:val="both"/>
        <w:rPr>
          <w:rFonts w:ascii="Times New Roman" w:hAnsi="Times New Roman" w:cs="Times New Roman"/>
          <w:noProof/>
        </w:rPr>
      </w:pPr>
      <w:r w:rsidRPr="007F399E">
        <w:rPr>
          <w:rFonts w:ascii="Times New Roman" w:hAnsi="Times New Roman"/>
          <w:noProof/>
        </w:rPr>
        <w:t>În temeiul articolului 7cb alineatul (4) din directivă, Comisia trebuie, de asemenea, în anumite circumstanțe, să adopte acte delegate pentru a modifica anexa IIIc la directivă în ceea ce privește valorile de referință ale taxei bazate pe costurile externe legate de emisiile de CO</w:t>
      </w:r>
      <w:r w:rsidRPr="007F399E">
        <w:rPr>
          <w:rFonts w:ascii="Times New Roman" w:hAnsi="Times New Roman"/>
          <w:noProof/>
          <w:vertAlign w:val="subscript"/>
        </w:rPr>
        <w:t>2</w:t>
      </w:r>
      <w:r w:rsidRPr="007F399E">
        <w:rPr>
          <w:rFonts w:ascii="Times New Roman" w:hAnsi="Times New Roman"/>
          <w:noProof/>
        </w:rPr>
        <w:t>, ținând seama de prețul efectiv al carbonului aplicat combustibililor pentru transportul rutier în Uniune. În această privință, articolul 7cb alineatul (4) din directivă impune Comisiei să evalueze, până la 25 martie 2027, punerea în aplicare și eficacitatea taxării costurilor externe pentru emisiile de CO</w:t>
      </w:r>
      <w:r w:rsidRPr="007F399E">
        <w:rPr>
          <w:rFonts w:ascii="Times New Roman" w:hAnsi="Times New Roman"/>
          <w:noProof/>
          <w:vertAlign w:val="subscript"/>
        </w:rPr>
        <w:t>2</w:t>
      </w:r>
      <w:r w:rsidRPr="007F399E">
        <w:rPr>
          <w:rFonts w:ascii="Times New Roman" w:hAnsi="Times New Roman"/>
          <w:noProof/>
        </w:rPr>
        <w:t>, precum și coerența acesteia cu Directiva 2003/87/CE de stabilire a unui sistem de comercializare a cotelor de emisie de gaze cu efect de seră în cadrul Uniunii</w:t>
      </w:r>
      <w:r w:rsidR="007F399E" w:rsidRPr="007F399E">
        <w:rPr>
          <w:rFonts w:ascii="Times New Roman" w:hAnsi="Times New Roman"/>
          <w:noProof/>
        </w:rPr>
        <w:t> </w:t>
      </w:r>
      <w:r w:rsidRPr="007F399E">
        <w:rPr>
          <w:rFonts w:ascii="Times New Roman" w:hAnsi="Times New Roman"/>
          <w:noProof/>
        </w:rPr>
        <w:t>(</w:t>
      </w:r>
      <w:r w:rsidRPr="007F399E">
        <w:rPr>
          <w:rStyle w:val="FootnoteReference"/>
          <w:rFonts w:ascii="Times New Roman" w:hAnsi="Times New Roman" w:cs="Times New Roman"/>
          <w:noProof/>
        </w:rPr>
        <w:footnoteReference w:id="3"/>
      </w:r>
      <w:r w:rsidRPr="007F399E">
        <w:rPr>
          <w:rFonts w:ascii="Times New Roman" w:hAnsi="Times New Roman"/>
          <w:noProof/>
        </w:rPr>
        <w:t>) și cu Directiva 2003/96/CE a Consiliului</w:t>
      </w:r>
      <w:r w:rsidR="007F399E" w:rsidRPr="007F399E">
        <w:rPr>
          <w:rFonts w:ascii="Times New Roman" w:hAnsi="Times New Roman"/>
          <w:noProof/>
        </w:rPr>
        <w:t> </w:t>
      </w:r>
      <w:r w:rsidRPr="007F399E">
        <w:rPr>
          <w:rFonts w:ascii="Times New Roman" w:hAnsi="Times New Roman"/>
          <w:noProof/>
        </w:rPr>
        <w:t>(</w:t>
      </w:r>
      <w:r w:rsidRPr="007F399E">
        <w:rPr>
          <w:rStyle w:val="FootnoteReference"/>
          <w:rFonts w:ascii="Times New Roman" w:hAnsi="Times New Roman" w:cs="Times New Roman"/>
          <w:noProof/>
        </w:rPr>
        <w:footnoteReference w:id="4"/>
      </w:r>
      <w:r w:rsidRPr="007F399E">
        <w:rPr>
          <w:rFonts w:ascii="Times New Roman" w:hAnsi="Times New Roman"/>
          <w:noProof/>
        </w:rPr>
        <w:t>) și, pe baza evaluării respective, să prezinte, după caz, o propunere legislativă de modificare a acestui articol. În conformitate cu aceeași dispoziție, în cazul în care articolul 7cb din directivă nu a fost modificat până la 1 ianuarie 2027, însă Directiva 2003/87/CE sau Directiva 2003/96/CE a fost modificată într-un mod care conduce la o internalizare efectivă, cel puțin parțială, a costurilor externe ale emisiilor de CO</w:t>
      </w:r>
      <w:r w:rsidRPr="007F399E">
        <w:rPr>
          <w:rFonts w:ascii="Times New Roman" w:hAnsi="Times New Roman"/>
          <w:noProof/>
          <w:vertAlign w:val="subscript"/>
        </w:rPr>
        <w:t>2</w:t>
      </w:r>
      <w:r w:rsidRPr="007F399E">
        <w:rPr>
          <w:rFonts w:ascii="Times New Roman" w:hAnsi="Times New Roman"/>
          <w:noProof/>
        </w:rPr>
        <w:t xml:space="preserve"> generate de transportul rutier, Comisia trebuie să adopte acte delegate de modificare a anexei IIIc la directivă, pentru a ajusta valorile de referință ale taxei bazate pe costurile externe legate de emisiile de CO</w:t>
      </w:r>
      <w:r w:rsidRPr="007F399E">
        <w:rPr>
          <w:rFonts w:ascii="Times New Roman" w:hAnsi="Times New Roman"/>
          <w:noProof/>
          <w:vertAlign w:val="subscript"/>
        </w:rPr>
        <w:t>2</w:t>
      </w:r>
      <w:r w:rsidRPr="007F399E">
        <w:rPr>
          <w:rFonts w:ascii="Times New Roman" w:hAnsi="Times New Roman"/>
          <w:noProof/>
        </w:rPr>
        <w:t>, ținând seama de prețul efectiv al carbonului aplicat combustibililor pentru transportul rutier în Uniune. Articolul 9d al doilea paragraf din directivă prevede că astfel de modificări trebuie să se limiteze la a garanta că nivelul taxelor bazate pe costurile externe legate de emisiile de CO</w:t>
      </w:r>
      <w:r w:rsidRPr="007F399E">
        <w:rPr>
          <w:rFonts w:ascii="Times New Roman" w:hAnsi="Times New Roman"/>
          <w:noProof/>
          <w:vertAlign w:val="subscript"/>
        </w:rPr>
        <w:t>2</w:t>
      </w:r>
      <w:r w:rsidRPr="007F399E">
        <w:rPr>
          <w:rFonts w:ascii="Times New Roman" w:hAnsi="Times New Roman"/>
          <w:noProof/>
        </w:rPr>
        <w:t xml:space="preserve"> nu merg dincolo de ceea ce este necesar pentru a internaliza costurile externe ale emisiilor de CO</w:t>
      </w:r>
      <w:r w:rsidRPr="007F399E">
        <w:rPr>
          <w:rFonts w:ascii="Times New Roman" w:hAnsi="Times New Roman"/>
          <w:noProof/>
          <w:vertAlign w:val="subscript"/>
        </w:rPr>
        <w:t>2</w:t>
      </w:r>
      <w:r w:rsidRPr="007F399E">
        <w:rPr>
          <w:rFonts w:ascii="Times New Roman" w:hAnsi="Times New Roman"/>
          <w:noProof/>
        </w:rPr>
        <w:t xml:space="preserve"> generate de transportul rutier. În acest sens, Comisia efectuează în prezent un studiu privind stabilirea prețului carbonului în taxele de trecere și în taxele de utilizare, cu scopul de a evalua punerea lor în aplicare și coerența cu comercializarea certificatelor de emisii și cu impozitarea energiei. Studiul urmează să fie finalizat până la sfârșitul anului 2026. </w:t>
      </w:r>
    </w:p>
    <w:p w14:paraId="640BF1D6" w14:textId="54F7A77F" w:rsidR="00564AD7" w:rsidRPr="007F399E" w:rsidRDefault="002759F9" w:rsidP="00355F68">
      <w:pPr>
        <w:jc w:val="both"/>
        <w:rPr>
          <w:rFonts w:ascii="Times New Roman" w:hAnsi="Times New Roman" w:cs="Times New Roman"/>
          <w:b/>
          <w:bCs/>
          <w:noProof/>
        </w:rPr>
      </w:pPr>
      <w:r w:rsidRPr="007F399E">
        <w:rPr>
          <w:rFonts w:ascii="Times New Roman" w:hAnsi="Times New Roman"/>
          <w:noProof/>
        </w:rPr>
        <w:t>Baza științifică și tehnică pentru valorile din anexele menționate la articolul 9d, precum și în anexele V și VI este Manualul privind costurile externe ale transportului rutier. În această privință, trebuie remarcat faptul că, în a doua jumătate a anului 2026, Comisia va publica o actualizare a prezentului manual.</w:t>
      </w:r>
    </w:p>
    <w:p w14:paraId="731D0B19" w14:textId="702B0509" w:rsidR="00C1171F" w:rsidRPr="007F399E" w:rsidRDefault="00C1171F" w:rsidP="00D477B3">
      <w:pPr>
        <w:pStyle w:val="ListParagraph"/>
        <w:keepNext/>
        <w:numPr>
          <w:ilvl w:val="0"/>
          <w:numId w:val="1"/>
        </w:numPr>
        <w:ind w:left="357" w:hanging="357"/>
        <w:jc w:val="both"/>
        <w:rPr>
          <w:rFonts w:ascii="Times New Roman" w:hAnsi="Times New Roman" w:cs="Times New Roman"/>
          <w:b/>
          <w:bCs/>
          <w:noProof/>
        </w:rPr>
      </w:pPr>
      <w:r w:rsidRPr="007F399E">
        <w:rPr>
          <w:rFonts w:ascii="Times New Roman" w:hAnsi="Times New Roman"/>
          <w:b/>
          <w:noProof/>
        </w:rPr>
        <w:t xml:space="preserve">Temeiul juridic al raportului </w:t>
      </w:r>
    </w:p>
    <w:p w14:paraId="77AC4678" w14:textId="09D3BD6F" w:rsidR="00C1171F" w:rsidRPr="007F399E" w:rsidRDefault="00C1171F" w:rsidP="00226F07">
      <w:pPr>
        <w:jc w:val="both"/>
        <w:rPr>
          <w:rFonts w:ascii="Times New Roman" w:hAnsi="Times New Roman" w:cs="Times New Roman"/>
          <w:noProof/>
        </w:rPr>
      </w:pPr>
      <w:r w:rsidRPr="007F399E">
        <w:rPr>
          <w:rFonts w:ascii="Times New Roman" w:hAnsi="Times New Roman"/>
          <w:noProof/>
        </w:rPr>
        <w:t>Prezentul raport este obligatoriu în temeiul articolului 9e alineatul (2) din directivă, care limitează delegarea de competențe către Comisie pentru o perioadă de cinci ani începând cu 24</w:t>
      </w:r>
      <w:r w:rsidR="007F399E" w:rsidRPr="007F399E">
        <w:rPr>
          <w:rFonts w:ascii="Times New Roman" w:hAnsi="Times New Roman"/>
          <w:noProof/>
        </w:rPr>
        <w:t> </w:t>
      </w:r>
      <w:r w:rsidRPr="007F399E">
        <w:rPr>
          <w:rFonts w:ascii="Times New Roman" w:hAnsi="Times New Roman"/>
          <w:noProof/>
        </w:rPr>
        <w:t xml:space="preserve">martie 2022, cu posibilitatea unei prelungiri tacite pentru o perioadă identică. Prezentul raport se referă la perioada cuprinsă între 24 martie 2022 și data adoptării prezentului raport. </w:t>
      </w:r>
    </w:p>
    <w:p w14:paraId="633827EA" w14:textId="77777777" w:rsidR="008A1ED2" w:rsidRPr="007F399E" w:rsidRDefault="00C1171F" w:rsidP="00D477B3">
      <w:pPr>
        <w:pStyle w:val="ListParagraph"/>
        <w:keepNext/>
        <w:numPr>
          <w:ilvl w:val="0"/>
          <w:numId w:val="1"/>
        </w:numPr>
        <w:ind w:left="357" w:hanging="357"/>
        <w:jc w:val="both"/>
        <w:rPr>
          <w:rFonts w:ascii="Times New Roman" w:hAnsi="Times New Roman" w:cs="Times New Roman"/>
          <w:b/>
          <w:bCs/>
          <w:noProof/>
        </w:rPr>
      </w:pPr>
      <w:r w:rsidRPr="007F399E">
        <w:rPr>
          <w:rFonts w:ascii="Times New Roman" w:hAnsi="Times New Roman"/>
          <w:b/>
          <w:noProof/>
        </w:rPr>
        <w:t xml:space="preserve">Exercitarea delegării de competențe </w:t>
      </w:r>
    </w:p>
    <w:p w14:paraId="5931A131" w14:textId="67B4A48F" w:rsidR="00F33E80" w:rsidRPr="007F399E" w:rsidRDefault="0075333B" w:rsidP="00E72E94">
      <w:pPr>
        <w:jc w:val="both"/>
        <w:rPr>
          <w:rFonts w:ascii="Times New Roman" w:hAnsi="Times New Roman" w:cs="Times New Roman"/>
          <w:noProof/>
        </w:rPr>
      </w:pPr>
      <w:r w:rsidRPr="007F399E">
        <w:rPr>
          <w:rFonts w:ascii="Times New Roman" w:hAnsi="Times New Roman"/>
          <w:noProof/>
        </w:rPr>
        <w:t>Competența de a adopta acte delegate conferită Comisiei în temeiul articolului 9e alineatul (2) din directivă nu a fost încă exercitată. Primul motiv este faptul că actul delegat menționat la articolul 7cb alineatul (4) din directivă trebuie luat în considerare numai în cazul în care Directiva 2003/87/CE sau Directiva 2003/96/CE a fost modificată într-un mod care conduce la internalizarea efectivă a cel puțin unei părți din costurile externe ale emisiilor de CO</w:t>
      </w:r>
      <w:r w:rsidRPr="007F399E">
        <w:rPr>
          <w:rFonts w:ascii="Times New Roman" w:hAnsi="Times New Roman"/>
          <w:noProof/>
          <w:vertAlign w:val="subscript"/>
        </w:rPr>
        <w:t>2</w:t>
      </w:r>
      <w:r w:rsidRPr="007F399E">
        <w:rPr>
          <w:rFonts w:ascii="Times New Roman" w:hAnsi="Times New Roman"/>
          <w:noProof/>
        </w:rPr>
        <w:t xml:space="preserve"> generate de transportul rutier și că articolul 7cb nu a fost modificat până la 1 ianuarie 2027. Această evaluare este în curs de desfășurare. Al doilea motiv este absența unor progrese științifice sau tehnice semnificative care ar fi putut fi luate în considerare (și anume, o actualizare a manualului); </w:t>
      </w:r>
    </w:p>
    <w:p w14:paraId="7A2652CA" w14:textId="49E07A62" w:rsidR="0025245B" w:rsidRPr="007F399E" w:rsidRDefault="00D65056" w:rsidP="00E72E94">
      <w:pPr>
        <w:jc w:val="both"/>
        <w:rPr>
          <w:rFonts w:ascii="Times New Roman" w:hAnsi="Times New Roman" w:cs="Times New Roman"/>
          <w:noProof/>
        </w:rPr>
      </w:pPr>
      <w:r w:rsidRPr="007F399E">
        <w:rPr>
          <w:rFonts w:ascii="Times New Roman" w:hAnsi="Times New Roman"/>
          <w:noProof/>
        </w:rPr>
        <w:t>Competența de a adopta acte delegate rămâne relevantă, în primul rând, pentru a asigura capacitatea de a ajusta valorile de referință stabilite în anexa IIIc la directivă, având în vedere evaluarea care trebuie efectuată de Comisie în conformitate cu articolul 7cb alineatul (4) din directivă ca urmare a modificării Directivei 2003/87/CE și a aplicării noului sistem de comercializare a certificatelor de emisii (ETS2)</w:t>
      </w:r>
      <w:r w:rsidRPr="007F399E">
        <w:rPr>
          <w:rStyle w:val="FootnoteReference"/>
          <w:rFonts w:ascii="Times New Roman" w:hAnsi="Times New Roman" w:cs="Times New Roman"/>
          <w:noProof/>
        </w:rPr>
        <w:footnoteReference w:id="5"/>
      </w:r>
      <w:r w:rsidRPr="007F399E">
        <w:rPr>
          <w:rFonts w:ascii="Times New Roman" w:hAnsi="Times New Roman"/>
          <w:noProof/>
        </w:rPr>
        <w:t>; și, în al doilea rând, menținerea posibilității de a actualiza anumite anexe pentru a reflecta cele mai recente progrese științifice și tehnice. Astfel cum s-a menționat mai sus, Comisia va publica, în a doua jumătate a anului 2026, o actualizare a Manualului privind costurile externe ale transportului rutier.</w:t>
      </w:r>
    </w:p>
    <w:p w14:paraId="49B2F51B" w14:textId="7171F4E2" w:rsidR="00C1171F" w:rsidRPr="007F399E" w:rsidRDefault="00C1171F" w:rsidP="00D477B3">
      <w:pPr>
        <w:pStyle w:val="ListParagraph"/>
        <w:keepNext/>
        <w:numPr>
          <w:ilvl w:val="0"/>
          <w:numId w:val="1"/>
        </w:numPr>
        <w:ind w:left="357" w:hanging="357"/>
        <w:jc w:val="both"/>
        <w:rPr>
          <w:rFonts w:ascii="Times New Roman" w:hAnsi="Times New Roman" w:cs="Times New Roman"/>
          <w:b/>
          <w:bCs/>
          <w:noProof/>
        </w:rPr>
      </w:pPr>
      <w:r w:rsidRPr="007F399E">
        <w:rPr>
          <w:rFonts w:ascii="Times New Roman" w:hAnsi="Times New Roman"/>
          <w:b/>
          <w:noProof/>
        </w:rPr>
        <w:t xml:space="preserve">Concluzie </w:t>
      </w:r>
    </w:p>
    <w:p w14:paraId="23468E12" w14:textId="5E65E03B" w:rsidR="00511E72" w:rsidRPr="007F399E" w:rsidRDefault="00511E72" w:rsidP="00A80A5D">
      <w:pPr>
        <w:keepNext/>
        <w:jc w:val="both"/>
        <w:rPr>
          <w:rFonts w:ascii="Times New Roman" w:hAnsi="Times New Roman" w:cs="Times New Roman"/>
          <w:noProof/>
        </w:rPr>
      </w:pPr>
      <w:r w:rsidRPr="007F399E">
        <w:rPr>
          <w:rFonts w:ascii="Times New Roman" w:hAnsi="Times New Roman"/>
          <w:noProof/>
        </w:rPr>
        <w:t>Astfel cum s-a menționat în secțiunea 3, delegarea de competențe către Comisie este în continuare relevantă pentru punerea în aplicare efectivă a Directivei 1999/62/CE.</w:t>
      </w:r>
    </w:p>
    <w:p w14:paraId="2D55FFC2" w14:textId="0089030C" w:rsidR="00A31A05" w:rsidRPr="007F399E" w:rsidRDefault="00C1171F" w:rsidP="00355F68">
      <w:pPr>
        <w:jc w:val="both"/>
        <w:rPr>
          <w:rFonts w:ascii="Times New Roman" w:hAnsi="Times New Roman" w:cs="Times New Roman"/>
          <w:noProof/>
        </w:rPr>
      </w:pPr>
      <w:r w:rsidRPr="007F399E">
        <w:rPr>
          <w:rFonts w:ascii="Times New Roman" w:hAnsi="Times New Roman"/>
          <w:noProof/>
        </w:rPr>
        <w:t>Comisia invită Parlamentul European și Consiliul să ia act de prezentul raport.</w:t>
      </w:r>
    </w:p>
    <w:sectPr w:rsidR="00A31A05" w:rsidRPr="007F399E" w:rsidSect="00511E72">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D48D85" w14:textId="77777777" w:rsidR="00D069D0" w:rsidRDefault="00D069D0" w:rsidP="00C1171F">
      <w:pPr>
        <w:spacing w:after="0" w:line="240" w:lineRule="auto"/>
      </w:pPr>
      <w:r>
        <w:separator/>
      </w:r>
    </w:p>
  </w:endnote>
  <w:endnote w:type="continuationSeparator" w:id="0">
    <w:p w14:paraId="13E9CCC3" w14:textId="77777777" w:rsidR="00D069D0" w:rsidRDefault="00D069D0" w:rsidP="00C117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ptos Display">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EC9F53" w14:textId="566CD755" w:rsidR="00495B6A" w:rsidRPr="00495B6A" w:rsidRDefault="00495B6A" w:rsidP="00495B6A">
    <w:pPr>
      <w:pStyle w:val="FooterCoverPage"/>
      <w:rPr>
        <w:rFonts w:ascii="Arial" w:hAnsi="Arial" w:cs="Arial"/>
        <w:b/>
        <w:sz w:val="48"/>
      </w:rPr>
    </w:pPr>
    <w:r w:rsidRPr="00495B6A">
      <w:rPr>
        <w:rFonts w:ascii="Arial" w:hAnsi="Arial" w:cs="Arial"/>
        <w:b/>
        <w:sz w:val="48"/>
      </w:rPr>
      <w:t>RO</w:t>
    </w:r>
    <w:r w:rsidRPr="00495B6A">
      <w:rPr>
        <w:rFonts w:ascii="Arial" w:hAnsi="Arial" w:cs="Arial"/>
        <w:b/>
        <w:sz w:val="48"/>
      </w:rPr>
      <w:tab/>
    </w:r>
    <w:r w:rsidRPr="00495B6A">
      <w:rPr>
        <w:rFonts w:ascii="Arial" w:hAnsi="Arial" w:cs="Arial"/>
        <w:b/>
        <w:sz w:val="48"/>
      </w:rPr>
      <w:tab/>
    </w:r>
    <w:r w:rsidRPr="00495B6A">
      <w:tab/>
    </w:r>
    <w:r w:rsidRPr="00495B6A">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8DACB4" w14:textId="00F7FC48" w:rsidR="00495B6A" w:rsidRPr="00495B6A" w:rsidRDefault="00495B6A" w:rsidP="00495B6A">
    <w:pPr>
      <w:pStyle w:val="FooterCoverPage"/>
      <w:rPr>
        <w:rFonts w:ascii="Arial" w:hAnsi="Arial" w:cs="Arial"/>
        <w:b/>
        <w:sz w:val="48"/>
      </w:rPr>
    </w:pPr>
    <w:r w:rsidRPr="00495B6A">
      <w:rPr>
        <w:rFonts w:ascii="Arial" w:hAnsi="Arial" w:cs="Arial"/>
        <w:b/>
        <w:sz w:val="48"/>
      </w:rPr>
      <w:t>RO</w:t>
    </w:r>
    <w:r w:rsidRPr="00495B6A">
      <w:rPr>
        <w:rFonts w:ascii="Arial" w:hAnsi="Arial" w:cs="Arial"/>
        <w:b/>
        <w:sz w:val="48"/>
      </w:rPr>
      <w:tab/>
    </w:r>
    <w:r w:rsidRPr="00495B6A">
      <w:rPr>
        <w:rFonts w:ascii="Arial" w:hAnsi="Arial" w:cs="Arial"/>
        <w:b/>
        <w:sz w:val="48"/>
      </w:rPr>
      <w:tab/>
    </w:r>
    <w:r w:rsidRPr="00495B6A">
      <w:tab/>
    </w:r>
    <w:r w:rsidRPr="00495B6A">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C65A22" w14:textId="77777777" w:rsidR="00495B6A" w:rsidRPr="00495B6A" w:rsidRDefault="00495B6A" w:rsidP="00495B6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EF644F" w14:textId="77777777" w:rsidR="00511E72" w:rsidRDefault="00511E7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50140E" w14:textId="77777777" w:rsidR="00511E72" w:rsidRDefault="00511E7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DAA47F" w14:textId="77777777" w:rsidR="00511E72" w:rsidRDefault="00511E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449657" w14:textId="77777777" w:rsidR="00D069D0" w:rsidRDefault="00D069D0" w:rsidP="00C1171F">
      <w:pPr>
        <w:spacing w:after="0" w:line="240" w:lineRule="auto"/>
      </w:pPr>
      <w:r>
        <w:separator/>
      </w:r>
    </w:p>
  </w:footnote>
  <w:footnote w:type="continuationSeparator" w:id="0">
    <w:p w14:paraId="19BE3BE2" w14:textId="77777777" w:rsidR="00D069D0" w:rsidRDefault="00D069D0" w:rsidP="00C1171F">
      <w:pPr>
        <w:spacing w:after="0" w:line="240" w:lineRule="auto"/>
      </w:pPr>
      <w:r>
        <w:continuationSeparator/>
      </w:r>
    </w:p>
  </w:footnote>
  <w:footnote w:id="1">
    <w:p w14:paraId="06FD482F" w14:textId="085A515B" w:rsidR="008A1ED2" w:rsidRPr="003B51F4" w:rsidRDefault="00D65056" w:rsidP="00355F68">
      <w:pPr>
        <w:pStyle w:val="FootnoteText"/>
        <w:jc w:val="both"/>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xml:space="preserve">) Directiva </w:t>
      </w:r>
      <w:r w:rsidRPr="007F399E">
        <w:rPr>
          <w:rFonts w:ascii="Times New Roman" w:hAnsi="Times New Roman"/>
        </w:rPr>
        <w:t>1999</w:t>
      </w:r>
      <w:r>
        <w:rPr>
          <w:rFonts w:ascii="Times New Roman" w:hAnsi="Times New Roman"/>
        </w:rPr>
        <w:t>/</w:t>
      </w:r>
      <w:r w:rsidRPr="007F399E">
        <w:rPr>
          <w:rFonts w:ascii="Times New Roman" w:hAnsi="Times New Roman"/>
        </w:rPr>
        <w:t>62</w:t>
      </w:r>
      <w:r>
        <w:rPr>
          <w:rFonts w:ascii="Times New Roman" w:hAnsi="Times New Roman"/>
        </w:rPr>
        <w:t xml:space="preserve">/CE a Parlamentului European și a Consiliului din </w:t>
      </w:r>
      <w:r w:rsidRPr="007F399E">
        <w:rPr>
          <w:rFonts w:ascii="Times New Roman" w:hAnsi="Times New Roman"/>
        </w:rPr>
        <w:t>17</w:t>
      </w:r>
      <w:r>
        <w:rPr>
          <w:rFonts w:ascii="Times New Roman" w:hAnsi="Times New Roman"/>
        </w:rPr>
        <w:t xml:space="preserve"> iunie </w:t>
      </w:r>
      <w:r w:rsidRPr="007F399E">
        <w:rPr>
          <w:rFonts w:ascii="Times New Roman" w:hAnsi="Times New Roman"/>
        </w:rPr>
        <w:t>1999</w:t>
      </w:r>
      <w:r>
        <w:rPr>
          <w:rFonts w:ascii="Times New Roman" w:hAnsi="Times New Roman"/>
        </w:rPr>
        <w:t xml:space="preserve"> privind taxarea vehiculelor pentru utilizarea infrastructurilor rutiere (JO L </w:t>
      </w:r>
      <w:r w:rsidRPr="007F399E">
        <w:rPr>
          <w:rFonts w:ascii="Times New Roman" w:hAnsi="Times New Roman"/>
        </w:rPr>
        <w:t>187</w:t>
      </w:r>
      <w:r>
        <w:rPr>
          <w:rFonts w:ascii="Times New Roman" w:hAnsi="Times New Roman"/>
        </w:rPr>
        <w:t xml:space="preserve">, </w:t>
      </w:r>
      <w:r w:rsidRPr="007F399E">
        <w:rPr>
          <w:rFonts w:ascii="Times New Roman" w:hAnsi="Times New Roman"/>
        </w:rPr>
        <w:t>20</w:t>
      </w:r>
      <w:r>
        <w:rPr>
          <w:rFonts w:ascii="Times New Roman" w:hAnsi="Times New Roman"/>
        </w:rPr>
        <w:t>.</w:t>
      </w:r>
      <w:r w:rsidRPr="007F399E">
        <w:rPr>
          <w:rFonts w:ascii="Times New Roman" w:hAnsi="Times New Roman"/>
        </w:rPr>
        <w:t>7</w:t>
      </w:r>
      <w:r>
        <w:rPr>
          <w:rFonts w:ascii="Times New Roman" w:hAnsi="Times New Roman"/>
        </w:rPr>
        <w:t>.</w:t>
      </w:r>
      <w:r w:rsidRPr="007F399E">
        <w:rPr>
          <w:rFonts w:ascii="Times New Roman" w:hAnsi="Times New Roman"/>
        </w:rPr>
        <w:t>1999</w:t>
      </w:r>
      <w:r>
        <w:rPr>
          <w:rFonts w:ascii="Times New Roman" w:hAnsi="Times New Roman"/>
        </w:rPr>
        <w:t>, p. </w:t>
      </w:r>
      <w:r w:rsidRPr="007F399E">
        <w:rPr>
          <w:rFonts w:ascii="Times New Roman" w:hAnsi="Times New Roman"/>
        </w:rPr>
        <w:t>42</w:t>
      </w:r>
      <w:r>
        <w:rPr>
          <w:rFonts w:ascii="Times New Roman" w:hAnsi="Times New Roman"/>
        </w:rPr>
        <w:t xml:space="preserve">, ELI: </w:t>
      </w:r>
      <w:hyperlink r:id="rId1" w:tooltip="Gives access to this document through its ELI URI." w:history="1">
        <w:r>
          <w:rPr>
            <w:rStyle w:val="Hyperlink"/>
            <w:rFonts w:ascii="Times New Roman" w:hAnsi="Times New Roman"/>
          </w:rPr>
          <w:t>http://data.europa.eu/eli/dir/</w:t>
        </w:r>
        <w:r w:rsidRPr="007F399E">
          <w:rPr>
            <w:rStyle w:val="Hyperlink"/>
            <w:rFonts w:ascii="Times New Roman" w:hAnsi="Times New Roman"/>
          </w:rPr>
          <w:t>1999</w:t>
        </w:r>
        <w:r>
          <w:rPr>
            <w:rStyle w:val="Hyperlink"/>
            <w:rFonts w:ascii="Times New Roman" w:hAnsi="Times New Roman"/>
          </w:rPr>
          <w:t>/</w:t>
        </w:r>
        <w:r w:rsidRPr="007F399E">
          <w:rPr>
            <w:rStyle w:val="Hyperlink"/>
            <w:rFonts w:ascii="Times New Roman" w:hAnsi="Times New Roman"/>
          </w:rPr>
          <w:t>62</w:t>
        </w:r>
        <w:r>
          <w:rPr>
            <w:rStyle w:val="Hyperlink"/>
            <w:rFonts w:ascii="Times New Roman" w:hAnsi="Times New Roman"/>
          </w:rPr>
          <w:t>/oj</w:t>
        </w:r>
      </w:hyperlink>
      <w:r>
        <w:rPr>
          <w:rFonts w:ascii="Times New Roman" w:hAnsi="Times New Roman"/>
        </w:rPr>
        <w:t>).</w:t>
      </w:r>
    </w:p>
  </w:footnote>
  <w:footnote w:id="2">
    <w:p w14:paraId="73AAFF97" w14:textId="23618D68" w:rsidR="002334D1" w:rsidRPr="00355F68" w:rsidRDefault="002334D1" w:rsidP="00355F68">
      <w:pPr>
        <w:pStyle w:val="FootnoteText"/>
        <w:jc w:val="both"/>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xml:space="preserve">) Directiva (UE) </w:t>
      </w:r>
      <w:r w:rsidRPr="007F399E">
        <w:rPr>
          <w:rFonts w:ascii="Times New Roman" w:hAnsi="Times New Roman"/>
        </w:rPr>
        <w:t>2025</w:t>
      </w:r>
      <w:r>
        <w:rPr>
          <w:rFonts w:ascii="Times New Roman" w:hAnsi="Times New Roman"/>
        </w:rPr>
        <w:t>/</w:t>
      </w:r>
      <w:r w:rsidRPr="007F399E">
        <w:rPr>
          <w:rFonts w:ascii="Times New Roman" w:hAnsi="Times New Roman"/>
        </w:rPr>
        <w:t>2459</w:t>
      </w:r>
      <w:r>
        <w:rPr>
          <w:rFonts w:ascii="Times New Roman" w:hAnsi="Times New Roman"/>
        </w:rPr>
        <w:t xml:space="preserve"> a Parlamentului European și a Consiliului din </w:t>
      </w:r>
      <w:r w:rsidRPr="007F399E">
        <w:rPr>
          <w:rFonts w:ascii="Times New Roman" w:hAnsi="Times New Roman"/>
        </w:rPr>
        <w:t>26</w:t>
      </w:r>
      <w:r>
        <w:rPr>
          <w:rFonts w:ascii="Times New Roman" w:hAnsi="Times New Roman"/>
        </w:rPr>
        <w:t xml:space="preserve"> noiembrie </w:t>
      </w:r>
      <w:r w:rsidRPr="007F399E">
        <w:rPr>
          <w:rFonts w:ascii="Times New Roman" w:hAnsi="Times New Roman"/>
        </w:rPr>
        <w:t>2025</w:t>
      </w:r>
      <w:r>
        <w:rPr>
          <w:rFonts w:ascii="Times New Roman" w:hAnsi="Times New Roman"/>
        </w:rPr>
        <w:t xml:space="preserve"> de modificare a Directivei </w:t>
      </w:r>
      <w:r w:rsidRPr="007F399E">
        <w:rPr>
          <w:rFonts w:ascii="Times New Roman" w:hAnsi="Times New Roman"/>
        </w:rPr>
        <w:t>1999</w:t>
      </w:r>
      <w:r>
        <w:rPr>
          <w:rFonts w:ascii="Times New Roman" w:hAnsi="Times New Roman"/>
        </w:rPr>
        <w:t>/</w:t>
      </w:r>
      <w:r w:rsidRPr="007F399E">
        <w:rPr>
          <w:rFonts w:ascii="Times New Roman" w:hAnsi="Times New Roman"/>
        </w:rPr>
        <w:t>62</w:t>
      </w:r>
      <w:r>
        <w:rPr>
          <w:rFonts w:ascii="Times New Roman" w:hAnsi="Times New Roman"/>
        </w:rPr>
        <w:t xml:space="preserve">/CE în ceea ce privește prelungirea perioadei în care vehiculele grele cu emisii zero pot beneficia de rate semnificativ reduse ale taxelor de utilizare a infrastructurii sau ale taxelor de utilizare ori de scutiri de la plata acestora (JO L, </w:t>
      </w:r>
      <w:r w:rsidRPr="007F399E">
        <w:rPr>
          <w:rFonts w:ascii="Times New Roman" w:hAnsi="Times New Roman"/>
        </w:rPr>
        <w:t>2025</w:t>
      </w:r>
      <w:r>
        <w:rPr>
          <w:rFonts w:ascii="Times New Roman" w:hAnsi="Times New Roman"/>
        </w:rPr>
        <w:t>/</w:t>
      </w:r>
      <w:r w:rsidRPr="007F399E">
        <w:rPr>
          <w:rFonts w:ascii="Times New Roman" w:hAnsi="Times New Roman"/>
        </w:rPr>
        <w:t>2459</w:t>
      </w:r>
      <w:r>
        <w:rPr>
          <w:rFonts w:ascii="Times New Roman" w:hAnsi="Times New Roman"/>
        </w:rPr>
        <w:t xml:space="preserve">, </w:t>
      </w:r>
      <w:r w:rsidRPr="007F399E">
        <w:rPr>
          <w:rFonts w:ascii="Times New Roman" w:hAnsi="Times New Roman"/>
        </w:rPr>
        <w:t>4</w:t>
      </w:r>
      <w:r>
        <w:rPr>
          <w:rFonts w:ascii="Times New Roman" w:hAnsi="Times New Roman"/>
        </w:rPr>
        <w:t>.</w:t>
      </w:r>
      <w:r w:rsidRPr="007F399E">
        <w:rPr>
          <w:rFonts w:ascii="Times New Roman" w:hAnsi="Times New Roman"/>
        </w:rPr>
        <w:t>12</w:t>
      </w:r>
      <w:r>
        <w:rPr>
          <w:rFonts w:ascii="Times New Roman" w:hAnsi="Times New Roman"/>
        </w:rPr>
        <w:t>.</w:t>
      </w:r>
      <w:r w:rsidRPr="007F399E">
        <w:rPr>
          <w:rFonts w:ascii="Times New Roman" w:hAnsi="Times New Roman"/>
        </w:rPr>
        <w:t>2025</w:t>
      </w:r>
      <w:r>
        <w:rPr>
          <w:rFonts w:ascii="Times New Roman" w:hAnsi="Times New Roman"/>
        </w:rPr>
        <w:t xml:space="preserve">, ELI: </w:t>
      </w:r>
      <w:hyperlink r:id="rId2" w:history="1">
        <w:r>
          <w:rPr>
            <w:rStyle w:val="Hyperlink"/>
            <w:rFonts w:ascii="Times New Roman" w:hAnsi="Times New Roman"/>
          </w:rPr>
          <w:t>http://data.europa.eu/eli/dir/</w:t>
        </w:r>
        <w:r w:rsidRPr="007F399E">
          <w:rPr>
            <w:rStyle w:val="Hyperlink"/>
            <w:rFonts w:ascii="Times New Roman" w:hAnsi="Times New Roman"/>
          </w:rPr>
          <w:t>2025</w:t>
        </w:r>
        <w:r>
          <w:rPr>
            <w:rStyle w:val="Hyperlink"/>
            <w:rFonts w:ascii="Times New Roman" w:hAnsi="Times New Roman"/>
          </w:rPr>
          <w:t>/</w:t>
        </w:r>
        <w:r w:rsidRPr="007F399E">
          <w:rPr>
            <w:rStyle w:val="Hyperlink"/>
            <w:rFonts w:ascii="Times New Roman" w:hAnsi="Times New Roman"/>
          </w:rPr>
          <w:t>2459</w:t>
        </w:r>
        <w:r>
          <w:rPr>
            <w:rStyle w:val="Hyperlink"/>
            <w:rFonts w:ascii="Times New Roman" w:hAnsi="Times New Roman"/>
          </w:rPr>
          <w:t>/oj</w:t>
        </w:r>
      </w:hyperlink>
      <w:r>
        <w:rPr>
          <w:rFonts w:ascii="Times New Roman" w:hAnsi="Times New Roman"/>
        </w:rPr>
        <w:t xml:space="preserve">). </w:t>
      </w:r>
    </w:p>
  </w:footnote>
  <w:footnote w:id="3">
    <w:p w14:paraId="67485092" w14:textId="25DE1611" w:rsidR="00355F68" w:rsidRPr="00660FEB" w:rsidRDefault="00355F68" w:rsidP="00355F68">
      <w:pPr>
        <w:pStyle w:val="FootnoteText"/>
        <w:jc w:val="both"/>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xml:space="preserve">) Directiva </w:t>
      </w:r>
      <w:r w:rsidRPr="007F399E">
        <w:rPr>
          <w:rFonts w:ascii="Times New Roman" w:hAnsi="Times New Roman"/>
        </w:rPr>
        <w:t>2003</w:t>
      </w:r>
      <w:r>
        <w:rPr>
          <w:rFonts w:ascii="Times New Roman" w:hAnsi="Times New Roman"/>
        </w:rPr>
        <w:t>/</w:t>
      </w:r>
      <w:r w:rsidRPr="007F399E">
        <w:rPr>
          <w:rFonts w:ascii="Times New Roman" w:hAnsi="Times New Roman"/>
        </w:rPr>
        <w:t>87</w:t>
      </w:r>
      <w:r>
        <w:rPr>
          <w:rFonts w:ascii="Times New Roman" w:hAnsi="Times New Roman"/>
        </w:rPr>
        <w:t xml:space="preserve">/CE a Parlamentului European și a Consiliului din </w:t>
      </w:r>
      <w:r w:rsidRPr="007F399E">
        <w:rPr>
          <w:rFonts w:ascii="Times New Roman" w:hAnsi="Times New Roman"/>
        </w:rPr>
        <w:t>13</w:t>
      </w:r>
      <w:r>
        <w:rPr>
          <w:rFonts w:ascii="Times New Roman" w:hAnsi="Times New Roman"/>
        </w:rPr>
        <w:t xml:space="preserve"> octombrie </w:t>
      </w:r>
      <w:r w:rsidRPr="007F399E">
        <w:rPr>
          <w:rFonts w:ascii="Times New Roman" w:hAnsi="Times New Roman"/>
        </w:rPr>
        <w:t>2003</w:t>
      </w:r>
      <w:r>
        <w:rPr>
          <w:rFonts w:ascii="Times New Roman" w:hAnsi="Times New Roman"/>
        </w:rPr>
        <w:t xml:space="preserve"> de stabilire a unei scheme de comercializare a certificatelor de emisii de gaze cu efect de seră în cadrul Uniunii și de modificare a Directivei </w:t>
      </w:r>
      <w:r w:rsidRPr="007F399E">
        <w:rPr>
          <w:rFonts w:ascii="Times New Roman" w:hAnsi="Times New Roman"/>
        </w:rPr>
        <w:t>96</w:t>
      </w:r>
      <w:r>
        <w:rPr>
          <w:rFonts w:ascii="Times New Roman" w:hAnsi="Times New Roman"/>
        </w:rPr>
        <w:t>/</w:t>
      </w:r>
      <w:r w:rsidRPr="007F399E">
        <w:rPr>
          <w:rFonts w:ascii="Times New Roman" w:hAnsi="Times New Roman"/>
        </w:rPr>
        <w:t>61</w:t>
      </w:r>
      <w:r>
        <w:rPr>
          <w:rFonts w:ascii="Times New Roman" w:hAnsi="Times New Roman"/>
        </w:rPr>
        <w:t>/CE a Consiliului (JO L </w:t>
      </w:r>
      <w:r w:rsidRPr="007F399E">
        <w:rPr>
          <w:rFonts w:ascii="Times New Roman" w:hAnsi="Times New Roman"/>
        </w:rPr>
        <w:t>275</w:t>
      </w:r>
      <w:r>
        <w:rPr>
          <w:rFonts w:ascii="Times New Roman" w:hAnsi="Times New Roman"/>
        </w:rPr>
        <w:t xml:space="preserve">, </w:t>
      </w:r>
      <w:r w:rsidRPr="007F399E">
        <w:rPr>
          <w:rFonts w:ascii="Times New Roman" w:hAnsi="Times New Roman"/>
        </w:rPr>
        <w:t>25</w:t>
      </w:r>
      <w:r>
        <w:rPr>
          <w:rFonts w:ascii="Times New Roman" w:hAnsi="Times New Roman"/>
        </w:rPr>
        <w:t>.</w:t>
      </w:r>
      <w:r w:rsidRPr="007F399E">
        <w:rPr>
          <w:rFonts w:ascii="Times New Roman" w:hAnsi="Times New Roman"/>
        </w:rPr>
        <w:t>10</w:t>
      </w:r>
      <w:r>
        <w:rPr>
          <w:rFonts w:ascii="Times New Roman" w:hAnsi="Times New Roman"/>
        </w:rPr>
        <w:t>.</w:t>
      </w:r>
      <w:r w:rsidRPr="007F399E">
        <w:rPr>
          <w:rFonts w:ascii="Times New Roman" w:hAnsi="Times New Roman"/>
        </w:rPr>
        <w:t>2003</w:t>
      </w:r>
      <w:r>
        <w:rPr>
          <w:rFonts w:ascii="Times New Roman" w:hAnsi="Times New Roman"/>
        </w:rPr>
        <w:t>, p. </w:t>
      </w:r>
      <w:r w:rsidRPr="007F399E">
        <w:rPr>
          <w:rFonts w:ascii="Times New Roman" w:hAnsi="Times New Roman"/>
        </w:rPr>
        <w:t>32</w:t>
      </w:r>
      <w:r>
        <w:rPr>
          <w:rFonts w:ascii="Times New Roman" w:hAnsi="Times New Roman"/>
        </w:rPr>
        <w:t xml:space="preserve">, ELI: </w:t>
      </w:r>
      <w:hyperlink r:id="rId3" w:history="1">
        <w:r>
          <w:rPr>
            <w:rStyle w:val="Hyperlink"/>
            <w:rFonts w:ascii="Times New Roman" w:hAnsi="Times New Roman"/>
          </w:rPr>
          <w:t>http://data.europa.eu/eli/dir/</w:t>
        </w:r>
        <w:r w:rsidRPr="007F399E">
          <w:rPr>
            <w:rStyle w:val="Hyperlink"/>
            <w:rFonts w:ascii="Times New Roman" w:hAnsi="Times New Roman"/>
          </w:rPr>
          <w:t>2003</w:t>
        </w:r>
        <w:r>
          <w:rPr>
            <w:rStyle w:val="Hyperlink"/>
            <w:rFonts w:ascii="Times New Roman" w:hAnsi="Times New Roman"/>
          </w:rPr>
          <w:t>/</w:t>
        </w:r>
        <w:r w:rsidRPr="007F399E">
          <w:rPr>
            <w:rStyle w:val="Hyperlink"/>
            <w:rFonts w:ascii="Times New Roman" w:hAnsi="Times New Roman"/>
          </w:rPr>
          <w:t>87</w:t>
        </w:r>
        <w:r>
          <w:rPr>
            <w:rStyle w:val="Hyperlink"/>
            <w:rFonts w:ascii="Times New Roman" w:hAnsi="Times New Roman"/>
          </w:rPr>
          <w:t>/oj</w:t>
        </w:r>
      </w:hyperlink>
      <w:r>
        <w:rPr>
          <w:rFonts w:ascii="Times New Roman" w:hAnsi="Times New Roman"/>
        </w:rPr>
        <w:t xml:space="preserve">). </w:t>
      </w:r>
    </w:p>
  </w:footnote>
  <w:footnote w:id="4">
    <w:p w14:paraId="610ABC9A" w14:textId="12EF25C3" w:rsidR="00355F68" w:rsidRPr="00287140" w:rsidRDefault="00355F68" w:rsidP="00287140">
      <w:pPr>
        <w:rPr>
          <w:rFonts w:ascii="Times New Roman" w:hAnsi="Times New Roman" w:cs="Times New Roman"/>
          <w:sz w:val="20"/>
          <w:szCs w:val="20"/>
        </w:rPr>
      </w:pPr>
      <w:r>
        <w:rPr>
          <w:rFonts w:ascii="Times New Roman" w:hAnsi="Times New Roman"/>
          <w:sz w:val="20"/>
        </w:rPr>
        <w:t>(</w:t>
      </w:r>
      <w:r>
        <w:rPr>
          <w:rStyle w:val="FootnoteReference"/>
          <w:rFonts w:ascii="Times New Roman" w:hAnsi="Times New Roman" w:cs="Times New Roman"/>
          <w:sz w:val="20"/>
          <w:szCs w:val="20"/>
        </w:rPr>
        <w:footnoteRef/>
      </w:r>
      <w:r>
        <w:rPr>
          <w:rFonts w:ascii="Times New Roman" w:hAnsi="Times New Roman"/>
          <w:sz w:val="20"/>
        </w:rPr>
        <w:t>) Directiva </w:t>
      </w:r>
      <w:r w:rsidRPr="007F399E">
        <w:rPr>
          <w:rFonts w:ascii="Times New Roman" w:hAnsi="Times New Roman"/>
          <w:sz w:val="20"/>
        </w:rPr>
        <w:t>2003</w:t>
      </w:r>
      <w:r>
        <w:rPr>
          <w:rFonts w:ascii="Times New Roman" w:hAnsi="Times New Roman"/>
          <w:sz w:val="20"/>
        </w:rPr>
        <w:t>/</w:t>
      </w:r>
      <w:r w:rsidRPr="007F399E">
        <w:rPr>
          <w:rFonts w:ascii="Times New Roman" w:hAnsi="Times New Roman"/>
          <w:sz w:val="20"/>
        </w:rPr>
        <w:t>96</w:t>
      </w:r>
      <w:r>
        <w:rPr>
          <w:rFonts w:ascii="Times New Roman" w:hAnsi="Times New Roman"/>
          <w:sz w:val="20"/>
        </w:rPr>
        <w:t xml:space="preserve">/CE a Consiliului din </w:t>
      </w:r>
      <w:r w:rsidRPr="007F399E">
        <w:rPr>
          <w:rFonts w:ascii="Times New Roman" w:hAnsi="Times New Roman"/>
          <w:sz w:val="20"/>
        </w:rPr>
        <w:t>27</w:t>
      </w:r>
      <w:r>
        <w:rPr>
          <w:rFonts w:ascii="Times New Roman" w:hAnsi="Times New Roman"/>
          <w:sz w:val="20"/>
        </w:rPr>
        <w:t xml:space="preserve"> octombrie </w:t>
      </w:r>
      <w:r w:rsidRPr="007F399E">
        <w:rPr>
          <w:rFonts w:ascii="Times New Roman" w:hAnsi="Times New Roman"/>
          <w:sz w:val="20"/>
        </w:rPr>
        <w:t>2003</w:t>
      </w:r>
      <w:r>
        <w:rPr>
          <w:rFonts w:ascii="Times New Roman" w:hAnsi="Times New Roman"/>
          <w:sz w:val="20"/>
        </w:rPr>
        <w:t xml:space="preserve"> privind restructurarea cadrului comunitar de impozitare a produselor energetice și a electricității (JO L </w:t>
      </w:r>
      <w:r w:rsidRPr="007F399E">
        <w:rPr>
          <w:rFonts w:ascii="Times New Roman" w:hAnsi="Times New Roman"/>
          <w:sz w:val="20"/>
        </w:rPr>
        <w:t>283</w:t>
      </w:r>
      <w:r>
        <w:rPr>
          <w:rFonts w:ascii="Times New Roman" w:hAnsi="Times New Roman"/>
          <w:sz w:val="20"/>
        </w:rPr>
        <w:t xml:space="preserve">, </w:t>
      </w:r>
      <w:r w:rsidRPr="007F399E">
        <w:rPr>
          <w:rFonts w:ascii="Times New Roman" w:hAnsi="Times New Roman"/>
          <w:sz w:val="20"/>
        </w:rPr>
        <w:t>31</w:t>
      </w:r>
      <w:r>
        <w:rPr>
          <w:rFonts w:ascii="Times New Roman" w:hAnsi="Times New Roman"/>
          <w:sz w:val="20"/>
        </w:rPr>
        <w:t>.</w:t>
      </w:r>
      <w:r w:rsidRPr="007F399E">
        <w:rPr>
          <w:rFonts w:ascii="Times New Roman" w:hAnsi="Times New Roman"/>
          <w:sz w:val="20"/>
        </w:rPr>
        <w:t>10</w:t>
      </w:r>
      <w:r>
        <w:rPr>
          <w:rFonts w:ascii="Times New Roman" w:hAnsi="Times New Roman"/>
          <w:sz w:val="20"/>
        </w:rPr>
        <w:t>.</w:t>
      </w:r>
      <w:r w:rsidRPr="007F399E">
        <w:rPr>
          <w:rFonts w:ascii="Times New Roman" w:hAnsi="Times New Roman"/>
          <w:sz w:val="20"/>
        </w:rPr>
        <w:t>2003</w:t>
      </w:r>
      <w:r>
        <w:rPr>
          <w:rFonts w:ascii="Times New Roman" w:hAnsi="Times New Roman"/>
          <w:sz w:val="20"/>
        </w:rPr>
        <w:t>, p. </w:t>
      </w:r>
      <w:r w:rsidRPr="007F399E">
        <w:rPr>
          <w:rFonts w:ascii="Times New Roman" w:hAnsi="Times New Roman"/>
          <w:sz w:val="20"/>
        </w:rPr>
        <w:t>51</w:t>
      </w:r>
      <w:r>
        <w:rPr>
          <w:rFonts w:ascii="Times New Roman" w:hAnsi="Times New Roman"/>
          <w:sz w:val="20"/>
        </w:rPr>
        <w:t xml:space="preserve">, ELI: </w:t>
      </w:r>
      <w:hyperlink r:id="rId4" w:history="1">
        <w:r>
          <w:rPr>
            <w:rStyle w:val="Hyperlink"/>
            <w:rFonts w:ascii="Times New Roman" w:hAnsi="Times New Roman"/>
            <w:sz w:val="20"/>
          </w:rPr>
          <w:t>http://data.europa.eu/eli/dir/</w:t>
        </w:r>
        <w:r w:rsidRPr="007F399E">
          <w:rPr>
            <w:rStyle w:val="Hyperlink"/>
            <w:rFonts w:ascii="Times New Roman" w:hAnsi="Times New Roman"/>
            <w:sz w:val="20"/>
          </w:rPr>
          <w:t>2003</w:t>
        </w:r>
        <w:r>
          <w:rPr>
            <w:rStyle w:val="Hyperlink"/>
            <w:rFonts w:ascii="Times New Roman" w:hAnsi="Times New Roman"/>
            <w:sz w:val="20"/>
          </w:rPr>
          <w:t>/</w:t>
        </w:r>
        <w:r w:rsidRPr="007F399E">
          <w:rPr>
            <w:rStyle w:val="Hyperlink"/>
            <w:rFonts w:ascii="Times New Roman" w:hAnsi="Times New Roman"/>
            <w:sz w:val="20"/>
          </w:rPr>
          <w:t>96</w:t>
        </w:r>
        <w:r>
          <w:rPr>
            <w:rStyle w:val="Hyperlink"/>
            <w:rFonts w:ascii="Times New Roman" w:hAnsi="Times New Roman"/>
            <w:sz w:val="20"/>
          </w:rPr>
          <w:t>/oj</w:t>
        </w:r>
      </w:hyperlink>
      <w:r>
        <w:rPr>
          <w:rFonts w:ascii="Times New Roman" w:hAnsi="Times New Roman"/>
          <w:sz w:val="20"/>
        </w:rPr>
        <w:t xml:space="preserve">). </w:t>
      </w:r>
    </w:p>
  </w:footnote>
  <w:footnote w:id="5">
    <w:p w14:paraId="6218538D" w14:textId="1B17065F" w:rsidR="008F6CB0" w:rsidRPr="00D46603" w:rsidRDefault="008F6CB0" w:rsidP="00D46603">
      <w:pPr>
        <w:pStyle w:val="FootnoteText"/>
        <w:jc w:val="both"/>
        <w:rPr>
          <w:rFonts w:ascii="Times New Roman" w:hAnsi="Times New Roman" w:cs="Times New Roman"/>
        </w:rPr>
      </w:pPr>
      <w:r>
        <w:rPr>
          <w:rStyle w:val="FootnoteReference"/>
          <w:rFonts w:ascii="Times New Roman" w:hAnsi="Times New Roman" w:cs="Times New Roman"/>
        </w:rPr>
        <w:footnoteRef/>
      </w:r>
      <w:r w:rsidR="007F399E">
        <w:rPr>
          <w:rFonts w:ascii="Times New Roman" w:hAnsi="Times New Roman"/>
        </w:rPr>
        <w:t xml:space="preserve"> </w:t>
      </w:r>
      <w:r>
        <w:rPr>
          <w:rFonts w:ascii="Times New Roman" w:hAnsi="Times New Roman"/>
        </w:rPr>
        <w:t xml:space="preserve">Directiva (UE) </w:t>
      </w:r>
      <w:r w:rsidRPr="007F399E">
        <w:rPr>
          <w:rFonts w:ascii="Times New Roman" w:hAnsi="Times New Roman"/>
        </w:rPr>
        <w:t>2023</w:t>
      </w:r>
      <w:r>
        <w:rPr>
          <w:rFonts w:ascii="Times New Roman" w:hAnsi="Times New Roman"/>
        </w:rPr>
        <w:t>/</w:t>
      </w:r>
      <w:r w:rsidRPr="007F399E">
        <w:rPr>
          <w:rFonts w:ascii="Times New Roman" w:hAnsi="Times New Roman"/>
        </w:rPr>
        <w:t>959</w:t>
      </w:r>
      <w:r>
        <w:rPr>
          <w:rFonts w:ascii="Times New Roman" w:hAnsi="Times New Roman"/>
        </w:rPr>
        <w:t xml:space="preserve"> a Parlamentului European și a Consiliului din </w:t>
      </w:r>
      <w:r w:rsidRPr="007F399E">
        <w:rPr>
          <w:rFonts w:ascii="Times New Roman" w:hAnsi="Times New Roman"/>
        </w:rPr>
        <w:t>10</w:t>
      </w:r>
      <w:r>
        <w:rPr>
          <w:rFonts w:ascii="Times New Roman" w:hAnsi="Times New Roman"/>
        </w:rPr>
        <w:t xml:space="preserve"> mai </w:t>
      </w:r>
      <w:r w:rsidRPr="007F399E">
        <w:rPr>
          <w:rFonts w:ascii="Times New Roman" w:hAnsi="Times New Roman"/>
        </w:rPr>
        <w:t>2023</w:t>
      </w:r>
      <w:r>
        <w:rPr>
          <w:rFonts w:ascii="Times New Roman" w:hAnsi="Times New Roman"/>
        </w:rPr>
        <w:t xml:space="preserve"> de modificare a Directivei </w:t>
      </w:r>
      <w:r w:rsidRPr="007F399E">
        <w:rPr>
          <w:rFonts w:ascii="Times New Roman" w:hAnsi="Times New Roman"/>
        </w:rPr>
        <w:t>2003</w:t>
      </w:r>
      <w:r>
        <w:rPr>
          <w:rFonts w:ascii="Times New Roman" w:hAnsi="Times New Roman"/>
        </w:rPr>
        <w:t>/</w:t>
      </w:r>
      <w:r w:rsidRPr="007F399E">
        <w:rPr>
          <w:rFonts w:ascii="Times New Roman" w:hAnsi="Times New Roman"/>
        </w:rPr>
        <w:t>87</w:t>
      </w:r>
      <w:r>
        <w:rPr>
          <w:rFonts w:ascii="Times New Roman" w:hAnsi="Times New Roman"/>
        </w:rPr>
        <w:t xml:space="preserve">/CE de stabilire a unui sistem de comercializare a cotelor de emisie de gaze cu efect de seră în cadrul Uniunii și a Deciziei (UE) </w:t>
      </w:r>
      <w:r w:rsidRPr="007F399E">
        <w:rPr>
          <w:rFonts w:ascii="Times New Roman" w:hAnsi="Times New Roman"/>
        </w:rPr>
        <w:t>2015</w:t>
      </w:r>
      <w:r>
        <w:rPr>
          <w:rFonts w:ascii="Times New Roman" w:hAnsi="Times New Roman"/>
        </w:rPr>
        <w:t>/</w:t>
      </w:r>
      <w:r w:rsidRPr="007F399E">
        <w:rPr>
          <w:rFonts w:ascii="Times New Roman" w:hAnsi="Times New Roman"/>
        </w:rPr>
        <w:t>1814</w:t>
      </w:r>
      <w:r>
        <w:rPr>
          <w:rFonts w:ascii="Times New Roman" w:hAnsi="Times New Roman"/>
        </w:rPr>
        <w:t xml:space="preserve"> privind înființarea și funcționarea unei rezerve pentru stabilitatea pieței aferentă schemei UE de comercializare a certificatelor de emisii de gaze cu efect de seră (JO L </w:t>
      </w:r>
      <w:r w:rsidRPr="007F399E">
        <w:rPr>
          <w:rFonts w:ascii="Times New Roman" w:hAnsi="Times New Roman"/>
        </w:rPr>
        <w:t>130</w:t>
      </w:r>
      <w:r>
        <w:rPr>
          <w:rFonts w:ascii="Times New Roman" w:hAnsi="Times New Roman"/>
        </w:rPr>
        <w:t xml:space="preserve">, </w:t>
      </w:r>
      <w:r w:rsidRPr="007F399E">
        <w:rPr>
          <w:rFonts w:ascii="Times New Roman" w:hAnsi="Times New Roman"/>
        </w:rPr>
        <w:t>16</w:t>
      </w:r>
      <w:r>
        <w:rPr>
          <w:rFonts w:ascii="Times New Roman" w:hAnsi="Times New Roman"/>
        </w:rPr>
        <w:t>.</w:t>
      </w:r>
      <w:r w:rsidRPr="007F399E">
        <w:rPr>
          <w:rFonts w:ascii="Times New Roman" w:hAnsi="Times New Roman"/>
        </w:rPr>
        <w:t>5</w:t>
      </w:r>
      <w:r>
        <w:rPr>
          <w:rFonts w:ascii="Times New Roman" w:hAnsi="Times New Roman"/>
        </w:rPr>
        <w:t>.</w:t>
      </w:r>
      <w:r w:rsidRPr="007F399E">
        <w:rPr>
          <w:rFonts w:ascii="Times New Roman" w:hAnsi="Times New Roman"/>
        </w:rPr>
        <w:t>2023</w:t>
      </w:r>
      <w:r>
        <w:rPr>
          <w:rFonts w:ascii="Times New Roman" w:hAnsi="Times New Roman"/>
        </w:rPr>
        <w:t>, p. </w:t>
      </w:r>
      <w:r w:rsidRPr="007F399E">
        <w:rPr>
          <w:rFonts w:ascii="Times New Roman" w:hAnsi="Times New Roman"/>
        </w:rPr>
        <w:t>134</w:t>
      </w:r>
      <w:r>
        <w:rPr>
          <w:rFonts w:ascii="Times New Roman" w:hAnsi="Times New Roman"/>
        </w:rPr>
        <w:t xml:space="preserve">, ELI: </w:t>
      </w:r>
      <w:hyperlink r:id="rId5" w:history="1">
        <w:r>
          <w:rPr>
            <w:rStyle w:val="Hyperlink"/>
            <w:rFonts w:ascii="Times New Roman" w:hAnsi="Times New Roman"/>
          </w:rPr>
          <w:t>http://data.europa.eu/eli/dir/</w:t>
        </w:r>
        <w:r w:rsidRPr="007F399E">
          <w:rPr>
            <w:rStyle w:val="Hyperlink"/>
            <w:rFonts w:ascii="Times New Roman" w:hAnsi="Times New Roman"/>
          </w:rPr>
          <w:t>2023</w:t>
        </w:r>
        <w:r>
          <w:rPr>
            <w:rStyle w:val="Hyperlink"/>
            <w:rFonts w:ascii="Times New Roman" w:hAnsi="Times New Roman"/>
          </w:rPr>
          <w:t>/</w:t>
        </w:r>
        <w:r w:rsidRPr="007F399E">
          <w:rPr>
            <w:rStyle w:val="Hyperlink"/>
            <w:rFonts w:ascii="Times New Roman" w:hAnsi="Times New Roman"/>
          </w:rPr>
          <w:t>959</w:t>
        </w:r>
        <w:r>
          <w:rPr>
            <w:rStyle w:val="Hyperlink"/>
            <w:rFonts w:ascii="Times New Roman" w:hAnsi="Times New Roman"/>
          </w:rPr>
          <w:t>/oj</w:t>
        </w:r>
      </w:hyperlink>
      <w:r>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B34F64" w14:textId="77777777" w:rsidR="00495B6A" w:rsidRPr="00495B6A" w:rsidRDefault="00495B6A" w:rsidP="00495B6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83DCAC" w14:textId="77777777" w:rsidR="00495B6A" w:rsidRPr="00495B6A" w:rsidRDefault="00495B6A" w:rsidP="00495B6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702114" w14:textId="77777777" w:rsidR="00495B6A" w:rsidRPr="00495B6A" w:rsidRDefault="00495B6A" w:rsidP="00495B6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B803C4" w14:textId="77777777" w:rsidR="00511E72" w:rsidRDefault="00511E7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440A93" w14:textId="77777777" w:rsidR="00511E72" w:rsidRDefault="00511E7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93E697" w14:textId="77777777" w:rsidR="00511E72" w:rsidRDefault="00511E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323FB"/>
    <w:multiLevelType w:val="hybridMultilevel"/>
    <w:tmpl w:val="23DC2DA4"/>
    <w:lvl w:ilvl="0" w:tplc="18090001">
      <w:start w:val="1"/>
      <w:numFmt w:val="bullet"/>
      <w:lvlText w:val=""/>
      <w:lvlJc w:val="left"/>
      <w:pPr>
        <w:ind w:left="784" w:hanging="360"/>
      </w:pPr>
      <w:rPr>
        <w:rFonts w:ascii="Symbol" w:hAnsi="Symbol" w:hint="default"/>
      </w:rPr>
    </w:lvl>
    <w:lvl w:ilvl="1" w:tplc="18090003" w:tentative="1">
      <w:start w:val="1"/>
      <w:numFmt w:val="bullet"/>
      <w:lvlText w:val="o"/>
      <w:lvlJc w:val="left"/>
      <w:pPr>
        <w:ind w:left="1504" w:hanging="360"/>
      </w:pPr>
      <w:rPr>
        <w:rFonts w:ascii="Courier New" w:hAnsi="Courier New" w:cs="Courier New" w:hint="default"/>
      </w:rPr>
    </w:lvl>
    <w:lvl w:ilvl="2" w:tplc="18090005" w:tentative="1">
      <w:start w:val="1"/>
      <w:numFmt w:val="bullet"/>
      <w:lvlText w:val=""/>
      <w:lvlJc w:val="left"/>
      <w:pPr>
        <w:ind w:left="2224" w:hanging="360"/>
      </w:pPr>
      <w:rPr>
        <w:rFonts w:ascii="Wingdings" w:hAnsi="Wingdings" w:hint="default"/>
      </w:rPr>
    </w:lvl>
    <w:lvl w:ilvl="3" w:tplc="18090001" w:tentative="1">
      <w:start w:val="1"/>
      <w:numFmt w:val="bullet"/>
      <w:lvlText w:val=""/>
      <w:lvlJc w:val="left"/>
      <w:pPr>
        <w:ind w:left="2944" w:hanging="360"/>
      </w:pPr>
      <w:rPr>
        <w:rFonts w:ascii="Symbol" w:hAnsi="Symbol" w:hint="default"/>
      </w:rPr>
    </w:lvl>
    <w:lvl w:ilvl="4" w:tplc="18090003" w:tentative="1">
      <w:start w:val="1"/>
      <w:numFmt w:val="bullet"/>
      <w:lvlText w:val="o"/>
      <w:lvlJc w:val="left"/>
      <w:pPr>
        <w:ind w:left="3664" w:hanging="360"/>
      </w:pPr>
      <w:rPr>
        <w:rFonts w:ascii="Courier New" w:hAnsi="Courier New" w:cs="Courier New" w:hint="default"/>
      </w:rPr>
    </w:lvl>
    <w:lvl w:ilvl="5" w:tplc="18090005" w:tentative="1">
      <w:start w:val="1"/>
      <w:numFmt w:val="bullet"/>
      <w:lvlText w:val=""/>
      <w:lvlJc w:val="left"/>
      <w:pPr>
        <w:ind w:left="4384" w:hanging="360"/>
      </w:pPr>
      <w:rPr>
        <w:rFonts w:ascii="Wingdings" w:hAnsi="Wingdings" w:hint="default"/>
      </w:rPr>
    </w:lvl>
    <w:lvl w:ilvl="6" w:tplc="18090001" w:tentative="1">
      <w:start w:val="1"/>
      <w:numFmt w:val="bullet"/>
      <w:lvlText w:val=""/>
      <w:lvlJc w:val="left"/>
      <w:pPr>
        <w:ind w:left="5104" w:hanging="360"/>
      </w:pPr>
      <w:rPr>
        <w:rFonts w:ascii="Symbol" w:hAnsi="Symbol" w:hint="default"/>
      </w:rPr>
    </w:lvl>
    <w:lvl w:ilvl="7" w:tplc="18090003" w:tentative="1">
      <w:start w:val="1"/>
      <w:numFmt w:val="bullet"/>
      <w:lvlText w:val="o"/>
      <w:lvlJc w:val="left"/>
      <w:pPr>
        <w:ind w:left="5824" w:hanging="360"/>
      </w:pPr>
      <w:rPr>
        <w:rFonts w:ascii="Courier New" w:hAnsi="Courier New" w:cs="Courier New" w:hint="default"/>
      </w:rPr>
    </w:lvl>
    <w:lvl w:ilvl="8" w:tplc="18090005" w:tentative="1">
      <w:start w:val="1"/>
      <w:numFmt w:val="bullet"/>
      <w:lvlText w:val=""/>
      <w:lvlJc w:val="left"/>
      <w:pPr>
        <w:ind w:left="6544" w:hanging="360"/>
      </w:pPr>
      <w:rPr>
        <w:rFonts w:ascii="Wingdings" w:hAnsi="Wingdings" w:hint="default"/>
      </w:rPr>
    </w:lvl>
  </w:abstractNum>
  <w:abstractNum w:abstractNumId="1" w15:restartNumberingAfterBreak="0">
    <w:nsid w:val="36C44E8A"/>
    <w:multiLevelType w:val="hybridMultilevel"/>
    <w:tmpl w:val="E046860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52EF529E"/>
    <w:multiLevelType w:val="hybridMultilevel"/>
    <w:tmpl w:val="A2D201F8"/>
    <w:lvl w:ilvl="0" w:tplc="5C4AF506">
      <w:start w:val="1"/>
      <w:numFmt w:val="bullet"/>
      <w:lvlText w:val="-"/>
      <w:lvlJc w:val="left"/>
      <w:pPr>
        <w:ind w:left="720" w:hanging="360"/>
      </w:pPr>
      <w:rPr>
        <w:rFonts w:ascii="Aptos" w:eastAsiaTheme="minorHAnsi" w:hAnsi="Aptos" w:cstheme="minorBid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CD5366C3-1596-4098-A82F-12F84F3F6711"/>
    <w:docVar w:name="LW_COVERPAGE_TYPE" w:val="1"/>
    <w:docVar w:name="LW_CROSSREFERENCE" w:val="&lt;UNUSED&gt;"/>
    <w:docVar w:name="LW_DocType" w:val="NORMAL"/>
    <w:docVar w:name="LW_EMISSION" w:val="23.6.2026"/>
    <w:docVar w:name="LW_EMISSION_ISODATE" w:val="2026-06-23"/>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29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exercitarea competen\u539?ei de a adopta acte delegate conferit\u259? Comisiei în temeiul Directivei 1999/62/CE"/>
    <w:docVar w:name="LW_TYPE.DOC.CP" w:val="RAPORT AL COMISIEI C\u258?TRE PARLAMENTUL EUROPEAN \u536?I CONSILIU"/>
    <w:docVar w:name="LwApiVersions" w:val="LW4CoDe 1.24.5.0; LW 9.2, Build 20251112"/>
  </w:docVars>
  <w:rsids>
    <w:rsidRoot w:val="00C1171F"/>
    <w:rsid w:val="00092FA5"/>
    <w:rsid w:val="000A3CA6"/>
    <w:rsid w:val="000B01C3"/>
    <w:rsid w:val="000C37BF"/>
    <w:rsid w:val="00105922"/>
    <w:rsid w:val="00170AD1"/>
    <w:rsid w:val="001739BE"/>
    <w:rsid w:val="0017729F"/>
    <w:rsid w:val="00185773"/>
    <w:rsid w:val="00200B60"/>
    <w:rsid w:val="00201632"/>
    <w:rsid w:val="00214247"/>
    <w:rsid w:val="00226F07"/>
    <w:rsid w:val="002334D1"/>
    <w:rsid w:val="0025245B"/>
    <w:rsid w:val="00266272"/>
    <w:rsid w:val="002759F9"/>
    <w:rsid w:val="00287140"/>
    <w:rsid w:val="00300498"/>
    <w:rsid w:val="00310DFF"/>
    <w:rsid w:val="003168ED"/>
    <w:rsid w:val="00317285"/>
    <w:rsid w:val="00355F68"/>
    <w:rsid w:val="003658A6"/>
    <w:rsid w:val="003B51F4"/>
    <w:rsid w:val="0041765D"/>
    <w:rsid w:val="00426809"/>
    <w:rsid w:val="004954CD"/>
    <w:rsid w:val="00495B6A"/>
    <w:rsid w:val="00496917"/>
    <w:rsid w:val="004C67B3"/>
    <w:rsid w:val="004E7B6F"/>
    <w:rsid w:val="00511E72"/>
    <w:rsid w:val="00514B90"/>
    <w:rsid w:val="005242AA"/>
    <w:rsid w:val="005246D9"/>
    <w:rsid w:val="005361ED"/>
    <w:rsid w:val="0055132D"/>
    <w:rsid w:val="00564AD7"/>
    <w:rsid w:val="005747D5"/>
    <w:rsid w:val="00626951"/>
    <w:rsid w:val="00626E35"/>
    <w:rsid w:val="00660FEB"/>
    <w:rsid w:val="0069642A"/>
    <w:rsid w:val="006969AE"/>
    <w:rsid w:val="006A5A47"/>
    <w:rsid w:val="006C5183"/>
    <w:rsid w:val="006D75DC"/>
    <w:rsid w:val="006D7737"/>
    <w:rsid w:val="007063E7"/>
    <w:rsid w:val="0075333B"/>
    <w:rsid w:val="00782DD3"/>
    <w:rsid w:val="007D7576"/>
    <w:rsid w:val="007F399E"/>
    <w:rsid w:val="00802ABB"/>
    <w:rsid w:val="00811DA8"/>
    <w:rsid w:val="00812AA0"/>
    <w:rsid w:val="0084166C"/>
    <w:rsid w:val="008670C3"/>
    <w:rsid w:val="008A1ED2"/>
    <w:rsid w:val="008F6CB0"/>
    <w:rsid w:val="00987910"/>
    <w:rsid w:val="009A41E4"/>
    <w:rsid w:val="009C6300"/>
    <w:rsid w:val="00A31A05"/>
    <w:rsid w:val="00A31FB4"/>
    <w:rsid w:val="00A571BE"/>
    <w:rsid w:val="00A726EA"/>
    <w:rsid w:val="00A80A5D"/>
    <w:rsid w:val="00A85283"/>
    <w:rsid w:val="00A951DF"/>
    <w:rsid w:val="00AC541D"/>
    <w:rsid w:val="00AF5882"/>
    <w:rsid w:val="00B10937"/>
    <w:rsid w:val="00B12F4B"/>
    <w:rsid w:val="00B411CC"/>
    <w:rsid w:val="00B43A44"/>
    <w:rsid w:val="00C1171F"/>
    <w:rsid w:val="00C44730"/>
    <w:rsid w:val="00C468EC"/>
    <w:rsid w:val="00C94224"/>
    <w:rsid w:val="00D069D0"/>
    <w:rsid w:val="00D132E8"/>
    <w:rsid w:val="00D46603"/>
    <w:rsid w:val="00D477B3"/>
    <w:rsid w:val="00D65056"/>
    <w:rsid w:val="00D92054"/>
    <w:rsid w:val="00DA054C"/>
    <w:rsid w:val="00DA0C59"/>
    <w:rsid w:val="00DD1EB6"/>
    <w:rsid w:val="00E02FFB"/>
    <w:rsid w:val="00E72E94"/>
    <w:rsid w:val="00E77838"/>
    <w:rsid w:val="00E83598"/>
    <w:rsid w:val="00EE6E1D"/>
    <w:rsid w:val="00F03A08"/>
    <w:rsid w:val="00F33E80"/>
    <w:rsid w:val="00F47E46"/>
    <w:rsid w:val="00F67B8A"/>
    <w:rsid w:val="00FC5216"/>
    <w:rsid w:val="00FD33F3"/>
    <w:rsid w:val="00FD6A2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1BE20F0"/>
  <w15:chartTrackingRefBased/>
  <w15:docId w15:val="{36D39357-8D2F-4B56-A72C-61C69188E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117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17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17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17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17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17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17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17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17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17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17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17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17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17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17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17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17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171F"/>
    <w:rPr>
      <w:rFonts w:eastAsiaTheme="majorEastAsia" w:cstheme="majorBidi"/>
      <w:color w:val="272727" w:themeColor="text1" w:themeTint="D8"/>
    </w:rPr>
  </w:style>
  <w:style w:type="paragraph" w:styleId="Title">
    <w:name w:val="Title"/>
    <w:basedOn w:val="Normal"/>
    <w:next w:val="Normal"/>
    <w:link w:val="TitleChar"/>
    <w:uiPriority w:val="10"/>
    <w:qFormat/>
    <w:rsid w:val="00C117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17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17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17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171F"/>
    <w:pPr>
      <w:spacing w:before="160"/>
      <w:jc w:val="center"/>
    </w:pPr>
    <w:rPr>
      <w:i/>
      <w:iCs/>
      <w:color w:val="404040" w:themeColor="text1" w:themeTint="BF"/>
    </w:rPr>
  </w:style>
  <w:style w:type="character" w:customStyle="1" w:styleId="QuoteChar">
    <w:name w:val="Quote Char"/>
    <w:basedOn w:val="DefaultParagraphFont"/>
    <w:link w:val="Quote"/>
    <w:uiPriority w:val="29"/>
    <w:rsid w:val="00C1171F"/>
    <w:rPr>
      <w:i/>
      <w:iCs/>
      <w:color w:val="404040" w:themeColor="text1" w:themeTint="BF"/>
    </w:rPr>
  </w:style>
  <w:style w:type="paragraph" w:styleId="ListParagraph">
    <w:name w:val="List Paragraph"/>
    <w:basedOn w:val="Normal"/>
    <w:uiPriority w:val="34"/>
    <w:qFormat/>
    <w:rsid w:val="00C1171F"/>
    <w:pPr>
      <w:ind w:left="720"/>
      <w:contextualSpacing/>
    </w:pPr>
  </w:style>
  <w:style w:type="character" w:styleId="IntenseEmphasis">
    <w:name w:val="Intense Emphasis"/>
    <w:basedOn w:val="DefaultParagraphFont"/>
    <w:uiPriority w:val="21"/>
    <w:qFormat/>
    <w:rsid w:val="00C1171F"/>
    <w:rPr>
      <w:i/>
      <w:iCs/>
      <w:color w:val="0F4761" w:themeColor="accent1" w:themeShade="BF"/>
    </w:rPr>
  </w:style>
  <w:style w:type="paragraph" w:styleId="IntenseQuote">
    <w:name w:val="Intense Quote"/>
    <w:basedOn w:val="Normal"/>
    <w:next w:val="Normal"/>
    <w:link w:val="IntenseQuoteChar"/>
    <w:uiPriority w:val="30"/>
    <w:qFormat/>
    <w:rsid w:val="00C117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171F"/>
    <w:rPr>
      <w:i/>
      <w:iCs/>
      <w:color w:val="0F4761" w:themeColor="accent1" w:themeShade="BF"/>
    </w:rPr>
  </w:style>
  <w:style w:type="character" w:styleId="IntenseReference">
    <w:name w:val="Intense Reference"/>
    <w:basedOn w:val="DefaultParagraphFont"/>
    <w:uiPriority w:val="32"/>
    <w:qFormat/>
    <w:rsid w:val="00C1171F"/>
    <w:rPr>
      <w:b/>
      <w:bCs/>
      <w:smallCaps/>
      <w:color w:val="0F4761" w:themeColor="accent1" w:themeShade="BF"/>
      <w:spacing w:val="5"/>
    </w:rPr>
  </w:style>
  <w:style w:type="paragraph" w:styleId="FootnoteText">
    <w:name w:val="footnote text"/>
    <w:basedOn w:val="Normal"/>
    <w:link w:val="FootnoteTextChar"/>
    <w:unhideWhenUsed/>
    <w:rsid w:val="00C1171F"/>
    <w:pPr>
      <w:spacing w:after="0" w:line="240" w:lineRule="auto"/>
    </w:pPr>
    <w:rPr>
      <w:sz w:val="20"/>
      <w:szCs w:val="20"/>
    </w:rPr>
  </w:style>
  <w:style w:type="character" w:customStyle="1" w:styleId="FootnoteTextChar">
    <w:name w:val="Footnote Text Char"/>
    <w:basedOn w:val="DefaultParagraphFont"/>
    <w:link w:val="FootnoteText"/>
    <w:rsid w:val="00C1171F"/>
    <w:rPr>
      <w:sz w:val="20"/>
      <w:szCs w:val="20"/>
    </w:rPr>
  </w:style>
  <w:style w:type="character" w:styleId="FootnoteReference">
    <w:name w:val="footnote reference"/>
    <w:basedOn w:val="DefaultParagraphFont"/>
    <w:semiHidden/>
    <w:unhideWhenUsed/>
    <w:rsid w:val="00C1171F"/>
    <w:rPr>
      <w:vertAlign w:val="superscript"/>
    </w:rPr>
  </w:style>
  <w:style w:type="paragraph" w:styleId="Revision">
    <w:name w:val="Revision"/>
    <w:hidden/>
    <w:uiPriority w:val="99"/>
    <w:semiHidden/>
    <w:rsid w:val="00B10937"/>
    <w:pPr>
      <w:spacing w:after="0" w:line="240" w:lineRule="auto"/>
    </w:pPr>
  </w:style>
  <w:style w:type="character" w:customStyle="1" w:styleId="Bodytext1">
    <w:name w:val="Body text|1_"/>
    <w:basedOn w:val="DefaultParagraphFont"/>
    <w:link w:val="Bodytext10"/>
    <w:rsid w:val="002334D1"/>
  </w:style>
  <w:style w:type="paragraph" w:customStyle="1" w:styleId="Bodytext10">
    <w:name w:val="Body text|1"/>
    <w:basedOn w:val="Normal"/>
    <w:link w:val="Bodytext1"/>
    <w:rsid w:val="002334D1"/>
    <w:pPr>
      <w:widowControl w:val="0"/>
      <w:spacing w:after="260" w:line="266" w:lineRule="auto"/>
    </w:pPr>
  </w:style>
  <w:style w:type="character" w:styleId="Hyperlink">
    <w:name w:val="Hyperlink"/>
    <w:basedOn w:val="DefaultParagraphFont"/>
    <w:uiPriority w:val="99"/>
    <w:unhideWhenUsed/>
    <w:rsid w:val="00A31A05"/>
    <w:rPr>
      <w:color w:val="467886" w:themeColor="hyperlink"/>
      <w:u w:val="single"/>
    </w:rPr>
  </w:style>
  <w:style w:type="character" w:customStyle="1" w:styleId="UnresolvedMention">
    <w:name w:val="Unresolved Mention"/>
    <w:basedOn w:val="DefaultParagraphFont"/>
    <w:uiPriority w:val="99"/>
    <w:semiHidden/>
    <w:unhideWhenUsed/>
    <w:rsid w:val="00A31A05"/>
    <w:rPr>
      <w:color w:val="605E5C"/>
      <w:shd w:val="clear" w:color="auto" w:fill="E1DFDD"/>
    </w:rPr>
  </w:style>
  <w:style w:type="character" w:styleId="CommentReference">
    <w:name w:val="annotation reference"/>
    <w:basedOn w:val="DefaultParagraphFont"/>
    <w:uiPriority w:val="99"/>
    <w:semiHidden/>
    <w:unhideWhenUsed/>
    <w:rsid w:val="00266272"/>
    <w:rPr>
      <w:sz w:val="16"/>
      <w:szCs w:val="16"/>
    </w:rPr>
  </w:style>
  <w:style w:type="paragraph" w:styleId="CommentText">
    <w:name w:val="annotation text"/>
    <w:basedOn w:val="Normal"/>
    <w:link w:val="CommentTextChar"/>
    <w:uiPriority w:val="99"/>
    <w:unhideWhenUsed/>
    <w:rsid w:val="00266272"/>
    <w:pPr>
      <w:spacing w:line="240" w:lineRule="auto"/>
    </w:pPr>
    <w:rPr>
      <w:sz w:val="20"/>
      <w:szCs w:val="20"/>
    </w:rPr>
  </w:style>
  <w:style w:type="character" w:customStyle="1" w:styleId="CommentTextChar">
    <w:name w:val="Comment Text Char"/>
    <w:basedOn w:val="DefaultParagraphFont"/>
    <w:link w:val="CommentText"/>
    <w:uiPriority w:val="99"/>
    <w:rsid w:val="00266272"/>
    <w:rPr>
      <w:sz w:val="20"/>
      <w:szCs w:val="20"/>
    </w:rPr>
  </w:style>
  <w:style w:type="paragraph" w:styleId="CommentSubject">
    <w:name w:val="annotation subject"/>
    <w:basedOn w:val="CommentText"/>
    <w:next w:val="CommentText"/>
    <w:link w:val="CommentSubjectChar"/>
    <w:uiPriority w:val="99"/>
    <w:semiHidden/>
    <w:unhideWhenUsed/>
    <w:rsid w:val="00266272"/>
    <w:rPr>
      <w:b/>
      <w:bCs/>
    </w:rPr>
  </w:style>
  <w:style w:type="character" w:customStyle="1" w:styleId="CommentSubjectChar">
    <w:name w:val="Comment Subject Char"/>
    <w:basedOn w:val="CommentTextChar"/>
    <w:link w:val="CommentSubject"/>
    <w:uiPriority w:val="99"/>
    <w:semiHidden/>
    <w:rsid w:val="00266272"/>
    <w:rPr>
      <w:b/>
      <w:bCs/>
      <w:sz w:val="20"/>
      <w:szCs w:val="20"/>
    </w:rPr>
  </w:style>
  <w:style w:type="character" w:styleId="FollowedHyperlink">
    <w:name w:val="FollowedHyperlink"/>
    <w:basedOn w:val="DefaultParagraphFont"/>
    <w:uiPriority w:val="99"/>
    <w:semiHidden/>
    <w:unhideWhenUsed/>
    <w:rsid w:val="00355F68"/>
    <w:rPr>
      <w:color w:val="96607D" w:themeColor="followedHyperlink"/>
      <w:u w:val="single"/>
    </w:rPr>
  </w:style>
  <w:style w:type="character" w:customStyle="1" w:styleId="Marker">
    <w:name w:val="Marker"/>
    <w:basedOn w:val="DefaultParagraphFont"/>
    <w:rsid w:val="00511E72"/>
    <w:rPr>
      <w:color w:val="0000FF"/>
      <w:shd w:val="clear" w:color="auto" w:fill="auto"/>
    </w:rPr>
  </w:style>
  <w:style w:type="paragraph" w:styleId="Header">
    <w:name w:val="header"/>
    <w:basedOn w:val="Normal"/>
    <w:link w:val="HeaderChar"/>
    <w:uiPriority w:val="99"/>
    <w:unhideWhenUsed/>
    <w:rsid w:val="00511E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1E72"/>
  </w:style>
  <w:style w:type="paragraph" w:styleId="Footer">
    <w:name w:val="footer"/>
    <w:basedOn w:val="Normal"/>
    <w:link w:val="FooterChar"/>
    <w:uiPriority w:val="99"/>
    <w:unhideWhenUsed/>
    <w:rsid w:val="00511E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1E72"/>
  </w:style>
  <w:style w:type="paragraph" w:customStyle="1" w:styleId="Pagedecouverture">
    <w:name w:val="Page de couverture"/>
    <w:basedOn w:val="Normal"/>
    <w:next w:val="Normal"/>
    <w:link w:val="PagedecouvertureChar"/>
    <w:rsid w:val="00511E72"/>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511E72"/>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PagedecouvertureChar">
    <w:name w:val="Page de couverture Char"/>
    <w:basedOn w:val="DefaultParagraphFont"/>
    <w:link w:val="Pagedecouverture"/>
    <w:rsid w:val="00511E72"/>
    <w:rPr>
      <w:rFonts w:ascii="Times New Roman" w:hAnsi="Times New Roman" w:cs="Times New Roman"/>
      <w:kern w:val="0"/>
      <w:szCs w:val="22"/>
      <w14:ligatures w14:val="none"/>
    </w:rPr>
  </w:style>
  <w:style w:type="character" w:customStyle="1" w:styleId="FooterCoverPageChar">
    <w:name w:val="Footer Cover Page Char"/>
    <w:basedOn w:val="PagedecouvertureChar"/>
    <w:link w:val="FooterCoverPage"/>
    <w:rsid w:val="00511E72"/>
    <w:rPr>
      <w:rFonts w:ascii="Times New Roman" w:hAnsi="Times New Roman" w:cs="Times New Roman"/>
      <w:kern w:val="0"/>
      <w:szCs w:val="22"/>
      <w14:ligatures w14:val="none"/>
    </w:rPr>
  </w:style>
  <w:style w:type="paragraph" w:customStyle="1" w:styleId="FooterSensitivity">
    <w:name w:val="Footer Sensitivity"/>
    <w:basedOn w:val="Normal"/>
    <w:link w:val="FooterSensitivityChar"/>
    <w:rsid w:val="00511E7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511E72"/>
    <w:rPr>
      <w:rFonts w:ascii="Times New Roman" w:hAnsi="Times New Roman" w:cs="Times New Roman"/>
      <w:b/>
      <w:kern w:val="0"/>
      <w:sz w:val="32"/>
      <w:szCs w:val="22"/>
      <w14:ligatures w14:val="none"/>
    </w:rPr>
  </w:style>
  <w:style w:type="paragraph" w:customStyle="1" w:styleId="HeaderCoverPage">
    <w:name w:val="Header Cover Page"/>
    <w:basedOn w:val="Normal"/>
    <w:link w:val="HeaderCoverPageChar"/>
    <w:rsid w:val="00511E72"/>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PagedecouvertureChar"/>
    <w:link w:val="HeaderCoverPage"/>
    <w:rsid w:val="00511E72"/>
    <w:rPr>
      <w:rFonts w:ascii="Times New Roman" w:hAnsi="Times New Roman" w:cs="Times New Roman"/>
      <w:kern w:val="0"/>
      <w:szCs w:val="22"/>
      <w14:ligatures w14:val="none"/>
    </w:rPr>
  </w:style>
  <w:style w:type="paragraph" w:customStyle="1" w:styleId="HeaderSensitivity">
    <w:name w:val="Header Sensitivity"/>
    <w:basedOn w:val="Normal"/>
    <w:link w:val="HeaderSensitivityChar"/>
    <w:rsid w:val="00511E72"/>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511E72"/>
    <w:rPr>
      <w:rFonts w:ascii="Times New Roman" w:hAnsi="Times New Roman" w:cs="Times New Roman"/>
      <w:b/>
      <w:kern w:val="0"/>
      <w:sz w:val="32"/>
      <w:szCs w:val="22"/>
      <w14:ligatures w14:val="none"/>
    </w:rPr>
  </w:style>
  <w:style w:type="paragraph" w:customStyle="1" w:styleId="HeaderSensitivityRight">
    <w:name w:val="Header Sensitivity Right"/>
    <w:basedOn w:val="Normal"/>
    <w:link w:val="HeaderSensitivityRightChar"/>
    <w:rsid w:val="00511E72"/>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511E72"/>
    <w:rPr>
      <w:rFonts w:ascii="Times New Roman" w:hAnsi="Times New Roman" w:cs="Times New Roman"/>
      <w:kern w:val="0"/>
      <w:sz w:val="28"/>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81957">
      <w:bodyDiv w:val="1"/>
      <w:marLeft w:val="0"/>
      <w:marRight w:val="0"/>
      <w:marTop w:val="0"/>
      <w:marBottom w:val="0"/>
      <w:divBdr>
        <w:top w:val="none" w:sz="0" w:space="0" w:color="auto"/>
        <w:left w:val="none" w:sz="0" w:space="0" w:color="auto"/>
        <w:bottom w:val="none" w:sz="0" w:space="0" w:color="auto"/>
        <w:right w:val="none" w:sz="0" w:space="0" w:color="auto"/>
      </w:divBdr>
    </w:div>
    <w:div w:id="32735215">
      <w:bodyDiv w:val="1"/>
      <w:marLeft w:val="0"/>
      <w:marRight w:val="0"/>
      <w:marTop w:val="0"/>
      <w:marBottom w:val="0"/>
      <w:divBdr>
        <w:top w:val="none" w:sz="0" w:space="0" w:color="auto"/>
        <w:left w:val="none" w:sz="0" w:space="0" w:color="auto"/>
        <w:bottom w:val="none" w:sz="0" w:space="0" w:color="auto"/>
        <w:right w:val="none" w:sz="0" w:space="0" w:color="auto"/>
      </w:divBdr>
    </w:div>
    <w:div w:id="300774637">
      <w:bodyDiv w:val="1"/>
      <w:marLeft w:val="0"/>
      <w:marRight w:val="0"/>
      <w:marTop w:val="0"/>
      <w:marBottom w:val="0"/>
      <w:divBdr>
        <w:top w:val="none" w:sz="0" w:space="0" w:color="auto"/>
        <w:left w:val="none" w:sz="0" w:space="0" w:color="auto"/>
        <w:bottom w:val="none" w:sz="0" w:space="0" w:color="auto"/>
        <w:right w:val="none" w:sz="0" w:space="0" w:color="auto"/>
      </w:divBdr>
    </w:div>
    <w:div w:id="471362314">
      <w:bodyDiv w:val="1"/>
      <w:marLeft w:val="0"/>
      <w:marRight w:val="0"/>
      <w:marTop w:val="0"/>
      <w:marBottom w:val="0"/>
      <w:divBdr>
        <w:top w:val="none" w:sz="0" w:space="0" w:color="auto"/>
        <w:left w:val="none" w:sz="0" w:space="0" w:color="auto"/>
        <w:bottom w:val="none" w:sz="0" w:space="0" w:color="auto"/>
        <w:right w:val="none" w:sz="0" w:space="0" w:color="auto"/>
      </w:divBdr>
    </w:div>
    <w:div w:id="520434864">
      <w:bodyDiv w:val="1"/>
      <w:marLeft w:val="0"/>
      <w:marRight w:val="0"/>
      <w:marTop w:val="0"/>
      <w:marBottom w:val="0"/>
      <w:divBdr>
        <w:top w:val="none" w:sz="0" w:space="0" w:color="auto"/>
        <w:left w:val="none" w:sz="0" w:space="0" w:color="auto"/>
        <w:bottom w:val="none" w:sz="0" w:space="0" w:color="auto"/>
        <w:right w:val="none" w:sz="0" w:space="0" w:color="auto"/>
      </w:divBdr>
      <w:divsChild>
        <w:div w:id="1563563891">
          <w:marLeft w:val="0"/>
          <w:marRight w:val="0"/>
          <w:marTop w:val="0"/>
          <w:marBottom w:val="0"/>
          <w:divBdr>
            <w:top w:val="none" w:sz="0" w:space="0" w:color="auto"/>
            <w:left w:val="none" w:sz="0" w:space="0" w:color="auto"/>
            <w:bottom w:val="none" w:sz="0" w:space="0" w:color="auto"/>
            <w:right w:val="none" w:sz="0" w:space="0" w:color="auto"/>
          </w:divBdr>
          <w:divsChild>
            <w:div w:id="73750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526906">
      <w:bodyDiv w:val="1"/>
      <w:marLeft w:val="0"/>
      <w:marRight w:val="0"/>
      <w:marTop w:val="0"/>
      <w:marBottom w:val="0"/>
      <w:divBdr>
        <w:top w:val="none" w:sz="0" w:space="0" w:color="auto"/>
        <w:left w:val="none" w:sz="0" w:space="0" w:color="auto"/>
        <w:bottom w:val="none" w:sz="0" w:space="0" w:color="auto"/>
        <w:right w:val="none" w:sz="0" w:space="0" w:color="auto"/>
      </w:divBdr>
    </w:div>
    <w:div w:id="1062949914">
      <w:bodyDiv w:val="1"/>
      <w:marLeft w:val="0"/>
      <w:marRight w:val="0"/>
      <w:marTop w:val="0"/>
      <w:marBottom w:val="0"/>
      <w:divBdr>
        <w:top w:val="none" w:sz="0" w:space="0" w:color="auto"/>
        <w:left w:val="none" w:sz="0" w:space="0" w:color="auto"/>
        <w:bottom w:val="none" w:sz="0" w:space="0" w:color="auto"/>
        <w:right w:val="none" w:sz="0" w:space="0" w:color="auto"/>
      </w:divBdr>
    </w:div>
    <w:div w:id="1088311812">
      <w:bodyDiv w:val="1"/>
      <w:marLeft w:val="0"/>
      <w:marRight w:val="0"/>
      <w:marTop w:val="0"/>
      <w:marBottom w:val="0"/>
      <w:divBdr>
        <w:top w:val="none" w:sz="0" w:space="0" w:color="auto"/>
        <w:left w:val="none" w:sz="0" w:space="0" w:color="auto"/>
        <w:bottom w:val="none" w:sz="0" w:space="0" w:color="auto"/>
        <w:right w:val="none" w:sz="0" w:space="0" w:color="auto"/>
      </w:divBdr>
    </w:div>
    <w:div w:id="1278222863">
      <w:bodyDiv w:val="1"/>
      <w:marLeft w:val="0"/>
      <w:marRight w:val="0"/>
      <w:marTop w:val="0"/>
      <w:marBottom w:val="0"/>
      <w:divBdr>
        <w:top w:val="none" w:sz="0" w:space="0" w:color="auto"/>
        <w:left w:val="none" w:sz="0" w:space="0" w:color="auto"/>
        <w:bottom w:val="none" w:sz="0" w:space="0" w:color="auto"/>
        <w:right w:val="none" w:sz="0" w:space="0" w:color="auto"/>
      </w:divBdr>
    </w:div>
    <w:div w:id="1290550425">
      <w:bodyDiv w:val="1"/>
      <w:marLeft w:val="0"/>
      <w:marRight w:val="0"/>
      <w:marTop w:val="0"/>
      <w:marBottom w:val="0"/>
      <w:divBdr>
        <w:top w:val="none" w:sz="0" w:space="0" w:color="auto"/>
        <w:left w:val="none" w:sz="0" w:space="0" w:color="auto"/>
        <w:bottom w:val="none" w:sz="0" w:space="0" w:color="auto"/>
        <w:right w:val="none" w:sz="0" w:space="0" w:color="auto"/>
      </w:divBdr>
    </w:div>
    <w:div w:id="1620454277">
      <w:bodyDiv w:val="1"/>
      <w:marLeft w:val="0"/>
      <w:marRight w:val="0"/>
      <w:marTop w:val="0"/>
      <w:marBottom w:val="0"/>
      <w:divBdr>
        <w:top w:val="none" w:sz="0" w:space="0" w:color="auto"/>
        <w:left w:val="none" w:sz="0" w:space="0" w:color="auto"/>
        <w:bottom w:val="none" w:sz="0" w:space="0" w:color="auto"/>
        <w:right w:val="none" w:sz="0" w:space="0" w:color="auto"/>
      </w:divBdr>
    </w:div>
    <w:div w:id="1686054343">
      <w:bodyDiv w:val="1"/>
      <w:marLeft w:val="0"/>
      <w:marRight w:val="0"/>
      <w:marTop w:val="0"/>
      <w:marBottom w:val="0"/>
      <w:divBdr>
        <w:top w:val="none" w:sz="0" w:space="0" w:color="auto"/>
        <w:left w:val="none" w:sz="0" w:space="0" w:color="auto"/>
        <w:bottom w:val="none" w:sz="0" w:space="0" w:color="auto"/>
        <w:right w:val="none" w:sz="0" w:space="0" w:color="auto"/>
      </w:divBdr>
    </w:div>
    <w:div w:id="1790540017">
      <w:bodyDiv w:val="1"/>
      <w:marLeft w:val="0"/>
      <w:marRight w:val="0"/>
      <w:marTop w:val="0"/>
      <w:marBottom w:val="0"/>
      <w:divBdr>
        <w:top w:val="none" w:sz="0" w:space="0" w:color="auto"/>
        <w:left w:val="none" w:sz="0" w:space="0" w:color="auto"/>
        <w:bottom w:val="none" w:sz="0" w:space="0" w:color="auto"/>
        <w:right w:val="none" w:sz="0" w:space="0" w:color="auto"/>
      </w:divBdr>
    </w:div>
    <w:div w:id="1989430295">
      <w:bodyDiv w:val="1"/>
      <w:marLeft w:val="0"/>
      <w:marRight w:val="0"/>
      <w:marTop w:val="0"/>
      <w:marBottom w:val="0"/>
      <w:divBdr>
        <w:top w:val="none" w:sz="0" w:space="0" w:color="auto"/>
        <w:left w:val="none" w:sz="0" w:space="0" w:color="auto"/>
        <w:bottom w:val="none" w:sz="0" w:space="0" w:color="auto"/>
        <w:right w:val="none" w:sz="0" w:space="0" w:color="auto"/>
      </w:divBdr>
      <w:divsChild>
        <w:div w:id="626086497">
          <w:marLeft w:val="0"/>
          <w:marRight w:val="0"/>
          <w:marTop w:val="0"/>
          <w:marBottom w:val="0"/>
          <w:divBdr>
            <w:top w:val="none" w:sz="0" w:space="0" w:color="auto"/>
            <w:left w:val="none" w:sz="0" w:space="0" w:color="auto"/>
            <w:bottom w:val="none" w:sz="0" w:space="0" w:color="auto"/>
            <w:right w:val="none" w:sz="0" w:space="0" w:color="auto"/>
          </w:divBdr>
          <w:divsChild>
            <w:div w:id="103553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3/87/oj" TargetMode="External"/><Relationship Id="rId2" Type="http://schemas.openxmlformats.org/officeDocument/2006/relationships/hyperlink" Target="http://data.europa.eu/eli/dir/2025/2459/oj" TargetMode="External"/><Relationship Id="rId1" Type="http://schemas.openxmlformats.org/officeDocument/2006/relationships/hyperlink" Target="http://data.europa.eu/eli/dir/1999/62/oj" TargetMode="External"/><Relationship Id="rId5" Type="http://schemas.openxmlformats.org/officeDocument/2006/relationships/hyperlink" Target="http://data.europa.eu/eli/dir/2023/959/oj" TargetMode="External"/><Relationship Id="rId4" Type="http://schemas.openxmlformats.org/officeDocument/2006/relationships/hyperlink" Target="http://data.europa.eu/eli/dir/2003/9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A6791DDFFC024DAA4136D92359EB10" ma:contentTypeVersion="17" ma:contentTypeDescription="Create a new document." ma:contentTypeScope="" ma:versionID="798009de730cb912adc64a959fe26d04">
  <xsd:schema xmlns:xsd="http://www.w3.org/2001/XMLSchema" xmlns:xs="http://www.w3.org/2001/XMLSchema" xmlns:p="http://schemas.microsoft.com/office/2006/metadata/properties" xmlns:ns2="cce4269c-1bca-4c47-bcbd-0ca0cb14aa6e" xmlns:ns3="96a7f24e-e0df-4592-b6e0-4a62e251a0e5" targetNamespace="http://schemas.microsoft.com/office/2006/metadata/properties" ma:root="true" ma:fieldsID="14569cb05a43142bcae0e549b4832e0f" ns2:_="" ns3:_="">
    <xsd:import namespace="cce4269c-1bca-4c47-bcbd-0ca0cb14aa6e"/>
    <xsd:import namespace="96a7f24e-e0df-4592-b6e0-4a62e251a0e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e4269c-1bca-4c47-bcbd-0ca0cb14aa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a7f24e-e0df-4592-b6e0-4a62e251a0e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f7103dc8-592a-4b3a-a061-49614422c163}" ma:internalName="TaxCatchAll" ma:showField="CatchAllData" ma:web="96a7f24e-e0df-4592-b6e0-4a62e251a0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6a7f24e-e0df-4592-b6e0-4a62e251a0e5" xsi:nil="true"/>
    <lcf76f155ced4ddcb4097134ff3c332f xmlns="cce4269c-1bca-4c47-bcbd-0ca0cb14aa6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0E475C-ACF8-4126-A629-B0FBFE3FD2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e4269c-1bca-4c47-bcbd-0ca0cb14aa6e"/>
    <ds:schemaRef ds:uri="96a7f24e-e0df-4592-b6e0-4a62e251a0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660E96-85ED-4834-8C3D-E3F7E1F82D02}">
  <ds:schemaRefs>
    <ds:schemaRef ds:uri="http://schemas.microsoft.com/office/2006/metadata/properties"/>
    <ds:schemaRef ds:uri="http://schemas.microsoft.com/office/infopath/2007/PartnerControls"/>
    <ds:schemaRef ds:uri="96a7f24e-e0df-4592-b6e0-4a62e251a0e5"/>
    <ds:schemaRef ds:uri="cce4269c-1bca-4c47-bcbd-0ca0cb14aa6e"/>
  </ds:schemaRefs>
</ds:datastoreItem>
</file>

<file path=customXml/itemProps3.xml><?xml version="1.0" encoding="utf-8"?>
<ds:datastoreItem xmlns:ds="http://schemas.openxmlformats.org/officeDocument/2006/customXml" ds:itemID="{A6E3242B-BC14-410A-83F7-477403890F31}">
  <ds:schemaRefs>
    <ds:schemaRef ds:uri="http://schemas.microsoft.com/sharepoint/v3/contenttype/forms"/>
  </ds:schemaRefs>
</ds:datastoreItem>
</file>

<file path=customXml/itemProps4.xml><?xml version="1.0" encoding="utf-8"?>
<ds:datastoreItem xmlns:ds="http://schemas.openxmlformats.org/officeDocument/2006/customXml" ds:itemID="{213AE1AD-E1B0-4F9F-83C0-414C63E54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4</Pages>
  <Words>902</Words>
  <Characters>5143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29</cp:revision>
  <dcterms:created xsi:type="dcterms:W3CDTF">2026-05-23T20:09:00Z</dcterms:created>
  <dcterms:modified xsi:type="dcterms:W3CDTF">2026-06-16T08:20:00Z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2026-02-25T09:47:32Z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5db43812-5845-49e6-946a-0ad2a3d4052b</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CP-006</vt:lpwstr>
  </property>
  <property fmtid="{D5CDD505-2E9C-101B-9397-08002B2CF9AE}" pid="15" name="Last edited using">
    <vt:lpwstr>LW 9.2, Build 20250828</vt:lpwstr>
  </property>
  <property fmtid="{D5CDD505-2E9C-101B-9397-08002B2CF9AE}" pid="16" name="Created using">
    <vt:lpwstr>LW 9.2, Build 20250828</vt:lpwstr>
  </property>
  <property fmtid="{D5CDD505-2E9C-101B-9397-08002B2CF9AE}" pid="17" name="ContentTypeId">
    <vt:lpwstr>0x0101008BA6791DDFFC024DAA4136D92359EB10</vt:lpwstr>
  </property>
  <property fmtid="{D5CDD505-2E9C-101B-9397-08002B2CF9AE}" pid="18" name="MediaServiceImageTags">
    <vt:lpwstr/>
  </property>
</Properties>
</file>