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4256" w:rsidRPr="003B0F65" w:rsidRDefault="006832C7" w:rsidP="006832C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180E837-6B23-44F1-9CC1-4CD1215875FB" style="width:455.25pt;height:399pt">
            <v:imagedata r:id="rId11" o:title=""/>
          </v:shape>
        </w:pict>
      </w:r>
    </w:p>
    <w:p w:rsidR="00FE4256" w:rsidRPr="003B0F65" w:rsidRDefault="00FE4256" w:rsidP="00FE4256">
      <w:pPr>
        <w:rPr>
          <w:noProof/>
        </w:rPr>
        <w:sectPr w:rsidR="00FE4256" w:rsidRPr="003B0F65" w:rsidSect="006832C7">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FE4256" w:rsidRPr="003B0F65" w:rsidRDefault="00FE4256">
      <w:pPr>
        <w:pStyle w:val="Exposdesmotifstitre"/>
        <w:rPr>
          <w:noProof/>
        </w:rPr>
      </w:pPr>
      <w:bookmarkStart w:id="0" w:name="_GoBack"/>
      <w:bookmarkEnd w:id="0"/>
      <w:r w:rsidRPr="003B0F65">
        <w:rPr>
          <w:noProof/>
        </w:rPr>
        <w:lastRenderedPageBreak/>
        <w:t>EXPUNERE DE MOTIVE</w:t>
      </w:r>
    </w:p>
    <w:p w:rsidR="00FE4256" w:rsidRPr="003B0F65" w:rsidRDefault="00FE4256" w:rsidP="00D8786D">
      <w:pPr>
        <w:pStyle w:val="ManualHeading1"/>
        <w:rPr>
          <w:rFonts w:eastAsia="Arial Unicode MS"/>
          <w:noProof/>
        </w:rPr>
      </w:pPr>
      <w:r>
        <w:rPr>
          <w:noProof/>
        </w:rPr>
        <w:t>1.</w:t>
      </w:r>
      <w:r>
        <w:rPr>
          <w:noProof/>
        </w:rPr>
        <w:tab/>
      </w:r>
      <w:r w:rsidRPr="003B0F65">
        <w:rPr>
          <w:noProof/>
        </w:rPr>
        <w:t>Obiectul propunerii</w:t>
      </w:r>
    </w:p>
    <w:p w:rsidR="009413D6" w:rsidRPr="003B0F65" w:rsidRDefault="00FE4256">
      <w:pPr>
        <w:rPr>
          <w:noProof/>
          <w:szCs w:val="24"/>
        </w:rPr>
      </w:pPr>
      <w:r w:rsidRPr="003B0F65">
        <w:rPr>
          <w:noProof/>
        </w:rPr>
        <w:t>Prezenta propunere se referă la modificarea Deciziei (UE) 2021/1765 a Consiliului</w:t>
      </w:r>
      <w:r w:rsidRPr="003B0F65">
        <w:rPr>
          <w:rStyle w:val="FootnoteReference"/>
          <w:rFonts w:eastAsia="Arial Unicode MS"/>
          <w:noProof/>
        </w:rPr>
        <w:footnoteReference w:id="1"/>
      </w:r>
      <w:r w:rsidRPr="003B0F65">
        <w:rPr>
          <w:noProof/>
        </w:rPr>
        <w:t xml:space="preserve"> privind poziția care urmează să fie adoptată, în numele Uniunii Europene, pentru perioada 2021-2026, în cadrul Comitetului specializat privind pescuitul constituit prin Acordul comercial și de cooperare dintre Uniunea Europeană și Comunitatea Europeană a Energiei Atomice, pe de o parte, și Regatul Unit al Marii Britanii și Irlandei de Nord, pe de altă parte.</w:t>
      </w:r>
    </w:p>
    <w:p w:rsidR="00FE4256" w:rsidRPr="003B0F65" w:rsidRDefault="00C36D01">
      <w:pPr>
        <w:rPr>
          <w:rFonts w:eastAsia="Arial Unicode MS"/>
          <w:noProof/>
        </w:rPr>
      </w:pPr>
      <w:r w:rsidRPr="003B0F65">
        <w:rPr>
          <w:noProof/>
        </w:rPr>
        <w:t>Prezenta propunere vizează modificarea Deciziei (UE) 2021/1765 prin prelungirea aplicării sale până la 30 iunie 2038.</w:t>
      </w:r>
    </w:p>
    <w:p w:rsidR="00FE4256" w:rsidRPr="003B0F65" w:rsidRDefault="00FE4256">
      <w:pPr>
        <w:pStyle w:val="ManualHeading1"/>
        <w:rPr>
          <w:noProof/>
        </w:rPr>
      </w:pPr>
      <w:r>
        <w:rPr>
          <w:noProof/>
        </w:rPr>
        <w:t>2.</w:t>
      </w:r>
      <w:r>
        <w:rPr>
          <w:noProof/>
        </w:rPr>
        <w:tab/>
      </w:r>
      <w:r w:rsidRPr="003B0F65">
        <w:rPr>
          <w:noProof/>
        </w:rPr>
        <w:t>Contextul propunerii</w:t>
      </w:r>
    </w:p>
    <w:p w:rsidR="00FE4256" w:rsidRPr="003B0F65" w:rsidRDefault="00FE4256">
      <w:pPr>
        <w:pStyle w:val="ManualHeading2"/>
        <w:rPr>
          <w:noProof/>
        </w:rPr>
      </w:pPr>
      <w:r>
        <w:rPr>
          <w:noProof/>
        </w:rPr>
        <w:t>2.1.</w:t>
      </w:r>
      <w:r>
        <w:rPr>
          <w:noProof/>
        </w:rPr>
        <w:tab/>
      </w:r>
      <w:r w:rsidRPr="003B0F65">
        <w:rPr>
          <w:noProof/>
        </w:rPr>
        <w:t>Acordul comercial și de cooperare dintre UE și Regatul Unit</w:t>
      </w:r>
    </w:p>
    <w:p w:rsidR="00FE4256" w:rsidRPr="003B0F65" w:rsidRDefault="00387A3D">
      <w:pPr>
        <w:rPr>
          <w:rFonts w:eastAsia="Arial Unicode MS"/>
          <w:noProof/>
        </w:rPr>
      </w:pPr>
      <w:bookmarkStart w:id="1" w:name="_Hlk228801237"/>
      <w:r w:rsidRPr="003B0F65">
        <w:rPr>
          <w:noProof/>
        </w:rPr>
        <w:t>Acordul comercial și de cooperare dintre Uniunea Europeană și Comunitatea Europeană a Energiei Atomice, pe de o parte, și Regatul Unit al Marii Britanii și Irlandei de Nord, pe de altă parte (denumit în continuare „Acordul comercial și de cooperare”)</w:t>
      </w:r>
      <w:r w:rsidRPr="003B0F65">
        <w:rPr>
          <w:rStyle w:val="FootnoteReference"/>
          <w:rFonts w:eastAsia="Arial Unicode MS"/>
          <w:noProof/>
        </w:rPr>
        <w:footnoteReference w:id="2"/>
      </w:r>
      <w:bookmarkEnd w:id="1"/>
      <w:r w:rsidRPr="003B0F65">
        <w:rPr>
          <w:noProof/>
        </w:rPr>
        <w:t xml:space="preserve"> stabilește regimuri preferențiale în domenii precum comerțul cu mărfuri și servicii, comerțul digital, proprietatea intelectuală, achizițiile publice, aviația și transportul rutier, energia, pescuitul, coordonarea securității sociale, cooperarea în materie de asigurare a respectării legii și cooperarea judiciară în materie penală, cooperarea tematică și participarea la programele Uniunii. Dispozițiile lui au scopul de a asigura condiții de concurență echitabile și respectarea drepturilor fundamentale. Acordul comercial și de cooperare s-a aplicat cu titlu provizoriu de la 1</w:t>
      </w:r>
      <w:r w:rsidR="003B0F65" w:rsidRPr="003B0F65">
        <w:rPr>
          <w:noProof/>
        </w:rPr>
        <w:t> </w:t>
      </w:r>
      <w:r w:rsidRPr="003B0F65">
        <w:rPr>
          <w:noProof/>
        </w:rPr>
        <w:t>ianuarie 2021 și a intrat în vigoare la 1 mai 2021.</w:t>
      </w:r>
    </w:p>
    <w:p w:rsidR="00FE4256" w:rsidRPr="003B0F65" w:rsidRDefault="00FE4256">
      <w:pPr>
        <w:pStyle w:val="ManualHeading2"/>
        <w:rPr>
          <w:noProof/>
        </w:rPr>
      </w:pPr>
      <w:r>
        <w:rPr>
          <w:noProof/>
        </w:rPr>
        <w:t>2.2.</w:t>
      </w:r>
      <w:r>
        <w:rPr>
          <w:noProof/>
        </w:rPr>
        <w:tab/>
      </w:r>
      <w:r w:rsidRPr="003B0F65">
        <w:rPr>
          <w:noProof/>
        </w:rPr>
        <w:t>Comitetul specializat privind pescuitul</w:t>
      </w:r>
    </w:p>
    <w:p w:rsidR="009413D6" w:rsidRPr="003B0F65" w:rsidRDefault="009413D6" w:rsidP="009413D6">
      <w:pPr>
        <w:rPr>
          <w:noProof/>
          <w:szCs w:val="24"/>
        </w:rPr>
      </w:pPr>
      <w:r w:rsidRPr="003B0F65">
        <w:rPr>
          <w:noProof/>
        </w:rPr>
        <w:t>Articolul 8 alineatul (1) litera (q) din Acordul comercial și de cooperare instituie Comitetul specializat privind pescuitul. Articolul 8 alineatul (4) din Acordul comercial și de cooperare enumeră, în mod neexhaustiv, sarcinile și domeniile de competență ale comitetelor specializate, iar articolul 508 enumeră, într-un mod neexhaustiv, sarcinile și domeniile de competență ale Comitetului specializat privind pescuitul.</w:t>
      </w:r>
    </w:p>
    <w:p w:rsidR="009D392B" w:rsidRPr="003B0F65" w:rsidRDefault="009D392B" w:rsidP="009D392B">
      <w:pPr>
        <w:rPr>
          <w:noProof/>
        </w:rPr>
      </w:pPr>
      <w:r w:rsidRPr="003B0F65">
        <w:rPr>
          <w:noProof/>
        </w:rPr>
        <w:t>La 5 octombrie 2021, Consiliul a adoptat Decizia (UE) 2021/1765, care stabilește poziția care urmează să fie adoptată în numele Uniunii în cadrul Comitetului specializat privind pescuitul.</w:t>
      </w:r>
    </w:p>
    <w:p w:rsidR="006442B3" w:rsidRPr="003B0F65" w:rsidRDefault="009D392B" w:rsidP="00237D51">
      <w:pPr>
        <w:rPr>
          <w:noProof/>
        </w:rPr>
      </w:pPr>
      <w:r w:rsidRPr="003B0F65">
        <w:rPr>
          <w:noProof/>
        </w:rPr>
        <w:t xml:space="preserve">Decizia (UE) 2021/1765 </w:t>
      </w:r>
      <w:bookmarkStart w:id="2" w:name="_Hlk223970372"/>
      <w:r w:rsidRPr="003B0F65">
        <w:rPr>
          <w:noProof/>
        </w:rPr>
        <w:t xml:space="preserve">a fost reexaminată în iulie 2023 de către Comisie și Consiliu, cu scopul de a stabili dacă decizia </w:t>
      </w:r>
      <w:r w:rsidRPr="003B0F65">
        <w:rPr>
          <w:rStyle w:val="normaltextrun"/>
          <w:noProof/>
        </w:rPr>
        <w:t>a devenit operațională până la momentul respectiv</w:t>
      </w:r>
      <w:r w:rsidRPr="003B0F65">
        <w:rPr>
          <w:noProof/>
        </w:rPr>
        <w:t xml:space="preserve"> </w:t>
      </w:r>
      <w:r w:rsidRPr="003B0F65">
        <w:rPr>
          <w:rStyle w:val="normaltextrun"/>
          <w:noProof/>
        </w:rPr>
        <w:t>și dacă</w:t>
      </w:r>
      <w:bookmarkEnd w:id="2"/>
      <w:r w:rsidRPr="003B0F65">
        <w:rPr>
          <w:noProof/>
        </w:rPr>
        <w:t xml:space="preserve"> </w:t>
      </w:r>
      <w:r w:rsidRPr="003B0F65">
        <w:rPr>
          <w:rStyle w:val="normaltextrun"/>
          <w:noProof/>
        </w:rPr>
        <w:t>consultările și reuniunile desfășurate în cadrul Comitetului specializat privind pescuitul s-au desfășurat în conformitate cu principiile și orientările stabilite în temeiul</w:t>
      </w:r>
      <w:r w:rsidRPr="003B0F65">
        <w:rPr>
          <w:noProof/>
        </w:rPr>
        <w:t xml:space="preserve"> Deciziei (UE) 2021/1765</w:t>
      </w:r>
      <w:r w:rsidRPr="003B0F65">
        <w:rPr>
          <w:rStyle w:val="normaltextrun"/>
          <w:noProof/>
        </w:rPr>
        <w:t xml:space="preserve">. </w:t>
      </w:r>
      <w:bookmarkStart w:id="3" w:name="_Hlk223970395"/>
      <w:r w:rsidRPr="003B0F65">
        <w:rPr>
          <w:noProof/>
        </w:rPr>
        <w:t>Reexaminarea a stabilit că nu este necesară nicio revizuire și că nu au fost identificate probleme de punere în aplicare de la momentul reexaminării respective.</w:t>
      </w:r>
      <w:bookmarkEnd w:id="3"/>
      <w:r w:rsidRPr="003B0F65">
        <w:rPr>
          <w:noProof/>
        </w:rPr>
        <w:t xml:space="preserve"> </w:t>
      </w:r>
    </w:p>
    <w:p w:rsidR="009D392B" w:rsidRPr="003B0F65" w:rsidRDefault="00CA6AD4" w:rsidP="009413D6">
      <w:pPr>
        <w:rPr>
          <w:rFonts w:eastAsia="Arial Unicode MS"/>
          <w:noProof/>
        </w:rPr>
      </w:pPr>
      <w:r w:rsidRPr="003B0F65">
        <w:rPr>
          <w:noProof/>
        </w:rPr>
        <w:lastRenderedPageBreak/>
        <w:t>Discuțiile din cadrul Comitetului specializat privind pescuitul și al grupului de lucru privind pescuitul se desfășoară în conformitate cu principiile și orientările prezentate în Decizia (UE) 2021/1765. Pregătirile reuniunilor Comitetului specializat privind pescuitul și ale grupului de lucru privind pescuitul au loc în cadrul Grupului de lucru pentru Regatul Unit al Consiliului pe baza documentelor neoficiale ale serviciilor Comisiei care detaliază poziția propusă a UE ce urmează să fie adoptată în cadrul acestor foruri, în conformitate cu procesul stabilit în anexa III la Decizia (UE) 2021/1765</w:t>
      </w:r>
      <w:bookmarkStart w:id="4" w:name="_Hlk230005202"/>
      <w:r w:rsidRPr="003B0F65">
        <w:rPr>
          <w:rStyle w:val="normaltextrun"/>
          <w:noProof/>
        </w:rPr>
        <w:t xml:space="preserve">. </w:t>
      </w:r>
      <w:bookmarkEnd w:id="4"/>
      <w:r w:rsidRPr="003B0F65">
        <w:rPr>
          <w:noProof/>
        </w:rPr>
        <w:t>În general, se consideră că Decizia (UE) 2021/1765 este în continuare adecvată scopului și că nu necesită nicio revizuire în această etapă.</w:t>
      </w:r>
    </w:p>
    <w:p w:rsidR="00FE4256" w:rsidRPr="003B0F65" w:rsidRDefault="00FE4256">
      <w:pPr>
        <w:pStyle w:val="ManualHeading2"/>
        <w:rPr>
          <w:noProof/>
        </w:rPr>
      </w:pPr>
      <w:r>
        <w:rPr>
          <w:noProof/>
        </w:rPr>
        <w:t>2.3.</w:t>
      </w:r>
      <w:r>
        <w:rPr>
          <w:noProof/>
        </w:rPr>
        <w:tab/>
      </w:r>
      <w:r w:rsidRPr="003B0F65">
        <w:rPr>
          <w:noProof/>
        </w:rPr>
        <w:t>Actele avute în vedere de Comitetul specializat privind pescuitul</w:t>
      </w:r>
    </w:p>
    <w:p w:rsidR="00925FF3" w:rsidRPr="003B0F65" w:rsidRDefault="00925FF3">
      <w:pPr>
        <w:rPr>
          <w:rFonts w:eastAsia="Arial Unicode MS"/>
          <w:noProof/>
        </w:rPr>
      </w:pPr>
      <w:r w:rsidRPr="003B0F65">
        <w:rPr>
          <w:noProof/>
        </w:rPr>
        <w:t xml:space="preserve">În temeiul articolului 508 alineatul (2) din Acordul comercial și de cooperare, Comitetul specializat privind pescuitul poate adopta acte sau măsuri, inclusiv decizii și recomandări: </w:t>
      </w:r>
    </w:p>
    <w:p w:rsidR="00925FF3" w:rsidRPr="003B0F65" w:rsidRDefault="00925FF3" w:rsidP="0076049A">
      <w:pPr>
        <w:pStyle w:val="Bullet0"/>
        <w:numPr>
          <w:ilvl w:val="0"/>
          <w:numId w:val="6"/>
        </w:numPr>
        <w:rPr>
          <w:noProof/>
        </w:rPr>
      </w:pPr>
      <w:r w:rsidRPr="003B0F65">
        <w:rPr>
          <w:noProof/>
        </w:rPr>
        <w:t>cu privire la aspectele convenite între părți în urma consultărilor organizate în temeiul articolului 498 din Acordul comercial și de cooperare;</w:t>
      </w:r>
    </w:p>
    <w:p w:rsidR="00925FF3" w:rsidRPr="003B0F65" w:rsidRDefault="00925FF3" w:rsidP="0007014E">
      <w:pPr>
        <w:pStyle w:val="Bullet0"/>
        <w:rPr>
          <w:noProof/>
        </w:rPr>
      </w:pPr>
      <w:r w:rsidRPr="003B0F65">
        <w:rPr>
          <w:noProof/>
        </w:rPr>
        <w:t xml:space="preserve">cu privire la oricare dintre aspectele menționate la articolul 508 alineatul (1) literele (b), (c), (d), (e), (f), (g), (i), (j), (l), (m) și (n) din Acordul comercial și de cooperare; </w:t>
      </w:r>
    </w:p>
    <w:p w:rsidR="00925FF3" w:rsidRPr="003B0F65" w:rsidRDefault="00925FF3" w:rsidP="0007014E">
      <w:pPr>
        <w:pStyle w:val="Bullet0"/>
        <w:rPr>
          <w:noProof/>
        </w:rPr>
      </w:pPr>
      <w:r w:rsidRPr="003B0F65">
        <w:rPr>
          <w:noProof/>
        </w:rPr>
        <w:t>de modificare a listei obligațiilor internaționale preexistente menționate la articolul 496 alineatul (2) din Acordul comercial și de cooperare;</w:t>
      </w:r>
    </w:p>
    <w:p w:rsidR="00925FF3" w:rsidRPr="003B0F65" w:rsidRDefault="00925FF3" w:rsidP="0007014E">
      <w:pPr>
        <w:pStyle w:val="Bullet0"/>
        <w:rPr>
          <w:noProof/>
        </w:rPr>
      </w:pPr>
      <w:r w:rsidRPr="003B0F65">
        <w:rPr>
          <w:noProof/>
        </w:rPr>
        <w:t>cu privire la orice alt aspect al cooperării în materie de gestionare durabilă a pescuitului care intră sub incidența rubricii „Pescuit” din Acordul comercial și de cooperare</w:t>
      </w:r>
      <w:r w:rsidR="003B0F65" w:rsidRPr="003B0F65">
        <w:rPr>
          <w:noProof/>
        </w:rPr>
        <w:t>,</w:t>
      </w:r>
      <w:r w:rsidRPr="003B0F65">
        <w:rPr>
          <w:noProof/>
        </w:rPr>
        <w:t xml:space="preserve"> precum și</w:t>
      </w:r>
    </w:p>
    <w:p w:rsidR="00925FF3" w:rsidRPr="003B0F65" w:rsidRDefault="00925FF3" w:rsidP="0007014E">
      <w:pPr>
        <w:pStyle w:val="Bullet0"/>
        <w:rPr>
          <w:noProof/>
        </w:rPr>
      </w:pPr>
      <w:r w:rsidRPr="003B0F65">
        <w:rPr>
          <w:noProof/>
        </w:rPr>
        <w:t>cu privire la modalitățile de reexaminare în temeiul articolului 510 din Acordul comercial și de cooperare.</w:t>
      </w:r>
    </w:p>
    <w:p w:rsidR="00FE4256" w:rsidRPr="003B0F65" w:rsidRDefault="00CC57AE">
      <w:pPr>
        <w:rPr>
          <w:noProof/>
        </w:rPr>
      </w:pPr>
      <w:r w:rsidRPr="003B0F65">
        <w:rPr>
          <w:noProof/>
        </w:rPr>
        <w:t>Anexa II la Decizia (UE) 2021/1765 stabilește în detaliu acțiunile care trebuie întreprinse de Uniune în ceea ce privește competențele Comitetului specializat privind pescuitul, astfel încât să se stabilească poziția care urmează să fie adoptată în numele Uniunii în cadrul Comitetului specializat privind pescuitul în temeiul Acordului comercial și de cooperare în ceea ce privește actele Comitetului special privind pescuitul care au efecte juridice.</w:t>
      </w:r>
    </w:p>
    <w:p w:rsidR="00A903CC" w:rsidRPr="003B0F65" w:rsidRDefault="00A903CC">
      <w:pPr>
        <w:rPr>
          <w:rFonts w:eastAsia="Arial Unicode MS"/>
          <w:noProof/>
        </w:rPr>
      </w:pPr>
      <w:r w:rsidRPr="003B0F65">
        <w:rPr>
          <w:noProof/>
        </w:rPr>
        <w:t>Începând din 2023, cu titlu de exemplu, Comitetul specializat privind pescuitul a adoptat următoarele decizii și/sau recomandări, în temeiul articolului 508 alineatul (2) din Acordul comercial și de cooperare și în conformitate cu Decizia (UE) 2021/1765:</w:t>
      </w:r>
    </w:p>
    <w:p w:rsidR="00A903CC" w:rsidRPr="003B0F65" w:rsidRDefault="00A903CC" w:rsidP="0007014E">
      <w:pPr>
        <w:pStyle w:val="Bullet0"/>
        <w:rPr>
          <w:noProof/>
        </w:rPr>
      </w:pPr>
      <w:r w:rsidRPr="003B0F65">
        <w:rPr>
          <w:noProof/>
        </w:rPr>
        <w:t>Decizia 1/2023 din 24 iulie 2023 în ceea ce privește mecanismul pentru transferurile voluntare în cursul anului ale posibilităților de pescuit.</w:t>
      </w:r>
    </w:p>
    <w:p w:rsidR="00A903CC" w:rsidRPr="003B0F65" w:rsidRDefault="00A903CC" w:rsidP="0007014E">
      <w:pPr>
        <w:pStyle w:val="Bullet0"/>
        <w:rPr>
          <w:noProof/>
        </w:rPr>
      </w:pPr>
      <w:r w:rsidRPr="003B0F65">
        <w:rPr>
          <w:noProof/>
        </w:rPr>
        <w:t>Recomandarea 1/2023 din 24 iulie 2023 în ceea ce privește orientările pentru notificările prevăzute la articolul 496 alineatul (3) din acord.</w:t>
      </w:r>
    </w:p>
    <w:p w:rsidR="00A903CC" w:rsidRPr="003B0F65" w:rsidRDefault="00A903CC" w:rsidP="0007014E">
      <w:pPr>
        <w:pStyle w:val="Bullet0"/>
        <w:rPr>
          <w:noProof/>
        </w:rPr>
      </w:pPr>
      <w:r w:rsidRPr="003B0F65">
        <w:rPr>
          <w:noProof/>
        </w:rPr>
        <w:t>Recomandarea 2/2023 din 24 iulie 2023 în ceea ce privește alinierea zonelor de gestionare pentru limbă-roșie, cambulă cenușie, calcan și calcan-neted.</w:t>
      </w:r>
    </w:p>
    <w:p w:rsidR="008B4F40" w:rsidRPr="003B0F65" w:rsidRDefault="002F0B9C" w:rsidP="008B4F40">
      <w:pPr>
        <w:pStyle w:val="Bullet0"/>
        <w:rPr>
          <w:noProof/>
        </w:rPr>
      </w:pPr>
      <w:r w:rsidRPr="003B0F65">
        <w:rPr>
          <w:noProof/>
        </w:rPr>
        <w:t>Decizia 1/2025 din 19 iunie 2025 referitoare la dispozițiile privind nivelul și condițiile de acces acordate de fiecare parte navelor celeilalte părți pentru a pescui în apele sale în perioada 1 iulie 2026-30 iunie 2038.</w:t>
      </w:r>
    </w:p>
    <w:p w:rsidR="00D74ADE" w:rsidRPr="003B0F65" w:rsidRDefault="00D74ADE" w:rsidP="008B4F40">
      <w:pPr>
        <w:pStyle w:val="Bullet0"/>
        <w:rPr>
          <w:noProof/>
        </w:rPr>
      </w:pPr>
      <w:r w:rsidRPr="003B0F65">
        <w:rPr>
          <w:noProof/>
        </w:rPr>
        <w:t>Recomandarea 1/2026 din 22 aprilie 2026 în ceea ce privește un acord comun UE-Regatul Unit privind monitorizarea, controlul și supravegherea.</w:t>
      </w:r>
    </w:p>
    <w:p w:rsidR="00FE4256" w:rsidRPr="003B0F65" w:rsidRDefault="00FE4256" w:rsidP="00FE4256">
      <w:pPr>
        <w:pStyle w:val="ManualHeading1"/>
        <w:rPr>
          <w:rFonts w:eastAsia="Arial Unicode MS"/>
          <w:noProof/>
        </w:rPr>
      </w:pPr>
      <w:r>
        <w:rPr>
          <w:noProof/>
        </w:rPr>
        <w:lastRenderedPageBreak/>
        <w:t>3.</w:t>
      </w:r>
      <w:r>
        <w:rPr>
          <w:noProof/>
        </w:rPr>
        <w:tab/>
      </w:r>
      <w:r w:rsidRPr="003B0F65">
        <w:rPr>
          <w:noProof/>
        </w:rPr>
        <w:t>Poziția care trebuie adoptată în numele Uniunii</w:t>
      </w:r>
    </w:p>
    <w:p w:rsidR="00FE4256" w:rsidRPr="003B0F65" w:rsidRDefault="00BA7AFD">
      <w:pPr>
        <w:rPr>
          <w:noProof/>
        </w:rPr>
      </w:pPr>
      <w:bookmarkStart w:id="5" w:name="_Hlk223970896"/>
      <w:r w:rsidRPr="003B0F65">
        <w:rPr>
          <w:noProof/>
        </w:rPr>
        <w:t>În conformitate cu articolul 218 alineatul (9) din Tratatul privind funcționarea Uniunii Europene (TFUE), Consiliul adoptă, la propunerea Comisiei, pozițiile care trebuie adoptate în numele Uniunii în cadrul unui organism creat printr-un acord, în cazul în care acest organism trebuie să adopte acte cu efecte juridice, cu excepția actelor care modifică sau completează cadrul instituțional al acordului. Prin urmare, pozițiile care urmează să fie adoptate în numele Uniunii în cadrul Comitetului</w:t>
      </w:r>
      <w:bookmarkEnd w:id="5"/>
      <w:r w:rsidRPr="003B0F65">
        <w:rPr>
          <w:noProof/>
        </w:rPr>
        <w:t xml:space="preserve"> specializat privind pescuitul cu privire la deciziile adoptate în temeiul articolului 508 alineatul (2) din Acordul comercial și de cooperare sunt adoptate în temeiul articolului 218 alineatul (9) din TFUE. </w:t>
      </w:r>
    </w:p>
    <w:p w:rsidR="00BA7AFD" w:rsidRPr="003B0F65" w:rsidRDefault="00BA7AFD">
      <w:pPr>
        <w:rPr>
          <w:noProof/>
        </w:rPr>
      </w:pPr>
      <w:bookmarkStart w:id="6" w:name="_Hlk223970946"/>
      <w:r w:rsidRPr="003B0F65">
        <w:rPr>
          <w:noProof/>
        </w:rPr>
        <w:t>Decizia (UE) 2021/1765</w:t>
      </w:r>
      <w:bookmarkEnd w:id="6"/>
      <w:r w:rsidRPr="003B0F65">
        <w:rPr>
          <w:noProof/>
        </w:rPr>
        <w:t xml:space="preserve"> a prevăzut o abordare pe două niveluri pentru stabilirea poziției care urmează să fie adoptată în numele Uniunii în cadrul Comitetului specializat privind pescuitul. În primul rând, anexele I și II la Decizia (UE) 2021/1765 stabilesc principiile și orientările care trebuie să se reflecte în poziția care urmează să fie adoptată în numele Uniunii. În al doilea rând, pentru fiecare reuniune în cadrul căreia Comitetul specializat privind pescuitul este invitat să adopte acte sau măsuri cu efecte juridice, poziția trebuie să fie completată de „documente scrise” pregătite de Comisie și discutate în cadrul grupurilor de lucru ale Consiliului, în conformitate cu procedura stabilită în anexa III la Decizia (UE) 2021/1765. </w:t>
      </w:r>
    </w:p>
    <w:p w:rsidR="00BA7AFD" w:rsidRPr="003B0F65" w:rsidRDefault="00BA7AFD">
      <w:pPr>
        <w:rPr>
          <w:noProof/>
        </w:rPr>
      </w:pPr>
      <w:r w:rsidRPr="003B0F65">
        <w:rPr>
          <w:noProof/>
        </w:rPr>
        <w:t>Având în vedere că Decizia (UE) 2021/1765</w:t>
      </w:r>
      <w:bookmarkStart w:id="7" w:name="_Hlk223971032"/>
      <w:r w:rsidRPr="003B0F65">
        <w:rPr>
          <w:noProof/>
        </w:rPr>
        <w:t xml:space="preserve"> s-a dovedit a fi adecvată scopului, prezenta propunere vizează prelungirea până la 30 iunie 2038 a poziției Uniunii în cadrul Comitetului specializat privind pescuitul, astfel cum este prevăzut în Decizia (UE) 2021/1765.</w:t>
      </w:r>
      <w:bookmarkEnd w:id="7"/>
    </w:p>
    <w:p w:rsidR="00BA7AFD" w:rsidRPr="003B0F65" w:rsidRDefault="00BA7AFD">
      <w:pPr>
        <w:rPr>
          <w:noProof/>
        </w:rPr>
      </w:pPr>
      <w:bookmarkStart w:id="8" w:name="_Hlk223971080"/>
      <w:r w:rsidRPr="003B0F65">
        <w:rPr>
          <w:noProof/>
        </w:rPr>
        <w:t>Propunerea pune în aplicare principiile și orientările politicii comune în domeniul pescuitului (PCP), astfel cum sunt prevăzute în Regulamentul (UE) nr. 1380/2013, în special la articolele</w:t>
      </w:r>
      <w:r w:rsidR="003B0F65" w:rsidRPr="003B0F65">
        <w:rPr>
          <w:noProof/>
        </w:rPr>
        <w:t> </w:t>
      </w:r>
      <w:r w:rsidRPr="003B0F65">
        <w:rPr>
          <w:noProof/>
        </w:rPr>
        <w:t>2, 28 și 33. De asemenea, aceasta pune în aplicare dispozițiile planurilor multianuale prevăzute în Regulamentul (UE) 2018/973 de stabilire a unui plan multianual pentru stocurile demersale din Marea Nordului</w:t>
      </w:r>
      <w:r w:rsidRPr="003B0F65">
        <w:rPr>
          <w:rStyle w:val="FootnoteReference"/>
          <w:noProof/>
        </w:rPr>
        <w:footnoteReference w:id="3"/>
      </w:r>
      <w:r w:rsidRPr="003B0F65">
        <w:rPr>
          <w:noProof/>
        </w:rPr>
        <w:t xml:space="preserve"> și în Regulamentul (UE) 2019/472 de stabilire a unui plan multianual pentru stocurile pescuite în apele occidentale</w:t>
      </w:r>
      <w:bookmarkStart w:id="9" w:name="_Hlk223971091"/>
      <w:r w:rsidRPr="003B0F65">
        <w:rPr>
          <w:rStyle w:val="FootnoteReference"/>
          <w:noProof/>
        </w:rPr>
        <w:footnoteReference w:id="4"/>
      </w:r>
      <w:bookmarkEnd w:id="8"/>
      <w:r w:rsidRPr="003B0F65">
        <w:rPr>
          <w:noProof/>
        </w:rPr>
        <w:t>.</w:t>
      </w:r>
      <w:bookmarkEnd w:id="9"/>
    </w:p>
    <w:p w:rsidR="002F0B9C" w:rsidRPr="003B0F65" w:rsidRDefault="002F0B9C" w:rsidP="002F0B9C">
      <w:pPr>
        <w:rPr>
          <w:rFonts w:eastAsia="Times New Roman"/>
          <w:noProof/>
          <w:szCs w:val="24"/>
        </w:rPr>
      </w:pPr>
      <w:r w:rsidRPr="003B0F65">
        <w:rPr>
          <w:noProof/>
        </w:rPr>
        <w:t xml:space="preserve">Astfel cum se prevede deja în Decizia (UE) 2021/1765 și în conformitate cu articolul 218 alineatul (10) din TFUE și cu Decizia (UE) 2021/689 a Consiliului, Parlamentul European trebuie să fie informat imediat și pe deplin cu privire la activitățile Comitetului specializat privind pescuitul, sub rezerva dispozițiilor necesare pentru păstrarea confidențialității. Ca regulă generală, Comisia va furniza informațiile Parlamentului European prin intermediul comisiei parlamentare responsabile. Aceste informații trebuie să includă informările realizate înainte și după reuniunile Comitetului specializat privind pescuitul, precum și toate documentele de la reuniunile sale, concomitent cu transmiterea lor de către Comisia Consiliului. </w:t>
      </w:r>
    </w:p>
    <w:p w:rsidR="002F0B9C" w:rsidRPr="003B0F65" w:rsidRDefault="002F0B9C" w:rsidP="002F0B9C">
      <w:pPr>
        <w:rPr>
          <w:rFonts w:eastAsia="Times New Roman"/>
          <w:noProof/>
          <w:szCs w:val="24"/>
        </w:rPr>
      </w:pPr>
      <w:r w:rsidRPr="003B0F65">
        <w:rPr>
          <w:noProof/>
        </w:rPr>
        <w:t>Aceste modalități de lucru trebuie să se bazeze pe principiul cooperării loiale reciproce între instituțiile Uniunii, consacrat la articolul 13 alineatul (2) din TUE.</w:t>
      </w:r>
    </w:p>
    <w:p w:rsidR="00FE4256" w:rsidRPr="003B0F65" w:rsidRDefault="00FE4256">
      <w:pPr>
        <w:pStyle w:val="ManualHeading1"/>
        <w:rPr>
          <w:noProof/>
        </w:rPr>
      </w:pPr>
      <w:r>
        <w:rPr>
          <w:noProof/>
        </w:rPr>
        <w:lastRenderedPageBreak/>
        <w:t>4.</w:t>
      </w:r>
      <w:r>
        <w:rPr>
          <w:noProof/>
        </w:rPr>
        <w:tab/>
      </w:r>
      <w:r w:rsidRPr="003B0F65">
        <w:rPr>
          <w:noProof/>
        </w:rPr>
        <w:t>Temei juridic</w:t>
      </w:r>
    </w:p>
    <w:p w:rsidR="00FE4256" w:rsidRPr="003B0F65" w:rsidRDefault="00FE4256">
      <w:pPr>
        <w:pStyle w:val="ManualHeading2"/>
        <w:rPr>
          <w:noProof/>
        </w:rPr>
      </w:pPr>
      <w:r>
        <w:rPr>
          <w:noProof/>
        </w:rPr>
        <w:t>4.1.</w:t>
      </w:r>
      <w:r>
        <w:rPr>
          <w:noProof/>
        </w:rPr>
        <w:tab/>
      </w:r>
      <w:r w:rsidRPr="003B0F65">
        <w:rPr>
          <w:noProof/>
        </w:rPr>
        <w:t>Temeiul juridic procedural</w:t>
      </w:r>
    </w:p>
    <w:p w:rsidR="00FE4256" w:rsidRPr="003B0F65" w:rsidRDefault="00FE4256" w:rsidP="00FE4256">
      <w:pPr>
        <w:pStyle w:val="ManualHeading3"/>
        <w:tabs>
          <w:tab w:val="clear" w:pos="850"/>
          <w:tab w:val="num" w:pos="1984"/>
        </w:tabs>
        <w:ind w:left="1984" w:hanging="567"/>
        <w:rPr>
          <w:noProof/>
        </w:rPr>
      </w:pPr>
      <w:r>
        <w:rPr>
          <w:noProof/>
        </w:rPr>
        <w:t>4.1.1.</w:t>
      </w:r>
      <w:r>
        <w:rPr>
          <w:noProof/>
        </w:rPr>
        <w:tab/>
      </w:r>
      <w:r w:rsidRPr="003B0F65">
        <w:rPr>
          <w:noProof/>
        </w:rPr>
        <w:t>Principii</w:t>
      </w:r>
    </w:p>
    <w:p w:rsidR="00FE4256" w:rsidRPr="003B0F65" w:rsidRDefault="00FE4256">
      <w:pPr>
        <w:rPr>
          <w:noProof/>
        </w:rPr>
      </w:pPr>
      <w:r w:rsidRPr="003B0F65">
        <w:rPr>
          <w:noProof/>
        </w:rPr>
        <w:t>Articolul 218 alineatul (9) din Tratatul privind funcționarea Uniunii Europene (TFUE) prevede posibilitatea adoptării unor decizii de stabilire „</w:t>
      </w:r>
      <w:r w:rsidRPr="003B0F65">
        <w:rPr>
          <w:i/>
          <w:noProof/>
        </w:rPr>
        <w:t>a pozițiilor care trebuie adoptate în numele Uniunii în cadrul unui organism creat printr-un acord, în cazul în care acest organism trebuie să adopte acte cu efecte juridice, cu excepția actelor care modifică sau completează cadrul instituțional al acordului</w:t>
      </w:r>
      <w:r w:rsidRPr="003B0F65">
        <w:rPr>
          <w:noProof/>
        </w:rPr>
        <w:t>.”</w:t>
      </w:r>
    </w:p>
    <w:p w:rsidR="00FE4256" w:rsidRPr="003B0F65" w:rsidRDefault="00FE4256">
      <w:pPr>
        <w:rPr>
          <w:noProof/>
        </w:rPr>
      </w:pPr>
      <w:r w:rsidRPr="003B0F65">
        <w:rPr>
          <w:noProof/>
        </w:rPr>
        <w:t>Conceptul de „</w:t>
      </w:r>
      <w:r w:rsidRPr="003B0F65">
        <w:rPr>
          <w:i/>
          <w:iCs/>
          <w:noProof/>
        </w:rPr>
        <w:t>acte cu efecte juridice</w:t>
      </w:r>
      <w:r w:rsidRPr="003B0F65">
        <w:rPr>
          <w:noProof/>
        </w:rPr>
        <w:t>” include actele care au efecte juridice în temeiul normelor de drept internațional aplicabile organismului în cauză. Sunt, de asemenea, incluse instrumentele care nu au un caracter obligatoriu în temeiul dreptului internațional, dar care „</w:t>
      </w:r>
      <w:r w:rsidRPr="003B0F65">
        <w:rPr>
          <w:i/>
          <w:noProof/>
        </w:rPr>
        <w:t>au vocația de a influența în mod decisiv conținutul reglementării adoptate de legiuitorul Uniunii</w:t>
      </w:r>
      <w:r w:rsidRPr="003B0F65">
        <w:rPr>
          <w:noProof/>
        </w:rPr>
        <w:t>”</w:t>
      </w:r>
      <w:r w:rsidRPr="003B0F65">
        <w:rPr>
          <w:rStyle w:val="FootnoteReference"/>
          <w:noProof/>
        </w:rPr>
        <w:footnoteReference w:id="5"/>
      </w:r>
      <w:r w:rsidRPr="003B0F65">
        <w:rPr>
          <w:noProof/>
        </w:rPr>
        <w:t>.</w:t>
      </w:r>
    </w:p>
    <w:p w:rsidR="00FE4256" w:rsidRPr="003B0F65" w:rsidRDefault="00FE4256" w:rsidP="00FE4256">
      <w:pPr>
        <w:pStyle w:val="ManualHeading3"/>
        <w:tabs>
          <w:tab w:val="clear" w:pos="850"/>
          <w:tab w:val="num" w:pos="1984"/>
        </w:tabs>
        <w:ind w:left="1984" w:hanging="567"/>
        <w:rPr>
          <w:noProof/>
        </w:rPr>
      </w:pPr>
      <w:r>
        <w:rPr>
          <w:noProof/>
        </w:rPr>
        <w:t>4.1.2.</w:t>
      </w:r>
      <w:r>
        <w:rPr>
          <w:noProof/>
        </w:rPr>
        <w:tab/>
      </w:r>
      <w:r w:rsidRPr="003B0F65">
        <w:rPr>
          <w:noProof/>
        </w:rPr>
        <w:t>Aplicarea la cazul în discuție</w:t>
      </w:r>
    </w:p>
    <w:p w:rsidR="00FE4256" w:rsidRPr="003B0F65" w:rsidRDefault="00FE4256">
      <w:pPr>
        <w:rPr>
          <w:noProof/>
        </w:rPr>
      </w:pPr>
      <w:r w:rsidRPr="003B0F65">
        <w:rPr>
          <w:noProof/>
        </w:rPr>
        <w:t>Comitetul specializat privind pescuitul este un organism instituit printr-un acord, și anume Acordul comercial și de cooperare.</w:t>
      </w:r>
    </w:p>
    <w:p w:rsidR="00FE4256" w:rsidRPr="003B0F65" w:rsidRDefault="00FE4256">
      <w:pPr>
        <w:rPr>
          <w:noProof/>
        </w:rPr>
      </w:pPr>
      <w:r w:rsidRPr="003B0F65">
        <w:rPr>
          <w:noProof/>
        </w:rPr>
        <w:t xml:space="preserve">Măsurile adoptate de Comitetul specializat privind pescuitul sunt obligatorii pentru părți în conformitate cu articolul 10 din Acordul comercial și de cooperare, care prevede că: </w:t>
      </w:r>
      <w:r w:rsidRPr="003B0F65">
        <w:rPr>
          <w:i/>
          <w:noProof/>
        </w:rPr>
        <w:t>„Deciziile adoptate de Consiliul de parteneriat sau, după caz, de un comitet, sunt obligatorii pentru părți și pentru toate organismele constituite în temeiul prezentului acord și al oricărui acord de completare, inclusiv pentru instanța de arbitraj menționată la titlul I din partea a șasea. Recomandările nu au caracter obligatoriu.”</w:t>
      </w:r>
    </w:p>
    <w:p w:rsidR="00FE4256" w:rsidRPr="003B0F65" w:rsidRDefault="00FE4256">
      <w:pPr>
        <w:rPr>
          <w:noProof/>
        </w:rPr>
      </w:pPr>
      <w:r w:rsidRPr="003B0F65">
        <w:rPr>
          <w:noProof/>
        </w:rPr>
        <w:t>Măsurile adoptate de Comitetul specializat privind pescuitul nu vor completa și nu vor modifica cadrul instituțional al Acordului comercial și de cooperare.</w:t>
      </w:r>
    </w:p>
    <w:p w:rsidR="00FE4256" w:rsidRPr="003B0F65" w:rsidRDefault="00FE4256">
      <w:pPr>
        <w:rPr>
          <w:noProof/>
        </w:rPr>
      </w:pPr>
      <w:r w:rsidRPr="003B0F65">
        <w:rPr>
          <w:noProof/>
        </w:rPr>
        <w:t>Prin urmare, temeiul juridic procedural al propunerii de decizie este articolul 218 alineatul (9) din TFUE.</w:t>
      </w:r>
    </w:p>
    <w:p w:rsidR="00FE4256" w:rsidRPr="003B0F65" w:rsidRDefault="00FE4256">
      <w:pPr>
        <w:pStyle w:val="ManualHeading2"/>
        <w:rPr>
          <w:noProof/>
        </w:rPr>
      </w:pPr>
      <w:r>
        <w:rPr>
          <w:noProof/>
        </w:rPr>
        <w:t>4.2.</w:t>
      </w:r>
      <w:r>
        <w:rPr>
          <w:noProof/>
        </w:rPr>
        <w:tab/>
      </w:r>
      <w:r w:rsidRPr="003B0F65">
        <w:rPr>
          <w:noProof/>
        </w:rPr>
        <w:t>Temeiul juridic material</w:t>
      </w:r>
    </w:p>
    <w:p w:rsidR="00FE4256" w:rsidRPr="003B0F65" w:rsidRDefault="00FE4256" w:rsidP="00FE4256">
      <w:pPr>
        <w:pStyle w:val="ManualHeading3"/>
        <w:tabs>
          <w:tab w:val="clear" w:pos="850"/>
          <w:tab w:val="num" w:pos="1984"/>
        </w:tabs>
        <w:ind w:left="1984" w:hanging="567"/>
        <w:rPr>
          <w:noProof/>
        </w:rPr>
      </w:pPr>
      <w:r>
        <w:rPr>
          <w:noProof/>
        </w:rPr>
        <w:t>4.2.1.</w:t>
      </w:r>
      <w:r>
        <w:rPr>
          <w:noProof/>
        </w:rPr>
        <w:tab/>
      </w:r>
      <w:r w:rsidRPr="003B0F65">
        <w:rPr>
          <w:noProof/>
        </w:rPr>
        <w:t>Principii</w:t>
      </w:r>
    </w:p>
    <w:p w:rsidR="00FE4256" w:rsidRPr="003B0F65" w:rsidRDefault="00FE4256">
      <w:pPr>
        <w:rPr>
          <w:noProof/>
        </w:rPr>
      </w:pPr>
      <w:r w:rsidRPr="003B0F65">
        <w:rPr>
          <w:noProof/>
        </w:rPr>
        <w:t>Temeiul juridic material al unei decizii adoptate în temeiul articolului 218 alineatul (9)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rsidR="00FE4256" w:rsidRPr="003B0F65" w:rsidRDefault="00FE4256">
      <w:pPr>
        <w:rPr>
          <w:noProof/>
        </w:rPr>
      </w:pPr>
      <w:r w:rsidRPr="003B0F65">
        <w:rPr>
          <w:noProof/>
        </w:rPr>
        <w:t>În ceea ce privește un act avut în vedere care urmărește simultan mai multe obiective sau care include mai multe elemente care sunt legate între ele în mod inextricabil, fără ca vreunul să fie accesoriu în raport cu un altul, temeiul juridic material al unei decizii adoptate în temeiul articolului 218 alineatul (9) din TFUE va trebui să includă, în mod excepțional, diferitele temeiuri juridice relevante.</w:t>
      </w:r>
    </w:p>
    <w:p w:rsidR="00FE4256" w:rsidRPr="003B0F65" w:rsidRDefault="00FE4256" w:rsidP="00FE4256">
      <w:pPr>
        <w:pStyle w:val="ManualHeading3"/>
        <w:tabs>
          <w:tab w:val="clear" w:pos="850"/>
          <w:tab w:val="num" w:pos="1984"/>
        </w:tabs>
        <w:ind w:left="1984" w:hanging="567"/>
        <w:rPr>
          <w:noProof/>
        </w:rPr>
      </w:pPr>
      <w:r>
        <w:rPr>
          <w:noProof/>
        </w:rPr>
        <w:lastRenderedPageBreak/>
        <w:t>4.2.2.</w:t>
      </w:r>
      <w:r>
        <w:rPr>
          <w:noProof/>
        </w:rPr>
        <w:tab/>
      </w:r>
      <w:r w:rsidRPr="003B0F65">
        <w:rPr>
          <w:noProof/>
        </w:rPr>
        <w:t>Aplicarea la cazul în discuție</w:t>
      </w:r>
    </w:p>
    <w:p w:rsidR="00FE4256" w:rsidRPr="003B0F65" w:rsidRDefault="00FE4256">
      <w:pPr>
        <w:rPr>
          <w:noProof/>
        </w:rPr>
      </w:pPr>
      <w:r w:rsidRPr="003B0F65">
        <w:rPr>
          <w:noProof/>
        </w:rPr>
        <w:t>Decizia avută în vedere se încadrează în domeniul politicii comune în domeniul pescuitului.</w:t>
      </w:r>
    </w:p>
    <w:p w:rsidR="00FE4256" w:rsidRPr="003B0F65" w:rsidRDefault="00FE4256">
      <w:pPr>
        <w:rPr>
          <w:noProof/>
        </w:rPr>
      </w:pPr>
      <w:r w:rsidRPr="003B0F65">
        <w:rPr>
          <w:noProof/>
        </w:rPr>
        <w:t>Prin urmare, temeiul juridic material al deciziei propuse se bazează pe articolul 43 din TFUE.</w:t>
      </w:r>
    </w:p>
    <w:p w:rsidR="00FE4256" w:rsidRPr="003B0F65" w:rsidRDefault="00FE4256">
      <w:pPr>
        <w:pStyle w:val="ManualHeading2"/>
        <w:rPr>
          <w:noProof/>
        </w:rPr>
      </w:pPr>
      <w:r>
        <w:rPr>
          <w:noProof/>
        </w:rPr>
        <w:t>4.3.</w:t>
      </w:r>
      <w:r>
        <w:rPr>
          <w:noProof/>
        </w:rPr>
        <w:tab/>
      </w:r>
      <w:r w:rsidRPr="003B0F65">
        <w:rPr>
          <w:noProof/>
        </w:rPr>
        <w:t>Concluzie</w:t>
      </w:r>
    </w:p>
    <w:p w:rsidR="00AE5B0C" w:rsidRPr="003B0F65" w:rsidRDefault="00FE4256" w:rsidP="00794B72">
      <w:pPr>
        <w:rPr>
          <w:noProof/>
        </w:rPr>
      </w:pPr>
      <w:r w:rsidRPr="003B0F65">
        <w:rPr>
          <w:noProof/>
        </w:rPr>
        <w:t>Temeiul juridic al deciziei propuse ar trebui să fie articolul 43 din TFUE, coroborat cu articolul 218 alineatul (9) din TFUE.</w:t>
      </w:r>
    </w:p>
    <w:p w:rsidR="00F05A8F" w:rsidRPr="003B0F65" w:rsidRDefault="00F05A8F">
      <w:pPr>
        <w:rPr>
          <w:noProof/>
        </w:rPr>
        <w:sectPr w:rsidR="00F05A8F" w:rsidRPr="003B0F65" w:rsidSect="006832C7">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rsidR="00E943D2" w:rsidRDefault="00F47E11">
      <w:pPr>
        <w:pStyle w:val="Rfrenceinterinstitutionnelle"/>
        <w:rPr>
          <w:noProof/>
        </w:rPr>
      </w:pPr>
      <w:r>
        <w:rPr>
          <w:noProof/>
        </w:rPr>
        <w:lastRenderedPageBreak/>
        <w:t>2026/0158 (NLE)</w:t>
      </w:r>
    </w:p>
    <w:p w:rsidR="00FE4256" w:rsidRPr="003B0F65" w:rsidRDefault="00667362" w:rsidP="00667362">
      <w:pPr>
        <w:pStyle w:val="Statut"/>
        <w:rPr>
          <w:noProof/>
        </w:rPr>
      </w:pPr>
      <w:r w:rsidRPr="003B0F65">
        <w:rPr>
          <w:noProof/>
        </w:rPr>
        <w:t>Propunere de</w:t>
      </w:r>
    </w:p>
    <w:p w:rsidR="00FE4256" w:rsidRPr="003B0F65" w:rsidRDefault="00667362" w:rsidP="00667362">
      <w:pPr>
        <w:pStyle w:val="Typedudocument"/>
        <w:rPr>
          <w:noProof/>
        </w:rPr>
      </w:pPr>
      <w:r w:rsidRPr="003B0F65">
        <w:rPr>
          <w:noProof/>
        </w:rPr>
        <w:t>DECIZIE A CONSILIULUI</w:t>
      </w:r>
    </w:p>
    <w:p w:rsidR="00FE4256" w:rsidRPr="003B0F65" w:rsidRDefault="00667362" w:rsidP="00667362">
      <w:pPr>
        <w:pStyle w:val="Titreobjet"/>
        <w:rPr>
          <w:noProof/>
        </w:rPr>
      </w:pPr>
      <w:r w:rsidRPr="003B0F65">
        <w:rPr>
          <w:noProof/>
        </w:rPr>
        <w:t>de modificare a Deciziei (UE) 2021/1765 a Consiliului din 5 octombrie 2021 privind poziția care urmează să fie adoptată, în numele Uniunii Europene, pentru perioada 2021-2026, în cadrul Comitetului specializat privind pescuitul constituit prin Acordul comercial și de cooperare dintre Uniunea Europeană și Comunitatea Europeană a Energiei Atomice, pe de o parte, și Regatul Unit al Marii Britanii și Irlandei de Nord, pe de altă parte</w:t>
      </w:r>
    </w:p>
    <w:p w:rsidR="00FE4256" w:rsidRPr="003B0F65" w:rsidRDefault="00FE4256">
      <w:pPr>
        <w:pStyle w:val="Institutionquiagit"/>
        <w:rPr>
          <w:noProof/>
        </w:rPr>
      </w:pPr>
      <w:r w:rsidRPr="003B0F65">
        <w:rPr>
          <w:noProof/>
        </w:rPr>
        <w:t>CONSILIUL UNIUNII EUROPENE,</w:t>
      </w:r>
    </w:p>
    <w:p w:rsidR="00FE4256" w:rsidRPr="003B0F65" w:rsidRDefault="00FE4256">
      <w:pPr>
        <w:rPr>
          <w:noProof/>
        </w:rPr>
      </w:pPr>
      <w:r w:rsidRPr="003B0F65">
        <w:rPr>
          <w:noProof/>
        </w:rPr>
        <w:t>având în vedere Tratatul privind funcționarea Uniunii Europene, în special articolul 43, coroborat cu articolul 218 alineatul (9),</w:t>
      </w:r>
    </w:p>
    <w:p w:rsidR="00FE4256" w:rsidRPr="003B0F65" w:rsidRDefault="00FE4256">
      <w:pPr>
        <w:rPr>
          <w:noProof/>
        </w:rPr>
      </w:pPr>
      <w:r w:rsidRPr="003B0F65">
        <w:rPr>
          <w:noProof/>
        </w:rPr>
        <w:t>având în vedere propunerea Comisiei Europene,</w:t>
      </w:r>
    </w:p>
    <w:p w:rsidR="00FE4256" w:rsidRPr="003B0F65" w:rsidRDefault="00FE4256">
      <w:pPr>
        <w:rPr>
          <w:noProof/>
        </w:rPr>
      </w:pPr>
      <w:r w:rsidRPr="003B0F65">
        <w:rPr>
          <w:noProof/>
        </w:rPr>
        <w:t>întrucât:</w:t>
      </w:r>
    </w:p>
    <w:p w:rsidR="00FE4256" w:rsidRPr="003B0F65" w:rsidRDefault="00B315A5" w:rsidP="00D86754">
      <w:pPr>
        <w:pStyle w:val="ManualConsidrant"/>
        <w:rPr>
          <w:noProof/>
        </w:rPr>
      </w:pPr>
      <w:r>
        <w:rPr>
          <w:noProof/>
        </w:rPr>
        <w:t>(1)</w:t>
      </w:r>
      <w:r>
        <w:rPr>
          <w:noProof/>
        </w:rPr>
        <w:tab/>
      </w:r>
      <w:r w:rsidRPr="003B0F65">
        <w:rPr>
          <w:noProof/>
        </w:rPr>
        <w:t>La 5 octombrie 2021, Consiliul a adoptat Decizia (UE) 2021/1765</w:t>
      </w:r>
      <w:r w:rsidRPr="003B0F65">
        <w:rPr>
          <w:rStyle w:val="FootnoteReference"/>
          <w:noProof/>
        </w:rPr>
        <w:footnoteReference w:id="6"/>
      </w:r>
      <w:r w:rsidRPr="003B0F65">
        <w:rPr>
          <w:noProof/>
        </w:rPr>
        <w:t>, care stabilește principiile și orientările pentru poziția care urmează să fie adoptată în numele Uniunii în cadrul Comitetului specializat privind pescuitul pentru perioada 2021-2026. În cadrul acestui proces, Comisia desfășoară consultări în numele Uniunii pe baza pozițiilor Uniunii specificate de Consiliu în temeiul dispozițiilor relevante din tratat, asigurând în același timp o coordonare strânsă cu Consiliul și cu grupurile sale de pregătire, în conformitate cu principiul cooperării loiale dintre instituțiile Uniunii prevăzut la articolul 13 alineatul (2) din Tratatul privind Uniunea Europeană.</w:t>
      </w:r>
    </w:p>
    <w:p w:rsidR="000A0A18" w:rsidRPr="003B0F65" w:rsidRDefault="00786FC5" w:rsidP="000A0A18">
      <w:pPr>
        <w:pStyle w:val="ManualConsidrant"/>
        <w:rPr>
          <w:noProof/>
        </w:rPr>
      </w:pPr>
      <w:r>
        <w:rPr>
          <w:noProof/>
        </w:rPr>
        <w:t>(2)</w:t>
      </w:r>
      <w:r>
        <w:rPr>
          <w:noProof/>
        </w:rPr>
        <w:tab/>
      </w:r>
      <w:r w:rsidRPr="003B0F65">
        <w:rPr>
          <w:noProof/>
        </w:rPr>
        <w:t xml:space="preserve">În iulie 2023 </w:t>
      </w:r>
      <w:bookmarkStart w:id="10" w:name="_Hlk225161655"/>
      <w:r w:rsidRPr="003B0F65">
        <w:rPr>
          <w:noProof/>
        </w:rPr>
        <w:t>a avut loc o reexaminare a Deciziei (UE) 2021/1765, în urma căreia s-a concluzionat că nu sunt necesare modificări.</w:t>
      </w:r>
      <w:r w:rsidRPr="003B0F65">
        <w:rPr>
          <w:rStyle w:val="normaltextrun"/>
          <w:noProof/>
        </w:rPr>
        <w:t xml:space="preserve"> </w:t>
      </w:r>
      <w:r w:rsidRPr="003B0F65">
        <w:rPr>
          <w:noProof/>
        </w:rPr>
        <w:t>Având în vedere că de atunci nu au fost identificate probleme de punere în aplicare, Decizia (UE) 2021/1765 rămâne adecvată scopului.</w:t>
      </w:r>
      <w:bookmarkEnd w:id="10"/>
    </w:p>
    <w:p w:rsidR="00CA6AD4" w:rsidRPr="003B0F65" w:rsidRDefault="00CC57AE" w:rsidP="00CA6AD4">
      <w:pPr>
        <w:pStyle w:val="ManualConsidrant"/>
        <w:rPr>
          <w:noProof/>
        </w:rPr>
      </w:pPr>
      <w:r>
        <w:rPr>
          <w:noProof/>
        </w:rPr>
        <w:t>(3)</w:t>
      </w:r>
      <w:r>
        <w:rPr>
          <w:noProof/>
        </w:rPr>
        <w:tab/>
      </w:r>
      <w:r w:rsidRPr="003B0F65">
        <w:rPr>
          <w:noProof/>
        </w:rPr>
        <w:t>Decizia (UE) 2021/1765 expiră la 31 decembrie 2026. Prin urmare, este oportun să se prelungească aplicarea acesteia în ceea ce privește poziția care urmează să fie adoptată în numele Uniunii în cadrul Comitetului specializat privind pescuitul în raport cu actele sau măsurile cu efecte juridice.</w:t>
      </w:r>
    </w:p>
    <w:p w:rsidR="00387A3D" w:rsidRPr="003B0F65" w:rsidRDefault="00387A3D" w:rsidP="00CA6AD4">
      <w:pPr>
        <w:pStyle w:val="ManualConsidrant"/>
        <w:rPr>
          <w:noProof/>
        </w:rPr>
      </w:pPr>
      <w:r>
        <w:rPr>
          <w:noProof/>
        </w:rPr>
        <w:t>(4)</w:t>
      </w:r>
      <w:r>
        <w:rPr>
          <w:noProof/>
        </w:rPr>
        <w:tab/>
      </w:r>
      <w:r w:rsidRPr="003B0F65">
        <w:rPr>
          <w:noProof/>
        </w:rPr>
        <w:t>Comisia ar trebui să efectueze o reexaminare a punerii în aplicare efective a Deciziei (UE) 2021/1765. Reexaminarea respectivă ar trebui să evalueze dacă sunt necesare revizuiri și, dacă este cazul, ea ar trebui să fie însoțită de o propunere de revizuire.</w:t>
      </w:r>
    </w:p>
    <w:p w:rsidR="00CA6AD4" w:rsidRPr="003B0F65" w:rsidRDefault="00623560" w:rsidP="00CA6AD4">
      <w:pPr>
        <w:pStyle w:val="ManualConsidrant"/>
        <w:rPr>
          <w:noProof/>
        </w:rPr>
      </w:pPr>
      <w:r>
        <w:rPr>
          <w:noProof/>
        </w:rPr>
        <w:t>(5)</w:t>
      </w:r>
      <w:r>
        <w:rPr>
          <w:noProof/>
        </w:rPr>
        <w:tab/>
      </w:r>
      <w:bookmarkStart w:id="11" w:name="_Hlk223972669"/>
      <w:r w:rsidRPr="003B0F65">
        <w:rPr>
          <w:noProof/>
        </w:rPr>
        <w:t>Parlamentul European este informat de îndată și pe deplin, astfel cum prevede articolul 218 alineatul (10) din</w:t>
      </w:r>
      <w:bookmarkEnd w:id="11"/>
      <w:r w:rsidRPr="003B0F65">
        <w:rPr>
          <w:noProof/>
        </w:rPr>
        <w:t xml:space="preserve"> Tratatul privind funcționarea Uniunii Europene.</w:t>
      </w:r>
    </w:p>
    <w:p w:rsidR="00894CEF" w:rsidRPr="003B0F65" w:rsidRDefault="00553D5C" w:rsidP="00CA6AD4">
      <w:pPr>
        <w:pStyle w:val="ManualConsidrant"/>
        <w:rPr>
          <w:noProof/>
        </w:rPr>
      </w:pPr>
      <w:r>
        <w:rPr>
          <w:noProof/>
        </w:rPr>
        <w:lastRenderedPageBreak/>
        <w:t>(6)</w:t>
      </w:r>
      <w:r>
        <w:rPr>
          <w:noProof/>
        </w:rPr>
        <w:tab/>
      </w:r>
      <w:r w:rsidRPr="003B0F65">
        <w:rPr>
          <w:noProof/>
        </w:rPr>
        <w:t xml:space="preserve">Prin urmare, </w:t>
      </w:r>
      <w:bookmarkStart w:id="12" w:name="_Hlk223972698"/>
      <w:r w:rsidRPr="003B0F65">
        <w:rPr>
          <w:noProof/>
        </w:rPr>
        <w:t>Decizia (UE) 2021/1765 ar trebui să fie modificată în consecință</w:t>
      </w:r>
      <w:bookmarkEnd w:id="12"/>
      <w:r w:rsidRPr="003B0F65">
        <w:rPr>
          <w:noProof/>
        </w:rPr>
        <w:t xml:space="preserve">, </w:t>
      </w:r>
    </w:p>
    <w:p w:rsidR="00FE4256" w:rsidRPr="003B0F65" w:rsidRDefault="00FE4256" w:rsidP="00313E90">
      <w:pPr>
        <w:pStyle w:val="Formuledadoption"/>
        <w:rPr>
          <w:noProof/>
        </w:rPr>
      </w:pPr>
      <w:r w:rsidRPr="003B0F65">
        <w:rPr>
          <w:noProof/>
        </w:rPr>
        <w:t>ADOPTĂ PREZENTA DECIZIE:</w:t>
      </w:r>
    </w:p>
    <w:p w:rsidR="00FE4256" w:rsidRPr="003B0F65" w:rsidRDefault="00FE4256">
      <w:pPr>
        <w:pStyle w:val="Titrearticle"/>
        <w:rPr>
          <w:noProof/>
        </w:rPr>
      </w:pPr>
      <w:r w:rsidRPr="003B0F65">
        <w:rPr>
          <w:noProof/>
        </w:rPr>
        <w:t>Articolul 1</w:t>
      </w:r>
    </w:p>
    <w:p w:rsidR="00623560" w:rsidRPr="003B0F65" w:rsidRDefault="00623560">
      <w:pPr>
        <w:rPr>
          <w:noProof/>
        </w:rPr>
      </w:pPr>
      <w:r w:rsidRPr="003B0F65">
        <w:rPr>
          <w:noProof/>
        </w:rPr>
        <w:t>Decizia (UE) 2021/1765 se modifică după cum urmează:</w:t>
      </w:r>
    </w:p>
    <w:p w:rsidR="00623560" w:rsidRPr="003B0F65" w:rsidRDefault="00623560" w:rsidP="0076049A">
      <w:pPr>
        <w:pStyle w:val="Point0"/>
        <w:rPr>
          <w:noProof/>
        </w:rPr>
      </w:pPr>
      <w:r>
        <w:rPr>
          <w:noProof/>
        </w:rPr>
        <w:t>(1)</w:t>
      </w:r>
      <w:r>
        <w:rPr>
          <w:noProof/>
        </w:rPr>
        <w:tab/>
      </w:r>
      <w:r w:rsidRPr="003B0F65">
        <w:rPr>
          <w:noProof/>
        </w:rPr>
        <w:t>Articolul 3 se înlocuiește cu următorul text:</w:t>
      </w:r>
    </w:p>
    <w:p w:rsidR="00D80FA5" w:rsidRPr="003B0F65" w:rsidRDefault="00623560" w:rsidP="00894CEF">
      <w:pPr>
        <w:ind w:left="360"/>
        <w:rPr>
          <w:noProof/>
        </w:rPr>
      </w:pPr>
      <w:r w:rsidRPr="003B0F65">
        <w:rPr>
          <w:noProof/>
        </w:rPr>
        <w:t>„</w:t>
      </w:r>
      <w:bookmarkStart w:id="13" w:name="_Hlk223971387"/>
      <w:r w:rsidRPr="003B0F65">
        <w:rPr>
          <w:noProof/>
        </w:rPr>
        <w:t xml:space="preserve">Prezenta decizie se aplică până la 30 iunie 2038. </w:t>
      </w:r>
    </w:p>
    <w:p w:rsidR="00623560" w:rsidRPr="003B0F65" w:rsidRDefault="00623560" w:rsidP="00894CEF">
      <w:pPr>
        <w:ind w:left="360"/>
        <w:rPr>
          <w:noProof/>
        </w:rPr>
      </w:pPr>
      <w:r w:rsidRPr="003B0F65">
        <w:rPr>
          <w:noProof/>
        </w:rPr>
        <w:t>Aceasta este evaluată atunci când este necesar și, după caz, revizuită de Consiliu la propunerea Comisiei. În orice caz, până la 31 decembrie 2036 are loc o reexaminare</w:t>
      </w:r>
      <w:bookmarkEnd w:id="13"/>
      <w:r w:rsidRPr="003B0F65">
        <w:rPr>
          <w:noProof/>
        </w:rPr>
        <w:t>.”</w:t>
      </w:r>
    </w:p>
    <w:p w:rsidR="00FE4256" w:rsidRPr="003B0F65" w:rsidRDefault="00FE4256" w:rsidP="00CA6AD4">
      <w:pPr>
        <w:pStyle w:val="Titrearticle"/>
        <w:ind w:left="3600" w:firstLine="720"/>
        <w:jc w:val="both"/>
        <w:rPr>
          <w:noProof/>
        </w:rPr>
      </w:pPr>
      <w:r w:rsidRPr="003B0F65">
        <w:rPr>
          <w:noProof/>
        </w:rPr>
        <w:t>Articolul 2</w:t>
      </w:r>
    </w:p>
    <w:p w:rsidR="00FE4256" w:rsidRPr="003B0F65" w:rsidRDefault="00623560" w:rsidP="00623560">
      <w:pPr>
        <w:rPr>
          <w:noProof/>
        </w:rPr>
      </w:pPr>
      <w:r w:rsidRPr="003B0F65">
        <w:rPr>
          <w:noProof/>
        </w:rPr>
        <w:t xml:space="preserve">Prezenta decizie intră în vigoare la data publicării în </w:t>
      </w:r>
      <w:r w:rsidRPr="003B0F65">
        <w:rPr>
          <w:i/>
          <w:iCs/>
          <w:noProof/>
        </w:rPr>
        <w:t>Jurnalul Oficial al Uniunii Europene</w:t>
      </w:r>
      <w:r w:rsidRPr="003B0F65">
        <w:rPr>
          <w:noProof/>
        </w:rPr>
        <w:t>.</w:t>
      </w:r>
    </w:p>
    <w:p w:rsidR="00794B72" w:rsidRPr="003B0F65" w:rsidRDefault="00794B72" w:rsidP="00623560">
      <w:pPr>
        <w:rPr>
          <w:noProof/>
        </w:rPr>
      </w:pPr>
    </w:p>
    <w:p w:rsidR="00FE4256" w:rsidRPr="003B0F65" w:rsidRDefault="00667362" w:rsidP="00371A0E">
      <w:pPr>
        <w:pStyle w:val="Fait"/>
        <w:rPr>
          <w:noProof/>
        </w:rPr>
      </w:pPr>
      <w:r>
        <w:rPr>
          <w:noProof/>
        </w:rPr>
        <w:t>Adoptată la Bruxelles,</w:t>
      </w:r>
    </w:p>
    <w:p w:rsidR="00FE4256" w:rsidRPr="003B0F65" w:rsidRDefault="00FE4256" w:rsidP="00371A0E">
      <w:pPr>
        <w:pStyle w:val="Institutionquisigne"/>
        <w:rPr>
          <w:noProof/>
        </w:rPr>
      </w:pPr>
      <w:r w:rsidRPr="003B0F65">
        <w:rPr>
          <w:noProof/>
        </w:rPr>
        <w:tab/>
        <w:t>Pentru Consiliu</w:t>
      </w:r>
    </w:p>
    <w:p w:rsidR="00FE4256" w:rsidRPr="003B0F65" w:rsidRDefault="00FE4256" w:rsidP="00FE4256">
      <w:pPr>
        <w:pStyle w:val="Personnequisigne"/>
        <w:rPr>
          <w:noProof/>
        </w:rPr>
      </w:pPr>
      <w:r w:rsidRPr="003B0F65">
        <w:rPr>
          <w:noProof/>
        </w:rPr>
        <w:tab/>
        <w:t>Președintele</w:t>
      </w:r>
    </w:p>
    <w:sectPr w:rsidR="00FE4256" w:rsidRPr="003B0F65" w:rsidSect="006832C7">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B34" w:rsidRDefault="006F4B34" w:rsidP="00FE4256">
      <w:pPr>
        <w:spacing w:before="0" w:after="0"/>
      </w:pPr>
      <w:r>
        <w:separator/>
      </w:r>
    </w:p>
  </w:endnote>
  <w:endnote w:type="continuationSeparator" w:id="0">
    <w:p w:rsidR="006F4B34" w:rsidRDefault="006F4B34" w:rsidP="00FE425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2C7" w:rsidRPr="006832C7" w:rsidRDefault="006832C7" w:rsidP="006832C7">
    <w:pPr>
      <w:pStyle w:val="Footer"/>
      <w:rPr>
        <w:rFonts w:ascii="Arial" w:hAnsi="Arial" w:cs="Arial"/>
        <w:b/>
        <w:sz w:val="48"/>
      </w:rPr>
    </w:pPr>
    <w:r w:rsidRPr="006832C7">
      <w:rPr>
        <w:rFonts w:ascii="Arial" w:hAnsi="Arial" w:cs="Arial"/>
        <w:b/>
        <w:sz w:val="48"/>
      </w:rPr>
      <w:t>RO</w:t>
    </w:r>
    <w:r w:rsidRPr="006832C7">
      <w:rPr>
        <w:rFonts w:ascii="Arial" w:hAnsi="Arial" w:cs="Arial"/>
        <w:b/>
        <w:sz w:val="48"/>
      </w:rPr>
      <w:tab/>
    </w:r>
    <w:r w:rsidRPr="006832C7">
      <w:rPr>
        <w:rFonts w:ascii="Arial" w:hAnsi="Arial" w:cs="Arial"/>
        <w:b/>
        <w:sz w:val="48"/>
      </w:rPr>
      <w:tab/>
    </w:r>
    <w:r w:rsidRPr="006832C7">
      <w:tab/>
    </w:r>
    <w:r w:rsidRPr="006832C7">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2C7" w:rsidRPr="006832C7" w:rsidRDefault="006832C7" w:rsidP="006832C7">
    <w:pPr>
      <w:pStyle w:val="Footer"/>
      <w:rPr>
        <w:rFonts w:ascii="Arial" w:hAnsi="Arial" w:cs="Arial"/>
        <w:b/>
        <w:sz w:val="48"/>
      </w:rPr>
    </w:pPr>
    <w:r w:rsidRPr="006832C7">
      <w:rPr>
        <w:rFonts w:ascii="Arial" w:hAnsi="Arial" w:cs="Arial"/>
        <w:b/>
        <w:sz w:val="48"/>
      </w:rPr>
      <w:t>RO</w:t>
    </w:r>
    <w:r w:rsidRPr="006832C7">
      <w:rPr>
        <w:rFonts w:ascii="Arial" w:hAnsi="Arial" w:cs="Arial"/>
        <w:b/>
        <w:sz w:val="48"/>
      </w:rPr>
      <w:tab/>
    </w:r>
    <w:r w:rsidRPr="006832C7">
      <w:rPr>
        <w:rFonts w:ascii="Arial" w:hAnsi="Arial" w:cs="Arial"/>
        <w:b/>
        <w:sz w:val="48"/>
      </w:rPr>
      <w:tab/>
    </w:r>
    <w:r w:rsidRPr="006832C7">
      <w:tab/>
    </w:r>
    <w:r w:rsidRPr="006832C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2C7" w:rsidRDefault="006832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2C7" w:rsidRPr="006832C7" w:rsidRDefault="006832C7" w:rsidP="006832C7">
    <w:pPr>
      <w:pStyle w:val="Footer"/>
      <w:rPr>
        <w:rFonts w:ascii="Arial" w:hAnsi="Arial" w:cs="Arial"/>
        <w:b/>
        <w:sz w:val="48"/>
      </w:rPr>
    </w:pPr>
    <w:r w:rsidRPr="006832C7">
      <w:rPr>
        <w:rFonts w:ascii="Arial" w:hAnsi="Arial" w:cs="Arial"/>
        <w:b/>
        <w:sz w:val="48"/>
      </w:rPr>
      <w:t>RO</w:t>
    </w:r>
    <w:r w:rsidRPr="006832C7">
      <w:rPr>
        <w:rFonts w:ascii="Arial" w:hAnsi="Arial" w:cs="Arial"/>
        <w:b/>
        <w:sz w:val="48"/>
      </w:rPr>
      <w:tab/>
    </w:r>
    <w:r>
      <w:fldChar w:fldCharType="begin"/>
    </w:r>
    <w:r>
      <w:instrText xml:space="preserve"> PAGE  \* MERGEFORMAT </w:instrText>
    </w:r>
    <w:r>
      <w:fldChar w:fldCharType="separate"/>
    </w:r>
    <w:r w:rsidR="00371A0E">
      <w:rPr>
        <w:noProof/>
      </w:rPr>
      <w:t>7</w:t>
    </w:r>
    <w:r>
      <w:fldChar w:fldCharType="end"/>
    </w:r>
    <w:r>
      <w:tab/>
    </w:r>
    <w:r w:rsidRPr="006832C7">
      <w:tab/>
    </w:r>
    <w:r w:rsidRPr="006832C7">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2C7" w:rsidRDefault="006832C7" w:rsidP="006832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B34" w:rsidRDefault="006F4B34" w:rsidP="00FE4256">
      <w:pPr>
        <w:spacing w:before="0" w:after="0"/>
      </w:pPr>
      <w:r>
        <w:separator/>
      </w:r>
    </w:p>
  </w:footnote>
  <w:footnote w:type="continuationSeparator" w:id="0">
    <w:p w:rsidR="006F4B34" w:rsidRDefault="006F4B34" w:rsidP="00FE4256">
      <w:pPr>
        <w:spacing w:before="0" w:after="0"/>
      </w:pPr>
      <w:r>
        <w:continuationSeparator/>
      </w:r>
    </w:p>
  </w:footnote>
  <w:footnote w:id="1">
    <w:p w:rsidR="00C36D01" w:rsidRPr="00894CEF" w:rsidRDefault="00C36D01" w:rsidP="00C36D01">
      <w:pPr>
        <w:pStyle w:val="FootnoteText"/>
      </w:pPr>
      <w:r>
        <w:rPr>
          <w:rStyle w:val="FootnoteReference"/>
        </w:rPr>
        <w:footnoteRef/>
      </w:r>
      <w:r>
        <w:tab/>
        <w:t xml:space="preserve">Decizia (UE) </w:t>
      </w:r>
      <w:r w:rsidRPr="003B0F65">
        <w:t>2021</w:t>
      </w:r>
      <w:r>
        <w:t>/</w:t>
      </w:r>
      <w:r w:rsidRPr="003B0F65">
        <w:t>1765</w:t>
      </w:r>
      <w:r>
        <w:t xml:space="preserve"> a Consiliului din </w:t>
      </w:r>
      <w:r w:rsidRPr="003B0F65">
        <w:t>5</w:t>
      </w:r>
      <w:r>
        <w:t xml:space="preserve"> octombrie </w:t>
      </w:r>
      <w:r w:rsidRPr="003B0F65">
        <w:t>2021</w:t>
      </w:r>
      <w:r>
        <w:t xml:space="preserve"> privind poziția care urmează să fie adoptată, în numele Uniunii Europene, pentru perioada </w:t>
      </w:r>
      <w:r w:rsidRPr="003B0F65">
        <w:t>2021</w:t>
      </w:r>
      <w:r>
        <w:t>-</w:t>
      </w:r>
      <w:r w:rsidRPr="003B0F65">
        <w:t>2026</w:t>
      </w:r>
      <w:r>
        <w:t>, în cadrul Comitetului specializat privind pescuitul constituit prin Acordul comercial și de cooperare dintre Uniunea Europeană și Comunitatea Europeană a Energiei Atomice, pe de o parte, și Regatul Unit al Marii Britanii și Irlandei de Nord, pe de altă parte (JO L </w:t>
      </w:r>
      <w:r w:rsidRPr="003B0F65">
        <w:t>355</w:t>
      </w:r>
      <w:r>
        <w:t xml:space="preserve">, </w:t>
      </w:r>
      <w:r w:rsidRPr="003B0F65">
        <w:t>7</w:t>
      </w:r>
      <w:r>
        <w:t>.</w:t>
      </w:r>
      <w:r w:rsidRPr="003B0F65">
        <w:t>10</w:t>
      </w:r>
      <w:r>
        <w:t>.</w:t>
      </w:r>
      <w:r w:rsidRPr="003B0F65">
        <w:t>2021</w:t>
      </w:r>
      <w:r>
        <w:t>, p. </w:t>
      </w:r>
      <w:r w:rsidRPr="003B0F65">
        <w:t>135</w:t>
      </w:r>
      <w:r w:rsidR="003B0F65">
        <w:t>;</w:t>
      </w:r>
      <w:r>
        <w:rPr>
          <w:rFonts w:ascii="Roboto" w:hAnsi="Roboto"/>
          <w:color w:val="333333"/>
          <w:sz w:val="21"/>
          <w:shd w:val="clear" w:color="auto" w:fill="FFFFFF"/>
        </w:rPr>
        <w:t xml:space="preserve"> </w:t>
      </w:r>
      <w:r>
        <w:t>ELI: </w:t>
      </w:r>
      <w:hyperlink r:id="rId1" w:tooltip="Oferă acces la acest document prin identificatorul său uniform de resurse ELI." w:history="1">
        <w:r>
          <w:rPr>
            <w:rStyle w:val="Hyperlink"/>
            <w:u w:val="none"/>
          </w:rPr>
          <w:t>http://data.europa.eu/eli/dec/</w:t>
        </w:r>
        <w:r w:rsidRPr="003B0F65">
          <w:rPr>
            <w:rStyle w:val="Hyperlink"/>
            <w:u w:val="none"/>
          </w:rPr>
          <w:t>2021</w:t>
        </w:r>
        <w:r>
          <w:rPr>
            <w:rStyle w:val="Hyperlink"/>
            <w:u w:val="none"/>
          </w:rPr>
          <w:t>/</w:t>
        </w:r>
        <w:r w:rsidRPr="003B0F65">
          <w:rPr>
            <w:rStyle w:val="Hyperlink"/>
            <w:u w:val="none"/>
          </w:rPr>
          <w:t>1765</w:t>
        </w:r>
        <w:r>
          <w:rPr>
            <w:rStyle w:val="Hyperlink"/>
            <w:u w:val="none"/>
          </w:rPr>
          <w:t>/oj</w:t>
        </w:r>
      </w:hyperlink>
      <w:r>
        <w:t>)</w:t>
      </w:r>
    </w:p>
  </w:footnote>
  <w:footnote w:id="2">
    <w:p w:rsidR="00387A3D" w:rsidRPr="00AD10FF" w:rsidRDefault="00387A3D" w:rsidP="00387A3D">
      <w:pPr>
        <w:pStyle w:val="FootnoteText"/>
      </w:pPr>
      <w:r>
        <w:rPr>
          <w:rStyle w:val="FootnoteReference"/>
        </w:rPr>
        <w:footnoteRef/>
      </w:r>
      <w:r>
        <w:tab/>
        <w:t>Acord comercial și de cooperare între Uniunea Europeană și Comunitatea Europeană a Energiei Atomice, pe de o parte, și Regatul Unit al Marii Britanii și Irlandei de Nord, pe de altă parte (JO L </w:t>
      </w:r>
      <w:r w:rsidRPr="003B0F65">
        <w:t>149</w:t>
      </w:r>
      <w:r>
        <w:t xml:space="preserve">, p. </w:t>
      </w:r>
      <w:r w:rsidRPr="003B0F65">
        <w:t>10</w:t>
      </w:r>
      <w:r>
        <w:t>; ELI: </w:t>
      </w:r>
      <w:hyperlink r:id="rId2" w:tooltip="Oferă acces la acest document prin identificatorul său uniform de resurse ELI." w:history="1">
        <w:r>
          <w:rPr>
            <w:rStyle w:val="Hyperlink"/>
          </w:rPr>
          <w:t>http://data.europa.eu/eli/agree_internation/</w:t>
        </w:r>
        <w:r w:rsidRPr="003B0F65">
          <w:rPr>
            <w:rStyle w:val="Hyperlink"/>
          </w:rPr>
          <w:t>2021</w:t>
        </w:r>
        <w:r>
          <w:rPr>
            <w:rStyle w:val="Hyperlink"/>
          </w:rPr>
          <w:t>/</w:t>
        </w:r>
        <w:r w:rsidRPr="003B0F65">
          <w:rPr>
            <w:rStyle w:val="Hyperlink"/>
          </w:rPr>
          <w:t>689</w:t>
        </w:r>
        <w:r>
          <w:rPr>
            <w:rStyle w:val="Hyperlink"/>
          </w:rPr>
          <w:t>(</w:t>
        </w:r>
        <w:r w:rsidRPr="003B0F65">
          <w:rPr>
            <w:rStyle w:val="Hyperlink"/>
          </w:rPr>
          <w:t>1</w:t>
        </w:r>
        <w:r>
          <w:rPr>
            <w:rStyle w:val="Hyperlink"/>
          </w:rPr>
          <w:t>)/oj</w:t>
        </w:r>
      </w:hyperlink>
      <w:r>
        <w:t>).</w:t>
      </w:r>
    </w:p>
  </w:footnote>
  <w:footnote w:id="3">
    <w:p w:rsidR="00BA7AFD" w:rsidRPr="00667362" w:rsidRDefault="00BA7AFD" w:rsidP="00B95164">
      <w:pPr>
        <w:pStyle w:val="FootnoteText"/>
      </w:pPr>
      <w:r>
        <w:rPr>
          <w:rStyle w:val="FootnoteReference"/>
        </w:rPr>
        <w:footnoteRef/>
      </w:r>
      <w:r>
        <w:tab/>
      </w:r>
      <w:r w:rsidRPr="00667362">
        <w:t>Regulamentul (UE) </w:t>
      </w:r>
      <w:r w:rsidRPr="003B0F65">
        <w:t>2018</w:t>
      </w:r>
      <w:r w:rsidRPr="00667362">
        <w:t>/</w:t>
      </w:r>
      <w:r w:rsidRPr="003B0F65">
        <w:t>973</w:t>
      </w:r>
      <w:r w:rsidRPr="00667362">
        <w:t xml:space="preserve"> al Parlamentului European și al Consiliului din </w:t>
      </w:r>
      <w:r w:rsidRPr="003B0F65">
        <w:t>4</w:t>
      </w:r>
      <w:r w:rsidRPr="00667362">
        <w:t> iulie </w:t>
      </w:r>
      <w:r w:rsidRPr="003B0F65">
        <w:t>2018</w:t>
      </w:r>
      <w:r w:rsidRPr="00667362">
        <w:t xml:space="preserve"> de stabilire a unui plan multianual pentru stocurile demersale din Marea Nordului și pentru activitățile de pescuit care exploatează stocurile respective, de precizare a detaliilor punerii în aplicare a obligației de debarcare în Marea Nordului și de abrogare a Regulamentelor (CE) nr. </w:t>
      </w:r>
      <w:r w:rsidRPr="003B0F65">
        <w:t>676</w:t>
      </w:r>
      <w:r w:rsidRPr="00667362">
        <w:t>/</w:t>
      </w:r>
      <w:r w:rsidRPr="003B0F65">
        <w:t>2007</w:t>
      </w:r>
      <w:r w:rsidRPr="00667362">
        <w:t xml:space="preserve"> și (CE) nr. </w:t>
      </w:r>
      <w:r w:rsidRPr="003B0F65">
        <w:t>1342</w:t>
      </w:r>
      <w:r w:rsidRPr="00667362">
        <w:t>/</w:t>
      </w:r>
      <w:r w:rsidRPr="003B0F65">
        <w:t>2008</w:t>
      </w:r>
      <w:r w:rsidRPr="00667362">
        <w:t xml:space="preserve"> ale Consiliului (JO L </w:t>
      </w:r>
      <w:r w:rsidRPr="003B0F65">
        <w:t>179</w:t>
      </w:r>
      <w:r w:rsidRPr="00667362">
        <w:t xml:space="preserve">, </w:t>
      </w:r>
      <w:r w:rsidRPr="003B0F65">
        <w:t>16</w:t>
      </w:r>
      <w:r w:rsidRPr="00667362">
        <w:t>.</w:t>
      </w:r>
      <w:r w:rsidRPr="003B0F65">
        <w:t>7</w:t>
      </w:r>
      <w:r w:rsidRPr="00667362">
        <w:t>.</w:t>
      </w:r>
      <w:r w:rsidRPr="003B0F65">
        <w:t>2018</w:t>
      </w:r>
      <w:r w:rsidRPr="00667362">
        <w:t>, p. </w:t>
      </w:r>
      <w:r w:rsidRPr="003B0F65">
        <w:t>1</w:t>
      </w:r>
      <w:r w:rsidRPr="00667362">
        <w:t>: ELI: </w:t>
      </w:r>
      <w:hyperlink r:id="rId3" w:tooltip="Oferă acces la acest document prin identificatorul său uniform de resurse ELI." w:history="1">
        <w:r w:rsidRPr="00667362">
          <w:rPr>
            <w:rStyle w:val="Hyperlink"/>
          </w:rPr>
          <w:t>http://data.europa.eu/eli/reg/</w:t>
        </w:r>
        <w:r w:rsidRPr="003B0F65">
          <w:rPr>
            <w:rStyle w:val="Hyperlink"/>
          </w:rPr>
          <w:t>2018</w:t>
        </w:r>
        <w:r w:rsidRPr="00667362">
          <w:rPr>
            <w:rStyle w:val="Hyperlink"/>
          </w:rPr>
          <w:t>/</w:t>
        </w:r>
        <w:r w:rsidRPr="003B0F65">
          <w:rPr>
            <w:rStyle w:val="Hyperlink"/>
          </w:rPr>
          <w:t>973</w:t>
        </w:r>
        <w:r w:rsidRPr="00667362">
          <w:rPr>
            <w:rStyle w:val="Hyperlink"/>
          </w:rPr>
          <w:t>/oj</w:t>
        </w:r>
      </w:hyperlink>
      <w:r w:rsidRPr="00667362">
        <w:t xml:space="preserve">). </w:t>
      </w:r>
    </w:p>
  </w:footnote>
  <w:footnote w:id="4">
    <w:p w:rsidR="00BA7AFD" w:rsidRPr="00667362" w:rsidRDefault="00BA7AFD" w:rsidP="00BA7AFD">
      <w:pPr>
        <w:pStyle w:val="FootnoteText"/>
      </w:pPr>
      <w:r w:rsidRPr="00667362">
        <w:rPr>
          <w:rStyle w:val="FootnoteReference"/>
        </w:rPr>
        <w:footnoteRef/>
      </w:r>
      <w:r w:rsidRPr="00667362">
        <w:tab/>
        <w:t>Regulamentul (UE) </w:t>
      </w:r>
      <w:r w:rsidRPr="003B0F65">
        <w:t>2019</w:t>
      </w:r>
      <w:r w:rsidRPr="00667362">
        <w:t>/</w:t>
      </w:r>
      <w:r w:rsidRPr="003B0F65">
        <w:t>472</w:t>
      </w:r>
      <w:r w:rsidRPr="00667362">
        <w:t xml:space="preserve"> al Parlamentului European și al Consiliului din </w:t>
      </w:r>
      <w:r w:rsidRPr="003B0F65">
        <w:t>19</w:t>
      </w:r>
      <w:r w:rsidRPr="00667362">
        <w:t> martie </w:t>
      </w:r>
      <w:r w:rsidRPr="003B0F65">
        <w:t>2019</w:t>
      </w:r>
      <w:r w:rsidRPr="00667362">
        <w:t xml:space="preserve"> de stabilire a unui plan multianual pentru stocurile pescuite în apele occidentale și apele adiacente și pentru activitățile de pescuit care exploatează stocurile respective, de modificare a Regulamentelor (UE) </w:t>
      </w:r>
      <w:r w:rsidRPr="003B0F65">
        <w:t>2016</w:t>
      </w:r>
      <w:r w:rsidRPr="00667362">
        <w:t>/</w:t>
      </w:r>
      <w:r w:rsidRPr="003B0F65">
        <w:t>1139</w:t>
      </w:r>
      <w:r w:rsidRPr="00667362">
        <w:t xml:space="preserve"> și (UE) </w:t>
      </w:r>
      <w:r w:rsidRPr="003B0F65">
        <w:t>2018</w:t>
      </w:r>
      <w:r w:rsidRPr="00667362">
        <w:t>/</w:t>
      </w:r>
      <w:r w:rsidRPr="003B0F65">
        <w:t>973</w:t>
      </w:r>
      <w:r w:rsidRPr="00667362">
        <w:t xml:space="preserve"> și de abrogare a Regulamentelor (CE) nr. </w:t>
      </w:r>
      <w:r w:rsidRPr="003B0F65">
        <w:t>811</w:t>
      </w:r>
      <w:r w:rsidRPr="00667362">
        <w:t>/</w:t>
      </w:r>
      <w:r w:rsidRPr="003B0F65">
        <w:t>2004</w:t>
      </w:r>
      <w:r w:rsidRPr="00667362">
        <w:t>, (CE) nr. </w:t>
      </w:r>
      <w:r w:rsidRPr="003B0F65">
        <w:t>2166</w:t>
      </w:r>
      <w:r w:rsidRPr="00667362">
        <w:t>/</w:t>
      </w:r>
      <w:r w:rsidRPr="003B0F65">
        <w:t>2005</w:t>
      </w:r>
      <w:r w:rsidRPr="00667362">
        <w:t>, (CE) nr. </w:t>
      </w:r>
      <w:r w:rsidRPr="003B0F65">
        <w:t>388</w:t>
      </w:r>
      <w:r w:rsidRPr="00667362">
        <w:t>/</w:t>
      </w:r>
      <w:r w:rsidRPr="003B0F65">
        <w:t>2006</w:t>
      </w:r>
      <w:r w:rsidRPr="00667362">
        <w:t>, (CE) nr. </w:t>
      </w:r>
      <w:r w:rsidRPr="003B0F65">
        <w:t>509</w:t>
      </w:r>
      <w:r w:rsidRPr="00667362">
        <w:t>/</w:t>
      </w:r>
      <w:r w:rsidRPr="003B0F65">
        <w:t>2007</w:t>
      </w:r>
      <w:r w:rsidRPr="00667362">
        <w:t xml:space="preserve"> și (CE) nr. </w:t>
      </w:r>
      <w:r w:rsidRPr="003B0F65">
        <w:t>1300</w:t>
      </w:r>
      <w:r w:rsidRPr="00667362">
        <w:t>/</w:t>
      </w:r>
      <w:r w:rsidRPr="003B0F65">
        <w:t>2008</w:t>
      </w:r>
      <w:r w:rsidRPr="00667362">
        <w:t xml:space="preserve"> ale Consiliului (JO L </w:t>
      </w:r>
      <w:r w:rsidRPr="003B0F65">
        <w:t>83</w:t>
      </w:r>
      <w:r w:rsidRPr="00667362">
        <w:t xml:space="preserve">, </w:t>
      </w:r>
      <w:r w:rsidRPr="003B0F65">
        <w:t>25</w:t>
      </w:r>
      <w:r w:rsidRPr="00667362">
        <w:t>.</w:t>
      </w:r>
      <w:r w:rsidRPr="003B0F65">
        <w:t>3</w:t>
      </w:r>
      <w:r w:rsidRPr="00667362">
        <w:t>.</w:t>
      </w:r>
      <w:r w:rsidRPr="003B0F65">
        <w:t>2019</w:t>
      </w:r>
      <w:r w:rsidRPr="00667362">
        <w:t>, p. </w:t>
      </w:r>
      <w:r w:rsidRPr="003B0F65">
        <w:t>1</w:t>
      </w:r>
      <w:r w:rsidRPr="00667362">
        <w:t>; ELI: </w:t>
      </w:r>
      <w:hyperlink r:id="rId4" w:tooltip="Oferă acces la acest document prin identificatorul său uniform de resurse ELI." w:history="1">
        <w:r w:rsidRPr="00667362">
          <w:rPr>
            <w:rStyle w:val="Hyperlink"/>
          </w:rPr>
          <w:t>http://data.europa.eu/eli/reg/</w:t>
        </w:r>
        <w:r w:rsidRPr="003B0F65">
          <w:rPr>
            <w:rStyle w:val="Hyperlink"/>
          </w:rPr>
          <w:t>2019</w:t>
        </w:r>
        <w:r w:rsidRPr="00667362">
          <w:rPr>
            <w:rStyle w:val="Hyperlink"/>
          </w:rPr>
          <w:t>/</w:t>
        </w:r>
        <w:r w:rsidRPr="003B0F65">
          <w:rPr>
            <w:rStyle w:val="Hyperlink"/>
          </w:rPr>
          <w:t>472</w:t>
        </w:r>
        <w:r w:rsidRPr="00667362">
          <w:rPr>
            <w:rStyle w:val="Hyperlink"/>
          </w:rPr>
          <w:t>/oj</w:t>
        </w:r>
      </w:hyperlink>
      <w:r w:rsidRPr="00667362">
        <w:t xml:space="preserve">). </w:t>
      </w:r>
    </w:p>
    <w:p w:rsidR="00BA7AFD" w:rsidRPr="00667362" w:rsidRDefault="00BA7AFD">
      <w:pPr>
        <w:pStyle w:val="FootnoteText"/>
      </w:pPr>
    </w:p>
  </w:footnote>
  <w:footnote w:id="5">
    <w:p w:rsidR="00FE4256" w:rsidRPr="00667362" w:rsidRDefault="00FE4256">
      <w:pPr>
        <w:pStyle w:val="FootnoteText"/>
      </w:pPr>
      <w:r w:rsidRPr="00667362">
        <w:rPr>
          <w:rStyle w:val="FootnoteReference"/>
        </w:rPr>
        <w:footnoteRef/>
      </w:r>
      <w:r w:rsidRPr="00667362">
        <w:tab/>
        <w:t xml:space="preserve">Hotărârea Curții de Justiție din </w:t>
      </w:r>
      <w:r w:rsidRPr="003B0F65">
        <w:t>7</w:t>
      </w:r>
      <w:r w:rsidRPr="00667362">
        <w:t xml:space="preserve"> octombrie </w:t>
      </w:r>
      <w:r w:rsidRPr="003B0F65">
        <w:t>2014</w:t>
      </w:r>
      <w:r w:rsidRPr="00667362">
        <w:t>, Germania/Consiliu, C-</w:t>
      </w:r>
      <w:r w:rsidRPr="003B0F65">
        <w:t>399</w:t>
      </w:r>
      <w:r w:rsidRPr="00667362">
        <w:t>/</w:t>
      </w:r>
      <w:r w:rsidRPr="003B0F65">
        <w:t>12</w:t>
      </w:r>
      <w:r w:rsidRPr="00667362">
        <w:t>, ECLI:EU:C:</w:t>
      </w:r>
      <w:r w:rsidRPr="003B0F65">
        <w:t>2014</w:t>
      </w:r>
      <w:r w:rsidRPr="00667362">
        <w:t>:</w:t>
      </w:r>
      <w:r w:rsidRPr="003B0F65">
        <w:t>2258</w:t>
      </w:r>
      <w:r w:rsidRPr="00667362">
        <w:t xml:space="preserve">, punctele </w:t>
      </w:r>
      <w:r w:rsidRPr="003B0F65">
        <w:t>61</w:t>
      </w:r>
      <w:r w:rsidRPr="00667362">
        <w:t>-</w:t>
      </w:r>
      <w:r w:rsidRPr="003B0F65">
        <w:t>64</w:t>
      </w:r>
      <w:r w:rsidRPr="00667362">
        <w:t xml:space="preserve">. </w:t>
      </w:r>
    </w:p>
  </w:footnote>
  <w:footnote w:id="6">
    <w:p w:rsidR="00B315A5" w:rsidRPr="00667362" w:rsidRDefault="00B315A5" w:rsidP="00B315A5">
      <w:pPr>
        <w:pStyle w:val="FootnoteText"/>
      </w:pPr>
      <w:r w:rsidRPr="00667362">
        <w:rPr>
          <w:rStyle w:val="FootnoteReference"/>
        </w:rPr>
        <w:footnoteRef/>
      </w:r>
      <w:r w:rsidRPr="00667362">
        <w:tab/>
        <w:t xml:space="preserve">Decizia (UE) </w:t>
      </w:r>
      <w:r w:rsidRPr="003B0F65">
        <w:t>2021</w:t>
      </w:r>
      <w:r w:rsidRPr="00667362">
        <w:t>/</w:t>
      </w:r>
      <w:r w:rsidRPr="003B0F65">
        <w:t>1765</w:t>
      </w:r>
      <w:r w:rsidRPr="00667362">
        <w:t xml:space="preserve"> a Consiliului din </w:t>
      </w:r>
      <w:r w:rsidRPr="003B0F65">
        <w:t>5</w:t>
      </w:r>
      <w:r w:rsidRPr="00667362">
        <w:t xml:space="preserve"> octombrie </w:t>
      </w:r>
      <w:r w:rsidRPr="003B0F65">
        <w:t>2021</w:t>
      </w:r>
      <w:r w:rsidRPr="00667362">
        <w:t xml:space="preserve"> privind poziția care urmează să fie adoptată, în numele Uniunii Europene, pentru perioada </w:t>
      </w:r>
      <w:r w:rsidRPr="003B0F65">
        <w:t>2021</w:t>
      </w:r>
      <w:r w:rsidRPr="00667362">
        <w:t>-</w:t>
      </w:r>
      <w:r w:rsidRPr="003B0F65">
        <w:t>2026</w:t>
      </w:r>
      <w:r w:rsidRPr="00667362">
        <w:t>, în cadrul Comitetului specializat privind pescuitul constituit prin Acordul comercial și de cooperare dintre Uniunea Europeană și Comunitatea Europeană a Energiei Atomice, pe de o parte, și Regatul Unit al Marii Britanii și Irlandei de Nord, pe de altă parte (JO L </w:t>
      </w:r>
      <w:r w:rsidRPr="003B0F65">
        <w:t>355</w:t>
      </w:r>
      <w:r w:rsidRPr="00667362">
        <w:t xml:space="preserve">, </w:t>
      </w:r>
      <w:r w:rsidRPr="003B0F65">
        <w:t>7</w:t>
      </w:r>
      <w:r w:rsidRPr="00667362">
        <w:t>.</w:t>
      </w:r>
      <w:r w:rsidRPr="003B0F65">
        <w:t>10</w:t>
      </w:r>
      <w:r w:rsidRPr="00667362">
        <w:t>.</w:t>
      </w:r>
      <w:r w:rsidRPr="003B0F65">
        <w:t>2021</w:t>
      </w:r>
      <w:r w:rsidRPr="00667362">
        <w:t>, p. </w:t>
      </w:r>
      <w:r w:rsidRPr="003B0F65">
        <w:t>135</w:t>
      </w:r>
      <w:r w:rsidRPr="00667362">
        <w:t>, ELI: </w:t>
      </w:r>
      <w:hyperlink r:id="rId5" w:tooltip="Oferă acces la acest document prin identificatorul său uniform de resurse ELI." w:history="1">
        <w:r w:rsidRPr="00667362">
          <w:rPr>
            <w:rStyle w:val="Hyperlink"/>
          </w:rPr>
          <w:t>http://data.europa.eu/eli/dec/</w:t>
        </w:r>
        <w:r w:rsidRPr="003B0F65">
          <w:rPr>
            <w:rStyle w:val="Hyperlink"/>
          </w:rPr>
          <w:t>2021</w:t>
        </w:r>
        <w:r w:rsidRPr="00667362">
          <w:rPr>
            <w:rStyle w:val="Hyperlink"/>
          </w:rPr>
          <w:t>/</w:t>
        </w:r>
        <w:r w:rsidRPr="003B0F65">
          <w:rPr>
            <w:rStyle w:val="Hyperlink"/>
          </w:rPr>
          <w:t>1765</w:t>
        </w:r>
        <w:r w:rsidRPr="00667362">
          <w:rPr>
            <w:rStyle w:val="Hyperlink"/>
          </w:rPr>
          <w:t>/oj</w:t>
        </w:r>
      </w:hyperlink>
      <w:r w:rsidRPr="00667362">
        <w:t>).</w:t>
      </w:r>
    </w:p>
    <w:p w:rsidR="00B315A5" w:rsidRPr="00667362" w:rsidRDefault="00B315A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2C7" w:rsidRDefault="006832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32C7" w:rsidRDefault="00683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740AB8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E62FE2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618511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1420F2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5 11:39: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180E837-6B23-44F1-9CC1-4CD1215875FB"/>
    <w:docVar w:name="LW_COVERPAGE_TYPE" w:val="1"/>
    <w:docVar w:name="LW_CreatedUtc" w:val="2026-02-26T13:27:18.9580519Z"/>
    <w:docVar w:name="LW_CROSSREFERENCE" w:val="&lt;UNUSED&gt;"/>
    <w:docVar w:name="LW_DocType" w:val="COM"/>
    <w:docVar w:name="LW_EMISSION" w:val="23.6.2026"/>
    <w:docVar w:name="LW_EMISSION_ISODATE" w:val="2026-06-23"/>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58"/>
    <w:docVar w:name="LW_REF.II.NEW.CP_YEAR" w:val="2026"/>
    <w:docVar w:name="LW_REF.INST.NEW" w:val="COM"/>
    <w:docVar w:name="LW_REF.INST.NEW_ADOPTED" w:val="final"/>
    <w:docVar w:name="LW_REF.INST.NEW_TEXT" w:val="(2026) 29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UE) 2021/1765 a Consiliului din 5 octombrie 2021 privind pozi\u539?ia care urmeaz\u259? s\u259? fie adoptat\u259?, în numele Uniunii Europene, pentru perioada 2021-2026, în cadrul Comitetului specializat privind pescuitul constituit prin Acordul comercial \u537?i de cooperare dintre Uniunea European\u259? \u537?i Comunitatea European\u259? a Energiei Atomice, pe de o parte, \u537?i Regatul Unit al Marii Britanii \u537?i Irlandei de Nord, pe de alt\u259? parte"/>
    <w:docVar w:name="LW_TYPE.DOC.CP" w:val="DECIZIE A CONSILIULUI"/>
    <w:docVar w:name="LwApiVersions" w:val="LW4CoDe 1.24.5.0; LW 9.2, Build 20251112"/>
  </w:docVars>
  <w:rsids>
    <w:rsidRoot w:val="00FE4256"/>
    <w:rsid w:val="00003B11"/>
    <w:rsid w:val="00010957"/>
    <w:rsid w:val="000177FD"/>
    <w:rsid w:val="000202BD"/>
    <w:rsid w:val="00037485"/>
    <w:rsid w:val="00057EE3"/>
    <w:rsid w:val="0007014E"/>
    <w:rsid w:val="000761AF"/>
    <w:rsid w:val="00085F53"/>
    <w:rsid w:val="000961A1"/>
    <w:rsid w:val="000A0A18"/>
    <w:rsid w:val="000B1324"/>
    <w:rsid w:val="000B3E4B"/>
    <w:rsid w:val="000B536C"/>
    <w:rsid w:val="000B5F9A"/>
    <w:rsid w:val="000E2E5C"/>
    <w:rsid w:val="001065F5"/>
    <w:rsid w:val="0011425F"/>
    <w:rsid w:val="001238EF"/>
    <w:rsid w:val="00152B96"/>
    <w:rsid w:val="001618B7"/>
    <w:rsid w:val="001653EA"/>
    <w:rsid w:val="00166BCF"/>
    <w:rsid w:val="00195F66"/>
    <w:rsid w:val="00196719"/>
    <w:rsid w:val="00197613"/>
    <w:rsid w:val="00197803"/>
    <w:rsid w:val="001A0316"/>
    <w:rsid w:val="001C27BE"/>
    <w:rsid w:val="001C5C4A"/>
    <w:rsid w:val="001F1B26"/>
    <w:rsid w:val="00205A52"/>
    <w:rsid w:val="00233DC7"/>
    <w:rsid w:val="00237D51"/>
    <w:rsid w:val="0024261D"/>
    <w:rsid w:val="00246C39"/>
    <w:rsid w:val="00246D79"/>
    <w:rsid w:val="00247779"/>
    <w:rsid w:val="00250F73"/>
    <w:rsid w:val="00252269"/>
    <w:rsid w:val="002528DA"/>
    <w:rsid w:val="00253BC8"/>
    <w:rsid w:val="00254823"/>
    <w:rsid w:val="002569AA"/>
    <w:rsid w:val="002569EF"/>
    <w:rsid w:val="002730ED"/>
    <w:rsid w:val="00285BEE"/>
    <w:rsid w:val="00294F23"/>
    <w:rsid w:val="0029533F"/>
    <w:rsid w:val="002A47F8"/>
    <w:rsid w:val="002A5027"/>
    <w:rsid w:val="002B30AF"/>
    <w:rsid w:val="002C7D79"/>
    <w:rsid w:val="002E0A08"/>
    <w:rsid w:val="002F0B9C"/>
    <w:rsid w:val="002F3FC7"/>
    <w:rsid w:val="00300B17"/>
    <w:rsid w:val="0030494A"/>
    <w:rsid w:val="00305DE7"/>
    <w:rsid w:val="00313E90"/>
    <w:rsid w:val="00313EBA"/>
    <w:rsid w:val="00316679"/>
    <w:rsid w:val="00321ACA"/>
    <w:rsid w:val="0033344A"/>
    <w:rsid w:val="00340F99"/>
    <w:rsid w:val="00355499"/>
    <w:rsid w:val="0036070A"/>
    <w:rsid w:val="0036152F"/>
    <w:rsid w:val="003637DE"/>
    <w:rsid w:val="00363FBD"/>
    <w:rsid w:val="00364463"/>
    <w:rsid w:val="00371A0E"/>
    <w:rsid w:val="003765E0"/>
    <w:rsid w:val="003820CB"/>
    <w:rsid w:val="00382EED"/>
    <w:rsid w:val="00387A3D"/>
    <w:rsid w:val="00391C6F"/>
    <w:rsid w:val="003A0BBF"/>
    <w:rsid w:val="003B0F65"/>
    <w:rsid w:val="003C6091"/>
    <w:rsid w:val="003E7F65"/>
    <w:rsid w:val="003F56D1"/>
    <w:rsid w:val="00405517"/>
    <w:rsid w:val="00407C1A"/>
    <w:rsid w:val="00425D84"/>
    <w:rsid w:val="0042648E"/>
    <w:rsid w:val="0044069F"/>
    <w:rsid w:val="00444E7E"/>
    <w:rsid w:val="00470033"/>
    <w:rsid w:val="004936D2"/>
    <w:rsid w:val="004A4948"/>
    <w:rsid w:val="004A7F06"/>
    <w:rsid w:val="004C7481"/>
    <w:rsid w:val="004E262D"/>
    <w:rsid w:val="004F2D2A"/>
    <w:rsid w:val="005129BA"/>
    <w:rsid w:val="00553D5C"/>
    <w:rsid w:val="00562765"/>
    <w:rsid w:val="00580643"/>
    <w:rsid w:val="005870A1"/>
    <w:rsid w:val="005B1EB6"/>
    <w:rsid w:val="005C141D"/>
    <w:rsid w:val="005D1F90"/>
    <w:rsid w:val="005E3CDB"/>
    <w:rsid w:val="005F13AA"/>
    <w:rsid w:val="006178B3"/>
    <w:rsid w:val="00623560"/>
    <w:rsid w:val="00630610"/>
    <w:rsid w:val="006442B3"/>
    <w:rsid w:val="00651799"/>
    <w:rsid w:val="00667362"/>
    <w:rsid w:val="006832C7"/>
    <w:rsid w:val="00696E99"/>
    <w:rsid w:val="006A1F72"/>
    <w:rsid w:val="006B07B5"/>
    <w:rsid w:val="006D19F4"/>
    <w:rsid w:val="006F4B34"/>
    <w:rsid w:val="00707BF0"/>
    <w:rsid w:val="00752A68"/>
    <w:rsid w:val="0076049A"/>
    <w:rsid w:val="00773331"/>
    <w:rsid w:val="00786FC5"/>
    <w:rsid w:val="007932EF"/>
    <w:rsid w:val="00794B72"/>
    <w:rsid w:val="007A0822"/>
    <w:rsid w:val="007A500D"/>
    <w:rsid w:val="007B3F40"/>
    <w:rsid w:val="007C601E"/>
    <w:rsid w:val="007D0148"/>
    <w:rsid w:val="007E05B0"/>
    <w:rsid w:val="007F0C2E"/>
    <w:rsid w:val="007F53D1"/>
    <w:rsid w:val="008120C4"/>
    <w:rsid w:val="00812EE2"/>
    <w:rsid w:val="00813554"/>
    <w:rsid w:val="008273C5"/>
    <w:rsid w:val="00842717"/>
    <w:rsid w:val="00874D22"/>
    <w:rsid w:val="00894CEF"/>
    <w:rsid w:val="008A2914"/>
    <w:rsid w:val="008A3C7A"/>
    <w:rsid w:val="008B40B5"/>
    <w:rsid w:val="008B4F40"/>
    <w:rsid w:val="008C70B5"/>
    <w:rsid w:val="008E4D8E"/>
    <w:rsid w:val="008F1BC8"/>
    <w:rsid w:val="00925FF3"/>
    <w:rsid w:val="009413D6"/>
    <w:rsid w:val="00954DF5"/>
    <w:rsid w:val="00956B71"/>
    <w:rsid w:val="00962311"/>
    <w:rsid w:val="00975367"/>
    <w:rsid w:val="00995837"/>
    <w:rsid w:val="009C493B"/>
    <w:rsid w:val="009C545D"/>
    <w:rsid w:val="009C7BA0"/>
    <w:rsid w:val="009D00BF"/>
    <w:rsid w:val="009D0183"/>
    <w:rsid w:val="009D23FB"/>
    <w:rsid w:val="009D392B"/>
    <w:rsid w:val="00A133D1"/>
    <w:rsid w:val="00A162B1"/>
    <w:rsid w:val="00A5592E"/>
    <w:rsid w:val="00A6566B"/>
    <w:rsid w:val="00A67022"/>
    <w:rsid w:val="00A82DA8"/>
    <w:rsid w:val="00A879F0"/>
    <w:rsid w:val="00A903CC"/>
    <w:rsid w:val="00A95BE2"/>
    <w:rsid w:val="00A973FE"/>
    <w:rsid w:val="00AB3A50"/>
    <w:rsid w:val="00AC541D"/>
    <w:rsid w:val="00AD45BC"/>
    <w:rsid w:val="00AD6063"/>
    <w:rsid w:val="00AE4FC7"/>
    <w:rsid w:val="00AE5B0C"/>
    <w:rsid w:val="00AE6470"/>
    <w:rsid w:val="00AF2F82"/>
    <w:rsid w:val="00B02FA8"/>
    <w:rsid w:val="00B02FE6"/>
    <w:rsid w:val="00B20F49"/>
    <w:rsid w:val="00B30EB2"/>
    <w:rsid w:val="00B315A5"/>
    <w:rsid w:val="00B3554A"/>
    <w:rsid w:val="00B72277"/>
    <w:rsid w:val="00B8538F"/>
    <w:rsid w:val="00B95164"/>
    <w:rsid w:val="00BA0E5A"/>
    <w:rsid w:val="00BA7AFD"/>
    <w:rsid w:val="00BE57B3"/>
    <w:rsid w:val="00BE7F0B"/>
    <w:rsid w:val="00C054C7"/>
    <w:rsid w:val="00C12301"/>
    <w:rsid w:val="00C1284A"/>
    <w:rsid w:val="00C23AD9"/>
    <w:rsid w:val="00C3660B"/>
    <w:rsid w:val="00C36D01"/>
    <w:rsid w:val="00C55AE7"/>
    <w:rsid w:val="00C61639"/>
    <w:rsid w:val="00C71FE9"/>
    <w:rsid w:val="00C75452"/>
    <w:rsid w:val="00CA6AD4"/>
    <w:rsid w:val="00CA7632"/>
    <w:rsid w:val="00CC4F8D"/>
    <w:rsid w:val="00CC57AE"/>
    <w:rsid w:val="00CE016E"/>
    <w:rsid w:val="00CE58A9"/>
    <w:rsid w:val="00CF6C2F"/>
    <w:rsid w:val="00CF7600"/>
    <w:rsid w:val="00CF7989"/>
    <w:rsid w:val="00D00FAA"/>
    <w:rsid w:val="00D01D8C"/>
    <w:rsid w:val="00D03E41"/>
    <w:rsid w:val="00D1408A"/>
    <w:rsid w:val="00D20381"/>
    <w:rsid w:val="00D43904"/>
    <w:rsid w:val="00D52649"/>
    <w:rsid w:val="00D56F1B"/>
    <w:rsid w:val="00D64658"/>
    <w:rsid w:val="00D71AD7"/>
    <w:rsid w:val="00D73721"/>
    <w:rsid w:val="00D74ADE"/>
    <w:rsid w:val="00D80FA5"/>
    <w:rsid w:val="00D826A2"/>
    <w:rsid w:val="00D8508B"/>
    <w:rsid w:val="00D86754"/>
    <w:rsid w:val="00D8786D"/>
    <w:rsid w:val="00D93D02"/>
    <w:rsid w:val="00DA0041"/>
    <w:rsid w:val="00DD0C77"/>
    <w:rsid w:val="00DD31B8"/>
    <w:rsid w:val="00DD3396"/>
    <w:rsid w:val="00DD4A6C"/>
    <w:rsid w:val="00DE1F24"/>
    <w:rsid w:val="00DF2C8D"/>
    <w:rsid w:val="00DF3882"/>
    <w:rsid w:val="00DF7ED2"/>
    <w:rsid w:val="00E1219D"/>
    <w:rsid w:val="00E13777"/>
    <w:rsid w:val="00E34B72"/>
    <w:rsid w:val="00E43579"/>
    <w:rsid w:val="00E524DC"/>
    <w:rsid w:val="00E55AEB"/>
    <w:rsid w:val="00E664ED"/>
    <w:rsid w:val="00E66DA1"/>
    <w:rsid w:val="00E71797"/>
    <w:rsid w:val="00E7182D"/>
    <w:rsid w:val="00E73AA1"/>
    <w:rsid w:val="00E82947"/>
    <w:rsid w:val="00E84336"/>
    <w:rsid w:val="00E90D64"/>
    <w:rsid w:val="00E943D2"/>
    <w:rsid w:val="00E972BE"/>
    <w:rsid w:val="00EB66C2"/>
    <w:rsid w:val="00EC6E1E"/>
    <w:rsid w:val="00ED3954"/>
    <w:rsid w:val="00ED70EE"/>
    <w:rsid w:val="00EE08B1"/>
    <w:rsid w:val="00F05A8F"/>
    <w:rsid w:val="00F06D43"/>
    <w:rsid w:val="00F14B45"/>
    <w:rsid w:val="00F41C98"/>
    <w:rsid w:val="00F52554"/>
    <w:rsid w:val="00F54070"/>
    <w:rsid w:val="00F67E4C"/>
    <w:rsid w:val="00F76FFB"/>
    <w:rsid w:val="00F95170"/>
    <w:rsid w:val="00F96027"/>
    <w:rsid w:val="00FA4369"/>
    <w:rsid w:val="00FC38F8"/>
    <w:rsid w:val="00FE3B39"/>
    <w:rsid w:val="00FE4256"/>
    <w:rsid w:val="00FF4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0CA8911C-5EB9-4D8C-A5E4-60B8B730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E4256"/>
    <w:pPr>
      <w:spacing w:after="0" w:line="240" w:lineRule="auto"/>
    </w:pPr>
    <w:rPr>
      <w:rFonts w:ascii="Times New Roman" w:hAnsi="Times New Roman" w:cs="Times New Roman"/>
      <w:sz w:val="24"/>
    </w:rPr>
  </w:style>
  <w:style w:type="character" w:styleId="Emphasis">
    <w:name w:val="Emphasis"/>
    <w:basedOn w:val="DefaultParagraphFont"/>
    <w:uiPriority w:val="20"/>
    <w:qFormat/>
    <w:rsid w:val="00ED3954"/>
    <w:rPr>
      <w:i/>
      <w:iCs/>
    </w:rPr>
  </w:style>
  <w:style w:type="character" w:styleId="Hyperlink">
    <w:name w:val="Hyperlink"/>
    <w:basedOn w:val="DefaultParagraphFont"/>
    <w:uiPriority w:val="99"/>
    <w:unhideWhenUsed/>
    <w:rsid w:val="00B315A5"/>
    <w:rPr>
      <w:color w:val="0000FF" w:themeColor="hyperlink"/>
      <w:u w:val="single"/>
    </w:rPr>
  </w:style>
  <w:style w:type="character" w:customStyle="1" w:styleId="UnresolvedMention">
    <w:name w:val="Unresolved Mention"/>
    <w:basedOn w:val="DefaultParagraphFont"/>
    <w:uiPriority w:val="99"/>
    <w:semiHidden/>
    <w:unhideWhenUsed/>
    <w:rsid w:val="00B315A5"/>
    <w:rPr>
      <w:color w:val="605E5C"/>
      <w:shd w:val="clear" w:color="auto" w:fill="E1DFDD"/>
    </w:rPr>
  </w:style>
  <w:style w:type="paragraph" w:styleId="ListParagraph">
    <w:name w:val="List Paragraph"/>
    <w:basedOn w:val="Normal"/>
    <w:uiPriority w:val="34"/>
    <w:qFormat/>
    <w:rsid w:val="00623560"/>
    <w:pPr>
      <w:ind w:left="720"/>
      <w:contextualSpacing/>
    </w:pPr>
  </w:style>
  <w:style w:type="character" w:styleId="CommentReference">
    <w:name w:val="annotation reference"/>
    <w:basedOn w:val="DefaultParagraphFont"/>
    <w:uiPriority w:val="99"/>
    <w:semiHidden/>
    <w:unhideWhenUsed/>
    <w:rsid w:val="00623560"/>
    <w:rPr>
      <w:sz w:val="16"/>
      <w:szCs w:val="16"/>
    </w:rPr>
  </w:style>
  <w:style w:type="paragraph" w:styleId="CommentText">
    <w:name w:val="annotation text"/>
    <w:basedOn w:val="Normal"/>
    <w:link w:val="CommentTextChar"/>
    <w:uiPriority w:val="99"/>
    <w:unhideWhenUsed/>
    <w:rsid w:val="00623560"/>
    <w:rPr>
      <w:sz w:val="20"/>
      <w:szCs w:val="20"/>
    </w:rPr>
  </w:style>
  <w:style w:type="character" w:customStyle="1" w:styleId="CommentTextChar">
    <w:name w:val="Comment Text Char"/>
    <w:basedOn w:val="DefaultParagraphFont"/>
    <w:link w:val="CommentText"/>
    <w:uiPriority w:val="99"/>
    <w:rsid w:val="00623560"/>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23560"/>
    <w:rPr>
      <w:b/>
      <w:bCs/>
    </w:rPr>
  </w:style>
  <w:style w:type="character" w:customStyle="1" w:styleId="CommentSubjectChar">
    <w:name w:val="Comment Subject Char"/>
    <w:basedOn w:val="CommentTextChar"/>
    <w:link w:val="CommentSubject"/>
    <w:uiPriority w:val="99"/>
    <w:semiHidden/>
    <w:rsid w:val="00623560"/>
    <w:rPr>
      <w:rFonts w:ascii="Times New Roman" w:hAnsi="Times New Roman" w:cs="Times New Roman"/>
      <w:b/>
      <w:bCs/>
      <w:sz w:val="20"/>
      <w:szCs w:val="20"/>
      <w:lang w:val="ro-RO"/>
    </w:rPr>
  </w:style>
  <w:style w:type="character" w:customStyle="1" w:styleId="normaltextrun">
    <w:name w:val="normaltextrun"/>
    <w:basedOn w:val="DefaultParagraphFont"/>
    <w:rsid w:val="00D826A2"/>
  </w:style>
  <w:style w:type="paragraph" w:styleId="ListBullet">
    <w:name w:val="List Bullet"/>
    <w:basedOn w:val="Normal"/>
    <w:uiPriority w:val="99"/>
    <w:semiHidden/>
    <w:unhideWhenUsed/>
    <w:rsid w:val="00FF4FE0"/>
    <w:pPr>
      <w:numPr>
        <w:numId w:val="1"/>
      </w:numPr>
      <w:contextualSpacing/>
    </w:pPr>
  </w:style>
  <w:style w:type="paragraph" w:styleId="ListBullet2">
    <w:name w:val="List Bullet 2"/>
    <w:basedOn w:val="Normal"/>
    <w:uiPriority w:val="99"/>
    <w:semiHidden/>
    <w:unhideWhenUsed/>
    <w:rsid w:val="00FF4FE0"/>
    <w:pPr>
      <w:numPr>
        <w:numId w:val="2"/>
      </w:numPr>
      <w:contextualSpacing/>
    </w:pPr>
  </w:style>
  <w:style w:type="paragraph" w:styleId="ListBullet3">
    <w:name w:val="List Bullet 3"/>
    <w:basedOn w:val="Normal"/>
    <w:uiPriority w:val="99"/>
    <w:semiHidden/>
    <w:unhideWhenUsed/>
    <w:rsid w:val="00FF4FE0"/>
    <w:pPr>
      <w:numPr>
        <w:numId w:val="3"/>
      </w:numPr>
      <w:contextualSpacing/>
    </w:pPr>
  </w:style>
  <w:style w:type="paragraph" w:styleId="ListBullet4">
    <w:name w:val="List Bullet 4"/>
    <w:basedOn w:val="Normal"/>
    <w:uiPriority w:val="99"/>
    <w:semiHidden/>
    <w:unhideWhenUsed/>
    <w:rsid w:val="00FF4FE0"/>
    <w:pPr>
      <w:numPr>
        <w:numId w:val="4"/>
      </w:numPr>
      <w:contextualSpacing/>
    </w:pPr>
  </w:style>
  <w:style w:type="character" w:styleId="FollowedHyperlink">
    <w:name w:val="FollowedHyperlink"/>
    <w:basedOn w:val="DefaultParagraphFont"/>
    <w:uiPriority w:val="99"/>
    <w:semiHidden/>
    <w:unhideWhenUsed/>
    <w:rsid w:val="00F67E4C"/>
    <w:rPr>
      <w:color w:val="800080" w:themeColor="followedHyperlink"/>
      <w:u w:val="single"/>
    </w:rPr>
  </w:style>
  <w:style w:type="character" w:customStyle="1" w:styleId="HeaderChar">
    <w:name w:val="Header Char"/>
    <w:basedOn w:val="DefaultParagraphFont"/>
    <w:link w:val="Header"/>
    <w:uiPriority w:val="99"/>
    <w:rsid w:val="006832C7"/>
    <w:rPr>
      <w:rFonts w:ascii="Times New Roman" w:hAnsi="Times New Roman" w:cs="Times New Roman"/>
      <w:sz w:val="24"/>
      <w:lang w:val="ro-RO"/>
    </w:rPr>
  </w:style>
  <w:style w:type="character" w:customStyle="1" w:styleId="FooterChar">
    <w:name w:val="Footer Char"/>
    <w:basedOn w:val="DefaultParagraphFont"/>
    <w:link w:val="Footer"/>
    <w:uiPriority w:val="99"/>
    <w:rsid w:val="006832C7"/>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832C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832C7"/>
    <w:pPr>
      <w:spacing w:before="0"/>
      <w:jc w:val="right"/>
    </w:pPr>
    <w:rPr>
      <w:sz w:val="28"/>
    </w:rPr>
  </w:style>
  <w:style w:type="paragraph" w:customStyle="1" w:styleId="FooterSensitivity">
    <w:name w:val="Footer Sensitivity"/>
    <w:basedOn w:val="Normal"/>
    <w:rsid w:val="006832C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832C7"/>
    <w:pPr>
      <w:tabs>
        <w:tab w:val="center" w:pos="4535"/>
        <w:tab w:val="right" w:pos="9071"/>
      </w:tabs>
      <w:spacing w:before="0"/>
    </w:pPr>
  </w:style>
  <w:style w:type="paragraph" w:customStyle="1" w:styleId="HeaderLandscape">
    <w:name w:val="HeaderLandscape"/>
    <w:basedOn w:val="Normal"/>
    <w:rsid w:val="006832C7"/>
    <w:pPr>
      <w:tabs>
        <w:tab w:val="center" w:pos="7285"/>
        <w:tab w:val="right" w:pos="14003"/>
      </w:tabs>
      <w:spacing w:before="0"/>
    </w:pPr>
  </w:style>
  <w:style w:type="paragraph" w:styleId="Footer">
    <w:name w:val="footer"/>
    <w:basedOn w:val="Normal"/>
    <w:link w:val="FooterChar"/>
    <w:uiPriority w:val="99"/>
    <w:unhideWhenUsed/>
    <w:rsid w:val="006832C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832C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03720">
      <w:bodyDiv w:val="1"/>
      <w:marLeft w:val="0"/>
      <w:marRight w:val="0"/>
      <w:marTop w:val="0"/>
      <w:marBottom w:val="0"/>
      <w:divBdr>
        <w:top w:val="none" w:sz="0" w:space="0" w:color="auto"/>
        <w:left w:val="none" w:sz="0" w:space="0" w:color="auto"/>
        <w:bottom w:val="none" w:sz="0" w:space="0" w:color="auto"/>
        <w:right w:val="none" w:sz="0" w:space="0" w:color="auto"/>
      </w:divBdr>
    </w:div>
    <w:div w:id="116485446">
      <w:bodyDiv w:val="1"/>
      <w:marLeft w:val="0"/>
      <w:marRight w:val="0"/>
      <w:marTop w:val="0"/>
      <w:marBottom w:val="0"/>
      <w:divBdr>
        <w:top w:val="none" w:sz="0" w:space="0" w:color="auto"/>
        <w:left w:val="none" w:sz="0" w:space="0" w:color="auto"/>
        <w:bottom w:val="none" w:sz="0" w:space="0" w:color="auto"/>
        <w:right w:val="none" w:sz="0" w:space="0" w:color="auto"/>
      </w:divBdr>
    </w:div>
    <w:div w:id="138305941">
      <w:bodyDiv w:val="1"/>
      <w:marLeft w:val="0"/>
      <w:marRight w:val="0"/>
      <w:marTop w:val="0"/>
      <w:marBottom w:val="0"/>
      <w:divBdr>
        <w:top w:val="none" w:sz="0" w:space="0" w:color="auto"/>
        <w:left w:val="none" w:sz="0" w:space="0" w:color="auto"/>
        <w:bottom w:val="none" w:sz="0" w:space="0" w:color="auto"/>
        <w:right w:val="none" w:sz="0" w:space="0" w:color="auto"/>
      </w:divBdr>
    </w:div>
    <w:div w:id="138497371">
      <w:bodyDiv w:val="1"/>
      <w:marLeft w:val="0"/>
      <w:marRight w:val="0"/>
      <w:marTop w:val="0"/>
      <w:marBottom w:val="0"/>
      <w:divBdr>
        <w:top w:val="none" w:sz="0" w:space="0" w:color="auto"/>
        <w:left w:val="none" w:sz="0" w:space="0" w:color="auto"/>
        <w:bottom w:val="none" w:sz="0" w:space="0" w:color="auto"/>
        <w:right w:val="none" w:sz="0" w:space="0" w:color="auto"/>
      </w:divBdr>
    </w:div>
    <w:div w:id="728726475">
      <w:bodyDiv w:val="1"/>
      <w:marLeft w:val="0"/>
      <w:marRight w:val="0"/>
      <w:marTop w:val="0"/>
      <w:marBottom w:val="0"/>
      <w:divBdr>
        <w:top w:val="none" w:sz="0" w:space="0" w:color="auto"/>
        <w:left w:val="none" w:sz="0" w:space="0" w:color="auto"/>
        <w:bottom w:val="none" w:sz="0" w:space="0" w:color="auto"/>
        <w:right w:val="none" w:sz="0" w:space="0" w:color="auto"/>
      </w:divBdr>
    </w:div>
    <w:div w:id="745148197">
      <w:bodyDiv w:val="1"/>
      <w:marLeft w:val="0"/>
      <w:marRight w:val="0"/>
      <w:marTop w:val="0"/>
      <w:marBottom w:val="0"/>
      <w:divBdr>
        <w:top w:val="none" w:sz="0" w:space="0" w:color="auto"/>
        <w:left w:val="none" w:sz="0" w:space="0" w:color="auto"/>
        <w:bottom w:val="none" w:sz="0" w:space="0" w:color="auto"/>
        <w:right w:val="none" w:sz="0" w:space="0" w:color="auto"/>
      </w:divBdr>
    </w:div>
    <w:div w:id="822741828">
      <w:bodyDiv w:val="1"/>
      <w:marLeft w:val="0"/>
      <w:marRight w:val="0"/>
      <w:marTop w:val="0"/>
      <w:marBottom w:val="0"/>
      <w:divBdr>
        <w:top w:val="none" w:sz="0" w:space="0" w:color="auto"/>
        <w:left w:val="none" w:sz="0" w:space="0" w:color="auto"/>
        <w:bottom w:val="none" w:sz="0" w:space="0" w:color="auto"/>
        <w:right w:val="none" w:sz="0" w:space="0" w:color="auto"/>
      </w:divBdr>
    </w:div>
    <w:div w:id="901527916">
      <w:bodyDiv w:val="1"/>
      <w:marLeft w:val="0"/>
      <w:marRight w:val="0"/>
      <w:marTop w:val="0"/>
      <w:marBottom w:val="0"/>
      <w:divBdr>
        <w:top w:val="none" w:sz="0" w:space="0" w:color="auto"/>
        <w:left w:val="none" w:sz="0" w:space="0" w:color="auto"/>
        <w:bottom w:val="none" w:sz="0" w:space="0" w:color="auto"/>
        <w:right w:val="none" w:sz="0" w:space="0" w:color="auto"/>
      </w:divBdr>
    </w:div>
    <w:div w:id="988438097">
      <w:bodyDiv w:val="1"/>
      <w:marLeft w:val="0"/>
      <w:marRight w:val="0"/>
      <w:marTop w:val="0"/>
      <w:marBottom w:val="0"/>
      <w:divBdr>
        <w:top w:val="none" w:sz="0" w:space="0" w:color="auto"/>
        <w:left w:val="none" w:sz="0" w:space="0" w:color="auto"/>
        <w:bottom w:val="none" w:sz="0" w:space="0" w:color="auto"/>
        <w:right w:val="none" w:sz="0" w:space="0" w:color="auto"/>
      </w:divBdr>
    </w:div>
    <w:div w:id="1010329281">
      <w:bodyDiv w:val="1"/>
      <w:marLeft w:val="0"/>
      <w:marRight w:val="0"/>
      <w:marTop w:val="0"/>
      <w:marBottom w:val="0"/>
      <w:divBdr>
        <w:top w:val="none" w:sz="0" w:space="0" w:color="auto"/>
        <w:left w:val="none" w:sz="0" w:space="0" w:color="auto"/>
        <w:bottom w:val="none" w:sz="0" w:space="0" w:color="auto"/>
        <w:right w:val="none" w:sz="0" w:space="0" w:color="auto"/>
      </w:divBdr>
    </w:div>
    <w:div w:id="1439373328">
      <w:bodyDiv w:val="1"/>
      <w:marLeft w:val="0"/>
      <w:marRight w:val="0"/>
      <w:marTop w:val="0"/>
      <w:marBottom w:val="0"/>
      <w:divBdr>
        <w:top w:val="none" w:sz="0" w:space="0" w:color="auto"/>
        <w:left w:val="none" w:sz="0" w:space="0" w:color="auto"/>
        <w:bottom w:val="none" w:sz="0" w:space="0" w:color="auto"/>
        <w:right w:val="none" w:sz="0" w:space="0" w:color="auto"/>
      </w:divBdr>
    </w:div>
    <w:div w:id="1580746092">
      <w:bodyDiv w:val="1"/>
      <w:marLeft w:val="0"/>
      <w:marRight w:val="0"/>
      <w:marTop w:val="0"/>
      <w:marBottom w:val="0"/>
      <w:divBdr>
        <w:top w:val="none" w:sz="0" w:space="0" w:color="auto"/>
        <w:left w:val="none" w:sz="0" w:space="0" w:color="auto"/>
        <w:bottom w:val="none" w:sz="0" w:space="0" w:color="auto"/>
        <w:right w:val="none" w:sz="0" w:space="0" w:color="auto"/>
      </w:divBdr>
    </w:div>
    <w:div w:id="191176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973/oj" TargetMode="External"/><Relationship Id="rId2" Type="http://schemas.openxmlformats.org/officeDocument/2006/relationships/hyperlink" Target="http://data.europa.eu/eli/agree_internation/2021/689(1)/oj" TargetMode="External"/><Relationship Id="rId1" Type="http://schemas.openxmlformats.org/officeDocument/2006/relationships/hyperlink" Target="http://data.europa.eu/eli/dec/2021/1765/oj" TargetMode="External"/><Relationship Id="rId5" Type="http://schemas.openxmlformats.org/officeDocument/2006/relationships/hyperlink" Target="http://data.europa.eu/eli/dec/2021/1765/oj" TargetMode="External"/><Relationship Id="rId4" Type="http://schemas.openxmlformats.org/officeDocument/2006/relationships/hyperlink" Target="http://data.europa.eu/eli/reg/2019/47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04C8A-3A1F-4E42-A159-F40A22C66EB5}">
  <ds:schemaRefs>
    <ds:schemaRef ds:uri="http://schemas.microsoft.com/sharepoint/v3/contenttype/forms"/>
  </ds:schemaRefs>
</ds:datastoreItem>
</file>

<file path=customXml/itemProps2.xml><?xml version="1.0" encoding="utf-8"?>
<ds:datastoreItem xmlns:ds="http://schemas.openxmlformats.org/officeDocument/2006/customXml" ds:itemID="{95637B0C-1366-470F-8AAD-1B649BC1F547}">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5B7CD9A8-B9CE-437A-BCB9-43611A81E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59FD07-4356-4DFE-84D9-FBE2F595F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7</Pages>
  <Words>2321</Words>
  <Characters>13235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2026-05-27T11:00:00Z</dcterms:created>
  <dcterms:modified xsi:type="dcterms:W3CDTF">2026-06-15T09:39:00Z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2026-03-02T15:52:44Z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9d8edcf1-1347-440e-9d11-95f8be3767f6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