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BC8" w:rsidRDefault="00FE21F5" w:rsidP="00FE21F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8EE0D0-162A-42BB-9473-A9FEB633DB07" style="width:455.25pt;height:357.75pt">
            <v:imagedata r:id="rId11" o:title=""/>
          </v:shape>
        </w:pict>
      </w:r>
    </w:p>
    <w:p w:rsidR="00AB6BC8" w:rsidRDefault="00AB6BC8" w:rsidP="00AB6BC8">
      <w:pPr>
        <w:rPr>
          <w:noProof/>
        </w:rPr>
        <w:sectPr w:rsidR="00AB6BC8" w:rsidSect="00FE21F5">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rsidR="00AB6BC8" w:rsidRDefault="00AB6BC8" w:rsidP="00BB6B30">
      <w:pPr>
        <w:pStyle w:val="Exposdesmotifstitre"/>
        <w:rPr>
          <w:noProof/>
        </w:rPr>
      </w:pPr>
      <w:bookmarkStart w:id="0" w:name="_GoBack"/>
      <w:bookmarkEnd w:id="0"/>
      <w:r w:rsidRPr="006F770D">
        <w:rPr>
          <w:noProof/>
        </w:rPr>
        <w:lastRenderedPageBreak/>
        <w:t>EXPLANATORY MEMORANDUM</w:t>
      </w:r>
    </w:p>
    <w:p w:rsidR="00AB6BC8" w:rsidRPr="00E34F04" w:rsidRDefault="00AB6BC8" w:rsidP="00B5344A">
      <w:pPr>
        <w:pStyle w:val="ManualHeading1"/>
        <w:rPr>
          <w:rFonts w:eastAsia="Arial Unicode MS"/>
          <w:noProof/>
        </w:rPr>
      </w:pPr>
      <w:r>
        <w:rPr>
          <w:noProof/>
        </w:rPr>
        <w:t>1.</w:t>
      </w:r>
      <w:r>
        <w:rPr>
          <w:noProof/>
        </w:rPr>
        <w:tab/>
      </w:r>
      <w:r w:rsidRPr="00E34F04">
        <w:rPr>
          <w:rFonts w:eastAsia="Arial Unicode MS"/>
          <w:noProof/>
        </w:rPr>
        <w:t>Subject matter of the proposal</w:t>
      </w:r>
    </w:p>
    <w:p w:rsidR="00623396" w:rsidRDefault="00AB6BC8" w:rsidP="00736AA9">
      <w:pPr>
        <w:rPr>
          <w:rFonts w:eastAsia="Arial Unicode MS"/>
          <w:noProof/>
        </w:rPr>
      </w:pPr>
      <w:r w:rsidRPr="00E34F04">
        <w:rPr>
          <w:rFonts w:eastAsia="Arial Unicode MS"/>
          <w:noProof/>
        </w:rPr>
        <w:t xml:space="preserve">This proposal concerns </w:t>
      </w:r>
      <w:r w:rsidR="00623396">
        <w:rPr>
          <w:rFonts w:eastAsia="Arial Unicode MS"/>
          <w:noProof/>
        </w:rPr>
        <w:t>an amendment to Council Decision 2021/1875</w:t>
      </w:r>
      <w:r w:rsidR="00623396">
        <w:rPr>
          <w:rStyle w:val="FootnoteReference"/>
          <w:rFonts w:eastAsia="Arial Unicode MS"/>
          <w:noProof/>
        </w:rPr>
        <w:footnoteReference w:id="1"/>
      </w:r>
      <w:r w:rsidR="00623396">
        <w:rPr>
          <w:rFonts w:eastAsia="Arial Unicode MS"/>
          <w:noProof/>
        </w:rPr>
        <w:t xml:space="preserve"> concerning </w:t>
      </w:r>
      <w:r w:rsidR="00623396" w:rsidRPr="00623396">
        <w:rPr>
          <w:rFonts w:eastAsia="Arial Unicode MS"/>
          <w:noProof/>
        </w:rPr>
        <w:t>the position to be adopted on behalf of the Union in the annual consultations with the United Kingdom to agree on total allowable catches</w:t>
      </w:r>
      <w:r w:rsidR="00623396">
        <w:rPr>
          <w:rFonts w:eastAsia="Arial Unicode MS"/>
          <w:noProof/>
        </w:rPr>
        <w:t xml:space="preserve">. </w:t>
      </w:r>
    </w:p>
    <w:p w:rsidR="00623396" w:rsidRDefault="00623396" w:rsidP="00736AA9">
      <w:pPr>
        <w:rPr>
          <w:rFonts w:eastAsia="Arial Unicode MS"/>
          <w:noProof/>
        </w:rPr>
      </w:pPr>
      <w:r>
        <w:rPr>
          <w:noProof/>
          <w:szCs w:val="24"/>
        </w:rPr>
        <w:t xml:space="preserve">This proposal seeks to amend </w:t>
      </w:r>
      <w:r>
        <w:rPr>
          <w:rFonts w:eastAsia="Arial Unicode MS"/>
          <w:noProof/>
        </w:rPr>
        <w:t xml:space="preserve">Decision </w:t>
      </w:r>
      <w:r>
        <w:rPr>
          <w:noProof/>
        </w:rPr>
        <w:t xml:space="preserve">(EU) </w:t>
      </w:r>
      <w:r>
        <w:rPr>
          <w:rFonts w:eastAsia="Arial Unicode MS"/>
          <w:noProof/>
        </w:rPr>
        <w:t xml:space="preserve">2021/1875 by extending its application </w:t>
      </w:r>
      <w:r>
        <w:rPr>
          <w:noProof/>
          <w:szCs w:val="24"/>
        </w:rPr>
        <w:t>until 30 June 2038</w:t>
      </w:r>
      <w:r w:rsidR="00FD2A00">
        <w:rPr>
          <w:noProof/>
          <w:szCs w:val="24"/>
        </w:rPr>
        <w:t>.</w:t>
      </w:r>
    </w:p>
    <w:p w:rsidR="00AB6BC8" w:rsidRPr="00E34F04" w:rsidRDefault="00AB6BC8" w:rsidP="00736AA9">
      <w:pPr>
        <w:pStyle w:val="ManualHeading1"/>
        <w:rPr>
          <w:noProof/>
        </w:rPr>
      </w:pPr>
      <w:r>
        <w:rPr>
          <w:noProof/>
        </w:rPr>
        <w:t>2.</w:t>
      </w:r>
      <w:r>
        <w:rPr>
          <w:noProof/>
        </w:rPr>
        <w:tab/>
      </w:r>
      <w:r w:rsidRPr="00E34F04">
        <w:rPr>
          <w:noProof/>
        </w:rPr>
        <w:t>Context of the proposal</w:t>
      </w:r>
    </w:p>
    <w:p w:rsidR="008D5664" w:rsidRDefault="00AB6BC8" w:rsidP="008D5664">
      <w:pPr>
        <w:rPr>
          <w:rFonts w:eastAsia="Arial Unicode MS"/>
          <w:noProof/>
        </w:rPr>
      </w:pPr>
      <w:bookmarkStart w:id="1" w:name="_Hlk228801237"/>
      <w:bookmarkStart w:id="2" w:name="_Hlk228801311"/>
      <w:r w:rsidRPr="00E34F04">
        <w:rPr>
          <w:rFonts w:eastAsia="Arial Unicode MS"/>
          <w:noProof/>
        </w:rPr>
        <w:t xml:space="preserve">The </w:t>
      </w:r>
      <w:r w:rsidR="008D5664">
        <w:rPr>
          <w:rFonts w:eastAsia="Arial Unicode MS"/>
          <w:noProof/>
        </w:rPr>
        <w:t xml:space="preserve">Trade and Cooperation Agreement </w:t>
      </w:r>
      <w:r w:rsidR="008D5664" w:rsidRPr="008D5664">
        <w:rPr>
          <w:rFonts w:eastAsia="Arial Unicode MS"/>
          <w:noProof/>
        </w:rPr>
        <w:t>between the European Union and the European Atomic Energy Community, of the one part, and the United Kingdom of Great Britain and Northern Ireland, of the other part</w:t>
      </w:r>
      <w:r w:rsidR="008D5664">
        <w:rPr>
          <w:rFonts w:eastAsia="Arial Unicode MS"/>
          <w:noProof/>
        </w:rPr>
        <w:t xml:space="preserve"> </w:t>
      </w:r>
      <w:r w:rsidR="008D5664" w:rsidRPr="008D5664">
        <w:rPr>
          <w:rFonts w:eastAsia="Arial Unicode MS"/>
          <w:noProof/>
        </w:rPr>
        <w:t>(‘</w:t>
      </w:r>
      <w:r w:rsidR="004A2A64">
        <w:rPr>
          <w:rFonts w:eastAsia="Arial Unicode MS"/>
          <w:noProof/>
        </w:rPr>
        <w:t xml:space="preserve">the </w:t>
      </w:r>
      <w:r w:rsidR="008D5664" w:rsidRPr="008D5664">
        <w:rPr>
          <w:rFonts w:eastAsia="Arial Unicode MS"/>
          <w:noProof/>
        </w:rPr>
        <w:t>Trade and Cooperation Agreement’)</w:t>
      </w:r>
      <w:r w:rsidR="008D5664">
        <w:rPr>
          <w:rStyle w:val="FootnoteReference"/>
          <w:rFonts w:eastAsia="Arial Unicode MS"/>
          <w:noProof/>
        </w:rPr>
        <w:footnoteReference w:id="2"/>
      </w:r>
      <w:bookmarkEnd w:id="1"/>
      <w:r w:rsidR="008D5664" w:rsidRPr="008D5664">
        <w:rPr>
          <w:rFonts w:eastAsia="Arial Unicode MS"/>
          <w:noProof/>
        </w:rPr>
        <w:t xml:space="preserve"> </w:t>
      </w:r>
      <w:bookmarkEnd w:id="2"/>
      <w:r w:rsidR="008D5664">
        <w:rPr>
          <w:rFonts w:eastAsia="Arial Unicode MS"/>
          <w:noProof/>
        </w:rPr>
        <w:t xml:space="preserve">entered into force on 1 May 2021, and establishes that the </w:t>
      </w:r>
      <w:r w:rsidR="004A2A64">
        <w:rPr>
          <w:rFonts w:eastAsia="Arial Unicode MS"/>
          <w:noProof/>
        </w:rPr>
        <w:t xml:space="preserve">Union and the United Kingdom </w:t>
      </w:r>
      <w:r w:rsidR="008D5664" w:rsidRPr="008D5664">
        <w:rPr>
          <w:rFonts w:eastAsia="Arial Unicode MS"/>
          <w:noProof/>
        </w:rPr>
        <w:t>are to hold annual consultations to agree on TACs applicable to shared stocks for the following year or years</w:t>
      </w:r>
      <w:r w:rsidR="008D5664">
        <w:rPr>
          <w:rFonts w:eastAsia="Arial Unicode MS"/>
          <w:noProof/>
        </w:rPr>
        <w:t xml:space="preserve"> </w:t>
      </w:r>
      <w:r w:rsidR="00566631">
        <w:rPr>
          <w:rFonts w:eastAsia="Arial Unicode MS"/>
          <w:noProof/>
        </w:rPr>
        <w:t>pursuant to</w:t>
      </w:r>
      <w:r w:rsidR="008D5664">
        <w:rPr>
          <w:rFonts w:eastAsia="Arial Unicode MS"/>
          <w:noProof/>
        </w:rPr>
        <w:t xml:space="preserve"> Article 498.</w:t>
      </w:r>
      <w:r w:rsidR="008D5664" w:rsidRPr="008D5664">
        <w:rPr>
          <w:rFonts w:eastAsia="Arial Unicode MS"/>
          <w:noProof/>
        </w:rPr>
        <w:t xml:space="preserve"> The Commission</w:t>
      </w:r>
      <w:r w:rsidR="008D5664">
        <w:rPr>
          <w:rFonts w:eastAsia="Arial Unicode MS"/>
          <w:noProof/>
        </w:rPr>
        <w:t>, on behalf of the Union, engages</w:t>
      </w:r>
      <w:r w:rsidR="008D5664" w:rsidRPr="008D5664">
        <w:rPr>
          <w:rFonts w:eastAsia="Arial Unicode MS"/>
          <w:noProof/>
        </w:rPr>
        <w:t xml:space="preserve"> in these annual consultations with the United Kingdom.</w:t>
      </w:r>
    </w:p>
    <w:p w:rsidR="004A2A64" w:rsidRPr="00E34F04" w:rsidRDefault="008D5664" w:rsidP="004A2A64">
      <w:pPr>
        <w:rPr>
          <w:noProof/>
        </w:rPr>
      </w:pPr>
      <w:r>
        <w:rPr>
          <w:rFonts w:eastAsia="Arial Unicode MS"/>
          <w:noProof/>
        </w:rPr>
        <w:t xml:space="preserve">On 22 October 2021, the Council adopted Decision (EU) 2021/1875, which sets out the </w:t>
      </w:r>
      <w:r w:rsidR="00FD2A00">
        <w:rPr>
          <w:rFonts w:eastAsia="Arial Unicode MS"/>
          <w:noProof/>
        </w:rPr>
        <w:t>procedure, as well as</w:t>
      </w:r>
      <w:r>
        <w:rPr>
          <w:rFonts w:eastAsia="Arial Unicode MS"/>
          <w:noProof/>
        </w:rPr>
        <w:t xml:space="preserve"> the </w:t>
      </w:r>
      <w:r w:rsidR="00AD10FF">
        <w:rPr>
          <w:rFonts w:eastAsia="Arial Unicode MS"/>
          <w:noProof/>
        </w:rPr>
        <w:t xml:space="preserve">principles and orientations of the </w:t>
      </w:r>
      <w:r>
        <w:rPr>
          <w:rFonts w:eastAsia="Arial Unicode MS"/>
          <w:noProof/>
        </w:rPr>
        <w:t xml:space="preserve">position to be adopted on behalf of the Union in the annual consultations with the United Kingdom </w:t>
      </w:r>
      <w:r w:rsidRPr="008D5664">
        <w:rPr>
          <w:rFonts w:eastAsia="Arial Unicode MS"/>
          <w:noProof/>
        </w:rPr>
        <w:t>on fishing opportunities for shared stocks, including deep-sea stocks, under Article 498 of the Trade and Cooperation Agreement</w:t>
      </w:r>
      <w:r>
        <w:rPr>
          <w:rFonts w:eastAsia="Arial Unicode MS"/>
          <w:noProof/>
        </w:rPr>
        <w:t>.</w:t>
      </w:r>
      <w:r w:rsidR="00955FFA">
        <w:rPr>
          <w:rFonts w:eastAsia="Arial Unicode MS"/>
          <w:noProof/>
        </w:rPr>
        <w:t xml:space="preserve"> In particular, Decision (EU) 2021/1875 </w:t>
      </w:r>
      <w:r w:rsidR="00955FFA" w:rsidRPr="00955FFA">
        <w:rPr>
          <w:rFonts w:eastAsia="Arial Unicode MS"/>
          <w:noProof/>
        </w:rPr>
        <w:t xml:space="preserve">authorises the Commission to conduct those consultations and provides that the Union position shall be based on the best available scientific advice, the precautionary approach, and the objective of restoring and maintaining populations above levels capable of producing maximum sustainable yield. </w:t>
      </w:r>
      <w:r w:rsidR="004A2A64">
        <w:rPr>
          <w:rFonts w:eastAsia="Arial Unicode MS"/>
          <w:noProof/>
        </w:rPr>
        <w:t xml:space="preserve">Thus, Decision (EU) 2021/1875 </w:t>
      </w:r>
      <w:r w:rsidR="004A2A64" w:rsidRPr="00894CEF">
        <w:rPr>
          <w:noProof/>
        </w:rPr>
        <w:t xml:space="preserve">implements the principles and orientations of the </w:t>
      </w:r>
      <w:r w:rsidR="00566631">
        <w:rPr>
          <w:noProof/>
        </w:rPr>
        <w:t>C</w:t>
      </w:r>
      <w:r w:rsidR="004A2A64" w:rsidRPr="00894CEF">
        <w:rPr>
          <w:noProof/>
        </w:rPr>
        <w:t xml:space="preserve">ommon </w:t>
      </w:r>
      <w:r w:rsidR="00566631">
        <w:rPr>
          <w:noProof/>
        </w:rPr>
        <w:t>F</w:t>
      </w:r>
      <w:r w:rsidR="004A2A64" w:rsidRPr="00894CEF">
        <w:rPr>
          <w:noProof/>
        </w:rPr>
        <w:t xml:space="preserve">isheries </w:t>
      </w:r>
      <w:r w:rsidR="00566631">
        <w:rPr>
          <w:noProof/>
        </w:rPr>
        <w:t>P</w:t>
      </w:r>
      <w:r w:rsidR="004A2A64" w:rsidRPr="00894CEF">
        <w:rPr>
          <w:noProof/>
        </w:rPr>
        <w:t>olicy (CFP) as laid down in Regulation (EU) No 1380/2013, in particular its Articles 2, 28 and 33. It also implements the provisions of multi-annual plans as laid down in Regulation (EU) 2018/973 establishing a multiannual plan for demersal stocks in the North Sea</w:t>
      </w:r>
      <w:r w:rsidR="004A2A64" w:rsidRPr="00894CEF">
        <w:rPr>
          <w:rStyle w:val="FootnoteReference"/>
          <w:noProof/>
        </w:rPr>
        <w:footnoteReference w:id="3"/>
      </w:r>
      <w:r w:rsidR="004A2A64" w:rsidRPr="00894CEF">
        <w:rPr>
          <w:noProof/>
        </w:rPr>
        <w:t xml:space="preserve"> and Regulation (EU) 2019/472 establishing a multiannual plan for stocks fished in the Western Waters</w:t>
      </w:r>
      <w:r w:rsidR="004A2A64" w:rsidRPr="00894CEF">
        <w:rPr>
          <w:rStyle w:val="FootnoteReference"/>
          <w:noProof/>
        </w:rPr>
        <w:footnoteReference w:id="4"/>
      </w:r>
      <w:r w:rsidR="004A2A64" w:rsidRPr="00894CEF">
        <w:rPr>
          <w:noProof/>
        </w:rPr>
        <w:t>.</w:t>
      </w:r>
    </w:p>
    <w:p w:rsidR="008D5664" w:rsidRDefault="00955FFA" w:rsidP="008D5664">
      <w:pPr>
        <w:rPr>
          <w:rFonts w:eastAsia="Arial Unicode MS"/>
          <w:noProof/>
        </w:rPr>
      </w:pPr>
      <w:r>
        <w:rPr>
          <w:rFonts w:eastAsia="Arial Unicode MS"/>
          <w:noProof/>
        </w:rPr>
        <w:lastRenderedPageBreak/>
        <w:t>Furthermore, it</w:t>
      </w:r>
      <w:r w:rsidRPr="00955FFA">
        <w:rPr>
          <w:rFonts w:eastAsia="Arial Unicode MS"/>
          <w:noProof/>
        </w:rPr>
        <w:t xml:space="preserve"> sets out </w:t>
      </w:r>
      <w:r w:rsidR="00566631">
        <w:rPr>
          <w:rFonts w:eastAsia="Arial Unicode MS"/>
          <w:noProof/>
        </w:rPr>
        <w:t xml:space="preserve">the </w:t>
      </w:r>
      <w:r w:rsidRPr="00955FFA">
        <w:rPr>
          <w:rFonts w:eastAsia="Arial Unicode MS"/>
          <w:noProof/>
        </w:rPr>
        <w:t>principles and arrangements for the preparation and conduct of the consultations, including coordination with the Council and information to the European Parliament, and allows for the Union position to be updated in light of new scientific advice or developments during the consultations.</w:t>
      </w:r>
      <w:r w:rsidR="004A2A64">
        <w:rPr>
          <w:rFonts w:eastAsia="Arial Unicode MS"/>
          <w:noProof/>
        </w:rPr>
        <w:t xml:space="preserve"> </w:t>
      </w:r>
    </w:p>
    <w:p w:rsidR="008D5664" w:rsidRDefault="008D5664" w:rsidP="008D5664">
      <w:pPr>
        <w:rPr>
          <w:rFonts w:eastAsia="Arial Unicode MS"/>
          <w:noProof/>
        </w:rPr>
      </w:pPr>
      <w:r>
        <w:rPr>
          <w:rFonts w:eastAsia="Arial Unicode MS"/>
          <w:noProof/>
        </w:rPr>
        <w:t xml:space="preserve">Decision (EU) 2021/1875 </w:t>
      </w:r>
      <w:r>
        <w:rPr>
          <w:noProof/>
        </w:rPr>
        <w:t xml:space="preserve">was reviewed in July 2023, with the aim of </w:t>
      </w:r>
      <w:r w:rsidR="00602C5E">
        <w:rPr>
          <w:noProof/>
        </w:rPr>
        <w:t>assessing whether</w:t>
      </w:r>
      <w:r>
        <w:rPr>
          <w:noProof/>
        </w:rPr>
        <w:t xml:space="preserve"> the Council Decision had </w:t>
      </w:r>
      <w:r>
        <w:rPr>
          <w:rStyle w:val="normaltextrun"/>
          <w:noProof/>
        </w:rPr>
        <w:t xml:space="preserve">been made operational until that point and </w:t>
      </w:r>
      <w:r w:rsidR="00602C5E">
        <w:rPr>
          <w:rStyle w:val="normaltextrun"/>
          <w:noProof/>
        </w:rPr>
        <w:t>whether</w:t>
      </w:r>
      <w:r w:rsidRPr="006C5EAA">
        <w:rPr>
          <w:noProof/>
        </w:rPr>
        <w:t xml:space="preserve"> </w:t>
      </w:r>
      <w:r w:rsidRPr="006C5EAA">
        <w:rPr>
          <w:rStyle w:val="normaltextrun"/>
          <w:noProof/>
        </w:rPr>
        <w:t>the</w:t>
      </w:r>
      <w:r>
        <w:rPr>
          <w:rStyle w:val="normaltextrun"/>
          <w:noProof/>
        </w:rPr>
        <w:t xml:space="preserve"> </w:t>
      </w:r>
      <w:r w:rsidR="006A6C64">
        <w:rPr>
          <w:rStyle w:val="normaltextrun"/>
          <w:noProof/>
        </w:rPr>
        <w:t xml:space="preserve">consultations </w:t>
      </w:r>
      <w:r w:rsidR="00F257FC">
        <w:rPr>
          <w:rStyle w:val="normaltextrun"/>
          <w:noProof/>
        </w:rPr>
        <w:t xml:space="preserve">with the United Kingdom </w:t>
      </w:r>
      <w:r w:rsidR="006A6C64">
        <w:rPr>
          <w:rStyle w:val="normaltextrun"/>
          <w:noProof/>
        </w:rPr>
        <w:t>carried out were conducted</w:t>
      </w:r>
      <w:r w:rsidR="006A6C64" w:rsidRPr="006A6C64">
        <w:rPr>
          <w:noProof/>
        </w:rPr>
        <w:t xml:space="preserve"> </w:t>
      </w:r>
      <w:r w:rsidR="006A6C64" w:rsidRPr="006C5EAA">
        <w:rPr>
          <w:rStyle w:val="normaltextrun"/>
          <w:noProof/>
        </w:rPr>
        <w:t xml:space="preserve">in line with the principles and orientations established </w:t>
      </w:r>
      <w:r w:rsidR="00566631">
        <w:rPr>
          <w:rFonts w:eastAsia="Arial Unicode MS"/>
          <w:noProof/>
        </w:rPr>
        <w:t>therein</w:t>
      </w:r>
      <w:r>
        <w:rPr>
          <w:rStyle w:val="normaltextrun"/>
          <w:noProof/>
        </w:rPr>
        <w:t xml:space="preserve">. </w:t>
      </w:r>
      <w:r w:rsidR="00BD16EE">
        <w:rPr>
          <w:rStyle w:val="normaltextrun"/>
          <w:noProof/>
        </w:rPr>
        <w:t xml:space="preserve">The review </w:t>
      </w:r>
      <w:r w:rsidR="00A26FFA">
        <w:rPr>
          <w:rStyle w:val="normaltextrun"/>
          <w:noProof/>
        </w:rPr>
        <w:t>determined that n</w:t>
      </w:r>
      <w:r>
        <w:rPr>
          <w:rStyle w:val="normaltextrun"/>
          <w:noProof/>
        </w:rPr>
        <w:t>o revision was</w:t>
      </w:r>
      <w:r w:rsidR="00EA19FB">
        <w:rPr>
          <w:rStyle w:val="normaltextrun"/>
          <w:noProof/>
        </w:rPr>
        <w:t xml:space="preserve"> necessary</w:t>
      </w:r>
      <w:r>
        <w:rPr>
          <w:rStyle w:val="normaltextrun"/>
          <w:noProof/>
        </w:rPr>
        <w:t xml:space="preserve"> </w:t>
      </w:r>
      <w:r w:rsidR="001E5407">
        <w:rPr>
          <w:noProof/>
        </w:rPr>
        <w:t>and</w:t>
      </w:r>
      <w:r w:rsidR="00E90D35">
        <w:rPr>
          <w:noProof/>
        </w:rPr>
        <w:t xml:space="preserve"> no</w:t>
      </w:r>
      <w:r w:rsidR="00C76531">
        <w:rPr>
          <w:noProof/>
        </w:rPr>
        <w:t xml:space="preserve"> </w:t>
      </w:r>
      <w:r>
        <w:rPr>
          <w:noProof/>
        </w:rPr>
        <w:t>implementation issues hav</w:t>
      </w:r>
      <w:r w:rsidR="00EA19FB">
        <w:rPr>
          <w:noProof/>
        </w:rPr>
        <w:t>e</w:t>
      </w:r>
      <w:r>
        <w:rPr>
          <w:noProof/>
        </w:rPr>
        <w:t xml:space="preserve"> been identified.</w:t>
      </w:r>
      <w:r w:rsidR="00E90D35">
        <w:rPr>
          <w:noProof/>
        </w:rPr>
        <w:t xml:space="preserve"> The</w:t>
      </w:r>
      <w:r w:rsidR="001E5407">
        <w:rPr>
          <w:noProof/>
        </w:rPr>
        <w:t xml:space="preserve"> annual consultation discussions are conducted in line with the positions established by the Council and in compliance with </w:t>
      </w:r>
      <w:r w:rsidR="008D16B5" w:rsidRPr="00D86C08">
        <w:rPr>
          <w:noProof/>
        </w:rPr>
        <w:t xml:space="preserve">the </w:t>
      </w:r>
      <w:r w:rsidR="001E5407" w:rsidRPr="00D86C08">
        <w:rPr>
          <w:rStyle w:val="normaltextrun"/>
          <w:noProof/>
        </w:rPr>
        <w:t xml:space="preserve">principles and orientations established in </w:t>
      </w:r>
      <w:r w:rsidR="001E5407" w:rsidRPr="00D86C08">
        <w:rPr>
          <w:rFonts w:eastAsia="Arial Unicode MS"/>
          <w:noProof/>
        </w:rPr>
        <w:t>Decision (EU) 2021/1875.</w:t>
      </w:r>
      <w:r w:rsidR="00FB46F8" w:rsidRPr="00D86C08">
        <w:rPr>
          <w:rFonts w:eastAsia="Arial Unicode MS"/>
          <w:noProof/>
        </w:rPr>
        <w:t xml:space="preserve"> T</w:t>
      </w:r>
      <w:r w:rsidR="001E5407" w:rsidRPr="00D86C08">
        <w:rPr>
          <w:rFonts w:eastAsia="Arial Unicode MS"/>
          <w:noProof/>
        </w:rPr>
        <w:t xml:space="preserve">he </w:t>
      </w:r>
      <w:r w:rsidR="00E90D35" w:rsidRPr="00D86C08">
        <w:rPr>
          <w:rStyle w:val="normaltextrun"/>
          <w:noProof/>
        </w:rPr>
        <w:t>preparation of annual consultation on fishing opportunities take</w:t>
      </w:r>
      <w:r w:rsidR="008D16B5" w:rsidRPr="00D86C08">
        <w:rPr>
          <w:rStyle w:val="normaltextrun"/>
          <w:noProof/>
        </w:rPr>
        <w:t>s</w:t>
      </w:r>
      <w:r w:rsidR="00E90D35" w:rsidRPr="00D86C08">
        <w:rPr>
          <w:rStyle w:val="normaltextrun"/>
          <w:noProof/>
        </w:rPr>
        <w:t xml:space="preserve"> place in the Council Working Party on Fisheries Policy and follow</w:t>
      </w:r>
      <w:r w:rsidR="008D16B5" w:rsidRPr="00D86C08">
        <w:rPr>
          <w:rStyle w:val="normaltextrun"/>
          <w:noProof/>
        </w:rPr>
        <w:t>s</w:t>
      </w:r>
      <w:r w:rsidR="00E90D35" w:rsidRPr="00D86C08">
        <w:rPr>
          <w:rStyle w:val="normaltextrun"/>
          <w:noProof/>
        </w:rPr>
        <w:t xml:space="preserve"> th</w:t>
      </w:r>
      <w:r w:rsidR="00E90D35" w:rsidRPr="006C5EAA">
        <w:rPr>
          <w:rStyle w:val="normaltextrun"/>
          <w:noProof/>
        </w:rPr>
        <w:t>e process</w:t>
      </w:r>
      <w:r w:rsidR="00E90D35">
        <w:rPr>
          <w:rStyle w:val="normaltextrun"/>
          <w:noProof/>
        </w:rPr>
        <w:t xml:space="preserve"> established under </w:t>
      </w:r>
      <w:r w:rsidR="00BD16EE">
        <w:rPr>
          <w:rStyle w:val="normaltextrun"/>
          <w:noProof/>
        </w:rPr>
        <w:t>Article 2</w:t>
      </w:r>
      <w:r w:rsidR="00E90D35">
        <w:rPr>
          <w:rStyle w:val="normaltextrun"/>
          <w:noProof/>
        </w:rPr>
        <w:t xml:space="preserve"> of </w:t>
      </w:r>
      <w:r w:rsidR="00E90D35">
        <w:rPr>
          <w:rFonts w:eastAsia="Arial Unicode MS"/>
          <w:noProof/>
        </w:rPr>
        <w:t>Decision (EU) 2021/1875</w:t>
      </w:r>
      <w:r w:rsidR="00BD16EE" w:rsidRPr="006C5EAA">
        <w:rPr>
          <w:rStyle w:val="normaltextrun"/>
          <w:noProof/>
        </w:rPr>
        <w:t>.</w:t>
      </w:r>
      <w:r w:rsidR="00E90D35">
        <w:rPr>
          <w:noProof/>
        </w:rPr>
        <w:t xml:space="preserve"> </w:t>
      </w:r>
      <w:bookmarkStart w:id="3" w:name="_Hlk230005028"/>
      <w:r w:rsidR="008D16B5" w:rsidRPr="00D86C08">
        <w:rPr>
          <w:rStyle w:val="normaltextrun"/>
          <w:noProof/>
        </w:rPr>
        <w:t>I</w:t>
      </w:r>
      <w:r w:rsidR="00E90D35">
        <w:rPr>
          <w:noProof/>
        </w:rPr>
        <w:t>t is considered that Decisio</w:t>
      </w:r>
      <w:r w:rsidR="00B657EE">
        <w:rPr>
          <w:noProof/>
        </w:rPr>
        <w:t>n (</w:t>
      </w:r>
      <w:r w:rsidR="00B657EE">
        <w:rPr>
          <w:rFonts w:eastAsia="Arial Unicode MS"/>
          <w:noProof/>
        </w:rPr>
        <w:t>EU) 2021/1875</w:t>
      </w:r>
      <w:r w:rsidR="00E90D35">
        <w:rPr>
          <w:noProof/>
        </w:rPr>
        <w:t xml:space="preserve"> is still fit for purpose and would not require any revision at this stage.</w:t>
      </w:r>
    </w:p>
    <w:bookmarkEnd w:id="3"/>
    <w:p w:rsidR="00AB6BC8" w:rsidRPr="00E34F04" w:rsidRDefault="00AB6BC8" w:rsidP="00AB6BC8">
      <w:pPr>
        <w:pStyle w:val="ManualHeading1"/>
        <w:rPr>
          <w:rFonts w:eastAsia="Arial Unicode MS"/>
          <w:noProof/>
        </w:rPr>
      </w:pPr>
      <w:r>
        <w:rPr>
          <w:noProof/>
        </w:rPr>
        <w:t>3.</w:t>
      </w:r>
      <w:r>
        <w:rPr>
          <w:noProof/>
        </w:rPr>
        <w:tab/>
      </w:r>
      <w:r w:rsidRPr="00E34F04">
        <w:rPr>
          <w:rFonts w:eastAsia="Arial Unicode MS"/>
          <w:noProof/>
        </w:rPr>
        <w:t>Position to be taken on the Union's behalf</w:t>
      </w:r>
    </w:p>
    <w:p w:rsidR="00AB6BC8" w:rsidRDefault="00E13E7A" w:rsidP="00E13E7A">
      <w:pPr>
        <w:rPr>
          <w:noProof/>
        </w:rPr>
      </w:pPr>
      <w:r w:rsidRPr="00894CEF">
        <w:rPr>
          <w:noProof/>
        </w:rPr>
        <w:t xml:space="preserve">Pursuant to Article 218(9) of the Treaty on the Functioning of the European Union (TFEU), the Council shall adopt, on a proposal from the Commission, </w:t>
      </w:r>
      <w:r w:rsidR="002D6B6E" w:rsidRPr="002D6B6E">
        <w:rPr>
          <w:noProof/>
        </w:rPr>
        <w:t>positions to be adopted on the Union's behalf in a body set up by an agreement, when that body is called upon to adopt acts having legal effects, with the exception of acts supplementing or amending the institutional framework of the agreement</w:t>
      </w:r>
      <w:r w:rsidR="002D6B6E">
        <w:rPr>
          <w:noProof/>
        </w:rPr>
        <w:t>. Th</w:t>
      </w:r>
      <w:r w:rsidR="00F82220">
        <w:rPr>
          <w:noProof/>
        </w:rPr>
        <w:t>erefore,</w:t>
      </w:r>
      <w:r w:rsidR="002D6B6E">
        <w:rPr>
          <w:noProof/>
        </w:rPr>
        <w:t xml:space="preserve"> the</w:t>
      </w:r>
      <w:r w:rsidR="00F82220">
        <w:rPr>
          <w:noProof/>
        </w:rPr>
        <w:t xml:space="preserve"> positions to be adopted on the Union’s behalf in </w:t>
      </w:r>
      <w:r>
        <w:rPr>
          <w:noProof/>
        </w:rPr>
        <w:t>the annual consultations on fishing opportunities with the United Kingdom pursuant to the Trade and Cooperation Agreement</w:t>
      </w:r>
      <w:r w:rsidR="00F82220">
        <w:rPr>
          <w:noProof/>
        </w:rPr>
        <w:t>, are adopted pursuant to Article 218(9) TFEU</w:t>
      </w:r>
      <w:r>
        <w:rPr>
          <w:noProof/>
        </w:rPr>
        <w:t>.</w:t>
      </w:r>
    </w:p>
    <w:p w:rsidR="00E13E7A" w:rsidRPr="00E34F04" w:rsidRDefault="00E13E7A" w:rsidP="00E13E7A">
      <w:pPr>
        <w:rPr>
          <w:rFonts w:eastAsia="Arial Unicode MS"/>
          <w:noProof/>
        </w:rPr>
      </w:pPr>
      <w:r w:rsidRPr="00612260">
        <w:rPr>
          <w:noProof/>
        </w:rPr>
        <w:t xml:space="preserve">Decision </w:t>
      </w:r>
      <w:r>
        <w:rPr>
          <w:noProof/>
        </w:rPr>
        <w:t>(EU)</w:t>
      </w:r>
      <w:r w:rsidRPr="00612260">
        <w:rPr>
          <w:noProof/>
        </w:rPr>
        <w:t xml:space="preserve"> 2021/1875 </w:t>
      </w:r>
      <w:r w:rsidR="005F70C9" w:rsidRPr="00612260">
        <w:rPr>
          <w:noProof/>
        </w:rPr>
        <w:t>establishe</w:t>
      </w:r>
      <w:r w:rsidR="005F70C9">
        <w:rPr>
          <w:noProof/>
        </w:rPr>
        <w:t>s</w:t>
      </w:r>
      <w:r w:rsidR="005F70C9" w:rsidRPr="00612260">
        <w:rPr>
          <w:noProof/>
        </w:rPr>
        <w:t xml:space="preserve"> </w:t>
      </w:r>
      <w:r w:rsidR="004A2A64" w:rsidRPr="00612260">
        <w:rPr>
          <w:noProof/>
        </w:rPr>
        <w:t>t</w:t>
      </w:r>
      <w:r w:rsidR="004A2A64" w:rsidRPr="004A2A64">
        <w:rPr>
          <w:noProof/>
        </w:rPr>
        <w:t>he</w:t>
      </w:r>
      <w:r w:rsidR="004A2A64">
        <w:rPr>
          <w:noProof/>
        </w:rPr>
        <w:t xml:space="preserve"> principles and orientations for the </w:t>
      </w:r>
      <w:r w:rsidR="004A2A64" w:rsidRPr="004A2A64">
        <w:rPr>
          <w:noProof/>
        </w:rPr>
        <w:t xml:space="preserve">position to be taken by the Union during the annual consultations with the United Kingdom on fishing opportunities, particularly the setting of total allowable catches (TACs) for </w:t>
      </w:r>
      <w:r w:rsidR="004A2A64">
        <w:rPr>
          <w:noProof/>
        </w:rPr>
        <w:t xml:space="preserve">shared stocks, while </w:t>
      </w:r>
      <w:r w:rsidR="004A2A64" w:rsidRPr="004A2A64">
        <w:rPr>
          <w:noProof/>
        </w:rPr>
        <w:t>ensuring that the Commission</w:t>
      </w:r>
      <w:r w:rsidR="00F82220">
        <w:rPr>
          <w:noProof/>
        </w:rPr>
        <w:t xml:space="preserve"> and</w:t>
      </w:r>
      <w:r w:rsidR="004A2A64" w:rsidRPr="004A2A64">
        <w:rPr>
          <w:noProof/>
        </w:rPr>
        <w:t xml:space="preserve"> the Council remain appropriately coordinated</w:t>
      </w:r>
      <w:r w:rsidR="004A2A64">
        <w:rPr>
          <w:noProof/>
        </w:rPr>
        <w:t>.</w:t>
      </w:r>
    </w:p>
    <w:p w:rsidR="00E13E7A" w:rsidRDefault="00E13E7A" w:rsidP="00736AA9">
      <w:pPr>
        <w:rPr>
          <w:noProof/>
        </w:rPr>
      </w:pPr>
      <w:r w:rsidRPr="00612260">
        <w:rPr>
          <w:noProof/>
        </w:rPr>
        <w:t xml:space="preserve">Given than Decision (EU) 2021/1875 </w:t>
      </w:r>
      <w:r w:rsidR="005F70C9">
        <w:rPr>
          <w:noProof/>
        </w:rPr>
        <w:t xml:space="preserve">has </w:t>
      </w:r>
      <w:r w:rsidR="00AD10FF" w:rsidRPr="00612260">
        <w:rPr>
          <w:noProof/>
        </w:rPr>
        <w:t>prove</w:t>
      </w:r>
      <w:r w:rsidR="005F70C9">
        <w:rPr>
          <w:noProof/>
        </w:rPr>
        <w:t>n</w:t>
      </w:r>
      <w:r w:rsidR="00AD10FF" w:rsidRPr="00612260">
        <w:rPr>
          <w:noProof/>
        </w:rPr>
        <w:t xml:space="preserve"> to be</w:t>
      </w:r>
      <w:r w:rsidRPr="00612260">
        <w:rPr>
          <w:noProof/>
        </w:rPr>
        <w:t xml:space="preserve"> fit for purpose, this proposal aims to extend </w:t>
      </w:r>
      <w:r w:rsidR="00A86E9E" w:rsidRPr="00612260">
        <w:rPr>
          <w:noProof/>
        </w:rPr>
        <w:t xml:space="preserve">the application of </w:t>
      </w:r>
      <w:r w:rsidRPr="00612260">
        <w:rPr>
          <w:noProof/>
        </w:rPr>
        <w:t xml:space="preserve">Decision </w:t>
      </w:r>
      <w:r>
        <w:rPr>
          <w:noProof/>
        </w:rPr>
        <w:t>(EU)</w:t>
      </w:r>
      <w:r w:rsidRPr="00612260">
        <w:rPr>
          <w:noProof/>
        </w:rPr>
        <w:t xml:space="preserve"> 2021/1</w:t>
      </w:r>
      <w:r w:rsidR="004A2A64" w:rsidRPr="00612260">
        <w:rPr>
          <w:noProof/>
        </w:rPr>
        <w:t>875</w:t>
      </w:r>
      <w:r w:rsidR="00021D58">
        <w:rPr>
          <w:noProof/>
        </w:rPr>
        <w:t xml:space="preserve"> </w:t>
      </w:r>
      <w:r w:rsidRPr="00612260">
        <w:rPr>
          <w:noProof/>
        </w:rPr>
        <w:t xml:space="preserve">until 30 June 2038, </w:t>
      </w:r>
      <w:r w:rsidR="00AD10FF">
        <w:rPr>
          <w:noProof/>
          <w:szCs w:val="24"/>
        </w:rPr>
        <w:t>so as to establish the position to be adopted on behalf of the Union in the annual consultations with the United Kingdom, as the outcome of those consultations should be implemented in Union law</w:t>
      </w:r>
      <w:r w:rsidRPr="00612260">
        <w:rPr>
          <w:noProof/>
        </w:rPr>
        <w:t>.</w:t>
      </w:r>
    </w:p>
    <w:p w:rsidR="00AB6BC8" w:rsidRPr="00E34F04" w:rsidRDefault="00AB6BC8" w:rsidP="00736AA9">
      <w:pPr>
        <w:pStyle w:val="ManualHeading1"/>
        <w:rPr>
          <w:noProof/>
        </w:rPr>
      </w:pPr>
      <w:r>
        <w:rPr>
          <w:noProof/>
        </w:rPr>
        <w:t>4.</w:t>
      </w:r>
      <w:r>
        <w:rPr>
          <w:noProof/>
        </w:rPr>
        <w:tab/>
      </w:r>
      <w:r w:rsidRPr="00E34F04">
        <w:rPr>
          <w:noProof/>
        </w:rPr>
        <w:t>Legal basis</w:t>
      </w:r>
    </w:p>
    <w:p w:rsidR="00AB6BC8" w:rsidRPr="00E34F04" w:rsidRDefault="00AB6BC8" w:rsidP="00736AA9">
      <w:pPr>
        <w:pStyle w:val="ManualHeading2"/>
        <w:rPr>
          <w:noProof/>
        </w:rPr>
      </w:pPr>
      <w:r>
        <w:rPr>
          <w:noProof/>
        </w:rPr>
        <w:t>4.1.</w:t>
      </w:r>
      <w:r>
        <w:rPr>
          <w:noProof/>
        </w:rPr>
        <w:tab/>
      </w:r>
      <w:r w:rsidRPr="00E34F04">
        <w:rPr>
          <w:noProof/>
        </w:rPr>
        <w:t>Procedural legal basis</w:t>
      </w:r>
    </w:p>
    <w:p w:rsidR="00AB6BC8" w:rsidRPr="00E34F04" w:rsidRDefault="00AB6BC8" w:rsidP="00AB6BC8">
      <w:pPr>
        <w:pStyle w:val="ManualHeading3"/>
        <w:tabs>
          <w:tab w:val="clear" w:pos="850"/>
          <w:tab w:val="num" w:pos="1984"/>
        </w:tabs>
        <w:ind w:left="1984" w:hanging="567"/>
        <w:rPr>
          <w:noProof/>
        </w:rPr>
      </w:pPr>
      <w:r>
        <w:rPr>
          <w:noProof/>
        </w:rPr>
        <w:t>4.1.1.</w:t>
      </w:r>
      <w:r>
        <w:rPr>
          <w:noProof/>
        </w:rPr>
        <w:tab/>
      </w:r>
      <w:r w:rsidRPr="00E34F04">
        <w:rPr>
          <w:noProof/>
        </w:rPr>
        <w:t>Principles</w:t>
      </w:r>
    </w:p>
    <w:p w:rsidR="00AB6BC8" w:rsidRPr="00E34F04" w:rsidRDefault="00AB6BC8" w:rsidP="00736AA9">
      <w:pPr>
        <w:rPr>
          <w:noProof/>
        </w:rPr>
      </w:pPr>
      <w:r w:rsidRPr="00E34F04">
        <w:rPr>
          <w:noProof/>
        </w:rPr>
        <w:t>Article 218(9) of the Treaty on the Functioning of the European Union (TFEU) provides for decisions establishing ‘</w:t>
      </w:r>
      <w:r w:rsidRPr="00E34F04">
        <w:rPr>
          <w:i/>
          <w:noProof/>
        </w:rPr>
        <w:t>the positions to be adopted on the Union’s behalf in a body set up by an agreement, when that body is called upon to adopt acts having legal effects, with the exception of acts supplementing or amending the institutional framework of the agreement</w:t>
      </w:r>
      <w:r w:rsidRPr="00E34F04">
        <w:rPr>
          <w:noProof/>
        </w:rPr>
        <w:t>.’</w:t>
      </w:r>
    </w:p>
    <w:p w:rsidR="00AB6BC8" w:rsidRPr="00E34F04" w:rsidRDefault="00AB6BC8" w:rsidP="00AB6BC8">
      <w:pPr>
        <w:pStyle w:val="ManualHeading3"/>
        <w:tabs>
          <w:tab w:val="clear" w:pos="850"/>
          <w:tab w:val="num" w:pos="1984"/>
        </w:tabs>
        <w:ind w:left="1984" w:hanging="567"/>
        <w:rPr>
          <w:noProof/>
        </w:rPr>
      </w:pPr>
      <w:r>
        <w:rPr>
          <w:noProof/>
        </w:rPr>
        <w:t>4.1.2.</w:t>
      </w:r>
      <w:r>
        <w:rPr>
          <w:noProof/>
        </w:rPr>
        <w:tab/>
      </w:r>
      <w:r w:rsidRPr="00E34F04">
        <w:rPr>
          <w:noProof/>
        </w:rPr>
        <w:t>Application to the present case</w:t>
      </w:r>
    </w:p>
    <w:p w:rsidR="00623396" w:rsidRDefault="00623396" w:rsidP="00736AA9">
      <w:pPr>
        <w:rPr>
          <w:noProof/>
        </w:rPr>
      </w:pPr>
      <w:r w:rsidRPr="00623396">
        <w:rPr>
          <w:noProof/>
        </w:rPr>
        <w:t xml:space="preserve">In line with the TCA, the </w:t>
      </w:r>
      <w:r w:rsidR="00F82220">
        <w:rPr>
          <w:noProof/>
        </w:rPr>
        <w:t>Union and the United Kingdom</w:t>
      </w:r>
      <w:r w:rsidR="002D6B6E">
        <w:rPr>
          <w:noProof/>
        </w:rPr>
        <w:t xml:space="preserve"> shall consult </w:t>
      </w:r>
      <w:r w:rsidRPr="00623396">
        <w:rPr>
          <w:noProof/>
        </w:rPr>
        <w:t>on the joint management of shared marine biological resources (in particular shared fish stocks). This obligation is in line with Article 63 of the United Nations Convention on the Law of the Sea.</w:t>
      </w:r>
      <w:r>
        <w:rPr>
          <w:noProof/>
        </w:rPr>
        <w:t xml:space="preserve"> </w:t>
      </w:r>
    </w:p>
    <w:p w:rsidR="00623396" w:rsidRDefault="00623396" w:rsidP="00736AA9">
      <w:pPr>
        <w:rPr>
          <w:noProof/>
        </w:rPr>
      </w:pPr>
      <w:r w:rsidRPr="00623396">
        <w:rPr>
          <w:noProof/>
        </w:rPr>
        <w:t>The annual consultations are needed for the parties to agree on fishing opportunities and intrinsically linked conditions pursuant to Articles 498(2), 498(4) (a) to (d) and 498(6) TCA.</w:t>
      </w:r>
      <w:r>
        <w:rPr>
          <w:noProof/>
        </w:rPr>
        <w:t xml:space="preserve"> </w:t>
      </w:r>
    </w:p>
    <w:p w:rsidR="00AB6BC8" w:rsidRPr="00E34F04" w:rsidRDefault="00AB6BC8" w:rsidP="00736AA9">
      <w:pPr>
        <w:rPr>
          <w:noProof/>
        </w:rPr>
      </w:pPr>
      <w:r w:rsidRPr="00E34F04">
        <w:rPr>
          <w:noProof/>
        </w:rPr>
        <w:lastRenderedPageBreak/>
        <w:t>The envisaged act does not supplement or amend the institutional framework of the Agreement.</w:t>
      </w:r>
    </w:p>
    <w:p w:rsidR="00AB6BC8" w:rsidRPr="00E34F04" w:rsidRDefault="00AB6BC8" w:rsidP="00736AA9">
      <w:pPr>
        <w:rPr>
          <w:noProof/>
        </w:rPr>
      </w:pPr>
      <w:r w:rsidRPr="00E34F04">
        <w:rPr>
          <w:noProof/>
        </w:rPr>
        <w:t>Therefore, the procedural legal basis for the proposed decision is Article 218(9) TFEU.</w:t>
      </w:r>
    </w:p>
    <w:p w:rsidR="00AB6BC8" w:rsidRPr="00E34F04" w:rsidRDefault="00AB6BC8" w:rsidP="00736AA9">
      <w:pPr>
        <w:pStyle w:val="ManualHeading2"/>
        <w:rPr>
          <w:noProof/>
        </w:rPr>
      </w:pPr>
      <w:r>
        <w:rPr>
          <w:noProof/>
        </w:rPr>
        <w:t>4.2.</w:t>
      </w:r>
      <w:r>
        <w:rPr>
          <w:noProof/>
        </w:rPr>
        <w:tab/>
      </w:r>
      <w:r w:rsidRPr="00E34F04">
        <w:rPr>
          <w:noProof/>
        </w:rPr>
        <w:t>Substantive legal basis</w:t>
      </w:r>
    </w:p>
    <w:p w:rsidR="00AB6BC8" w:rsidRPr="00E34F04" w:rsidRDefault="00AB6BC8" w:rsidP="00AB6BC8">
      <w:pPr>
        <w:pStyle w:val="ManualHeading3"/>
        <w:tabs>
          <w:tab w:val="clear" w:pos="850"/>
          <w:tab w:val="num" w:pos="1984"/>
        </w:tabs>
        <w:ind w:left="1984" w:hanging="567"/>
        <w:rPr>
          <w:noProof/>
        </w:rPr>
      </w:pPr>
      <w:r>
        <w:rPr>
          <w:noProof/>
        </w:rPr>
        <w:t>4.2.1.</w:t>
      </w:r>
      <w:r>
        <w:rPr>
          <w:noProof/>
        </w:rPr>
        <w:tab/>
      </w:r>
      <w:r w:rsidRPr="00E34F04">
        <w:rPr>
          <w:noProof/>
        </w:rPr>
        <w:t>Principles</w:t>
      </w:r>
    </w:p>
    <w:p w:rsidR="00AB6BC8" w:rsidRPr="00E34F04" w:rsidRDefault="00AB6BC8" w:rsidP="00736AA9">
      <w:pPr>
        <w:rPr>
          <w:noProof/>
        </w:rPr>
      </w:pPr>
      <w:r w:rsidRPr="00E34F04">
        <w:rPr>
          <w:noProof/>
        </w:rPr>
        <w:t>The substantive legal basis for a decision under Article 218(9) TFEU depends primarily on the objective and content of the envisaged act in respect of which a position is taken on the Union's behalf. If the envisaged act pursues two aims or has two components and if one of those aims or components is identifiable as the main one, whereas the other is merely incidental, the decision under Article 218(9) TFEU must be founded on a single substantive legal basis, namely that required by the main or predominant aim or component.</w:t>
      </w:r>
    </w:p>
    <w:p w:rsidR="00AB6BC8" w:rsidRPr="00E34F04" w:rsidRDefault="00AB6BC8" w:rsidP="00AB6BC8">
      <w:pPr>
        <w:pStyle w:val="ManualHeading3"/>
        <w:tabs>
          <w:tab w:val="clear" w:pos="850"/>
          <w:tab w:val="num" w:pos="1984"/>
        </w:tabs>
        <w:ind w:left="1984" w:hanging="567"/>
        <w:rPr>
          <w:noProof/>
        </w:rPr>
      </w:pPr>
      <w:r>
        <w:rPr>
          <w:noProof/>
        </w:rPr>
        <w:t>4.2.2.</w:t>
      </w:r>
      <w:r>
        <w:rPr>
          <w:noProof/>
        </w:rPr>
        <w:tab/>
      </w:r>
      <w:r w:rsidRPr="00E34F04">
        <w:rPr>
          <w:noProof/>
        </w:rPr>
        <w:t>Application to the present case</w:t>
      </w:r>
    </w:p>
    <w:p w:rsidR="00AB6BC8" w:rsidRPr="00E34F04" w:rsidRDefault="00AB6BC8" w:rsidP="00736AA9">
      <w:pPr>
        <w:rPr>
          <w:noProof/>
        </w:rPr>
      </w:pPr>
      <w:r w:rsidRPr="00E34F04">
        <w:rPr>
          <w:noProof/>
        </w:rPr>
        <w:t xml:space="preserve">The main objective and content of the envisaged act relate to </w:t>
      </w:r>
      <w:r w:rsidR="00623396">
        <w:rPr>
          <w:noProof/>
        </w:rPr>
        <w:t xml:space="preserve">the setting of annual fishing opportunities for stocks shared between the Union and the United Kingdom. </w:t>
      </w:r>
    </w:p>
    <w:p w:rsidR="00AB6BC8" w:rsidRPr="00E34F04" w:rsidRDefault="00AB6BC8" w:rsidP="00736AA9">
      <w:pPr>
        <w:rPr>
          <w:noProof/>
        </w:rPr>
      </w:pPr>
      <w:r w:rsidRPr="00E34F04">
        <w:rPr>
          <w:noProof/>
        </w:rPr>
        <w:t>Therefore, the substantive legal basis of the proposed decision is</w:t>
      </w:r>
      <w:r w:rsidR="00623396">
        <w:rPr>
          <w:noProof/>
        </w:rPr>
        <w:t xml:space="preserve"> Article 43(3) TFEU.</w:t>
      </w:r>
    </w:p>
    <w:p w:rsidR="00AB6BC8" w:rsidRPr="00E34F04" w:rsidRDefault="00AB6BC8" w:rsidP="00736AA9">
      <w:pPr>
        <w:pStyle w:val="ManualHeading2"/>
        <w:rPr>
          <w:noProof/>
        </w:rPr>
      </w:pPr>
      <w:r>
        <w:rPr>
          <w:noProof/>
        </w:rPr>
        <w:t>4.3.</w:t>
      </w:r>
      <w:r>
        <w:rPr>
          <w:noProof/>
        </w:rPr>
        <w:tab/>
      </w:r>
      <w:r w:rsidRPr="00E34F04">
        <w:rPr>
          <w:noProof/>
        </w:rPr>
        <w:t>Conclusion</w:t>
      </w:r>
    </w:p>
    <w:p w:rsidR="00AB6BC8" w:rsidRPr="00E34F04" w:rsidRDefault="00AB6BC8" w:rsidP="00736AA9">
      <w:pPr>
        <w:rPr>
          <w:noProof/>
        </w:rPr>
      </w:pPr>
      <w:r w:rsidRPr="00E34F04">
        <w:rPr>
          <w:noProof/>
        </w:rPr>
        <w:t>The legal basis of the proposed decision should be</w:t>
      </w:r>
      <w:r w:rsidR="00623396">
        <w:rPr>
          <w:noProof/>
        </w:rPr>
        <w:t xml:space="preserve"> Article 43(3) TFEU</w:t>
      </w:r>
      <w:r w:rsidRPr="00612260">
        <w:rPr>
          <w:noProof/>
        </w:rPr>
        <w:t>,</w:t>
      </w:r>
      <w:r w:rsidRPr="00E34F04">
        <w:rPr>
          <w:noProof/>
        </w:rPr>
        <w:t xml:space="preserve"> in conjunction with Article 218(9) TFEU.</w:t>
      </w:r>
    </w:p>
    <w:p w:rsidR="00AB6BC8" w:rsidRPr="00FD40BA" w:rsidRDefault="0034471A" w:rsidP="00D86C08">
      <w:pPr>
        <w:spacing w:before="0" w:after="200" w:line="276" w:lineRule="auto"/>
        <w:jc w:val="left"/>
        <w:rPr>
          <w:noProof/>
        </w:rPr>
        <w:sectPr w:rsidR="00AB6BC8" w:rsidRPr="00FD40BA" w:rsidSect="00FE21F5">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r>
        <w:rPr>
          <w:noProof/>
        </w:rPr>
        <w:br w:type="page"/>
      </w:r>
    </w:p>
    <w:p w:rsidR="00927636" w:rsidRDefault="008748DF">
      <w:pPr>
        <w:pStyle w:val="Rfrenceinterinstitutionnelle"/>
        <w:rPr>
          <w:noProof/>
        </w:rPr>
      </w:pPr>
      <w:r>
        <w:rPr>
          <w:noProof/>
        </w:rPr>
        <w:lastRenderedPageBreak/>
        <w:t>2026/0159 (</w:t>
      </w:r>
      <w:r>
        <w:rPr>
          <w:noProof/>
        </w:rPr>
        <w:t>NLE)</w:t>
      </w:r>
    </w:p>
    <w:p w:rsidR="00AB6BC8" w:rsidRPr="00E34F04" w:rsidRDefault="00AB6BC8" w:rsidP="00AB6BC8">
      <w:pPr>
        <w:pStyle w:val="Statut"/>
        <w:rPr>
          <w:noProof/>
        </w:rPr>
      </w:pPr>
      <w:r w:rsidRPr="00AB6BC8">
        <w:rPr>
          <w:noProof/>
        </w:rPr>
        <w:t>Proposal for a</w:t>
      </w:r>
    </w:p>
    <w:p w:rsidR="00AB6BC8" w:rsidRPr="00E34F04" w:rsidRDefault="00AB6BC8" w:rsidP="00AB6BC8">
      <w:pPr>
        <w:pStyle w:val="Typedudocument"/>
        <w:rPr>
          <w:noProof/>
        </w:rPr>
      </w:pPr>
      <w:r w:rsidRPr="00AB6BC8">
        <w:rPr>
          <w:noProof/>
        </w:rPr>
        <w:t>COUNCIL DECISION</w:t>
      </w:r>
    </w:p>
    <w:p w:rsidR="00AB6BC8" w:rsidRPr="00E34F04" w:rsidRDefault="00AB6BC8" w:rsidP="00AB6BC8">
      <w:pPr>
        <w:pStyle w:val="Titreobjet"/>
        <w:rPr>
          <w:noProof/>
        </w:rPr>
      </w:pPr>
      <w:bookmarkStart w:id="4" w:name="_Hlk223966900"/>
      <w:r w:rsidRPr="00AB6BC8">
        <w:rPr>
          <w:noProof/>
        </w:rPr>
        <w:t>amending Council Decision 2021/1875 of 22 October 2021 concerning the position to be adopted on behalf of the Union in the annual consultations with the United Kingdom to agree on total allowable catches</w:t>
      </w:r>
      <w:bookmarkEnd w:id="4"/>
    </w:p>
    <w:p w:rsidR="00AB6BC8" w:rsidRPr="00AD2A67" w:rsidRDefault="00AB6BC8" w:rsidP="00BE7CB9">
      <w:pPr>
        <w:pStyle w:val="Institutionquiagit"/>
        <w:rPr>
          <w:noProof/>
        </w:rPr>
      </w:pPr>
      <w:r w:rsidRPr="00AD2A67">
        <w:rPr>
          <w:noProof/>
        </w:rPr>
        <w:t>THE COUNCIL OF THE EUROPEAN UNION,</w:t>
      </w:r>
    </w:p>
    <w:p w:rsidR="00AB6BC8" w:rsidRPr="00E34F04" w:rsidRDefault="00AB6BC8" w:rsidP="00BE7CB9">
      <w:pPr>
        <w:rPr>
          <w:noProof/>
        </w:rPr>
      </w:pPr>
      <w:r w:rsidRPr="00E34F04">
        <w:rPr>
          <w:noProof/>
        </w:rPr>
        <w:t>Having regard to the Treaty on the Functioning of the European Union, and in particular Article</w:t>
      </w:r>
      <w:r w:rsidR="00996A40" w:rsidRPr="00996A40">
        <w:rPr>
          <w:noProof/>
        </w:rPr>
        <w:t xml:space="preserve"> 43(3),</w:t>
      </w:r>
      <w:r w:rsidR="00996A40">
        <w:rPr>
          <w:noProof/>
        </w:rPr>
        <w:t xml:space="preserve"> </w:t>
      </w:r>
      <w:r w:rsidRPr="00E34F04">
        <w:rPr>
          <w:noProof/>
        </w:rPr>
        <w:t>in conjunction with Article 218(9) thereof,</w:t>
      </w:r>
    </w:p>
    <w:p w:rsidR="00AB6BC8" w:rsidRPr="00E34F04" w:rsidRDefault="00AB6BC8" w:rsidP="00BE7CB9">
      <w:pPr>
        <w:rPr>
          <w:noProof/>
        </w:rPr>
      </w:pPr>
      <w:r w:rsidRPr="00E34F04">
        <w:rPr>
          <w:noProof/>
        </w:rPr>
        <w:t>Having regard to the proposal from the European Commission,</w:t>
      </w:r>
    </w:p>
    <w:p w:rsidR="00AB6BC8" w:rsidRPr="00E34F04" w:rsidRDefault="00AB6BC8" w:rsidP="00BE7CB9">
      <w:pPr>
        <w:rPr>
          <w:noProof/>
        </w:rPr>
      </w:pPr>
      <w:r w:rsidRPr="00E34F04">
        <w:rPr>
          <w:noProof/>
        </w:rPr>
        <w:t>Whereas:</w:t>
      </w:r>
    </w:p>
    <w:p w:rsidR="00D16BF7" w:rsidRDefault="00D16BF7" w:rsidP="00204224">
      <w:pPr>
        <w:pStyle w:val="ManualConsidrant"/>
        <w:rPr>
          <w:noProof/>
        </w:rPr>
      </w:pPr>
      <w:r>
        <w:rPr>
          <w:noProof/>
        </w:rPr>
        <w:t>(1)</w:t>
      </w:r>
      <w:r>
        <w:rPr>
          <w:noProof/>
        </w:rPr>
        <w:tab/>
        <w:t>On 22 October 2021, the Council adopted Decision (EU) 2021/1875</w:t>
      </w:r>
      <w:r w:rsidR="00092A70">
        <w:rPr>
          <w:rStyle w:val="FootnoteReference"/>
          <w:noProof/>
        </w:rPr>
        <w:footnoteReference w:id="5"/>
      </w:r>
      <w:r>
        <w:rPr>
          <w:noProof/>
        </w:rPr>
        <w:t xml:space="preserve">, which sets out the </w:t>
      </w:r>
      <w:r w:rsidR="00F75E9D">
        <w:rPr>
          <w:noProof/>
        </w:rPr>
        <w:t xml:space="preserve">principles and orientations </w:t>
      </w:r>
      <w:r w:rsidR="00381BC2">
        <w:rPr>
          <w:noProof/>
        </w:rPr>
        <w:t>for</w:t>
      </w:r>
      <w:r w:rsidR="00F75E9D">
        <w:rPr>
          <w:noProof/>
        </w:rPr>
        <w:t xml:space="preserve"> the </w:t>
      </w:r>
      <w:r>
        <w:rPr>
          <w:noProof/>
        </w:rPr>
        <w:t xml:space="preserve">position to be adopted on behalf of the Union in the annual consultations with the United Kingdom </w:t>
      </w:r>
      <w:r w:rsidRPr="008D5664">
        <w:rPr>
          <w:noProof/>
        </w:rPr>
        <w:t xml:space="preserve">on fishing opportunities for shared stocks, including deep-sea stocks, </w:t>
      </w:r>
      <w:r w:rsidR="00381BC2">
        <w:rPr>
          <w:noProof/>
        </w:rPr>
        <w:t>pursuant to</w:t>
      </w:r>
      <w:r w:rsidRPr="008D5664">
        <w:rPr>
          <w:noProof/>
        </w:rPr>
        <w:t xml:space="preserve"> Article 498 of the Trade and Cooperation Agreement</w:t>
      </w:r>
      <w:r w:rsidR="000F4EAE">
        <w:rPr>
          <w:noProof/>
        </w:rPr>
        <w:t xml:space="preserve"> </w:t>
      </w:r>
      <w:r w:rsidR="000F4EAE" w:rsidRPr="000F4EAE">
        <w:rPr>
          <w:noProof/>
        </w:rPr>
        <w:t>between the European Union and the European Atomic Energy Community, of the one part, and the United Kingdom of Great Britain and Northern Ireland, of the other part  (the ‘Trade and Cooperation Agreement’)</w:t>
      </w:r>
      <w:r w:rsidR="000F4EAE">
        <w:rPr>
          <w:rStyle w:val="FootnoteReference"/>
          <w:noProof/>
        </w:rPr>
        <w:footnoteReference w:id="6"/>
      </w:r>
      <w:r w:rsidR="00E26BBD">
        <w:rPr>
          <w:noProof/>
        </w:rPr>
        <w:t>.</w:t>
      </w:r>
      <w:r w:rsidR="000F4EAE" w:rsidRPr="000F4EAE">
        <w:rPr>
          <w:noProof/>
        </w:rPr>
        <w:t xml:space="preserve"> </w:t>
      </w:r>
      <w:bookmarkStart w:id="5" w:name="_Hlk229432862"/>
      <w:r>
        <w:rPr>
          <w:noProof/>
        </w:rPr>
        <w:t xml:space="preserve">In this process, the Commission conducts the consultations on behalf of the </w:t>
      </w:r>
      <w:r w:rsidR="00F75E9D">
        <w:rPr>
          <w:noProof/>
        </w:rPr>
        <w:t>Union</w:t>
      </w:r>
      <w:r>
        <w:rPr>
          <w:noProof/>
        </w:rPr>
        <w:t xml:space="preserve"> based on </w:t>
      </w:r>
      <w:r w:rsidR="00A8352B">
        <w:rPr>
          <w:noProof/>
        </w:rPr>
        <w:t xml:space="preserve">Union </w:t>
      </w:r>
      <w:r>
        <w:rPr>
          <w:noProof/>
        </w:rPr>
        <w:t xml:space="preserve">positions </w:t>
      </w:r>
      <w:r w:rsidR="00C76531">
        <w:rPr>
          <w:noProof/>
        </w:rPr>
        <w:t xml:space="preserve">specified </w:t>
      </w:r>
      <w:r>
        <w:rPr>
          <w:noProof/>
        </w:rPr>
        <w:t xml:space="preserve">by the Council under the relevant Treaty provisions, while ensuring close coordination with the Council and its preparatory bodies, in line with the principle of sincere cooperation between </w:t>
      </w:r>
      <w:r w:rsidR="00516048">
        <w:rPr>
          <w:noProof/>
        </w:rPr>
        <w:t>the</w:t>
      </w:r>
      <w:r>
        <w:rPr>
          <w:noProof/>
        </w:rPr>
        <w:t xml:space="preserve"> U</w:t>
      </w:r>
      <w:r w:rsidR="00B007D8">
        <w:rPr>
          <w:noProof/>
        </w:rPr>
        <w:t>nion</w:t>
      </w:r>
      <w:r>
        <w:rPr>
          <w:noProof/>
        </w:rPr>
        <w:t xml:space="preserve"> institutions set out in </w:t>
      </w:r>
      <w:r w:rsidRPr="00F257FC">
        <w:rPr>
          <w:noProof/>
        </w:rPr>
        <w:t>Article 13(2) of the Treaty on European Union.</w:t>
      </w:r>
      <w:bookmarkEnd w:id="5"/>
    </w:p>
    <w:p w:rsidR="00F257FC" w:rsidRDefault="00F257FC" w:rsidP="00D16BF7">
      <w:pPr>
        <w:pStyle w:val="ManualConsidrant"/>
        <w:rPr>
          <w:noProof/>
        </w:rPr>
      </w:pPr>
      <w:r>
        <w:rPr>
          <w:noProof/>
        </w:rPr>
        <w:t>(2)</w:t>
      </w:r>
      <w:r>
        <w:rPr>
          <w:noProof/>
        </w:rPr>
        <w:tab/>
        <w:t>A review of Decision (EU) 2021/1875 took place in July 2023 and concluded that n</w:t>
      </w:r>
      <w:r>
        <w:rPr>
          <w:rStyle w:val="normaltextrun"/>
          <w:noProof/>
        </w:rPr>
        <w:t>o amendments were necessary</w:t>
      </w:r>
      <w:r w:rsidR="00EA19FB">
        <w:rPr>
          <w:rStyle w:val="normaltextrun"/>
          <w:noProof/>
        </w:rPr>
        <w:t>.</w:t>
      </w:r>
      <w:r>
        <w:rPr>
          <w:noProof/>
        </w:rPr>
        <w:t xml:space="preserve"> </w:t>
      </w:r>
      <w:r w:rsidR="007E506B">
        <w:rPr>
          <w:noProof/>
        </w:rPr>
        <w:t xml:space="preserve">Given </w:t>
      </w:r>
      <w:r>
        <w:rPr>
          <w:noProof/>
        </w:rPr>
        <w:t>the absence of any implementation issues having been identified</w:t>
      </w:r>
      <w:r w:rsidR="007E506B">
        <w:rPr>
          <w:noProof/>
        </w:rPr>
        <w:t xml:space="preserve"> since then, Decision (EU) 2021/1875 </w:t>
      </w:r>
      <w:r w:rsidR="00C76531">
        <w:rPr>
          <w:noProof/>
        </w:rPr>
        <w:t>remain</w:t>
      </w:r>
      <w:r w:rsidR="001E5407">
        <w:rPr>
          <w:noProof/>
        </w:rPr>
        <w:t>s</w:t>
      </w:r>
      <w:r w:rsidR="007E506B">
        <w:rPr>
          <w:noProof/>
        </w:rPr>
        <w:t xml:space="preserve"> fit for purpose</w:t>
      </w:r>
      <w:r>
        <w:rPr>
          <w:noProof/>
        </w:rPr>
        <w:t>.</w:t>
      </w:r>
    </w:p>
    <w:p w:rsidR="00D16BF7" w:rsidRDefault="00D16BF7" w:rsidP="00AB6BC8">
      <w:pPr>
        <w:pStyle w:val="ManualConsidrant"/>
        <w:rPr>
          <w:noProof/>
        </w:rPr>
      </w:pPr>
      <w:r>
        <w:rPr>
          <w:noProof/>
        </w:rPr>
        <w:t>(3)</w:t>
      </w:r>
      <w:r>
        <w:rPr>
          <w:noProof/>
        </w:rPr>
        <w:tab/>
      </w:r>
      <w:r w:rsidRPr="00EA19FB">
        <w:rPr>
          <w:noProof/>
          <w:lang w:val="fr-FR"/>
        </w:rPr>
        <w:t xml:space="preserve">Decision (EU) 2021/1875 </w:t>
      </w:r>
      <w:r w:rsidR="00EA19FB" w:rsidRPr="00EA19FB">
        <w:rPr>
          <w:noProof/>
          <w:lang w:val="fr-FR"/>
        </w:rPr>
        <w:t>expires</w:t>
      </w:r>
      <w:r w:rsidRPr="00EA19FB">
        <w:rPr>
          <w:noProof/>
          <w:lang w:val="fr-FR"/>
        </w:rPr>
        <w:t xml:space="preserve"> on 30 June 2027</w:t>
      </w:r>
      <w:r w:rsidR="00F82220" w:rsidRPr="00EA19FB">
        <w:rPr>
          <w:noProof/>
          <w:lang w:val="fr-FR"/>
        </w:rPr>
        <w:t xml:space="preserve">. </w:t>
      </w:r>
      <w:r w:rsidR="00F82220">
        <w:rPr>
          <w:noProof/>
        </w:rPr>
        <w:t>It is therefore</w:t>
      </w:r>
      <w:r>
        <w:rPr>
          <w:noProof/>
        </w:rPr>
        <w:t xml:space="preserve"> appropriate to extend its application</w:t>
      </w:r>
      <w:r w:rsidR="00845FFD">
        <w:rPr>
          <w:noProof/>
        </w:rPr>
        <w:t xml:space="preserve"> </w:t>
      </w:r>
      <w:r w:rsidR="00F82220">
        <w:rPr>
          <w:noProof/>
        </w:rPr>
        <w:t xml:space="preserve">with regard to the position to be taken on the Union’s behalf in the annual consultations with the United Kingdom </w:t>
      </w:r>
      <w:r w:rsidR="00F82220" w:rsidRPr="008D5664">
        <w:rPr>
          <w:noProof/>
        </w:rPr>
        <w:t>on fishing opportunities for shared stock</w:t>
      </w:r>
      <w:r w:rsidR="00F82220">
        <w:rPr>
          <w:noProof/>
        </w:rPr>
        <w:t xml:space="preserve">s, </w:t>
      </w:r>
      <w:r w:rsidR="00F82220" w:rsidRPr="00F82220">
        <w:rPr>
          <w:noProof/>
        </w:rPr>
        <w:t>as the outcome of those consultations should be implemented into Union law</w:t>
      </w:r>
      <w:r>
        <w:rPr>
          <w:noProof/>
        </w:rPr>
        <w:t>.</w:t>
      </w:r>
    </w:p>
    <w:p w:rsidR="00F82220" w:rsidRDefault="00F82220" w:rsidP="00AB6BC8">
      <w:pPr>
        <w:pStyle w:val="ManualConsidrant"/>
        <w:rPr>
          <w:noProof/>
        </w:rPr>
      </w:pPr>
      <w:r>
        <w:rPr>
          <w:noProof/>
        </w:rPr>
        <w:t>(4)</w:t>
      </w:r>
      <w:r>
        <w:rPr>
          <w:noProof/>
        </w:rPr>
        <w:tab/>
      </w:r>
      <w:bookmarkStart w:id="6" w:name="_Hlk228800370"/>
      <w:r>
        <w:rPr>
          <w:noProof/>
        </w:rPr>
        <w:t>The Commission should conduct a review on the effective implementation of Decision (EU) 2021/1875. The review should assess whether any revisions are necessary and if appropriate, the review should be accompanied by a proposal for a revision</w:t>
      </w:r>
      <w:bookmarkEnd w:id="6"/>
      <w:r>
        <w:rPr>
          <w:noProof/>
        </w:rPr>
        <w:t>.</w:t>
      </w:r>
    </w:p>
    <w:p w:rsidR="00AB6BC8" w:rsidRPr="00D16BF7" w:rsidRDefault="00D16BF7" w:rsidP="00AB6BC8">
      <w:pPr>
        <w:pStyle w:val="ManualConsidrant"/>
        <w:rPr>
          <w:noProof/>
        </w:rPr>
      </w:pPr>
      <w:r>
        <w:rPr>
          <w:noProof/>
        </w:rPr>
        <w:t>(5)</w:t>
      </w:r>
      <w:r>
        <w:rPr>
          <w:noProof/>
        </w:rPr>
        <w:tab/>
      </w:r>
      <w:r w:rsidRPr="00612260">
        <w:rPr>
          <w:noProof/>
        </w:rPr>
        <w:t xml:space="preserve">The </w:t>
      </w:r>
      <w:r w:rsidRPr="00D16BF7">
        <w:rPr>
          <w:noProof/>
        </w:rPr>
        <w:t xml:space="preserve">European Parliament is to be immediately and fully informed, as provided for in Article 218(10) </w:t>
      </w:r>
      <w:bookmarkStart w:id="7" w:name="_Hlk228798673"/>
      <w:r w:rsidR="009022B2">
        <w:rPr>
          <w:noProof/>
        </w:rPr>
        <w:t>of the Treaty on the Functioning of the European Union</w:t>
      </w:r>
      <w:bookmarkEnd w:id="7"/>
      <w:r w:rsidR="00AB6BC8" w:rsidRPr="00612260">
        <w:rPr>
          <w:noProof/>
        </w:rPr>
        <w:t>.</w:t>
      </w:r>
    </w:p>
    <w:p w:rsidR="00AB6BC8" w:rsidRPr="00D16BF7" w:rsidRDefault="00D16BF7" w:rsidP="00AB6BC8">
      <w:pPr>
        <w:pStyle w:val="ManualConsidrant"/>
        <w:rPr>
          <w:noProof/>
        </w:rPr>
      </w:pPr>
      <w:r>
        <w:rPr>
          <w:noProof/>
        </w:rPr>
        <w:t>(6)</w:t>
      </w:r>
      <w:r>
        <w:rPr>
          <w:noProof/>
        </w:rPr>
        <w:tab/>
      </w:r>
      <w:r w:rsidRPr="00612260">
        <w:rPr>
          <w:noProof/>
        </w:rPr>
        <w:t xml:space="preserve">Decision </w:t>
      </w:r>
      <w:r w:rsidRPr="00D16BF7">
        <w:rPr>
          <w:noProof/>
        </w:rPr>
        <w:t>(EU) 2021/1</w:t>
      </w:r>
      <w:r>
        <w:rPr>
          <w:noProof/>
        </w:rPr>
        <w:t>87</w:t>
      </w:r>
      <w:r w:rsidRPr="00D16BF7">
        <w:rPr>
          <w:noProof/>
        </w:rPr>
        <w:t>5 should therefore be amended accordingly</w:t>
      </w:r>
      <w:r w:rsidRPr="00612260">
        <w:rPr>
          <w:noProof/>
        </w:rPr>
        <w:t>,</w:t>
      </w:r>
    </w:p>
    <w:p w:rsidR="00AB6BC8" w:rsidRPr="00E34F04" w:rsidRDefault="00AB6BC8" w:rsidP="00BE7CB9">
      <w:pPr>
        <w:pStyle w:val="Formuledadoption"/>
        <w:rPr>
          <w:noProof/>
        </w:rPr>
      </w:pPr>
      <w:r w:rsidRPr="00E34F04">
        <w:rPr>
          <w:noProof/>
        </w:rPr>
        <w:lastRenderedPageBreak/>
        <w:t>HAS ADOPTED THIS DECISION:</w:t>
      </w:r>
    </w:p>
    <w:p w:rsidR="00AB6BC8" w:rsidRPr="00E34F04" w:rsidRDefault="00AB6BC8" w:rsidP="00BE7CB9">
      <w:pPr>
        <w:pStyle w:val="Titrearticle"/>
        <w:rPr>
          <w:noProof/>
        </w:rPr>
      </w:pPr>
      <w:r w:rsidRPr="00E34F04">
        <w:rPr>
          <w:noProof/>
        </w:rPr>
        <w:t>Article 1</w:t>
      </w:r>
    </w:p>
    <w:p w:rsidR="00E13E7A" w:rsidRPr="00612260" w:rsidRDefault="00E13E7A" w:rsidP="00BE7CB9">
      <w:pPr>
        <w:rPr>
          <w:noProof/>
        </w:rPr>
      </w:pPr>
      <w:r w:rsidRPr="00612260">
        <w:rPr>
          <w:noProof/>
        </w:rPr>
        <w:t>Decision (EU) 2021/1875 is hereby amended as follows:</w:t>
      </w:r>
    </w:p>
    <w:p w:rsidR="00B77C28" w:rsidRPr="00612260" w:rsidRDefault="00B77C28" w:rsidP="00204224">
      <w:pPr>
        <w:pStyle w:val="Point0"/>
        <w:rPr>
          <w:noProof/>
        </w:rPr>
      </w:pPr>
      <w:r>
        <w:rPr>
          <w:noProof/>
        </w:rPr>
        <w:t>(1)</w:t>
      </w:r>
      <w:r>
        <w:rPr>
          <w:noProof/>
        </w:rPr>
        <w:tab/>
      </w:r>
      <w:r w:rsidRPr="00612260">
        <w:rPr>
          <w:noProof/>
        </w:rPr>
        <w:t>Article 3 is replaced by the following</w:t>
      </w:r>
    </w:p>
    <w:p w:rsidR="00B77C28" w:rsidRPr="00612260" w:rsidRDefault="00B77C28" w:rsidP="00B77C28">
      <w:pPr>
        <w:pStyle w:val="ListParagraph"/>
        <w:ind w:left="360"/>
        <w:rPr>
          <w:noProof/>
        </w:rPr>
      </w:pPr>
    </w:p>
    <w:p w:rsidR="00FE767B" w:rsidRDefault="00B77C28" w:rsidP="00B77C28">
      <w:pPr>
        <w:pStyle w:val="ListParagraph"/>
        <w:ind w:left="360"/>
        <w:rPr>
          <w:noProof/>
        </w:rPr>
      </w:pPr>
      <w:r w:rsidRPr="00612260">
        <w:rPr>
          <w:noProof/>
        </w:rPr>
        <w:t>‘</w:t>
      </w:r>
      <w:r w:rsidRPr="00B77C28">
        <w:rPr>
          <w:noProof/>
        </w:rPr>
        <w:t xml:space="preserve">This Decision shall apply until 30 June 2038. </w:t>
      </w:r>
    </w:p>
    <w:p w:rsidR="00FE767B" w:rsidRDefault="00FE767B" w:rsidP="00B77C28">
      <w:pPr>
        <w:pStyle w:val="ListParagraph"/>
        <w:ind w:left="360"/>
        <w:rPr>
          <w:noProof/>
        </w:rPr>
      </w:pPr>
    </w:p>
    <w:p w:rsidR="00AB6BC8" w:rsidRPr="00612260" w:rsidRDefault="00B77C28" w:rsidP="00B77C28">
      <w:pPr>
        <w:pStyle w:val="ListParagraph"/>
        <w:ind w:left="360"/>
        <w:rPr>
          <w:noProof/>
        </w:rPr>
      </w:pPr>
      <w:r w:rsidRPr="00B77C28">
        <w:rPr>
          <w:noProof/>
        </w:rPr>
        <w:t>It shall be assessed as necessary and, where appropriate, revised by the Council upon a proposal from the Commission. A review shall in any event take place by 31 December 203</w:t>
      </w:r>
      <w:r w:rsidR="00AD10FF">
        <w:rPr>
          <w:noProof/>
        </w:rPr>
        <w:t>6</w:t>
      </w:r>
      <w:r>
        <w:rPr>
          <w:noProof/>
        </w:rPr>
        <w:t>.</w:t>
      </w:r>
      <w:r w:rsidRPr="00B77C28">
        <w:rPr>
          <w:noProof/>
        </w:rPr>
        <w:t>’</w:t>
      </w:r>
    </w:p>
    <w:p w:rsidR="00AB6BC8" w:rsidRPr="00B77C28" w:rsidRDefault="00AB6BC8" w:rsidP="002F4263">
      <w:pPr>
        <w:pStyle w:val="Titrearticle"/>
        <w:rPr>
          <w:noProof/>
        </w:rPr>
      </w:pPr>
      <w:r w:rsidRPr="00B77C28">
        <w:rPr>
          <w:noProof/>
        </w:rPr>
        <w:t xml:space="preserve">Article </w:t>
      </w:r>
      <w:r w:rsidR="00B77C28" w:rsidRPr="00612260">
        <w:rPr>
          <w:noProof/>
        </w:rPr>
        <w:t>2</w:t>
      </w:r>
    </w:p>
    <w:p w:rsidR="00AB6BC8" w:rsidRPr="00F82220" w:rsidRDefault="00B77C28" w:rsidP="00B77C28">
      <w:pPr>
        <w:rPr>
          <w:i/>
          <w:noProof/>
        </w:rPr>
      </w:pPr>
      <w:r w:rsidRPr="00612260">
        <w:rPr>
          <w:noProof/>
        </w:rPr>
        <w:t xml:space="preserve">This Decision shall enter into force on </w:t>
      </w:r>
      <w:r w:rsidR="00351E1F">
        <w:rPr>
          <w:noProof/>
        </w:rPr>
        <w:t xml:space="preserve">the </w:t>
      </w:r>
      <w:r w:rsidR="00791FAC" w:rsidRPr="00791FAC">
        <w:rPr>
          <w:noProof/>
        </w:rPr>
        <w:t xml:space="preserve">day of its publication in the Official Journal of the European Union. </w:t>
      </w:r>
      <w:r w:rsidR="0036014C">
        <w:rPr>
          <w:noProof/>
        </w:rPr>
        <w:t xml:space="preserve"> </w:t>
      </w:r>
    </w:p>
    <w:p w:rsidR="00AB6BC8" w:rsidRDefault="00AB6BC8" w:rsidP="002F4263">
      <w:pPr>
        <w:pStyle w:val="Fait"/>
        <w:rPr>
          <w:noProof/>
        </w:rPr>
      </w:pPr>
      <w:r>
        <w:rPr>
          <w:noProof/>
        </w:rPr>
        <w:t>Done at Brussels,</w:t>
      </w:r>
    </w:p>
    <w:p w:rsidR="00AB6BC8" w:rsidRDefault="00AB6BC8" w:rsidP="002F4263">
      <w:pPr>
        <w:pStyle w:val="Institutionquisigne"/>
        <w:rPr>
          <w:noProof/>
        </w:rPr>
      </w:pPr>
      <w:r w:rsidRPr="00AB6BC8">
        <w:rPr>
          <w:noProof/>
        </w:rPr>
        <w:tab/>
        <w:t>For the Council</w:t>
      </w:r>
    </w:p>
    <w:p w:rsidR="00AB6BC8" w:rsidRPr="00AB6BC8" w:rsidRDefault="00AB6BC8" w:rsidP="00AB6BC8">
      <w:pPr>
        <w:pStyle w:val="Personnequisigne"/>
        <w:rPr>
          <w:noProof/>
        </w:rPr>
      </w:pPr>
      <w:r w:rsidRPr="00AB6BC8">
        <w:rPr>
          <w:noProof/>
        </w:rPr>
        <w:tab/>
        <w:t>The President</w:t>
      </w:r>
    </w:p>
    <w:sectPr w:rsidR="00AB6BC8" w:rsidRPr="00AB6BC8" w:rsidSect="00FE21F5">
      <w:footnotePr>
        <w:numRestart w:val="eachSect"/>
      </w:footnotePr>
      <w:pgSz w:w="11907" w:h="16839"/>
      <w:pgMar w:top="1134" w:right="1417" w:bottom="1134" w:left="1417"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5D23" w:rsidRDefault="00055D23" w:rsidP="00AB6BC8">
      <w:pPr>
        <w:spacing w:before="0" w:after="0"/>
      </w:pPr>
      <w:r>
        <w:separator/>
      </w:r>
    </w:p>
  </w:endnote>
  <w:endnote w:type="continuationSeparator" w:id="0">
    <w:p w:rsidR="00055D23" w:rsidRDefault="00055D23" w:rsidP="00AB6BC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1F5" w:rsidRPr="00FE21F5" w:rsidRDefault="00FE21F5" w:rsidP="00FE21F5">
    <w:pPr>
      <w:pStyle w:val="Footer"/>
      <w:rPr>
        <w:rFonts w:ascii="Arial" w:hAnsi="Arial" w:cs="Arial"/>
        <w:b/>
        <w:sz w:val="48"/>
      </w:rPr>
    </w:pPr>
    <w:r w:rsidRPr="00FE21F5">
      <w:rPr>
        <w:rFonts w:ascii="Arial" w:hAnsi="Arial" w:cs="Arial"/>
        <w:b/>
        <w:sz w:val="48"/>
      </w:rPr>
      <w:t>EN</w:t>
    </w:r>
    <w:r w:rsidRPr="00FE21F5">
      <w:rPr>
        <w:rFonts w:ascii="Arial" w:hAnsi="Arial" w:cs="Arial"/>
        <w:b/>
        <w:sz w:val="48"/>
      </w:rPr>
      <w:tab/>
    </w:r>
    <w:r w:rsidRPr="00FE21F5">
      <w:rPr>
        <w:rFonts w:ascii="Arial" w:hAnsi="Arial" w:cs="Arial"/>
        <w:b/>
        <w:sz w:val="48"/>
      </w:rPr>
      <w:tab/>
    </w:r>
    <w:r w:rsidRPr="00FE21F5">
      <w:tab/>
    </w:r>
    <w:r w:rsidRPr="00FE21F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1F5" w:rsidRPr="00FE21F5" w:rsidRDefault="00FE21F5" w:rsidP="00FE21F5">
    <w:pPr>
      <w:pStyle w:val="Footer"/>
      <w:rPr>
        <w:rFonts w:ascii="Arial" w:hAnsi="Arial" w:cs="Arial"/>
        <w:b/>
        <w:sz w:val="48"/>
      </w:rPr>
    </w:pPr>
    <w:r w:rsidRPr="00FE21F5">
      <w:rPr>
        <w:rFonts w:ascii="Arial" w:hAnsi="Arial" w:cs="Arial"/>
        <w:b/>
        <w:sz w:val="48"/>
      </w:rPr>
      <w:t>EN</w:t>
    </w:r>
    <w:r w:rsidRPr="00FE21F5">
      <w:rPr>
        <w:rFonts w:ascii="Arial" w:hAnsi="Arial" w:cs="Arial"/>
        <w:b/>
        <w:sz w:val="48"/>
      </w:rPr>
      <w:tab/>
    </w:r>
    <w:r w:rsidRPr="00FE21F5">
      <w:rPr>
        <w:rFonts w:ascii="Arial" w:hAnsi="Arial" w:cs="Arial"/>
        <w:b/>
        <w:sz w:val="48"/>
      </w:rPr>
      <w:tab/>
    </w:r>
    <w:r w:rsidRPr="00FE21F5">
      <w:tab/>
    </w:r>
    <w:r w:rsidRPr="00FE21F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1F5" w:rsidRDefault="00FE21F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1F5" w:rsidRPr="00FE21F5" w:rsidRDefault="00FE21F5" w:rsidP="00FE21F5">
    <w:pPr>
      <w:pStyle w:val="Footer"/>
      <w:rPr>
        <w:rFonts w:ascii="Arial" w:hAnsi="Arial" w:cs="Arial"/>
        <w:b/>
        <w:sz w:val="48"/>
      </w:rPr>
    </w:pPr>
    <w:r w:rsidRPr="00FE21F5">
      <w:rPr>
        <w:rFonts w:ascii="Arial" w:hAnsi="Arial" w:cs="Arial"/>
        <w:b/>
        <w:sz w:val="48"/>
      </w:rPr>
      <w:t>EN</w:t>
    </w:r>
    <w:r w:rsidRPr="00FE21F5">
      <w:rPr>
        <w:rFonts w:ascii="Arial" w:hAnsi="Arial" w:cs="Arial"/>
        <w:b/>
        <w:sz w:val="48"/>
      </w:rPr>
      <w:tab/>
    </w:r>
    <w:r>
      <w:fldChar w:fldCharType="begin"/>
    </w:r>
    <w:r>
      <w:instrText xml:space="preserve"> PAGE  \* MERGEFORMAT </w:instrText>
    </w:r>
    <w:r>
      <w:fldChar w:fldCharType="separate"/>
    </w:r>
    <w:r w:rsidR="002F4263">
      <w:rPr>
        <w:noProof/>
      </w:rPr>
      <w:t>2</w:t>
    </w:r>
    <w:r>
      <w:fldChar w:fldCharType="end"/>
    </w:r>
    <w:r>
      <w:tab/>
    </w:r>
    <w:r w:rsidRPr="00FE21F5">
      <w:tab/>
    </w:r>
    <w:r w:rsidRPr="00FE21F5">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1F5" w:rsidRDefault="00FE21F5" w:rsidP="00FE2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5D23" w:rsidRDefault="00055D23" w:rsidP="00AB6BC8">
      <w:pPr>
        <w:spacing w:before="0" w:after="0"/>
      </w:pPr>
      <w:r>
        <w:separator/>
      </w:r>
    </w:p>
  </w:footnote>
  <w:footnote w:type="continuationSeparator" w:id="0">
    <w:p w:rsidR="00055D23" w:rsidRDefault="00055D23" w:rsidP="00AB6BC8">
      <w:pPr>
        <w:spacing w:before="0" w:after="0"/>
      </w:pPr>
      <w:r>
        <w:continuationSeparator/>
      </w:r>
    </w:p>
  </w:footnote>
  <w:footnote w:id="1">
    <w:p w:rsidR="00623396" w:rsidRPr="00AD10FF" w:rsidRDefault="00623396" w:rsidP="00AD10FF">
      <w:pPr>
        <w:pStyle w:val="FootnoteText"/>
        <w:rPr>
          <w:b/>
          <w:bCs/>
          <w:lang w:val="en-IE"/>
        </w:rPr>
      </w:pPr>
      <w:r w:rsidRPr="00612260">
        <w:rPr>
          <w:rStyle w:val="FootnoteReference"/>
        </w:rPr>
        <w:footnoteRef/>
      </w:r>
      <w:r w:rsidR="00612260">
        <w:tab/>
      </w:r>
      <w:r w:rsidR="00AD10FF" w:rsidRPr="00AD10FF">
        <w:rPr>
          <w:lang w:val="en-IE"/>
        </w:rPr>
        <w:t>Council Decision (EU) 2021/1875 of 22 October 2021 concerning the position to be adopted on behalf of the Union in the annual consultations with the United Kingdom to agree on total allowable catches (</w:t>
      </w:r>
      <w:r w:rsidR="00AD10FF" w:rsidRPr="00AD10FF">
        <w:t>OJ L 378, 26.10.2021, pp. 6–11; ELI: </w:t>
      </w:r>
      <w:hyperlink r:id="rId1" w:tooltip="Gives access to this document through its ELI URI." w:history="1">
        <w:r w:rsidR="00AD10FF" w:rsidRPr="00AD10FF">
          <w:rPr>
            <w:rStyle w:val="Hyperlink"/>
          </w:rPr>
          <w:t>http://data.europa.eu/eli/dec/2021/1875/oj</w:t>
        </w:r>
      </w:hyperlink>
      <w:r w:rsidR="00AD10FF" w:rsidRPr="00AD10FF">
        <w:t>)</w:t>
      </w:r>
      <w:r w:rsidR="00AD10FF">
        <w:t>.</w:t>
      </w:r>
    </w:p>
  </w:footnote>
  <w:footnote w:id="2">
    <w:p w:rsidR="008D5664" w:rsidRPr="00AD10FF" w:rsidRDefault="008D5664" w:rsidP="00AD10FF">
      <w:pPr>
        <w:pStyle w:val="FootnoteText"/>
        <w:rPr>
          <w:lang w:val="en-IE"/>
        </w:rPr>
      </w:pPr>
      <w:r w:rsidRPr="00612260">
        <w:rPr>
          <w:rStyle w:val="FootnoteReference"/>
        </w:rPr>
        <w:footnoteRef/>
      </w:r>
      <w:r w:rsidR="00612260">
        <w:tab/>
      </w:r>
      <w:r w:rsidR="00AD10FF" w:rsidRPr="00AD10FF">
        <w:rPr>
          <w:lang w:val="en-IE"/>
        </w:rPr>
        <w:t>Trade and Cooperation Agreement between the European Union and the European Atomic Energy Community, of the one part, and the United Kingdom of Great Britain and Northern Ireland, of the other part (</w:t>
      </w:r>
      <w:r w:rsidR="00AD10FF" w:rsidRPr="00AD10FF">
        <w:t>OJ L 149, , pp. 10–2539; ELI: </w:t>
      </w:r>
      <w:hyperlink r:id="rId2" w:tooltip="Gives access to this document through its ELI URI." w:history="1">
        <w:r w:rsidR="00AD10FF" w:rsidRPr="00AD10FF">
          <w:rPr>
            <w:rStyle w:val="Hyperlink"/>
          </w:rPr>
          <w:t>http://data.europa.eu/eli/agree_internation/2021/689(1)/oj</w:t>
        </w:r>
      </w:hyperlink>
      <w:r w:rsidR="00AD10FF" w:rsidRPr="00AD10FF">
        <w:t>)</w:t>
      </w:r>
      <w:r w:rsidR="00AD10FF">
        <w:t>.</w:t>
      </w:r>
    </w:p>
  </w:footnote>
  <w:footnote w:id="3">
    <w:p w:rsidR="004A2A64" w:rsidRPr="00894CEF" w:rsidRDefault="004A2A64" w:rsidP="00AD10FF">
      <w:pPr>
        <w:pStyle w:val="FootnoteText"/>
        <w:rPr>
          <w:lang w:val="en-IE"/>
        </w:rPr>
      </w:pPr>
      <w:r w:rsidRPr="00612260">
        <w:rPr>
          <w:rStyle w:val="FootnoteReference"/>
        </w:rPr>
        <w:footnoteRef/>
      </w:r>
      <w:r w:rsidR="00612260">
        <w:tab/>
      </w:r>
      <w:r w:rsidRPr="00894CEF">
        <w:rPr>
          <w:lang w:val="en-IE"/>
        </w:rPr>
        <w:t>Regulation (EU) 2018/973 of the European Parliament and of the Council of 4 July 2018 establishing a multiannual plan for demersal stocks in the North Sea and the fisheries exploiting those stocks, specifying details of the implementation of the landing obligation in the North Sea and repealing Council Regulations (EC) No 676/2007 and (EC) No 1342/2008 (</w:t>
      </w:r>
      <w:r w:rsidRPr="00894CEF">
        <w:t>OJ L 179, 16.7.2018, pp. 1–13; ELI: </w:t>
      </w:r>
      <w:hyperlink r:id="rId3" w:tooltip="Gives access to this document through its ELI URI." w:history="1">
        <w:r w:rsidRPr="00894CEF">
          <w:rPr>
            <w:rStyle w:val="Hyperlink"/>
          </w:rPr>
          <w:t>http://data.europa.eu/eli/reg/2018/973/oj</w:t>
        </w:r>
      </w:hyperlink>
      <w:r w:rsidRPr="00894CEF">
        <w:t xml:space="preserve">). </w:t>
      </w:r>
    </w:p>
  </w:footnote>
  <w:footnote w:id="4">
    <w:p w:rsidR="004A2A64" w:rsidRPr="00894CEF" w:rsidRDefault="004A2A64" w:rsidP="004A2A64">
      <w:pPr>
        <w:pStyle w:val="FootnoteText"/>
        <w:rPr>
          <w:lang w:val="en-IE"/>
        </w:rPr>
      </w:pPr>
      <w:r w:rsidRPr="00612260">
        <w:rPr>
          <w:rStyle w:val="FootnoteReference"/>
        </w:rPr>
        <w:footnoteRef/>
      </w:r>
      <w:r w:rsidR="00612260">
        <w:tab/>
      </w:r>
      <w:r w:rsidRPr="00894CEF">
        <w:rPr>
          <w:lang w:val="en-IE"/>
        </w:rPr>
        <w:t>Regulation (EU) 2019/472 of the European Parliament and of the Council of 19 March 2019 establishing a multiannual plan for stocks fished in the Western Waters and adjacent waters, and for fisheries exploiting those stocks, amending Regulations (EU) 2016/1139 and (EU) 2018/973, and repealing Council Regulations (EC) No 811/2004, (EC) No 2166/2005, (EC) No 388/2006, (EC) No 509/2007 and (EC) No 1300/2008</w:t>
      </w:r>
      <w:r>
        <w:rPr>
          <w:lang w:val="en-IE"/>
        </w:rPr>
        <w:t xml:space="preserve"> </w:t>
      </w:r>
      <w:r w:rsidRPr="00BA7AFD">
        <w:rPr>
          <w:lang w:val="en-IE"/>
        </w:rPr>
        <w:t>(</w:t>
      </w:r>
      <w:r w:rsidRPr="00894CEF">
        <w:t>OJ L 83, 25.3.2019, pp. 1–17; ELI: </w:t>
      </w:r>
      <w:hyperlink r:id="rId4" w:tooltip="Gives access to this document through its ELI URI." w:history="1">
        <w:r w:rsidRPr="00894CEF">
          <w:rPr>
            <w:rStyle w:val="Hyperlink"/>
          </w:rPr>
          <w:t>http://data.europa.eu/eli/reg/2019/472/oj</w:t>
        </w:r>
      </w:hyperlink>
      <w:r w:rsidRPr="00894CEF">
        <w:t xml:space="preserve">). </w:t>
      </w:r>
    </w:p>
    <w:p w:rsidR="004A2A64" w:rsidRPr="00894CEF" w:rsidRDefault="004A2A64" w:rsidP="004A2A64">
      <w:pPr>
        <w:pStyle w:val="FootnoteText"/>
        <w:rPr>
          <w:lang w:val="en-IE"/>
        </w:rPr>
      </w:pPr>
    </w:p>
  </w:footnote>
  <w:footnote w:id="5">
    <w:p w:rsidR="00092A70" w:rsidRPr="00F82220" w:rsidRDefault="00092A70">
      <w:pPr>
        <w:pStyle w:val="FootnoteText"/>
        <w:rPr>
          <w:lang w:val="en-IE"/>
        </w:rPr>
      </w:pPr>
      <w:r w:rsidRPr="00A83B2F">
        <w:rPr>
          <w:rStyle w:val="FootnoteReference"/>
        </w:rPr>
        <w:footnoteRef/>
      </w:r>
      <w:r w:rsidR="00A83B2F">
        <w:tab/>
      </w:r>
      <w:r w:rsidR="00356D01" w:rsidRPr="00E26BBD">
        <w:rPr>
          <w:lang w:val="en-IE"/>
        </w:rPr>
        <w:t>Council Decision (EU) 2021/1875 of 22 October 2021 concerning the position to be adopted on behalf of the Union in the annual consultations with the United Kingdom to agree on total allowable catches (OJ L 378, 26.10.2021, p. 6</w:t>
      </w:r>
      <w:r w:rsidR="00FB49E9">
        <w:rPr>
          <w:lang w:val="en-IE"/>
        </w:rPr>
        <w:t>,</w:t>
      </w:r>
      <w:r w:rsidR="00356D01" w:rsidRPr="00F82220">
        <w:rPr>
          <w:lang w:val="en-IE"/>
        </w:rPr>
        <w:t xml:space="preserve"> ELI: http://data.europa.eu/eli/dec/2021/1875/oj).</w:t>
      </w:r>
    </w:p>
  </w:footnote>
  <w:footnote w:id="6">
    <w:p w:rsidR="000F4EAE" w:rsidRPr="00F82220" w:rsidRDefault="000F4EAE">
      <w:pPr>
        <w:pStyle w:val="FootnoteText"/>
        <w:rPr>
          <w:lang w:val="en-IE"/>
        </w:rPr>
      </w:pPr>
      <w:r w:rsidRPr="00285BC0">
        <w:rPr>
          <w:rStyle w:val="FootnoteReference"/>
        </w:rPr>
        <w:footnoteRef/>
      </w:r>
      <w:r w:rsidR="00285BC0">
        <w:tab/>
      </w:r>
      <w:r w:rsidRPr="000F4EAE">
        <w:t>OJ L 149, 30.4.2021, p. 10.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1F5" w:rsidRDefault="00FE21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1F5" w:rsidRDefault="00FE21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D580470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09C97F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676FBE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444436B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6 10:32: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F8EE0D0-162A-42BB-9473-A9FEB633DB07"/>
    <w:docVar w:name="LW_COVERPAGE_TYPE" w:val="1"/>
    <w:docVar w:name="LW_CreatedUtc" w:val="2026-03-09T15:25:29.6943203Z"/>
    <w:docVar w:name="LW_CROSSREFERENCE" w:val="&lt;UNUSED&gt;"/>
    <w:docVar w:name="LW_DocType" w:val="COM"/>
    <w:docVar w:name="LW_EMISSION" w:val="23.6.2026"/>
    <w:docVar w:name="LW_EMISSION_ISODATE" w:val="2026-06-23"/>
    <w:docVar w:name="LW_EMISSION_LOCATION" w:val="BRX"/>
    <w:docVar w:name="LW_EMISSION_PREFIX" w:val="Brussels,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59"/>
    <w:docVar w:name="LW_REF.II.NEW.CP_YEAR" w:val="2026"/>
    <w:docVar w:name="LW_REF.INST.NEW" w:val="COM"/>
    <w:docVar w:name="LW_REF.INST.NEW_ADOPTED" w:val="final"/>
    <w:docVar w:name="LW_REF.INST.NEW_TEXT" w:val="(2026) 29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Council Decision 2021/1875 of 22 October 2021 concerning the position to be adopted on behalf of the Union in the annual consultations with the United Kingdom to agree on total allowable catches"/>
    <w:docVar w:name="LW_TYPE.DOC.CP" w:val="COUNCIL DECISION"/>
    <w:docVar w:name="LwApiVersions" w:val="LW4CoDe 1.24.5.0; LW 9.2, Build 20251112"/>
  </w:docVars>
  <w:rsids>
    <w:rsidRoot w:val="00AB6BC8"/>
    <w:rsid w:val="00021D58"/>
    <w:rsid w:val="00055D23"/>
    <w:rsid w:val="0007349B"/>
    <w:rsid w:val="00087C8E"/>
    <w:rsid w:val="00092A70"/>
    <w:rsid w:val="000D7B57"/>
    <w:rsid w:val="000F4EAE"/>
    <w:rsid w:val="001065F5"/>
    <w:rsid w:val="00111742"/>
    <w:rsid w:val="001238EF"/>
    <w:rsid w:val="00124127"/>
    <w:rsid w:val="00144146"/>
    <w:rsid w:val="00155A7F"/>
    <w:rsid w:val="00162EA9"/>
    <w:rsid w:val="00197613"/>
    <w:rsid w:val="001B46AD"/>
    <w:rsid w:val="001C52EF"/>
    <w:rsid w:val="001E5407"/>
    <w:rsid w:val="002015DE"/>
    <w:rsid w:val="00204224"/>
    <w:rsid w:val="00217964"/>
    <w:rsid w:val="00233DC7"/>
    <w:rsid w:val="00247779"/>
    <w:rsid w:val="002569EF"/>
    <w:rsid w:val="00261DBE"/>
    <w:rsid w:val="00285BC0"/>
    <w:rsid w:val="00285BEE"/>
    <w:rsid w:val="00286BEC"/>
    <w:rsid w:val="00287B0D"/>
    <w:rsid w:val="0029533F"/>
    <w:rsid w:val="002B30AF"/>
    <w:rsid w:val="002C789D"/>
    <w:rsid w:val="002C7D79"/>
    <w:rsid w:val="002D6B6E"/>
    <w:rsid w:val="002F4263"/>
    <w:rsid w:val="00313EBA"/>
    <w:rsid w:val="00322EAF"/>
    <w:rsid w:val="0033344A"/>
    <w:rsid w:val="0034471A"/>
    <w:rsid w:val="00351E1F"/>
    <w:rsid w:val="003548D7"/>
    <w:rsid w:val="003560FE"/>
    <w:rsid w:val="00356D01"/>
    <w:rsid w:val="0036014C"/>
    <w:rsid w:val="00363E86"/>
    <w:rsid w:val="00381BC2"/>
    <w:rsid w:val="003B77CB"/>
    <w:rsid w:val="003F0425"/>
    <w:rsid w:val="0042648E"/>
    <w:rsid w:val="00450E1B"/>
    <w:rsid w:val="004517A2"/>
    <w:rsid w:val="0047332F"/>
    <w:rsid w:val="004936D2"/>
    <w:rsid w:val="004A2A64"/>
    <w:rsid w:val="004A4931"/>
    <w:rsid w:val="004B4EFF"/>
    <w:rsid w:val="004D778D"/>
    <w:rsid w:val="004F214C"/>
    <w:rsid w:val="00516048"/>
    <w:rsid w:val="00520ED8"/>
    <w:rsid w:val="0052407C"/>
    <w:rsid w:val="00534853"/>
    <w:rsid w:val="00564589"/>
    <w:rsid w:val="00566631"/>
    <w:rsid w:val="00584A2C"/>
    <w:rsid w:val="005B04E6"/>
    <w:rsid w:val="005B1EB6"/>
    <w:rsid w:val="005C0484"/>
    <w:rsid w:val="005D1F90"/>
    <w:rsid w:val="005F068F"/>
    <w:rsid w:val="005F26EC"/>
    <w:rsid w:val="005F63CC"/>
    <w:rsid w:val="005F70C9"/>
    <w:rsid w:val="005F7A43"/>
    <w:rsid w:val="00602C5E"/>
    <w:rsid w:val="00612260"/>
    <w:rsid w:val="00623396"/>
    <w:rsid w:val="0066027B"/>
    <w:rsid w:val="00680133"/>
    <w:rsid w:val="006A6C64"/>
    <w:rsid w:val="007228CD"/>
    <w:rsid w:val="00755DA7"/>
    <w:rsid w:val="00773331"/>
    <w:rsid w:val="00791FAC"/>
    <w:rsid w:val="007932EF"/>
    <w:rsid w:val="00797574"/>
    <w:rsid w:val="007A7BE9"/>
    <w:rsid w:val="007E05B0"/>
    <w:rsid w:val="007E506B"/>
    <w:rsid w:val="00806782"/>
    <w:rsid w:val="00814F2B"/>
    <w:rsid w:val="0082502D"/>
    <w:rsid w:val="00842828"/>
    <w:rsid w:val="00845FFD"/>
    <w:rsid w:val="008474C5"/>
    <w:rsid w:val="00874D22"/>
    <w:rsid w:val="008A2914"/>
    <w:rsid w:val="008B71F0"/>
    <w:rsid w:val="008B74DC"/>
    <w:rsid w:val="008D16B5"/>
    <w:rsid w:val="008D33B6"/>
    <w:rsid w:val="008D5664"/>
    <w:rsid w:val="008D6E2F"/>
    <w:rsid w:val="008E4D8E"/>
    <w:rsid w:val="009022B2"/>
    <w:rsid w:val="00906856"/>
    <w:rsid w:val="0092033E"/>
    <w:rsid w:val="00927636"/>
    <w:rsid w:val="00934214"/>
    <w:rsid w:val="00936C03"/>
    <w:rsid w:val="00955FFA"/>
    <w:rsid w:val="009857C9"/>
    <w:rsid w:val="00995837"/>
    <w:rsid w:val="00996A40"/>
    <w:rsid w:val="009F68FC"/>
    <w:rsid w:val="00A26FFA"/>
    <w:rsid w:val="00A606AF"/>
    <w:rsid w:val="00A66339"/>
    <w:rsid w:val="00A8352B"/>
    <w:rsid w:val="00A83B2F"/>
    <w:rsid w:val="00A86E9E"/>
    <w:rsid w:val="00A879F0"/>
    <w:rsid w:val="00AA624C"/>
    <w:rsid w:val="00AB6BC8"/>
    <w:rsid w:val="00AC7349"/>
    <w:rsid w:val="00AD10FF"/>
    <w:rsid w:val="00AE48AE"/>
    <w:rsid w:val="00AF353B"/>
    <w:rsid w:val="00B007D8"/>
    <w:rsid w:val="00B3554A"/>
    <w:rsid w:val="00B41480"/>
    <w:rsid w:val="00B5344A"/>
    <w:rsid w:val="00B657EE"/>
    <w:rsid w:val="00B77C28"/>
    <w:rsid w:val="00BC5BE1"/>
    <w:rsid w:val="00BC5E29"/>
    <w:rsid w:val="00BD16EE"/>
    <w:rsid w:val="00C06150"/>
    <w:rsid w:val="00C12301"/>
    <w:rsid w:val="00C146E8"/>
    <w:rsid w:val="00C311E1"/>
    <w:rsid w:val="00C43391"/>
    <w:rsid w:val="00C60AC2"/>
    <w:rsid w:val="00C62939"/>
    <w:rsid w:val="00C70B5D"/>
    <w:rsid w:val="00C76531"/>
    <w:rsid w:val="00C90021"/>
    <w:rsid w:val="00C950FC"/>
    <w:rsid w:val="00D03E41"/>
    <w:rsid w:val="00D16BF7"/>
    <w:rsid w:val="00D20381"/>
    <w:rsid w:val="00D37C11"/>
    <w:rsid w:val="00D37FA8"/>
    <w:rsid w:val="00D80E2B"/>
    <w:rsid w:val="00D86C08"/>
    <w:rsid w:val="00D90B59"/>
    <w:rsid w:val="00D93D02"/>
    <w:rsid w:val="00DA05FB"/>
    <w:rsid w:val="00DA66D9"/>
    <w:rsid w:val="00DC2185"/>
    <w:rsid w:val="00DD22FE"/>
    <w:rsid w:val="00DD469B"/>
    <w:rsid w:val="00DE7145"/>
    <w:rsid w:val="00E13E7A"/>
    <w:rsid w:val="00E26BBD"/>
    <w:rsid w:val="00E27FC6"/>
    <w:rsid w:val="00E524DC"/>
    <w:rsid w:val="00E627B1"/>
    <w:rsid w:val="00E664ED"/>
    <w:rsid w:val="00E7182D"/>
    <w:rsid w:val="00E90D35"/>
    <w:rsid w:val="00EA19FB"/>
    <w:rsid w:val="00EF39E5"/>
    <w:rsid w:val="00F04974"/>
    <w:rsid w:val="00F257FC"/>
    <w:rsid w:val="00F6497D"/>
    <w:rsid w:val="00F75E9D"/>
    <w:rsid w:val="00F82220"/>
    <w:rsid w:val="00FB1109"/>
    <w:rsid w:val="00FB46F8"/>
    <w:rsid w:val="00FB49E9"/>
    <w:rsid w:val="00FC38F8"/>
    <w:rsid w:val="00FD2A00"/>
    <w:rsid w:val="00FE1E2F"/>
    <w:rsid w:val="00FE21F5"/>
    <w:rsid w:val="00FE7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8B030A-D059-4AF2-A101-F981AC477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D5664"/>
  </w:style>
  <w:style w:type="character" w:styleId="Hyperlink">
    <w:name w:val="Hyperlink"/>
    <w:basedOn w:val="DefaultParagraphFont"/>
    <w:uiPriority w:val="99"/>
    <w:unhideWhenUsed/>
    <w:rsid w:val="00E13E7A"/>
    <w:rPr>
      <w:color w:val="0000FF" w:themeColor="hyperlink"/>
      <w:u w:val="single"/>
    </w:rPr>
  </w:style>
  <w:style w:type="paragraph" w:styleId="ListParagraph">
    <w:name w:val="List Paragraph"/>
    <w:basedOn w:val="Normal"/>
    <w:uiPriority w:val="34"/>
    <w:qFormat/>
    <w:rsid w:val="00B77C28"/>
    <w:pPr>
      <w:ind w:left="720"/>
      <w:contextualSpacing/>
    </w:pPr>
  </w:style>
  <w:style w:type="paragraph" w:styleId="NormalWeb">
    <w:name w:val="Normal (Web)"/>
    <w:basedOn w:val="Normal"/>
    <w:uiPriority w:val="99"/>
    <w:semiHidden/>
    <w:unhideWhenUsed/>
    <w:rsid w:val="00D16BF7"/>
    <w:pPr>
      <w:spacing w:before="100" w:beforeAutospacing="1" w:after="100" w:afterAutospacing="1"/>
      <w:jc w:val="left"/>
    </w:pPr>
    <w:rPr>
      <w:rFonts w:eastAsia="Times New Roman"/>
      <w:szCs w:val="24"/>
      <w:lang w:val="en-IE" w:eastAsia="en-IE"/>
    </w:rPr>
  </w:style>
  <w:style w:type="character" w:styleId="Emphasis">
    <w:name w:val="Emphasis"/>
    <w:basedOn w:val="DefaultParagraphFont"/>
    <w:uiPriority w:val="20"/>
    <w:qFormat/>
    <w:rsid w:val="00996A40"/>
    <w:rPr>
      <w:i/>
      <w:iCs/>
    </w:rPr>
  </w:style>
  <w:style w:type="paragraph" w:styleId="ListBullet">
    <w:name w:val="List Bullet"/>
    <w:basedOn w:val="Normal"/>
    <w:uiPriority w:val="99"/>
    <w:semiHidden/>
    <w:unhideWhenUsed/>
    <w:rsid w:val="00955FFA"/>
    <w:pPr>
      <w:numPr>
        <w:numId w:val="1"/>
      </w:numPr>
      <w:contextualSpacing/>
    </w:pPr>
  </w:style>
  <w:style w:type="paragraph" w:styleId="ListBullet2">
    <w:name w:val="List Bullet 2"/>
    <w:basedOn w:val="Normal"/>
    <w:uiPriority w:val="99"/>
    <w:semiHidden/>
    <w:unhideWhenUsed/>
    <w:rsid w:val="00955FFA"/>
    <w:pPr>
      <w:numPr>
        <w:numId w:val="2"/>
      </w:numPr>
      <w:contextualSpacing/>
    </w:pPr>
  </w:style>
  <w:style w:type="paragraph" w:styleId="ListBullet3">
    <w:name w:val="List Bullet 3"/>
    <w:basedOn w:val="Normal"/>
    <w:uiPriority w:val="99"/>
    <w:semiHidden/>
    <w:unhideWhenUsed/>
    <w:rsid w:val="00955FFA"/>
    <w:pPr>
      <w:numPr>
        <w:numId w:val="3"/>
      </w:numPr>
      <w:contextualSpacing/>
    </w:pPr>
  </w:style>
  <w:style w:type="paragraph" w:styleId="ListBullet4">
    <w:name w:val="List Bullet 4"/>
    <w:basedOn w:val="Normal"/>
    <w:uiPriority w:val="99"/>
    <w:semiHidden/>
    <w:unhideWhenUsed/>
    <w:rsid w:val="00955FFA"/>
    <w:pPr>
      <w:numPr>
        <w:numId w:val="4"/>
      </w:numPr>
      <w:contextualSpacing/>
    </w:pPr>
  </w:style>
  <w:style w:type="paragraph" w:styleId="Revision">
    <w:name w:val="Revision"/>
    <w:hidden/>
    <w:uiPriority w:val="99"/>
    <w:semiHidden/>
    <w:rsid w:val="006A6C64"/>
    <w:pPr>
      <w:spacing w:after="0" w:line="240" w:lineRule="auto"/>
    </w:pPr>
    <w:rPr>
      <w:rFonts w:ascii="Times New Roman" w:hAnsi="Times New Roman" w:cs="Times New Roman"/>
      <w:sz w:val="24"/>
      <w:lang w:val="en-GB"/>
    </w:rPr>
  </w:style>
  <w:style w:type="character" w:customStyle="1" w:styleId="UnresolvedMention">
    <w:name w:val="Unresolved Mention"/>
    <w:basedOn w:val="DefaultParagraphFont"/>
    <w:uiPriority w:val="99"/>
    <w:semiHidden/>
    <w:unhideWhenUsed/>
    <w:rsid w:val="00AD10FF"/>
    <w:rPr>
      <w:color w:val="605E5C"/>
      <w:shd w:val="clear" w:color="auto" w:fill="E1DFDD"/>
    </w:rPr>
  </w:style>
  <w:style w:type="character" w:styleId="CommentReference">
    <w:name w:val="annotation reference"/>
    <w:basedOn w:val="DefaultParagraphFont"/>
    <w:uiPriority w:val="99"/>
    <w:semiHidden/>
    <w:unhideWhenUsed/>
    <w:rsid w:val="00D37C11"/>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5F70C9"/>
    <w:rPr>
      <w:b/>
      <w:bCs/>
    </w:rPr>
  </w:style>
  <w:style w:type="character" w:customStyle="1" w:styleId="CommentSubjectChar">
    <w:name w:val="Comment Subject Char"/>
    <w:basedOn w:val="CommentTextChar"/>
    <w:link w:val="CommentSubject"/>
    <w:uiPriority w:val="99"/>
    <w:semiHidden/>
    <w:rsid w:val="005F70C9"/>
    <w:rPr>
      <w:rFonts w:ascii="Times New Roman" w:hAnsi="Times New Roman" w:cs="Times New Roman"/>
      <w:b/>
      <w:bCs/>
      <w:sz w:val="20"/>
      <w:szCs w:val="20"/>
      <w:lang w:val="en-GB"/>
    </w:rPr>
  </w:style>
  <w:style w:type="character" w:customStyle="1" w:styleId="HeaderChar">
    <w:name w:val="Header Char"/>
    <w:basedOn w:val="DefaultParagraphFont"/>
    <w:link w:val="Header"/>
    <w:uiPriority w:val="99"/>
    <w:rsid w:val="00FE21F5"/>
    <w:rPr>
      <w:rFonts w:ascii="Times New Roman" w:hAnsi="Times New Roman" w:cs="Times New Roman"/>
      <w:sz w:val="24"/>
      <w:lang w:val="en-GB"/>
    </w:rPr>
  </w:style>
  <w:style w:type="character" w:customStyle="1" w:styleId="FooterChar">
    <w:name w:val="Footer Char"/>
    <w:basedOn w:val="DefaultParagraphFont"/>
    <w:link w:val="Footer"/>
    <w:uiPriority w:val="99"/>
    <w:rsid w:val="00FE21F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FE21F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E21F5"/>
    <w:pPr>
      <w:spacing w:before="0"/>
      <w:jc w:val="right"/>
    </w:pPr>
    <w:rPr>
      <w:sz w:val="28"/>
    </w:rPr>
  </w:style>
  <w:style w:type="paragraph" w:customStyle="1" w:styleId="FooterSensitivity">
    <w:name w:val="Footer Sensitivity"/>
    <w:basedOn w:val="Normal"/>
    <w:rsid w:val="00FE21F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E21F5"/>
    <w:pPr>
      <w:tabs>
        <w:tab w:val="center" w:pos="4535"/>
        <w:tab w:val="right" w:pos="9071"/>
      </w:tabs>
      <w:spacing w:before="0"/>
    </w:pPr>
  </w:style>
  <w:style w:type="paragraph" w:customStyle="1" w:styleId="HeaderLandscape">
    <w:name w:val="HeaderLandscape"/>
    <w:basedOn w:val="Normal"/>
    <w:rsid w:val="00FE21F5"/>
    <w:pPr>
      <w:tabs>
        <w:tab w:val="center" w:pos="7285"/>
        <w:tab w:val="right" w:pos="14003"/>
      </w:tabs>
      <w:spacing w:before="0"/>
    </w:pPr>
  </w:style>
  <w:style w:type="paragraph" w:styleId="Footer">
    <w:name w:val="footer"/>
    <w:basedOn w:val="Normal"/>
    <w:link w:val="FooterChar"/>
    <w:uiPriority w:val="99"/>
    <w:unhideWhenUsed/>
    <w:rsid w:val="00FE21F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E21F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929317">
      <w:bodyDiv w:val="1"/>
      <w:marLeft w:val="0"/>
      <w:marRight w:val="0"/>
      <w:marTop w:val="0"/>
      <w:marBottom w:val="0"/>
      <w:divBdr>
        <w:top w:val="none" w:sz="0" w:space="0" w:color="auto"/>
        <w:left w:val="none" w:sz="0" w:space="0" w:color="auto"/>
        <w:bottom w:val="none" w:sz="0" w:space="0" w:color="auto"/>
        <w:right w:val="none" w:sz="0" w:space="0" w:color="auto"/>
      </w:divBdr>
      <w:divsChild>
        <w:div w:id="145048935">
          <w:marLeft w:val="0"/>
          <w:marRight w:val="0"/>
          <w:marTop w:val="0"/>
          <w:marBottom w:val="0"/>
          <w:divBdr>
            <w:top w:val="none" w:sz="0" w:space="0" w:color="auto"/>
            <w:left w:val="none" w:sz="0" w:space="0" w:color="auto"/>
            <w:bottom w:val="none" w:sz="0" w:space="0" w:color="auto"/>
            <w:right w:val="none" w:sz="0" w:space="0" w:color="auto"/>
          </w:divBdr>
          <w:divsChild>
            <w:div w:id="1106535825">
              <w:marLeft w:val="0"/>
              <w:marRight w:val="0"/>
              <w:marTop w:val="0"/>
              <w:marBottom w:val="0"/>
              <w:divBdr>
                <w:top w:val="none" w:sz="0" w:space="0" w:color="auto"/>
                <w:left w:val="none" w:sz="0" w:space="0" w:color="auto"/>
                <w:bottom w:val="none" w:sz="0" w:space="0" w:color="auto"/>
                <w:right w:val="none" w:sz="0" w:space="0" w:color="auto"/>
              </w:divBdr>
              <w:divsChild>
                <w:div w:id="891816555">
                  <w:marLeft w:val="0"/>
                  <w:marRight w:val="0"/>
                  <w:marTop w:val="0"/>
                  <w:marBottom w:val="0"/>
                  <w:divBdr>
                    <w:top w:val="none" w:sz="0" w:space="0" w:color="auto"/>
                    <w:left w:val="none" w:sz="0" w:space="0" w:color="auto"/>
                    <w:bottom w:val="none" w:sz="0" w:space="0" w:color="auto"/>
                    <w:right w:val="none" w:sz="0" w:space="0" w:color="auto"/>
                  </w:divBdr>
                  <w:divsChild>
                    <w:div w:id="387723365">
                      <w:marLeft w:val="0"/>
                      <w:marRight w:val="0"/>
                      <w:marTop w:val="0"/>
                      <w:marBottom w:val="0"/>
                      <w:divBdr>
                        <w:top w:val="none" w:sz="0" w:space="0" w:color="auto"/>
                        <w:left w:val="none" w:sz="0" w:space="0" w:color="auto"/>
                        <w:bottom w:val="none" w:sz="0" w:space="0" w:color="auto"/>
                        <w:right w:val="none" w:sz="0" w:space="0" w:color="auto"/>
                      </w:divBdr>
                      <w:divsChild>
                        <w:div w:id="1018503204">
                          <w:marLeft w:val="0"/>
                          <w:marRight w:val="0"/>
                          <w:marTop w:val="0"/>
                          <w:marBottom w:val="0"/>
                          <w:divBdr>
                            <w:top w:val="none" w:sz="0" w:space="0" w:color="auto"/>
                            <w:left w:val="none" w:sz="0" w:space="0" w:color="auto"/>
                            <w:bottom w:val="none" w:sz="0" w:space="0" w:color="auto"/>
                            <w:right w:val="none" w:sz="0" w:space="0" w:color="auto"/>
                          </w:divBdr>
                          <w:divsChild>
                            <w:div w:id="96142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5978232">
      <w:bodyDiv w:val="1"/>
      <w:marLeft w:val="0"/>
      <w:marRight w:val="0"/>
      <w:marTop w:val="0"/>
      <w:marBottom w:val="0"/>
      <w:divBdr>
        <w:top w:val="none" w:sz="0" w:space="0" w:color="auto"/>
        <w:left w:val="none" w:sz="0" w:space="0" w:color="auto"/>
        <w:bottom w:val="none" w:sz="0" w:space="0" w:color="auto"/>
        <w:right w:val="none" w:sz="0" w:space="0" w:color="auto"/>
      </w:divBdr>
    </w:div>
    <w:div w:id="835800949">
      <w:bodyDiv w:val="1"/>
      <w:marLeft w:val="0"/>
      <w:marRight w:val="0"/>
      <w:marTop w:val="0"/>
      <w:marBottom w:val="0"/>
      <w:divBdr>
        <w:top w:val="none" w:sz="0" w:space="0" w:color="auto"/>
        <w:left w:val="none" w:sz="0" w:space="0" w:color="auto"/>
        <w:bottom w:val="none" w:sz="0" w:space="0" w:color="auto"/>
        <w:right w:val="none" w:sz="0" w:space="0" w:color="auto"/>
      </w:divBdr>
    </w:div>
    <w:div w:id="1179781163">
      <w:bodyDiv w:val="1"/>
      <w:marLeft w:val="0"/>
      <w:marRight w:val="0"/>
      <w:marTop w:val="0"/>
      <w:marBottom w:val="0"/>
      <w:divBdr>
        <w:top w:val="none" w:sz="0" w:space="0" w:color="auto"/>
        <w:left w:val="none" w:sz="0" w:space="0" w:color="auto"/>
        <w:bottom w:val="none" w:sz="0" w:space="0" w:color="auto"/>
        <w:right w:val="none" w:sz="0" w:space="0" w:color="auto"/>
      </w:divBdr>
    </w:div>
    <w:div w:id="2000690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8/973/oj" TargetMode="External"/><Relationship Id="rId2" Type="http://schemas.openxmlformats.org/officeDocument/2006/relationships/hyperlink" Target="http://data.europa.eu/eli/agree_internation/2021/689(1)/oj" TargetMode="External"/><Relationship Id="rId1" Type="http://schemas.openxmlformats.org/officeDocument/2006/relationships/hyperlink" Target="http://data.europa.eu/eli/dec/2021/1875/oj" TargetMode="External"/><Relationship Id="rId4" Type="http://schemas.openxmlformats.org/officeDocument/2006/relationships/hyperlink" Target="http://data.europa.eu/eli/reg/2019/47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3B66A2-3972-4A37-AA6A-C624B092EE81}">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2.xml><?xml version="1.0" encoding="utf-8"?>
<ds:datastoreItem xmlns:ds="http://schemas.openxmlformats.org/officeDocument/2006/customXml" ds:itemID="{E2D7CF40-058D-4DBE-859C-BE78CEE2985C}">
  <ds:schemaRefs>
    <ds:schemaRef ds:uri="http://schemas.microsoft.com/sharepoint/v3/contenttype/forms"/>
  </ds:schemaRefs>
</ds:datastoreItem>
</file>

<file path=customXml/itemProps3.xml><?xml version="1.0" encoding="utf-8"?>
<ds:datastoreItem xmlns:ds="http://schemas.openxmlformats.org/officeDocument/2006/customXml" ds:itemID="{C731E4AD-2D1A-442A-A50E-67D335431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384811-8EA3-49AF-A266-797FBFBEE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6</Pages>
  <Words>1483</Words>
  <Characters>8454</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2026-05-26T13:15:00Z</dcterms:created>
  <dcterms:modified xsi:type="dcterms:W3CDTF">2026-06-16T08:32:00Z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2026-03-10T08:38:33Z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60d0f726-0398-4d98-9d7b-322b9f524d52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0x010100BAD999D84E12C74482EA5120F5227F6F00217DECAAC21D6B43958DFE68658C192E</vt:lpwstr>
  </property>
  <property fmtid="{D5CDD505-2E9C-101B-9397-08002B2CF9AE}" pid="19" name="MediaServiceImageTags">
    <vt:lpwstr/>
  </property>
  <property fmtid="{D5CDD505-2E9C-101B-9397-08002B2CF9AE}" pid="20" name="DQCStatus">
    <vt:lpwstr>Green (DQC version 03)</vt:lpwstr>
  </property>
</Properties>
</file>