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BC8" w:rsidRPr="004612D5" w:rsidRDefault="001343FC" w:rsidP="001343F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FF5FC9-92A0-446E-921E-98E8F6EFF85F" style="width:455.25pt;height:357.75pt">
            <v:imagedata r:id="rId11" o:title=""/>
          </v:shape>
        </w:pict>
      </w:r>
    </w:p>
    <w:p w:rsidR="00AB6BC8" w:rsidRPr="004612D5" w:rsidRDefault="00AB6BC8" w:rsidP="00AB6BC8">
      <w:pPr>
        <w:rPr>
          <w:noProof/>
        </w:rPr>
        <w:sectPr w:rsidR="00AB6BC8" w:rsidRPr="004612D5" w:rsidSect="001343FC">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AB6BC8" w:rsidRPr="004612D5" w:rsidRDefault="00AB6BC8" w:rsidP="00BB6B30">
      <w:pPr>
        <w:pStyle w:val="Exposdesmotifstitre"/>
        <w:rPr>
          <w:noProof/>
        </w:rPr>
      </w:pPr>
      <w:bookmarkStart w:id="0" w:name="_GoBack"/>
      <w:bookmarkEnd w:id="0"/>
      <w:r w:rsidRPr="004612D5">
        <w:rPr>
          <w:noProof/>
        </w:rPr>
        <w:lastRenderedPageBreak/>
        <w:t>EXPUNERE DE MOTIVE</w:t>
      </w:r>
    </w:p>
    <w:p w:rsidR="00AB6BC8" w:rsidRPr="004612D5" w:rsidRDefault="00AB6BC8" w:rsidP="00B5344A">
      <w:pPr>
        <w:pStyle w:val="ManualHeading1"/>
        <w:rPr>
          <w:rFonts w:eastAsia="Arial Unicode MS"/>
          <w:noProof/>
        </w:rPr>
      </w:pPr>
      <w:r>
        <w:rPr>
          <w:noProof/>
        </w:rPr>
        <w:t>1.</w:t>
      </w:r>
      <w:r>
        <w:rPr>
          <w:noProof/>
        </w:rPr>
        <w:tab/>
      </w:r>
      <w:r w:rsidRPr="004612D5">
        <w:rPr>
          <w:noProof/>
        </w:rPr>
        <w:t>Obiectul propunerii</w:t>
      </w:r>
    </w:p>
    <w:p w:rsidR="00623396" w:rsidRPr="004612D5" w:rsidRDefault="00AB6BC8" w:rsidP="00736AA9">
      <w:pPr>
        <w:rPr>
          <w:rFonts w:eastAsia="Arial Unicode MS"/>
          <w:noProof/>
        </w:rPr>
      </w:pPr>
      <w:r w:rsidRPr="004612D5">
        <w:rPr>
          <w:noProof/>
        </w:rPr>
        <w:t>Prezenta propunere se referă la modificarea Deciziei (UE) 2021/1875 a Consiliului</w:t>
      </w:r>
      <w:r w:rsidRPr="004612D5">
        <w:rPr>
          <w:rStyle w:val="FootnoteReference"/>
          <w:rFonts w:eastAsia="Arial Unicode MS"/>
          <w:noProof/>
        </w:rPr>
        <w:footnoteReference w:id="1"/>
      </w:r>
      <w:r w:rsidRPr="004612D5">
        <w:rPr>
          <w:noProof/>
        </w:rPr>
        <w:t xml:space="preserve"> privind poziția care urmează să fie adoptată în numele Uniunii în cadrul consultărilor anuale cu Regatul Unit pentru a se conveni asupra capturilor totale admisibile. </w:t>
      </w:r>
    </w:p>
    <w:p w:rsidR="00623396" w:rsidRPr="004612D5" w:rsidRDefault="00623396" w:rsidP="00736AA9">
      <w:pPr>
        <w:rPr>
          <w:rFonts w:eastAsia="Arial Unicode MS"/>
          <w:noProof/>
        </w:rPr>
      </w:pPr>
      <w:r w:rsidRPr="004612D5">
        <w:rPr>
          <w:noProof/>
        </w:rPr>
        <w:t>Prezenta propunere vizează modificarea Deciziei (UE) 2021/1875 prin prelungirea aplicării sale până la 30 iunie 2038.</w:t>
      </w:r>
    </w:p>
    <w:p w:rsidR="00AB6BC8" w:rsidRPr="004612D5" w:rsidRDefault="00AB6BC8" w:rsidP="00736AA9">
      <w:pPr>
        <w:pStyle w:val="ManualHeading1"/>
        <w:rPr>
          <w:noProof/>
        </w:rPr>
      </w:pPr>
      <w:r>
        <w:rPr>
          <w:noProof/>
        </w:rPr>
        <w:t>2.</w:t>
      </w:r>
      <w:r>
        <w:rPr>
          <w:noProof/>
        </w:rPr>
        <w:tab/>
      </w:r>
      <w:r w:rsidRPr="004612D5">
        <w:rPr>
          <w:noProof/>
        </w:rPr>
        <w:t>Contextul propunerii</w:t>
      </w:r>
    </w:p>
    <w:p w:rsidR="008D5664" w:rsidRPr="004612D5" w:rsidRDefault="00AB6BC8" w:rsidP="008D5664">
      <w:pPr>
        <w:rPr>
          <w:rFonts w:eastAsia="Arial Unicode MS"/>
          <w:noProof/>
        </w:rPr>
      </w:pPr>
      <w:bookmarkStart w:id="1" w:name="_Hlk228801237"/>
      <w:bookmarkStart w:id="2" w:name="_Hlk228801311"/>
      <w:r w:rsidRPr="004612D5">
        <w:rPr>
          <w:noProof/>
        </w:rPr>
        <w:t>Acordul comercial și de cooperare între Uniunea Europeană și Comunitatea Europeană a Energiei Atomice, pe de o parte, și Regatul Unit al Marii Britanii și Irlandei de Nord, pe de altă parte (denumit în continuare „Acordul comercial și de cooperare”)</w:t>
      </w:r>
      <w:r w:rsidRPr="004612D5">
        <w:rPr>
          <w:rStyle w:val="FootnoteReference"/>
          <w:rFonts w:eastAsia="Arial Unicode MS"/>
          <w:noProof/>
        </w:rPr>
        <w:footnoteReference w:id="2"/>
      </w:r>
      <w:bookmarkEnd w:id="1"/>
      <w:r w:rsidRPr="004612D5">
        <w:rPr>
          <w:noProof/>
        </w:rPr>
        <w:t xml:space="preserve"> </w:t>
      </w:r>
      <w:bookmarkEnd w:id="2"/>
      <w:r w:rsidRPr="004612D5">
        <w:rPr>
          <w:noProof/>
        </w:rPr>
        <w:t>a intrat în vigoare la 1</w:t>
      </w:r>
      <w:r w:rsidR="004612D5" w:rsidRPr="004612D5">
        <w:rPr>
          <w:noProof/>
        </w:rPr>
        <w:t> </w:t>
      </w:r>
      <w:r w:rsidRPr="004612D5">
        <w:rPr>
          <w:noProof/>
        </w:rPr>
        <w:t>mai 2021 și prevede că Uniunea și Regatul Unit trebuie să organizeze consultări anuale pentru a conveni asupra capturilor totale admisibile aplicabile stocurilor comune pentru anul următor sau anii următori în temeiul articolului 498. Comisia, în numele Uniunii, se angajează în aceste consultări anuale cu Regatul Unit.</w:t>
      </w:r>
    </w:p>
    <w:p w:rsidR="004A2A64" w:rsidRPr="004612D5" w:rsidRDefault="008D5664" w:rsidP="004A2A64">
      <w:pPr>
        <w:rPr>
          <w:noProof/>
        </w:rPr>
      </w:pPr>
      <w:r w:rsidRPr="004612D5">
        <w:rPr>
          <w:noProof/>
        </w:rPr>
        <w:t>La 22 octombrie 2021, Consiliul a adoptat Decizia (UE) 2021/1875, care stabilește procedura, precum și principiile și orientările referitoare la poziția care urmează să fie adoptată în numele Uniunii în cadrul consultărilor anuale cu Regatul Unit cu privire la posibilitățile de pescuit pentru stocurile comune, inclusiv stocurile de specii de adâncime, în temeiul articolului 498 din Acordul comercial și de cooperare. În special, Decizia (UE) 2021/1875 autorizează Comisia să desfășoare aceste consultări și prevede că poziția Uniunii se bazează pe cele mai bune avize științifice disponibile, pe abordarea precaută și pe obiectivul de refacere și menținere a populațiilor peste nivelurile care pot să asigure producția maximă durabilă. Prin urmare, Decizia (UE) 2021/1875 pune în aplicare principiile și orientările politicii comune în domeniul pescuitului (PCP), astfel cum sunt prevăzute în Regulamentul (UE) nr. 1380/2013, în special la articolele 2, 28 și 33. De asemenea, aceasta pune în aplicare dispozițiile planurilor multianuale prevăzute în Regulamentul (UE) 2018/973 de stabilire a unui plan multianual pentru stocurile demersale din Marea Nordului</w:t>
      </w:r>
      <w:r w:rsidRPr="004612D5">
        <w:rPr>
          <w:rStyle w:val="FootnoteReference"/>
          <w:noProof/>
        </w:rPr>
        <w:footnoteReference w:id="3"/>
      </w:r>
      <w:r w:rsidRPr="004612D5">
        <w:rPr>
          <w:noProof/>
        </w:rPr>
        <w:t xml:space="preserve"> și în Regulamentul (UE) 2019/472 de stabilire a unui plan multianual pentru stocurile pescuite în apele occidentale</w:t>
      </w:r>
      <w:r w:rsidRPr="004612D5">
        <w:rPr>
          <w:rStyle w:val="FootnoteReference"/>
          <w:noProof/>
        </w:rPr>
        <w:footnoteReference w:id="4"/>
      </w:r>
      <w:r w:rsidRPr="004612D5">
        <w:rPr>
          <w:noProof/>
        </w:rPr>
        <w:t>.</w:t>
      </w:r>
    </w:p>
    <w:p w:rsidR="008D5664" w:rsidRPr="004612D5" w:rsidRDefault="00955FFA" w:rsidP="008D5664">
      <w:pPr>
        <w:rPr>
          <w:rFonts w:eastAsia="Arial Unicode MS"/>
          <w:noProof/>
        </w:rPr>
      </w:pPr>
      <w:r w:rsidRPr="004612D5">
        <w:rPr>
          <w:noProof/>
        </w:rPr>
        <w:lastRenderedPageBreak/>
        <w:t xml:space="preserve">În plus, decizia stabilește principiile și modalitățile de pregătire și desfășurare a consultărilor, inclusiv coordonarea cu Consiliul și informarea Parlamentului European, și permite actualizarea poziției Uniunii în lumina noilor avize științifice sau a evoluțiilor din cursul consultărilor. </w:t>
      </w:r>
    </w:p>
    <w:p w:rsidR="008D5664" w:rsidRPr="004612D5" w:rsidRDefault="008D5664" w:rsidP="008D5664">
      <w:pPr>
        <w:rPr>
          <w:rFonts w:eastAsia="Arial Unicode MS"/>
          <w:noProof/>
        </w:rPr>
      </w:pPr>
      <w:r w:rsidRPr="004612D5">
        <w:rPr>
          <w:noProof/>
        </w:rPr>
        <w:t>Decizia (UE) 2021/1875 a fost reexaminată în iulie 2023, cu scopul de a evalua dacă decizia Consiliului a devenit operațională până la momentul respectiv și dacă consultările cu Regatul Unit s-au desfășurat în conformitate cu principiile și orientările stabilite în aceasta.</w:t>
      </w:r>
      <w:r w:rsidRPr="004612D5">
        <w:rPr>
          <w:rStyle w:val="normaltextrun"/>
          <w:noProof/>
        </w:rPr>
        <w:t xml:space="preserve"> </w:t>
      </w:r>
      <w:r w:rsidRPr="004612D5">
        <w:rPr>
          <w:noProof/>
        </w:rPr>
        <w:t xml:space="preserve">Reexaminarea a stabilit că nu este necesară nicio revizuire și că nu au fost identificate probleme de punere în aplicare. Discuțiile de consultare anuale se desfășoară în conformitate cu pozițiile stabilite de Consiliu și cu principiile și orientările stabilite în Decizia (UE) 2021/1875. Pregătirea consultării anuale privind posibilitățile de pescuit are loc în cadrul Grupului de lucru al Consiliului pentru politica în domeniul pescuitului și urmează procesul instituit în temeiul articolului 2 din Decizia (UE) 2021/1875. </w:t>
      </w:r>
      <w:bookmarkStart w:id="3" w:name="_Hlk230005028"/>
      <w:r w:rsidRPr="004612D5">
        <w:rPr>
          <w:noProof/>
        </w:rPr>
        <w:t>Se consideră că Decizia (UE) 2021/1875 este în continuare adecvată scopului și nu ar necesita nicio revizuire în această etapă.</w:t>
      </w:r>
    </w:p>
    <w:bookmarkEnd w:id="3"/>
    <w:p w:rsidR="00AB6BC8" w:rsidRPr="004612D5" w:rsidRDefault="00AB6BC8" w:rsidP="00AB6BC8">
      <w:pPr>
        <w:pStyle w:val="ManualHeading1"/>
        <w:rPr>
          <w:rFonts w:eastAsia="Arial Unicode MS"/>
          <w:noProof/>
        </w:rPr>
      </w:pPr>
      <w:r>
        <w:rPr>
          <w:noProof/>
        </w:rPr>
        <w:t>3.</w:t>
      </w:r>
      <w:r>
        <w:rPr>
          <w:noProof/>
        </w:rPr>
        <w:tab/>
      </w:r>
      <w:r w:rsidRPr="004612D5">
        <w:rPr>
          <w:noProof/>
        </w:rPr>
        <w:t>Poziția care trebuie adoptată în numele Uniunii</w:t>
      </w:r>
    </w:p>
    <w:p w:rsidR="00AB6BC8" w:rsidRPr="004612D5" w:rsidRDefault="00E13E7A" w:rsidP="00E13E7A">
      <w:pPr>
        <w:rPr>
          <w:noProof/>
        </w:rPr>
      </w:pPr>
      <w:r w:rsidRPr="004612D5">
        <w:rPr>
          <w:noProof/>
        </w:rPr>
        <w:t>Conform articolului 218 alineatul (9) din Tratatul privind funcționarea Uniunii Europene (TFUE), Consiliul adoptă, la propunerea Comisiei, pozițiile care urmează să fie adoptate în numele Uniunii în cadrul unui organism creat printr-un acord, în cazul în care acest organism trebuie să adopte acte cu efecte juridice, cu excepția actelor care modifică sau completează cadrul instituțional al acordului. Prin urmare, pozițiile care urmează să fie adoptate în numele Uniunii în cadrul consultărilor anuale privind posibilitățile de pescuit cu Regatul Unit în temeiul Acordului comercial și de cooperare sunt adoptate în temeiul articolului 218 alineatul (9) din TFUE.</w:t>
      </w:r>
    </w:p>
    <w:p w:rsidR="00E13E7A" w:rsidRPr="004612D5" w:rsidRDefault="00E13E7A" w:rsidP="00E13E7A">
      <w:pPr>
        <w:rPr>
          <w:rFonts w:eastAsia="Arial Unicode MS"/>
          <w:noProof/>
        </w:rPr>
      </w:pPr>
      <w:r w:rsidRPr="004612D5">
        <w:rPr>
          <w:noProof/>
        </w:rPr>
        <w:t>Decizia (UE) 2021/1875 stabilește principiile și orientările pentru poziția care trebuie adoptată de Uniune în cadrul consultărilor anuale cu Regatul Unit privind posibilitățile de pescuit, în special în ceea ce privește stabilirea capturilor totale admisibile (TAC) pentru stocurile comune, asigurând totodată coordonarea corespunzătoare între Comisie și Consiliu.</w:t>
      </w:r>
    </w:p>
    <w:p w:rsidR="00E13E7A" w:rsidRPr="004612D5" w:rsidRDefault="00E13E7A" w:rsidP="00736AA9">
      <w:pPr>
        <w:rPr>
          <w:noProof/>
        </w:rPr>
      </w:pPr>
      <w:r w:rsidRPr="004612D5">
        <w:rPr>
          <w:noProof/>
        </w:rPr>
        <w:t>Având în vedere că Decizia (UE) 2021/1875 s-a dovedit a fi adecvată scopului, prezenta propunere vizează prelungirea aplicării Deciziei (UE) 2021/1875 până la 30 iunie 2038, astfel încât să se stabilească poziția care urmează să fie adoptată în numele Uniunii în cadrul consultărilor anuale cu Regatul Unit, întrucât rezultatul consultărilor respective ar trebui să fie transpus în dreptul Uniunii.</w:t>
      </w:r>
    </w:p>
    <w:p w:rsidR="00AB6BC8" w:rsidRPr="004612D5" w:rsidRDefault="00AB6BC8" w:rsidP="00736AA9">
      <w:pPr>
        <w:pStyle w:val="ManualHeading1"/>
        <w:rPr>
          <w:noProof/>
        </w:rPr>
      </w:pPr>
      <w:r>
        <w:rPr>
          <w:noProof/>
        </w:rPr>
        <w:t>4.</w:t>
      </w:r>
      <w:r>
        <w:rPr>
          <w:noProof/>
        </w:rPr>
        <w:tab/>
      </w:r>
      <w:r w:rsidRPr="004612D5">
        <w:rPr>
          <w:noProof/>
        </w:rPr>
        <w:t>Temei juridic</w:t>
      </w:r>
    </w:p>
    <w:p w:rsidR="00AB6BC8" w:rsidRPr="004612D5" w:rsidRDefault="00AB6BC8" w:rsidP="00736AA9">
      <w:pPr>
        <w:pStyle w:val="ManualHeading2"/>
        <w:rPr>
          <w:noProof/>
        </w:rPr>
      </w:pPr>
      <w:r>
        <w:rPr>
          <w:noProof/>
        </w:rPr>
        <w:t>4.1.</w:t>
      </w:r>
      <w:r>
        <w:rPr>
          <w:noProof/>
        </w:rPr>
        <w:tab/>
      </w:r>
      <w:r w:rsidRPr="004612D5">
        <w:rPr>
          <w:noProof/>
        </w:rPr>
        <w:t>Temeiul juridic procedural</w:t>
      </w:r>
    </w:p>
    <w:p w:rsidR="00AB6BC8" w:rsidRPr="004612D5" w:rsidRDefault="00AB6BC8" w:rsidP="00AB6BC8">
      <w:pPr>
        <w:pStyle w:val="ManualHeading3"/>
        <w:tabs>
          <w:tab w:val="clear" w:pos="850"/>
          <w:tab w:val="num" w:pos="1984"/>
        </w:tabs>
        <w:ind w:left="1984" w:hanging="567"/>
        <w:rPr>
          <w:noProof/>
        </w:rPr>
      </w:pPr>
      <w:r>
        <w:rPr>
          <w:noProof/>
        </w:rPr>
        <w:t>4.1.1.</w:t>
      </w:r>
      <w:r>
        <w:rPr>
          <w:noProof/>
        </w:rPr>
        <w:tab/>
      </w:r>
      <w:r w:rsidRPr="004612D5">
        <w:rPr>
          <w:noProof/>
        </w:rPr>
        <w:t>Principii</w:t>
      </w:r>
    </w:p>
    <w:p w:rsidR="00AB6BC8" w:rsidRPr="004612D5" w:rsidRDefault="00AB6BC8" w:rsidP="00736AA9">
      <w:pPr>
        <w:rPr>
          <w:noProof/>
        </w:rPr>
      </w:pPr>
      <w:r w:rsidRPr="004612D5">
        <w:rPr>
          <w:noProof/>
        </w:rPr>
        <w:t>Articolul 218 alineatul (9) din Tratatul privind funcționarea Uniunii Europene (TFUE) prevede posibilitatea adoptării unor decizii de stabilire a „</w:t>
      </w:r>
      <w:r w:rsidRPr="004612D5">
        <w:rPr>
          <w:i/>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4612D5">
        <w:rPr>
          <w:noProof/>
        </w:rPr>
        <w:t>.”</w:t>
      </w:r>
    </w:p>
    <w:p w:rsidR="00AB6BC8" w:rsidRPr="004612D5" w:rsidRDefault="00AB6BC8" w:rsidP="00AB6BC8">
      <w:pPr>
        <w:pStyle w:val="ManualHeading3"/>
        <w:tabs>
          <w:tab w:val="clear" w:pos="850"/>
          <w:tab w:val="num" w:pos="1984"/>
        </w:tabs>
        <w:ind w:left="1984" w:hanging="567"/>
        <w:rPr>
          <w:noProof/>
        </w:rPr>
      </w:pPr>
      <w:r>
        <w:rPr>
          <w:noProof/>
        </w:rPr>
        <w:t>4.1.2.</w:t>
      </w:r>
      <w:r>
        <w:rPr>
          <w:noProof/>
        </w:rPr>
        <w:tab/>
      </w:r>
      <w:r w:rsidRPr="004612D5">
        <w:rPr>
          <w:noProof/>
        </w:rPr>
        <w:t>Aplicarea la cazul în discuție</w:t>
      </w:r>
    </w:p>
    <w:p w:rsidR="00623396" w:rsidRPr="004612D5" w:rsidRDefault="00623396" w:rsidP="00736AA9">
      <w:pPr>
        <w:rPr>
          <w:noProof/>
        </w:rPr>
      </w:pPr>
      <w:r w:rsidRPr="004612D5">
        <w:rPr>
          <w:noProof/>
        </w:rPr>
        <w:t xml:space="preserve">În conformitate cu Acordul comercial și de cooperare, Uniunea și regatul Unit trebuie să se consulte cu privire la gestionarea în comun a resurselor biologice marine comune (în </w:t>
      </w:r>
      <w:r w:rsidRPr="004612D5">
        <w:rPr>
          <w:noProof/>
        </w:rPr>
        <w:lastRenderedPageBreak/>
        <w:t xml:space="preserve">particular a stocurilor comune de pește). Această obligație este conformă cu articolul 63 din Convenția Națiunilor Unite asupra dreptului mării. </w:t>
      </w:r>
    </w:p>
    <w:p w:rsidR="00623396" w:rsidRPr="004612D5" w:rsidRDefault="00623396" w:rsidP="00736AA9">
      <w:pPr>
        <w:rPr>
          <w:noProof/>
        </w:rPr>
      </w:pPr>
      <w:r w:rsidRPr="004612D5">
        <w:rPr>
          <w:noProof/>
        </w:rPr>
        <w:t xml:space="preserve">Consultările anuale sunt necesare pentru ca părțile să poată conveni asupra posibilităților de pescuit și a condițiilor legate în mod intrinsec în temeiul articolului 498 alineatul (2), al articolului 498 alineatul (4) literele (a)-(d) și al articolului 498 alineatul (6) din ACC. </w:t>
      </w:r>
    </w:p>
    <w:p w:rsidR="00AB6BC8" w:rsidRPr="004612D5" w:rsidRDefault="00AB6BC8" w:rsidP="00736AA9">
      <w:pPr>
        <w:rPr>
          <w:noProof/>
        </w:rPr>
      </w:pPr>
      <w:r w:rsidRPr="004612D5">
        <w:rPr>
          <w:noProof/>
        </w:rPr>
        <w:t>Actul avut în vedere nu aduce completări sau modificări cadrului instituțional al acordului.</w:t>
      </w:r>
    </w:p>
    <w:p w:rsidR="00AB6BC8" w:rsidRPr="004612D5" w:rsidRDefault="00AB6BC8" w:rsidP="00736AA9">
      <w:pPr>
        <w:rPr>
          <w:noProof/>
        </w:rPr>
      </w:pPr>
      <w:r w:rsidRPr="004612D5">
        <w:rPr>
          <w:noProof/>
        </w:rPr>
        <w:t>Prin urmare, temeiul juridic procedural al propunerii de decizie este articolul 218 alineatul (9) din TFUE.</w:t>
      </w:r>
    </w:p>
    <w:p w:rsidR="00AB6BC8" w:rsidRPr="004612D5" w:rsidRDefault="00AB6BC8" w:rsidP="00736AA9">
      <w:pPr>
        <w:pStyle w:val="ManualHeading2"/>
        <w:rPr>
          <w:noProof/>
        </w:rPr>
      </w:pPr>
      <w:r>
        <w:rPr>
          <w:noProof/>
        </w:rPr>
        <w:t>4.2.</w:t>
      </w:r>
      <w:r>
        <w:rPr>
          <w:noProof/>
        </w:rPr>
        <w:tab/>
      </w:r>
      <w:r w:rsidRPr="004612D5">
        <w:rPr>
          <w:noProof/>
        </w:rPr>
        <w:t>Temeiul juridic material</w:t>
      </w:r>
    </w:p>
    <w:p w:rsidR="00AB6BC8" w:rsidRPr="004612D5" w:rsidRDefault="00AB6BC8" w:rsidP="00AB6BC8">
      <w:pPr>
        <w:pStyle w:val="ManualHeading3"/>
        <w:tabs>
          <w:tab w:val="clear" w:pos="850"/>
          <w:tab w:val="num" w:pos="1984"/>
        </w:tabs>
        <w:ind w:left="1984" w:hanging="567"/>
        <w:rPr>
          <w:noProof/>
        </w:rPr>
      </w:pPr>
      <w:r>
        <w:rPr>
          <w:noProof/>
        </w:rPr>
        <w:t>4.2.1.</w:t>
      </w:r>
      <w:r>
        <w:rPr>
          <w:noProof/>
        </w:rPr>
        <w:tab/>
      </w:r>
      <w:r w:rsidRPr="004612D5">
        <w:rPr>
          <w:noProof/>
        </w:rPr>
        <w:t>Principii</w:t>
      </w:r>
    </w:p>
    <w:p w:rsidR="00AB6BC8" w:rsidRPr="004612D5" w:rsidRDefault="00AB6BC8" w:rsidP="00736AA9">
      <w:pPr>
        <w:rPr>
          <w:noProof/>
        </w:rPr>
      </w:pPr>
      <w:r w:rsidRPr="004612D5">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AB6BC8" w:rsidRPr="004612D5" w:rsidRDefault="00AB6BC8" w:rsidP="00AB6BC8">
      <w:pPr>
        <w:pStyle w:val="ManualHeading3"/>
        <w:tabs>
          <w:tab w:val="clear" w:pos="850"/>
          <w:tab w:val="num" w:pos="1984"/>
        </w:tabs>
        <w:ind w:left="1984" w:hanging="567"/>
        <w:rPr>
          <w:noProof/>
        </w:rPr>
      </w:pPr>
      <w:r>
        <w:rPr>
          <w:noProof/>
        </w:rPr>
        <w:t>4.2.2.</w:t>
      </w:r>
      <w:r>
        <w:rPr>
          <w:noProof/>
        </w:rPr>
        <w:tab/>
      </w:r>
      <w:r w:rsidRPr="004612D5">
        <w:rPr>
          <w:noProof/>
        </w:rPr>
        <w:t>Aplicarea la cazul în discuție</w:t>
      </w:r>
    </w:p>
    <w:p w:rsidR="00AB6BC8" w:rsidRPr="004612D5" w:rsidRDefault="00AB6BC8" w:rsidP="00736AA9">
      <w:pPr>
        <w:rPr>
          <w:noProof/>
        </w:rPr>
      </w:pPr>
      <w:r w:rsidRPr="004612D5">
        <w:rPr>
          <w:noProof/>
        </w:rPr>
        <w:t xml:space="preserve">Obiectivul principal și conținutul actului avut în vedere se referă la stabilirea posibilităților anuale de pescuit pentru stocurile comune între Uniune și Regatul Unit. </w:t>
      </w:r>
    </w:p>
    <w:p w:rsidR="00AB6BC8" w:rsidRPr="004612D5" w:rsidRDefault="00AB6BC8" w:rsidP="00736AA9">
      <w:pPr>
        <w:rPr>
          <w:noProof/>
        </w:rPr>
      </w:pPr>
      <w:r w:rsidRPr="004612D5">
        <w:rPr>
          <w:noProof/>
        </w:rPr>
        <w:t>Prin urmare, temeiul juridic material al deciziei propuse este articolul 43 alineatul (3) din TFUE.</w:t>
      </w:r>
    </w:p>
    <w:p w:rsidR="00AB6BC8" w:rsidRPr="004612D5" w:rsidRDefault="00AB6BC8" w:rsidP="00736AA9">
      <w:pPr>
        <w:pStyle w:val="ManualHeading2"/>
        <w:rPr>
          <w:noProof/>
        </w:rPr>
      </w:pPr>
      <w:r>
        <w:rPr>
          <w:noProof/>
        </w:rPr>
        <w:t>4.3.</w:t>
      </w:r>
      <w:r>
        <w:rPr>
          <w:noProof/>
        </w:rPr>
        <w:tab/>
      </w:r>
      <w:r w:rsidRPr="004612D5">
        <w:rPr>
          <w:noProof/>
        </w:rPr>
        <w:t>Concluzie</w:t>
      </w:r>
    </w:p>
    <w:p w:rsidR="00AB6BC8" w:rsidRPr="004612D5" w:rsidRDefault="00AB6BC8" w:rsidP="00736AA9">
      <w:pPr>
        <w:rPr>
          <w:noProof/>
        </w:rPr>
      </w:pPr>
      <w:r w:rsidRPr="004612D5">
        <w:rPr>
          <w:noProof/>
        </w:rPr>
        <w:t>Temeiul juridic al deciziei propuse trebuie să fie articolul 43 alineatul (3) din TFUE coroborat cu articolul 218 alineatul (9) din TFUE.</w:t>
      </w:r>
    </w:p>
    <w:p w:rsidR="00AB6BC8" w:rsidRPr="004612D5" w:rsidRDefault="0034471A" w:rsidP="00D86C08">
      <w:pPr>
        <w:spacing w:before="0" w:after="200" w:line="276" w:lineRule="auto"/>
        <w:jc w:val="left"/>
        <w:rPr>
          <w:noProof/>
        </w:rPr>
        <w:sectPr w:rsidR="00AB6BC8" w:rsidRPr="004612D5" w:rsidSect="001343FC">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r w:rsidRPr="004612D5">
        <w:rPr>
          <w:noProof/>
        </w:rPr>
        <w:br w:type="page"/>
      </w:r>
    </w:p>
    <w:p w:rsidR="00544034" w:rsidRDefault="00194CE3">
      <w:pPr>
        <w:pStyle w:val="Rfrenceinterinstitutionnelle"/>
        <w:rPr>
          <w:noProof/>
        </w:rPr>
      </w:pPr>
      <w:r>
        <w:rPr>
          <w:noProof/>
        </w:rPr>
        <w:lastRenderedPageBreak/>
        <w:t>2026/0159 (NLE)</w:t>
      </w:r>
    </w:p>
    <w:p w:rsidR="00AB6BC8" w:rsidRPr="004612D5" w:rsidRDefault="003F67E4" w:rsidP="003F67E4">
      <w:pPr>
        <w:pStyle w:val="Statut"/>
        <w:rPr>
          <w:noProof/>
        </w:rPr>
      </w:pPr>
      <w:r w:rsidRPr="004612D5">
        <w:rPr>
          <w:noProof/>
        </w:rPr>
        <w:t>Propunere de</w:t>
      </w:r>
    </w:p>
    <w:p w:rsidR="00AB6BC8" w:rsidRPr="004612D5" w:rsidRDefault="003F67E4" w:rsidP="003F67E4">
      <w:pPr>
        <w:pStyle w:val="Typedudocument"/>
        <w:rPr>
          <w:noProof/>
        </w:rPr>
      </w:pPr>
      <w:r w:rsidRPr="004612D5">
        <w:rPr>
          <w:noProof/>
        </w:rPr>
        <w:t>DECIZIE A CONSILIULUI</w:t>
      </w:r>
    </w:p>
    <w:p w:rsidR="00AB6BC8" w:rsidRPr="004612D5" w:rsidRDefault="003F67E4" w:rsidP="003F67E4">
      <w:pPr>
        <w:pStyle w:val="Titreobjet"/>
        <w:rPr>
          <w:noProof/>
        </w:rPr>
      </w:pPr>
      <w:r w:rsidRPr="004612D5">
        <w:rPr>
          <w:noProof/>
        </w:rPr>
        <w:t>de modificare a Deciziei 2021/1875 a Consiliului din 22 octombrie 2021 privind poziția care urmează să fie adoptată în numele Uniunii în cadrul consultărilor anuale cu Regatul Unit pentru a se conveni asupra capturilor totale admisibile</w:t>
      </w:r>
    </w:p>
    <w:p w:rsidR="00AB6BC8" w:rsidRPr="004612D5" w:rsidRDefault="00AB6BC8" w:rsidP="00BE7CB9">
      <w:pPr>
        <w:pStyle w:val="Institutionquiagit"/>
        <w:rPr>
          <w:noProof/>
        </w:rPr>
      </w:pPr>
      <w:r w:rsidRPr="004612D5">
        <w:rPr>
          <w:noProof/>
        </w:rPr>
        <w:t>CONSILIUL UNIUNII EUROPENE,</w:t>
      </w:r>
    </w:p>
    <w:p w:rsidR="00AB6BC8" w:rsidRPr="004612D5" w:rsidRDefault="00AB6BC8" w:rsidP="00BE7CB9">
      <w:pPr>
        <w:rPr>
          <w:noProof/>
        </w:rPr>
      </w:pPr>
      <w:r w:rsidRPr="004612D5">
        <w:rPr>
          <w:noProof/>
        </w:rPr>
        <w:t>având în vedere Tratatul privind funcționarea Uniunii Europene, în special articolul 43 alineatul (3), coroborat cu articolul 218 alineatul (9),</w:t>
      </w:r>
    </w:p>
    <w:p w:rsidR="00AB6BC8" w:rsidRPr="004612D5" w:rsidRDefault="00AB6BC8" w:rsidP="00BE7CB9">
      <w:pPr>
        <w:rPr>
          <w:noProof/>
        </w:rPr>
      </w:pPr>
      <w:r w:rsidRPr="004612D5">
        <w:rPr>
          <w:noProof/>
        </w:rPr>
        <w:t>având în vedere propunerea Comisiei Europene,</w:t>
      </w:r>
    </w:p>
    <w:p w:rsidR="00AB6BC8" w:rsidRPr="004612D5" w:rsidRDefault="00AB6BC8" w:rsidP="00BE7CB9">
      <w:pPr>
        <w:rPr>
          <w:noProof/>
        </w:rPr>
      </w:pPr>
      <w:r w:rsidRPr="004612D5">
        <w:rPr>
          <w:noProof/>
        </w:rPr>
        <w:t>întrucât:</w:t>
      </w:r>
    </w:p>
    <w:p w:rsidR="00D16BF7" w:rsidRPr="004612D5" w:rsidRDefault="00D16BF7" w:rsidP="00204224">
      <w:pPr>
        <w:pStyle w:val="ManualConsidrant"/>
        <w:rPr>
          <w:noProof/>
        </w:rPr>
      </w:pPr>
      <w:r>
        <w:rPr>
          <w:noProof/>
        </w:rPr>
        <w:t>(1)</w:t>
      </w:r>
      <w:r>
        <w:rPr>
          <w:noProof/>
        </w:rPr>
        <w:tab/>
      </w:r>
      <w:r w:rsidRPr="004612D5">
        <w:rPr>
          <w:noProof/>
        </w:rPr>
        <w:t>La 22 octombrie 2021, Consiliul a adoptat Decizia (UE) 2021/1875</w:t>
      </w:r>
      <w:r w:rsidRPr="004612D5">
        <w:rPr>
          <w:rStyle w:val="FootnoteReference"/>
          <w:noProof/>
        </w:rPr>
        <w:footnoteReference w:id="5"/>
      </w:r>
      <w:r w:rsidRPr="004612D5">
        <w:rPr>
          <w:noProof/>
        </w:rPr>
        <w:t>, care stabilește principiile și orientările pentru poziția care urmează să fie adoptată în numele Uniunii în cadrul consultărilor anuale cu Regatul Unit referitoare la posibilitățile de pescuit pentru stocurile comune, inclusiv stocurile de pești de adâncime, în temeiul articolului 498 din Acordul comercial și de cooperare dintre Uniunea Europeană și Comunitatea Europeană a Energiei Atomice, pe de o parte, și Regatul Unit al Marii Britanii și Irlandei de Nord, pe de altă parte (denumit în continuare „Acordul comercial și de cooperare”)</w:t>
      </w:r>
      <w:r w:rsidRPr="004612D5">
        <w:rPr>
          <w:rStyle w:val="FootnoteReference"/>
          <w:noProof/>
        </w:rPr>
        <w:footnoteReference w:id="6"/>
      </w:r>
      <w:r w:rsidRPr="004612D5">
        <w:rPr>
          <w:noProof/>
        </w:rPr>
        <w:t xml:space="preserve">. </w:t>
      </w:r>
      <w:bookmarkStart w:id="4" w:name="_Hlk229432862"/>
      <w:r w:rsidRPr="004612D5">
        <w:rPr>
          <w:noProof/>
        </w:rPr>
        <w:t>În cadrul acestui proces, Comisia desfășoară consultări în numele Uniunii pe baza pozițiilor Uniunii specificate de Consiliu în temeiul dispozițiilor relevante din tratat, asigurând în același timp o coordonare strânsă cu Consiliul și cu grupurile sale de pregătire, în conformitate cu principiul cooperării loiale dintre instituțiile Uniunii prevăzut la articolul 13 alineatul (2) din Tratatul privind Uniunea Europeană.</w:t>
      </w:r>
      <w:bookmarkEnd w:id="4"/>
    </w:p>
    <w:p w:rsidR="00F257FC" w:rsidRPr="004612D5" w:rsidRDefault="00F257FC" w:rsidP="00D16BF7">
      <w:pPr>
        <w:pStyle w:val="ManualConsidrant"/>
        <w:rPr>
          <w:noProof/>
        </w:rPr>
      </w:pPr>
      <w:r>
        <w:rPr>
          <w:noProof/>
        </w:rPr>
        <w:t>(2)</w:t>
      </w:r>
      <w:r>
        <w:rPr>
          <w:noProof/>
        </w:rPr>
        <w:tab/>
      </w:r>
      <w:r w:rsidRPr="004612D5">
        <w:rPr>
          <w:noProof/>
        </w:rPr>
        <w:t>O reexaminare a Deciziei (UE) 2021/1875 a avut loc în iulie 2023 și s-a concluzionat că nu sunt necesare modificări. Având în vedere că de atunci nu au fost identificate probleme de punere în aplicare, Decizia (UE) 2021/1875 rămâne adecvată scopului.</w:t>
      </w:r>
    </w:p>
    <w:p w:rsidR="00D16BF7" w:rsidRPr="004612D5" w:rsidRDefault="00D16BF7" w:rsidP="00AB6BC8">
      <w:pPr>
        <w:pStyle w:val="ManualConsidrant"/>
        <w:rPr>
          <w:noProof/>
        </w:rPr>
      </w:pPr>
      <w:r>
        <w:rPr>
          <w:noProof/>
        </w:rPr>
        <w:t>(3)</w:t>
      </w:r>
      <w:r>
        <w:rPr>
          <w:noProof/>
        </w:rPr>
        <w:tab/>
      </w:r>
      <w:r w:rsidRPr="004612D5">
        <w:rPr>
          <w:noProof/>
        </w:rPr>
        <w:t>Decizia (UE) 2021/1875 expiră la 30 iunie 2027. Prin urmare, este oportun să se extindă aplicarea sa în ceea ce privește poziția care urmează să fie adoptată în numele Uniunii în cadrul consultărilor anuale cu Regatul Unit referitoare la posibilitățile de pescuit pentru stocurile comune, dat fiind faptul că rezultatul consultărilor respective trebuie să fie transpus în dreptul Uniunii.</w:t>
      </w:r>
    </w:p>
    <w:p w:rsidR="00F82220" w:rsidRPr="004612D5" w:rsidRDefault="00F82220" w:rsidP="00AB6BC8">
      <w:pPr>
        <w:pStyle w:val="ManualConsidrant"/>
        <w:rPr>
          <w:noProof/>
        </w:rPr>
      </w:pPr>
      <w:r>
        <w:rPr>
          <w:noProof/>
        </w:rPr>
        <w:t>(4)</w:t>
      </w:r>
      <w:r>
        <w:rPr>
          <w:noProof/>
        </w:rPr>
        <w:tab/>
      </w:r>
      <w:bookmarkStart w:id="5" w:name="_Hlk228800370"/>
      <w:r w:rsidRPr="004612D5">
        <w:rPr>
          <w:noProof/>
        </w:rPr>
        <w:t>Comisia trebuie să efectueze o reexaminare a punerii în aplicare efective a Deciziei (UE) 2021/1875. Reexaminarea ar trebui să stabilească dacă sunt necesare revizuiri și, dacă este cazul, ea trebuie să fie însoțită de o propunere de revizuire</w:t>
      </w:r>
      <w:bookmarkEnd w:id="5"/>
      <w:r w:rsidRPr="004612D5">
        <w:rPr>
          <w:noProof/>
        </w:rPr>
        <w:t>.</w:t>
      </w:r>
    </w:p>
    <w:p w:rsidR="00AB6BC8" w:rsidRPr="004612D5" w:rsidRDefault="00D16BF7" w:rsidP="00AB6BC8">
      <w:pPr>
        <w:pStyle w:val="ManualConsidrant"/>
        <w:rPr>
          <w:noProof/>
        </w:rPr>
      </w:pPr>
      <w:r>
        <w:rPr>
          <w:noProof/>
        </w:rPr>
        <w:lastRenderedPageBreak/>
        <w:t>(5)</w:t>
      </w:r>
      <w:r>
        <w:rPr>
          <w:noProof/>
        </w:rPr>
        <w:tab/>
      </w:r>
      <w:r w:rsidRPr="004612D5">
        <w:rPr>
          <w:noProof/>
        </w:rPr>
        <w:t xml:space="preserve">Parlamentul European este informat de îndată și pe deplin, astfel cu prevede se la articolul 218 alineatul (10) </w:t>
      </w:r>
      <w:bookmarkStart w:id="6" w:name="_Hlk228798673"/>
      <w:r w:rsidRPr="004612D5">
        <w:rPr>
          <w:noProof/>
        </w:rPr>
        <w:t>din Tratatul privind funcționarea Uniunii Europene</w:t>
      </w:r>
      <w:bookmarkEnd w:id="6"/>
      <w:r w:rsidRPr="004612D5">
        <w:rPr>
          <w:noProof/>
        </w:rPr>
        <w:t>.</w:t>
      </w:r>
    </w:p>
    <w:p w:rsidR="00AB6BC8" w:rsidRPr="004612D5" w:rsidRDefault="00D16BF7" w:rsidP="00AB6BC8">
      <w:pPr>
        <w:pStyle w:val="ManualConsidrant"/>
        <w:rPr>
          <w:noProof/>
        </w:rPr>
      </w:pPr>
      <w:r>
        <w:rPr>
          <w:noProof/>
        </w:rPr>
        <w:t>(6)</w:t>
      </w:r>
      <w:r>
        <w:rPr>
          <w:noProof/>
        </w:rPr>
        <w:tab/>
      </w:r>
      <w:r w:rsidRPr="004612D5">
        <w:rPr>
          <w:noProof/>
        </w:rPr>
        <w:t>Prin urmare, Decizia (UE) 2021/1875 trebuie să fie modificată în consecință,</w:t>
      </w:r>
    </w:p>
    <w:p w:rsidR="00AB6BC8" w:rsidRPr="004612D5" w:rsidRDefault="00AB6BC8" w:rsidP="00BE7CB9">
      <w:pPr>
        <w:pStyle w:val="Formuledadoption"/>
        <w:rPr>
          <w:noProof/>
        </w:rPr>
      </w:pPr>
      <w:r w:rsidRPr="004612D5">
        <w:rPr>
          <w:noProof/>
        </w:rPr>
        <w:t>ADOPTĂ PREZENTA DECIZIE:</w:t>
      </w:r>
    </w:p>
    <w:p w:rsidR="00AB6BC8" w:rsidRPr="004612D5" w:rsidRDefault="00AB6BC8" w:rsidP="00BE7CB9">
      <w:pPr>
        <w:pStyle w:val="Titrearticle"/>
        <w:rPr>
          <w:noProof/>
        </w:rPr>
      </w:pPr>
      <w:r w:rsidRPr="004612D5">
        <w:rPr>
          <w:noProof/>
        </w:rPr>
        <w:t>Articolul 1</w:t>
      </w:r>
    </w:p>
    <w:p w:rsidR="00E13E7A" w:rsidRPr="004612D5" w:rsidRDefault="00E13E7A" w:rsidP="00BE7CB9">
      <w:pPr>
        <w:rPr>
          <w:noProof/>
        </w:rPr>
      </w:pPr>
      <w:r w:rsidRPr="004612D5">
        <w:rPr>
          <w:noProof/>
        </w:rPr>
        <w:t>Decizia (UE) 2021/1875 se modifică după cum urmează:</w:t>
      </w:r>
    </w:p>
    <w:p w:rsidR="00B77C28" w:rsidRPr="004612D5" w:rsidRDefault="00B77C28" w:rsidP="00204224">
      <w:pPr>
        <w:pStyle w:val="Point0"/>
        <w:rPr>
          <w:noProof/>
        </w:rPr>
      </w:pPr>
      <w:r>
        <w:rPr>
          <w:noProof/>
        </w:rPr>
        <w:t>(1)</w:t>
      </w:r>
      <w:r>
        <w:rPr>
          <w:noProof/>
        </w:rPr>
        <w:tab/>
      </w:r>
      <w:r w:rsidRPr="004612D5">
        <w:rPr>
          <w:noProof/>
        </w:rPr>
        <w:t>Articolul 3 se înlocuiește cu următorul text:</w:t>
      </w:r>
    </w:p>
    <w:p w:rsidR="00B77C28" w:rsidRPr="004612D5" w:rsidRDefault="00B77C28" w:rsidP="00B77C28">
      <w:pPr>
        <w:pStyle w:val="ListParagraph"/>
        <w:ind w:left="360"/>
        <w:rPr>
          <w:noProof/>
        </w:rPr>
      </w:pPr>
    </w:p>
    <w:p w:rsidR="00FE767B" w:rsidRPr="004612D5" w:rsidRDefault="00B77C28" w:rsidP="00B77C28">
      <w:pPr>
        <w:pStyle w:val="ListParagraph"/>
        <w:ind w:left="360"/>
        <w:rPr>
          <w:noProof/>
        </w:rPr>
      </w:pPr>
      <w:r w:rsidRPr="004612D5">
        <w:rPr>
          <w:noProof/>
        </w:rPr>
        <w:t xml:space="preserve">„Prezenta decizie se aplică până la 30 iunie 2038. </w:t>
      </w:r>
    </w:p>
    <w:p w:rsidR="00FE767B" w:rsidRPr="004612D5" w:rsidRDefault="00FE767B" w:rsidP="00B77C28">
      <w:pPr>
        <w:pStyle w:val="ListParagraph"/>
        <w:ind w:left="360"/>
        <w:rPr>
          <w:noProof/>
        </w:rPr>
      </w:pPr>
    </w:p>
    <w:p w:rsidR="00AB6BC8" w:rsidRPr="004612D5" w:rsidRDefault="00B77C28" w:rsidP="00B77C28">
      <w:pPr>
        <w:pStyle w:val="ListParagraph"/>
        <w:ind w:left="360"/>
        <w:rPr>
          <w:noProof/>
        </w:rPr>
      </w:pPr>
      <w:r w:rsidRPr="004612D5">
        <w:rPr>
          <w:noProof/>
        </w:rPr>
        <w:t>Ea este evaluată atunci când este necesar și, după caz, revizuită de Consiliu la propunerea Comisiei. În orice caz, până la 31 decembrie 2036 are loc o reexaminare.”</w:t>
      </w:r>
    </w:p>
    <w:p w:rsidR="00AB6BC8" w:rsidRPr="004612D5" w:rsidRDefault="00AB6BC8" w:rsidP="001068D5">
      <w:pPr>
        <w:pStyle w:val="Titrearticle"/>
        <w:rPr>
          <w:noProof/>
        </w:rPr>
      </w:pPr>
      <w:r w:rsidRPr="004612D5">
        <w:rPr>
          <w:noProof/>
        </w:rPr>
        <w:t>Articolul 2</w:t>
      </w:r>
    </w:p>
    <w:p w:rsidR="00AB6BC8" w:rsidRPr="004612D5" w:rsidRDefault="00B77C28" w:rsidP="00B77C28">
      <w:pPr>
        <w:rPr>
          <w:i/>
          <w:noProof/>
        </w:rPr>
      </w:pPr>
      <w:r w:rsidRPr="004612D5">
        <w:rPr>
          <w:noProof/>
        </w:rPr>
        <w:t xml:space="preserve">Prezenta decizie intră în vigoare la data publicării în </w:t>
      </w:r>
      <w:r w:rsidRPr="004612D5">
        <w:rPr>
          <w:i/>
          <w:iCs/>
          <w:noProof/>
        </w:rPr>
        <w:t>Jurnalul Oficial al Uniunii Europene</w:t>
      </w:r>
      <w:r w:rsidRPr="004612D5">
        <w:rPr>
          <w:noProof/>
        </w:rPr>
        <w:t xml:space="preserve">. </w:t>
      </w:r>
    </w:p>
    <w:p w:rsidR="00AB6BC8" w:rsidRPr="004612D5" w:rsidRDefault="003F67E4" w:rsidP="001068D5">
      <w:pPr>
        <w:pStyle w:val="Fait"/>
        <w:rPr>
          <w:noProof/>
        </w:rPr>
      </w:pPr>
      <w:r>
        <w:rPr>
          <w:noProof/>
        </w:rPr>
        <w:t>Adoptată la Bruxelles,</w:t>
      </w:r>
    </w:p>
    <w:p w:rsidR="00AB6BC8" w:rsidRPr="004612D5" w:rsidRDefault="00AB6BC8" w:rsidP="001068D5">
      <w:pPr>
        <w:pStyle w:val="Institutionquisigne"/>
        <w:rPr>
          <w:noProof/>
        </w:rPr>
      </w:pPr>
      <w:r w:rsidRPr="004612D5">
        <w:rPr>
          <w:noProof/>
        </w:rPr>
        <w:tab/>
        <w:t>Pentru Consiliu</w:t>
      </w:r>
    </w:p>
    <w:p w:rsidR="00AB6BC8" w:rsidRPr="004612D5" w:rsidRDefault="00AB6BC8" w:rsidP="00AB6BC8">
      <w:pPr>
        <w:pStyle w:val="Personnequisigne"/>
        <w:rPr>
          <w:noProof/>
        </w:rPr>
      </w:pPr>
      <w:r w:rsidRPr="004612D5">
        <w:rPr>
          <w:noProof/>
        </w:rPr>
        <w:tab/>
        <w:t>Președintele</w:t>
      </w:r>
    </w:p>
    <w:sectPr w:rsidR="00AB6BC8" w:rsidRPr="004612D5" w:rsidSect="001343FC">
      <w:footnotePr>
        <w:numRestart w:val="eachSect"/>
      </w:footnotePr>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D23" w:rsidRDefault="00055D23" w:rsidP="00AB6BC8">
      <w:pPr>
        <w:spacing w:before="0" w:after="0"/>
      </w:pPr>
      <w:r>
        <w:separator/>
      </w:r>
    </w:p>
  </w:endnote>
  <w:endnote w:type="continuationSeparator" w:id="0">
    <w:p w:rsidR="00055D23" w:rsidRDefault="00055D23" w:rsidP="00AB6B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FC" w:rsidRPr="001343FC" w:rsidRDefault="001343FC" w:rsidP="001343FC">
    <w:pPr>
      <w:pStyle w:val="Footer"/>
      <w:rPr>
        <w:rFonts w:ascii="Arial" w:hAnsi="Arial" w:cs="Arial"/>
        <w:b/>
        <w:sz w:val="48"/>
      </w:rPr>
    </w:pPr>
    <w:r w:rsidRPr="001343FC">
      <w:rPr>
        <w:rFonts w:ascii="Arial" w:hAnsi="Arial" w:cs="Arial"/>
        <w:b/>
        <w:sz w:val="48"/>
      </w:rPr>
      <w:t>RO</w:t>
    </w:r>
    <w:r w:rsidRPr="001343FC">
      <w:rPr>
        <w:rFonts w:ascii="Arial" w:hAnsi="Arial" w:cs="Arial"/>
        <w:b/>
        <w:sz w:val="48"/>
      </w:rPr>
      <w:tab/>
    </w:r>
    <w:r w:rsidRPr="001343FC">
      <w:rPr>
        <w:rFonts w:ascii="Arial" w:hAnsi="Arial" w:cs="Arial"/>
        <w:b/>
        <w:sz w:val="48"/>
      </w:rPr>
      <w:tab/>
    </w:r>
    <w:r w:rsidRPr="001343FC">
      <w:tab/>
    </w:r>
    <w:r w:rsidRPr="001343F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FC" w:rsidRPr="001343FC" w:rsidRDefault="001343FC" w:rsidP="001343FC">
    <w:pPr>
      <w:pStyle w:val="Footer"/>
      <w:rPr>
        <w:rFonts w:ascii="Arial" w:hAnsi="Arial" w:cs="Arial"/>
        <w:b/>
        <w:sz w:val="48"/>
      </w:rPr>
    </w:pPr>
    <w:r w:rsidRPr="001343FC">
      <w:rPr>
        <w:rFonts w:ascii="Arial" w:hAnsi="Arial" w:cs="Arial"/>
        <w:b/>
        <w:sz w:val="48"/>
      </w:rPr>
      <w:t>RO</w:t>
    </w:r>
    <w:r w:rsidRPr="001343FC">
      <w:rPr>
        <w:rFonts w:ascii="Arial" w:hAnsi="Arial" w:cs="Arial"/>
        <w:b/>
        <w:sz w:val="48"/>
      </w:rPr>
      <w:tab/>
    </w:r>
    <w:r w:rsidRPr="001343FC">
      <w:rPr>
        <w:rFonts w:ascii="Arial" w:hAnsi="Arial" w:cs="Arial"/>
        <w:b/>
        <w:sz w:val="48"/>
      </w:rPr>
      <w:tab/>
    </w:r>
    <w:r w:rsidRPr="001343FC">
      <w:tab/>
    </w:r>
    <w:r w:rsidRPr="001343F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FC" w:rsidRDefault="001343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FC" w:rsidRPr="001343FC" w:rsidRDefault="001343FC" w:rsidP="001343FC">
    <w:pPr>
      <w:pStyle w:val="Footer"/>
      <w:rPr>
        <w:rFonts w:ascii="Arial" w:hAnsi="Arial" w:cs="Arial"/>
        <w:b/>
        <w:sz w:val="48"/>
      </w:rPr>
    </w:pPr>
    <w:r w:rsidRPr="001343FC">
      <w:rPr>
        <w:rFonts w:ascii="Arial" w:hAnsi="Arial" w:cs="Arial"/>
        <w:b/>
        <w:sz w:val="48"/>
      </w:rPr>
      <w:t>RO</w:t>
    </w:r>
    <w:r w:rsidRPr="001343FC">
      <w:rPr>
        <w:rFonts w:ascii="Arial" w:hAnsi="Arial" w:cs="Arial"/>
        <w:b/>
        <w:sz w:val="48"/>
      </w:rPr>
      <w:tab/>
    </w:r>
    <w:r>
      <w:fldChar w:fldCharType="begin"/>
    </w:r>
    <w:r>
      <w:instrText xml:space="preserve"> PAGE  \* MERGEFORMAT </w:instrText>
    </w:r>
    <w:r>
      <w:fldChar w:fldCharType="separate"/>
    </w:r>
    <w:r w:rsidR="001068D5">
      <w:rPr>
        <w:noProof/>
      </w:rPr>
      <w:t>2</w:t>
    </w:r>
    <w:r>
      <w:fldChar w:fldCharType="end"/>
    </w:r>
    <w:r>
      <w:tab/>
    </w:r>
    <w:r w:rsidRPr="001343FC">
      <w:tab/>
    </w:r>
    <w:r w:rsidRPr="001343F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FC" w:rsidRDefault="001343FC" w:rsidP="00134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D23" w:rsidRDefault="00055D23" w:rsidP="00AB6BC8">
      <w:pPr>
        <w:spacing w:before="0" w:after="0"/>
      </w:pPr>
      <w:r>
        <w:separator/>
      </w:r>
    </w:p>
  </w:footnote>
  <w:footnote w:type="continuationSeparator" w:id="0">
    <w:p w:rsidR="00055D23" w:rsidRDefault="00055D23" w:rsidP="00AB6BC8">
      <w:pPr>
        <w:spacing w:before="0" w:after="0"/>
      </w:pPr>
      <w:r>
        <w:continuationSeparator/>
      </w:r>
    </w:p>
  </w:footnote>
  <w:footnote w:id="1">
    <w:p w:rsidR="00623396" w:rsidRPr="003F67E4" w:rsidRDefault="00623396" w:rsidP="00AD10FF">
      <w:pPr>
        <w:pStyle w:val="FootnoteText"/>
        <w:rPr>
          <w:b/>
          <w:bCs/>
        </w:rPr>
      </w:pPr>
      <w:r>
        <w:rPr>
          <w:rStyle w:val="FootnoteReference"/>
        </w:rPr>
        <w:footnoteRef/>
      </w:r>
      <w:r>
        <w:tab/>
      </w:r>
      <w:r w:rsidRPr="003F67E4">
        <w:t>Decizia (UE) </w:t>
      </w:r>
      <w:r w:rsidRPr="004612D5">
        <w:t>2021</w:t>
      </w:r>
      <w:r w:rsidRPr="003F67E4">
        <w:t>/</w:t>
      </w:r>
      <w:r w:rsidRPr="004612D5">
        <w:t>1875</w:t>
      </w:r>
      <w:r w:rsidRPr="003F67E4">
        <w:t xml:space="preserve"> a Consiliului din </w:t>
      </w:r>
      <w:r w:rsidRPr="004612D5">
        <w:t>22</w:t>
      </w:r>
      <w:r w:rsidRPr="003F67E4">
        <w:t> octombrie </w:t>
      </w:r>
      <w:r w:rsidRPr="004612D5">
        <w:t>2021</w:t>
      </w:r>
      <w:r w:rsidRPr="003F67E4">
        <w:t xml:space="preserve"> privind poziția care urmează să fie adoptată în numele Uniunii în cadrul consultărilor anuale cu Regatul Unit pentru a se conveni asupra capturilor totale admisibile (JO L </w:t>
      </w:r>
      <w:r w:rsidRPr="004612D5">
        <w:t>378</w:t>
      </w:r>
      <w:r w:rsidRPr="003F67E4">
        <w:t xml:space="preserve">, </w:t>
      </w:r>
      <w:r w:rsidRPr="004612D5">
        <w:t>26</w:t>
      </w:r>
      <w:r w:rsidRPr="003F67E4">
        <w:t>.</w:t>
      </w:r>
      <w:r w:rsidRPr="004612D5">
        <w:t>10</w:t>
      </w:r>
      <w:r w:rsidRPr="003F67E4">
        <w:t>.</w:t>
      </w:r>
      <w:r w:rsidRPr="004612D5">
        <w:t>2021</w:t>
      </w:r>
      <w:r w:rsidRPr="003F67E4">
        <w:t>, p. </w:t>
      </w:r>
      <w:r w:rsidRPr="004612D5">
        <w:t>6</w:t>
      </w:r>
      <w:r w:rsidRPr="003F67E4">
        <w:t>; ELI: </w:t>
      </w:r>
      <w:hyperlink r:id="rId1" w:tooltip="Gives access to this document through its ELI URI." w:history="1">
        <w:r w:rsidRPr="003F67E4">
          <w:rPr>
            <w:rStyle w:val="Hyperlink"/>
          </w:rPr>
          <w:t>http://data.europa.eu/eli/dec/</w:t>
        </w:r>
        <w:r w:rsidRPr="004612D5">
          <w:rPr>
            <w:rStyle w:val="Hyperlink"/>
          </w:rPr>
          <w:t>2021</w:t>
        </w:r>
        <w:r w:rsidRPr="003F67E4">
          <w:rPr>
            <w:rStyle w:val="Hyperlink"/>
          </w:rPr>
          <w:t>/</w:t>
        </w:r>
        <w:r w:rsidRPr="004612D5">
          <w:rPr>
            <w:rStyle w:val="Hyperlink"/>
          </w:rPr>
          <w:t>1875</w:t>
        </w:r>
        <w:r w:rsidRPr="003F67E4">
          <w:rPr>
            <w:rStyle w:val="Hyperlink"/>
          </w:rPr>
          <w:t>/oj</w:t>
        </w:r>
      </w:hyperlink>
      <w:r w:rsidRPr="003F67E4">
        <w:t>).</w:t>
      </w:r>
    </w:p>
  </w:footnote>
  <w:footnote w:id="2">
    <w:p w:rsidR="008D5664" w:rsidRPr="003F67E4" w:rsidRDefault="008D5664" w:rsidP="00AD10FF">
      <w:pPr>
        <w:pStyle w:val="FootnoteText"/>
      </w:pPr>
      <w:r w:rsidRPr="003F67E4">
        <w:rPr>
          <w:rStyle w:val="FootnoteReference"/>
        </w:rPr>
        <w:footnoteRef/>
      </w:r>
      <w:r w:rsidRPr="003F67E4">
        <w:tab/>
        <w:t xml:space="preserve">Acord comercial și de cooperare între Uniunea Europeană și Comunitatea Europeană a Energiei Atomice, pe de o parte, și Regatul Unit al Marii Britanii și Irlandei de Nord, pe de altă parte (JO L </w:t>
      </w:r>
      <w:r w:rsidRPr="004612D5">
        <w:t>149</w:t>
      </w:r>
      <w:r w:rsidRPr="003F67E4">
        <w:t xml:space="preserve">, p. </w:t>
      </w:r>
      <w:r w:rsidRPr="004612D5">
        <w:t>10</w:t>
      </w:r>
      <w:r w:rsidRPr="003F67E4">
        <w:t>; ELI: </w:t>
      </w:r>
      <w:hyperlink r:id="rId2" w:tooltip="Gives access to this document through its ELI URI." w:history="1">
        <w:r w:rsidRPr="003F67E4">
          <w:rPr>
            <w:rStyle w:val="Hyperlink"/>
          </w:rPr>
          <w:t>http://data.europa.eu/eli/agree_internation/</w:t>
        </w:r>
        <w:r w:rsidRPr="004612D5">
          <w:rPr>
            <w:rStyle w:val="Hyperlink"/>
          </w:rPr>
          <w:t>2021</w:t>
        </w:r>
        <w:r w:rsidRPr="003F67E4">
          <w:rPr>
            <w:rStyle w:val="Hyperlink"/>
          </w:rPr>
          <w:t>/</w:t>
        </w:r>
        <w:r w:rsidRPr="004612D5">
          <w:rPr>
            <w:rStyle w:val="Hyperlink"/>
          </w:rPr>
          <w:t>689</w:t>
        </w:r>
        <w:r w:rsidRPr="003F67E4">
          <w:rPr>
            <w:rStyle w:val="Hyperlink"/>
          </w:rPr>
          <w:t>(</w:t>
        </w:r>
        <w:r w:rsidRPr="004612D5">
          <w:rPr>
            <w:rStyle w:val="Hyperlink"/>
          </w:rPr>
          <w:t>1</w:t>
        </w:r>
        <w:r w:rsidRPr="003F67E4">
          <w:rPr>
            <w:rStyle w:val="Hyperlink"/>
          </w:rPr>
          <w:t>)/oj</w:t>
        </w:r>
      </w:hyperlink>
      <w:r w:rsidRPr="003F67E4">
        <w:t>).</w:t>
      </w:r>
    </w:p>
  </w:footnote>
  <w:footnote w:id="3">
    <w:p w:rsidR="004A2A64" w:rsidRPr="003F67E4" w:rsidRDefault="004A2A64" w:rsidP="00AD10FF">
      <w:pPr>
        <w:pStyle w:val="FootnoteText"/>
      </w:pPr>
      <w:r w:rsidRPr="003F67E4">
        <w:rPr>
          <w:rStyle w:val="FootnoteReference"/>
        </w:rPr>
        <w:footnoteRef/>
      </w:r>
      <w:r w:rsidRPr="003F67E4">
        <w:tab/>
        <w:t>Regulamentul (UE) </w:t>
      </w:r>
      <w:r w:rsidRPr="004612D5">
        <w:t>2018</w:t>
      </w:r>
      <w:r w:rsidRPr="003F67E4">
        <w:t>/</w:t>
      </w:r>
      <w:r w:rsidRPr="004612D5">
        <w:t>973</w:t>
      </w:r>
      <w:r w:rsidRPr="003F67E4">
        <w:t xml:space="preserve"> al Parlamentului European și al Consiliului din </w:t>
      </w:r>
      <w:r w:rsidRPr="004612D5">
        <w:t>4</w:t>
      </w:r>
      <w:r w:rsidRPr="003F67E4">
        <w:t> iulie </w:t>
      </w:r>
      <w:r w:rsidRPr="004612D5">
        <w:t>2018</w:t>
      </w:r>
      <w:r w:rsidRPr="003F67E4">
        <w:t xml:space="preserve"> de stabilire a unui plan multianual pentru stocurile demersale din Marea Nordului și pentru activitățile de pescuit care exploatează stocurile respective, de precizare a detaliilor punerii în aplicare a obligației de debarcare în Marea Nordului și de abrogare a Regulamentelor (CE) nr. </w:t>
      </w:r>
      <w:r w:rsidRPr="004612D5">
        <w:t>676</w:t>
      </w:r>
      <w:r w:rsidRPr="003F67E4">
        <w:t>/</w:t>
      </w:r>
      <w:r w:rsidRPr="004612D5">
        <w:t>2007</w:t>
      </w:r>
      <w:r w:rsidRPr="003F67E4">
        <w:t xml:space="preserve"> și (CE) nr. </w:t>
      </w:r>
      <w:r w:rsidRPr="004612D5">
        <w:t>1342</w:t>
      </w:r>
      <w:r w:rsidRPr="003F67E4">
        <w:t>/</w:t>
      </w:r>
      <w:r w:rsidRPr="004612D5">
        <w:t>2008</w:t>
      </w:r>
      <w:r w:rsidRPr="003F67E4">
        <w:t xml:space="preserve"> ale Consiliului (JO L </w:t>
      </w:r>
      <w:r w:rsidRPr="004612D5">
        <w:t>179</w:t>
      </w:r>
      <w:r w:rsidRPr="003F67E4">
        <w:t xml:space="preserve">, </w:t>
      </w:r>
      <w:r w:rsidRPr="004612D5">
        <w:t>16</w:t>
      </w:r>
      <w:r w:rsidRPr="003F67E4">
        <w:t>.</w:t>
      </w:r>
      <w:r w:rsidRPr="004612D5">
        <w:t>7</w:t>
      </w:r>
      <w:r w:rsidRPr="003F67E4">
        <w:t>.</w:t>
      </w:r>
      <w:r w:rsidRPr="004612D5">
        <w:t>2018</w:t>
      </w:r>
      <w:r w:rsidRPr="003F67E4">
        <w:t>, p. </w:t>
      </w:r>
      <w:r w:rsidRPr="004612D5">
        <w:t>1</w:t>
      </w:r>
      <w:r w:rsidRPr="003F67E4">
        <w:t>; ELI: </w:t>
      </w:r>
      <w:hyperlink r:id="rId3" w:tooltip="Gives access to this document through its ELI URI." w:history="1">
        <w:r w:rsidRPr="003F67E4">
          <w:rPr>
            <w:rStyle w:val="Hyperlink"/>
          </w:rPr>
          <w:t>http://data.europa.eu/eli/reg/</w:t>
        </w:r>
        <w:r w:rsidRPr="004612D5">
          <w:rPr>
            <w:rStyle w:val="Hyperlink"/>
          </w:rPr>
          <w:t>2018</w:t>
        </w:r>
        <w:r w:rsidRPr="003F67E4">
          <w:rPr>
            <w:rStyle w:val="Hyperlink"/>
          </w:rPr>
          <w:t>/</w:t>
        </w:r>
        <w:r w:rsidRPr="004612D5">
          <w:rPr>
            <w:rStyle w:val="Hyperlink"/>
          </w:rPr>
          <w:t>973</w:t>
        </w:r>
        <w:r w:rsidRPr="003F67E4">
          <w:rPr>
            <w:rStyle w:val="Hyperlink"/>
          </w:rPr>
          <w:t>/oj</w:t>
        </w:r>
      </w:hyperlink>
      <w:r w:rsidRPr="003F67E4">
        <w:t xml:space="preserve">). </w:t>
      </w:r>
    </w:p>
  </w:footnote>
  <w:footnote w:id="4">
    <w:p w:rsidR="004A2A64" w:rsidRPr="003F67E4" w:rsidRDefault="004A2A64" w:rsidP="004A2A64">
      <w:pPr>
        <w:pStyle w:val="FootnoteText"/>
      </w:pPr>
      <w:r w:rsidRPr="003F67E4">
        <w:rPr>
          <w:rStyle w:val="FootnoteReference"/>
        </w:rPr>
        <w:footnoteRef/>
      </w:r>
      <w:r w:rsidRPr="003F67E4">
        <w:tab/>
        <w:t>Regulamentul (UE) </w:t>
      </w:r>
      <w:r w:rsidRPr="004612D5">
        <w:t>2019</w:t>
      </w:r>
      <w:r w:rsidRPr="003F67E4">
        <w:t>/</w:t>
      </w:r>
      <w:r w:rsidRPr="004612D5">
        <w:t>472</w:t>
      </w:r>
      <w:r w:rsidRPr="003F67E4">
        <w:t xml:space="preserve"> al Parlamentului European și al Consiliului din </w:t>
      </w:r>
      <w:r w:rsidRPr="004612D5">
        <w:t>19</w:t>
      </w:r>
      <w:r w:rsidRPr="003F67E4">
        <w:t> martie </w:t>
      </w:r>
      <w:r w:rsidRPr="004612D5">
        <w:t>2019</w:t>
      </w:r>
      <w:r w:rsidRPr="003F67E4">
        <w:t xml:space="preserve"> de stabilire a unui plan multianual pentru stocurile pescuite în apele occidentale și apele adiacente și pentru activitățile de pescuit care exploatează stocurile respective, de modificare a Regulamentelor (UE) </w:t>
      </w:r>
      <w:r w:rsidRPr="004612D5">
        <w:t>2016</w:t>
      </w:r>
      <w:r w:rsidRPr="003F67E4">
        <w:t>/</w:t>
      </w:r>
      <w:r w:rsidRPr="004612D5">
        <w:t>1139</w:t>
      </w:r>
      <w:r w:rsidRPr="003F67E4">
        <w:t xml:space="preserve"> și (UE) </w:t>
      </w:r>
      <w:r w:rsidRPr="004612D5">
        <w:t>2018</w:t>
      </w:r>
      <w:r w:rsidRPr="003F67E4">
        <w:t>/</w:t>
      </w:r>
      <w:r w:rsidRPr="004612D5">
        <w:t>973</w:t>
      </w:r>
      <w:r w:rsidRPr="003F67E4">
        <w:t xml:space="preserve"> și de abrogare a Regulamentelor (CE) nr. </w:t>
      </w:r>
      <w:r w:rsidRPr="004612D5">
        <w:t>811</w:t>
      </w:r>
      <w:r w:rsidRPr="003F67E4">
        <w:t>/</w:t>
      </w:r>
      <w:r w:rsidRPr="004612D5">
        <w:t>2004</w:t>
      </w:r>
      <w:r w:rsidRPr="003F67E4">
        <w:t>, (CE) nr. </w:t>
      </w:r>
      <w:r w:rsidRPr="004612D5">
        <w:t>2166</w:t>
      </w:r>
      <w:r w:rsidRPr="003F67E4">
        <w:t>/</w:t>
      </w:r>
      <w:r w:rsidRPr="004612D5">
        <w:t>2005</w:t>
      </w:r>
      <w:r w:rsidRPr="003F67E4">
        <w:t>, (CE) nr. </w:t>
      </w:r>
      <w:r w:rsidRPr="004612D5">
        <w:t>388</w:t>
      </w:r>
      <w:r w:rsidRPr="003F67E4">
        <w:t>/</w:t>
      </w:r>
      <w:r w:rsidRPr="004612D5">
        <w:t>2006</w:t>
      </w:r>
      <w:r w:rsidRPr="003F67E4">
        <w:t>, (CE) nr. </w:t>
      </w:r>
      <w:r w:rsidRPr="004612D5">
        <w:t>509</w:t>
      </w:r>
      <w:r w:rsidRPr="003F67E4">
        <w:t>/</w:t>
      </w:r>
      <w:r w:rsidRPr="004612D5">
        <w:t>2007</w:t>
      </w:r>
      <w:r w:rsidRPr="003F67E4">
        <w:t xml:space="preserve"> și (CE) nr. </w:t>
      </w:r>
      <w:r w:rsidRPr="004612D5">
        <w:t>1300</w:t>
      </w:r>
      <w:r w:rsidRPr="003F67E4">
        <w:t>/</w:t>
      </w:r>
      <w:r w:rsidRPr="004612D5">
        <w:t>2008</w:t>
      </w:r>
      <w:r w:rsidRPr="003F67E4">
        <w:t xml:space="preserve"> ale Consiliului (JO L </w:t>
      </w:r>
      <w:r w:rsidRPr="004612D5">
        <w:t>83</w:t>
      </w:r>
      <w:r w:rsidRPr="003F67E4">
        <w:t xml:space="preserve">, </w:t>
      </w:r>
      <w:r w:rsidRPr="004612D5">
        <w:t>25</w:t>
      </w:r>
      <w:r w:rsidRPr="003F67E4">
        <w:t>.</w:t>
      </w:r>
      <w:r w:rsidRPr="004612D5">
        <w:t>3</w:t>
      </w:r>
      <w:r w:rsidRPr="003F67E4">
        <w:t>.</w:t>
      </w:r>
      <w:r w:rsidRPr="004612D5">
        <w:t>2019</w:t>
      </w:r>
      <w:r w:rsidRPr="003F67E4">
        <w:t>, p. </w:t>
      </w:r>
      <w:r w:rsidRPr="004612D5">
        <w:t>1</w:t>
      </w:r>
      <w:r w:rsidRPr="003F67E4">
        <w:t>; ELI: </w:t>
      </w:r>
      <w:hyperlink r:id="rId4" w:tooltip="Gives access to this document through its ELI URI." w:history="1">
        <w:r w:rsidRPr="003F67E4">
          <w:rPr>
            <w:rStyle w:val="Hyperlink"/>
          </w:rPr>
          <w:t>http://data.europa.eu/eli/reg/</w:t>
        </w:r>
        <w:r w:rsidRPr="004612D5">
          <w:rPr>
            <w:rStyle w:val="Hyperlink"/>
          </w:rPr>
          <w:t>2019</w:t>
        </w:r>
        <w:r w:rsidRPr="003F67E4">
          <w:rPr>
            <w:rStyle w:val="Hyperlink"/>
          </w:rPr>
          <w:t>/</w:t>
        </w:r>
        <w:r w:rsidRPr="004612D5">
          <w:rPr>
            <w:rStyle w:val="Hyperlink"/>
          </w:rPr>
          <w:t>472</w:t>
        </w:r>
        <w:r w:rsidRPr="003F67E4">
          <w:rPr>
            <w:rStyle w:val="Hyperlink"/>
          </w:rPr>
          <w:t>/oj</w:t>
        </w:r>
      </w:hyperlink>
      <w:r w:rsidRPr="003F67E4">
        <w:t xml:space="preserve">). </w:t>
      </w:r>
    </w:p>
    <w:p w:rsidR="004A2A64" w:rsidRPr="003F67E4" w:rsidRDefault="004A2A64" w:rsidP="004A2A64">
      <w:pPr>
        <w:pStyle w:val="FootnoteText"/>
      </w:pPr>
    </w:p>
  </w:footnote>
  <w:footnote w:id="5">
    <w:p w:rsidR="00092A70" w:rsidRPr="003F67E4" w:rsidRDefault="00092A70">
      <w:pPr>
        <w:pStyle w:val="FootnoteText"/>
      </w:pPr>
      <w:r w:rsidRPr="003F67E4">
        <w:rPr>
          <w:rStyle w:val="FootnoteReference"/>
        </w:rPr>
        <w:footnoteRef/>
      </w:r>
      <w:r w:rsidRPr="003F67E4">
        <w:tab/>
        <w:t>Decizia (UE) </w:t>
      </w:r>
      <w:r w:rsidRPr="004612D5">
        <w:t>2021</w:t>
      </w:r>
      <w:r w:rsidRPr="003F67E4">
        <w:t>/</w:t>
      </w:r>
      <w:r w:rsidRPr="004612D5">
        <w:t>1875</w:t>
      </w:r>
      <w:r w:rsidRPr="003F67E4">
        <w:t xml:space="preserve"> a Consiliului din </w:t>
      </w:r>
      <w:r w:rsidRPr="004612D5">
        <w:t>22</w:t>
      </w:r>
      <w:r w:rsidRPr="003F67E4">
        <w:t> octombrie </w:t>
      </w:r>
      <w:r w:rsidRPr="004612D5">
        <w:t>2021</w:t>
      </w:r>
      <w:r w:rsidRPr="003F67E4">
        <w:t xml:space="preserve"> privind poziția care urmează să fie adoptată în numele Uniunii în cadrul consultărilor anuale cu Regatul Unit pentru a se conveni asupra capturilor totale admisibile (JO L </w:t>
      </w:r>
      <w:r w:rsidRPr="004612D5">
        <w:t>378</w:t>
      </w:r>
      <w:r w:rsidRPr="003F67E4">
        <w:t xml:space="preserve">, </w:t>
      </w:r>
      <w:r w:rsidRPr="004612D5">
        <w:t>26</w:t>
      </w:r>
      <w:r w:rsidRPr="003F67E4">
        <w:t>.</w:t>
      </w:r>
      <w:r w:rsidRPr="004612D5">
        <w:t>10</w:t>
      </w:r>
      <w:r w:rsidRPr="003F67E4">
        <w:t>.</w:t>
      </w:r>
      <w:r w:rsidRPr="004612D5">
        <w:t>2021</w:t>
      </w:r>
      <w:r w:rsidRPr="003F67E4">
        <w:t>, p. </w:t>
      </w:r>
      <w:r w:rsidRPr="004612D5">
        <w:t>6</w:t>
      </w:r>
      <w:r w:rsidRPr="003F67E4">
        <w:t>, ELI: http://data.europa.eu/eli/dec/</w:t>
      </w:r>
      <w:r w:rsidRPr="004612D5">
        <w:t>2021</w:t>
      </w:r>
      <w:r w:rsidRPr="003F67E4">
        <w:t>/</w:t>
      </w:r>
      <w:r w:rsidRPr="004612D5">
        <w:t>1875</w:t>
      </w:r>
      <w:r w:rsidRPr="003F67E4">
        <w:t>/oj).</w:t>
      </w:r>
    </w:p>
  </w:footnote>
  <w:footnote w:id="6">
    <w:p w:rsidR="000F4EAE" w:rsidRPr="003F67E4" w:rsidRDefault="000F4EAE">
      <w:pPr>
        <w:pStyle w:val="FootnoteText"/>
      </w:pPr>
      <w:r w:rsidRPr="003F67E4">
        <w:rPr>
          <w:rStyle w:val="FootnoteReference"/>
        </w:rPr>
        <w:footnoteRef/>
      </w:r>
      <w:r w:rsidRPr="003F67E4">
        <w:tab/>
        <w:t xml:space="preserve">JO L </w:t>
      </w:r>
      <w:r w:rsidRPr="004612D5">
        <w:t>149</w:t>
      </w:r>
      <w:r w:rsidRPr="003F67E4">
        <w:t xml:space="preserve">, </w:t>
      </w:r>
      <w:r w:rsidRPr="004612D5">
        <w:t>30</w:t>
      </w:r>
      <w:r w:rsidRPr="003F67E4">
        <w:t>.</w:t>
      </w:r>
      <w:r w:rsidRPr="004612D5">
        <w:t>4</w:t>
      </w:r>
      <w:r w:rsidRPr="003F67E4">
        <w:t>.</w:t>
      </w:r>
      <w:r w:rsidRPr="004612D5">
        <w:t>2021</w:t>
      </w:r>
      <w:r w:rsidRPr="003F67E4">
        <w:t xml:space="preserve">, p. </w:t>
      </w:r>
      <w:r w:rsidRPr="004612D5">
        <w:t>10</w:t>
      </w:r>
      <w:r w:rsidRPr="003F67E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FC" w:rsidRDefault="00134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FC" w:rsidRDefault="00134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580470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09C97F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676FBE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44436B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6 10:32: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0FF5FC9-92A0-446E-921E-98E8F6EFF85F"/>
    <w:docVar w:name="LW_COVERPAGE_TYPE" w:val="1"/>
    <w:docVar w:name="LW_CreatedUtc" w:val="2026-03-09T15:25:29.6943203Z"/>
    <w:docVar w:name="LW_CROSSREFERENCE" w:val="&lt;UNUSED&gt;"/>
    <w:docVar w:name="LW_DocType" w:val="COM"/>
    <w:docVar w:name="LW_EMISSION" w:val="23.6.2026"/>
    <w:docVar w:name="LW_EMISSION_ISODATE" w:val="2026-06-23"/>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59"/>
    <w:docVar w:name="LW_REF.II.NEW.CP_YEAR" w:val="2026"/>
    <w:docVar w:name="LW_REF.INST.NEW" w:val="COM"/>
    <w:docVar w:name="LW_REF.INST.NEW_ADOPTED" w:val="final"/>
    <w:docVar w:name="LW_REF.INST.NEW_TEXT" w:val="(2026) 2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2021/1875 a Consiliului din 22 octombrie 2021 privind pozi\u539?ia care urmeaz\u259? s\u259? fie adoptat\u259? în numele Uniunii în cadrul consult\u259?rilor anuale cu Regatul Unit pentru a se conveni asupra capturilor totale admisibile"/>
    <w:docVar w:name="LW_TYPE.DOC.CP" w:val="DECIZIE A CONSILIULUI"/>
    <w:docVar w:name="LwApiVersions" w:val="LW4CoDe 1.24.5.0; LW 9.2, Build 20251112"/>
  </w:docVars>
  <w:rsids>
    <w:rsidRoot w:val="00AB6BC8"/>
    <w:rsid w:val="00021D58"/>
    <w:rsid w:val="00055D23"/>
    <w:rsid w:val="0007349B"/>
    <w:rsid w:val="00087C8E"/>
    <w:rsid w:val="00092A70"/>
    <w:rsid w:val="000B5DED"/>
    <w:rsid w:val="000C1415"/>
    <w:rsid w:val="000D7B57"/>
    <w:rsid w:val="000F4EAE"/>
    <w:rsid w:val="001065F5"/>
    <w:rsid w:val="001068D5"/>
    <w:rsid w:val="00111742"/>
    <w:rsid w:val="001238EF"/>
    <w:rsid w:val="00124127"/>
    <w:rsid w:val="001343FC"/>
    <w:rsid w:val="00144146"/>
    <w:rsid w:val="00155A7F"/>
    <w:rsid w:val="00162EA9"/>
    <w:rsid w:val="00197613"/>
    <w:rsid w:val="001B46AD"/>
    <w:rsid w:val="001E5407"/>
    <w:rsid w:val="002015DE"/>
    <w:rsid w:val="00204224"/>
    <w:rsid w:val="00217964"/>
    <w:rsid w:val="00233DC7"/>
    <w:rsid w:val="00247779"/>
    <w:rsid w:val="002569EF"/>
    <w:rsid w:val="00261DBE"/>
    <w:rsid w:val="00285BC0"/>
    <w:rsid w:val="00285BEE"/>
    <w:rsid w:val="00286BEC"/>
    <w:rsid w:val="00287B0D"/>
    <w:rsid w:val="0029533F"/>
    <w:rsid w:val="002B30AF"/>
    <w:rsid w:val="002C789D"/>
    <w:rsid w:val="002C7D79"/>
    <w:rsid w:val="002D6B6E"/>
    <w:rsid w:val="00313EBA"/>
    <w:rsid w:val="00322EAF"/>
    <w:rsid w:val="0033344A"/>
    <w:rsid w:val="0034471A"/>
    <w:rsid w:val="00351E1F"/>
    <w:rsid w:val="003548D7"/>
    <w:rsid w:val="003560FE"/>
    <w:rsid w:val="00356D01"/>
    <w:rsid w:val="0036014C"/>
    <w:rsid w:val="00363E86"/>
    <w:rsid w:val="00381BC2"/>
    <w:rsid w:val="003B77CB"/>
    <w:rsid w:val="003F0425"/>
    <w:rsid w:val="003F67E4"/>
    <w:rsid w:val="0042648E"/>
    <w:rsid w:val="00450E1B"/>
    <w:rsid w:val="004517A2"/>
    <w:rsid w:val="004612D5"/>
    <w:rsid w:val="0047332F"/>
    <w:rsid w:val="004936D2"/>
    <w:rsid w:val="004A2A64"/>
    <w:rsid w:val="004A4931"/>
    <w:rsid w:val="004B4EFF"/>
    <w:rsid w:val="004D778D"/>
    <w:rsid w:val="004F214C"/>
    <w:rsid w:val="00516048"/>
    <w:rsid w:val="00520ED8"/>
    <w:rsid w:val="0052407C"/>
    <w:rsid w:val="00534853"/>
    <w:rsid w:val="00544034"/>
    <w:rsid w:val="00564589"/>
    <w:rsid w:val="00566631"/>
    <w:rsid w:val="0058431E"/>
    <w:rsid w:val="00584A2C"/>
    <w:rsid w:val="005B04E6"/>
    <w:rsid w:val="005B1EB6"/>
    <w:rsid w:val="005C0484"/>
    <w:rsid w:val="005D1F90"/>
    <w:rsid w:val="005F068F"/>
    <w:rsid w:val="005F26EC"/>
    <w:rsid w:val="005F63CC"/>
    <w:rsid w:val="005F70C9"/>
    <w:rsid w:val="005F7A43"/>
    <w:rsid w:val="00602C5E"/>
    <w:rsid w:val="00612260"/>
    <w:rsid w:val="00623396"/>
    <w:rsid w:val="00623E87"/>
    <w:rsid w:val="0066027B"/>
    <w:rsid w:val="00680133"/>
    <w:rsid w:val="006848A3"/>
    <w:rsid w:val="006A6C64"/>
    <w:rsid w:val="006D286C"/>
    <w:rsid w:val="007228CD"/>
    <w:rsid w:val="00755DA7"/>
    <w:rsid w:val="00773331"/>
    <w:rsid w:val="00791FAC"/>
    <w:rsid w:val="007932EF"/>
    <w:rsid w:val="00797574"/>
    <w:rsid w:val="007A7BE9"/>
    <w:rsid w:val="007B7415"/>
    <w:rsid w:val="007E05B0"/>
    <w:rsid w:val="007E506B"/>
    <w:rsid w:val="00806782"/>
    <w:rsid w:val="00814F2B"/>
    <w:rsid w:val="0082502D"/>
    <w:rsid w:val="00842828"/>
    <w:rsid w:val="00845FFD"/>
    <w:rsid w:val="008474C5"/>
    <w:rsid w:val="00874D22"/>
    <w:rsid w:val="0088523B"/>
    <w:rsid w:val="0089565F"/>
    <w:rsid w:val="008A2914"/>
    <w:rsid w:val="008B71F0"/>
    <w:rsid w:val="008B74DC"/>
    <w:rsid w:val="008D16B5"/>
    <w:rsid w:val="008D33B6"/>
    <w:rsid w:val="008D5664"/>
    <w:rsid w:val="008D6E2F"/>
    <w:rsid w:val="008E4D8E"/>
    <w:rsid w:val="009022B2"/>
    <w:rsid w:val="00906856"/>
    <w:rsid w:val="0092033E"/>
    <w:rsid w:val="00934214"/>
    <w:rsid w:val="00936C03"/>
    <w:rsid w:val="00955FFA"/>
    <w:rsid w:val="009857C9"/>
    <w:rsid w:val="00995837"/>
    <w:rsid w:val="00996A40"/>
    <w:rsid w:val="009F68FC"/>
    <w:rsid w:val="00A26FFA"/>
    <w:rsid w:val="00A606AF"/>
    <w:rsid w:val="00A8352B"/>
    <w:rsid w:val="00A83B2F"/>
    <w:rsid w:val="00A86E9E"/>
    <w:rsid w:val="00A879F0"/>
    <w:rsid w:val="00AA624C"/>
    <w:rsid w:val="00AB6BC8"/>
    <w:rsid w:val="00AC541D"/>
    <w:rsid w:val="00AC7349"/>
    <w:rsid w:val="00AD10FF"/>
    <w:rsid w:val="00AF353B"/>
    <w:rsid w:val="00B007D8"/>
    <w:rsid w:val="00B3554A"/>
    <w:rsid w:val="00B41480"/>
    <w:rsid w:val="00B42661"/>
    <w:rsid w:val="00B5344A"/>
    <w:rsid w:val="00B657EE"/>
    <w:rsid w:val="00B77C28"/>
    <w:rsid w:val="00BC5BE1"/>
    <w:rsid w:val="00BC5E29"/>
    <w:rsid w:val="00BD16EE"/>
    <w:rsid w:val="00C06150"/>
    <w:rsid w:val="00C12301"/>
    <w:rsid w:val="00C146E8"/>
    <w:rsid w:val="00C311E1"/>
    <w:rsid w:val="00C43391"/>
    <w:rsid w:val="00C60AC2"/>
    <w:rsid w:val="00C62939"/>
    <w:rsid w:val="00C70B5D"/>
    <w:rsid w:val="00C76531"/>
    <w:rsid w:val="00C90021"/>
    <w:rsid w:val="00C950FC"/>
    <w:rsid w:val="00CC2196"/>
    <w:rsid w:val="00D03E41"/>
    <w:rsid w:val="00D16BF7"/>
    <w:rsid w:val="00D20381"/>
    <w:rsid w:val="00D37C11"/>
    <w:rsid w:val="00D37FA8"/>
    <w:rsid w:val="00D80E2B"/>
    <w:rsid w:val="00D86C08"/>
    <w:rsid w:val="00D90B59"/>
    <w:rsid w:val="00D93D02"/>
    <w:rsid w:val="00D96F48"/>
    <w:rsid w:val="00DA05FB"/>
    <w:rsid w:val="00DA66D9"/>
    <w:rsid w:val="00DC2185"/>
    <w:rsid w:val="00DD22FE"/>
    <w:rsid w:val="00DD469B"/>
    <w:rsid w:val="00DE7145"/>
    <w:rsid w:val="00E13E7A"/>
    <w:rsid w:val="00E26BBD"/>
    <w:rsid w:val="00E27FC6"/>
    <w:rsid w:val="00E524DC"/>
    <w:rsid w:val="00E627B1"/>
    <w:rsid w:val="00E664ED"/>
    <w:rsid w:val="00E66806"/>
    <w:rsid w:val="00E7182D"/>
    <w:rsid w:val="00E77402"/>
    <w:rsid w:val="00E90D35"/>
    <w:rsid w:val="00EA19FB"/>
    <w:rsid w:val="00EF39E5"/>
    <w:rsid w:val="00F04974"/>
    <w:rsid w:val="00F257FC"/>
    <w:rsid w:val="00F528CF"/>
    <w:rsid w:val="00F6497D"/>
    <w:rsid w:val="00F74ED4"/>
    <w:rsid w:val="00F75E9D"/>
    <w:rsid w:val="00F82220"/>
    <w:rsid w:val="00FB1109"/>
    <w:rsid w:val="00FB46F8"/>
    <w:rsid w:val="00FB49E9"/>
    <w:rsid w:val="00FC38F8"/>
    <w:rsid w:val="00FD2A00"/>
    <w:rsid w:val="00FE1E2F"/>
    <w:rsid w:val="00FE7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A08B030A-D059-4AF2-A101-F981AC47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8D5664"/>
  </w:style>
  <w:style w:type="character" w:styleId="Hyperlink">
    <w:name w:val="Hyperlink"/>
    <w:basedOn w:val="DefaultParagraphFont"/>
    <w:uiPriority w:val="99"/>
    <w:unhideWhenUsed/>
    <w:rsid w:val="00E13E7A"/>
    <w:rPr>
      <w:color w:val="0000FF" w:themeColor="hyperlink"/>
      <w:u w:val="single"/>
    </w:rPr>
  </w:style>
  <w:style w:type="paragraph" w:styleId="ListParagraph">
    <w:name w:val="List Paragraph"/>
    <w:basedOn w:val="Normal"/>
    <w:uiPriority w:val="34"/>
    <w:qFormat/>
    <w:rsid w:val="00B77C28"/>
    <w:pPr>
      <w:ind w:left="720"/>
      <w:contextualSpacing/>
    </w:pPr>
  </w:style>
  <w:style w:type="paragraph" w:styleId="NormalWeb">
    <w:name w:val="Normal (Web)"/>
    <w:basedOn w:val="Normal"/>
    <w:uiPriority w:val="99"/>
    <w:semiHidden/>
    <w:unhideWhenUsed/>
    <w:rsid w:val="00D16BF7"/>
    <w:pPr>
      <w:spacing w:before="100" w:beforeAutospacing="1" w:after="100" w:afterAutospacing="1"/>
      <w:jc w:val="left"/>
    </w:pPr>
    <w:rPr>
      <w:rFonts w:eastAsia="Times New Roman"/>
      <w:szCs w:val="24"/>
      <w:lang w:eastAsia="en-IE"/>
    </w:rPr>
  </w:style>
  <w:style w:type="character" w:styleId="Emphasis">
    <w:name w:val="Emphasis"/>
    <w:basedOn w:val="DefaultParagraphFont"/>
    <w:uiPriority w:val="20"/>
    <w:qFormat/>
    <w:rsid w:val="00996A40"/>
    <w:rPr>
      <w:i/>
      <w:iCs/>
    </w:rPr>
  </w:style>
  <w:style w:type="paragraph" w:styleId="ListBullet">
    <w:name w:val="List Bullet"/>
    <w:basedOn w:val="Normal"/>
    <w:uiPriority w:val="99"/>
    <w:semiHidden/>
    <w:unhideWhenUsed/>
    <w:rsid w:val="00955FFA"/>
    <w:pPr>
      <w:numPr>
        <w:numId w:val="1"/>
      </w:numPr>
      <w:contextualSpacing/>
    </w:pPr>
  </w:style>
  <w:style w:type="paragraph" w:styleId="ListBullet2">
    <w:name w:val="List Bullet 2"/>
    <w:basedOn w:val="Normal"/>
    <w:uiPriority w:val="99"/>
    <w:semiHidden/>
    <w:unhideWhenUsed/>
    <w:rsid w:val="00955FFA"/>
    <w:pPr>
      <w:numPr>
        <w:numId w:val="2"/>
      </w:numPr>
      <w:contextualSpacing/>
    </w:pPr>
  </w:style>
  <w:style w:type="paragraph" w:styleId="ListBullet3">
    <w:name w:val="List Bullet 3"/>
    <w:basedOn w:val="Normal"/>
    <w:uiPriority w:val="99"/>
    <w:semiHidden/>
    <w:unhideWhenUsed/>
    <w:rsid w:val="00955FFA"/>
    <w:pPr>
      <w:numPr>
        <w:numId w:val="3"/>
      </w:numPr>
      <w:contextualSpacing/>
    </w:pPr>
  </w:style>
  <w:style w:type="paragraph" w:styleId="ListBullet4">
    <w:name w:val="List Bullet 4"/>
    <w:basedOn w:val="Normal"/>
    <w:uiPriority w:val="99"/>
    <w:semiHidden/>
    <w:unhideWhenUsed/>
    <w:rsid w:val="00955FFA"/>
    <w:pPr>
      <w:numPr>
        <w:numId w:val="4"/>
      </w:numPr>
      <w:contextualSpacing/>
    </w:pPr>
  </w:style>
  <w:style w:type="paragraph" w:styleId="Revision">
    <w:name w:val="Revision"/>
    <w:hidden/>
    <w:uiPriority w:val="99"/>
    <w:semiHidden/>
    <w:rsid w:val="006A6C64"/>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AD10FF"/>
    <w:rPr>
      <w:color w:val="605E5C"/>
      <w:shd w:val="clear" w:color="auto" w:fill="E1DFDD"/>
    </w:rPr>
  </w:style>
  <w:style w:type="character" w:styleId="CommentReference">
    <w:name w:val="annotation reference"/>
    <w:basedOn w:val="DefaultParagraphFont"/>
    <w:uiPriority w:val="99"/>
    <w:semiHidden/>
    <w:unhideWhenUsed/>
    <w:rsid w:val="00D37C11"/>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F70C9"/>
    <w:rPr>
      <w:b/>
      <w:bCs/>
    </w:rPr>
  </w:style>
  <w:style w:type="character" w:customStyle="1" w:styleId="CommentSubjectChar">
    <w:name w:val="Comment Subject Char"/>
    <w:basedOn w:val="CommentTextChar"/>
    <w:link w:val="CommentSubject"/>
    <w:uiPriority w:val="99"/>
    <w:semiHidden/>
    <w:rsid w:val="005F70C9"/>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sid w:val="001343FC"/>
    <w:rPr>
      <w:rFonts w:ascii="Times New Roman" w:hAnsi="Times New Roman" w:cs="Times New Roman"/>
      <w:sz w:val="24"/>
      <w:lang w:val="ro-RO"/>
    </w:rPr>
  </w:style>
  <w:style w:type="character" w:customStyle="1" w:styleId="FooterChar">
    <w:name w:val="Footer Char"/>
    <w:basedOn w:val="DefaultParagraphFont"/>
    <w:link w:val="Footer"/>
    <w:uiPriority w:val="99"/>
    <w:rsid w:val="001343F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343F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343FC"/>
    <w:pPr>
      <w:spacing w:before="0"/>
      <w:jc w:val="right"/>
    </w:pPr>
    <w:rPr>
      <w:sz w:val="28"/>
    </w:rPr>
  </w:style>
  <w:style w:type="paragraph" w:customStyle="1" w:styleId="FooterSensitivity">
    <w:name w:val="Footer Sensitivity"/>
    <w:basedOn w:val="Normal"/>
    <w:rsid w:val="001343F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343FC"/>
    <w:pPr>
      <w:tabs>
        <w:tab w:val="center" w:pos="4535"/>
        <w:tab w:val="right" w:pos="9071"/>
      </w:tabs>
      <w:spacing w:before="0"/>
    </w:pPr>
  </w:style>
  <w:style w:type="paragraph" w:customStyle="1" w:styleId="HeaderLandscape">
    <w:name w:val="HeaderLandscape"/>
    <w:basedOn w:val="Normal"/>
    <w:rsid w:val="001343FC"/>
    <w:pPr>
      <w:tabs>
        <w:tab w:val="center" w:pos="7285"/>
        <w:tab w:val="right" w:pos="14003"/>
      </w:tabs>
      <w:spacing w:before="0"/>
    </w:pPr>
  </w:style>
  <w:style w:type="paragraph" w:styleId="Footer">
    <w:name w:val="footer"/>
    <w:basedOn w:val="Normal"/>
    <w:link w:val="FooterChar"/>
    <w:uiPriority w:val="99"/>
    <w:unhideWhenUsed/>
    <w:rsid w:val="001343F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343F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929317">
      <w:bodyDiv w:val="1"/>
      <w:marLeft w:val="0"/>
      <w:marRight w:val="0"/>
      <w:marTop w:val="0"/>
      <w:marBottom w:val="0"/>
      <w:divBdr>
        <w:top w:val="none" w:sz="0" w:space="0" w:color="auto"/>
        <w:left w:val="none" w:sz="0" w:space="0" w:color="auto"/>
        <w:bottom w:val="none" w:sz="0" w:space="0" w:color="auto"/>
        <w:right w:val="none" w:sz="0" w:space="0" w:color="auto"/>
      </w:divBdr>
      <w:divsChild>
        <w:div w:id="145048935">
          <w:marLeft w:val="0"/>
          <w:marRight w:val="0"/>
          <w:marTop w:val="0"/>
          <w:marBottom w:val="0"/>
          <w:divBdr>
            <w:top w:val="none" w:sz="0" w:space="0" w:color="auto"/>
            <w:left w:val="none" w:sz="0" w:space="0" w:color="auto"/>
            <w:bottom w:val="none" w:sz="0" w:space="0" w:color="auto"/>
            <w:right w:val="none" w:sz="0" w:space="0" w:color="auto"/>
          </w:divBdr>
          <w:divsChild>
            <w:div w:id="1106535825">
              <w:marLeft w:val="0"/>
              <w:marRight w:val="0"/>
              <w:marTop w:val="0"/>
              <w:marBottom w:val="0"/>
              <w:divBdr>
                <w:top w:val="none" w:sz="0" w:space="0" w:color="auto"/>
                <w:left w:val="none" w:sz="0" w:space="0" w:color="auto"/>
                <w:bottom w:val="none" w:sz="0" w:space="0" w:color="auto"/>
                <w:right w:val="none" w:sz="0" w:space="0" w:color="auto"/>
              </w:divBdr>
              <w:divsChild>
                <w:div w:id="891816555">
                  <w:marLeft w:val="0"/>
                  <w:marRight w:val="0"/>
                  <w:marTop w:val="0"/>
                  <w:marBottom w:val="0"/>
                  <w:divBdr>
                    <w:top w:val="none" w:sz="0" w:space="0" w:color="auto"/>
                    <w:left w:val="none" w:sz="0" w:space="0" w:color="auto"/>
                    <w:bottom w:val="none" w:sz="0" w:space="0" w:color="auto"/>
                    <w:right w:val="none" w:sz="0" w:space="0" w:color="auto"/>
                  </w:divBdr>
                  <w:divsChild>
                    <w:div w:id="387723365">
                      <w:marLeft w:val="0"/>
                      <w:marRight w:val="0"/>
                      <w:marTop w:val="0"/>
                      <w:marBottom w:val="0"/>
                      <w:divBdr>
                        <w:top w:val="none" w:sz="0" w:space="0" w:color="auto"/>
                        <w:left w:val="none" w:sz="0" w:space="0" w:color="auto"/>
                        <w:bottom w:val="none" w:sz="0" w:space="0" w:color="auto"/>
                        <w:right w:val="none" w:sz="0" w:space="0" w:color="auto"/>
                      </w:divBdr>
                      <w:divsChild>
                        <w:div w:id="1018503204">
                          <w:marLeft w:val="0"/>
                          <w:marRight w:val="0"/>
                          <w:marTop w:val="0"/>
                          <w:marBottom w:val="0"/>
                          <w:divBdr>
                            <w:top w:val="none" w:sz="0" w:space="0" w:color="auto"/>
                            <w:left w:val="none" w:sz="0" w:space="0" w:color="auto"/>
                            <w:bottom w:val="none" w:sz="0" w:space="0" w:color="auto"/>
                            <w:right w:val="none" w:sz="0" w:space="0" w:color="auto"/>
                          </w:divBdr>
                          <w:divsChild>
                            <w:div w:id="96142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978232">
      <w:bodyDiv w:val="1"/>
      <w:marLeft w:val="0"/>
      <w:marRight w:val="0"/>
      <w:marTop w:val="0"/>
      <w:marBottom w:val="0"/>
      <w:divBdr>
        <w:top w:val="none" w:sz="0" w:space="0" w:color="auto"/>
        <w:left w:val="none" w:sz="0" w:space="0" w:color="auto"/>
        <w:bottom w:val="none" w:sz="0" w:space="0" w:color="auto"/>
        <w:right w:val="none" w:sz="0" w:space="0" w:color="auto"/>
      </w:divBdr>
    </w:div>
    <w:div w:id="835800949">
      <w:bodyDiv w:val="1"/>
      <w:marLeft w:val="0"/>
      <w:marRight w:val="0"/>
      <w:marTop w:val="0"/>
      <w:marBottom w:val="0"/>
      <w:divBdr>
        <w:top w:val="none" w:sz="0" w:space="0" w:color="auto"/>
        <w:left w:val="none" w:sz="0" w:space="0" w:color="auto"/>
        <w:bottom w:val="none" w:sz="0" w:space="0" w:color="auto"/>
        <w:right w:val="none" w:sz="0" w:space="0" w:color="auto"/>
      </w:divBdr>
    </w:div>
    <w:div w:id="1179781163">
      <w:bodyDiv w:val="1"/>
      <w:marLeft w:val="0"/>
      <w:marRight w:val="0"/>
      <w:marTop w:val="0"/>
      <w:marBottom w:val="0"/>
      <w:divBdr>
        <w:top w:val="none" w:sz="0" w:space="0" w:color="auto"/>
        <w:left w:val="none" w:sz="0" w:space="0" w:color="auto"/>
        <w:bottom w:val="none" w:sz="0" w:space="0" w:color="auto"/>
        <w:right w:val="none" w:sz="0" w:space="0" w:color="auto"/>
      </w:divBdr>
    </w:div>
    <w:div w:id="200069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973/oj" TargetMode="External"/><Relationship Id="rId2" Type="http://schemas.openxmlformats.org/officeDocument/2006/relationships/hyperlink" Target="http://data.europa.eu/eli/agree_internation/2021/689(1)/oj" TargetMode="External"/><Relationship Id="rId1" Type="http://schemas.openxmlformats.org/officeDocument/2006/relationships/hyperlink" Target="http://data.europa.eu/eli/dec/2021/1875/oj" TargetMode="External"/><Relationship Id="rId4" Type="http://schemas.openxmlformats.org/officeDocument/2006/relationships/hyperlink" Target="http://data.europa.eu/eli/reg/2019/4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7CF40-058D-4DBE-859C-BE78CEE2985C}">
  <ds:schemaRefs>
    <ds:schemaRef ds:uri="http://schemas.microsoft.com/sharepoint/v3/contenttype/forms"/>
  </ds:schemaRefs>
</ds:datastoreItem>
</file>

<file path=customXml/itemProps2.xml><?xml version="1.0" encoding="utf-8"?>
<ds:datastoreItem xmlns:ds="http://schemas.openxmlformats.org/officeDocument/2006/customXml" ds:itemID="{C731E4AD-2D1A-442A-A50E-67D335431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3B66A2-3972-4A37-AA6A-C624B092EE81}">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07871FB3-8625-4B4D-9F25-100754050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6</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2026-05-26T13:15:00Z</dcterms:created>
  <dcterms:modified xsi:type="dcterms:W3CDTF">2026-06-16T08:32:00Z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2026-03-10T08:38:33Z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60d0f726-0398-4d98-9d7b-322b9f524d52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