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0A6B4" w14:textId="646F6241" w:rsidR="00593F6B" w:rsidRPr="00C94AFC" w:rsidRDefault="00DB0D0B" w:rsidP="00DB0D0B">
      <w:pPr>
        <w:pStyle w:val="Pagedecouverture"/>
      </w:pPr>
      <w:bookmarkStart w:id="0" w:name="LW_BM_COVERPAGE"/>
      <w:r>
        <w:pict w14:anchorId="15AE6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6E6B0FD-0910-4F50-BBC1-3973B2C59C9B" style="width:455.65pt;height:313.8pt">
            <v:imagedata r:id="rId11" o:title=""/>
          </v:shape>
        </w:pict>
      </w:r>
    </w:p>
    <w:bookmarkEnd w:id="0"/>
    <w:p w14:paraId="6DD839BB" w14:textId="77777777" w:rsidR="00AA655D" w:rsidRPr="00C94AFC" w:rsidRDefault="00AA655D" w:rsidP="00AA655D">
      <w:pPr>
        <w:sectPr w:rsidR="00AA655D" w:rsidRPr="00C94AFC" w:rsidSect="00DB0D0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37A4BEE" w14:textId="17B2D9E7" w:rsidR="00AA655D" w:rsidRPr="00C94AFC" w:rsidRDefault="12387C8E" w:rsidP="63045722">
      <w:pPr>
        <w:keepNext/>
        <w:tabs>
          <w:tab w:val="left" w:pos="850"/>
        </w:tabs>
        <w:spacing w:after="120"/>
        <w:ind w:left="850" w:hanging="850"/>
        <w:jc w:val="both"/>
        <w:outlineLvl w:val="0"/>
        <w:rPr>
          <w:rFonts w:eastAsia="Times New Roman"/>
          <w:b/>
          <w:bCs/>
          <w:smallCaps/>
          <w:lang w:eastAsia="en-GB"/>
        </w:rPr>
      </w:pPr>
      <w:bookmarkStart w:id="1" w:name="_Hlk179446864"/>
      <w:r w:rsidRPr="00C94AFC">
        <w:rPr>
          <w:rFonts w:eastAsia="Times New Roman"/>
          <w:b/>
          <w:bCs/>
          <w:smallCaps/>
          <w:lang w:eastAsia="en-GB"/>
        </w:rPr>
        <w:lastRenderedPageBreak/>
        <w:t>1.</w:t>
      </w:r>
      <w:r w:rsidR="00AA655D" w:rsidRPr="00C94AFC">
        <w:tab/>
      </w:r>
      <w:r w:rsidRPr="00C94AFC">
        <w:rPr>
          <w:rFonts w:eastAsia="Times New Roman"/>
          <w:b/>
          <w:bCs/>
          <w:smallCaps/>
          <w:lang w:eastAsia="en-GB"/>
        </w:rPr>
        <w:t>Introductio</w:t>
      </w:r>
      <w:r w:rsidRPr="00C94AFC">
        <w:rPr>
          <w:rFonts w:eastAsiaTheme="minorEastAsia"/>
          <w:b/>
          <w:bCs/>
          <w:smallCaps/>
          <w:lang w:eastAsia="en-GB"/>
        </w:rPr>
        <w:t>n</w:t>
      </w:r>
      <w:r w:rsidR="7A9A923B" w:rsidRPr="00C94AFC">
        <w:rPr>
          <w:rFonts w:eastAsiaTheme="minorEastAsia"/>
          <w:b/>
          <w:bCs/>
          <w:smallCaps/>
          <w:lang w:eastAsia="en-GB"/>
        </w:rPr>
        <w:t xml:space="preserve"> and </w:t>
      </w:r>
      <w:r w:rsidR="00C6077E">
        <w:rPr>
          <w:rFonts w:eastAsia="Times New Roman"/>
          <w:b/>
          <w:bCs/>
          <w:smallCaps/>
          <w:lang w:eastAsia="en-GB"/>
        </w:rPr>
        <w:t>e</w:t>
      </w:r>
      <w:r w:rsidR="00AE1C2C">
        <w:rPr>
          <w:rFonts w:eastAsia="Times New Roman"/>
          <w:b/>
          <w:bCs/>
          <w:smallCaps/>
          <w:lang w:eastAsia="en-GB"/>
        </w:rPr>
        <w:t>xecutive</w:t>
      </w:r>
      <w:r w:rsidR="7A9A923B" w:rsidRPr="00C94AFC">
        <w:rPr>
          <w:rFonts w:eastAsia="Times New Roman"/>
          <w:b/>
          <w:bCs/>
          <w:smallCaps/>
          <w:lang w:eastAsia="en-GB"/>
        </w:rPr>
        <w:t xml:space="preserve"> </w:t>
      </w:r>
      <w:r w:rsidR="00C6077E">
        <w:rPr>
          <w:rFonts w:eastAsia="Times New Roman"/>
          <w:b/>
          <w:bCs/>
          <w:smallCaps/>
          <w:lang w:eastAsia="en-GB"/>
        </w:rPr>
        <w:t>s</w:t>
      </w:r>
      <w:r w:rsidR="00AE1C2C">
        <w:rPr>
          <w:rFonts w:eastAsia="Times New Roman"/>
          <w:b/>
          <w:bCs/>
          <w:smallCaps/>
          <w:lang w:eastAsia="en-GB"/>
        </w:rPr>
        <w:t>ummary</w:t>
      </w:r>
    </w:p>
    <w:p w14:paraId="4E472722" w14:textId="7CA92B53" w:rsidR="00F870C7" w:rsidRPr="00C94AFC" w:rsidRDefault="00F870C7" w:rsidP="001B46AF">
      <w:pPr>
        <w:keepNext/>
        <w:tabs>
          <w:tab w:val="left" w:pos="850"/>
        </w:tabs>
        <w:spacing w:after="120"/>
        <w:ind w:left="850" w:hanging="850"/>
        <w:jc w:val="both"/>
        <w:outlineLvl w:val="1"/>
        <w:rPr>
          <w:rFonts w:eastAsia="Times New Roman"/>
          <w:b/>
          <w:lang w:eastAsia="en-GB"/>
        </w:rPr>
      </w:pPr>
      <w:r w:rsidRPr="00C94AFC">
        <w:rPr>
          <w:rFonts w:eastAsia="Times New Roman"/>
          <w:b/>
          <w:lang w:eastAsia="en-GB"/>
        </w:rPr>
        <w:t>1.1 Introduction</w:t>
      </w:r>
    </w:p>
    <w:p w14:paraId="3B3157A2" w14:textId="479FC5CC" w:rsidR="00ED6211" w:rsidRPr="00C94AFC" w:rsidRDefault="5716157B" w:rsidP="3391EFF5">
      <w:pPr>
        <w:spacing w:before="100" w:beforeAutospacing="1" w:after="100" w:afterAutospacing="1"/>
        <w:jc w:val="both"/>
        <w:rPr>
          <w:rFonts w:eastAsia="Times New Roman"/>
          <w:lang w:eastAsia="en-GB"/>
        </w:rPr>
      </w:pPr>
      <w:r w:rsidRPr="00C94AFC">
        <w:rPr>
          <w:rFonts w:eastAsia="Times New Roman"/>
          <w:lang w:eastAsia="en-GB"/>
        </w:rPr>
        <w:t>This report</w:t>
      </w:r>
      <w:r w:rsidR="37306CAA" w:rsidRPr="00C94AFC">
        <w:rPr>
          <w:rFonts w:eastAsia="Times New Roman"/>
          <w:lang w:eastAsia="en-GB"/>
        </w:rPr>
        <w:t xml:space="preserve"> </w:t>
      </w:r>
      <w:r w:rsidR="3ADE7883" w:rsidRPr="00C94AFC">
        <w:rPr>
          <w:rFonts w:eastAsia="Times New Roman"/>
          <w:lang w:eastAsia="en-GB"/>
        </w:rPr>
        <w:t>provides information on the implementation of EU export control</w:t>
      </w:r>
      <w:r w:rsidR="7AE5E2AC" w:rsidRPr="00C94AFC">
        <w:rPr>
          <w:rFonts w:eastAsia="Times New Roman"/>
          <w:lang w:eastAsia="en-GB"/>
        </w:rPr>
        <w:t>s</w:t>
      </w:r>
      <w:r w:rsidR="69273E43" w:rsidRPr="00C94AFC">
        <w:rPr>
          <w:rFonts w:eastAsia="Times New Roman"/>
          <w:lang w:eastAsia="en-GB"/>
        </w:rPr>
        <w:t xml:space="preserve"> and the </w:t>
      </w:r>
      <w:r w:rsidR="006A49BE">
        <w:rPr>
          <w:rFonts w:eastAsia="Times New Roman"/>
          <w:lang w:eastAsia="en-GB"/>
        </w:rPr>
        <w:t>revised</w:t>
      </w:r>
      <w:r w:rsidR="006A49BE" w:rsidRPr="00C94AFC">
        <w:rPr>
          <w:rFonts w:eastAsia="Times New Roman"/>
          <w:lang w:eastAsia="en-GB"/>
        </w:rPr>
        <w:t xml:space="preserve"> </w:t>
      </w:r>
      <w:r w:rsidR="69273E43" w:rsidRPr="00C94AFC">
        <w:rPr>
          <w:rFonts w:eastAsia="Times New Roman"/>
          <w:lang w:eastAsia="en-GB"/>
        </w:rPr>
        <w:t xml:space="preserve">Regulation (EU) 2021/821 of </w:t>
      </w:r>
      <w:r w:rsidR="001E2970">
        <w:rPr>
          <w:rFonts w:eastAsia="Times New Roman"/>
          <w:lang w:eastAsia="en-GB"/>
        </w:rPr>
        <w:t>20 </w:t>
      </w:r>
      <w:r w:rsidR="69273E43" w:rsidRPr="00C94AFC">
        <w:rPr>
          <w:rFonts w:eastAsia="Times New Roman"/>
          <w:lang w:eastAsia="en-GB"/>
        </w:rPr>
        <w:t>May 2021 (</w:t>
      </w:r>
      <w:r w:rsidR="00B81DC4">
        <w:rPr>
          <w:rFonts w:eastAsia="Times New Roman"/>
          <w:lang w:eastAsia="en-GB"/>
        </w:rPr>
        <w:t xml:space="preserve">‘the Dual-Use Regulation’ or </w:t>
      </w:r>
      <w:r w:rsidR="69273E43" w:rsidRPr="00C94AFC">
        <w:rPr>
          <w:rFonts w:eastAsia="Times New Roman"/>
          <w:lang w:eastAsia="en-GB"/>
        </w:rPr>
        <w:t>‘the Regulation’)</w:t>
      </w:r>
      <w:r w:rsidR="00D969CE" w:rsidRPr="00C94AFC">
        <w:rPr>
          <w:rStyle w:val="FootnoteReference"/>
          <w:rFonts w:eastAsia="Times New Roman"/>
          <w:lang w:eastAsia="en-GB"/>
        </w:rPr>
        <w:footnoteReference w:id="2"/>
      </w:r>
      <w:r w:rsidR="3ADE7883" w:rsidRPr="00C94AFC">
        <w:rPr>
          <w:rFonts w:eastAsia="Times New Roman"/>
          <w:lang w:eastAsia="en-GB"/>
        </w:rPr>
        <w:t xml:space="preserve"> f</w:t>
      </w:r>
      <w:r w:rsidR="7AE5E2AC" w:rsidRPr="00C94AFC">
        <w:rPr>
          <w:rFonts w:eastAsia="Times New Roman"/>
          <w:lang w:eastAsia="en-GB"/>
        </w:rPr>
        <w:t xml:space="preserve">or </w:t>
      </w:r>
      <w:r w:rsidR="277C2C27" w:rsidRPr="00C94AFC">
        <w:rPr>
          <w:rFonts w:eastAsia="Times New Roman"/>
          <w:lang w:eastAsia="en-GB"/>
        </w:rPr>
        <w:t xml:space="preserve">the control of exports of </w:t>
      </w:r>
      <w:r w:rsidR="3ADE7883" w:rsidRPr="00C94AFC">
        <w:rPr>
          <w:rFonts w:eastAsia="Times New Roman"/>
          <w:lang w:eastAsia="en-GB"/>
        </w:rPr>
        <w:t xml:space="preserve">dual-use items </w:t>
      </w:r>
      <w:r w:rsidR="0684CE09" w:rsidRPr="00C94AFC">
        <w:rPr>
          <w:rFonts w:eastAsia="Times New Roman"/>
          <w:lang w:eastAsia="en-GB"/>
        </w:rPr>
        <w:t xml:space="preserve">in </w:t>
      </w:r>
      <w:r w:rsidR="69273E43" w:rsidRPr="00C94AFC">
        <w:rPr>
          <w:rFonts w:eastAsia="Times New Roman"/>
          <w:lang w:eastAsia="en-GB"/>
        </w:rPr>
        <w:t>2024, together with the</w:t>
      </w:r>
      <w:r w:rsidR="3ADE7883" w:rsidRPr="00C94AFC">
        <w:rPr>
          <w:rFonts w:eastAsia="Times New Roman"/>
          <w:lang w:eastAsia="en-GB"/>
        </w:rPr>
        <w:t xml:space="preserve"> </w:t>
      </w:r>
      <w:r w:rsidR="76ED3E8E" w:rsidRPr="00C94AFC">
        <w:rPr>
          <w:rFonts w:eastAsia="Times New Roman"/>
          <w:lang w:eastAsia="en-GB"/>
        </w:rPr>
        <w:t xml:space="preserve">EU </w:t>
      </w:r>
      <w:r w:rsidR="3ADE7883" w:rsidRPr="00C94AFC">
        <w:rPr>
          <w:rFonts w:eastAsia="Times New Roman"/>
          <w:lang w:eastAsia="en-GB"/>
        </w:rPr>
        <w:t>aggregated</w:t>
      </w:r>
      <w:r w:rsidR="6579B2C8" w:rsidRPr="00C94AFC">
        <w:rPr>
          <w:rFonts w:eastAsia="Times New Roman"/>
          <w:lang w:eastAsia="en-GB"/>
        </w:rPr>
        <w:t xml:space="preserve"> </w:t>
      </w:r>
      <w:r w:rsidR="1AF11D49" w:rsidRPr="00C94AFC">
        <w:rPr>
          <w:rFonts w:eastAsia="Times New Roman"/>
          <w:lang w:eastAsia="en-GB"/>
        </w:rPr>
        <w:t>and Member States</w:t>
      </w:r>
      <w:r w:rsidR="006A49BE">
        <w:rPr>
          <w:rFonts w:eastAsia="Times New Roman"/>
          <w:lang w:eastAsia="en-GB"/>
        </w:rPr>
        <w:t>’</w:t>
      </w:r>
      <w:r w:rsidR="1AF11D49" w:rsidRPr="00C94AFC">
        <w:rPr>
          <w:rFonts w:eastAsia="Times New Roman"/>
          <w:lang w:eastAsia="en-GB"/>
        </w:rPr>
        <w:t xml:space="preserve"> </w:t>
      </w:r>
      <w:r w:rsidR="6579B2C8" w:rsidRPr="00C94AFC">
        <w:rPr>
          <w:rFonts w:eastAsia="Times New Roman"/>
          <w:lang w:eastAsia="en-GB"/>
        </w:rPr>
        <w:t xml:space="preserve">export control data for </w:t>
      </w:r>
      <w:r w:rsidR="69273E43" w:rsidRPr="00C94AFC">
        <w:rPr>
          <w:rFonts w:eastAsia="Times New Roman"/>
          <w:lang w:eastAsia="en-GB"/>
        </w:rPr>
        <w:t>202</w:t>
      </w:r>
      <w:r w:rsidR="687DF03A" w:rsidRPr="00C94AFC">
        <w:rPr>
          <w:rFonts w:eastAsia="Times New Roman"/>
          <w:lang w:eastAsia="en-GB"/>
        </w:rPr>
        <w:t>4</w:t>
      </w:r>
      <w:r w:rsidR="02C0CF48" w:rsidRPr="00C94AFC">
        <w:rPr>
          <w:rFonts w:eastAsia="Times New Roman"/>
          <w:lang w:eastAsia="en-GB"/>
        </w:rPr>
        <w:t>.</w:t>
      </w:r>
    </w:p>
    <w:p w14:paraId="05BEE3DC" w14:textId="2E8B96E8" w:rsidR="0000355C" w:rsidRPr="00C94AFC" w:rsidRDefault="02C0CF48" w:rsidP="3391EFF5">
      <w:pPr>
        <w:spacing w:before="100" w:beforeAutospacing="1" w:after="100" w:afterAutospacing="1"/>
        <w:jc w:val="both"/>
        <w:rPr>
          <w:rFonts w:eastAsia="Times New Roman"/>
          <w:lang w:eastAsia="en-GB"/>
        </w:rPr>
      </w:pPr>
      <w:r w:rsidRPr="00C94AFC">
        <w:rPr>
          <w:rFonts w:eastAsia="Times New Roman"/>
          <w:lang w:eastAsia="en-GB"/>
        </w:rPr>
        <w:t>This</w:t>
      </w:r>
      <w:r w:rsidR="77191B4B" w:rsidRPr="00C94AFC">
        <w:rPr>
          <w:rFonts w:eastAsia="Times New Roman"/>
          <w:lang w:eastAsia="en-GB"/>
        </w:rPr>
        <w:t xml:space="preserve"> </w:t>
      </w:r>
      <w:r w:rsidR="3B6A0494" w:rsidRPr="00C94AFC">
        <w:rPr>
          <w:rFonts w:eastAsia="Times New Roman"/>
          <w:lang w:eastAsia="en-GB"/>
        </w:rPr>
        <w:t xml:space="preserve">annual </w:t>
      </w:r>
      <w:r w:rsidR="77191B4B" w:rsidRPr="00C94AFC">
        <w:rPr>
          <w:rFonts w:eastAsia="Times New Roman"/>
          <w:lang w:eastAsia="en-GB"/>
        </w:rPr>
        <w:t xml:space="preserve">report </w:t>
      </w:r>
      <w:r w:rsidR="7DD9D55C" w:rsidRPr="00C94AFC">
        <w:rPr>
          <w:rFonts w:eastAsia="Times New Roman"/>
          <w:lang w:eastAsia="en-GB"/>
        </w:rPr>
        <w:t xml:space="preserve">reflects the EU’s determination under the Regulation to </w:t>
      </w:r>
      <w:r w:rsidR="006A49BE">
        <w:rPr>
          <w:rFonts w:eastAsia="Times New Roman"/>
          <w:lang w:eastAsia="en-GB"/>
        </w:rPr>
        <w:t xml:space="preserve">improve </w:t>
      </w:r>
      <w:r w:rsidR="44F5A2F0" w:rsidRPr="00C94AFC">
        <w:rPr>
          <w:rFonts w:eastAsia="Times New Roman"/>
          <w:lang w:eastAsia="en-GB"/>
        </w:rPr>
        <w:t xml:space="preserve">information sharing on Member States’ licensing decisions in the area of export controls with the objective of </w:t>
      </w:r>
      <w:r w:rsidR="00D9102B" w:rsidRPr="00C94AFC">
        <w:rPr>
          <w:rFonts w:eastAsia="Times New Roman"/>
          <w:lang w:eastAsia="en-GB"/>
        </w:rPr>
        <w:t xml:space="preserve">increasing </w:t>
      </w:r>
      <w:r w:rsidR="44F5A2F0" w:rsidRPr="00C94AFC">
        <w:rPr>
          <w:rFonts w:eastAsia="Times New Roman"/>
          <w:lang w:eastAsia="en-GB"/>
        </w:rPr>
        <w:t>transparency.</w:t>
      </w:r>
    </w:p>
    <w:p w14:paraId="703366E4" w14:textId="4542DDF4" w:rsidR="00D24DE5" w:rsidRPr="00C94AFC" w:rsidRDefault="78722301" w:rsidP="100A786D">
      <w:pPr>
        <w:spacing w:before="100" w:beforeAutospacing="1" w:after="100" w:afterAutospacing="1"/>
        <w:jc w:val="both"/>
        <w:rPr>
          <w:rFonts w:eastAsia="Times New Roman"/>
          <w:lang w:eastAsia="en-GB"/>
        </w:rPr>
      </w:pPr>
      <w:r w:rsidRPr="00C94AFC">
        <w:rPr>
          <w:rFonts w:eastAsia="Times New Roman"/>
          <w:lang w:eastAsia="en-GB"/>
        </w:rPr>
        <w:t>As required under the Regulation and t</w:t>
      </w:r>
      <w:r w:rsidR="3395B84E" w:rsidRPr="00C94AFC">
        <w:rPr>
          <w:rFonts w:eastAsia="Times New Roman"/>
          <w:lang w:eastAsia="en-GB"/>
        </w:rPr>
        <w:t xml:space="preserve">o </w:t>
      </w:r>
      <w:r w:rsidR="006A49BE">
        <w:rPr>
          <w:rFonts w:eastAsia="Times New Roman"/>
          <w:lang w:eastAsia="en-GB"/>
        </w:rPr>
        <w:t>improve the</w:t>
      </w:r>
      <w:r w:rsidRPr="00C94AFC">
        <w:rPr>
          <w:rFonts w:eastAsia="Times New Roman"/>
          <w:lang w:eastAsia="en-GB"/>
        </w:rPr>
        <w:t xml:space="preserve"> </w:t>
      </w:r>
      <w:r w:rsidR="03A8A8F2" w:rsidRPr="00C94AFC">
        <w:rPr>
          <w:rFonts w:eastAsia="Times New Roman"/>
          <w:lang w:eastAsia="en-GB"/>
        </w:rPr>
        <w:t>data collection process</w:t>
      </w:r>
      <w:r w:rsidR="26CC73D2" w:rsidRPr="00C94AFC">
        <w:rPr>
          <w:rFonts w:eastAsia="Times New Roman"/>
          <w:lang w:eastAsia="en-GB"/>
        </w:rPr>
        <w:t>, on 17</w:t>
      </w:r>
      <w:r w:rsidR="00C94AFC">
        <w:rPr>
          <w:rFonts w:eastAsia="Times New Roman"/>
          <w:lang w:eastAsia="en-GB"/>
        </w:rPr>
        <w:t> </w:t>
      </w:r>
      <w:r w:rsidR="26CC73D2" w:rsidRPr="00C94AFC">
        <w:rPr>
          <w:rFonts w:eastAsia="Times New Roman"/>
          <w:lang w:eastAsia="en-GB"/>
        </w:rPr>
        <w:t>January 2024,</w:t>
      </w:r>
      <w:r w:rsidR="57ECDFA0" w:rsidRPr="00C94AFC">
        <w:rPr>
          <w:rFonts w:eastAsia="Times New Roman"/>
          <w:lang w:eastAsia="en-GB"/>
        </w:rPr>
        <w:t xml:space="preserve"> </w:t>
      </w:r>
      <w:r w:rsidR="006A49BE" w:rsidRPr="00C94AFC">
        <w:rPr>
          <w:rFonts w:eastAsia="Times New Roman"/>
          <w:lang w:eastAsia="en-GB"/>
        </w:rPr>
        <w:t xml:space="preserve">the Commission </w:t>
      </w:r>
      <w:r w:rsidR="57ECDFA0" w:rsidRPr="00C94AFC">
        <w:rPr>
          <w:rFonts w:eastAsia="Times New Roman"/>
          <w:lang w:eastAsia="en-GB"/>
        </w:rPr>
        <w:t xml:space="preserve">published </w:t>
      </w:r>
      <w:r w:rsidR="00ED6157" w:rsidRPr="00C94AFC">
        <w:rPr>
          <w:rFonts w:eastAsia="Times New Roman"/>
          <w:lang w:eastAsia="en-GB"/>
        </w:rPr>
        <w:t>g</w:t>
      </w:r>
      <w:r w:rsidR="57ECDFA0" w:rsidRPr="00C94AFC">
        <w:rPr>
          <w:rFonts w:eastAsia="Times New Roman"/>
          <w:lang w:eastAsia="en-GB"/>
        </w:rPr>
        <w:t xml:space="preserve">uidelines </w:t>
      </w:r>
      <w:r w:rsidR="03A8A8F2" w:rsidRPr="00C94AFC">
        <w:rPr>
          <w:rFonts w:eastAsia="Times New Roman"/>
          <w:lang w:eastAsia="en-GB"/>
        </w:rPr>
        <w:t xml:space="preserve">agreed with the Member States </w:t>
      </w:r>
      <w:r w:rsidR="424999EE" w:rsidRPr="00C94AFC">
        <w:rPr>
          <w:rFonts w:eastAsia="Times New Roman"/>
          <w:lang w:eastAsia="en-GB"/>
        </w:rPr>
        <w:t xml:space="preserve">setting out </w:t>
      </w:r>
      <w:r w:rsidR="00B81DC4">
        <w:rPr>
          <w:rFonts w:eastAsia="Times New Roman"/>
          <w:lang w:eastAsia="en-GB"/>
        </w:rPr>
        <w:t>a</w:t>
      </w:r>
      <w:r w:rsidR="00B81DC4" w:rsidRPr="00C94AFC">
        <w:rPr>
          <w:rFonts w:eastAsia="Times New Roman"/>
          <w:lang w:eastAsia="en-GB"/>
        </w:rPr>
        <w:t xml:space="preserve"> </w:t>
      </w:r>
      <w:r w:rsidR="424999EE" w:rsidRPr="00C94AFC">
        <w:rPr>
          <w:rFonts w:eastAsia="Times New Roman"/>
          <w:lang w:eastAsia="en-GB"/>
        </w:rPr>
        <w:t>methodology for</w:t>
      </w:r>
      <w:r w:rsidR="57ECDFA0" w:rsidRPr="00C94AFC">
        <w:rPr>
          <w:rFonts w:eastAsia="Times New Roman"/>
          <w:lang w:eastAsia="en-GB"/>
        </w:rPr>
        <w:t xml:space="preserve"> </w:t>
      </w:r>
      <w:r w:rsidR="001D5934">
        <w:rPr>
          <w:rFonts w:eastAsia="Times New Roman"/>
          <w:lang w:eastAsia="en-GB"/>
        </w:rPr>
        <w:t>collecting</w:t>
      </w:r>
      <w:r w:rsidR="006A49BE">
        <w:rPr>
          <w:rFonts w:eastAsia="Times New Roman"/>
          <w:lang w:eastAsia="en-GB"/>
        </w:rPr>
        <w:t xml:space="preserve"> and processing </w:t>
      </w:r>
      <w:r w:rsidR="55FE36F5" w:rsidRPr="00C94AFC">
        <w:rPr>
          <w:rFonts w:eastAsia="Times New Roman"/>
          <w:lang w:eastAsia="en-GB"/>
        </w:rPr>
        <w:t xml:space="preserve">licensing </w:t>
      </w:r>
      <w:r w:rsidR="006A49BE">
        <w:rPr>
          <w:rFonts w:eastAsia="Times New Roman"/>
          <w:lang w:eastAsia="en-GB"/>
        </w:rPr>
        <w:t xml:space="preserve">data </w:t>
      </w:r>
      <w:r w:rsidR="55FE36F5" w:rsidRPr="00C94AFC">
        <w:rPr>
          <w:rFonts w:eastAsia="Times New Roman"/>
          <w:lang w:eastAsia="en-GB"/>
        </w:rPr>
        <w:t xml:space="preserve">and other </w:t>
      </w:r>
      <w:r w:rsidR="57ECDFA0" w:rsidRPr="00C94AFC">
        <w:rPr>
          <w:rFonts w:eastAsia="Times New Roman"/>
          <w:lang w:eastAsia="en-GB"/>
        </w:rPr>
        <w:t>data in view of the preparation of the EU’s annual report on dual-use export controls</w:t>
      </w:r>
      <w:r w:rsidR="002101CC" w:rsidRPr="00C94AFC">
        <w:rPr>
          <w:rStyle w:val="FootnoteReference"/>
          <w:rFonts w:eastAsia="Times New Roman"/>
          <w:lang w:eastAsia="en-GB"/>
        </w:rPr>
        <w:footnoteReference w:id="3"/>
      </w:r>
      <w:r w:rsidR="00C94AFC" w:rsidRPr="00C94AFC">
        <w:rPr>
          <w:rFonts w:eastAsia="Times New Roman"/>
          <w:lang w:eastAsia="en-GB"/>
        </w:rPr>
        <w:t>.</w:t>
      </w:r>
      <w:r w:rsidR="57ECDFA0" w:rsidRPr="00C94AFC">
        <w:rPr>
          <w:rFonts w:eastAsia="Times New Roman"/>
          <w:lang w:eastAsia="en-GB"/>
        </w:rPr>
        <w:t xml:space="preserve"> </w:t>
      </w:r>
      <w:r w:rsidR="32A84870" w:rsidRPr="00C94AFC">
        <w:rPr>
          <w:rFonts w:eastAsia="Times New Roman"/>
          <w:lang w:eastAsia="en-GB"/>
        </w:rPr>
        <w:t xml:space="preserve">Against this background, this report </w:t>
      </w:r>
      <w:r w:rsidR="2B8E2E6C" w:rsidRPr="00C94AFC">
        <w:rPr>
          <w:rFonts w:eastAsia="Times New Roman"/>
          <w:lang w:eastAsia="en-GB"/>
        </w:rPr>
        <w:t>was prepared by the Commission with inpu</w:t>
      </w:r>
      <w:r w:rsidR="45F1E54E" w:rsidRPr="00C94AFC">
        <w:rPr>
          <w:rFonts w:eastAsia="Times New Roman"/>
          <w:lang w:eastAsia="en-GB"/>
        </w:rPr>
        <w:t>t</w:t>
      </w:r>
      <w:r w:rsidR="18E95634" w:rsidRPr="00C94AFC">
        <w:rPr>
          <w:rFonts w:eastAsia="Times New Roman"/>
          <w:lang w:eastAsia="en-GB"/>
        </w:rPr>
        <w:t>s</w:t>
      </w:r>
      <w:r w:rsidR="2B8E2E6C" w:rsidRPr="00C94AFC">
        <w:rPr>
          <w:rFonts w:eastAsia="Times New Roman"/>
          <w:lang w:eastAsia="en-GB"/>
        </w:rPr>
        <w:t xml:space="preserve"> from Member States</w:t>
      </w:r>
      <w:r w:rsidR="00631BC1" w:rsidRPr="00C94AFC">
        <w:rPr>
          <w:rStyle w:val="FootnoteReference"/>
        </w:rPr>
        <w:footnoteReference w:id="4"/>
      </w:r>
      <w:r w:rsidR="2B8E2E6C" w:rsidRPr="00C94AFC">
        <w:rPr>
          <w:rFonts w:eastAsia="Times New Roman"/>
          <w:lang w:eastAsia="en-GB"/>
        </w:rPr>
        <w:t xml:space="preserve"> in the Dual</w:t>
      </w:r>
      <w:r w:rsidR="7852B5C6" w:rsidRPr="00C94AFC">
        <w:rPr>
          <w:rFonts w:eastAsia="Times New Roman"/>
          <w:lang w:eastAsia="en-GB"/>
        </w:rPr>
        <w:t>-</w:t>
      </w:r>
      <w:r w:rsidR="2B8E2E6C" w:rsidRPr="00C94AFC">
        <w:rPr>
          <w:rFonts w:eastAsia="Times New Roman"/>
          <w:lang w:eastAsia="en-GB"/>
        </w:rPr>
        <w:t xml:space="preserve">Use Coordination Group (DUCG). Due to their volume, the data </w:t>
      </w:r>
      <w:r w:rsidR="3395B84E" w:rsidRPr="00C94AFC">
        <w:rPr>
          <w:rFonts w:eastAsia="Times New Roman"/>
          <w:lang w:eastAsia="en-GB"/>
        </w:rPr>
        <w:t>for 202</w:t>
      </w:r>
      <w:r w:rsidR="6C61AF16" w:rsidRPr="00C94AFC">
        <w:rPr>
          <w:rFonts w:eastAsia="Times New Roman"/>
          <w:lang w:eastAsia="en-GB"/>
        </w:rPr>
        <w:t>4</w:t>
      </w:r>
      <w:r w:rsidR="3395B84E" w:rsidRPr="00C94AFC">
        <w:rPr>
          <w:rFonts w:eastAsia="Times New Roman"/>
          <w:lang w:eastAsia="en-GB"/>
        </w:rPr>
        <w:t xml:space="preserve"> </w:t>
      </w:r>
      <w:r w:rsidR="2B8E2E6C" w:rsidRPr="00C94AFC">
        <w:rPr>
          <w:rFonts w:eastAsia="Times New Roman"/>
          <w:lang w:eastAsia="en-GB"/>
        </w:rPr>
        <w:t xml:space="preserve">provided by Member States are presented in </w:t>
      </w:r>
      <w:r w:rsidR="280DAA28" w:rsidRPr="00C94AFC">
        <w:rPr>
          <w:rFonts w:eastAsia="Times New Roman"/>
          <w:lang w:eastAsia="en-GB"/>
        </w:rPr>
        <w:t xml:space="preserve">a </w:t>
      </w:r>
      <w:r w:rsidR="2B8E2E6C" w:rsidRPr="00C94AFC">
        <w:rPr>
          <w:rFonts w:eastAsia="Times New Roman"/>
          <w:lang w:eastAsia="en-GB"/>
        </w:rPr>
        <w:t>consolidated form</w:t>
      </w:r>
      <w:r w:rsidR="17B6EABC" w:rsidRPr="00C94AFC">
        <w:rPr>
          <w:rFonts w:eastAsia="Times New Roman"/>
          <w:lang w:eastAsia="en-GB"/>
        </w:rPr>
        <w:t>at</w:t>
      </w:r>
      <w:r w:rsidR="2B8E2E6C" w:rsidRPr="00C94AFC">
        <w:rPr>
          <w:rFonts w:eastAsia="Times New Roman"/>
          <w:lang w:eastAsia="en-GB"/>
        </w:rPr>
        <w:t xml:space="preserve"> in the </w:t>
      </w:r>
      <w:r w:rsidR="006A49BE">
        <w:rPr>
          <w:rFonts w:eastAsia="Times New Roman"/>
          <w:lang w:eastAsia="en-GB"/>
        </w:rPr>
        <w:t>s</w:t>
      </w:r>
      <w:r w:rsidR="2B8E2E6C" w:rsidRPr="00C94AFC">
        <w:rPr>
          <w:rFonts w:eastAsia="Times New Roman"/>
          <w:lang w:eastAsia="en-GB"/>
        </w:rPr>
        <w:t xml:space="preserve">taff </w:t>
      </w:r>
      <w:r w:rsidR="006A49BE">
        <w:rPr>
          <w:rFonts w:eastAsia="Times New Roman"/>
          <w:lang w:eastAsia="en-GB"/>
        </w:rPr>
        <w:t>w</w:t>
      </w:r>
      <w:r w:rsidR="2B8E2E6C" w:rsidRPr="00C94AFC">
        <w:rPr>
          <w:rFonts w:eastAsia="Times New Roman"/>
          <w:lang w:eastAsia="en-GB"/>
        </w:rPr>
        <w:t xml:space="preserve">orking </w:t>
      </w:r>
      <w:r w:rsidR="006A49BE">
        <w:rPr>
          <w:rFonts w:eastAsia="Times New Roman"/>
          <w:lang w:eastAsia="en-GB"/>
        </w:rPr>
        <w:t>d</w:t>
      </w:r>
      <w:r w:rsidR="2B8E2E6C" w:rsidRPr="00C94AFC">
        <w:rPr>
          <w:rFonts w:eastAsia="Times New Roman"/>
          <w:lang w:eastAsia="en-GB"/>
        </w:rPr>
        <w:t>ocument that accompanies th</w:t>
      </w:r>
      <w:r w:rsidR="17B6EABC" w:rsidRPr="00C94AFC">
        <w:rPr>
          <w:rFonts w:eastAsia="Times New Roman"/>
          <w:lang w:eastAsia="en-GB"/>
        </w:rPr>
        <w:t>is</w:t>
      </w:r>
      <w:r w:rsidR="03A8A8F2" w:rsidRPr="00C94AFC">
        <w:rPr>
          <w:rFonts w:eastAsia="Times New Roman"/>
          <w:lang w:eastAsia="en-GB"/>
        </w:rPr>
        <w:t xml:space="preserve"> annual</w:t>
      </w:r>
      <w:r w:rsidR="2B8E2E6C" w:rsidRPr="00C94AFC">
        <w:rPr>
          <w:rFonts w:eastAsia="Times New Roman"/>
          <w:lang w:eastAsia="en-GB"/>
        </w:rPr>
        <w:t xml:space="preserve"> report.</w:t>
      </w:r>
    </w:p>
    <w:p w14:paraId="5870216A" w14:textId="3149B98D" w:rsidR="00F870C7" w:rsidRPr="00C94AFC" w:rsidRDefault="00F870C7" w:rsidP="001B46AF">
      <w:pPr>
        <w:keepNext/>
        <w:tabs>
          <w:tab w:val="left" w:pos="850"/>
        </w:tabs>
        <w:spacing w:after="120"/>
        <w:ind w:left="850" w:hanging="850"/>
        <w:jc w:val="both"/>
        <w:outlineLvl w:val="1"/>
        <w:rPr>
          <w:rFonts w:eastAsia="Times New Roman"/>
          <w:b/>
          <w:lang w:eastAsia="en-GB"/>
        </w:rPr>
      </w:pPr>
      <w:r w:rsidRPr="00C94AFC">
        <w:rPr>
          <w:rFonts w:eastAsia="Times New Roman"/>
          <w:b/>
          <w:lang w:eastAsia="en-GB"/>
        </w:rPr>
        <w:t xml:space="preserve">1.2 Executive </w:t>
      </w:r>
      <w:r w:rsidR="00C6077E">
        <w:rPr>
          <w:rFonts w:eastAsia="Times New Roman"/>
          <w:b/>
          <w:lang w:eastAsia="en-GB"/>
        </w:rPr>
        <w:t>s</w:t>
      </w:r>
      <w:r w:rsidRPr="00C94AFC">
        <w:rPr>
          <w:rFonts w:eastAsia="Times New Roman"/>
          <w:b/>
          <w:lang w:eastAsia="en-GB"/>
        </w:rPr>
        <w:t>ummary</w:t>
      </w:r>
    </w:p>
    <w:p w14:paraId="5611A80C" w14:textId="18E9EC2D" w:rsidR="002D7174" w:rsidRPr="00C94AFC" w:rsidRDefault="002D7174" w:rsidP="002D7174">
      <w:pPr>
        <w:spacing w:before="100" w:beforeAutospacing="1" w:after="100" w:afterAutospacing="1"/>
        <w:jc w:val="both"/>
      </w:pPr>
      <w:r w:rsidRPr="00C94AFC">
        <w:t>In 2024, the total value of authorised dual-use trade amounted to EUR</w:t>
      </w:r>
      <w:r w:rsidR="00C94AFC">
        <w:t> </w:t>
      </w:r>
      <w:r w:rsidRPr="00C94AFC">
        <w:t>77.6</w:t>
      </w:r>
      <w:r w:rsidRPr="00C94AFC">
        <w:rPr>
          <w:i/>
          <w:iCs/>
        </w:rPr>
        <w:t xml:space="preserve"> </w:t>
      </w:r>
      <w:r w:rsidRPr="00C94AFC">
        <w:t>billion, representing 3% of total extra-EU exports of goods</w:t>
      </w:r>
      <w:r w:rsidR="001B46AF" w:rsidRPr="00C94AFC">
        <w:rPr>
          <w:rStyle w:val="FootnoteReference"/>
        </w:rPr>
        <w:footnoteReference w:id="5"/>
      </w:r>
      <w:r w:rsidR="00C94AFC" w:rsidRPr="00C94AFC">
        <w:t>.</w:t>
      </w:r>
      <w:r w:rsidRPr="00C94AFC">
        <w:t xml:space="preserve"> The types of licences having the highest weighting were global export authorisations (EUR</w:t>
      </w:r>
      <w:r w:rsidR="00C94AFC">
        <w:t> </w:t>
      </w:r>
      <w:r w:rsidRPr="00C94AFC">
        <w:t>36.5 billion), individual export authorisations (EUR</w:t>
      </w:r>
      <w:r w:rsidR="00C94AFC">
        <w:t> </w:t>
      </w:r>
      <w:r w:rsidRPr="00C94AFC">
        <w:t>24 billion) and EU general export authorisations (EUR</w:t>
      </w:r>
      <w:r w:rsidR="00C94AFC">
        <w:t> </w:t>
      </w:r>
      <w:r w:rsidRPr="00C94AFC">
        <w:t>9 billion).</w:t>
      </w:r>
    </w:p>
    <w:p w14:paraId="7E68AB1F" w14:textId="5C96FB6C" w:rsidR="002D7174" w:rsidRPr="00C94AFC" w:rsidRDefault="002D7174" w:rsidP="002D7174">
      <w:pPr>
        <w:spacing w:before="100" w:beforeAutospacing="1" w:after="100" w:afterAutospacing="1"/>
        <w:jc w:val="both"/>
      </w:pPr>
      <w:r w:rsidRPr="00C94AFC">
        <w:t>In terms of volume, the 2024 dual-use trade corresponds to 133</w:t>
      </w:r>
      <w:r w:rsidR="00C94AFC">
        <w:t> </w:t>
      </w:r>
      <w:r w:rsidRPr="00C94AFC">
        <w:t xml:space="preserve">470 authorisations and notifications. </w:t>
      </w:r>
      <w:r w:rsidR="00DF01E2" w:rsidRPr="00C94AFC">
        <w:t>Most</w:t>
      </w:r>
      <w:r w:rsidRPr="00C94AFC">
        <w:t xml:space="preserve"> transactions fall under EU general export authorisations (89</w:t>
      </w:r>
      <w:r w:rsidR="00C94AFC">
        <w:t> </w:t>
      </w:r>
      <w:r w:rsidRPr="00C94AFC">
        <w:t xml:space="preserve">388), </w:t>
      </w:r>
      <w:r w:rsidR="009E36E8" w:rsidRPr="00C94AFC">
        <w:t xml:space="preserve">then </w:t>
      </w:r>
      <w:r w:rsidRPr="00C94AFC">
        <w:t>national general export authorisations (23</w:t>
      </w:r>
      <w:r w:rsidR="00C94AFC">
        <w:t> </w:t>
      </w:r>
      <w:r w:rsidRPr="00C94AFC">
        <w:t xml:space="preserve">406) and </w:t>
      </w:r>
      <w:r w:rsidR="009E36E8" w:rsidRPr="00C94AFC">
        <w:t xml:space="preserve">subsequently </w:t>
      </w:r>
      <w:r w:rsidRPr="00C94AFC">
        <w:t>individual licences (18</w:t>
      </w:r>
      <w:r w:rsidR="00C94AFC">
        <w:t> </w:t>
      </w:r>
      <w:r w:rsidRPr="00C94AFC">
        <w:t>549).</w:t>
      </w:r>
    </w:p>
    <w:p w14:paraId="1079D181" w14:textId="27383D65" w:rsidR="002D7174" w:rsidRPr="00C94AFC" w:rsidRDefault="002D7174" w:rsidP="002D7174">
      <w:pPr>
        <w:spacing w:before="100" w:beforeAutospacing="1" w:after="100" w:afterAutospacing="1"/>
        <w:jc w:val="both"/>
      </w:pPr>
      <w:r w:rsidRPr="00C94AFC">
        <w:t>In the same year, 487 denials were reported for a value of EUR</w:t>
      </w:r>
      <w:r w:rsidR="00C94AFC">
        <w:t> </w:t>
      </w:r>
      <w:r w:rsidRPr="00C94AFC">
        <w:t xml:space="preserve">0.2 billion, indicating that only a small portion of EU exports were denied (0.01% of </w:t>
      </w:r>
      <w:r w:rsidR="007543D0">
        <w:t xml:space="preserve">the </w:t>
      </w:r>
      <w:r w:rsidRPr="00C94AFC">
        <w:t>value of total extra-EU exports of goods that year).</w:t>
      </w:r>
    </w:p>
    <w:p w14:paraId="2C67047A" w14:textId="6D12F907" w:rsidR="002D7174" w:rsidRPr="00C94AFC" w:rsidRDefault="002D7174" w:rsidP="002D7174">
      <w:pPr>
        <w:spacing w:before="100" w:beforeAutospacing="1" w:after="100" w:afterAutospacing="1"/>
        <w:jc w:val="both"/>
      </w:pPr>
      <w:r w:rsidRPr="00C94AFC">
        <w:t xml:space="preserve">The report provides information synthesised from the available data. Given the different practices and types of authorisations in each Member State, it does not provide </w:t>
      </w:r>
      <w:r w:rsidR="00C6077E">
        <w:t>a</w:t>
      </w:r>
      <w:r w:rsidR="00C6077E" w:rsidRPr="00C94AFC">
        <w:t xml:space="preserve"> </w:t>
      </w:r>
      <w:r w:rsidRPr="00C94AFC">
        <w:t xml:space="preserve">precise </w:t>
      </w:r>
      <w:r w:rsidR="00C6077E">
        <w:t>breakdown</w:t>
      </w:r>
      <w:r w:rsidR="00C6077E" w:rsidRPr="00C94AFC">
        <w:t xml:space="preserve"> </w:t>
      </w:r>
      <w:r w:rsidRPr="00C94AFC">
        <w:t xml:space="preserve">of authorised trade by type of item or destination for global export authorisations, which represent 47% of authorised value in 2024. Despite this, it is still useful to consider the </w:t>
      </w:r>
      <w:r w:rsidRPr="00C94AFC">
        <w:lastRenderedPageBreak/>
        <w:t>trends for the other types of authorisation</w:t>
      </w:r>
      <w:r w:rsidR="00C6077E">
        <w:t>s</w:t>
      </w:r>
      <w:r w:rsidRPr="00C94AFC">
        <w:t xml:space="preserve"> (individual and general export authorisations), which represent 44% of the authorised value.</w:t>
      </w:r>
    </w:p>
    <w:p w14:paraId="07238228" w14:textId="1B14C23D" w:rsidR="002D7174" w:rsidRPr="00C94AFC" w:rsidRDefault="002D7174" w:rsidP="002D7174">
      <w:pPr>
        <w:spacing w:before="100" w:beforeAutospacing="1" w:after="100" w:afterAutospacing="1"/>
        <w:jc w:val="both"/>
      </w:pPr>
      <w:r w:rsidRPr="00C94AFC">
        <w:t xml:space="preserve">In 2024, the highest values of individual and general export authorisations (Figure </w:t>
      </w:r>
      <w:r w:rsidR="4AF56ECC" w:rsidRPr="00C94AFC">
        <w:t>1</w:t>
      </w:r>
      <w:r w:rsidRPr="00C94AFC">
        <w:t xml:space="preserve">) corresponded to </w:t>
      </w:r>
      <w:r w:rsidR="007543D0">
        <w:t xml:space="preserve">the following </w:t>
      </w:r>
      <w:r w:rsidRPr="00C94AFC">
        <w:t>items</w:t>
      </w:r>
      <w:r w:rsidR="007543D0">
        <w:t>:</w:t>
      </w:r>
      <w:r w:rsidRPr="00C94AFC">
        <w:t xml:space="preserve"> </w:t>
      </w:r>
      <w:r w:rsidR="00873814">
        <w:t>N</w:t>
      </w:r>
      <w:r w:rsidRPr="00C94AFC">
        <w:t>uclear materials, facilities, plants and equipment (22%),</w:t>
      </w:r>
      <w:r w:rsidR="00C94AFC" w:rsidRPr="00C94AFC">
        <w:t xml:space="preserve"> </w:t>
      </w:r>
      <w:r w:rsidR="00873814">
        <w:t>I</w:t>
      </w:r>
      <w:r w:rsidRPr="00C94AFC">
        <w:t>nformation security and crypto-analysis items and equipment (21%),</w:t>
      </w:r>
      <w:r w:rsidR="00C94AFC" w:rsidRPr="00C94AFC">
        <w:t xml:space="preserve"> </w:t>
      </w:r>
      <w:r w:rsidR="00873814">
        <w:t>E</w:t>
      </w:r>
      <w:r w:rsidRPr="00C94AFC">
        <w:t>quipment for the manufacturing and testing of semiconductor devices or materials (9%),</w:t>
      </w:r>
      <w:r w:rsidR="00C94AFC" w:rsidRPr="00C94AFC">
        <w:t xml:space="preserve"> </w:t>
      </w:r>
      <w:r w:rsidR="00873814">
        <w:t>A</w:t>
      </w:r>
      <w:r w:rsidRPr="00C94AFC">
        <w:t xml:space="preserve">erospace engines and gas turbines (except UAV) (8%), </w:t>
      </w:r>
      <w:r w:rsidR="00873814">
        <w:t>O</w:t>
      </w:r>
      <w:r w:rsidRPr="00C94AFC">
        <w:t>ther/non-listed items (8%). Overall, the list of types of items in Figure </w:t>
      </w:r>
      <w:r w:rsidR="694F4182" w:rsidRPr="00C94AFC">
        <w:t>1</w:t>
      </w:r>
      <w:r w:rsidRPr="00C94AFC">
        <w:t xml:space="preserve"> accounts for 90% of the value of these authorisations.</w:t>
      </w:r>
    </w:p>
    <w:p w14:paraId="7844F718" w14:textId="40EE221C" w:rsidR="002D7174" w:rsidRPr="00C94AFC" w:rsidRDefault="74B663D8" w:rsidP="6E3DF1AC">
      <w:pPr>
        <w:spacing w:before="100" w:beforeAutospacing="1" w:after="100" w:afterAutospacing="1"/>
        <w:jc w:val="both"/>
        <w:rPr>
          <w:rFonts w:eastAsia="Calibri"/>
        </w:rPr>
      </w:pPr>
      <w:r>
        <w:rPr>
          <w:noProof/>
        </w:rPr>
        <w:drawing>
          <wp:inline distT="0" distB="0" distL="0" distR="0" wp14:anchorId="0A04A21C" wp14:editId="7BFE8BA5">
            <wp:extent cx="5762625" cy="4267200"/>
            <wp:effectExtent l="0" t="0" r="0" b="0"/>
            <wp:docPr id="807756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5666" name="Picture 80775666"/>
                    <pic:cNvPicPr/>
                  </pic:nvPicPr>
                  <pic:blipFill>
                    <a:blip r:embed="rId18">
                      <a:extLst>
                        <a:ext uri="{28A0092B-C50C-407E-A947-70E740481C1C}">
                          <a14:useLocalDpi xmlns:a14="http://schemas.microsoft.com/office/drawing/2010/main"/>
                        </a:ext>
                      </a:extLst>
                    </a:blip>
                    <a:srcRect b="12500"/>
                    <a:stretch>
                      <a:fillRect/>
                    </a:stretch>
                  </pic:blipFill>
                  <pic:spPr>
                    <a:xfrm>
                      <a:off x="0" y="0"/>
                      <a:ext cx="5762625" cy="4267200"/>
                    </a:xfrm>
                    <a:prstGeom prst="rect">
                      <a:avLst/>
                    </a:prstGeom>
                  </pic:spPr>
                </pic:pic>
              </a:graphicData>
            </a:graphic>
          </wp:inline>
        </w:drawing>
      </w:r>
    </w:p>
    <w:p w14:paraId="08C84743" w14:textId="6C626876" w:rsidR="002D7174" w:rsidRPr="00C94AFC" w:rsidRDefault="002D7174" w:rsidP="002D7174">
      <w:pPr>
        <w:spacing w:before="100" w:beforeAutospacing="1" w:after="100" w:afterAutospacing="1"/>
        <w:jc w:val="both"/>
        <w:rPr>
          <w:i/>
          <w:iCs/>
        </w:rPr>
      </w:pPr>
      <w:r w:rsidRPr="6E3DF1AC">
        <w:rPr>
          <w:i/>
          <w:iCs/>
        </w:rPr>
        <w:t xml:space="preserve">Figure </w:t>
      </w:r>
      <w:r w:rsidR="14F4B3BE" w:rsidRPr="6E3DF1AC">
        <w:rPr>
          <w:i/>
          <w:iCs/>
        </w:rPr>
        <w:t>1</w:t>
      </w:r>
      <w:r w:rsidRPr="6E3DF1AC">
        <w:rPr>
          <w:i/>
          <w:iCs/>
        </w:rPr>
        <w:t>: Top type</w:t>
      </w:r>
      <w:r w:rsidR="00873814" w:rsidRPr="6E3DF1AC">
        <w:rPr>
          <w:i/>
          <w:iCs/>
        </w:rPr>
        <w:t>s</w:t>
      </w:r>
      <w:r w:rsidRPr="6E3DF1AC">
        <w:rPr>
          <w:i/>
          <w:iCs/>
        </w:rPr>
        <w:t xml:space="preserve"> of items </w:t>
      </w:r>
      <w:r w:rsidR="007543D0" w:rsidRPr="6E3DF1AC">
        <w:rPr>
          <w:i/>
          <w:iCs/>
        </w:rPr>
        <w:t xml:space="preserve">by </w:t>
      </w:r>
      <w:r w:rsidRPr="6E3DF1AC">
        <w:rPr>
          <w:i/>
          <w:iCs/>
        </w:rPr>
        <w:t>value of individual and general export authorisations</w:t>
      </w:r>
    </w:p>
    <w:p w14:paraId="06628C6A" w14:textId="375018B9" w:rsidR="002D7174" w:rsidRPr="00C94AFC" w:rsidRDefault="007543D0" w:rsidP="002D7174">
      <w:pPr>
        <w:spacing w:before="100" w:beforeAutospacing="1" w:after="100" w:afterAutospacing="1"/>
        <w:jc w:val="both"/>
      </w:pPr>
      <w:r>
        <w:t>T</w:t>
      </w:r>
      <w:r w:rsidRPr="00C94AFC">
        <w:t>he main destinations for individual and general export authorisations (Figure 2)</w:t>
      </w:r>
      <w:r>
        <w:t xml:space="preserve"> are </w:t>
      </w:r>
      <w:r w:rsidR="002D7174" w:rsidRPr="00C94AFC">
        <w:t>China (25%), the United States of America (21%), the United Kingdom (7%), South Korea (7%) and Ukraine (3%). This ranking is influenced by the weighting of EU GEAs, in particular EU001 (EUR</w:t>
      </w:r>
      <w:r w:rsidR="00C94AFC">
        <w:t> </w:t>
      </w:r>
      <w:r w:rsidR="002D7174" w:rsidRPr="00C94AFC">
        <w:t>8.6</w:t>
      </w:r>
      <w:r>
        <w:t> </w:t>
      </w:r>
      <w:r w:rsidR="002D7174" w:rsidRPr="00C94AFC">
        <w:t>billion)</w:t>
      </w:r>
      <w:r w:rsidR="00DA77C9" w:rsidRPr="00C94AFC">
        <w:t xml:space="preserve">, which account for a large share of the total </w:t>
      </w:r>
      <w:r w:rsidR="00DA77C9" w:rsidRPr="00C94AFC">
        <w:rPr>
          <w:i/>
          <w:iCs/>
        </w:rPr>
        <w:t>value</w:t>
      </w:r>
      <w:r w:rsidR="00DA77C9" w:rsidRPr="00C94AFC">
        <w:t xml:space="preserve"> authorised under export authorisations.</w:t>
      </w:r>
      <w:r w:rsidR="002D7174" w:rsidRPr="00C94AFC">
        <w:t xml:space="preserve"> </w:t>
      </w:r>
      <w:r w:rsidR="001F39F9" w:rsidRPr="00C94AFC">
        <w:t xml:space="preserve">As a result, destinations </w:t>
      </w:r>
      <w:r>
        <w:t>specified</w:t>
      </w:r>
      <w:r w:rsidRPr="00C94AFC">
        <w:t xml:space="preserve"> </w:t>
      </w:r>
      <w:r w:rsidR="001F39F9" w:rsidRPr="00C94AFC">
        <w:t>in</w:t>
      </w:r>
      <w:r w:rsidR="00D8641B" w:rsidRPr="00C94AFC">
        <w:t xml:space="preserve"> general export authorisations, and in particular EU GEA</w:t>
      </w:r>
      <w:r w:rsidR="001F39F9" w:rsidRPr="00C94AFC">
        <w:t xml:space="preserve"> EU001</w:t>
      </w:r>
      <w:r w:rsidR="00D8641B" w:rsidRPr="00C94AFC">
        <w:t>,</w:t>
      </w:r>
      <w:r w:rsidR="001F39F9" w:rsidRPr="00C94AFC">
        <w:t xml:space="preserve"> feature prominently in the ranking, while the list does not fully reflect the importance of certain destinations that receive significant </w:t>
      </w:r>
      <w:r w:rsidR="001F39F9" w:rsidRPr="00C94AFC">
        <w:rPr>
          <w:i/>
          <w:iCs/>
        </w:rPr>
        <w:t>volumes</w:t>
      </w:r>
      <w:r w:rsidR="001F39F9" w:rsidRPr="00C94AFC">
        <w:t xml:space="preserve"> of exports under global export authorisations, such as Taiwan, Brazil, Singapore and Israel</w:t>
      </w:r>
      <w:r w:rsidR="002D7174" w:rsidRPr="00C94AFC">
        <w:t>. Overall, the list of destinations in Figure 2 accounts for 90% of the value of individual and general export authorisations.</w:t>
      </w:r>
    </w:p>
    <w:p w14:paraId="0DB18565" w14:textId="77777777" w:rsidR="002D7174" w:rsidRPr="00C94AFC" w:rsidRDefault="002D7174" w:rsidP="002D7174">
      <w:pPr>
        <w:spacing w:before="100" w:beforeAutospacing="1" w:after="100" w:afterAutospacing="1"/>
        <w:jc w:val="both"/>
      </w:pPr>
    </w:p>
    <w:p w14:paraId="6E5720B9" w14:textId="239A055B" w:rsidR="002D7174" w:rsidRPr="00C94AFC" w:rsidRDefault="08373D8A" w:rsidP="6E3DF1AC">
      <w:pPr>
        <w:spacing w:before="100" w:beforeAutospacing="1" w:after="100" w:afterAutospacing="1"/>
        <w:jc w:val="both"/>
        <w:rPr>
          <w:rFonts w:eastAsia="Calibri"/>
        </w:rPr>
      </w:pPr>
      <w:r>
        <w:rPr>
          <w:noProof/>
        </w:rPr>
        <w:lastRenderedPageBreak/>
        <w:drawing>
          <wp:inline distT="0" distB="0" distL="0" distR="0" wp14:anchorId="2CD327A7" wp14:editId="0CD83040">
            <wp:extent cx="5762625" cy="4943475"/>
            <wp:effectExtent l="0" t="0" r="0" b="0"/>
            <wp:docPr id="7092680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68012" name="Picture 709268012"/>
                    <pic:cNvPicPr/>
                  </pic:nvPicPr>
                  <pic:blipFill>
                    <a:blip r:embed="rId19">
                      <a:extLst>
                        <a:ext uri="{28A0092B-C50C-407E-A947-70E740481C1C}">
                          <a14:useLocalDpi xmlns:a14="http://schemas.microsoft.com/office/drawing/2010/main"/>
                        </a:ext>
                      </a:extLst>
                    </a:blip>
                    <a:stretch>
                      <a:fillRect/>
                    </a:stretch>
                  </pic:blipFill>
                  <pic:spPr>
                    <a:xfrm>
                      <a:off x="0" y="0"/>
                      <a:ext cx="5762625" cy="4943475"/>
                    </a:xfrm>
                    <a:prstGeom prst="rect">
                      <a:avLst/>
                    </a:prstGeom>
                  </pic:spPr>
                </pic:pic>
              </a:graphicData>
            </a:graphic>
          </wp:inline>
        </w:drawing>
      </w:r>
    </w:p>
    <w:p w14:paraId="1F8F396B" w14:textId="00A084BD" w:rsidR="002D7174" w:rsidRPr="00C94AFC" w:rsidRDefault="002D7174" w:rsidP="002D7174">
      <w:pPr>
        <w:spacing w:before="100" w:beforeAutospacing="1" w:after="100" w:afterAutospacing="1"/>
        <w:jc w:val="both"/>
        <w:rPr>
          <w:i/>
          <w:iCs/>
        </w:rPr>
      </w:pPr>
      <w:r w:rsidRPr="6E3DF1AC">
        <w:rPr>
          <w:i/>
          <w:iCs/>
        </w:rPr>
        <w:t xml:space="preserve">Figure 2: Top extra-EU destinations </w:t>
      </w:r>
      <w:r w:rsidR="007543D0" w:rsidRPr="6E3DF1AC">
        <w:rPr>
          <w:i/>
          <w:iCs/>
        </w:rPr>
        <w:t xml:space="preserve">by </w:t>
      </w:r>
      <w:r w:rsidRPr="6E3DF1AC">
        <w:rPr>
          <w:i/>
          <w:iCs/>
        </w:rPr>
        <w:t>value of individual and general export authorisations</w:t>
      </w:r>
    </w:p>
    <w:p w14:paraId="549A7A0A" w14:textId="0AFCE688" w:rsidR="002D7174" w:rsidRPr="00C94AFC" w:rsidRDefault="002D7174" w:rsidP="002D7174">
      <w:pPr>
        <w:spacing w:before="100" w:beforeAutospacing="1" w:after="100" w:afterAutospacing="1"/>
        <w:jc w:val="both"/>
        <w:rPr>
          <w:rFonts w:eastAsia="Calibri"/>
        </w:rPr>
      </w:pPr>
      <w:r w:rsidRPr="00C94AFC">
        <w:rPr>
          <w:rFonts w:eastAsia="Calibri"/>
        </w:rPr>
        <w:t xml:space="preserve">In addition, Member States reported a stable number </w:t>
      </w:r>
      <w:r w:rsidR="00A2729F" w:rsidRPr="00C94AFC">
        <w:rPr>
          <w:rFonts w:eastAsia="Calibri"/>
        </w:rPr>
        <w:t>of</w:t>
      </w:r>
      <w:r w:rsidRPr="00C94AFC">
        <w:rPr>
          <w:rFonts w:eastAsia="Calibri"/>
        </w:rPr>
        <w:t xml:space="preserve"> staff working on the administration and enforcement of the Regulation in 2024 as compared </w:t>
      </w:r>
      <w:r w:rsidR="00C6077E">
        <w:rPr>
          <w:rFonts w:eastAsia="Calibri"/>
        </w:rPr>
        <w:t>with</w:t>
      </w:r>
      <w:r w:rsidRPr="00C94AFC">
        <w:rPr>
          <w:rFonts w:eastAsia="Calibri"/>
        </w:rPr>
        <w:t xml:space="preserve"> 2023. It is also noteworthy that the number of reported infringements rose from 192 in 2023 to 270 in 2024. In this context, administrative and criminal penalties or fines imposed (by any relevant national enforcement agency) for the infringement of export control regulations increased from 122 in 2023 to 144 in 2024.</w:t>
      </w:r>
    </w:p>
    <w:p w14:paraId="4548A601" w14:textId="4DF5ABF1" w:rsidR="002D7174" w:rsidRPr="00C94AFC" w:rsidRDefault="00D44DE5" w:rsidP="002D7174">
      <w:pPr>
        <w:spacing w:before="100" w:beforeAutospacing="1" w:after="100" w:afterAutospacing="1"/>
        <w:jc w:val="both"/>
        <w:rPr>
          <w:rFonts w:eastAsia="Calibri"/>
        </w:rPr>
      </w:pPr>
      <w:r w:rsidRPr="00C94AFC">
        <w:rPr>
          <w:rFonts w:eastAsia="Calibri"/>
        </w:rPr>
        <w:t>T</w:t>
      </w:r>
      <w:r w:rsidR="002D7174" w:rsidRPr="00C94AFC">
        <w:rPr>
          <w:rFonts w:eastAsia="Calibri"/>
        </w:rPr>
        <w:t>he report pays particular attention to the licensing of cyber-surveillance items as part of the EU’s commitment to effectively address</w:t>
      </w:r>
      <w:r w:rsidR="007543D0">
        <w:rPr>
          <w:rFonts w:eastAsia="Calibri"/>
        </w:rPr>
        <w:t>ing</w:t>
      </w:r>
      <w:r w:rsidR="002D7174" w:rsidRPr="00C94AFC">
        <w:rPr>
          <w:rFonts w:eastAsia="Calibri"/>
        </w:rPr>
        <w:t xml:space="preserve"> the risk of cyber-surveillance items being used in connection with internal repression and/or the commission of serious violations of human rights and international humanitarian law. In 2024, Member States received a total of 320 applications for the export of those items. The highest figure was for the item Telecommunications interception systems (233 applications). In the same period, 293 authorisations and 13 denials were issued. Those figures also show a rather stable number of licences for cyber-surveillance items compared to 2023</w:t>
      </w:r>
      <w:r w:rsidR="002D7174" w:rsidRPr="00C94AFC">
        <w:rPr>
          <w:rFonts w:eastAsia="Calibri"/>
          <w:vertAlign w:val="superscript"/>
        </w:rPr>
        <w:footnoteReference w:id="6"/>
      </w:r>
      <w:r w:rsidR="00C94AFC" w:rsidRPr="00C94AFC">
        <w:rPr>
          <w:rFonts w:eastAsia="Calibri"/>
        </w:rPr>
        <w:t>,</w:t>
      </w:r>
      <w:r w:rsidR="002D7174" w:rsidRPr="00C94AFC">
        <w:rPr>
          <w:rFonts w:eastAsia="Calibri"/>
        </w:rPr>
        <w:t xml:space="preserve"> whereas the number of denials appeared to be decreasing</w:t>
      </w:r>
      <w:r w:rsidR="002D7174" w:rsidRPr="00C94AFC">
        <w:rPr>
          <w:rFonts w:eastAsia="Calibri"/>
          <w:vertAlign w:val="superscript"/>
        </w:rPr>
        <w:footnoteReference w:id="7"/>
      </w:r>
      <w:r w:rsidR="00C94AFC" w:rsidRPr="00C94AFC">
        <w:rPr>
          <w:rFonts w:eastAsia="Calibri"/>
        </w:rPr>
        <w:t>.</w:t>
      </w:r>
    </w:p>
    <w:p w14:paraId="0F153C13" w14:textId="77777777" w:rsidR="002D7174" w:rsidRPr="00C94AFC" w:rsidRDefault="002D7174" w:rsidP="002D7174">
      <w:pPr>
        <w:spacing w:beforeAutospacing="1" w:afterAutospacing="1"/>
        <w:jc w:val="both"/>
        <w:rPr>
          <w:rFonts w:eastAsia="Calibri"/>
        </w:rPr>
      </w:pPr>
    </w:p>
    <w:p w14:paraId="3CAE51DC" w14:textId="608434E5" w:rsidR="002D7174" w:rsidRPr="00C94AFC" w:rsidDel="003D0318" w:rsidRDefault="006C21E5" w:rsidP="49F47F3A">
      <w:pPr>
        <w:spacing w:before="100" w:beforeAutospacing="1" w:after="100" w:afterAutospacing="1"/>
        <w:jc w:val="both"/>
      </w:pPr>
      <w:r w:rsidRPr="49F47F3A">
        <w:rPr>
          <w:rFonts w:eastAsia="Calibri"/>
        </w:rPr>
        <w:t>As part of</w:t>
      </w:r>
      <w:r w:rsidR="002D7174">
        <w:t xml:space="preserve"> the various </w:t>
      </w:r>
      <w:r w:rsidR="1E600B72">
        <w:t>activities</w:t>
      </w:r>
      <w:r w:rsidR="3EE21442">
        <w:t xml:space="preserve"> </w:t>
      </w:r>
      <w:r w:rsidR="002D7174">
        <w:t xml:space="preserve">initiated in 2024, the Commission and the Member States continued to focus on meeting the requirements and mandates under the </w:t>
      </w:r>
      <w:r>
        <w:t xml:space="preserve">revised </w:t>
      </w:r>
      <w:r w:rsidR="002D7174">
        <w:t xml:space="preserve">Regulation. This includes continuing the work in the various technical expert groups towards enhanced controls on cyber-surveillance items, the enforcement of export controls, </w:t>
      </w:r>
      <w:r>
        <w:t>work o</w:t>
      </w:r>
      <w:r w:rsidR="00873814">
        <w:t>n</w:t>
      </w:r>
      <w:r>
        <w:t xml:space="preserve"> </w:t>
      </w:r>
      <w:r w:rsidR="002D7174">
        <w:t>emerging technologies and the development of EU capacity-building and training programmes for Member States’ licensing and enforcement authorities.</w:t>
      </w:r>
    </w:p>
    <w:p w14:paraId="06873E2A" w14:textId="7674E0AB" w:rsidR="002D7174" w:rsidRPr="00C94AFC" w:rsidRDefault="002D7174" w:rsidP="002D7174">
      <w:pPr>
        <w:spacing w:before="100" w:beforeAutospacing="1" w:after="100" w:afterAutospacing="1"/>
        <w:jc w:val="both"/>
      </w:pPr>
      <w:r w:rsidRPr="00C94AFC">
        <w:t xml:space="preserve">These </w:t>
      </w:r>
      <w:r w:rsidRPr="00C94AFC">
        <w:rPr>
          <w:rFonts w:eastAsia="Calibri"/>
        </w:rPr>
        <w:t>actions</w:t>
      </w:r>
      <w:r w:rsidRPr="00C94AFC">
        <w:t xml:space="preserve"> under the Dual-Use Regulation will also allow the EU to cooperate more effectively with partners in order to promote the global convergence of controls, reduce trade frictions, increase predictability for business, promote EU values and uphold international peace and security.</w:t>
      </w:r>
    </w:p>
    <w:p w14:paraId="1FF766BC" w14:textId="3565B078" w:rsidR="005D2357" w:rsidRPr="00C94AFC" w:rsidRDefault="005D2357">
      <w:pPr>
        <w:rPr>
          <w:rFonts w:eastAsia="Times New Roman"/>
          <w:lang w:eastAsia="en-GB"/>
        </w:rPr>
      </w:pPr>
      <w:r w:rsidRPr="00C94AFC">
        <w:rPr>
          <w:rFonts w:eastAsia="Times New Roman"/>
          <w:lang w:eastAsia="en-GB"/>
        </w:rPr>
        <w:br w:type="page"/>
      </w:r>
    </w:p>
    <w:p w14:paraId="192FCC8E" w14:textId="77777777" w:rsidR="004F3859" w:rsidRPr="00C94AFC" w:rsidRDefault="004F3859" w:rsidP="100A786D">
      <w:pPr>
        <w:spacing w:before="100" w:beforeAutospacing="1" w:after="100" w:afterAutospacing="1"/>
        <w:jc w:val="both"/>
        <w:rPr>
          <w:rFonts w:eastAsia="Times New Roman"/>
          <w:lang w:eastAsia="en-GB"/>
        </w:rPr>
      </w:pPr>
    </w:p>
    <w:p w14:paraId="48DE00BF" w14:textId="18B4A36C" w:rsidR="00AA655D" w:rsidRPr="00C94AFC" w:rsidRDefault="00AA655D" w:rsidP="00AA655D">
      <w:pPr>
        <w:keepNext/>
        <w:tabs>
          <w:tab w:val="left" w:pos="850"/>
        </w:tabs>
        <w:spacing w:after="120"/>
        <w:ind w:left="850" w:hanging="850"/>
        <w:jc w:val="both"/>
        <w:outlineLvl w:val="0"/>
        <w:rPr>
          <w:rFonts w:eastAsia="Times New Roman"/>
          <w:b/>
          <w:smallCaps/>
          <w:lang w:eastAsia="en-GB"/>
        </w:rPr>
      </w:pPr>
      <w:bookmarkStart w:id="2" w:name="_Toc368065771"/>
      <w:bookmarkEnd w:id="1"/>
      <w:r w:rsidRPr="00C94AFC">
        <w:rPr>
          <w:rFonts w:eastAsia="Times New Roman"/>
          <w:b/>
          <w:smallCaps/>
          <w:lang w:eastAsia="en-GB"/>
        </w:rPr>
        <w:t>2.</w:t>
      </w:r>
      <w:r w:rsidRPr="00C94AFC">
        <w:rPr>
          <w:rFonts w:eastAsia="Times New Roman"/>
          <w:b/>
          <w:smallCaps/>
          <w:lang w:eastAsia="en-GB"/>
        </w:rPr>
        <w:tab/>
        <w:t>Evolution of the policy &amp; regulatory framework</w:t>
      </w:r>
      <w:bookmarkEnd w:id="2"/>
    </w:p>
    <w:p w14:paraId="07CF8E5C" w14:textId="2C350F33" w:rsidR="00AA655D" w:rsidRPr="00C94AFC" w:rsidRDefault="00AA655D" w:rsidP="00AA655D">
      <w:pPr>
        <w:keepNext/>
        <w:tabs>
          <w:tab w:val="left" w:pos="850"/>
        </w:tabs>
        <w:spacing w:after="120"/>
        <w:ind w:left="850" w:hanging="850"/>
        <w:jc w:val="both"/>
        <w:outlineLvl w:val="1"/>
        <w:rPr>
          <w:rFonts w:eastAsia="Times New Roman"/>
          <w:b/>
          <w:lang w:eastAsia="en-GB"/>
        </w:rPr>
      </w:pPr>
      <w:bookmarkStart w:id="3" w:name="_Toc368065772"/>
      <w:r w:rsidRPr="00C94AFC">
        <w:rPr>
          <w:rFonts w:eastAsia="Times New Roman"/>
          <w:b/>
          <w:lang w:eastAsia="en-GB"/>
        </w:rPr>
        <w:t>2.1</w:t>
      </w:r>
      <w:r w:rsidR="00617132" w:rsidRPr="00C94AFC">
        <w:rPr>
          <w:rFonts w:eastAsia="Times New Roman"/>
          <w:b/>
          <w:lang w:eastAsia="en-GB"/>
        </w:rPr>
        <w:t>.</w:t>
      </w:r>
      <w:r w:rsidRPr="00C94AFC">
        <w:rPr>
          <w:rFonts w:eastAsia="Times New Roman"/>
          <w:b/>
          <w:lang w:eastAsia="en-GB"/>
        </w:rPr>
        <w:tab/>
        <w:t>Export control policy</w:t>
      </w:r>
    </w:p>
    <w:p w14:paraId="40951346" w14:textId="24689049" w:rsidR="00FC2A23" w:rsidRPr="00C94AFC" w:rsidRDefault="57943E60" w:rsidP="100A786D">
      <w:pPr>
        <w:spacing w:before="100" w:beforeAutospacing="1" w:after="100" w:afterAutospacing="1"/>
        <w:jc w:val="both"/>
        <w:rPr>
          <w:u w:val="single"/>
        </w:rPr>
      </w:pPr>
      <w:r w:rsidRPr="00C94AFC">
        <w:rPr>
          <w:u w:val="single"/>
        </w:rPr>
        <w:t>2.1.1</w:t>
      </w:r>
      <w:r w:rsidR="00784453">
        <w:rPr>
          <w:u w:val="single"/>
        </w:rPr>
        <w:tab/>
      </w:r>
      <w:r w:rsidR="0BED44DC" w:rsidRPr="00C94AFC">
        <w:rPr>
          <w:u w:val="single"/>
        </w:rPr>
        <w:t>Effective impl</w:t>
      </w:r>
      <w:r w:rsidR="539495CE" w:rsidRPr="00C94AFC">
        <w:rPr>
          <w:u w:val="single"/>
        </w:rPr>
        <w:t>e</w:t>
      </w:r>
      <w:r w:rsidR="0BED44DC" w:rsidRPr="00C94AFC">
        <w:rPr>
          <w:u w:val="single"/>
        </w:rPr>
        <w:t>me</w:t>
      </w:r>
      <w:r w:rsidR="0A9745D0" w:rsidRPr="00C94AFC">
        <w:rPr>
          <w:u w:val="single"/>
        </w:rPr>
        <w:t>n</w:t>
      </w:r>
      <w:r w:rsidR="0BED44DC" w:rsidRPr="00C94AFC">
        <w:rPr>
          <w:u w:val="single"/>
        </w:rPr>
        <w:t xml:space="preserve">tation of </w:t>
      </w:r>
      <w:r w:rsidR="46833CEF" w:rsidRPr="00C94AFC">
        <w:rPr>
          <w:u w:val="single"/>
        </w:rPr>
        <w:t xml:space="preserve">EU export controls </w:t>
      </w:r>
      <w:r w:rsidR="4AE72D1A" w:rsidRPr="00C94AFC">
        <w:rPr>
          <w:u w:val="single"/>
        </w:rPr>
        <w:t>under the</w:t>
      </w:r>
      <w:r w:rsidR="46833CEF" w:rsidRPr="00C94AFC">
        <w:rPr>
          <w:u w:val="single"/>
        </w:rPr>
        <w:t xml:space="preserve"> </w:t>
      </w:r>
      <w:r w:rsidR="6AD2919B" w:rsidRPr="00C94AFC">
        <w:rPr>
          <w:u w:val="single"/>
        </w:rPr>
        <w:t>Dual-Use</w:t>
      </w:r>
      <w:r w:rsidR="46833CEF" w:rsidRPr="00C94AFC">
        <w:rPr>
          <w:u w:val="single"/>
        </w:rPr>
        <w:t xml:space="preserve"> Regulation</w:t>
      </w:r>
    </w:p>
    <w:p w14:paraId="32113295" w14:textId="409B34FC" w:rsidR="00D94BA7" w:rsidRPr="00474D2D" w:rsidRDefault="006C21E5" w:rsidP="100A786D">
      <w:pPr>
        <w:spacing w:beforeAutospacing="1" w:afterAutospacing="1" w:line="259" w:lineRule="auto"/>
        <w:jc w:val="both"/>
        <w:rPr>
          <w:lang w:eastAsia="en-GB"/>
        </w:rPr>
      </w:pPr>
      <w:r>
        <w:rPr>
          <w:lang w:eastAsia="en-GB"/>
        </w:rPr>
        <w:t>In 2024, t</w:t>
      </w:r>
      <w:r w:rsidR="2D5F6E0C" w:rsidRPr="00C94AFC">
        <w:rPr>
          <w:lang w:eastAsia="en-GB"/>
        </w:rPr>
        <w:t>he</w:t>
      </w:r>
      <w:r w:rsidR="00DC3E44" w:rsidRPr="00C94AFC">
        <w:rPr>
          <w:lang w:eastAsia="en-GB"/>
        </w:rPr>
        <w:t xml:space="preserve"> </w:t>
      </w:r>
      <w:r w:rsidR="3CEB6077" w:rsidRPr="00C94AFC">
        <w:t>Commission</w:t>
      </w:r>
      <w:r w:rsidR="3CEB6077" w:rsidRPr="00C94AFC">
        <w:rPr>
          <w:lang w:eastAsia="en-GB"/>
        </w:rPr>
        <w:t xml:space="preserve"> and </w:t>
      </w:r>
      <w:r w:rsidR="293BE73E" w:rsidRPr="00C94AFC">
        <w:rPr>
          <w:lang w:eastAsia="en-GB"/>
        </w:rPr>
        <w:t xml:space="preserve">the </w:t>
      </w:r>
      <w:r w:rsidR="3CEB6077" w:rsidRPr="00C94AFC">
        <w:rPr>
          <w:lang w:eastAsia="en-GB"/>
        </w:rPr>
        <w:t>M</w:t>
      </w:r>
      <w:r w:rsidR="67CE7308" w:rsidRPr="00C94AFC">
        <w:rPr>
          <w:lang w:eastAsia="en-GB"/>
        </w:rPr>
        <w:t xml:space="preserve">ember </w:t>
      </w:r>
      <w:r w:rsidR="3CEB6077" w:rsidRPr="00C94AFC">
        <w:rPr>
          <w:lang w:eastAsia="en-GB"/>
        </w:rPr>
        <w:t>S</w:t>
      </w:r>
      <w:r w:rsidR="67CE7308" w:rsidRPr="00C94AFC">
        <w:rPr>
          <w:lang w:eastAsia="en-GB"/>
        </w:rPr>
        <w:t>tates</w:t>
      </w:r>
      <w:r w:rsidR="3CEB6077" w:rsidRPr="00C94AFC">
        <w:rPr>
          <w:lang w:eastAsia="en-GB"/>
        </w:rPr>
        <w:t xml:space="preserve"> </w:t>
      </w:r>
      <w:r w:rsidR="6D526E18" w:rsidRPr="00C94AFC">
        <w:rPr>
          <w:lang w:eastAsia="en-GB"/>
        </w:rPr>
        <w:t>conti</w:t>
      </w:r>
      <w:r w:rsidR="004D527E" w:rsidRPr="00C94AFC">
        <w:rPr>
          <w:lang w:eastAsia="en-GB"/>
        </w:rPr>
        <w:t>n</w:t>
      </w:r>
      <w:r w:rsidR="6D526E18" w:rsidRPr="00C94AFC">
        <w:rPr>
          <w:lang w:eastAsia="en-GB"/>
        </w:rPr>
        <w:t xml:space="preserve">ued </w:t>
      </w:r>
      <w:r w:rsidR="4E136C27" w:rsidRPr="00C94AFC">
        <w:rPr>
          <w:lang w:eastAsia="en-GB"/>
        </w:rPr>
        <w:t xml:space="preserve">the </w:t>
      </w:r>
      <w:r w:rsidR="46833CEF" w:rsidRPr="00C94AFC">
        <w:rPr>
          <w:lang w:eastAsia="en-GB"/>
        </w:rPr>
        <w:t xml:space="preserve">implementation </w:t>
      </w:r>
      <w:r w:rsidR="04CCC1CF" w:rsidRPr="00C94AFC">
        <w:rPr>
          <w:lang w:eastAsia="en-GB"/>
        </w:rPr>
        <w:t xml:space="preserve">of the Regulation </w:t>
      </w:r>
      <w:r w:rsidR="2F57238D" w:rsidRPr="00C94AFC">
        <w:rPr>
          <w:lang w:eastAsia="en-GB"/>
        </w:rPr>
        <w:t xml:space="preserve">in </w:t>
      </w:r>
      <w:r w:rsidR="46833CEF" w:rsidRPr="00C94AFC">
        <w:rPr>
          <w:lang w:eastAsia="en-GB"/>
        </w:rPr>
        <w:t>a number of new areas</w:t>
      </w:r>
      <w:r w:rsidR="273D8EF3" w:rsidRPr="00C94AFC">
        <w:rPr>
          <w:lang w:eastAsia="en-GB"/>
        </w:rPr>
        <w:t>, such as</w:t>
      </w:r>
      <w:r w:rsidR="46833CEF" w:rsidRPr="00C94AFC">
        <w:rPr>
          <w:lang w:eastAsia="en-GB"/>
        </w:rPr>
        <w:t xml:space="preserve"> transparency, enforcement </w:t>
      </w:r>
      <w:r w:rsidR="7504BC1C" w:rsidRPr="00C94AFC">
        <w:rPr>
          <w:lang w:eastAsia="en-GB"/>
        </w:rPr>
        <w:t xml:space="preserve">and </w:t>
      </w:r>
      <w:r w:rsidR="46833CEF" w:rsidRPr="00C94AFC">
        <w:rPr>
          <w:lang w:eastAsia="en-GB"/>
        </w:rPr>
        <w:t>capacity-building</w:t>
      </w:r>
      <w:r w:rsidR="2F57238D" w:rsidRPr="00C94AFC">
        <w:rPr>
          <w:lang w:eastAsia="en-GB"/>
        </w:rPr>
        <w:t xml:space="preserve">. </w:t>
      </w:r>
      <w:r w:rsidR="06F6A8E5" w:rsidRPr="00C94AFC">
        <w:rPr>
          <w:lang w:eastAsia="en-GB"/>
        </w:rPr>
        <w:t>The DUCG</w:t>
      </w:r>
      <w:r w:rsidR="46833CEF" w:rsidRPr="00C94AFC">
        <w:rPr>
          <w:lang w:eastAsia="en-GB"/>
        </w:rPr>
        <w:t xml:space="preserve"> </w:t>
      </w:r>
      <w:r w:rsidR="685E9428" w:rsidRPr="00C94AFC">
        <w:rPr>
          <w:lang w:eastAsia="en-GB"/>
        </w:rPr>
        <w:t xml:space="preserve">played a key </w:t>
      </w:r>
      <w:r w:rsidR="06F6A8E5" w:rsidRPr="00C94AFC">
        <w:rPr>
          <w:lang w:eastAsia="en-GB"/>
        </w:rPr>
        <w:t>role</w:t>
      </w:r>
      <w:r w:rsidR="2F57238D" w:rsidRPr="00C94AFC">
        <w:rPr>
          <w:lang w:eastAsia="en-GB"/>
        </w:rPr>
        <w:t>,</w:t>
      </w:r>
      <w:r w:rsidR="06F6A8E5" w:rsidRPr="00C94AFC">
        <w:rPr>
          <w:lang w:eastAsia="en-GB"/>
        </w:rPr>
        <w:t xml:space="preserve"> </w:t>
      </w:r>
      <w:r w:rsidR="685E9428" w:rsidRPr="00C94AFC">
        <w:rPr>
          <w:lang w:eastAsia="en-GB"/>
        </w:rPr>
        <w:t xml:space="preserve">as </w:t>
      </w:r>
      <w:r w:rsidR="06F6A8E5" w:rsidRPr="00C94AFC">
        <w:rPr>
          <w:lang w:eastAsia="en-GB"/>
        </w:rPr>
        <w:t xml:space="preserve">described </w:t>
      </w:r>
      <w:r w:rsidR="685E9428" w:rsidRPr="00C94AFC">
        <w:rPr>
          <w:lang w:eastAsia="en-GB"/>
        </w:rPr>
        <w:t xml:space="preserve">in </w:t>
      </w:r>
      <w:r w:rsidR="03CC7B58" w:rsidRPr="00C94AFC">
        <w:rPr>
          <w:lang w:eastAsia="en-GB"/>
        </w:rPr>
        <w:t xml:space="preserve">Section </w:t>
      </w:r>
      <w:r w:rsidR="06F6A8E5" w:rsidRPr="00C94AFC">
        <w:rPr>
          <w:lang w:eastAsia="en-GB"/>
        </w:rPr>
        <w:t>3</w:t>
      </w:r>
      <w:r w:rsidR="685E9428" w:rsidRPr="00C94AFC">
        <w:rPr>
          <w:lang w:eastAsia="en-GB"/>
        </w:rPr>
        <w:t xml:space="preserve"> below</w:t>
      </w:r>
      <w:r w:rsidR="46833CEF" w:rsidRPr="00C94AFC">
        <w:rPr>
          <w:lang w:eastAsia="en-GB"/>
        </w:rPr>
        <w:t xml:space="preserve">, and expanded the </w:t>
      </w:r>
      <w:r w:rsidR="00C94AFC">
        <w:rPr>
          <w:lang w:eastAsia="en-GB"/>
        </w:rPr>
        <w:t>‘</w:t>
      </w:r>
      <w:r w:rsidR="2F57238D" w:rsidRPr="00C94AFC">
        <w:rPr>
          <w:lang w:eastAsia="en-GB"/>
        </w:rPr>
        <w:t xml:space="preserve">institutional </w:t>
      </w:r>
      <w:r w:rsidR="46833CEF" w:rsidRPr="00C94AFC">
        <w:rPr>
          <w:lang w:eastAsia="en-GB"/>
        </w:rPr>
        <w:t>infrastructure</w:t>
      </w:r>
      <w:r w:rsidR="00C94AFC">
        <w:rPr>
          <w:lang w:eastAsia="en-GB"/>
        </w:rPr>
        <w:t>’</w:t>
      </w:r>
      <w:r>
        <w:rPr>
          <w:lang w:eastAsia="en-GB"/>
        </w:rPr>
        <w:t xml:space="preserve"> for EU export controls</w:t>
      </w:r>
      <w:r w:rsidR="4254B229" w:rsidRPr="00C94AFC">
        <w:rPr>
          <w:lang w:eastAsia="en-GB"/>
        </w:rPr>
        <w:t xml:space="preserve"> through the </w:t>
      </w:r>
      <w:r w:rsidR="6B0AA819" w:rsidRPr="00C94AFC">
        <w:rPr>
          <w:lang w:eastAsia="en-GB"/>
        </w:rPr>
        <w:t>activities</w:t>
      </w:r>
      <w:r w:rsidR="4254B229" w:rsidRPr="00C94AFC">
        <w:rPr>
          <w:lang w:eastAsia="en-GB"/>
        </w:rPr>
        <w:t xml:space="preserve"> of </w:t>
      </w:r>
      <w:r w:rsidR="00D27D5E">
        <w:rPr>
          <w:lang w:eastAsia="en-GB"/>
        </w:rPr>
        <w:t>several</w:t>
      </w:r>
      <w:r w:rsidR="4BBD5150" w:rsidRPr="00C94AFC">
        <w:rPr>
          <w:lang w:eastAsia="en-GB"/>
        </w:rPr>
        <w:t xml:space="preserve"> expert groups </w:t>
      </w:r>
      <w:r>
        <w:rPr>
          <w:lang w:eastAsia="en-GB"/>
        </w:rPr>
        <w:t xml:space="preserve">working </w:t>
      </w:r>
      <w:r w:rsidR="4BBD5150" w:rsidRPr="00C94AFC">
        <w:rPr>
          <w:lang w:eastAsia="en-GB"/>
        </w:rPr>
        <w:t xml:space="preserve">to develop </w:t>
      </w:r>
      <w:r w:rsidR="4BBD5150" w:rsidRPr="00C94AFC">
        <w:t>new policies, guidelines, procedures, etc.</w:t>
      </w:r>
    </w:p>
    <w:p w14:paraId="7CB2D947" w14:textId="62B1DACE" w:rsidR="006658AA" w:rsidRPr="00C94AFC" w:rsidRDefault="4ABDBD19" w:rsidP="1D28B2C7">
      <w:pPr>
        <w:spacing w:before="100" w:beforeAutospacing="1" w:after="100" w:afterAutospacing="1"/>
        <w:jc w:val="both"/>
      </w:pPr>
      <w:r w:rsidRPr="00C94AFC">
        <w:t>The</w:t>
      </w:r>
      <w:r w:rsidR="00C94AFC" w:rsidRPr="00C94AFC">
        <w:t xml:space="preserve"> </w:t>
      </w:r>
      <w:r w:rsidRPr="00C94AFC">
        <w:t xml:space="preserve">Regulation also places emphasis on the </w:t>
      </w:r>
      <w:r w:rsidR="00DA096C" w:rsidRPr="00C94AFC">
        <w:t xml:space="preserve">control of </w:t>
      </w:r>
      <w:r w:rsidRPr="00C94AFC">
        <w:t>export</w:t>
      </w:r>
      <w:r w:rsidR="006C21E5">
        <w:t>s</w:t>
      </w:r>
      <w:r w:rsidRPr="00C94AFC">
        <w:t xml:space="preserve"> of cyber-surveillance items. It addresses the potential risk of such items being exported from the </w:t>
      </w:r>
      <w:r w:rsidR="006C21E5">
        <w:t xml:space="preserve">European </w:t>
      </w:r>
      <w:r w:rsidRPr="00C94AFC">
        <w:t xml:space="preserve">Union </w:t>
      </w:r>
      <w:r w:rsidR="006C21E5">
        <w:t xml:space="preserve">with </w:t>
      </w:r>
      <w:r w:rsidR="00873814">
        <w:t>the intention of</w:t>
      </w:r>
      <w:r w:rsidR="006C21E5">
        <w:t xml:space="preserve"> being</w:t>
      </w:r>
      <w:r w:rsidRPr="00C94AFC">
        <w:t xml:space="preserve"> misuse</w:t>
      </w:r>
      <w:r w:rsidR="006C21E5">
        <w:t>d</w:t>
      </w:r>
      <w:r w:rsidRPr="00C94AFC">
        <w:t xml:space="preserve"> in connection with serious violations of human rights or international humanitarian law. </w:t>
      </w:r>
      <w:r w:rsidR="2621A56B" w:rsidRPr="00C94AFC">
        <w:t>It is in this context that on 16</w:t>
      </w:r>
      <w:r w:rsidR="00C94AFC">
        <w:t> </w:t>
      </w:r>
      <w:r w:rsidR="2621A56B" w:rsidRPr="00C94AFC">
        <w:t xml:space="preserve">October 2024 </w:t>
      </w:r>
      <w:r w:rsidR="006C21E5" w:rsidRPr="00C94AFC">
        <w:t>the Commission</w:t>
      </w:r>
      <w:r w:rsidR="006C21E5">
        <w:t xml:space="preserve"> </w:t>
      </w:r>
      <w:r w:rsidR="2621A56B" w:rsidRPr="00C94AFC">
        <w:t xml:space="preserve">published guidelines on the export of cyber-surveillance items </w:t>
      </w:r>
      <w:r w:rsidR="17677884" w:rsidRPr="00C94AFC">
        <w:t>pursuant to</w:t>
      </w:r>
      <w:r w:rsidR="2621A56B" w:rsidRPr="00C94AFC">
        <w:t xml:space="preserve"> Article</w:t>
      </w:r>
      <w:r w:rsidR="00C94AFC">
        <w:t> </w:t>
      </w:r>
      <w:r w:rsidR="2621A56B" w:rsidRPr="00C94AFC">
        <w:t xml:space="preserve">5 of </w:t>
      </w:r>
      <w:r w:rsidR="0720D816" w:rsidRPr="00C94AFC">
        <w:t xml:space="preserve">the </w:t>
      </w:r>
      <w:r w:rsidR="2621A56B" w:rsidRPr="00C94AFC">
        <w:t xml:space="preserve">Regulation to provide clarity primarily for exporters </w:t>
      </w:r>
      <w:r w:rsidR="0914524A" w:rsidRPr="00C94AFC">
        <w:t xml:space="preserve">on </w:t>
      </w:r>
      <w:r w:rsidR="2621A56B" w:rsidRPr="00C94AFC">
        <w:t xml:space="preserve">how to conduct due diligence and internal compliance </w:t>
      </w:r>
      <w:r w:rsidR="006C21E5">
        <w:t xml:space="preserve">checks </w:t>
      </w:r>
      <w:r w:rsidR="2621A56B" w:rsidRPr="00C94AFC">
        <w:t>prior to exporting cyber-surveillance items</w:t>
      </w:r>
      <w:r w:rsidRPr="00C94AFC">
        <w:rPr>
          <w:rStyle w:val="FootnoteReference"/>
        </w:rPr>
        <w:footnoteReference w:id="8"/>
      </w:r>
      <w:r w:rsidR="00C94AFC" w:rsidRPr="00C94AFC">
        <w:t>.</w:t>
      </w:r>
    </w:p>
    <w:p w14:paraId="3678EA79" w14:textId="77777777" w:rsidR="006C064B" w:rsidRPr="00C94AFC" w:rsidRDefault="006C064B">
      <w:pPr>
        <w:rPr>
          <w:u w:val="single"/>
        </w:rPr>
      </w:pPr>
      <w:r w:rsidRPr="00C94AFC">
        <w:rPr>
          <w:u w:val="single"/>
        </w:rPr>
        <w:br w:type="page"/>
      </w:r>
    </w:p>
    <w:p w14:paraId="0C41A3DA" w14:textId="5C713E50" w:rsidR="1C5200F3" w:rsidRPr="00C94AFC" w:rsidRDefault="731FDF81" w:rsidP="100A786D">
      <w:pPr>
        <w:spacing w:beforeAutospacing="1" w:afterAutospacing="1"/>
        <w:jc w:val="both"/>
        <w:rPr>
          <w:u w:val="single"/>
        </w:rPr>
      </w:pPr>
      <w:r w:rsidRPr="00C94AFC">
        <w:rPr>
          <w:u w:val="single"/>
        </w:rPr>
        <w:lastRenderedPageBreak/>
        <w:t>2.1.2</w:t>
      </w:r>
      <w:r w:rsidR="00784453">
        <w:rPr>
          <w:u w:val="single"/>
        </w:rPr>
        <w:tab/>
      </w:r>
      <w:r w:rsidRPr="00C94AFC">
        <w:rPr>
          <w:u w:val="single"/>
        </w:rPr>
        <w:t xml:space="preserve">Export controls under the </w:t>
      </w:r>
      <w:r w:rsidR="7290FD70" w:rsidRPr="00C94AFC">
        <w:rPr>
          <w:u w:val="single"/>
        </w:rPr>
        <w:t>Commission’s White Paper</w:t>
      </w:r>
    </w:p>
    <w:p w14:paraId="70AFDE93" w14:textId="7F48F720" w:rsidR="1C5200F3" w:rsidRPr="00C94AFC" w:rsidRDefault="520FA1C0" w:rsidP="00F24F94">
      <w:pPr>
        <w:spacing w:before="100" w:beforeAutospacing="1" w:after="100" w:afterAutospacing="1"/>
        <w:jc w:val="both"/>
      </w:pPr>
      <w:r w:rsidRPr="00C94AFC">
        <w:t>T</w:t>
      </w:r>
      <w:r w:rsidR="2CA058DA" w:rsidRPr="00C94AFC">
        <w:t xml:space="preserve">he </w:t>
      </w:r>
      <w:r w:rsidR="12AE517F" w:rsidRPr="00C94AFC">
        <w:t xml:space="preserve">Commission’s </w:t>
      </w:r>
      <w:r w:rsidR="2CA058DA" w:rsidRPr="00C94AFC">
        <w:t>White Paper</w:t>
      </w:r>
      <w:r w:rsidR="013B37D0" w:rsidRPr="00C94AFC">
        <w:t>, published on 24</w:t>
      </w:r>
      <w:r w:rsidR="00C94AFC">
        <w:t> </w:t>
      </w:r>
      <w:r w:rsidR="00EC7A63" w:rsidRPr="00C94AFC">
        <w:t xml:space="preserve">January </w:t>
      </w:r>
      <w:r w:rsidR="013B37D0" w:rsidRPr="00C94AFC">
        <w:t>2024</w:t>
      </w:r>
      <w:r w:rsidR="00C94AFC" w:rsidRPr="00C94AFC">
        <w:t xml:space="preserve"> </w:t>
      </w:r>
      <w:r w:rsidR="2CA058DA" w:rsidRPr="00C94AFC">
        <w:t>propose</w:t>
      </w:r>
      <w:r w:rsidR="61DE8E67" w:rsidRPr="00C94AFC">
        <w:t>d</w:t>
      </w:r>
      <w:r w:rsidR="2CA058DA" w:rsidRPr="00C94AFC">
        <w:t xml:space="preserve"> short and medium-term actions to improve the coordination of export controls on dual-use items in the EU. </w:t>
      </w:r>
      <w:r w:rsidR="1E1A9A72" w:rsidRPr="00C94AFC">
        <w:t xml:space="preserve">Amongst the key </w:t>
      </w:r>
      <w:r w:rsidR="003B5F8C">
        <w:t>measures</w:t>
      </w:r>
      <w:r w:rsidR="003B5F8C" w:rsidRPr="00C94AFC">
        <w:t xml:space="preserve"> </w:t>
      </w:r>
      <w:r w:rsidR="1E1A9A72" w:rsidRPr="00C94AFC">
        <w:t xml:space="preserve">proposed by the </w:t>
      </w:r>
      <w:r w:rsidR="001C4537" w:rsidRPr="00C94AFC">
        <w:t>Commission</w:t>
      </w:r>
      <w:r w:rsidR="1E1A9A72" w:rsidRPr="00C94AFC">
        <w:t xml:space="preserve"> were </w:t>
      </w:r>
      <w:r w:rsidR="65EBA5B1" w:rsidRPr="00C94AFC">
        <w:t xml:space="preserve">(1) inclusion in the EU control list (Annex I) </w:t>
      </w:r>
      <w:r w:rsidR="07B160C6" w:rsidRPr="00C94AFC">
        <w:t>of dua</w:t>
      </w:r>
      <w:r w:rsidR="2D765D86" w:rsidRPr="00C94AFC">
        <w:t>l-</w:t>
      </w:r>
      <w:r w:rsidR="07B160C6" w:rsidRPr="00C94AFC">
        <w:t xml:space="preserve">use </w:t>
      </w:r>
      <w:r w:rsidR="2CA058DA" w:rsidRPr="00C94AFC">
        <w:t xml:space="preserve">items that have not been </w:t>
      </w:r>
      <w:r w:rsidR="007E3380">
        <w:t>subject to</w:t>
      </w:r>
      <w:r w:rsidR="0C360BCB" w:rsidRPr="00C94AFC">
        <w:t xml:space="preserve"> cont</w:t>
      </w:r>
      <w:r w:rsidR="5FDBDBC7" w:rsidRPr="00C94AFC">
        <w:t>r</w:t>
      </w:r>
      <w:r w:rsidR="0C360BCB" w:rsidRPr="00C94AFC">
        <w:t>ols in the</w:t>
      </w:r>
      <w:r w:rsidR="00C94AFC" w:rsidRPr="00C94AFC">
        <w:t xml:space="preserve"> </w:t>
      </w:r>
      <w:r w:rsidR="2CA058DA" w:rsidRPr="00C94AFC">
        <w:t xml:space="preserve">multilateral </w:t>
      </w:r>
      <w:r w:rsidR="226F349E" w:rsidRPr="00C94AFC">
        <w:t xml:space="preserve">regimes </w:t>
      </w:r>
      <w:r w:rsidR="45CDFDD6" w:rsidRPr="00C94AFC">
        <w:t>due to</w:t>
      </w:r>
      <w:r w:rsidR="003B5F8C">
        <w:t xml:space="preserve"> delays in</w:t>
      </w:r>
      <w:r w:rsidR="45CDFDD6" w:rsidRPr="00C94AFC">
        <w:t xml:space="preserve"> decision making</w:t>
      </w:r>
      <w:r w:rsidR="2CA058DA" w:rsidRPr="00C94AFC">
        <w:t xml:space="preserve">; </w:t>
      </w:r>
      <w:r w:rsidR="47239BB3" w:rsidRPr="00C94AFC">
        <w:t xml:space="preserve">(2) </w:t>
      </w:r>
      <w:r w:rsidR="2CA058DA" w:rsidRPr="00C94AFC">
        <w:t xml:space="preserve">a senior-level forum for political coordination on export controls; </w:t>
      </w:r>
      <w:r w:rsidR="1236F0E1" w:rsidRPr="00C94AFC">
        <w:t>(</w:t>
      </w:r>
      <w:r w:rsidR="3D0DB1BD" w:rsidRPr="00C94AFC">
        <w:t>3</w:t>
      </w:r>
      <w:r w:rsidR="1236F0E1" w:rsidRPr="00C94AFC">
        <w:t xml:space="preserve">) </w:t>
      </w:r>
      <w:r w:rsidR="2CA058DA" w:rsidRPr="00C94AFC">
        <w:t xml:space="preserve">a mechanism to better coordinate new national control lists; and </w:t>
      </w:r>
      <w:r w:rsidR="70254AE3" w:rsidRPr="00C94AFC">
        <w:t>(</w:t>
      </w:r>
      <w:r w:rsidR="5D24BA69" w:rsidRPr="00C94AFC">
        <w:t>4</w:t>
      </w:r>
      <w:r w:rsidR="70254AE3" w:rsidRPr="00C94AFC">
        <w:t xml:space="preserve">) an early </w:t>
      </w:r>
      <w:r w:rsidR="2CA058DA" w:rsidRPr="00C94AFC">
        <w:t>evaluation of the EU</w:t>
      </w:r>
      <w:r w:rsidR="00F723B9">
        <w:t>’s</w:t>
      </w:r>
      <w:r w:rsidR="2CA058DA" w:rsidRPr="00C94AFC">
        <w:t xml:space="preserve"> Dual-Use Regulation</w:t>
      </w:r>
      <w:r w:rsidR="00ED6157" w:rsidRPr="00C94AFC">
        <w:t>.</w:t>
      </w:r>
      <w:r w:rsidR="2CA058DA" w:rsidRPr="00C94AFC">
        <w:t xml:space="preserve"> The White Paper was subject to a public consultation which ran from 2 February until 30</w:t>
      </w:r>
      <w:r w:rsidR="00C94AFC">
        <w:t> </w:t>
      </w:r>
      <w:r w:rsidR="2CA058DA" w:rsidRPr="00C94AFC">
        <w:t xml:space="preserve">April 2024, to which 23 replies were received, </w:t>
      </w:r>
      <w:r w:rsidR="003B5F8C">
        <w:t>informing</w:t>
      </w:r>
      <w:r w:rsidR="2CA058DA" w:rsidRPr="00C94AFC">
        <w:t xml:space="preserve"> the Commission’s internal deliberations.</w:t>
      </w:r>
      <w:r w:rsidR="731FDF81" w:rsidRPr="00C94AFC">
        <w:t xml:space="preserve"> </w:t>
      </w:r>
      <w:r w:rsidR="003B5F8C">
        <w:t>S</w:t>
      </w:r>
      <w:r w:rsidR="00ED6157" w:rsidRPr="00C94AFC">
        <w:t>ince the publication of the White Paper</w:t>
      </w:r>
      <w:r w:rsidR="003B5F8C">
        <w:t>, the Commission</w:t>
      </w:r>
      <w:r w:rsidR="00ED6157" w:rsidRPr="00C94AFC">
        <w:t xml:space="preserve"> has been actively moving forward on each of those </w:t>
      </w:r>
      <w:r w:rsidR="003B5F8C">
        <w:t>measures</w:t>
      </w:r>
      <w:r w:rsidR="00ED6157" w:rsidRPr="00C94AFC">
        <w:t xml:space="preserve">. </w:t>
      </w:r>
      <w:r w:rsidR="00D7465F" w:rsidRPr="00C94AFC">
        <w:t xml:space="preserve">The </w:t>
      </w:r>
      <w:r w:rsidR="00A85EC9" w:rsidRPr="00C94AFC">
        <w:t xml:space="preserve">Council of the </w:t>
      </w:r>
      <w:r w:rsidR="00D7465F" w:rsidRPr="00C94AFC">
        <w:t xml:space="preserve">European </w:t>
      </w:r>
      <w:r w:rsidR="00A85EC9" w:rsidRPr="00C94AFC">
        <w:t>Union</w:t>
      </w:r>
      <w:r w:rsidR="00ED6157" w:rsidRPr="00C94AFC">
        <w:t xml:space="preserve"> responded to the White Paper in </w:t>
      </w:r>
      <w:r w:rsidR="003B5F8C">
        <w:t xml:space="preserve">its </w:t>
      </w:r>
      <w:r w:rsidR="00ED6157" w:rsidRPr="00C94AFC">
        <w:t>Conclusions adopted in spring 2024</w:t>
      </w:r>
      <w:r w:rsidR="00D7465F" w:rsidRPr="00C94AFC">
        <w:rPr>
          <w:rStyle w:val="FootnoteReference"/>
        </w:rPr>
        <w:footnoteReference w:id="9"/>
      </w:r>
      <w:r w:rsidR="00C94AFC" w:rsidRPr="00C94AFC">
        <w:t>.</w:t>
      </w:r>
    </w:p>
    <w:p w14:paraId="58CE42E9" w14:textId="3F818A2F" w:rsidR="00FC2A23" w:rsidRPr="00C94AFC" w:rsidRDefault="76977A21" w:rsidP="3391EFF5">
      <w:pPr>
        <w:spacing w:before="100" w:beforeAutospacing="1" w:after="100" w:afterAutospacing="1"/>
        <w:jc w:val="both"/>
        <w:rPr>
          <w:u w:val="single"/>
        </w:rPr>
      </w:pPr>
      <w:r w:rsidRPr="00C94AFC">
        <w:rPr>
          <w:u w:val="single"/>
        </w:rPr>
        <w:t>2.1.</w:t>
      </w:r>
      <w:r w:rsidR="00784453">
        <w:rPr>
          <w:u w:val="single"/>
        </w:rPr>
        <w:t>3</w:t>
      </w:r>
      <w:r w:rsidR="00784453">
        <w:rPr>
          <w:u w:val="single"/>
        </w:rPr>
        <w:tab/>
      </w:r>
      <w:r w:rsidR="46C9252E" w:rsidRPr="00C94AFC">
        <w:rPr>
          <w:u w:val="single"/>
        </w:rPr>
        <w:t xml:space="preserve">Export restrictions </w:t>
      </w:r>
      <w:r w:rsidR="00967D1D" w:rsidRPr="00C94AFC">
        <w:rPr>
          <w:u w:val="single"/>
        </w:rPr>
        <w:t xml:space="preserve">concerning products destined for </w:t>
      </w:r>
      <w:r w:rsidR="46C9252E" w:rsidRPr="00C94AFC">
        <w:rPr>
          <w:u w:val="single"/>
        </w:rPr>
        <w:t>Russia</w:t>
      </w:r>
    </w:p>
    <w:p w14:paraId="6DF99625" w14:textId="32615FBE" w:rsidR="5B167630" w:rsidRPr="00C94AFC" w:rsidRDefault="3478B90F" w:rsidP="100A786D">
      <w:pPr>
        <w:spacing w:beforeAutospacing="1" w:afterAutospacing="1"/>
        <w:jc w:val="both"/>
        <w:rPr>
          <w:rFonts w:eastAsia="Times New Roman"/>
          <w:lang w:eastAsia="en-GB"/>
        </w:rPr>
      </w:pPr>
      <w:r w:rsidRPr="00C94AFC">
        <w:rPr>
          <w:rFonts w:eastAsia="Times New Roman"/>
          <w:lang w:eastAsia="en-GB"/>
        </w:rPr>
        <w:t xml:space="preserve">Throughout 2024, the </w:t>
      </w:r>
      <w:r w:rsidR="003B5F8C">
        <w:rPr>
          <w:rFonts w:eastAsia="Times New Roman"/>
          <w:lang w:eastAsia="en-GB"/>
        </w:rPr>
        <w:t xml:space="preserve">European </w:t>
      </w:r>
      <w:r w:rsidR="003608C9" w:rsidRPr="00C94AFC">
        <w:rPr>
          <w:rFonts w:eastAsia="Times New Roman"/>
          <w:lang w:eastAsia="en-GB"/>
        </w:rPr>
        <w:t xml:space="preserve">Union </w:t>
      </w:r>
      <w:r w:rsidRPr="00C94AFC">
        <w:rPr>
          <w:rFonts w:eastAsia="Times New Roman"/>
          <w:lang w:eastAsia="en-GB"/>
        </w:rPr>
        <w:t xml:space="preserve">continued to </w:t>
      </w:r>
      <w:r w:rsidR="003B5F8C" w:rsidRPr="00C94AFC">
        <w:rPr>
          <w:rFonts w:eastAsia="Times New Roman"/>
          <w:lang w:eastAsia="en-GB"/>
        </w:rPr>
        <w:t xml:space="preserve">actively </w:t>
      </w:r>
      <w:r w:rsidRPr="00C94AFC">
        <w:rPr>
          <w:rFonts w:eastAsia="Times New Roman"/>
          <w:lang w:eastAsia="en-GB"/>
        </w:rPr>
        <w:t>tighten dual-use export restrictions in the context of sanctions against Russia, including through the adoption of</w:t>
      </w:r>
      <w:r w:rsidR="00F24F94" w:rsidRPr="00C94AFC">
        <w:rPr>
          <w:rFonts w:eastAsia="Times New Roman"/>
          <w:lang w:eastAsia="en-GB"/>
        </w:rPr>
        <w:t xml:space="preserve"> </w:t>
      </w:r>
      <w:r w:rsidR="00ED6157" w:rsidRPr="00C94AFC">
        <w:rPr>
          <w:rFonts w:eastAsia="Times New Roman"/>
          <w:lang w:eastAsia="en-GB"/>
        </w:rPr>
        <w:t xml:space="preserve">three </w:t>
      </w:r>
      <w:r w:rsidRPr="00C94AFC">
        <w:rPr>
          <w:rFonts w:eastAsia="Times New Roman"/>
          <w:lang w:eastAsia="en-GB"/>
        </w:rPr>
        <w:t>package</w:t>
      </w:r>
      <w:r w:rsidR="349D5EF9" w:rsidRPr="00C94AFC">
        <w:rPr>
          <w:rFonts w:eastAsia="Times New Roman"/>
          <w:lang w:eastAsia="en-GB"/>
        </w:rPr>
        <w:t>s</w:t>
      </w:r>
      <w:r w:rsidRPr="00C94AFC">
        <w:rPr>
          <w:rFonts w:eastAsia="Times New Roman"/>
          <w:lang w:eastAsia="en-GB"/>
        </w:rPr>
        <w:t xml:space="preserve"> of sanctions</w:t>
      </w:r>
      <w:r w:rsidR="7DA312F8" w:rsidRPr="00C94AFC">
        <w:rPr>
          <w:rFonts w:eastAsia="Times New Roman"/>
          <w:lang w:eastAsia="en-GB"/>
        </w:rPr>
        <w:t xml:space="preserve">, </w:t>
      </w:r>
      <w:r w:rsidR="397F753F" w:rsidRPr="00C94AFC">
        <w:rPr>
          <w:rFonts w:eastAsia="Times New Roman"/>
          <w:lang w:eastAsia="en-GB"/>
        </w:rPr>
        <w:t xml:space="preserve">in particular </w:t>
      </w:r>
      <w:r w:rsidR="7DA312F8" w:rsidRPr="00C94AFC">
        <w:rPr>
          <w:rFonts w:eastAsia="Times New Roman"/>
          <w:lang w:eastAsia="en-GB"/>
        </w:rPr>
        <w:t>expanding export restrictions on dual-use</w:t>
      </w:r>
      <w:r w:rsidRPr="00C94AFC">
        <w:rPr>
          <w:rFonts w:eastAsia="Times New Roman"/>
          <w:lang w:eastAsia="en-GB"/>
        </w:rPr>
        <w:t xml:space="preserve"> </w:t>
      </w:r>
      <w:r w:rsidR="00C94AFC">
        <w:rPr>
          <w:rFonts w:eastAsia="Times New Roman"/>
          <w:lang w:eastAsia="en-GB"/>
        </w:rPr>
        <w:t>‘</w:t>
      </w:r>
      <w:r w:rsidR="53A2FA78" w:rsidRPr="00C94AFC">
        <w:rPr>
          <w:rFonts w:eastAsia="Times New Roman"/>
          <w:lang w:eastAsia="en-GB"/>
        </w:rPr>
        <w:t>advanced technology items</w:t>
      </w:r>
      <w:r w:rsidR="00C94AFC">
        <w:rPr>
          <w:rFonts w:eastAsia="Times New Roman"/>
          <w:lang w:eastAsia="en-GB"/>
        </w:rPr>
        <w:t>’</w:t>
      </w:r>
      <w:r w:rsidR="53A2FA78" w:rsidRPr="00C94AFC">
        <w:rPr>
          <w:rFonts w:eastAsia="Times New Roman"/>
          <w:lang w:eastAsia="en-GB"/>
        </w:rPr>
        <w:t xml:space="preserve">, in light of information from the battlefield, and targeting entities associated with Russia’s military-industrial </w:t>
      </w:r>
      <w:r w:rsidR="003B5F8C">
        <w:rPr>
          <w:rFonts w:eastAsia="Times New Roman"/>
          <w:lang w:eastAsia="en-GB"/>
        </w:rPr>
        <w:t>facilities both</w:t>
      </w:r>
      <w:r w:rsidR="53A2FA78" w:rsidRPr="00C94AFC">
        <w:rPr>
          <w:rFonts w:eastAsia="Times New Roman"/>
          <w:lang w:eastAsia="en-GB"/>
        </w:rPr>
        <w:t xml:space="preserve"> in Russia and in </w:t>
      </w:r>
      <w:r w:rsidR="00930749">
        <w:rPr>
          <w:rFonts w:eastAsia="Times New Roman"/>
          <w:lang w:eastAsia="en-GB"/>
        </w:rPr>
        <w:t>non-EU</w:t>
      </w:r>
      <w:r w:rsidR="00930749" w:rsidRPr="00C94AFC">
        <w:rPr>
          <w:rFonts w:eastAsia="Times New Roman"/>
          <w:lang w:eastAsia="en-GB"/>
        </w:rPr>
        <w:t xml:space="preserve"> </w:t>
      </w:r>
      <w:r w:rsidR="53A2FA78" w:rsidRPr="00C94AFC">
        <w:rPr>
          <w:rFonts w:eastAsia="Times New Roman"/>
          <w:lang w:eastAsia="en-GB"/>
        </w:rPr>
        <w:t>countries</w:t>
      </w:r>
      <w:r w:rsidR="000223C5" w:rsidRPr="00C94AFC">
        <w:rPr>
          <w:rStyle w:val="FootnoteReference"/>
          <w:rFonts w:eastAsia="Times New Roman"/>
          <w:lang w:eastAsia="en-GB"/>
        </w:rPr>
        <w:footnoteReference w:id="10"/>
      </w:r>
      <w:r w:rsidR="00C94AFC" w:rsidRPr="00C94AFC">
        <w:rPr>
          <w:rFonts w:eastAsia="Times New Roman"/>
          <w:lang w:eastAsia="en-GB"/>
        </w:rPr>
        <w:t>.</w:t>
      </w:r>
      <w:r w:rsidR="66ABD6D9" w:rsidRPr="00C94AFC">
        <w:rPr>
          <w:rFonts w:eastAsia="Times New Roman"/>
          <w:lang w:eastAsia="en-GB"/>
        </w:rPr>
        <w:t xml:space="preserve"> </w:t>
      </w:r>
      <w:r w:rsidR="00F24F94" w:rsidRPr="00C94AFC">
        <w:rPr>
          <w:rFonts w:eastAsia="Times New Roman"/>
          <w:lang w:eastAsia="en-GB"/>
        </w:rPr>
        <w:t>In September 2024, t</w:t>
      </w:r>
      <w:r w:rsidRPr="00C94AFC">
        <w:rPr>
          <w:rFonts w:eastAsia="Times New Roman"/>
          <w:lang w:eastAsia="en-GB"/>
        </w:rPr>
        <w:t>he Commission published guidance for industry</w:t>
      </w:r>
      <w:r w:rsidR="00F24F94" w:rsidRPr="00C94AFC">
        <w:rPr>
          <w:rFonts w:eastAsia="Times New Roman"/>
          <w:lang w:eastAsia="en-GB"/>
        </w:rPr>
        <w:t xml:space="preserve"> which had been developed and </w:t>
      </w:r>
      <w:r w:rsidRPr="00C94AFC">
        <w:rPr>
          <w:rFonts w:eastAsia="Times New Roman"/>
          <w:lang w:eastAsia="en-GB"/>
        </w:rPr>
        <w:t>agreed</w:t>
      </w:r>
      <w:r w:rsidR="00F24F94" w:rsidRPr="00C94AFC">
        <w:rPr>
          <w:rFonts w:eastAsia="Times New Roman"/>
          <w:lang w:eastAsia="en-GB"/>
        </w:rPr>
        <w:t xml:space="preserve"> by the </w:t>
      </w:r>
      <w:r w:rsidRPr="00C94AFC">
        <w:rPr>
          <w:rFonts w:eastAsia="Times New Roman"/>
          <w:lang w:eastAsia="en-GB"/>
        </w:rPr>
        <w:t xml:space="preserve">G7 members </w:t>
      </w:r>
      <w:r w:rsidR="00F24F94" w:rsidRPr="00C94AFC">
        <w:rPr>
          <w:rFonts w:eastAsia="Times New Roman"/>
          <w:lang w:eastAsia="en-GB"/>
        </w:rPr>
        <w:t xml:space="preserve">and the Commission, </w:t>
      </w:r>
      <w:r w:rsidRPr="00C94AFC">
        <w:rPr>
          <w:rFonts w:eastAsia="Times New Roman"/>
          <w:lang w:eastAsia="en-GB"/>
        </w:rPr>
        <w:t xml:space="preserve">to assist industry in </w:t>
      </w:r>
      <w:r w:rsidR="00F24F94" w:rsidRPr="00C94AFC">
        <w:rPr>
          <w:rFonts w:eastAsia="Times New Roman"/>
          <w:lang w:eastAsia="en-GB"/>
        </w:rPr>
        <w:t xml:space="preserve">better </w:t>
      </w:r>
      <w:r w:rsidRPr="00C94AFC">
        <w:rPr>
          <w:rFonts w:eastAsia="Times New Roman"/>
          <w:lang w:eastAsia="en-GB"/>
        </w:rPr>
        <w:t>identifying Russia</w:t>
      </w:r>
      <w:r w:rsidR="003B5F8C">
        <w:rPr>
          <w:rFonts w:eastAsia="Times New Roman"/>
          <w:lang w:eastAsia="en-GB"/>
        </w:rPr>
        <w:t>’s</w:t>
      </w:r>
      <w:r w:rsidRPr="00C94AFC">
        <w:rPr>
          <w:rFonts w:eastAsia="Times New Roman"/>
          <w:lang w:eastAsia="en-GB"/>
        </w:rPr>
        <w:t xml:space="preserve"> </w:t>
      </w:r>
      <w:r w:rsidR="00ED6157" w:rsidRPr="00C94AFC">
        <w:rPr>
          <w:rFonts w:eastAsia="Times New Roman"/>
          <w:lang w:eastAsia="en-GB"/>
        </w:rPr>
        <w:t xml:space="preserve">sanctions </w:t>
      </w:r>
      <w:r w:rsidRPr="00C94AFC">
        <w:rPr>
          <w:rFonts w:eastAsia="Times New Roman"/>
          <w:lang w:eastAsia="en-GB"/>
        </w:rPr>
        <w:t xml:space="preserve">evasion practices, to protect G7 technology from misappropriation, prevent reputational harm and mitigate liability risk while supporting </w:t>
      </w:r>
      <w:r w:rsidR="00F24F94" w:rsidRPr="00C94AFC">
        <w:rPr>
          <w:rFonts w:eastAsia="Times New Roman"/>
          <w:lang w:eastAsia="en-GB"/>
        </w:rPr>
        <w:t xml:space="preserve">the effectiveness of </w:t>
      </w:r>
      <w:r w:rsidRPr="00C94AFC">
        <w:rPr>
          <w:rFonts w:eastAsia="Times New Roman"/>
          <w:lang w:eastAsia="en-GB"/>
        </w:rPr>
        <w:t>export controls and sanctions</w:t>
      </w:r>
      <w:r w:rsidR="72D7AC04" w:rsidRPr="00C94AFC">
        <w:rPr>
          <w:rStyle w:val="FootnoteReference"/>
          <w:rFonts w:eastAsia="Times New Roman"/>
          <w:lang w:eastAsia="en-GB"/>
        </w:rPr>
        <w:footnoteReference w:id="11"/>
      </w:r>
      <w:r w:rsidR="00C94AFC" w:rsidRPr="00C94AFC">
        <w:rPr>
          <w:rFonts w:eastAsia="Times New Roman"/>
          <w:lang w:eastAsia="en-GB"/>
        </w:rPr>
        <w:t>.</w:t>
      </w:r>
    </w:p>
    <w:p w14:paraId="4DBDCD62" w14:textId="4E16AB08" w:rsidR="00967D1D" w:rsidRPr="00C94AFC" w:rsidRDefault="00967D1D" w:rsidP="00D7465F">
      <w:pPr>
        <w:spacing w:before="240" w:beforeAutospacing="1" w:after="240" w:afterAutospacing="1" w:line="259" w:lineRule="auto"/>
        <w:jc w:val="both"/>
        <w:rPr>
          <w:rFonts w:eastAsia="Calibri"/>
        </w:rPr>
      </w:pPr>
      <w:r w:rsidRPr="00C94AFC">
        <w:rPr>
          <w:rFonts w:eastAsia="Calibri"/>
        </w:rPr>
        <w:t xml:space="preserve">In addition, the Commission and </w:t>
      </w:r>
      <w:r w:rsidR="0022000B">
        <w:rPr>
          <w:rFonts w:eastAsia="Calibri"/>
        </w:rPr>
        <w:t xml:space="preserve">the </w:t>
      </w:r>
      <w:r w:rsidRPr="00C94AFC">
        <w:rPr>
          <w:rFonts w:eastAsia="Calibri"/>
        </w:rPr>
        <w:t xml:space="preserve">Member States </w:t>
      </w:r>
      <w:r w:rsidR="003B5F8C">
        <w:rPr>
          <w:rFonts w:eastAsia="Calibri"/>
        </w:rPr>
        <w:t>were active participants in</w:t>
      </w:r>
      <w:r w:rsidRPr="00C94AFC">
        <w:rPr>
          <w:rFonts w:eastAsia="Calibri"/>
        </w:rPr>
        <w:t xml:space="preserve"> the global coalition on Russia sanctions (GECC</w:t>
      </w:r>
      <w:r w:rsidR="00C94AFC" w:rsidRPr="00C94AFC">
        <w:rPr>
          <w:rFonts w:eastAsia="Calibri"/>
        </w:rPr>
        <w:t>)</w:t>
      </w:r>
      <w:r w:rsidRPr="00C94AFC">
        <w:rPr>
          <w:rStyle w:val="FootnoteReference"/>
          <w:rFonts w:eastAsia="Calibri"/>
        </w:rPr>
        <w:footnoteReference w:id="12"/>
      </w:r>
      <w:r w:rsidRPr="00C94AFC">
        <w:rPr>
          <w:rFonts w:eastAsia="Calibri"/>
        </w:rPr>
        <w:t xml:space="preserve">, </w:t>
      </w:r>
      <w:r w:rsidR="003B5F8C">
        <w:rPr>
          <w:rFonts w:eastAsia="Calibri"/>
        </w:rPr>
        <w:t>whose</w:t>
      </w:r>
      <w:r w:rsidRPr="00C94AFC">
        <w:rPr>
          <w:rFonts w:eastAsia="Calibri"/>
        </w:rPr>
        <w:t xml:space="preserve"> 39 members have implemented substantially similar export controls in response to Russia’s full</w:t>
      </w:r>
      <w:r w:rsidR="003B5F8C">
        <w:rPr>
          <w:rFonts w:eastAsia="Calibri"/>
        </w:rPr>
        <w:t>-</w:t>
      </w:r>
      <w:r w:rsidRPr="00C94AFC">
        <w:rPr>
          <w:rFonts w:eastAsia="Calibri"/>
        </w:rPr>
        <w:t>scale invasion of Ukraine in February 2022.</w:t>
      </w:r>
      <w:r w:rsidRPr="00C94AFC">
        <w:t xml:space="preserve"> The GECC aims </w:t>
      </w:r>
      <w:r w:rsidR="0022000B">
        <w:t>to</w:t>
      </w:r>
      <w:r w:rsidR="0022000B" w:rsidRPr="00C94AFC">
        <w:t xml:space="preserve"> </w:t>
      </w:r>
      <w:r w:rsidRPr="00C94AFC">
        <w:t>c</w:t>
      </w:r>
      <w:r w:rsidRPr="00C94AFC">
        <w:rPr>
          <w:rFonts w:eastAsia="Calibri"/>
        </w:rPr>
        <w:t>ut Russia and Belarus off from the commodities, technologies and software necessary to sustain their aggression in Ukraine, depriving their defence, aerospace and maritime sectors of key materials.</w:t>
      </w:r>
    </w:p>
    <w:p w14:paraId="1AA2817B" w14:textId="5FE8551A" w:rsidR="00BA7E94" w:rsidRPr="00C94AFC" w:rsidRDefault="4BE970A6" w:rsidP="3391EFF5">
      <w:pPr>
        <w:spacing w:before="100" w:beforeAutospacing="1" w:after="100" w:afterAutospacing="1"/>
        <w:jc w:val="both"/>
        <w:rPr>
          <w:u w:val="single"/>
        </w:rPr>
      </w:pPr>
      <w:r w:rsidRPr="00C94AFC">
        <w:rPr>
          <w:u w:val="single"/>
        </w:rPr>
        <w:t>2.1.</w:t>
      </w:r>
      <w:r w:rsidR="0061380D">
        <w:rPr>
          <w:u w:val="single"/>
        </w:rPr>
        <w:t>4</w:t>
      </w:r>
      <w:r w:rsidR="0061380D">
        <w:rPr>
          <w:u w:val="single"/>
        </w:rPr>
        <w:tab/>
      </w:r>
      <w:r w:rsidR="105E5E15" w:rsidRPr="00C94AFC">
        <w:rPr>
          <w:u w:val="single"/>
        </w:rPr>
        <w:t xml:space="preserve">Cooperation with </w:t>
      </w:r>
      <w:r w:rsidR="00930749">
        <w:rPr>
          <w:u w:val="single"/>
        </w:rPr>
        <w:t>non-EU</w:t>
      </w:r>
      <w:r w:rsidR="00930749" w:rsidRPr="00C94AFC">
        <w:rPr>
          <w:u w:val="single"/>
        </w:rPr>
        <w:t xml:space="preserve"> </w:t>
      </w:r>
      <w:r w:rsidR="105E5E15" w:rsidRPr="00C94AFC">
        <w:rPr>
          <w:u w:val="single"/>
        </w:rPr>
        <w:t xml:space="preserve">countries </w:t>
      </w:r>
      <w:r w:rsidR="15C1701C" w:rsidRPr="00C94AFC">
        <w:rPr>
          <w:u w:val="single"/>
        </w:rPr>
        <w:t>in 202</w:t>
      </w:r>
      <w:r w:rsidR="529D831F" w:rsidRPr="00C94AFC">
        <w:rPr>
          <w:u w:val="single"/>
        </w:rPr>
        <w:t>4</w:t>
      </w:r>
    </w:p>
    <w:p w14:paraId="3C8135F3" w14:textId="76BEC5F4" w:rsidR="00901035" w:rsidRPr="00C94AFC" w:rsidRDefault="2E5A9F37" w:rsidP="3391EFF5">
      <w:pPr>
        <w:spacing w:before="100" w:beforeAutospacing="1" w:after="100" w:afterAutospacing="1"/>
        <w:jc w:val="both"/>
        <w:rPr>
          <w:rFonts w:eastAsia="Calibri"/>
        </w:rPr>
      </w:pPr>
      <w:r w:rsidRPr="00C94AFC">
        <w:rPr>
          <w:rFonts w:eastAsia="Calibri"/>
        </w:rPr>
        <w:t>T</w:t>
      </w:r>
      <w:r w:rsidR="6D5F38DD" w:rsidRPr="00C94AFC">
        <w:rPr>
          <w:rFonts w:eastAsia="Calibri"/>
        </w:rPr>
        <w:t xml:space="preserve">he </w:t>
      </w:r>
      <w:r w:rsidR="4061C648" w:rsidRPr="00C94AFC">
        <w:rPr>
          <w:lang w:eastAsia="en-GB"/>
        </w:rPr>
        <w:t>sixth</w:t>
      </w:r>
      <w:r w:rsidR="6D5F38DD" w:rsidRPr="00C94AFC">
        <w:rPr>
          <w:lang w:eastAsia="en-GB"/>
        </w:rPr>
        <w:t xml:space="preserve"> </w:t>
      </w:r>
      <w:r w:rsidR="702C70CB" w:rsidRPr="00C94AFC">
        <w:rPr>
          <w:lang w:eastAsia="en-GB"/>
        </w:rPr>
        <w:t>ministerial</w:t>
      </w:r>
      <w:r w:rsidR="6D5F38DD" w:rsidRPr="00C94AFC">
        <w:rPr>
          <w:rFonts w:eastAsia="Calibri"/>
        </w:rPr>
        <w:t xml:space="preserve"> meeting of the </w:t>
      </w:r>
      <w:r w:rsidR="429057A0" w:rsidRPr="00C94AFC">
        <w:rPr>
          <w:rFonts w:eastAsia="Calibri"/>
        </w:rPr>
        <w:t>EU–US Trade and Technology Council (</w:t>
      </w:r>
      <w:r w:rsidR="55AC34CD" w:rsidRPr="00C94AFC">
        <w:rPr>
          <w:rFonts w:eastAsia="Calibri"/>
        </w:rPr>
        <w:t>TTC</w:t>
      </w:r>
      <w:r w:rsidR="429057A0" w:rsidRPr="00C94AFC">
        <w:rPr>
          <w:rFonts w:eastAsia="Calibri"/>
        </w:rPr>
        <w:t>)</w:t>
      </w:r>
      <w:r w:rsidR="6D5F38DD" w:rsidRPr="00C94AFC">
        <w:rPr>
          <w:rFonts w:eastAsia="Calibri"/>
        </w:rPr>
        <w:t xml:space="preserve"> </w:t>
      </w:r>
      <w:r w:rsidRPr="00C94AFC">
        <w:rPr>
          <w:rFonts w:eastAsia="Calibri"/>
        </w:rPr>
        <w:t xml:space="preserve">took place </w:t>
      </w:r>
      <w:r w:rsidR="6D5F38DD" w:rsidRPr="00C94AFC">
        <w:rPr>
          <w:rFonts w:eastAsia="Calibri"/>
        </w:rPr>
        <w:t xml:space="preserve">in </w:t>
      </w:r>
      <w:r w:rsidR="20AB2094" w:rsidRPr="00C94AFC">
        <w:rPr>
          <w:rFonts w:eastAsia="Calibri"/>
        </w:rPr>
        <w:t>Leuven</w:t>
      </w:r>
      <w:r w:rsidR="6D5F38DD" w:rsidRPr="00C94AFC">
        <w:rPr>
          <w:rFonts w:eastAsia="Calibri"/>
        </w:rPr>
        <w:t xml:space="preserve"> on </w:t>
      </w:r>
      <w:r w:rsidR="65CF2D26" w:rsidRPr="00C94AFC">
        <w:rPr>
          <w:rFonts w:eastAsia="Calibri"/>
        </w:rPr>
        <w:t>4-5</w:t>
      </w:r>
      <w:r w:rsidR="00C94AFC">
        <w:rPr>
          <w:rFonts w:eastAsia="Calibri"/>
        </w:rPr>
        <w:t> </w:t>
      </w:r>
      <w:r w:rsidR="2E5E6AB1" w:rsidRPr="00C94AFC">
        <w:rPr>
          <w:rFonts w:eastAsia="Calibri"/>
        </w:rPr>
        <w:t>April</w:t>
      </w:r>
      <w:r w:rsidR="6D5F38DD" w:rsidRPr="00C94AFC">
        <w:rPr>
          <w:rFonts w:eastAsia="Calibri"/>
        </w:rPr>
        <w:t xml:space="preserve"> 202</w:t>
      </w:r>
      <w:r w:rsidR="7D9B3A1D" w:rsidRPr="00C94AFC">
        <w:rPr>
          <w:rFonts w:eastAsia="Calibri"/>
        </w:rPr>
        <w:t>4</w:t>
      </w:r>
      <w:r w:rsidR="001B46AF" w:rsidRPr="00C94AFC">
        <w:rPr>
          <w:rStyle w:val="FootnoteReference"/>
          <w:rFonts w:eastAsia="Calibri"/>
        </w:rPr>
        <w:footnoteReference w:id="13"/>
      </w:r>
      <w:r w:rsidR="00C94AFC" w:rsidRPr="00C94AFC">
        <w:rPr>
          <w:rFonts w:eastAsia="Calibri"/>
        </w:rPr>
        <w:t>.</w:t>
      </w:r>
      <w:r w:rsidR="003423D1" w:rsidRPr="00C94AFC">
        <w:rPr>
          <w:rFonts w:eastAsia="Calibri"/>
        </w:rPr>
        <w:t xml:space="preserve"> </w:t>
      </w:r>
      <w:r w:rsidR="00D75907" w:rsidRPr="00C94AFC">
        <w:rPr>
          <w:rFonts w:eastAsia="Calibri"/>
        </w:rPr>
        <w:t xml:space="preserve">Both the EU and the US recognised the role of the EU-US TTC </w:t>
      </w:r>
      <w:r w:rsidR="00D75907" w:rsidRPr="00C94AFC">
        <w:rPr>
          <w:rFonts w:eastAsia="Calibri"/>
        </w:rPr>
        <w:lastRenderedPageBreak/>
        <w:t>in coordinating export controls imposed in response to Russia’s invasion of Ukraine and resolved to further align their respective priorities</w:t>
      </w:r>
      <w:r w:rsidR="00800F6C" w:rsidRPr="00C94AFC">
        <w:rPr>
          <w:rStyle w:val="FootnoteReference"/>
          <w:rFonts w:eastAsia="Calibri"/>
        </w:rPr>
        <w:footnoteReference w:id="14"/>
      </w:r>
      <w:r w:rsidR="00C94AFC" w:rsidRPr="00C94AFC">
        <w:rPr>
          <w:rFonts w:eastAsia="Calibri"/>
        </w:rPr>
        <w:t>.</w:t>
      </w:r>
    </w:p>
    <w:p w14:paraId="712C5D37" w14:textId="19295E22" w:rsidR="0145A980" w:rsidRPr="00C94AFC" w:rsidRDefault="008BCC80" w:rsidP="3F798B71">
      <w:pPr>
        <w:spacing w:beforeAutospacing="1" w:afterAutospacing="1"/>
        <w:jc w:val="both"/>
        <w:rPr>
          <w:rFonts w:eastAsia="Calibri"/>
          <w:i/>
          <w:iCs/>
        </w:rPr>
      </w:pPr>
      <w:bookmarkStart w:id="4" w:name="_Hlk120868745"/>
      <w:r w:rsidRPr="00C94AFC">
        <w:rPr>
          <w:rFonts w:eastAsia="Calibri"/>
        </w:rPr>
        <w:t>On 8-9</w:t>
      </w:r>
      <w:r w:rsidR="00C94AFC">
        <w:rPr>
          <w:rFonts w:eastAsia="Calibri"/>
        </w:rPr>
        <w:t> </w:t>
      </w:r>
      <w:r w:rsidRPr="00C94AFC">
        <w:rPr>
          <w:rFonts w:eastAsia="Calibri"/>
        </w:rPr>
        <w:t>October 2024, the Commission hosted the Fourth Dialogue on Export Control Governance in Brus</w:t>
      </w:r>
      <w:r w:rsidR="3B331E3D" w:rsidRPr="00C94AFC">
        <w:rPr>
          <w:rFonts w:eastAsia="Calibri"/>
        </w:rPr>
        <w:t xml:space="preserve">sels under the title </w:t>
      </w:r>
      <w:r w:rsidR="00C94AFC">
        <w:rPr>
          <w:rFonts w:eastAsia="Calibri"/>
        </w:rPr>
        <w:t>‘</w:t>
      </w:r>
      <w:r w:rsidR="3B331E3D" w:rsidRPr="00C94AFC">
        <w:rPr>
          <w:rFonts w:eastAsia="Calibri"/>
        </w:rPr>
        <w:t>Catch-all Controls and Recommendations on Related Internal Compliance Programs for Companies</w:t>
      </w:r>
      <w:r w:rsidR="00C94AFC">
        <w:rPr>
          <w:rFonts w:eastAsia="Calibri"/>
        </w:rPr>
        <w:t>’</w:t>
      </w:r>
      <w:r w:rsidRPr="00C94AFC">
        <w:rPr>
          <w:rFonts w:eastAsia="Calibri"/>
        </w:rPr>
        <w:t xml:space="preserve">, organised under the EU’s </w:t>
      </w:r>
      <w:r w:rsidR="003B5F8C">
        <w:rPr>
          <w:rFonts w:eastAsia="Calibri"/>
        </w:rPr>
        <w:t>p</w:t>
      </w:r>
      <w:r w:rsidRPr="00C94AFC">
        <w:rPr>
          <w:rFonts w:eastAsia="Calibri"/>
        </w:rPr>
        <w:t>artner-to-</w:t>
      </w:r>
      <w:r w:rsidR="003B5F8C">
        <w:rPr>
          <w:rFonts w:eastAsia="Calibri"/>
        </w:rPr>
        <w:t>p</w:t>
      </w:r>
      <w:r w:rsidRPr="00C94AFC">
        <w:rPr>
          <w:rFonts w:eastAsia="Calibri"/>
        </w:rPr>
        <w:t xml:space="preserve">artner (EUP2P) </w:t>
      </w:r>
      <w:r w:rsidR="003B5F8C">
        <w:rPr>
          <w:rFonts w:eastAsia="Calibri"/>
        </w:rPr>
        <w:t>e</w:t>
      </w:r>
      <w:r w:rsidRPr="00C94AFC">
        <w:rPr>
          <w:rFonts w:eastAsia="Calibri"/>
        </w:rPr>
        <w:t xml:space="preserve">xport </w:t>
      </w:r>
      <w:r w:rsidR="003B5F8C">
        <w:rPr>
          <w:rFonts w:eastAsia="Calibri"/>
        </w:rPr>
        <w:t>c</w:t>
      </w:r>
      <w:r w:rsidRPr="00C94AFC">
        <w:rPr>
          <w:rFonts w:eastAsia="Calibri"/>
        </w:rPr>
        <w:t xml:space="preserve">ontrol </w:t>
      </w:r>
      <w:r w:rsidR="003B5F8C">
        <w:rPr>
          <w:rFonts w:eastAsia="Calibri"/>
        </w:rPr>
        <w:t>p</w:t>
      </w:r>
      <w:r w:rsidRPr="00C94AFC">
        <w:rPr>
          <w:rFonts w:eastAsia="Calibri"/>
        </w:rPr>
        <w:t>rogramme and involving partner countries and organisations</w:t>
      </w:r>
      <w:r w:rsidR="2031B311" w:rsidRPr="00C94AFC">
        <w:rPr>
          <w:rFonts w:eastAsia="Calibri"/>
        </w:rPr>
        <w:t>.</w:t>
      </w:r>
      <w:r w:rsidR="00C538BF" w:rsidRPr="00C94AFC">
        <w:rPr>
          <w:rFonts w:eastAsia="Calibri"/>
        </w:rPr>
        <w:t xml:space="preserve"> </w:t>
      </w:r>
      <w:r w:rsidR="00A17EC6" w:rsidRPr="00C94AFC">
        <w:rPr>
          <w:rFonts w:eastAsia="Calibri"/>
        </w:rPr>
        <w:t>The Dialo</w:t>
      </w:r>
      <w:r w:rsidR="002F5BD6" w:rsidRPr="00C94AFC">
        <w:rPr>
          <w:rFonts w:eastAsia="Calibri"/>
        </w:rPr>
        <w:t xml:space="preserve">gue served to </w:t>
      </w:r>
      <w:r w:rsidR="00772CDB" w:rsidRPr="00C94AFC">
        <w:rPr>
          <w:rFonts w:eastAsia="Calibri"/>
        </w:rPr>
        <w:t xml:space="preserve">strengthen networking, </w:t>
      </w:r>
      <w:r w:rsidR="003B5F8C">
        <w:rPr>
          <w:rFonts w:eastAsia="Calibri"/>
        </w:rPr>
        <w:t xml:space="preserve">raise </w:t>
      </w:r>
      <w:r w:rsidR="00772CDB" w:rsidRPr="00C94AFC">
        <w:rPr>
          <w:rFonts w:eastAsia="Calibri"/>
        </w:rPr>
        <w:t xml:space="preserve">awareness and </w:t>
      </w:r>
      <w:r w:rsidR="003B5F8C">
        <w:rPr>
          <w:rFonts w:eastAsia="Calibri"/>
        </w:rPr>
        <w:t xml:space="preserve">build </w:t>
      </w:r>
      <w:r w:rsidR="00772CDB" w:rsidRPr="00C94AFC">
        <w:rPr>
          <w:rFonts w:eastAsia="Calibri"/>
        </w:rPr>
        <w:t xml:space="preserve">capacity among </w:t>
      </w:r>
      <w:r w:rsidR="003B5F8C">
        <w:rPr>
          <w:rFonts w:eastAsia="Calibri"/>
        </w:rPr>
        <w:t xml:space="preserve">the </w:t>
      </w:r>
      <w:r w:rsidR="00772CDB" w:rsidRPr="00C94AFC">
        <w:rPr>
          <w:rFonts w:eastAsia="Calibri"/>
        </w:rPr>
        <w:t>EUP2P partner countries and relevant stakeholders regarding the implementation and practical application of catch-all export controls and related compliance practices under</w:t>
      </w:r>
      <w:r w:rsidR="003B5F8C">
        <w:rPr>
          <w:rFonts w:eastAsia="Calibri"/>
        </w:rPr>
        <w:t xml:space="preserve"> the</w:t>
      </w:r>
      <w:r w:rsidR="00772CDB" w:rsidRPr="00C94AFC">
        <w:rPr>
          <w:rFonts w:eastAsia="Calibri"/>
        </w:rPr>
        <w:t xml:space="preserve"> EU strategic trade control frameworks.</w:t>
      </w:r>
    </w:p>
    <w:p w14:paraId="4E60046E" w14:textId="639E02C5" w:rsidR="003C553D" w:rsidRPr="00C94AFC" w:rsidRDefault="14A4C54F" w:rsidP="51E91A07">
      <w:pPr>
        <w:spacing w:before="100" w:beforeAutospacing="1" w:after="100" w:afterAutospacing="1"/>
        <w:jc w:val="both"/>
        <w:rPr>
          <w:rFonts w:eastAsia="Calibri"/>
        </w:rPr>
      </w:pPr>
      <w:r w:rsidRPr="51E91A07">
        <w:rPr>
          <w:rFonts w:eastAsia="Calibri"/>
        </w:rPr>
        <w:t xml:space="preserve">Finally, the EU and Norway held </w:t>
      </w:r>
      <w:r w:rsidR="7440BE0B" w:rsidRPr="51E91A07">
        <w:rPr>
          <w:rFonts w:eastAsia="Calibri"/>
        </w:rPr>
        <w:t xml:space="preserve">an </w:t>
      </w:r>
      <w:r w:rsidRPr="51E91A07">
        <w:rPr>
          <w:rFonts w:eastAsia="Calibri"/>
        </w:rPr>
        <w:t>EU-Norway</w:t>
      </w:r>
      <w:r w:rsidR="00C94AFC" w:rsidRPr="51E91A07">
        <w:rPr>
          <w:rFonts w:eastAsia="Calibri"/>
        </w:rPr>
        <w:t xml:space="preserve"> </w:t>
      </w:r>
      <w:r w:rsidRPr="51E91A07">
        <w:rPr>
          <w:rFonts w:eastAsia="Calibri"/>
        </w:rPr>
        <w:t xml:space="preserve">Export Control </w:t>
      </w:r>
      <w:r w:rsidR="0B3EB5C2" w:rsidRPr="51E91A07">
        <w:rPr>
          <w:rFonts w:eastAsia="Calibri"/>
        </w:rPr>
        <w:t>Dialogue on 6</w:t>
      </w:r>
      <w:r w:rsidR="00C94AFC" w:rsidRPr="51E91A07">
        <w:rPr>
          <w:rFonts w:eastAsia="Calibri"/>
        </w:rPr>
        <w:t> </w:t>
      </w:r>
      <w:r w:rsidR="0B3EB5C2" w:rsidRPr="51E91A07">
        <w:rPr>
          <w:rFonts w:eastAsia="Calibri"/>
        </w:rPr>
        <w:t>February 2024.</w:t>
      </w:r>
      <w:r w:rsidR="00C94AFC" w:rsidRPr="51E91A07">
        <w:rPr>
          <w:rFonts w:eastAsia="Calibri"/>
        </w:rPr>
        <w:t xml:space="preserve"> </w:t>
      </w:r>
      <w:r w:rsidRPr="51E91A07">
        <w:rPr>
          <w:rFonts w:eastAsia="Calibri"/>
        </w:rPr>
        <w:t xml:space="preserve">The parties discussed </w:t>
      </w:r>
      <w:r w:rsidR="002D51C3" w:rsidRPr="51E91A07">
        <w:rPr>
          <w:rFonts w:eastAsia="Calibri"/>
        </w:rPr>
        <w:t xml:space="preserve">the </w:t>
      </w:r>
      <w:r w:rsidR="09365F07" w:rsidRPr="51E91A07">
        <w:rPr>
          <w:rFonts w:eastAsia="Calibri"/>
        </w:rPr>
        <w:t xml:space="preserve">regulatory developments in the field of export controls, shared </w:t>
      </w:r>
      <w:r w:rsidR="002D51C3" w:rsidRPr="51E91A07">
        <w:rPr>
          <w:rFonts w:eastAsia="Calibri"/>
        </w:rPr>
        <w:t xml:space="preserve">their </w:t>
      </w:r>
      <w:r w:rsidR="09365F07" w:rsidRPr="51E91A07">
        <w:rPr>
          <w:rFonts w:eastAsia="Calibri"/>
        </w:rPr>
        <w:t>views on destinations of concern and discussed the sanctions against Russia.</w:t>
      </w:r>
      <w:r w:rsidR="410E4909" w:rsidRPr="51E91A07">
        <w:rPr>
          <w:rFonts w:eastAsia="Calibri"/>
        </w:rPr>
        <w:t xml:space="preserve"> Norway </w:t>
      </w:r>
      <w:r w:rsidR="666969DF" w:rsidRPr="51E91A07">
        <w:rPr>
          <w:rFonts w:eastAsia="Calibri"/>
        </w:rPr>
        <w:t xml:space="preserve">informed </w:t>
      </w:r>
      <w:r w:rsidR="002D51C3" w:rsidRPr="51E91A07">
        <w:rPr>
          <w:rFonts w:eastAsia="Calibri"/>
        </w:rPr>
        <w:t xml:space="preserve">the EU </w:t>
      </w:r>
      <w:r w:rsidR="666969DF" w:rsidRPr="51E91A07">
        <w:rPr>
          <w:rFonts w:eastAsia="Calibri"/>
        </w:rPr>
        <w:t>of</w:t>
      </w:r>
      <w:r w:rsidR="410E4909" w:rsidRPr="51E91A07">
        <w:rPr>
          <w:rFonts w:eastAsia="Calibri"/>
        </w:rPr>
        <w:t xml:space="preserve"> </w:t>
      </w:r>
      <w:r w:rsidR="002D51C3" w:rsidRPr="51E91A07">
        <w:rPr>
          <w:rFonts w:eastAsia="Calibri"/>
        </w:rPr>
        <w:t xml:space="preserve">its </w:t>
      </w:r>
      <w:r w:rsidR="410E4909" w:rsidRPr="51E91A07">
        <w:rPr>
          <w:rFonts w:eastAsia="Calibri"/>
        </w:rPr>
        <w:t xml:space="preserve">plans to establish a new </w:t>
      </w:r>
      <w:r w:rsidR="002D51C3" w:rsidRPr="51E91A07">
        <w:rPr>
          <w:rFonts w:eastAsia="Calibri"/>
        </w:rPr>
        <w:t>d</w:t>
      </w:r>
      <w:r w:rsidR="410E4909" w:rsidRPr="51E91A07">
        <w:rPr>
          <w:rFonts w:eastAsia="Calibri"/>
        </w:rPr>
        <w:t>epartment for export control and sanctions (</w:t>
      </w:r>
      <w:r w:rsidR="77CF6FDE" w:rsidRPr="51E91A07">
        <w:rPr>
          <w:rFonts w:eastAsia="Calibri"/>
        </w:rPr>
        <w:t>DEKSA</w:t>
      </w:r>
      <w:r w:rsidR="410E4909" w:rsidRPr="51E91A07">
        <w:rPr>
          <w:rFonts w:eastAsia="Calibri"/>
        </w:rPr>
        <w:t xml:space="preserve">) </w:t>
      </w:r>
      <w:r w:rsidR="002D51C3" w:rsidRPr="51E91A07">
        <w:rPr>
          <w:rFonts w:eastAsia="Calibri"/>
        </w:rPr>
        <w:t xml:space="preserve">which will be in </w:t>
      </w:r>
      <w:r w:rsidR="410E4909" w:rsidRPr="51E91A07">
        <w:rPr>
          <w:rFonts w:eastAsia="Calibri"/>
        </w:rPr>
        <w:t>charge of analysis, licensing and enforcement.</w:t>
      </w:r>
    </w:p>
    <w:bookmarkEnd w:id="4"/>
    <w:p w14:paraId="3B7D706F" w14:textId="3020C121" w:rsidR="00156969" w:rsidRPr="00C94AFC" w:rsidRDefault="5716157B" w:rsidP="3391EFF5">
      <w:pPr>
        <w:keepNext/>
        <w:spacing w:beforeAutospacing="1" w:after="120" w:afterAutospacing="1"/>
        <w:jc w:val="both"/>
        <w:rPr>
          <w:rFonts w:eastAsia="Times New Roman"/>
          <w:b/>
          <w:bCs/>
          <w:lang w:eastAsia="en-GB"/>
        </w:rPr>
      </w:pPr>
      <w:r w:rsidRPr="00C94AFC">
        <w:rPr>
          <w:rFonts w:eastAsia="Times New Roman"/>
          <w:b/>
          <w:bCs/>
          <w:lang w:eastAsia="en-GB"/>
        </w:rPr>
        <w:t>2.2</w:t>
      </w:r>
      <w:r w:rsidR="26A06BD4" w:rsidRPr="00C94AFC">
        <w:rPr>
          <w:rFonts w:eastAsia="Times New Roman"/>
          <w:b/>
          <w:bCs/>
          <w:lang w:eastAsia="en-GB"/>
        </w:rPr>
        <w:t>.</w:t>
      </w:r>
      <w:r w:rsidR="00AA655D" w:rsidRPr="00C94AFC">
        <w:tab/>
      </w:r>
      <w:r w:rsidR="11E00FBA" w:rsidRPr="00C94AFC">
        <w:rPr>
          <w:rFonts w:eastAsia="Times New Roman"/>
          <w:b/>
          <w:bCs/>
          <w:lang w:eastAsia="en-GB"/>
        </w:rPr>
        <w:t>Updates to the EU control list</w:t>
      </w:r>
      <w:bookmarkStart w:id="5" w:name="DQCNUMB_1"/>
      <w:bookmarkEnd w:id="3"/>
      <w:bookmarkEnd w:id="5"/>
    </w:p>
    <w:p w14:paraId="129117AB" w14:textId="12995267" w:rsidR="00A15CE5" w:rsidRPr="00C94AFC" w:rsidRDefault="5B5538B5" w:rsidP="00977FDF">
      <w:pPr>
        <w:spacing w:before="100" w:beforeAutospacing="1" w:after="100" w:afterAutospacing="1"/>
        <w:jc w:val="both"/>
        <w:rPr>
          <w:rFonts w:eastAsia="Times New Roman"/>
        </w:rPr>
      </w:pPr>
      <w:r w:rsidRPr="00C94AFC">
        <w:rPr>
          <w:rFonts w:eastAsia="Times New Roman"/>
        </w:rPr>
        <w:t xml:space="preserve">The EU </w:t>
      </w:r>
      <w:r w:rsidR="0091672C">
        <w:rPr>
          <w:rFonts w:eastAsia="Times New Roman"/>
        </w:rPr>
        <w:t>c</w:t>
      </w:r>
      <w:r w:rsidRPr="00C94AFC">
        <w:rPr>
          <w:rFonts w:eastAsia="Times New Roman"/>
        </w:rPr>
        <w:t xml:space="preserve">ontrol </w:t>
      </w:r>
      <w:r w:rsidR="0091672C">
        <w:rPr>
          <w:rFonts w:eastAsia="Times New Roman"/>
        </w:rPr>
        <w:t>l</w:t>
      </w:r>
      <w:r w:rsidRPr="00C94AFC">
        <w:rPr>
          <w:rFonts w:eastAsia="Times New Roman"/>
        </w:rPr>
        <w:t xml:space="preserve">ist in </w:t>
      </w:r>
      <w:r w:rsidR="62B8905C" w:rsidRPr="00C94AFC">
        <w:rPr>
          <w:rFonts w:eastAsia="Times New Roman"/>
        </w:rPr>
        <w:t xml:space="preserve">Annex I to the </w:t>
      </w:r>
      <w:r w:rsidR="62B8905C" w:rsidRPr="00C94AFC">
        <w:t>Regulation</w:t>
      </w:r>
      <w:r w:rsidR="0FE83987" w:rsidRPr="00C94AFC">
        <w:rPr>
          <w:rFonts w:eastAsia="Times New Roman"/>
        </w:rPr>
        <w:t xml:space="preserve"> essentially</w:t>
      </w:r>
      <w:r w:rsidR="62B8905C" w:rsidRPr="00C94AFC">
        <w:rPr>
          <w:rFonts w:eastAsia="Times New Roman"/>
        </w:rPr>
        <w:t xml:space="preserve"> </w:t>
      </w:r>
      <w:r w:rsidR="53B1ADD9" w:rsidRPr="00C94AFC">
        <w:rPr>
          <w:rFonts w:eastAsia="Times New Roman"/>
        </w:rPr>
        <w:t xml:space="preserve">provides a list of </w:t>
      </w:r>
      <w:r w:rsidR="07A33EE6" w:rsidRPr="00C94AFC">
        <w:rPr>
          <w:rFonts w:eastAsia="Times New Roman"/>
        </w:rPr>
        <w:t xml:space="preserve">dual-use items, including software and technology, which </w:t>
      </w:r>
      <w:r w:rsidR="1AB60DDC" w:rsidRPr="00C94AFC">
        <w:rPr>
          <w:rFonts w:eastAsia="Times New Roman"/>
        </w:rPr>
        <w:t>are</w:t>
      </w:r>
      <w:r w:rsidR="3A3A3881" w:rsidRPr="00C94AFC">
        <w:rPr>
          <w:rFonts w:eastAsia="Times New Roman"/>
        </w:rPr>
        <w:t xml:space="preserve"> subject to controls </w:t>
      </w:r>
      <w:r w:rsidR="00E30DBA">
        <w:rPr>
          <w:rFonts w:eastAsia="Times New Roman"/>
        </w:rPr>
        <w:t>due to</w:t>
      </w:r>
      <w:r w:rsidR="00E30DBA" w:rsidRPr="00C94AFC">
        <w:rPr>
          <w:rFonts w:eastAsia="Times New Roman"/>
        </w:rPr>
        <w:t xml:space="preserve"> </w:t>
      </w:r>
      <w:r w:rsidR="28E949F3" w:rsidRPr="00C94AFC">
        <w:rPr>
          <w:rFonts w:eastAsia="Times New Roman"/>
        </w:rPr>
        <w:t>their potential use</w:t>
      </w:r>
      <w:r w:rsidR="07A33EE6" w:rsidRPr="00C94AFC">
        <w:rPr>
          <w:rFonts w:eastAsia="Times New Roman"/>
        </w:rPr>
        <w:t xml:space="preserve"> for both civil and military purposes</w:t>
      </w:r>
      <w:r w:rsidR="0FE83987" w:rsidRPr="00C94AFC">
        <w:rPr>
          <w:rFonts w:eastAsia="Times New Roman"/>
        </w:rPr>
        <w:t>.</w:t>
      </w:r>
      <w:r w:rsidR="403F2405" w:rsidRPr="00C94AFC">
        <w:rPr>
          <w:rFonts w:eastAsia="Times New Roman"/>
        </w:rPr>
        <w:t xml:space="preserve"> </w:t>
      </w:r>
      <w:r w:rsidR="1AB60DDC" w:rsidRPr="00C94AFC">
        <w:rPr>
          <w:rFonts w:eastAsia="Times New Roman"/>
        </w:rPr>
        <w:t>The list</w:t>
      </w:r>
      <w:r w:rsidR="3A3A3881" w:rsidRPr="00C94AFC">
        <w:rPr>
          <w:rFonts w:eastAsia="Times New Roman"/>
        </w:rPr>
        <w:t xml:space="preserve"> is updated on a regular basis to reflect changes in the </w:t>
      </w:r>
      <w:r w:rsidR="00E30DBA">
        <w:rPr>
          <w:rFonts w:eastAsia="Times New Roman"/>
        </w:rPr>
        <w:t>m</w:t>
      </w:r>
      <w:r w:rsidR="3A3A3881" w:rsidRPr="00C94AFC">
        <w:rPr>
          <w:rFonts w:eastAsia="Times New Roman"/>
        </w:rPr>
        <w:t xml:space="preserve">ultilateral </w:t>
      </w:r>
      <w:r w:rsidR="00E30DBA">
        <w:rPr>
          <w:rFonts w:eastAsia="Times New Roman"/>
        </w:rPr>
        <w:t>e</w:t>
      </w:r>
      <w:r w:rsidR="3A3A3881" w:rsidRPr="00C94AFC">
        <w:rPr>
          <w:rFonts w:eastAsia="Times New Roman"/>
        </w:rPr>
        <w:t xml:space="preserve">xport </w:t>
      </w:r>
      <w:r w:rsidR="00E30DBA">
        <w:rPr>
          <w:rFonts w:eastAsia="Times New Roman"/>
        </w:rPr>
        <w:t>c</w:t>
      </w:r>
      <w:r w:rsidR="3A3A3881" w:rsidRPr="00C94AFC">
        <w:rPr>
          <w:rFonts w:eastAsia="Times New Roman"/>
        </w:rPr>
        <w:t xml:space="preserve">ontrol </w:t>
      </w:r>
      <w:r w:rsidR="00E30DBA">
        <w:rPr>
          <w:rFonts w:eastAsia="Times New Roman"/>
        </w:rPr>
        <w:t>r</w:t>
      </w:r>
      <w:r w:rsidR="3A3A3881" w:rsidRPr="00C94AFC">
        <w:rPr>
          <w:rFonts w:eastAsia="Times New Roman"/>
        </w:rPr>
        <w:t>egimes</w:t>
      </w:r>
      <w:r w:rsidR="00BF0D5E" w:rsidRPr="00C94AFC">
        <w:rPr>
          <w:rFonts w:eastAsia="Times New Roman"/>
        </w:rPr>
        <w:t xml:space="preserve"> i.e.</w:t>
      </w:r>
      <w:r w:rsidR="00C94AFC" w:rsidRPr="00C94AFC">
        <w:rPr>
          <w:rFonts w:eastAsia="Times New Roman"/>
        </w:rPr>
        <w:t xml:space="preserve"> </w:t>
      </w:r>
      <w:r w:rsidR="3E530943" w:rsidRPr="00C94AFC">
        <w:rPr>
          <w:rFonts w:eastAsia="Times New Roman"/>
        </w:rPr>
        <w:t xml:space="preserve">the Wassenaar </w:t>
      </w:r>
      <w:r w:rsidR="28E949F3" w:rsidRPr="00C94AFC">
        <w:rPr>
          <w:rFonts w:eastAsia="Times New Roman"/>
        </w:rPr>
        <w:t>Arrangement</w:t>
      </w:r>
      <w:r w:rsidR="68191340" w:rsidRPr="00C94AFC">
        <w:rPr>
          <w:rFonts w:eastAsia="Times New Roman"/>
        </w:rPr>
        <w:t>,</w:t>
      </w:r>
      <w:r w:rsidR="3E530943" w:rsidRPr="00C94AFC">
        <w:rPr>
          <w:rFonts w:eastAsia="Times New Roman"/>
        </w:rPr>
        <w:t xml:space="preserve"> the Australia Group</w:t>
      </w:r>
      <w:r w:rsidR="68191340" w:rsidRPr="00C94AFC">
        <w:rPr>
          <w:rFonts w:eastAsia="Times New Roman"/>
        </w:rPr>
        <w:t xml:space="preserve">, the Nuclear Suppliers Group and the Missile Technology Control </w:t>
      </w:r>
      <w:r w:rsidR="28E949F3" w:rsidRPr="00C94AFC">
        <w:rPr>
          <w:rFonts w:eastAsia="Times New Roman"/>
        </w:rPr>
        <w:t xml:space="preserve">Regime </w:t>
      </w:r>
      <w:r w:rsidR="68191340" w:rsidRPr="00C94AFC">
        <w:rPr>
          <w:rFonts w:eastAsia="Times New Roman"/>
        </w:rPr>
        <w:t>(MTCR</w:t>
      </w:r>
      <w:r w:rsidR="3E530943" w:rsidRPr="00C94AFC">
        <w:rPr>
          <w:rFonts w:eastAsia="Times New Roman"/>
        </w:rPr>
        <w:t>)</w:t>
      </w:r>
      <w:r w:rsidR="3A3A3881" w:rsidRPr="00C94AFC">
        <w:rPr>
          <w:rFonts w:eastAsia="Times New Roman"/>
        </w:rPr>
        <w:t>.</w:t>
      </w:r>
    </w:p>
    <w:p w14:paraId="077DBB7F" w14:textId="32A6BAC3" w:rsidR="00AA655D" w:rsidRPr="00C94AFC" w:rsidRDefault="7EC28C3B" w:rsidP="100A786D">
      <w:pPr>
        <w:spacing w:before="100" w:beforeAutospacing="1" w:after="100" w:afterAutospacing="1"/>
        <w:jc w:val="both"/>
        <w:rPr>
          <w:rFonts w:eastAsia="Times New Roman"/>
        </w:rPr>
      </w:pPr>
      <w:r w:rsidRPr="00C94AFC">
        <w:rPr>
          <w:rFonts w:eastAsia="Times New Roman"/>
        </w:rPr>
        <w:t>On 5</w:t>
      </w:r>
      <w:r w:rsidR="00C94AFC">
        <w:rPr>
          <w:rFonts w:eastAsia="Times New Roman"/>
        </w:rPr>
        <w:t> </w:t>
      </w:r>
      <w:r w:rsidRPr="00C94AFC">
        <w:rPr>
          <w:rFonts w:eastAsia="Times New Roman"/>
        </w:rPr>
        <w:t xml:space="preserve">September 2024, the Commission adopted </w:t>
      </w:r>
      <w:r w:rsidR="00E30DBA">
        <w:rPr>
          <w:rFonts w:eastAsia="Times New Roman"/>
        </w:rPr>
        <w:t>an</w:t>
      </w:r>
      <w:r w:rsidR="00E30DBA" w:rsidRPr="00C94AFC">
        <w:rPr>
          <w:rFonts w:eastAsia="Times New Roman"/>
        </w:rPr>
        <w:t xml:space="preserve"> </w:t>
      </w:r>
      <w:r w:rsidRPr="00C94AFC">
        <w:rPr>
          <w:rFonts w:eastAsia="Times New Roman"/>
        </w:rPr>
        <w:t>annual update to Annex I, which entered into force on 8</w:t>
      </w:r>
      <w:r w:rsidR="00C94AFC">
        <w:rPr>
          <w:rFonts w:eastAsia="Times New Roman"/>
        </w:rPr>
        <w:t> </w:t>
      </w:r>
      <w:r w:rsidRPr="00C94AFC">
        <w:rPr>
          <w:rFonts w:eastAsia="Times New Roman"/>
        </w:rPr>
        <w:t>November</w:t>
      </w:r>
      <w:r w:rsidR="002D63FF" w:rsidRPr="00C94AFC">
        <w:rPr>
          <w:rFonts w:eastAsia="Times New Roman"/>
        </w:rPr>
        <w:t xml:space="preserve"> 2024</w:t>
      </w:r>
      <w:r w:rsidR="256B8770" w:rsidRPr="00C94AFC">
        <w:rPr>
          <w:rFonts w:eastAsia="Times New Roman"/>
        </w:rPr>
        <w:t xml:space="preserve">, </w:t>
      </w:r>
      <w:r w:rsidR="7830EEE7" w:rsidRPr="00C94AFC">
        <w:rPr>
          <w:rFonts w:eastAsia="Times New Roman"/>
        </w:rPr>
        <w:t>bringing the EU’s Dual-Use Regulation in</w:t>
      </w:r>
      <w:r w:rsidR="00E30DBA">
        <w:rPr>
          <w:rFonts w:eastAsia="Times New Roman"/>
        </w:rPr>
        <w:t>to</w:t>
      </w:r>
      <w:r w:rsidR="7830EEE7" w:rsidRPr="00C94AFC">
        <w:rPr>
          <w:rFonts w:eastAsia="Times New Roman"/>
        </w:rPr>
        <w:t xml:space="preserve"> line with decisions</w:t>
      </w:r>
      <w:r w:rsidR="00F24F94" w:rsidRPr="00C94AFC">
        <w:rPr>
          <w:rFonts w:eastAsia="Times New Roman"/>
        </w:rPr>
        <w:t xml:space="preserve"> formally</w:t>
      </w:r>
      <w:r w:rsidR="7830EEE7" w:rsidRPr="00C94AFC">
        <w:rPr>
          <w:rFonts w:eastAsia="Times New Roman"/>
        </w:rPr>
        <w:t xml:space="preserve"> taken </w:t>
      </w:r>
      <w:r w:rsidR="0022000B">
        <w:rPr>
          <w:rFonts w:eastAsia="Times New Roman"/>
        </w:rPr>
        <w:t>as part of</w:t>
      </w:r>
      <w:r w:rsidR="7830EEE7" w:rsidRPr="00C94AFC">
        <w:rPr>
          <w:rFonts w:eastAsia="Times New Roman"/>
        </w:rPr>
        <w:t xml:space="preserve"> </w:t>
      </w:r>
      <w:r w:rsidR="00F24F94" w:rsidRPr="00C94AFC">
        <w:rPr>
          <w:rFonts w:eastAsia="Times New Roman"/>
        </w:rPr>
        <w:t xml:space="preserve">the multilateral </w:t>
      </w:r>
      <w:r w:rsidR="7830EEE7" w:rsidRPr="00C94AFC">
        <w:rPr>
          <w:rFonts w:eastAsia="Times New Roman"/>
        </w:rPr>
        <w:t xml:space="preserve">regimes </w:t>
      </w:r>
      <w:r w:rsidR="74F81C09" w:rsidRPr="00C94AFC">
        <w:rPr>
          <w:rFonts w:eastAsia="Times New Roman"/>
        </w:rPr>
        <w:t>in</w:t>
      </w:r>
      <w:r w:rsidR="7830EEE7" w:rsidRPr="00C94AFC">
        <w:rPr>
          <w:rFonts w:eastAsia="Times New Roman"/>
        </w:rPr>
        <w:t xml:space="preserve"> 202</w:t>
      </w:r>
      <w:r w:rsidR="501FF3D5" w:rsidRPr="00C94AFC">
        <w:rPr>
          <w:rFonts w:eastAsia="Times New Roman"/>
        </w:rPr>
        <w:t>3</w:t>
      </w:r>
      <w:r w:rsidR="008D1952" w:rsidRPr="00C94AFC">
        <w:rPr>
          <w:rStyle w:val="FootnoteReference"/>
          <w:rFonts w:eastAsia="Times New Roman"/>
        </w:rPr>
        <w:footnoteReference w:id="15"/>
      </w:r>
      <w:r w:rsidR="00C94AFC" w:rsidRPr="00C94AFC">
        <w:rPr>
          <w:rFonts w:eastAsia="Times New Roman"/>
        </w:rPr>
        <w:t>.</w:t>
      </w:r>
      <w:r w:rsidR="2E42AEEF" w:rsidRPr="00C94AFC">
        <w:rPr>
          <w:rFonts w:eastAsia="Times New Roman"/>
        </w:rPr>
        <w:t xml:space="preserve"> </w:t>
      </w:r>
      <w:r w:rsidR="7A20E5DC" w:rsidRPr="00C94AFC">
        <w:rPr>
          <w:rFonts w:eastAsia="Times New Roman"/>
        </w:rPr>
        <w:t>The updated list includes new entries in the field of</w:t>
      </w:r>
      <w:r w:rsidR="00E30DBA">
        <w:rPr>
          <w:rFonts w:eastAsia="Times New Roman"/>
        </w:rPr>
        <w:t xml:space="preserve"> nuclear</w:t>
      </w:r>
      <w:r w:rsidR="7A20E5DC" w:rsidRPr="00C94AFC">
        <w:rPr>
          <w:rFonts w:eastAsia="Times New Roman"/>
        </w:rPr>
        <w:t xml:space="preserve"> plants and equipment, </w:t>
      </w:r>
      <w:r w:rsidR="00F24F94" w:rsidRPr="00C94AFC">
        <w:rPr>
          <w:rFonts w:eastAsia="Times New Roman"/>
        </w:rPr>
        <w:t xml:space="preserve">as well as </w:t>
      </w:r>
      <w:r w:rsidR="7A20E5DC" w:rsidRPr="00C94AFC">
        <w:rPr>
          <w:rFonts w:eastAsia="Times New Roman"/>
        </w:rPr>
        <w:t>additional toxins</w:t>
      </w:r>
      <w:r w:rsidR="00E30DBA">
        <w:rPr>
          <w:rFonts w:eastAsia="Times New Roman"/>
        </w:rPr>
        <w:t>,</w:t>
      </w:r>
      <w:r w:rsidR="7A20E5DC" w:rsidRPr="00C94AFC">
        <w:rPr>
          <w:rFonts w:eastAsia="Times New Roman"/>
        </w:rPr>
        <w:t xml:space="preserve"> chemical precursors and </w:t>
      </w:r>
      <w:r w:rsidR="00E30DBA">
        <w:rPr>
          <w:rFonts w:eastAsia="Times New Roman"/>
        </w:rPr>
        <w:t xml:space="preserve">noise reduction </w:t>
      </w:r>
      <w:r w:rsidR="7A20E5DC" w:rsidRPr="00C94AFC">
        <w:rPr>
          <w:rFonts w:eastAsia="Times New Roman"/>
        </w:rPr>
        <w:t>equipment</w:t>
      </w:r>
      <w:r w:rsidR="38C6751A" w:rsidRPr="00C94AFC">
        <w:rPr>
          <w:rFonts w:eastAsia="Times New Roman"/>
        </w:rPr>
        <w:t>.</w:t>
      </w:r>
    </w:p>
    <w:p w14:paraId="65E9328F" w14:textId="0F1D9ECC" w:rsidR="00AA655D" w:rsidRPr="00C94AFC" w:rsidRDefault="5716157B" w:rsidP="3391EFF5">
      <w:pPr>
        <w:keepNext/>
        <w:spacing w:after="120"/>
        <w:rPr>
          <w:rFonts w:eastAsia="Times New Roman"/>
          <w:b/>
          <w:bCs/>
          <w:lang w:eastAsia="en-GB"/>
        </w:rPr>
      </w:pPr>
      <w:bookmarkStart w:id="6" w:name="_Toc368065773"/>
      <w:r w:rsidRPr="00C94AFC">
        <w:rPr>
          <w:rFonts w:eastAsia="Times New Roman"/>
          <w:b/>
          <w:bCs/>
          <w:lang w:eastAsia="en-GB"/>
        </w:rPr>
        <w:t>2.3</w:t>
      </w:r>
      <w:r w:rsidR="26A06BD4" w:rsidRPr="00C94AFC">
        <w:rPr>
          <w:rFonts w:eastAsia="Times New Roman"/>
          <w:b/>
          <w:bCs/>
          <w:lang w:eastAsia="en-GB"/>
        </w:rPr>
        <w:t>.</w:t>
      </w:r>
      <w:r w:rsidR="00AA655D" w:rsidRPr="00C94AFC">
        <w:tab/>
      </w:r>
      <w:r w:rsidRPr="00C94AFC">
        <w:rPr>
          <w:rFonts w:eastAsia="Times New Roman"/>
          <w:b/>
          <w:bCs/>
          <w:lang w:eastAsia="en-GB"/>
        </w:rPr>
        <w:t xml:space="preserve">National </w:t>
      </w:r>
      <w:r w:rsidR="7A1CB7EE" w:rsidRPr="00C94AFC">
        <w:rPr>
          <w:rFonts w:eastAsia="Times New Roman"/>
          <w:b/>
          <w:bCs/>
          <w:lang w:eastAsia="en-GB"/>
        </w:rPr>
        <w:t>implement</w:t>
      </w:r>
      <w:r w:rsidR="0F5B1E01" w:rsidRPr="00C94AFC">
        <w:rPr>
          <w:rFonts w:eastAsia="Times New Roman"/>
          <w:b/>
          <w:bCs/>
          <w:lang w:eastAsia="en-GB"/>
        </w:rPr>
        <w:t>at</w:t>
      </w:r>
      <w:r w:rsidR="7A1CB7EE" w:rsidRPr="00C94AFC">
        <w:rPr>
          <w:rFonts w:eastAsia="Times New Roman"/>
          <w:b/>
          <w:bCs/>
          <w:lang w:eastAsia="en-GB"/>
        </w:rPr>
        <w:t>ion</w:t>
      </w:r>
      <w:r w:rsidRPr="00C94AFC">
        <w:rPr>
          <w:rFonts w:eastAsia="Times New Roman"/>
          <w:b/>
          <w:bCs/>
          <w:lang w:eastAsia="en-GB"/>
        </w:rPr>
        <w:t xml:space="preserve"> and enforcement measures</w:t>
      </w:r>
      <w:bookmarkEnd w:id="6"/>
    </w:p>
    <w:p w14:paraId="6F03A2F7" w14:textId="58DF78B1" w:rsidR="00A3660F" w:rsidRPr="00C94AFC" w:rsidRDefault="20AC5349" w:rsidP="100A786D">
      <w:pPr>
        <w:spacing w:before="100" w:beforeAutospacing="1" w:after="100" w:afterAutospacing="1"/>
        <w:jc w:val="both"/>
        <w:rPr>
          <w:rFonts w:eastAsia="Times New Roman"/>
          <w:u w:val="single"/>
          <w:lang w:eastAsia="en-GB"/>
        </w:rPr>
      </w:pPr>
      <w:r w:rsidRPr="00C94AFC">
        <w:rPr>
          <w:rFonts w:eastAsia="Times New Roman"/>
          <w:lang w:eastAsia="en-GB"/>
        </w:rPr>
        <w:t xml:space="preserve">The </w:t>
      </w:r>
      <w:r w:rsidR="0DFE7E45" w:rsidRPr="00C94AFC">
        <w:rPr>
          <w:rFonts w:eastAsia="Times New Roman"/>
          <w:lang w:eastAsia="en-GB"/>
        </w:rPr>
        <w:t xml:space="preserve">Dual-Use </w:t>
      </w:r>
      <w:r w:rsidRPr="00C94AFC">
        <w:rPr>
          <w:rFonts w:eastAsia="Times New Roman"/>
          <w:lang w:eastAsia="en-GB"/>
        </w:rPr>
        <w:t xml:space="preserve">Regulation is binding in its entirety and </w:t>
      </w:r>
      <w:r w:rsidRPr="00C94AFC">
        <w:t>directly</w:t>
      </w:r>
      <w:r w:rsidRPr="00C94AFC">
        <w:rPr>
          <w:rFonts w:eastAsia="Times New Roman"/>
          <w:lang w:eastAsia="en-GB"/>
        </w:rPr>
        <w:t xml:space="preserve"> applicable in all Member States</w:t>
      </w:r>
      <w:r w:rsidR="27FF5392" w:rsidRPr="00C94AFC">
        <w:rPr>
          <w:rFonts w:eastAsia="Times New Roman"/>
          <w:lang w:eastAsia="en-GB"/>
        </w:rPr>
        <w:t xml:space="preserve">. </w:t>
      </w:r>
      <w:r w:rsidR="00C538BF" w:rsidRPr="00C94AFC">
        <w:rPr>
          <w:rFonts w:eastAsia="Times New Roman"/>
          <w:lang w:eastAsia="en-GB"/>
        </w:rPr>
        <w:t xml:space="preserve">It </w:t>
      </w:r>
      <w:r w:rsidR="00BC2FD9">
        <w:rPr>
          <w:rFonts w:eastAsia="Times New Roman"/>
          <w:lang w:eastAsia="en-GB"/>
        </w:rPr>
        <w:t>includes</w:t>
      </w:r>
      <w:r w:rsidR="00C538BF" w:rsidRPr="00C94AFC">
        <w:rPr>
          <w:rFonts w:eastAsia="Times New Roman"/>
          <w:lang w:eastAsia="en-GB"/>
        </w:rPr>
        <w:t xml:space="preserve">, </w:t>
      </w:r>
      <w:r w:rsidR="002D48C3" w:rsidRPr="00C94AFC">
        <w:rPr>
          <w:rFonts w:eastAsia="Times New Roman"/>
          <w:lang w:eastAsia="en-GB"/>
        </w:rPr>
        <w:t xml:space="preserve">in its Annex </w:t>
      </w:r>
      <w:r w:rsidR="00083BE7" w:rsidRPr="00C94AFC">
        <w:rPr>
          <w:rFonts w:eastAsia="Times New Roman"/>
          <w:lang w:eastAsia="en-GB"/>
        </w:rPr>
        <w:t>I</w:t>
      </w:r>
      <w:r w:rsidR="00C538BF" w:rsidRPr="00C94AFC">
        <w:rPr>
          <w:rFonts w:eastAsia="Times New Roman"/>
          <w:lang w:eastAsia="en-GB"/>
        </w:rPr>
        <w:t xml:space="preserve">, </w:t>
      </w:r>
      <w:r w:rsidR="00BC2FD9">
        <w:rPr>
          <w:rFonts w:eastAsia="Times New Roman"/>
          <w:lang w:eastAsia="en-GB"/>
        </w:rPr>
        <w:t>a</w:t>
      </w:r>
      <w:r w:rsidR="00BC2FD9" w:rsidRPr="00C94AFC">
        <w:rPr>
          <w:rFonts w:eastAsia="Times New Roman"/>
          <w:lang w:eastAsia="en-GB"/>
        </w:rPr>
        <w:t xml:space="preserve"> </w:t>
      </w:r>
      <w:r w:rsidR="00C538BF" w:rsidRPr="00C94AFC">
        <w:rPr>
          <w:rFonts w:eastAsia="Times New Roman"/>
          <w:lang w:eastAsia="en-GB"/>
        </w:rPr>
        <w:t xml:space="preserve">common list of items derived from the </w:t>
      </w:r>
      <w:r w:rsidR="00000055">
        <w:rPr>
          <w:rFonts w:eastAsia="Times New Roman"/>
          <w:lang w:eastAsia="en-GB"/>
        </w:rPr>
        <w:t>m</w:t>
      </w:r>
      <w:r w:rsidR="00C538BF" w:rsidRPr="00C94AFC">
        <w:rPr>
          <w:rFonts w:eastAsia="Times New Roman"/>
          <w:lang w:eastAsia="en-GB"/>
        </w:rPr>
        <w:t xml:space="preserve">ultilateral </w:t>
      </w:r>
      <w:r w:rsidR="00000055">
        <w:rPr>
          <w:rFonts w:eastAsia="Times New Roman"/>
          <w:lang w:eastAsia="en-GB"/>
        </w:rPr>
        <w:t>e</w:t>
      </w:r>
      <w:r w:rsidR="00C538BF" w:rsidRPr="00C94AFC">
        <w:rPr>
          <w:rFonts w:eastAsia="Times New Roman"/>
          <w:lang w:eastAsia="en-GB"/>
        </w:rPr>
        <w:t xml:space="preserve">xport </w:t>
      </w:r>
      <w:r w:rsidR="00000055">
        <w:rPr>
          <w:rFonts w:eastAsia="Times New Roman"/>
          <w:lang w:eastAsia="en-GB"/>
        </w:rPr>
        <w:t>c</w:t>
      </w:r>
      <w:r w:rsidR="00C538BF" w:rsidRPr="00C94AFC">
        <w:rPr>
          <w:rFonts w:eastAsia="Times New Roman"/>
          <w:lang w:eastAsia="en-GB"/>
        </w:rPr>
        <w:t xml:space="preserve">ontrol </w:t>
      </w:r>
      <w:r w:rsidR="00000055">
        <w:rPr>
          <w:rFonts w:eastAsia="Times New Roman"/>
          <w:lang w:eastAsia="en-GB"/>
        </w:rPr>
        <w:t>r</w:t>
      </w:r>
      <w:r w:rsidR="00C538BF" w:rsidRPr="00C94AFC">
        <w:rPr>
          <w:rFonts w:eastAsia="Times New Roman"/>
          <w:lang w:eastAsia="en-GB"/>
        </w:rPr>
        <w:t xml:space="preserve">egimes that must be subject to controls in all Member States. </w:t>
      </w:r>
      <w:r w:rsidR="27FF5392" w:rsidRPr="00C94AFC">
        <w:rPr>
          <w:rFonts w:eastAsia="Times New Roman"/>
          <w:lang w:eastAsia="en-GB"/>
        </w:rPr>
        <w:t>However</w:t>
      </w:r>
      <w:r w:rsidRPr="00C94AFC">
        <w:rPr>
          <w:rFonts w:eastAsia="Times New Roman"/>
          <w:lang w:eastAsia="en-GB"/>
        </w:rPr>
        <w:t xml:space="preserve">, </w:t>
      </w:r>
      <w:r w:rsidR="27FF5392" w:rsidRPr="00C94AFC">
        <w:rPr>
          <w:rFonts w:eastAsia="Times New Roman"/>
          <w:lang w:eastAsia="en-GB"/>
        </w:rPr>
        <w:t xml:space="preserve">it </w:t>
      </w:r>
      <w:r w:rsidRPr="00C94AFC">
        <w:rPr>
          <w:rFonts w:eastAsia="Times New Roman"/>
          <w:lang w:eastAsia="en-GB"/>
        </w:rPr>
        <w:t xml:space="preserve">provides that Member States </w:t>
      </w:r>
      <w:r w:rsidR="082DC4B1" w:rsidRPr="00C94AFC">
        <w:rPr>
          <w:rFonts w:eastAsia="Times New Roman"/>
          <w:lang w:eastAsia="en-GB"/>
        </w:rPr>
        <w:t xml:space="preserve">may </w:t>
      </w:r>
      <w:r w:rsidRPr="00C94AFC">
        <w:rPr>
          <w:rFonts w:eastAsia="Times New Roman"/>
          <w:lang w:eastAsia="en-GB"/>
        </w:rPr>
        <w:t xml:space="preserve">take certain </w:t>
      </w:r>
      <w:r w:rsidR="00F24F94" w:rsidRPr="00C94AFC">
        <w:rPr>
          <w:rFonts w:eastAsia="Times New Roman"/>
          <w:lang w:eastAsia="en-GB"/>
        </w:rPr>
        <w:t xml:space="preserve">national </w:t>
      </w:r>
      <w:r w:rsidRPr="00C94AFC">
        <w:rPr>
          <w:rFonts w:eastAsia="Times New Roman"/>
          <w:lang w:eastAsia="en-GB"/>
        </w:rPr>
        <w:t xml:space="preserve">measures </w:t>
      </w:r>
      <w:r w:rsidR="00BC2FD9">
        <w:rPr>
          <w:rFonts w:eastAsia="Times New Roman"/>
          <w:lang w:eastAsia="en-GB"/>
        </w:rPr>
        <w:t>to</w:t>
      </w:r>
      <w:r w:rsidRPr="00C94AFC">
        <w:rPr>
          <w:rFonts w:eastAsia="Times New Roman"/>
          <w:lang w:eastAsia="en-GB"/>
        </w:rPr>
        <w:t xml:space="preserve"> implement specific provisions</w:t>
      </w:r>
      <w:r w:rsidR="00BC2FD9">
        <w:rPr>
          <w:rFonts w:eastAsia="Times New Roman"/>
          <w:lang w:eastAsia="en-GB"/>
        </w:rPr>
        <w:t xml:space="preserve"> of the Regulation</w:t>
      </w:r>
      <w:r w:rsidR="2D8711C7" w:rsidRPr="00C94AFC">
        <w:rPr>
          <w:rFonts w:eastAsia="Times New Roman"/>
          <w:lang w:eastAsia="en-GB"/>
        </w:rPr>
        <w:t>, and</w:t>
      </w:r>
      <w:r w:rsidR="0490ABA2" w:rsidRPr="00C94AFC">
        <w:rPr>
          <w:rFonts w:eastAsia="Times New Roman"/>
          <w:lang w:eastAsia="en-GB"/>
        </w:rPr>
        <w:t xml:space="preserve"> </w:t>
      </w:r>
      <w:r w:rsidR="00000055">
        <w:rPr>
          <w:rFonts w:eastAsia="Times New Roman"/>
          <w:lang w:eastAsia="en-GB"/>
        </w:rPr>
        <w:t xml:space="preserve">it </w:t>
      </w:r>
      <w:r w:rsidR="0490ABA2" w:rsidRPr="00C94AFC">
        <w:rPr>
          <w:rFonts w:eastAsia="Times New Roman"/>
          <w:lang w:eastAsia="en-GB"/>
        </w:rPr>
        <w:t xml:space="preserve">requires </w:t>
      </w:r>
      <w:r w:rsidRPr="00C94AFC">
        <w:rPr>
          <w:rFonts w:eastAsia="Times New Roman"/>
          <w:lang w:eastAsia="en-GB"/>
        </w:rPr>
        <w:t xml:space="preserve">information on </w:t>
      </w:r>
      <w:r w:rsidR="00F43C98" w:rsidRPr="00C94AFC">
        <w:rPr>
          <w:rFonts w:eastAsia="Times New Roman"/>
          <w:lang w:eastAsia="en-GB"/>
        </w:rPr>
        <w:t xml:space="preserve">such </w:t>
      </w:r>
      <w:r w:rsidR="106CECED" w:rsidRPr="00C94AFC">
        <w:rPr>
          <w:rFonts w:eastAsia="Times New Roman"/>
          <w:lang w:eastAsia="en-GB"/>
        </w:rPr>
        <w:t xml:space="preserve">national </w:t>
      </w:r>
      <w:r w:rsidRPr="00C94AFC">
        <w:rPr>
          <w:rFonts w:eastAsia="Times New Roman"/>
          <w:lang w:eastAsia="en-GB"/>
        </w:rPr>
        <w:t xml:space="preserve">measures </w:t>
      </w:r>
      <w:r w:rsidR="0DFE7E45" w:rsidRPr="00C94AFC">
        <w:rPr>
          <w:rFonts w:eastAsia="Times New Roman"/>
          <w:lang w:eastAsia="en-GB"/>
        </w:rPr>
        <w:t xml:space="preserve">to be </w:t>
      </w:r>
      <w:r w:rsidRPr="00C94AFC">
        <w:rPr>
          <w:rFonts w:eastAsia="Times New Roman"/>
          <w:lang w:eastAsia="en-GB"/>
        </w:rPr>
        <w:t xml:space="preserve">published </w:t>
      </w:r>
      <w:r w:rsidR="037A4F51" w:rsidRPr="00C94AFC">
        <w:rPr>
          <w:rFonts w:eastAsia="Times New Roman"/>
          <w:lang w:eastAsia="en-GB"/>
        </w:rPr>
        <w:t xml:space="preserve">by the Commission </w:t>
      </w:r>
      <w:r w:rsidRPr="00C94AFC">
        <w:rPr>
          <w:rFonts w:eastAsia="Times New Roman"/>
          <w:lang w:eastAsia="en-GB"/>
        </w:rPr>
        <w:t>in the Official Journal of the European Union</w:t>
      </w:r>
      <w:r w:rsidR="106CECED" w:rsidRPr="00C94AFC">
        <w:rPr>
          <w:rFonts w:eastAsia="Times New Roman"/>
          <w:lang w:eastAsia="en-GB"/>
        </w:rPr>
        <w:t xml:space="preserve">. </w:t>
      </w:r>
      <w:r w:rsidR="4B78AF0A" w:rsidRPr="00C94AFC">
        <w:rPr>
          <w:rFonts w:eastAsia="Times New Roman"/>
          <w:lang w:eastAsia="en-GB"/>
        </w:rPr>
        <w:t xml:space="preserve">The publication ensures </w:t>
      </w:r>
      <w:r w:rsidR="4B78AF0A" w:rsidRPr="00C94AFC">
        <w:rPr>
          <w:rFonts w:eastAsia="Times New Roman"/>
          <w:lang w:eastAsia="en-GB"/>
        </w:rPr>
        <w:lastRenderedPageBreak/>
        <w:t>transparency of</w:t>
      </w:r>
      <w:r w:rsidR="005F495C">
        <w:rPr>
          <w:rFonts w:eastAsia="Times New Roman"/>
          <w:lang w:eastAsia="en-GB"/>
        </w:rPr>
        <w:t xml:space="preserve"> the</w:t>
      </w:r>
      <w:r w:rsidR="4B78AF0A" w:rsidRPr="00C94AFC">
        <w:rPr>
          <w:rFonts w:eastAsia="Times New Roman"/>
          <w:lang w:eastAsia="en-GB"/>
        </w:rPr>
        <w:t xml:space="preserve"> applicable rules and reflect</w:t>
      </w:r>
      <w:r w:rsidR="3A80244E" w:rsidRPr="00C94AFC">
        <w:rPr>
          <w:rFonts w:eastAsia="Times New Roman"/>
          <w:lang w:eastAsia="en-GB"/>
        </w:rPr>
        <w:t>s</w:t>
      </w:r>
      <w:r w:rsidR="4B78AF0A" w:rsidRPr="00C94AFC">
        <w:rPr>
          <w:rFonts w:eastAsia="Times New Roman"/>
          <w:lang w:eastAsia="en-GB"/>
        </w:rPr>
        <w:t xml:space="preserve"> the EU</w:t>
      </w:r>
      <w:r w:rsidR="00C94AFC">
        <w:rPr>
          <w:rFonts w:eastAsia="Times New Roman"/>
          <w:lang w:eastAsia="en-GB"/>
        </w:rPr>
        <w:t>’</w:t>
      </w:r>
      <w:r w:rsidR="4B78AF0A" w:rsidRPr="00C94AFC">
        <w:rPr>
          <w:rFonts w:eastAsia="Times New Roman"/>
          <w:lang w:eastAsia="en-GB"/>
        </w:rPr>
        <w:t>s efforts to support the consistent and effective implementation of controls by exporters throughout the EU.</w:t>
      </w:r>
    </w:p>
    <w:p w14:paraId="6A86A568" w14:textId="054BE6F1" w:rsidR="00A3660F" w:rsidRPr="00C94AFC" w:rsidRDefault="3BCBB61A" w:rsidP="100A786D">
      <w:pPr>
        <w:spacing w:before="100" w:beforeAutospacing="1" w:after="100" w:afterAutospacing="1"/>
        <w:jc w:val="both"/>
        <w:rPr>
          <w:rFonts w:eastAsia="Times New Roman"/>
          <w:lang w:eastAsia="en-GB"/>
        </w:rPr>
      </w:pPr>
      <w:r w:rsidRPr="00C94AFC">
        <w:rPr>
          <w:rFonts w:eastAsia="Times New Roman"/>
          <w:lang w:eastAsia="en-GB"/>
        </w:rPr>
        <w:t>The</w:t>
      </w:r>
      <w:r w:rsidR="20AC5349" w:rsidRPr="00C94AFC">
        <w:rPr>
          <w:rFonts w:eastAsia="Times New Roman"/>
          <w:lang w:eastAsia="en-GB"/>
        </w:rPr>
        <w:t xml:space="preserve"> Information Note</w:t>
      </w:r>
      <w:r w:rsidR="6DF200B1" w:rsidRPr="00C94AFC">
        <w:rPr>
          <w:rFonts w:eastAsia="Times New Roman"/>
          <w:lang w:eastAsia="en-GB"/>
        </w:rPr>
        <w:t xml:space="preserve"> </w:t>
      </w:r>
      <w:r w:rsidR="479D19AF" w:rsidRPr="00C94AFC">
        <w:rPr>
          <w:rFonts w:eastAsia="Times New Roman"/>
          <w:lang w:eastAsia="en-GB"/>
        </w:rPr>
        <w:t xml:space="preserve">published </w:t>
      </w:r>
      <w:r w:rsidR="6DF200B1" w:rsidRPr="00C94AFC">
        <w:rPr>
          <w:rFonts w:eastAsia="Times New Roman"/>
          <w:lang w:eastAsia="en-GB"/>
        </w:rPr>
        <w:t xml:space="preserve">on </w:t>
      </w:r>
      <w:r w:rsidR="5B1DE497" w:rsidRPr="00C94AFC">
        <w:rPr>
          <w:rFonts w:eastAsia="Times New Roman"/>
          <w:lang w:eastAsia="en-GB"/>
        </w:rPr>
        <w:t>2</w:t>
      </w:r>
      <w:r w:rsidR="00C94AFC">
        <w:rPr>
          <w:rFonts w:eastAsia="Times New Roman"/>
          <w:lang w:eastAsia="en-GB"/>
        </w:rPr>
        <w:t> </w:t>
      </w:r>
      <w:r w:rsidR="5B1DE497" w:rsidRPr="00C94AFC">
        <w:rPr>
          <w:rFonts w:eastAsia="Times New Roman"/>
          <w:lang w:eastAsia="en-GB"/>
        </w:rPr>
        <w:t>October 2024</w:t>
      </w:r>
      <w:r w:rsidR="00DD405C" w:rsidRPr="00C94AFC">
        <w:rPr>
          <w:rStyle w:val="FootnoteReference"/>
          <w:rFonts w:eastAsia="Times New Roman"/>
          <w:lang w:eastAsia="en-GB"/>
        </w:rPr>
        <w:footnoteReference w:id="16"/>
      </w:r>
      <w:r w:rsidR="238EC982" w:rsidRPr="00C94AFC">
        <w:rPr>
          <w:rFonts w:eastAsia="Times New Roman"/>
          <w:lang w:eastAsia="en-GB"/>
        </w:rPr>
        <w:t xml:space="preserve"> </w:t>
      </w:r>
      <w:r w:rsidR="00A64C45" w:rsidRPr="00C94AFC">
        <w:rPr>
          <w:rFonts w:eastAsia="Times New Roman"/>
          <w:lang w:eastAsia="en-GB"/>
        </w:rPr>
        <w:t>provided information from Me</w:t>
      </w:r>
      <w:r w:rsidR="00845903" w:rsidRPr="00C94AFC">
        <w:rPr>
          <w:rFonts w:eastAsia="Times New Roman"/>
          <w:lang w:eastAsia="en-GB"/>
        </w:rPr>
        <w:t>m</w:t>
      </w:r>
      <w:r w:rsidR="00A64C45" w:rsidRPr="00C94AFC">
        <w:rPr>
          <w:rFonts w:eastAsia="Times New Roman"/>
          <w:lang w:eastAsia="en-GB"/>
        </w:rPr>
        <w:t>ber States about</w:t>
      </w:r>
      <w:r w:rsidR="00A64C45" w:rsidRPr="00C94AFC" w:rsidDel="0E8D4779">
        <w:rPr>
          <w:rFonts w:eastAsia="Times New Roman"/>
          <w:lang w:eastAsia="en-GB"/>
        </w:rPr>
        <w:t xml:space="preserve"> </w:t>
      </w:r>
      <w:r w:rsidR="005F495C">
        <w:rPr>
          <w:rFonts w:eastAsia="Times New Roman"/>
          <w:lang w:eastAsia="en-GB"/>
        </w:rPr>
        <w:t>how they make use of</w:t>
      </w:r>
      <w:r w:rsidR="00845903" w:rsidRPr="00C94AFC">
        <w:rPr>
          <w:rFonts w:eastAsia="Times New Roman"/>
          <w:lang w:eastAsia="en-GB"/>
        </w:rPr>
        <w:t xml:space="preserve"> the possibilities provided for in the Regulation including </w:t>
      </w:r>
      <w:r w:rsidR="20AC5349" w:rsidRPr="00C94AFC">
        <w:rPr>
          <w:rFonts w:eastAsia="Times New Roman"/>
          <w:lang w:eastAsia="en-GB"/>
        </w:rPr>
        <w:t xml:space="preserve">the extension of brokering and transit controls, the extension of controls to non-listed items for reasons of public security and human rights considerations, the introduction of national general export authorisations </w:t>
      </w:r>
      <w:r w:rsidR="4BE83225" w:rsidRPr="00C94AFC">
        <w:rPr>
          <w:rFonts w:eastAsia="Times New Roman"/>
          <w:lang w:eastAsia="en-GB"/>
        </w:rPr>
        <w:t xml:space="preserve">and </w:t>
      </w:r>
      <w:r w:rsidR="20AC5349" w:rsidRPr="00C94AFC">
        <w:rPr>
          <w:rFonts w:eastAsia="Times New Roman"/>
          <w:lang w:eastAsia="en-GB"/>
        </w:rPr>
        <w:t>the application of intra-EU transfer controls for non-listed items.</w:t>
      </w:r>
    </w:p>
    <w:p w14:paraId="69AE62D3" w14:textId="12484E20" w:rsidR="00933503" w:rsidRPr="00C94AFC" w:rsidRDefault="00933503" w:rsidP="00B50753">
      <w:pPr>
        <w:keepNext/>
        <w:tabs>
          <w:tab w:val="left" w:pos="850"/>
        </w:tabs>
        <w:spacing w:after="120"/>
        <w:ind w:left="850" w:hanging="850"/>
        <w:jc w:val="both"/>
        <w:outlineLvl w:val="1"/>
        <w:rPr>
          <w:rFonts w:eastAsia="Times New Roman"/>
          <w:b/>
          <w:lang w:eastAsia="en-GB"/>
        </w:rPr>
      </w:pPr>
      <w:r w:rsidRPr="00C94AFC">
        <w:rPr>
          <w:rFonts w:eastAsia="Times New Roman"/>
          <w:b/>
          <w:lang w:eastAsia="en-GB"/>
        </w:rPr>
        <w:t>2.4</w:t>
      </w:r>
      <w:r w:rsidR="00C427D2" w:rsidRPr="00C94AFC">
        <w:rPr>
          <w:rFonts w:eastAsia="Times New Roman"/>
          <w:b/>
          <w:lang w:eastAsia="en-GB"/>
        </w:rPr>
        <w:tab/>
      </w:r>
      <w:r w:rsidRPr="00C94AFC">
        <w:rPr>
          <w:rFonts w:eastAsia="Times New Roman"/>
          <w:b/>
          <w:lang w:eastAsia="en-GB"/>
        </w:rPr>
        <w:t>Exports from Northern Ireland</w:t>
      </w:r>
    </w:p>
    <w:p w14:paraId="337859EB" w14:textId="2E727DB1" w:rsidR="00933503" w:rsidRPr="00C94AFC" w:rsidRDefault="5545462D" w:rsidP="49F47F3A">
      <w:pPr>
        <w:spacing w:before="100" w:beforeAutospacing="1" w:after="100" w:afterAutospacing="1"/>
        <w:jc w:val="both"/>
        <w:rPr>
          <w:rFonts w:eastAsia="Times New Roman"/>
          <w:lang w:eastAsia="en-GB"/>
        </w:rPr>
      </w:pPr>
      <w:r w:rsidRPr="00C94AFC">
        <w:rPr>
          <w:rFonts w:eastAsia="Times New Roman"/>
          <w:lang w:eastAsia="en-GB"/>
        </w:rPr>
        <w:t>Exports of dual-use items from the EU to the U</w:t>
      </w:r>
      <w:r w:rsidR="5C7C016D" w:rsidRPr="00C94AFC">
        <w:rPr>
          <w:rFonts w:eastAsia="Times New Roman"/>
          <w:lang w:eastAsia="en-GB"/>
        </w:rPr>
        <w:t>nited Kingdom</w:t>
      </w:r>
      <w:r w:rsidRPr="00C94AFC">
        <w:rPr>
          <w:rFonts w:eastAsia="Times New Roman"/>
          <w:lang w:eastAsia="en-GB"/>
        </w:rPr>
        <w:t xml:space="preserve"> became subject to control under the Regulation</w:t>
      </w:r>
      <w:r w:rsidR="47D4C5A3" w:rsidRPr="00C94AFC">
        <w:rPr>
          <w:rFonts w:eastAsia="Times New Roman"/>
          <w:lang w:eastAsia="en-GB"/>
        </w:rPr>
        <w:t xml:space="preserve"> </w:t>
      </w:r>
      <w:r w:rsidR="00CF5C6F" w:rsidRPr="49F47F3A">
        <w:rPr>
          <w:rFonts w:eastAsia="Times New Roman"/>
          <w:lang w:eastAsia="en-GB"/>
        </w:rPr>
        <w:t>after</w:t>
      </w:r>
      <w:r w:rsidR="005F495C" w:rsidRPr="49F47F3A">
        <w:rPr>
          <w:rFonts w:eastAsia="Times New Roman"/>
          <w:lang w:eastAsia="en-GB"/>
        </w:rPr>
        <w:t xml:space="preserve"> </w:t>
      </w:r>
      <w:r w:rsidR="2C663AC2" w:rsidRPr="00C94AFC">
        <w:rPr>
          <w:rFonts w:eastAsia="Times New Roman"/>
          <w:lang w:eastAsia="en-GB"/>
        </w:rPr>
        <w:t>the U</w:t>
      </w:r>
      <w:r w:rsidR="12CA4DA0" w:rsidRPr="00C94AFC">
        <w:rPr>
          <w:rFonts w:eastAsia="Times New Roman"/>
          <w:lang w:eastAsia="en-GB"/>
        </w:rPr>
        <w:t>nited Kingdom</w:t>
      </w:r>
      <w:r w:rsidR="2C663AC2" w:rsidRPr="00C94AFC">
        <w:rPr>
          <w:rFonts w:eastAsia="Times New Roman"/>
          <w:lang w:eastAsia="en-GB"/>
        </w:rPr>
        <w:t xml:space="preserve">’s departure from the </w:t>
      </w:r>
      <w:r w:rsidR="005F495C" w:rsidRPr="49F47F3A">
        <w:rPr>
          <w:rFonts w:eastAsia="Times New Roman"/>
          <w:lang w:eastAsia="en-GB"/>
        </w:rPr>
        <w:t xml:space="preserve">European </w:t>
      </w:r>
      <w:r w:rsidR="2C663AC2" w:rsidRPr="00C94AFC">
        <w:rPr>
          <w:rFonts w:eastAsia="Times New Roman"/>
          <w:lang w:eastAsia="en-GB"/>
        </w:rPr>
        <w:t xml:space="preserve">Union </w:t>
      </w:r>
      <w:r w:rsidR="47D4C5A3" w:rsidRPr="00C94AFC">
        <w:rPr>
          <w:rFonts w:eastAsia="Times New Roman"/>
          <w:lang w:eastAsia="en-GB"/>
        </w:rPr>
        <w:t>on 1</w:t>
      </w:r>
      <w:r w:rsidR="00C94AFC" w:rsidRPr="49F47F3A">
        <w:rPr>
          <w:rFonts w:eastAsia="Times New Roman"/>
          <w:lang w:eastAsia="en-GB"/>
        </w:rPr>
        <w:t> </w:t>
      </w:r>
      <w:r w:rsidR="47D4C5A3" w:rsidRPr="00C94AFC">
        <w:rPr>
          <w:rFonts w:eastAsia="Times New Roman"/>
          <w:lang w:eastAsia="en-GB"/>
        </w:rPr>
        <w:t>January 202</w:t>
      </w:r>
      <w:r w:rsidR="64396045" w:rsidRPr="00C94AFC">
        <w:rPr>
          <w:rFonts w:eastAsia="Times New Roman"/>
          <w:lang w:eastAsia="en-GB"/>
        </w:rPr>
        <w:t>1</w:t>
      </w:r>
      <w:r w:rsidR="00F9708F" w:rsidRPr="00C94AFC">
        <w:rPr>
          <w:rStyle w:val="FootnoteReference"/>
          <w:rFonts w:eastAsia="Times New Roman"/>
          <w:lang w:eastAsia="en-GB"/>
        </w:rPr>
        <w:footnoteReference w:id="17"/>
      </w:r>
      <w:r w:rsidR="00C94AFC" w:rsidRPr="49F47F3A">
        <w:rPr>
          <w:rFonts w:eastAsia="Times New Roman"/>
          <w:lang w:eastAsia="en-GB"/>
        </w:rPr>
        <w:t>.</w:t>
      </w:r>
      <w:r w:rsidR="00C538BF" w:rsidRPr="00C94AFC">
        <w:rPr>
          <w:rFonts w:eastAsia="Times New Roman"/>
          <w:lang w:eastAsia="en-GB"/>
        </w:rPr>
        <w:t xml:space="preserve"> </w:t>
      </w:r>
      <w:r w:rsidRPr="00C94AFC">
        <w:rPr>
          <w:rFonts w:eastAsia="Times New Roman"/>
          <w:lang w:eastAsia="en-GB"/>
        </w:rPr>
        <w:t xml:space="preserve">Specific arrangements </w:t>
      </w:r>
      <w:r w:rsidR="0FB96EC8" w:rsidRPr="00C94AFC">
        <w:rPr>
          <w:rFonts w:eastAsia="Times New Roman"/>
          <w:lang w:eastAsia="en-GB"/>
        </w:rPr>
        <w:t>are</w:t>
      </w:r>
      <w:r w:rsidRPr="00C94AFC">
        <w:rPr>
          <w:rFonts w:eastAsia="Times New Roman"/>
          <w:lang w:eastAsia="en-GB"/>
        </w:rPr>
        <w:t xml:space="preserve"> </w:t>
      </w:r>
      <w:r w:rsidR="0FB96EC8" w:rsidRPr="00C94AFC">
        <w:rPr>
          <w:rFonts w:eastAsia="Times New Roman"/>
          <w:lang w:eastAsia="en-GB"/>
        </w:rPr>
        <w:t xml:space="preserve">set forth in </w:t>
      </w:r>
      <w:r w:rsidRPr="00C94AFC">
        <w:rPr>
          <w:rFonts w:eastAsia="Times New Roman"/>
          <w:lang w:eastAsia="en-GB"/>
        </w:rPr>
        <w:t>the Northern Ireland (NI) Protocol</w:t>
      </w:r>
      <w:r w:rsidR="00933503" w:rsidRPr="00C94AFC">
        <w:rPr>
          <w:rStyle w:val="FootnoteReference"/>
          <w:lang w:eastAsia="en-GB"/>
        </w:rPr>
        <w:footnoteReference w:id="18"/>
      </w:r>
      <w:r w:rsidR="00C94AFC" w:rsidRPr="49F47F3A">
        <w:rPr>
          <w:rFonts w:eastAsia="Times New Roman"/>
          <w:lang w:eastAsia="en-GB"/>
        </w:rPr>
        <w:t>,</w:t>
      </w:r>
      <w:r w:rsidRPr="00C94AFC">
        <w:rPr>
          <w:rFonts w:eastAsia="Times New Roman"/>
          <w:lang w:eastAsia="en-GB"/>
        </w:rPr>
        <w:t xml:space="preserve"> which provides that the Regulation applies to the United Kingdom in respect of Northern Ireland</w:t>
      </w:r>
      <w:r w:rsidR="00933503" w:rsidRPr="00C94AFC">
        <w:rPr>
          <w:rStyle w:val="FootnoteReference"/>
          <w:lang w:eastAsia="en-GB"/>
        </w:rPr>
        <w:footnoteReference w:id="19"/>
      </w:r>
      <w:r w:rsidR="00C94AFC" w:rsidRPr="49F47F3A">
        <w:rPr>
          <w:rFonts w:eastAsia="Times New Roman"/>
          <w:lang w:eastAsia="en-GB"/>
        </w:rPr>
        <w:t>,</w:t>
      </w:r>
      <w:r w:rsidRPr="00C94AFC">
        <w:rPr>
          <w:rFonts w:eastAsia="Times New Roman"/>
          <w:lang w:eastAsia="en-GB"/>
        </w:rPr>
        <w:t xml:space="preserve"> with the UK acting as a competent authority under the Regulation</w:t>
      </w:r>
      <w:r w:rsidR="703FC9DD" w:rsidRPr="00C94AFC">
        <w:rPr>
          <w:rFonts w:eastAsia="Times New Roman"/>
          <w:lang w:eastAsia="en-GB"/>
        </w:rPr>
        <w:t xml:space="preserve"> for exports </w:t>
      </w:r>
      <w:r w:rsidR="0F738CE5" w:rsidRPr="00C94AFC">
        <w:rPr>
          <w:rFonts w:eastAsia="Times New Roman"/>
          <w:lang w:eastAsia="en-GB"/>
        </w:rPr>
        <w:t>from Northern</w:t>
      </w:r>
      <w:r w:rsidR="0F738CE5" w:rsidRPr="00C94AFC">
        <w:t xml:space="preserve"> </w:t>
      </w:r>
      <w:r w:rsidR="0F738CE5" w:rsidRPr="00C94AFC">
        <w:rPr>
          <w:rFonts w:eastAsia="Times New Roman"/>
          <w:lang w:eastAsia="en-GB"/>
        </w:rPr>
        <w:t xml:space="preserve">Ireland </w:t>
      </w:r>
      <w:r w:rsidR="703FC9DD" w:rsidRPr="00C94AFC">
        <w:rPr>
          <w:rFonts w:eastAsia="Times New Roman"/>
          <w:lang w:eastAsia="en-GB"/>
        </w:rPr>
        <w:t xml:space="preserve">to </w:t>
      </w:r>
      <w:r w:rsidR="00930749" w:rsidRPr="49F47F3A">
        <w:rPr>
          <w:rFonts w:eastAsia="Times New Roman"/>
          <w:lang w:eastAsia="en-GB"/>
        </w:rPr>
        <w:t xml:space="preserve">non-EU </w:t>
      </w:r>
      <w:r w:rsidR="703FC9DD" w:rsidRPr="00C94AFC">
        <w:rPr>
          <w:rFonts w:eastAsia="Times New Roman"/>
          <w:lang w:eastAsia="en-GB"/>
        </w:rPr>
        <w:t>countries</w:t>
      </w:r>
      <w:r w:rsidRPr="00C94AFC">
        <w:rPr>
          <w:rFonts w:eastAsia="Times New Roman"/>
          <w:lang w:eastAsia="en-GB"/>
        </w:rPr>
        <w:t xml:space="preserve">. The Commission </w:t>
      </w:r>
      <w:r w:rsidR="145ACCCD" w:rsidRPr="00C94AFC">
        <w:rPr>
          <w:rFonts w:eastAsia="Times New Roman"/>
          <w:lang w:eastAsia="en-GB"/>
        </w:rPr>
        <w:t xml:space="preserve">has </w:t>
      </w:r>
      <w:r w:rsidRPr="00C94AFC">
        <w:rPr>
          <w:rFonts w:eastAsia="Times New Roman"/>
          <w:lang w:eastAsia="en-GB"/>
        </w:rPr>
        <w:t>developed a dedicated secure electronic tool to support the exchange of information with the U</w:t>
      </w:r>
      <w:r w:rsidR="127227E8" w:rsidRPr="00C94AFC">
        <w:rPr>
          <w:rFonts w:eastAsia="Times New Roman"/>
          <w:lang w:eastAsia="en-GB"/>
        </w:rPr>
        <w:t>nited Kingdom</w:t>
      </w:r>
      <w:r w:rsidR="005F495C" w:rsidRPr="49F47F3A">
        <w:rPr>
          <w:rFonts w:eastAsia="Times New Roman"/>
          <w:lang w:eastAsia="en-GB"/>
        </w:rPr>
        <w:t>’s</w:t>
      </w:r>
      <w:r w:rsidRPr="00C94AFC">
        <w:rPr>
          <w:rFonts w:eastAsia="Times New Roman"/>
          <w:lang w:eastAsia="en-GB"/>
        </w:rPr>
        <w:t xml:space="preserve"> competent authority in charge of applying the Regulation </w:t>
      </w:r>
      <w:r w:rsidR="005F495C" w:rsidRPr="49F47F3A">
        <w:rPr>
          <w:rFonts w:eastAsia="Times New Roman"/>
          <w:lang w:eastAsia="en-GB"/>
        </w:rPr>
        <w:t xml:space="preserve">in respect of the flow of goods </w:t>
      </w:r>
      <w:r w:rsidRPr="00C94AFC">
        <w:rPr>
          <w:rFonts w:eastAsia="Times New Roman"/>
          <w:lang w:eastAsia="en-GB"/>
        </w:rPr>
        <w:t>in</w:t>
      </w:r>
      <w:r w:rsidR="005F495C" w:rsidRPr="49F47F3A">
        <w:rPr>
          <w:rFonts w:eastAsia="Times New Roman"/>
          <w:lang w:eastAsia="en-GB"/>
        </w:rPr>
        <w:t>to</w:t>
      </w:r>
      <w:r w:rsidRPr="00C94AFC">
        <w:rPr>
          <w:rFonts w:eastAsia="Times New Roman"/>
          <w:lang w:eastAsia="en-GB"/>
        </w:rPr>
        <w:t xml:space="preserve"> and from Northern Ireland</w:t>
      </w:r>
      <w:r w:rsidR="7252C770" w:rsidRPr="00C94AFC">
        <w:rPr>
          <w:rFonts w:eastAsia="Times New Roman"/>
          <w:lang w:eastAsia="en-GB"/>
        </w:rPr>
        <w:t>, which was used throughout 202</w:t>
      </w:r>
      <w:r w:rsidR="68163EDF" w:rsidRPr="00C94AFC">
        <w:rPr>
          <w:rFonts w:eastAsia="Times New Roman"/>
          <w:lang w:eastAsia="en-GB"/>
        </w:rPr>
        <w:t>4</w:t>
      </w:r>
      <w:r w:rsidRPr="00C94AFC">
        <w:rPr>
          <w:rFonts w:eastAsia="Times New Roman"/>
          <w:lang w:eastAsia="en-GB"/>
        </w:rPr>
        <w:t xml:space="preserve">. This enables </w:t>
      </w:r>
      <w:r w:rsidR="005F495C" w:rsidRPr="49F47F3A">
        <w:rPr>
          <w:rFonts w:eastAsia="Times New Roman"/>
          <w:lang w:eastAsia="en-GB"/>
        </w:rPr>
        <w:t xml:space="preserve">the </w:t>
      </w:r>
      <w:r w:rsidR="0D00C15E" w:rsidRPr="00C94AFC">
        <w:rPr>
          <w:rFonts w:eastAsia="Times New Roman"/>
          <w:lang w:eastAsia="en-GB"/>
        </w:rPr>
        <w:t>U</w:t>
      </w:r>
      <w:r w:rsidR="6B6A2C73" w:rsidRPr="00C94AFC">
        <w:rPr>
          <w:rFonts w:eastAsia="Times New Roman"/>
          <w:lang w:eastAsia="en-GB"/>
        </w:rPr>
        <w:t>nited Kingdom</w:t>
      </w:r>
      <w:r w:rsidR="0D00C15E" w:rsidRPr="00C94AFC">
        <w:rPr>
          <w:rFonts w:eastAsia="Times New Roman"/>
          <w:lang w:eastAsia="en-GB"/>
        </w:rPr>
        <w:t xml:space="preserve"> </w:t>
      </w:r>
      <w:r w:rsidRPr="00C94AFC">
        <w:rPr>
          <w:rFonts w:eastAsia="Times New Roman"/>
          <w:lang w:eastAsia="en-GB"/>
        </w:rPr>
        <w:t>authorit</w:t>
      </w:r>
      <w:r w:rsidR="6AAB0DEF" w:rsidRPr="00C94AFC">
        <w:rPr>
          <w:rFonts w:eastAsia="Times New Roman"/>
          <w:lang w:eastAsia="en-GB"/>
        </w:rPr>
        <w:t>ies</w:t>
      </w:r>
      <w:r w:rsidRPr="00C94AFC">
        <w:rPr>
          <w:rFonts w:eastAsia="Times New Roman"/>
          <w:lang w:eastAsia="en-GB"/>
        </w:rPr>
        <w:t xml:space="preserve"> to access information</w:t>
      </w:r>
      <w:r w:rsidR="54322DE7" w:rsidRPr="00C94AFC">
        <w:rPr>
          <w:rFonts w:eastAsia="Times New Roman"/>
          <w:lang w:eastAsia="en-GB"/>
        </w:rPr>
        <w:t xml:space="preserve"> on denials for essentially identical transactions issued by EU </w:t>
      </w:r>
      <w:r w:rsidR="0FB96EC8" w:rsidRPr="00C94AFC">
        <w:rPr>
          <w:rFonts w:eastAsia="Times New Roman"/>
          <w:lang w:eastAsia="en-GB"/>
        </w:rPr>
        <w:t>Member State</w:t>
      </w:r>
      <w:r w:rsidR="0125FBDA" w:rsidRPr="00C94AFC">
        <w:rPr>
          <w:rFonts w:eastAsia="Times New Roman"/>
          <w:lang w:eastAsia="en-GB"/>
        </w:rPr>
        <w:t>s</w:t>
      </w:r>
      <w:r w:rsidRPr="00C94AFC">
        <w:rPr>
          <w:rFonts w:eastAsia="Times New Roman"/>
          <w:lang w:eastAsia="en-GB"/>
        </w:rPr>
        <w:t xml:space="preserve"> </w:t>
      </w:r>
      <w:r w:rsidR="428F1401" w:rsidRPr="00C94AFC">
        <w:rPr>
          <w:rFonts w:eastAsia="Times New Roman"/>
          <w:lang w:eastAsia="en-GB"/>
        </w:rPr>
        <w:t xml:space="preserve">and </w:t>
      </w:r>
      <w:r w:rsidR="005F495C" w:rsidRPr="49F47F3A">
        <w:rPr>
          <w:rFonts w:eastAsia="Times New Roman"/>
          <w:lang w:eastAsia="en-GB"/>
        </w:rPr>
        <w:t xml:space="preserve">to hold </w:t>
      </w:r>
      <w:r w:rsidR="428F1401" w:rsidRPr="00C94AFC">
        <w:rPr>
          <w:rFonts w:eastAsia="Times New Roman"/>
          <w:lang w:eastAsia="en-GB"/>
        </w:rPr>
        <w:t>bilateral consultation</w:t>
      </w:r>
      <w:r w:rsidR="005F495C" w:rsidRPr="49F47F3A">
        <w:rPr>
          <w:rFonts w:eastAsia="Times New Roman"/>
          <w:lang w:eastAsia="en-GB"/>
        </w:rPr>
        <w:t>s</w:t>
      </w:r>
      <w:r w:rsidR="428F1401" w:rsidRPr="00C94AFC">
        <w:rPr>
          <w:rFonts w:eastAsia="Times New Roman"/>
          <w:lang w:eastAsia="en-GB"/>
        </w:rPr>
        <w:t xml:space="preserve"> with </w:t>
      </w:r>
      <w:r w:rsidR="0125FBDA" w:rsidRPr="00C94AFC">
        <w:rPr>
          <w:rFonts w:eastAsia="Times New Roman"/>
          <w:lang w:eastAsia="en-GB"/>
        </w:rPr>
        <w:t xml:space="preserve">the </w:t>
      </w:r>
      <w:r w:rsidR="428F1401" w:rsidRPr="00C94AFC">
        <w:rPr>
          <w:rFonts w:eastAsia="Times New Roman"/>
          <w:lang w:eastAsia="en-GB"/>
        </w:rPr>
        <w:t xml:space="preserve">issuing </w:t>
      </w:r>
      <w:r w:rsidR="0FB96EC8" w:rsidRPr="00C94AFC">
        <w:rPr>
          <w:rFonts w:eastAsia="Times New Roman"/>
          <w:lang w:eastAsia="en-GB"/>
        </w:rPr>
        <w:t>Member State</w:t>
      </w:r>
      <w:r w:rsidR="005F495C" w:rsidRPr="49F47F3A">
        <w:rPr>
          <w:rFonts w:eastAsia="Times New Roman"/>
          <w:lang w:eastAsia="en-GB"/>
        </w:rPr>
        <w:t>s</w:t>
      </w:r>
      <w:r w:rsidR="428F1401" w:rsidRPr="00C94AFC">
        <w:rPr>
          <w:rFonts w:eastAsia="Times New Roman"/>
          <w:lang w:eastAsia="en-GB"/>
        </w:rPr>
        <w:t xml:space="preserve">, as </w:t>
      </w:r>
      <w:r w:rsidR="00BC2FD9" w:rsidRPr="49F47F3A">
        <w:rPr>
          <w:rFonts w:eastAsia="Times New Roman"/>
          <w:lang w:eastAsia="en-GB"/>
        </w:rPr>
        <w:t>provided for in</w:t>
      </w:r>
      <w:r w:rsidR="428F1401" w:rsidRPr="00C94AFC">
        <w:rPr>
          <w:rFonts w:eastAsia="Times New Roman"/>
          <w:lang w:eastAsia="en-GB"/>
        </w:rPr>
        <w:t xml:space="preserve"> the Regulation.</w:t>
      </w:r>
    </w:p>
    <w:p w14:paraId="0F726852" w14:textId="77777777" w:rsidR="00AA655D" w:rsidRPr="00C94AFC" w:rsidRDefault="00AA655D" w:rsidP="00AA655D">
      <w:pPr>
        <w:keepNext/>
        <w:tabs>
          <w:tab w:val="left" w:pos="850"/>
        </w:tabs>
        <w:spacing w:after="120"/>
        <w:ind w:left="850" w:hanging="850"/>
        <w:jc w:val="both"/>
        <w:outlineLvl w:val="0"/>
        <w:rPr>
          <w:rFonts w:eastAsia="Times New Roman"/>
          <w:b/>
          <w:smallCaps/>
          <w:lang w:eastAsia="en-GB"/>
        </w:rPr>
      </w:pPr>
      <w:bookmarkStart w:id="7" w:name="_Toc368065775"/>
      <w:r w:rsidRPr="00C94AFC">
        <w:rPr>
          <w:rFonts w:eastAsia="Times New Roman"/>
          <w:b/>
          <w:smallCaps/>
          <w:lang w:eastAsia="en-GB"/>
        </w:rPr>
        <w:t>3.</w:t>
      </w:r>
      <w:r w:rsidRPr="00C94AFC">
        <w:rPr>
          <w:rFonts w:eastAsia="Times New Roman"/>
          <w:b/>
          <w:smallCaps/>
          <w:lang w:eastAsia="en-GB"/>
        </w:rPr>
        <w:tab/>
        <w:t>Activities of the Dual-Use Coordination Group</w:t>
      </w:r>
      <w:bookmarkEnd w:id="7"/>
    </w:p>
    <w:p w14:paraId="486732A8" w14:textId="34E62203" w:rsidR="00461321" w:rsidRPr="00C94AFC" w:rsidRDefault="358DC8FF" w:rsidP="3391EFF5">
      <w:pPr>
        <w:spacing w:before="100" w:beforeAutospacing="1" w:after="100" w:afterAutospacing="1"/>
        <w:jc w:val="both"/>
      </w:pPr>
      <w:r w:rsidRPr="00C94AFC">
        <w:rPr>
          <w:rFonts w:eastAsia="Times New Roman"/>
          <w:lang w:eastAsia="en-GB"/>
        </w:rPr>
        <w:t xml:space="preserve">The </w:t>
      </w:r>
      <w:r w:rsidR="2B5EB82B" w:rsidRPr="00C94AFC">
        <w:rPr>
          <w:rFonts w:eastAsia="Times New Roman"/>
          <w:lang w:eastAsia="en-GB"/>
        </w:rPr>
        <w:t>Dual-Use Coordination Group</w:t>
      </w:r>
      <w:r w:rsidR="00462D9E">
        <w:rPr>
          <w:rFonts w:eastAsia="Times New Roman"/>
          <w:lang w:eastAsia="en-GB"/>
        </w:rPr>
        <w:t xml:space="preserve"> (DUCG)</w:t>
      </w:r>
      <w:r w:rsidR="00C538BF" w:rsidRPr="00C94AFC">
        <w:rPr>
          <w:rFonts w:eastAsia="Times New Roman"/>
          <w:lang w:eastAsia="en-GB"/>
        </w:rPr>
        <w:t>, chaired by the Commission,</w:t>
      </w:r>
      <w:r w:rsidR="2B5EB82B" w:rsidRPr="00C94AFC">
        <w:rPr>
          <w:rFonts w:eastAsia="Times New Roman"/>
          <w:lang w:eastAsia="en-GB"/>
        </w:rPr>
        <w:t xml:space="preserve"> </w:t>
      </w:r>
      <w:r w:rsidRPr="00C94AFC">
        <w:rPr>
          <w:rFonts w:eastAsia="Times New Roman"/>
          <w:lang w:eastAsia="en-GB"/>
        </w:rPr>
        <w:t>brings together experts from the Commission and Member States to examine any issue concerning the application of export controls</w:t>
      </w:r>
      <w:r w:rsidR="00933503" w:rsidRPr="00C94AFC">
        <w:rPr>
          <w:rStyle w:val="FootnoteReference"/>
          <w:rFonts w:eastAsia="Times New Roman"/>
          <w:lang w:eastAsia="en-GB"/>
        </w:rPr>
        <w:footnoteReference w:id="20"/>
      </w:r>
      <w:r w:rsidR="00C94AFC" w:rsidRPr="00C94AFC">
        <w:rPr>
          <w:rFonts w:eastAsia="Times New Roman"/>
          <w:lang w:eastAsia="en-GB"/>
        </w:rPr>
        <w:t>.</w:t>
      </w:r>
      <w:r w:rsidR="0FB96EC8" w:rsidRPr="00C94AFC">
        <w:rPr>
          <w:rFonts w:eastAsia="Times New Roman"/>
          <w:lang w:eastAsia="en-GB"/>
        </w:rPr>
        <w:t xml:space="preserve"> </w:t>
      </w:r>
      <w:r w:rsidR="45012B2E" w:rsidRPr="00C94AFC">
        <w:rPr>
          <w:rFonts w:eastAsia="Times New Roman"/>
          <w:lang w:eastAsia="en-GB"/>
        </w:rPr>
        <w:t xml:space="preserve">In 2024, the </w:t>
      </w:r>
      <w:r w:rsidR="00BC2FD9">
        <w:rPr>
          <w:rFonts w:eastAsia="Times New Roman"/>
          <w:lang w:eastAsia="en-GB"/>
        </w:rPr>
        <w:t>DUCG</w:t>
      </w:r>
      <w:r w:rsidR="45012B2E" w:rsidRPr="00C94AFC">
        <w:rPr>
          <w:rFonts w:eastAsia="Times New Roman"/>
          <w:lang w:eastAsia="en-GB"/>
        </w:rPr>
        <w:t xml:space="preserve"> held eight meetings: on 16 January, 14 March, 16 May, 3 July, 12 September, 4 October, 6 November and 11 December</w:t>
      </w:r>
      <w:r w:rsidR="356E5E02" w:rsidRPr="00C94AFC">
        <w:t>.</w:t>
      </w:r>
    </w:p>
    <w:p w14:paraId="5B17B38F" w14:textId="77777777" w:rsidR="00AA655D" w:rsidRPr="00C94AFC" w:rsidRDefault="00AA655D" w:rsidP="00AA655D">
      <w:pPr>
        <w:keepNext/>
        <w:tabs>
          <w:tab w:val="left" w:pos="850"/>
        </w:tabs>
        <w:spacing w:after="120"/>
        <w:ind w:left="850" w:hanging="850"/>
        <w:jc w:val="both"/>
        <w:outlineLvl w:val="1"/>
        <w:rPr>
          <w:rFonts w:eastAsia="Times New Roman"/>
          <w:b/>
          <w:lang w:eastAsia="en-GB"/>
        </w:rPr>
      </w:pPr>
      <w:r w:rsidRPr="00C94AFC">
        <w:rPr>
          <w:rFonts w:eastAsia="Times New Roman"/>
          <w:b/>
          <w:lang w:eastAsia="en-GB"/>
        </w:rPr>
        <w:t>3.1</w:t>
      </w:r>
      <w:r w:rsidR="00617132" w:rsidRPr="00C94AFC">
        <w:rPr>
          <w:rFonts w:eastAsia="Times New Roman"/>
          <w:b/>
          <w:lang w:eastAsia="en-GB"/>
        </w:rPr>
        <w:t>.</w:t>
      </w:r>
      <w:r w:rsidRPr="00C94AFC">
        <w:rPr>
          <w:rFonts w:eastAsia="Times New Roman"/>
          <w:b/>
          <w:lang w:eastAsia="en-GB"/>
        </w:rPr>
        <w:tab/>
        <w:t xml:space="preserve">Consultations on implementation issues - </w:t>
      </w:r>
      <w:r w:rsidRPr="00C94AFC">
        <w:rPr>
          <w:rFonts w:eastAsia="Calibri"/>
          <w:b/>
        </w:rPr>
        <w:t>general information exchange</w:t>
      </w:r>
    </w:p>
    <w:p w14:paraId="06B7EE47" w14:textId="326BD46C" w:rsidR="00462D9E" w:rsidRDefault="0C04F7BB" w:rsidP="3391EFF5">
      <w:pPr>
        <w:spacing w:before="100" w:beforeAutospacing="1" w:after="100" w:afterAutospacing="1"/>
        <w:jc w:val="both"/>
        <w:rPr>
          <w:rFonts w:eastAsia="Calibri"/>
          <w:lang w:eastAsia="en-GB"/>
        </w:rPr>
      </w:pPr>
      <w:r w:rsidRPr="00C94AFC">
        <w:rPr>
          <w:rFonts w:eastAsia="Calibri"/>
          <w:lang w:eastAsia="en-GB"/>
        </w:rPr>
        <w:t xml:space="preserve">The </w:t>
      </w:r>
      <w:r w:rsidR="224ABC8B" w:rsidRPr="00C94AFC">
        <w:rPr>
          <w:rFonts w:eastAsia="Calibri"/>
          <w:lang w:eastAsia="en-GB"/>
        </w:rPr>
        <w:t xml:space="preserve">Commission and </w:t>
      </w:r>
      <w:r w:rsidR="224ABC8B" w:rsidRPr="00C94AFC">
        <w:t>Member</w:t>
      </w:r>
      <w:r w:rsidR="224ABC8B" w:rsidRPr="00C94AFC">
        <w:rPr>
          <w:rFonts w:eastAsia="Calibri"/>
          <w:lang w:eastAsia="en-GB"/>
        </w:rPr>
        <w:t xml:space="preserve"> States’ representatives in the </w:t>
      </w:r>
      <w:r w:rsidRPr="00C94AFC">
        <w:rPr>
          <w:rFonts w:eastAsia="Calibri"/>
          <w:lang w:eastAsia="en-GB"/>
        </w:rPr>
        <w:t xml:space="preserve">DUCG </w:t>
      </w:r>
      <w:r w:rsidR="00C538BF" w:rsidRPr="00C94AFC">
        <w:rPr>
          <w:rFonts w:eastAsia="Calibri"/>
          <w:lang w:eastAsia="en-GB"/>
        </w:rPr>
        <w:t>exchanged</w:t>
      </w:r>
      <w:r w:rsidRPr="00C94AFC">
        <w:rPr>
          <w:rFonts w:eastAsia="Calibri"/>
          <w:lang w:eastAsia="en-GB"/>
        </w:rPr>
        <w:t xml:space="preserve"> information on export control issues</w:t>
      </w:r>
      <w:r w:rsidR="00C538BF" w:rsidRPr="00C94AFC">
        <w:rPr>
          <w:rFonts w:eastAsia="Calibri"/>
          <w:lang w:eastAsia="en-GB"/>
        </w:rPr>
        <w:t xml:space="preserve">, </w:t>
      </w:r>
      <w:r w:rsidR="00462D9E">
        <w:rPr>
          <w:rFonts w:eastAsia="Calibri"/>
          <w:lang w:eastAsia="en-GB"/>
        </w:rPr>
        <w:t xml:space="preserve">regarding, </w:t>
      </w:r>
      <w:r w:rsidR="00C538BF" w:rsidRPr="00C94AFC">
        <w:rPr>
          <w:rFonts w:eastAsia="Calibri"/>
          <w:lang w:eastAsia="en-GB"/>
        </w:rPr>
        <w:t>i</w:t>
      </w:r>
      <w:r w:rsidR="04C817D5" w:rsidRPr="00C94AFC">
        <w:rPr>
          <w:rFonts w:eastAsia="Calibri"/>
          <w:lang w:eastAsia="en-GB"/>
        </w:rPr>
        <w:t>n particular</w:t>
      </w:r>
      <w:r w:rsidR="00462D9E">
        <w:rPr>
          <w:rFonts w:eastAsia="Calibri"/>
          <w:lang w:eastAsia="en-GB"/>
        </w:rPr>
        <w:t>:</w:t>
      </w:r>
      <w:r w:rsidR="04C817D5" w:rsidRPr="00C94AFC">
        <w:rPr>
          <w:rFonts w:eastAsia="Calibri"/>
          <w:lang w:eastAsia="en-GB"/>
        </w:rPr>
        <w:t xml:space="preserve"> </w:t>
      </w:r>
    </w:p>
    <w:p w14:paraId="6CA62E17" w14:textId="6DC11191" w:rsidR="00462D9E" w:rsidRDefault="00462D9E" w:rsidP="3391EFF5">
      <w:pPr>
        <w:spacing w:before="100" w:beforeAutospacing="1" w:after="100" w:afterAutospacing="1"/>
        <w:jc w:val="both"/>
        <w:rPr>
          <w:rFonts w:eastAsia="Calibri"/>
          <w:lang w:eastAsia="en-GB"/>
        </w:rPr>
      </w:pPr>
      <w:r>
        <w:rPr>
          <w:rFonts w:eastAsia="Calibri"/>
          <w:lang w:eastAsia="en-GB"/>
        </w:rPr>
        <w:t xml:space="preserve">- </w:t>
      </w:r>
      <w:r w:rsidR="6CD724B7" w:rsidRPr="00C94AFC">
        <w:rPr>
          <w:rFonts w:eastAsia="Calibri"/>
          <w:lang w:eastAsia="en-GB"/>
        </w:rPr>
        <w:t>the implementation of</w:t>
      </w:r>
      <w:r w:rsidR="04079844" w:rsidRPr="00C94AFC">
        <w:rPr>
          <w:rFonts w:eastAsia="Calibri"/>
          <w:lang w:eastAsia="en-GB"/>
        </w:rPr>
        <w:t xml:space="preserve"> intangible transfer</w:t>
      </w:r>
      <w:r w:rsidR="452931E8" w:rsidRPr="00C94AFC">
        <w:rPr>
          <w:rFonts w:eastAsia="Calibri"/>
          <w:lang w:eastAsia="en-GB"/>
        </w:rPr>
        <w:t>s</w:t>
      </w:r>
      <w:r w:rsidR="04079844" w:rsidRPr="00C94AFC">
        <w:rPr>
          <w:rFonts w:eastAsia="Calibri"/>
          <w:lang w:eastAsia="en-GB"/>
        </w:rPr>
        <w:t xml:space="preserve"> of technology (ITT)</w:t>
      </w:r>
      <w:r>
        <w:rPr>
          <w:rFonts w:eastAsia="Calibri"/>
          <w:lang w:eastAsia="en-GB"/>
        </w:rPr>
        <w:t>;</w:t>
      </w:r>
      <w:r w:rsidR="04079844" w:rsidRPr="00C94AFC">
        <w:rPr>
          <w:rFonts w:eastAsia="Calibri"/>
          <w:lang w:eastAsia="en-GB"/>
        </w:rPr>
        <w:t xml:space="preserve"> </w:t>
      </w:r>
    </w:p>
    <w:p w14:paraId="79D21C20" w14:textId="01BCA963" w:rsidR="00BC2FD9" w:rsidRDefault="00462D9E" w:rsidP="3391EFF5">
      <w:pPr>
        <w:spacing w:before="100" w:beforeAutospacing="1" w:after="100" w:afterAutospacing="1"/>
        <w:jc w:val="both"/>
        <w:rPr>
          <w:rFonts w:eastAsia="Calibri"/>
          <w:lang w:eastAsia="en-GB"/>
        </w:rPr>
      </w:pPr>
      <w:r>
        <w:rPr>
          <w:rFonts w:eastAsia="Calibri"/>
          <w:lang w:eastAsia="en-GB"/>
        </w:rPr>
        <w:t xml:space="preserve">- </w:t>
      </w:r>
      <w:r w:rsidR="04079844" w:rsidRPr="00C94AFC">
        <w:rPr>
          <w:rFonts w:eastAsia="Calibri"/>
          <w:lang w:eastAsia="en-GB"/>
        </w:rPr>
        <w:t>national general licen</w:t>
      </w:r>
      <w:r w:rsidR="00436FF1">
        <w:rPr>
          <w:rFonts w:eastAsia="Calibri"/>
          <w:lang w:eastAsia="en-GB"/>
        </w:rPr>
        <w:t>c</w:t>
      </w:r>
      <w:r w:rsidR="04079844" w:rsidRPr="00C94AFC">
        <w:rPr>
          <w:rFonts w:eastAsia="Calibri"/>
          <w:lang w:eastAsia="en-GB"/>
        </w:rPr>
        <w:t>es;</w:t>
      </w:r>
    </w:p>
    <w:p w14:paraId="0180B241" w14:textId="3DBAE0E1" w:rsidR="00462D9E" w:rsidRDefault="00BC2FD9" w:rsidP="3391EFF5">
      <w:pPr>
        <w:spacing w:before="100" w:beforeAutospacing="1" w:after="100" w:afterAutospacing="1"/>
        <w:jc w:val="both"/>
        <w:rPr>
          <w:rFonts w:eastAsia="Calibri"/>
          <w:lang w:eastAsia="en-GB"/>
        </w:rPr>
      </w:pPr>
      <w:r>
        <w:rPr>
          <w:rFonts w:eastAsia="Calibri"/>
          <w:lang w:eastAsia="en-GB"/>
        </w:rPr>
        <w:t xml:space="preserve">- </w:t>
      </w:r>
      <w:r w:rsidR="04079844" w:rsidRPr="00C94AFC">
        <w:rPr>
          <w:rFonts w:eastAsia="Calibri"/>
          <w:lang w:eastAsia="en-GB"/>
        </w:rPr>
        <w:t>large project authorisations;</w:t>
      </w:r>
    </w:p>
    <w:p w14:paraId="7F5C0C8C" w14:textId="4551EE22" w:rsidR="00462D9E" w:rsidRDefault="00462D9E" w:rsidP="3391EFF5">
      <w:pPr>
        <w:spacing w:before="100" w:beforeAutospacing="1" w:after="100" w:afterAutospacing="1"/>
        <w:jc w:val="both"/>
        <w:rPr>
          <w:rFonts w:eastAsia="Calibri"/>
          <w:lang w:eastAsia="en-GB"/>
        </w:rPr>
      </w:pPr>
      <w:r>
        <w:rPr>
          <w:rFonts w:eastAsia="Calibri"/>
          <w:lang w:eastAsia="en-GB"/>
        </w:rPr>
        <w:t xml:space="preserve">- </w:t>
      </w:r>
      <w:r w:rsidR="04079844" w:rsidRPr="00C94AFC">
        <w:rPr>
          <w:rFonts w:eastAsia="Calibri"/>
          <w:lang w:eastAsia="en-GB"/>
        </w:rPr>
        <w:t xml:space="preserve">the definition of </w:t>
      </w:r>
      <w:r>
        <w:rPr>
          <w:rFonts w:eastAsia="Calibri"/>
          <w:lang w:eastAsia="en-GB"/>
        </w:rPr>
        <w:t>‘</w:t>
      </w:r>
      <w:r w:rsidR="04079844" w:rsidRPr="00C94AFC">
        <w:rPr>
          <w:rFonts w:eastAsia="Calibri"/>
          <w:lang w:eastAsia="en-GB"/>
        </w:rPr>
        <w:t>exporter</w:t>
      </w:r>
      <w:r>
        <w:rPr>
          <w:rFonts w:eastAsia="Calibri"/>
          <w:lang w:eastAsia="en-GB"/>
        </w:rPr>
        <w:t>’</w:t>
      </w:r>
      <w:r w:rsidR="04079844" w:rsidRPr="00C94AFC">
        <w:rPr>
          <w:rFonts w:eastAsia="Calibri"/>
          <w:lang w:eastAsia="en-GB"/>
        </w:rPr>
        <w:t>;</w:t>
      </w:r>
    </w:p>
    <w:p w14:paraId="65FF6521" w14:textId="16BCEF68" w:rsidR="00462D9E" w:rsidRDefault="00462D9E" w:rsidP="3391EFF5">
      <w:pPr>
        <w:spacing w:before="100" w:beforeAutospacing="1" w:after="100" w:afterAutospacing="1"/>
        <w:jc w:val="both"/>
        <w:rPr>
          <w:rFonts w:eastAsia="Calibri"/>
          <w:lang w:eastAsia="en-GB"/>
        </w:rPr>
      </w:pPr>
      <w:r>
        <w:rPr>
          <w:rFonts w:eastAsia="Calibri"/>
          <w:lang w:eastAsia="en-GB"/>
        </w:rPr>
        <w:lastRenderedPageBreak/>
        <w:t xml:space="preserve">- </w:t>
      </w:r>
      <w:r w:rsidR="04079844" w:rsidRPr="00C94AFC">
        <w:rPr>
          <w:rFonts w:eastAsia="Calibri"/>
          <w:lang w:eastAsia="en-GB"/>
        </w:rPr>
        <w:t>the interpretation of Article</w:t>
      </w:r>
      <w:r w:rsidR="00C94AFC">
        <w:rPr>
          <w:rFonts w:eastAsia="Calibri"/>
          <w:lang w:eastAsia="en-GB"/>
        </w:rPr>
        <w:t> </w:t>
      </w:r>
      <w:r w:rsidR="04079844" w:rsidRPr="00C94AFC">
        <w:rPr>
          <w:rFonts w:eastAsia="Calibri"/>
          <w:lang w:eastAsia="en-GB"/>
        </w:rPr>
        <w:t>16</w:t>
      </w:r>
      <w:r w:rsidR="025FB0AD" w:rsidRPr="00C94AFC">
        <w:rPr>
          <w:rFonts w:eastAsia="Calibri"/>
          <w:lang w:eastAsia="en-GB"/>
        </w:rPr>
        <w:t>(</w:t>
      </w:r>
      <w:r w:rsidR="04079844" w:rsidRPr="00C94AFC">
        <w:rPr>
          <w:rFonts w:eastAsia="Calibri"/>
          <w:lang w:eastAsia="en-GB"/>
        </w:rPr>
        <w:t>1</w:t>
      </w:r>
      <w:r w:rsidR="5DF033A0" w:rsidRPr="00C94AFC">
        <w:rPr>
          <w:rFonts w:eastAsia="Calibri"/>
          <w:lang w:eastAsia="en-GB"/>
        </w:rPr>
        <w:t>)</w:t>
      </w:r>
      <w:r w:rsidR="562FF6C4" w:rsidRPr="00C94AFC">
        <w:rPr>
          <w:rFonts w:eastAsia="Calibri"/>
          <w:lang w:eastAsia="en-GB"/>
        </w:rPr>
        <w:t xml:space="preserve"> of the Regulation</w:t>
      </w:r>
      <w:r w:rsidR="04079844" w:rsidRPr="00C94AFC">
        <w:rPr>
          <w:rFonts w:eastAsia="Calibri"/>
          <w:lang w:eastAsia="en-GB"/>
        </w:rPr>
        <w:t>;</w:t>
      </w:r>
    </w:p>
    <w:p w14:paraId="5AC97292" w14:textId="693926BF" w:rsidR="00462D9E" w:rsidRDefault="00462D9E" w:rsidP="3391EFF5">
      <w:pPr>
        <w:spacing w:before="100" w:beforeAutospacing="1" w:after="100" w:afterAutospacing="1"/>
        <w:jc w:val="both"/>
        <w:rPr>
          <w:rFonts w:eastAsia="Calibri"/>
          <w:lang w:eastAsia="en-GB"/>
        </w:rPr>
      </w:pPr>
      <w:r>
        <w:rPr>
          <w:rFonts w:eastAsia="Calibri"/>
          <w:lang w:eastAsia="en-GB"/>
        </w:rPr>
        <w:t xml:space="preserve">- </w:t>
      </w:r>
      <w:r w:rsidR="04079844" w:rsidRPr="00C94AFC">
        <w:rPr>
          <w:rFonts w:eastAsia="Calibri"/>
          <w:lang w:eastAsia="en-GB"/>
        </w:rPr>
        <w:t>the implementation of transit controls;</w:t>
      </w:r>
    </w:p>
    <w:p w14:paraId="2F32C9F3" w14:textId="77777777" w:rsidR="00462D9E" w:rsidRDefault="00462D9E" w:rsidP="3391EFF5">
      <w:pPr>
        <w:spacing w:before="100" w:beforeAutospacing="1" w:after="100" w:afterAutospacing="1"/>
        <w:jc w:val="both"/>
        <w:rPr>
          <w:rFonts w:eastAsia="Calibri"/>
          <w:lang w:eastAsia="en-GB"/>
        </w:rPr>
      </w:pPr>
      <w:r>
        <w:rPr>
          <w:rFonts w:eastAsia="Calibri"/>
          <w:lang w:eastAsia="en-GB"/>
        </w:rPr>
        <w:t xml:space="preserve">- </w:t>
      </w:r>
      <w:r w:rsidR="04079844" w:rsidRPr="00C94AFC">
        <w:rPr>
          <w:rFonts w:eastAsia="Calibri"/>
          <w:lang w:eastAsia="en-GB"/>
        </w:rPr>
        <w:t>the implementation of technical assistance controls;</w:t>
      </w:r>
    </w:p>
    <w:p w14:paraId="6E2928F6" w14:textId="49717D73" w:rsidR="00462D9E" w:rsidRDefault="00462D9E" w:rsidP="3391EFF5">
      <w:pPr>
        <w:spacing w:before="100" w:beforeAutospacing="1" w:after="100" w:afterAutospacing="1"/>
        <w:jc w:val="both"/>
        <w:rPr>
          <w:rFonts w:eastAsia="Calibri"/>
          <w:lang w:eastAsia="en-GB"/>
        </w:rPr>
      </w:pPr>
      <w:r>
        <w:rPr>
          <w:rFonts w:eastAsia="Calibri"/>
          <w:lang w:eastAsia="en-GB"/>
        </w:rPr>
        <w:t xml:space="preserve">- </w:t>
      </w:r>
      <w:r w:rsidR="04079844" w:rsidRPr="00C94AFC">
        <w:rPr>
          <w:rFonts w:eastAsia="Calibri"/>
          <w:lang w:eastAsia="en-GB"/>
        </w:rPr>
        <w:t xml:space="preserve">re-export of Union goods onwards from </w:t>
      </w:r>
      <w:r w:rsidR="00930749">
        <w:rPr>
          <w:rFonts w:eastAsia="Calibri"/>
          <w:lang w:eastAsia="en-GB"/>
        </w:rPr>
        <w:t>non-EU</w:t>
      </w:r>
      <w:r w:rsidR="00930749" w:rsidRPr="00C94AFC">
        <w:rPr>
          <w:rFonts w:eastAsia="Calibri"/>
          <w:lang w:eastAsia="en-GB"/>
        </w:rPr>
        <w:t xml:space="preserve"> </w:t>
      </w:r>
      <w:r w:rsidR="04079844" w:rsidRPr="00C94AFC">
        <w:rPr>
          <w:rFonts w:eastAsia="Calibri"/>
          <w:lang w:eastAsia="en-GB"/>
        </w:rPr>
        <w:t xml:space="preserve">countries; </w:t>
      </w:r>
      <w:r w:rsidR="6601F93A" w:rsidRPr="00C94AFC">
        <w:rPr>
          <w:rFonts w:eastAsia="Calibri"/>
          <w:lang w:eastAsia="en-GB"/>
        </w:rPr>
        <w:t xml:space="preserve">and </w:t>
      </w:r>
    </w:p>
    <w:p w14:paraId="0961047E" w14:textId="50EC9B94" w:rsidR="00461321" w:rsidRPr="00C94AFC" w:rsidRDefault="00462D9E" w:rsidP="3391EFF5">
      <w:pPr>
        <w:spacing w:before="100" w:beforeAutospacing="1" w:after="100" w:afterAutospacing="1"/>
        <w:jc w:val="both"/>
      </w:pPr>
      <w:r>
        <w:rPr>
          <w:rFonts w:eastAsia="Calibri"/>
          <w:lang w:eastAsia="en-GB"/>
        </w:rPr>
        <w:t xml:space="preserve">- </w:t>
      </w:r>
      <w:r w:rsidR="04079844" w:rsidRPr="00C94AFC">
        <w:rPr>
          <w:rFonts w:eastAsia="Calibri"/>
          <w:lang w:eastAsia="en-GB"/>
        </w:rPr>
        <w:t>treatment of goods temporarily brought into the Union.</w:t>
      </w:r>
    </w:p>
    <w:p w14:paraId="7361BCCD" w14:textId="32803547" w:rsidR="00461321" w:rsidRPr="00C94AFC" w:rsidRDefault="11DAD63A" w:rsidP="3391EFF5">
      <w:pPr>
        <w:keepNext/>
        <w:tabs>
          <w:tab w:val="left" w:pos="850"/>
        </w:tabs>
        <w:spacing w:after="120"/>
        <w:ind w:left="850" w:hanging="850"/>
        <w:jc w:val="both"/>
        <w:outlineLvl w:val="1"/>
        <w:rPr>
          <w:rFonts w:eastAsia="Times New Roman"/>
          <w:b/>
          <w:bCs/>
          <w:lang w:eastAsia="en-GB"/>
        </w:rPr>
      </w:pPr>
      <w:r w:rsidRPr="00C94AFC">
        <w:rPr>
          <w:rFonts w:eastAsia="Times New Roman"/>
          <w:b/>
          <w:bCs/>
          <w:lang w:eastAsia="en-GB"/>
        </w:rPr>
        <w:t>3.2</w:t>
      </w:r>
      <w:r w:rsidR="00573659" w:rsidRPr="00C94AFC">
        <w:tab/>
      </w:r>
      <w:r w:rsidR="204AAC04" w:rsidRPr="00C94AFC">
        <w:rPr>
          <w:rFonts w:eastAsia="Times New Roman"/>
          <w:b/>
          <w:bCs/>
          <w:lang w:eastAsia="en-GB"/>
        </w:rPr>
        <w:t>Guidelines</w:t>
      </w:r>
    </w:p>
    <w:p w14:paraId="4631E996" w14:textId="46C42D02" w:rsidR="00461321" w:rsidRPr="00C94AFC" w:rsidRDefault="417ECD20" w:rsidP="3391EFF5">
      <w:pPr>
        <w:spacing w:before="100" w:beforeAutospacing="1" w:after="100" w:afterAutospacing="1"/>
        <w:jc w:val="both"/>
        <w:rPr>
          <w:rFonts w:eastAsia="Times New Roman"/>
          <w:lang w:eastAsia="en-GB"/>
        </w:rPr>
      </w:pPr>
      <w:r w:rsidRPr="00C94AFC">
        <w:rPr>
          <w:rFonts w:eastAsia="Times New Roman"/>
          <w:lang w:eastAsia="en-GB"/>
        </w:rPr>
        <w:t xml:space="preserve">Following </w:t>
      </w:r>
      <w:r w:rsidR="0088662D" w:rsidRPr="00C94AFC">
        <w:rPr>
          <w:rFonts w:eastAsia="Times New Roman"/>
          <w:lang w:eastAsia="en-GB"/>
        </w:rPr>
        <w:t>discussion</w:t>
      </w:r>
      <w:r w:rsidR="00B823C3" w:rsidRPr="00C94AFC">
        <w:rPr>
          <w:rFonts w:eastAsia="Times New Roman"/>
          <w:lang w:eastAsia="en-GB"/>
        </w:rPr>
        <w:t>s</w:t>
      </w:r>
      <w:r w:rsidR="0088662D" w:rsidRPr="00C94AFC">
        <w:rPr>
          <w:rFonts w:eastAsia="Times New Roman"/>
          <w:lang w:eastAsia="en-GB"/>
        </w:rPr>
        <w:t xml:space="preserve"> </w:t>
      </w:r>
      <w:r w:rsidR="00BC2FD9">
        <w:rPr>
          <w:rFonts w:eastAsia="Times New Roman"/>
          <w:lang w:eastAsia="en-GB"/>
        </w:rPr>
        <w:t>with</w:t>
      </w:r>
      <w:r w:rsidRPr="00C94AFC">
        <w:rPr>
          <w:rFonts w:eastAsia="Times New Roman"/>
          <w:lang w:eastAsia="en-GB"/>
        </w:rPr>
        <w:t xml:space="preserve">in the DUCG, the Commission published guidelines </w:t>
      </w:r>
      <w:r w:rsidR="30252B1A" w:rsidRPr="00C94AFC">
        <w:rPr>
          <w:rFonts w:eastAsia="Times New Roman"/>
          <w:lang w:eastAsia="en-GB"/>
        </w:rPr>
        <w:t>for</w:t>
      </w:r>
      <w:r w:rsidRPr="00C94AFC">
        <w:rPr>
          <w:rFonts w:eastAsia="Times New Roman"/>
          <w:lang w:eastAsia="en-GB"/>
        </w:rPr>
        <w:t xml:space="preserve"> </w:t>
      </w:r>
      <w:r w:rsidR="005F6D6B" w:rsidRPr="00C94AFC">
        <w:rPr>
          <w:rFonts w:eastAsia="Times New Roman"/>
          <w:lang w:eastAsia="en-GB"/>
        </w:rPr>
        <w:t xml:space="preserve">exporters of </w:t>
      </w:r>
      <w:r w:rsidR="68D41F57" w:rsidRPr="00C94AFC">
        <w:rPr>
          <w:rFonts w:eastAsia="Times New Roman"/>
          <w:lang w:eastAsia="en-GB"/>
        </w:rPr>
        <w:t>cyber</w:t>
      </w:r>
      <w:r w:rsidR="43660635" w:rsidRPr="00C94AFC">
        <w:rPr>
          <w:rFonts w:eastAsia="Times New Roman"/>
          <w:lang w:eastAsia="en-GB"/>
        </w:rPr>
        <w:t>-</w:t>
      </w:r>
      <w:r w:rsidR="68D41F57" w:rsidRPr="00C94AFC">
        <w:rPr>
          <w:rFonts w:eastAsia="Times New Roman"/>
          <w:lang w:eastAsia="en-GB"/>
        </w:rPr>
        <w:t>surveillance</w:t>
      </w:r>
      <w:r w:rsidRPr="00C94AFC">
        <w:rPr>
          <w:rFonts w:eastAsia="Times New Roman"/>
          <w:lang w:eastAsia="en-GB"/>
        </w:rPr>
        <w:t xml:space="preserve"> </w:t>
      </w:r>
      <w:r w:rsidR="005F6D6B" w:rsidRPr="00C94AFC">
        <w:rPr>
          <w:rFonts w:eastAsia="Times New Roman"/>
          <w:lang w:eastAsia="en-GB"/>
        </w:rPr>
        <w:t xml:space="preserve">technologies </w:t>
      </w:r>
      <w:r w:rsidRPr="00C94AFC">
        <w:rPr>
          <w:rFonts w:eastAsia="Times New Roman"/>
          <w:lang w:eastAsia="en-GB"/>
        </w:rPr>
        <w:t xml:space="preserve">and </w:t>
      </w:r>
      <w:r w:rsidR="486CC443" w:rsidRPr="00C94AFC">
        <w:rPr>
          <w:rFonts w:eastAsia="Times New Roman"/>
          <w:lang w:eastAsia="en-GB"/>
        </w:rPr>
        <w:t xml:space="preserve">guidelines for </w:t>
      </w:r>
      <w:r w:rsidRPr="00C94AFC">
        <w:rPr>
          <w:rFonts w:eastAsia="Times New Roman"/>
          <w:lang w:eastAsia="en-GB"/>
        </w:rPr>
        <w:t xml:space="preserve">gathering </w:t>
      </w:r>
      <w:r w:rsidR="09EBDB2D" w:rsidRPr="00C94AFC">
        <w:rPr>
          <w:rFonts w:eastAsia="Times New Roman"/>
          <w:lang w:eastAsia="en-GB"/>
        </w:rPr>
        <w:t xml:space="preserve">and processing </w:t>
      </w:r>
      <w:r w:rsidR="00BC2FD9">
        <w:rPr>
          <w:rFonts w:eastAsia="Times New Roman"/>
          <w:lang w:eastAsia="en-GB"/>
        </w:rPr>
        <w:t xml:space="preserve">data </w:t>
      </w:r>
      <w:r w:rsidR="09EBDB2D" w:rsidRPr="00C94AFC">
        <w:rPr>
          <w:rFonts w:eastAsia="Times New Roman"/>
          <w:lang w:eastAsia="en-GB"/>
        </w:rPr>
        <w:t>on export controls.</w:t>
      </w:r>
    </w:p>
    <w:p w14:paraId="2307DFFA" w14:textId="21E693E6" w:rsidR="619A466D" w:rsidRPr="00C94AFC" w:rsidRDefault="5472051F" w:rsidP="100A786D">
      <w:pPr>
        <w:spacing w:before="240" w:beforeAutospacing="1" w:after="240" w:afterAutospacing="1" w:line="259" w:lineRule="auto"/>
        <w:jc w:val="both"/>
        <w:rPr>
          <w:rFonts w:eastAsia="Times New Roman"/>
        </w:rPr>
      </w:pPr>
      <w:r w:rsidRPr="00C94AFC">
        <w:rPr>
          <w:rFonts w:eastAsia="Times New Roman"/>
        </w:rPr>
        <w:t xml:space="preserve">First, </w:t>
      </w:r>
      <w:r w:rsidR="5950168B" w:rsidRPr="00C94AFC">
        <w:rPr>
          <w:rFonts w:eastAsia="Times New Roman"/>
        </w:rPr>
        <w:t>t</w:t>
      </w:r>
      <w:r w:rsidR="397DED81" w:rsidRPr="00C94AFC">
        <w:rPr>
          <w:rFonts w:eastAsia="Times New Roman"/>
        </w:rPr>
        <w:t xml:space="preserve">he Commission published </w:t>
      </w:r>
      <w:r w:rsidR="00BC2FD9">
        <w:rPr>
          <w:rFonts w:eastAsia="Times New Roman"/>
        </w:rPr>
        <w:t>g</w:t>
      </w:r>
      <w:r w:rsidR="397DED81" w:rsidRPr="00C94AFC">
        <w:rPr>
          <w:rFonts w:eastAsia="Times New Roman"/>
        </w:rPr>
        <w:t>uidelines on data</w:t>
      </w:r>
      <w:r w:rsidR="00BC2FD9">
        <w:rPr>
          <w:rFonts w:eastAsia="Times New Roman"/>
        </w:rPr>
        <w:t xml:space="preserve"> </w:t>
      </w:r>
      <w:r w:rsidR="397DED81" w:rsidRPr="00C94AFC">
        <w:rPr>
          <w:rFonts w:eastAsia="Times New Roman"/>
        </w:rPr>
        <w:t>gathering and processing for export controls on 17</w:t>
      </w:r>
      <w:r w:rsidR="00C94AFC">
        <w:rPr>
          <w:rFonts w:eastAsia="Times New Roman"/>
        </w:rPr>
        <w:t> </w:t>
      </w:r>
      <w:r w:rsidR="397DED81" w:rsidRPr="00C94AFC">
        <w:rPr>
          <w:rFonts w:eastAsia="Times New Roman"/>
        </w:rPr>
        <w:t>January 2024</w:t>
      </w:r>
      <w:r w:rsidR="00D260A7" w:rsidRPr="00C94AFC">
        <w:rPr>
          <w:rStyle w:val="FootnoteReference"/>
          <w:rFonts w:eastAsia="Times New Roman"/>
        </w:rPr>
        <w:footnoteReference w:id="21"/>
      </w:r>
      <w:r w:rsidR="00C94AFC" w:rsidRPr="00C94AFC">
        <w:rPr>
          <w:rFonts w:eastAsia="Times New Roman"/>
        </w:rPr>
        <w:t>.</w:t>
      </w:r>
      <w:r w:rsidR="397DED81" w:rsidRPr="00C94AFC">
        <w:rPr>
          <w:rFonts w:eastAsia="Times New Roman"/>
        </w:rPr>
        <w:t xml:space="preserve"> </w:t>
      </w:r>
      <w:r w:rsidR="00F24F94" w:rsidRPr="00C94AFC">
        <w:rPr>
          <w:rFonts w:eastAsia="Times New Roman"/>
        </w:rPr>
        <w:t>T</w:t>
      </w:r>
      <w:r w:rsidR="397DED81" w:rsidRPr="00C94AFC">
        <w:rPr>
          <w:rFonts w:eastAsia="Times New Roman"/>
        </w:rPr>
        <w:t>h</w:t>
      </w:r>
      <w:r w:rsidR="00BC2FD9">
        <w:rPr>
          <w:rFonts w:eastAsia="Times New Roman"/>
        </w:rPr>
        <w:t>os</w:t>
      </w:r>
      <w:r w:rsidR="397DED81" w:rsidRPr="00C94AFC">
        <w:rPr>
          <w:rFonts w:eastAsia="Times New Roman"/>
        </w:rPr>
        <w:t xml:space="preserve">e </w:t>
      </w:r>
      <w:r w:rsidR="00BC2FD9">
        <w:rPr>
          <w:rFonts w:eastAsia="Times New Roman"/>
        </w:rPr>
        <w:t>g</w:t>
      </w:r>
      <w:r w:rsidR="397DED81" w:rsidRPr="00C94AFC">
        <w:rPr>
          <w:rFonts w:eastAsia="Times New Roman"/>
        </w:rPr>
        <w:t xml:space="preserve">uidelines establish detailed procedures for collecting licensing data from national authorities to enhance transparency and information sharing. </w:t>
      </w:r>
      <w:r w:rsidR="00BC2FD9">
        <w:rPr>
          <w:rFonts w:eastAsia="Times New Roman"/>
        </w:rPr>
        <w:t>This</w:t>
      </w:r>
      <w:r w:rsidR="00C94AFC" w:rsidRPr="00C94AFC">
        <w:rPr>
          <w:rFonts w:eastAsia="Times New Roman"/>
        </w:rPr>
        <w:t xml:space="preserve"> </w:t>
      </w:r>
      <w:r w:rsidR="397DED81" w:rsidRPr="00C94AFC">
        <w:rPr>
          <w:rFonts w:eastAsia="Times New Roman"/>
        </w:rPr>
        <w:t>enable</w:t>
      </w:r>
      <w:r w:rsidR="00BC2FD9">
        <w:rPr>
          <w:rFonts w:eastAsia="Times New Roman"/>
        </w:rPr>
        <w:t>s</w:t>
      </w:r>
      <w:r w:rsidR="397DED81" w:rsidRPr="00C94AFC">
        <w:rPr>
          <w:rFonts w:eastAsia="Times New Roman"/>
        </w:rPr>
        <w:t xml:space="preserve"> the EU’s annual export control report to include more detailed statistics on authorisations and denials. By improving public reporting, the </w:t>
      </w:r>
      <w:r w:rsidR="00264290">
        <w:rPr>
          <w:rFonts w:eastAsia="Times New Roman"/>
        </w:rPr>
        <w:t>g</w:t>
      </w:r>
      <w:r w:rsidR="397DED81" w:rsidRPr="00C94AFC">
        <w:rPr>
          <w:rFonts w:eastAsia="Times New Roman"/>
        </w:rPr>
        <w:t xml:space="preserve">uidelines aim to provide exporters, civil society and the public with a clearer picture of EU export control implementation, support dialogue with </w:t>
      </w:r>
      <w:r w:rsidR="00930749">
        <w:rPr>
          <w:rFonts w:eastAsia="Times New Roman"/>
        </w:rPr>
        <w:t>non-EU</w:t>
      </w:r>
      <w:r w:rsidR="00930749" w:rsidRPr="00C94AFC">
        <w:rPr>
          <w:rFonts w:eastAsia="Times New Roman"/>
        </w:rPr>
        <w:t xml:space="preserve"> </w:t>
      </w:r>
      <w:r w:rsidR="397DED81" w:rsidRPr="00C94AFC">
        <w:rPr>
          <w:rFonts w:eastAsia="Times New Roman"/>
        </w:rPr>
        <w:t>countries and promote good reporting practices internationally</w:t>
      </w:r>
      <w:r w:rsidR="0CAC8D84" w:rsidRPr="00C94AFC">
        <w:rPr>
          <w:rFonts w:eastAsia="Times New Roman"/>
        </w:rPr>
        <w:t>.</w:t>
      </w:r>
    </w:p>
    <w:p w14:paraId="009CEBC5" w14:textId="7FED7AD6" w:rsidR="026F14E6" w:rsidRPr="00C94AFC" w:rsidRDefault="26B7B6F8" w:rsidP="2AFE86F6">
      <w:pPr>
        <w:spacing w:before="240" w:after="240" w:line="259" w:lineRule="auto"/>
        <w:jc w:val="both"/>
        <w:rPr>
          <w:rFonts w:eastAsia="Times New Roman"/>
        </w:rPr>
      </w:pPr>
      <w:r w:rsidRPr="00C94AFC">
        <w:rPr>
          <w:rFonts w:eastAsia="Times New Roman"/>
        </w:rPr>
        <w:t xml:space="preserve">Second, </w:t>
      </w:r>
      <w:r w:rsidR="00264290" w:rsidRPr="00C94AFC">
        <w:rPr>
          <w:rFonts w:eastAsia="Times New Roman"/>
        </w:rPr>
        <w:t>on 16</w:t>
      </w:r>
      <w:r w:rsidR="00264290">
        <w:rPr>
          <w:rFonts w:eastAsia="Times New Roman"/>
        </w:rPr>
        <w:t> </w:t>
      </w:r>
      <w:r w:rsidR="00264290" w:rsidRPr="00C94AFC">
        <w:rPr>
          <w:rFonts w:eastAsia="Times New Roman"/>
        </w:rPr>
        <w:t>October 2024</w:t>
      </w:r>
      <w:r w:rsidR="00264290">
        <w:rPr>
          <w:rFonts w:eastAsia="Times New Roman"/>
        </w:rPr>
        <w:t>,</w:t>
      </w:r>
      <w:r w:rsidR="00264290" w:rsidRPr="00C94AFC">
        <w:rPr>
          <w:rFonts w:eastAsia="Times New Roman"/>
        </w:rPr>
        <w:t xml:space="preserve"> </w:t>
      </w:r>
      <w:r w:rsidRPr="00C94AFC">
        <w:rPr>
          <w:rFonts w:eastAsia="Times New Roman"/>
        </w:rPr>
        <w:t xml:space="preserve">the Commission published guidelines for </w:t>
      </w:r>
      <w:r w:rsidR="00BC00A0" w:rsidRPr="00C94AFC">
        <w:rPr>
          <w:rFonts w:eastAsia="Times New Roman"/>
        </w:rPr>
        <w:t xml:space="preserve">exporters of </w:t>
      </w:r>
      <w:r w:rsidRPr="00C94AFC">
        <w:rPr>
          <w:rFonts w:eastAsia="Times New Roman"/>
        </w:rPr>
        <w:t xml:space="preserve">cyber-surveillance </w:t>
      </w:r>
      <w:r w:rsidR="00BC00A0" w:rsidRPr="00C94AFC">
        <w:rPr>
          <w:rFonts w:eastAsia="Times New Roman"/>
        </w:rPr>
        <w:t>items</w:t>
      </w:r>
      <w:r w:rsidR="00264290">
        <w:rPr>
          <w:rFonts w:eastAsia="Times New Roman"/>
        </w:rPr>
        <w:t xml:space="preserve"> with the</w:t>
      </w:r>
      <w:r w:rsidR="00BC00A0" w:rsidRPr="00C94AFC">
        <w:rPr>
          <w:rFonts w:eastAsia="Times New Roman"/>
        </w:rPr>
        <w:t xml:space="preserve"> </w:t>
      </w:r>
      <w:r w:rsidRPr="00C94AFC">
        <w:rPr>
          <w:rFonts w:eastAsia="Times New Roman"/>
        </w:rPr>
        <w:t>inten</w:t>
      </w:r>
      <w:r w:rsidR="00264290">
        <w:rPr>
          <w:rFonts w:eastAsia="Times New Roman"/>
        </w:rPr>
        <w:t>tion</w:t>
      </w:r>
      <w:r w:rsidRPr="00C94AFC">
        <w:rPr>
          <w:rFonts w:eastAsia="Times New Roman"/>
        </w:rPr>
        <w:t xml:space="preserve"> to raise awareness of the risks of </w:t>
      </w:r>
      <w:r w:rsidR="00264290">
        <w:rPr>
          <w:rFonts w:eastAsia="Times New Roman"/>
        </w:rPr>
        <w:t xml:space="preserve">such items being </w:t>
      </w:r>
      <w:r w:rsidRPr="00C94AFC">
        <w:rPr>
          <w:rFonts w:eastAsia="Times New Roman"/>
        </w:rPr>
        <w:t>misuse</w:t>
      </w:r>
      <w:r w:rsidR="00264290">
        <w:rPr>
          <w:rFonts w:eastAsia="Times New Roman"/>
        </w:rPr>
        <w:t>d</w:t>
      </w:r>
      <w:r w:rsidRPr="00C94AFC">
        <w:rPr>
          <w:rFonts w:eastAsia="Times New Roman"/>
        </w:rPr>
        <w:t xml:space="preserve"> and </w:t>
      </w:r>
      <w:r w:rsidR="00264290">
        <w:rPr>
          <w:rFonts w:eastAsia="Times New Roman"/>
        </w:rPr>
        <w:t xml:space="preserve">to </w:t>
      </w:r>
      <w:r w:rsidRPr="00C94AFC">
        <w:rPr>
          <w:rFonts w:eastAsia="Times New Roman"/>
        </w:rPr>
        <w:t xml:space="preserve">provide exporters with practical tools to assess </w:t>
      </w:r>
      <w:r w:rsidR="00CF20D3" w:rsidRPr="00C94AFC">
        <w:rPr>
          <w:rFonts w:eastAsia="Times New Roman"/>
        </w:rPr>
        <w:t xml:space="preserve">the possible </w:t>
      </w:r>
      <w:r w:rsidRPr="00C94AFC">
        <w:rPr>
          <w:rFonts w:eastAsia="Times New Roman"/>
        </w:rPr>
        <w:t>human rights impacts</w:t>
      </w:r>
      <w:r w:rsidR="00BC00A0" w:rsidRPr="00C94AFC">
        <w:rPr>
          <w:rFonts w:eastAsia="Times New Roman"/>
        </w:rPr>
        <w:t xml:space="preserve"> of such misuse</w:t>
      </w:r>
      <w:r w:rsidR="026F14E6" w:rsidRPr="00C94AFC">
        <w:rPr>
          <w:rFonts w:eastAsia="Times New Roman"/>
          <w:vertAlign w:val="superscript"/>
        </w:rPr>
        <w:footnoteReference w:id="22"/>
      </w:r>
      <w:r w:rsidR="00C94AFC" w:rsidRPr="00C94AFC">
        <w:rPr>
          <w:rFonts w:eastAsia="Times New Roman"/>
        </w:rPr>
        <w:t>.</w:t>
      </w:r>
      <w:r w:rsidR="19F7E32D" w:rsidRPr="00C94AFC">
        <w:rPr>
          <w:rFonts w:eastAsia="Times New Roman"/>
        </w:rPr>
        <w:t xml:space="preserve"> T</w:t>
      </w:r>
      <w:r w:rsidRPr="00C94AFC">
        <w:rPr>
          <w:rFonts w:eastAsia="Times New Roman"/>
        </w:rPr>
        <w:t xml:space="preserve">he guidelines aim to make EU export controls more effective and consistent across Member States by helping exporters conduct due diligence </w:t>
      </w:r>
      <w:r w:rsidR="00264290">
        <w:rPr>
          <w:rFonts w:eastAsia="Times New Roman"/>
        </w:rPr>
        <w:t xml:space="preserve">checks </w:t>
      </w:r>
      <w:r w:rsidRPr="00C94AFC">
        <w:rPr>
          <w:rFonts w:eastAsia="Times New Roman"/>
        </w:rPr>
        <w:t xml:space="preserve">through a step-by-step approach to transaction screening. The guidelines strengthen the </w:t>
      </w:r>
      <w:r w:rsidR="00C94AFC">
        <w:rPr>
          <w:rFonts w:eastAsia="Times New Roman"/>
        </w:rPr>
        <w:t>‘</w:t>
      </w:r>
      <w:r w:rsidRPr="00C94AFC">
        <w:rPr>
          <w:rFonts w:eastAsia="Times New Roman"/>
        </w:rPr>
        <w:t>protect</w:t>
      </w:r>
      <w:r w:rsidR="00C94AFC">
        <w:rPr>
          <w:rFonts w:eastAsia="Times New Roman"/>
        </w:rPr>
        <w:t>’</w:t>
      </w:r>
      <w:r w:rsidRPr="00C94AFC">
        <w:rPr>
          <w:rFonts w:eastAsia="Times New Roman"/>
        </w:rPr>
        <w:t xml:space="preserve"> pillar of the 2023 European </w:t>
      </w:r>
      <w:r w:rsidR="00264290">
        <w:rPr>
          <w:rFonts w:eastAsia="Times New Roman"/>
        </w:rPr>
        <w:t>e</w:t>
      </w:r>
      <w:r w:rsidRPr="00C94AFC">
        <w:rPr>
          <w:rFonts w:eastAsia="Times New Roman"/>
        </w:rPr>
        <w:t xml:space="preserve">conomic </w:t>
      </w:r>
      <w:r w:rsidR="00264290">
        <w:rPr>
          <w:rFonts w:eastAsia="Times New Roman"/>
        </w:rPr>
        <w:t>s</w:t>
      </w:r>
      <w:r w:rsidRPr="00C94AFC">
        <w:rPr>
          <w:rFonts w:eastAsia="Times New Roman"/>
        </w:rPr>
        <w:t xml:space="preserve">ecurity </w:t>
      </w:r>
      <w:r w:rsidR="00264290">
        <w:rPr>
          <w:rFonts w:eastAsia="Times New Roman"/>
        </w:rPr>
        <w:t>s</w:t>
      </w:r>
      <w:r w:rsidRPr="00C94AFC">
        <w:rPr>
          <w:rFonts w:eastAsia="Times New Roman"/>
        </w:rPr>
        <w:t>trategy by promoting responsible and secure export practices.</w:t>
      </w:r>
    </w:p>
    <w:p w14:paraId="4C28470B" w14:textId="313BD404" w:rsidR="00AA655D" w:rsidRPr="00C94AFC" w:rsidRDefault="5716157B" w:rsidP="3391EFF5">
      <w:pPr>
        <w:keepNext/>
        <w:spacing w:before="240" w:after="240" w:line="259" w:lineRule="auto"/>
        <w:jc w:val="both"/>
        <w:rPr>
          <w:rFonts w:eastAsia="Times New Roman"/>
          <w:b/>
          <w:bCs/>
          <w:lang w:eastAsia="en-GB"/>
        </w:rPr>
      </w:pPr>
      <w:r w:rsidRPr="00C94AFC">
        <w:rPr>
          <w:rFonts w:eastAsia="Times New Roman"/>
          <w:b/>
          <w:bCs/>
          <w:lang w:eastAsia="en-GB"/>
        </w:rPr>
        <w:t>3.</w:t>
      </w:r>
      <w:r w:rsidR="11DAD63A" w:rsidRPr="00C94AFC">
        <w:rPr>
          <w:rFonts w:eastAsia="Times New Roman"/>
          <w:b/>
          <w:bCs/>
          <w:lang w:eastAsia="en-GB"/>
        </w:rPr>
        <w:t>3</w:t>
      </w:r>
      <w:r w:rsidR="00AA655D" w:rsidRPr="00C94AFC">
        <w:tab/>
      </w:r>
      <w:r w:rsidRPr="00C94AFC">
        <w:rPr>
          <w:rFonts w:eastAsia="Times New Roman"/>
          <w:b/>
          <w:bCs/>
          <w:lang w:eastAsia="en-GB"/>
        </w:rPr>
        <w:t xml:space="preserve">Technical </w:t>
      </w:r>
      <w:r w:rsidRPr="00C94AFC">
        <w:rPr>
          <w:rFonts w:eastAsia="Calibri"/>
          <w:b/>
          <w:bCs/>
        </w:rPr>
        <w:t xml:space="preserve">exchange of information </w:t>
      </w:r>
      <w:r w:rsidR="3FDF35B9" w:rsidRPr="00C94AFC">
        <w:rPr>
          <w:rFonts w:eastAsia="Calibri"/>
          <w:b/>
          <w:bCs/>
        </w:rPr>
        <w:t>–</w:t>
      </w:r>
      <w:r w:rsidRPr="00C94AFC">
        <w:rPr>
          <w:rFonts w:eastAsia="Calibri"/>
          <w:b/>
          <w:bCs/>
        </w:rPr>
        <w:t xml:space="preserve"> </w:t>
      </w:r>
      <w:r w:rsidR="000900D4">
        <w:rPr>
          <w:rFonts w:eastAsia="Calibri"/>
          <w:b/>
          <w:bCs/>
        </w:rPr>
        <w:t>t</w:t>
      </w:r>
      <w:r w:rsidR="204AAC04" w:rsidRPr="00C94AFC">
        <w:rPr>
          <w:rFonts w:eastAsia="Calibri"/>
          <w:b/>
          <w:bCs/>
        </w:rPr>
        <w:t xml:space="preserve">echnical </w:t>
      </w:r>
      <w:r w:rsidR="000900D4">
        <w:rPr>
          <w:rFonts w:eastAsia="Calibri"/>
          <w:b/>
          <w:bCs/>
        </w:rPr>
        <w:t>e</w:t>
      </w:r>
      <w:r w:rsidR="204AAC04" w:rsidRPr="00C94AFC">
        <w:rPr>
          <w:rFonts w:eastAsia="Calibri"/>
          <w:b/>
          <w:bCs/>
        </w:rPr>
        <w:t xml:space="preserve">xpert </w:t>
      </w:r>
      <w:r w:rsidR="000900D4">
        <w:rPr>
          <w:rFonts w:eastAsia="Calibri"/>
          <w:b/>
          <w:bCs/>
        </w:rPr>
        <w:t>g</w:t>
      </w:r>
      <w:r w:rsidR="204AAC04" w:rsidRPr="00C94AFC">
        <w:rPr>
          <w:rFonts w:eastAsia="Calibri"/>
          <w:b/>
          <w:bCs/>
        </w:rPr>
        <w:t>roups</w:t>
      </w:r>
    </w:p>
    <w:p w14:paraId="3AF5BCFC" w14:textId="5F415F04" w:rsidR="008B5030" w:rsidRPr="00C94AFC" w:rsidRDefault="372D92F6" w:rsidP="3391EFF5">
      <w:pPr>
        <w:spacing w:before="100" w:beforeAutospacing="1" w:after="100" w:afterAutospacing="1"/>
        <w:jc w:val="both"/>
      </w:pPr>
      <w:bookmarkStart w:id="8" w:name="_Toc368065777"/>
      <w:r w:rsidRPr="00C94AFC">
        <w:rPr>
          <w:rFonts w:eastAsia="Times New Roman"/>
          <w:lang w:eastAsia="en-GB"/>
        </w:rPr>
        <w:t>Member</w:t>
      </w:r>
      <w:r w:rsidRPr="00C94AFC">
        <w:t xml:space="preserve"> States’ competent authorities in the DUCG provided technical expertise supporting the updates to the EU control list, and </w:t>
      </w:r>
      <w:r w:rsidR="000900D4">
        <w:t xml:space="preserve">they </w:t>
      </w:r>
      <w:r w:rsidRPr="00C94AFC">
        <w:t xml:space="preserve">engaged in discussions on </w:t>
      </w:r>
      <w:r w:rsidR="00CF5C6F">
        <w:t>several</w:t>
      </w:r>
      <w:r w:rsidRPr="00C94AFC">
        <w:t xml:space="preserve"> specific implementation issues, as mentioned above.</w:t>
      </w:r>
    </w:p>
    <w:p w14:paraId="62BFC90A" w14:textId="01E2A65F" w:rsidR="008B5030" w:rsidRPr="00C94AFC" w:rsidRDefault="4E3903D6" w:rsidP="3391EFF5">
      <w:pPr>
        <w:spacing w:before="100" w:beforeAutospacing="1" w:after="100" w:afterAutospacing="1"/>
        <w:jc w:val="both"/>
      </w:pPr>
      <w:r w:rsidRPr="00C94AFC">
        <w:t>Under the Commission</w:t>
      </w:r>
      <w:r w:rsidR="0EA3EB2E" w:rsidRPr="00C94AFC">
        <w:t>’s coordination</w:t>
      </w:r>
      <w:r w:rsidRPr="00C94AFC">
        <w:t xml:space="preserve">, the </w:t>
      </w:r>
      <w:r w:rsidR="65D67DB3" w:rsidRPr="00C94AFC">
        <w:t>DUCG</w:t>
      </w:r>
      <w:r w:rsidR="215F9770" w:rsidRPr="00C94AFC">
        <w:t xml:space="preserve"> also</w:t>
      </w:r>
      <w:r w:rsidR="65D67DB3" w:rsidRPr="00C94AFC">
        <w:t xml:space="preserve"> </w:t>
      </w:r>
      <w:r w:rsidR="553D4DCA" w:rsidRPr="00C94AFC">
        <w:t xml:space="preserve">took initiatives to address certain technical </w:t>
      </w:r>
      <w:r w:rsidR="553D4DCA" w:rsidRPr="00C94AFC">
        <w:rPr>
          <w:rFonts w:eastAsia="Times New Roman"/>
          <w:lang w:eastAsia="en-GB"/>
        </w:rPr>
        <w:t>implementation</w:t>
      </w:r>
      <w:r w:rsidR="553D4DCA" w:rsidRPr="00C94AFC">
        <w:t xml:space="preserve"> issues</w:t>
      </w:r>
      <w:r w:rsidR="49FEB326" w:rsidRPr="00C94AFC">
        <w:t>.</w:t>
      </w:r>
      <w:r w:rsidR="215F9770" w:rsidRPr="00C94AFC">
        <w:t xml:space="preserve"> </w:t>
      </w:r>
      <w:r w:rsidR="48CFA56C" w:rsidRPr="00C94AFC">
        <w:t>The specific role of</w:t>
      </w:r>
      <w:r w:rsidR="553D4DCA" w:rsidRPr="00C94AFC">
        <w:t xml:space="preserve"> technical expert groups</w:t>
      </w:r>
      <w:r w:rsidR="48CFA56C" w:rsidRPr="00C94AFC">
        <w:t xml:space="preserve"> </w:t>
      </w:r>
      <w:r w:rsidR="553D4DCA" w:rsidRPr="00C94AFC">
        <w:t xml:space="preserve">is now recognised in </w:t>
      </w:r>
      <w:r w:rsidR="3B8259CA" w:rsidRPr="00C94AFC">
        <w:t>Article</w:t>
      </w:r>
      <w:r w:rsidR="00C94AFC">
        <w:t> </w:t>
      </w:r>
      <w:r w:rsidR="3B8259CA" w:rsidRPr="00C94AFC">
        <w:t xml:space="preserve">24(3) of </w:t>
      </w:r>
      <w:r w:rsidR="553D4DCA" w:rsidRPr="00C94AFC">
        <w:t>the</w:t>
      </w:r>
      <w:r w:rsidR="00C94AFC" w:rsidRPr="00C94AFC">
        <w:t xml:space="preserve"> </w:t>
      </w:r>
      <w:r w:rsidR="553D4DCA" w:rsidRPr="00C94AFC">
        <w:t>Regulation</w:t>
      </w:r>
      <w:r w:rsidR="2B8A3CAE" w:rsidRPr="00C94AFC">
        <w:t>.</w:t>
      </w:r>
    </w:p>
    <w:p w14:paraId="2C7CC3FA" w14:textId="0A3D98A5" w:rsidR="008B5030" w:rsidRPr="00C94AFC" w:rsidRDefault="0F040ACC" w:rsidP="3391EFF5">
      <w:pPr>
        <w:spacing w:before="100" w:beforeAutospacing="1" w:after="100" w:afterAutospacing="1"/>
        <w:jc w:val="both"/>
      </w:pPr>
      <w:r w:rsidRPr="00C94AFC">
        <w:lastRenderedPageBreak/>
        <w:t xml:space="preserve">The </w:t>
      </w:r>
      <w:r w:rsidR="000900D4">
        <w:t>e</w:t>
      </w:r>
      <w:r w:rsidRPr="00C94AFC">
        <w:t xml:space="preserve">nforcement </w:t>
      </w:r>
      <w:r w:rsidR="000900D4">
        <w:t>c</w:t>
      </w:r>
      <w:r w:rsidRPr="00C94AFC">
        <w:t xml:space="preserve">oordination </w:t>
      </w:r>
      <w:r w:rsidR="000900D4">
        <w:t>m</w:t>
      </w:r>
      <w:r w:rsidRPr="00C94AFC">
        <w:t>echanism (ECM)</w:t>
      </w:r>
      <w:r w:rsidR="157334E4" w:rsidRPr="00C94AFC">
        <w:t>, set up</w:t>
      </w:r>
      <w:r w:rsidRPr="00C94AFC">
        <w:t xml:space="preserve"> in accordance with Article</w:t>
      </w:r>
      <w:r w:rsidR="00C94AFC">
        <w:t> </w:t>
      </w:r>
      <w:r w:rsidRPr="00C94AFC">
        <w:t>25 of the Regulation</w:t>
      </w:r>
      <w:r w:rsidR="56B5A59D" w:rsidRPr="00C94AFC">
        <w:t xml:space="preserve">, </w:t>
      </w:r>
      <w:r w:rsidRPr="00C94AFC">
        <w:t>met six times in 2024 to support the exchange of information and direct cooperation between competent authorities and enforcement agencies of the Member States</w:t>
      </w:r>
      <w:r w:rsidR="77D2A829" w:rsidRPr="00C94AFC">
        <w:t>.</w:t>
      </w:r>
    </w:p>
    <w:p w14:paraId="3AE52EF9" w14:textId="4AA0CACF" w:rsidR="008B5030" w:rsidRPr="00C94AFC" w:rsidRDefault="77D2A829" w:rsidP="49F47F3A">
      <w:pPr>
        <w:spacing w:before="100" w:beforeAutospacing="1" w:after="100" w:afterAutospacing="1"/>
        <w:jc w:val="both"/>
        <w:rPr>
          <w:rFonts w:eastAsia="Times New Roman"/>
        </w:rPr>
      </w:pPr>
      <w:r>
        <w:t xml:space="preserve">Finally, </w:t>
      </w:r>
      <w:r w:rsidR="1C7978EF">
        <w:t>the C</w:t>
      </w:r>
      <w:r w:rsidR="1C7978EF" w:rsidRPr="49F47F3A">
        <w:rPr>
          <w:rFonts w:eastAsia="Times New Roman"/>
        </w:rPr>
        <w:t xml:space="preserve">apacity Building Technical Expert Group (CB-TEG) </w:t>
      </w:r>
      <w:r w:rsidR="000900D4" w:rsidRPr="49F47F3A">
        <w:rPr>
          <w:rFonts w:eastAsia="Times New Roman"/>
        </w:rPr>
        <w:t xml:space="preserve">held its </w:t>
      </w:r>
      <w:r w:rsidR="1C7978EF" w:rsidRPr="49F47F3A">
        <w:rPr>
          <w:rFonts w:eastAsia="Times New Roman"/>
        </w:rPr>
        <w:t>third and fourth progress meetings on 13 March and 17</w:t>
      </w:r>
      <w:r w:rsidR="00C94AFC" w:rsidRPr="49F47F3A">
        <w:rPr>
          <w:rFonts w:eastAsia="Times New Roman"/>
        </w:rPr>
        <w:t> </w:t>
      </w:r>
      <w:r w:rsidR="1C7978EF" w:rsidRPr="49F47F3A">
        <w:rPr>
          <w:rFonts w:eastAsia="Times New Roman"/>
        </w:rPr>
        <w:t>May 2024, which were dedicated</w:t>
      </w:r>
      <w:r w:rsidR="00CF5C6F" w:rsidRPr="49F47F3A">
        <w:rPr>
          <w:rFonts w:eastAsia="Times New Roman"/>
        </w:rPr>
        <w:t>,</w:t>
      </w:r>
      <w:r w:rsidR="1C7978EF" w:rsidRPr="49F47F3A">
        <w:rPr>
          <w:rFonts w:eastAsia="Times New Roman"/>
        </w:rPr>
        <w:t xml:space="preserve"> </w:t>
      </w:r>
      <w:r w:rsidR="00CF5C6F" w:rsidRPr="49F47F3A">
        <w:rPr>
          <w:rFonts w:eastAsia="Times New Roman"/>
        </w:rPr>
        <w:t xml:space="preserve">respectively, </w:t>
      </w:r>
      <w:r w:rsidR="1C7978EF" w:rsidRPr="49F47F3A">
        <w:rPr>
          <w:rFonts w:eastAsia="Times New Roman"/>
        </w:rPr>
        <w:t>to identify</w:t>
      </w:r>
      <w:r w:rsidR="000900D4" w:rsidRPr="49F47F3A">
        <w:rPr>
          <w:rFonts w:eastAsia="Times New Roman"/>
        </w:rPr>
        <w:t>ing</w:t>
      </w:r>
      <w:r w:rsidR="1C7978EF" w:rsidRPr="49F47F3A">
        <w:rPr>
          <w:rFonts w:eastAsia="Times New Roman"/>
        </w:rPr>
        <w:t xml:space="preserve"> </w:t>
      </w:r>
      <w:r w:rsidR="000900D4" w:rsidRPr="49F47F3A">
        <w:rPr>
          <w:rFonts w:eastAsia="Times New Roman"/>
        </w:rPr>
        <w:t xml:space="preserve">the </w:t>
      </w:r>
      <w:r w:rsidR="1C7978EF" w:rsidRPr="49F47F3A">
        <w:rPr>
          <w:rFonts w:eastAsia="Times New Roman"/>
        </w:rPr>
        <w:t xml:space="preserve">priorities for 2024 </w:t>
      </w:r>
      <w:r w:rsidR="000900D4" w:rsidRPr="49F47F3A">
        <w:rPr>
          <w:rFonts w:eastAsia="Times New Roman"/>
        </w:rPr>
        <w:t xml:space="preserve">and to selecting </w:t>
      </w:r>
      <w:r w:rsidR="1C7978EF" w:rsidRPr="49F47F3A">
        <w:rPr>
          <w:rFonts w:eastAsia="Times New Roman"/>
        </w:rPr>
        <w:t xml:space="preserve">the topic </w:t>
      </w:r>
      <w:r w:rsidR="000900D4" w:rsidRPr="49F47F3A">
        <w:rPr>
          <w:rFonts w:eastAsia="Times New Roman"/>
        </w:rPr>
        <w:t>for</w:t>
      </w:r>
      <w:r w:rsidR="1C7978EF" w:rsidRPr="49F47F3A">
        <w:rPr>
          <w:rFonts w:eastAsia="Times New Roman"/>
        </w:rPr>
        <w:t xml:space="preserve"> the annual capacity</w:t>
      </w:r>
      <w:r w:rsidR="000900D4" w:rsidRPr="49F47F3A">
        <w:rPr>
          <w:rFonts w:eastAsia="Times New Roman"/>
        </w:rPr>
        <w:t>-</w:t>
      </w:r>
      <w:r w:rsidR="1C7978EF" w:rsidRPr="49F47F3A">
        <w:rPr>
          <w:rFonts w:eastAsia="Times New Roman"/>
        </w:rPr>
        <w:t xml:space="preserve">building event and </w:t>
      </w:r>
      <w:r w:rsidR="000900D4" w:rsidRPr="49F47F3A">
        <w:rPr>
          <w:rFonts w:eastAsia="Times New Roman"/>
        </w:rPr>
        <w:t xml:space="preserve">setting up </w:t>
      </w:r>
      <w:r w:rsidR="1C7978EF" w:rsidRPr="49F47F3A">
        <w:rPr>
          <w:rFonts w:eastAsia="Times New Roman"/>
        </w:rPr>
        <w:t xml:space="preserve">teams in charge of its organisation. </w:t>
      </w:r>
      <w:r w:rsidR="0091672C" w:rsidRPr="49F47F3A">
        <w:rPr>
          <w:rFonts w:eastAsia="Times New Roman"/>
        </w:rPr>
        <w:t>Subsequently, an</w:t>
      </w:r>
      <w:r w:rsidR="1C7978EF" w:rsidRPr="49F47F3A">
        <w:rPr>
          <w:rFonts w:eastAsia="Times New Roman"/>
        </w:rPr>
        <w:t xml:space="preserve"> EU capacity</w:t>
      </w:r>
      <w:r w:rsidR="000B0C95" w:rsidRPr="49F47F3A">
        <w:rPr>
          <w:rFonts w:eastAsia="Times New Roman"/>
        </w:rPr>
        <w:t>-</w:t>
      </w:r>
      <w:r w:rsidR="1C7978EF" w:rsidRPr="49F47F3A">
        <w:rPr>
          <w:rFonts w:eastAsia="Times New Roman"/>
        </w:rPr>
        <w:t>building technical seminar on dual-use restrictive measures was held in Budapest on 18</w:t>
      </w:r>
      <w:r w:rsidR="00C94AFC" w:rsidRPr="49F47F3A">
        <w:rPr>
          <w:rFonts w:eastAsia="Times New Roman"/>
        </w:rPr>
        <w:t> </w:t>
      </w:r>
      <w:r w:rsidR="1C7978EF" w:rsidRPr="49F47F3A">
        <w:rPr>
          <w:rFonts w:eastAsia="Times New Roman"/>
        </w:rPr>
        <w:t>September 2024, hosted by the Hungarian Presidency, back-to-back with the 17</w:t>
      </w:r>
      <w:r w:rsidR="1C7978EF" w:rsidRPr="49F47F3A">
        <w:rPr>
          <w:rFonts w:eastAsia="Times New Roman"/>
          <w:vertAlign w:val="superscript"/>
        </w:rPr>
        <w:t>th</w:t>
      </w:r>
      <w:r w:rsidR="1C7978EF" w:rsidRPr="49F47F3A">
        <w:rPr>
          <w:rFonts w:eastAsia="Times New Roman"/>
        </w:rPr>
        <w:t xml:space="preserve"> JRC-NNSA</w:t>
      </w:r>
      <w:r w:rsidRPr="49F47F3A">
        <w:rPr>
          <w:rFonts w:eastAsia="Times New Roman"/>
        </w:rPr>
        <w:footnoteReference w:id="23"/>
      </w:r>
      <w:r w:rsidR="1C7978EF" w:rsidRPr="49F47F3A">
        <w:rPr>
          <w:rFonts w:eastAsia="Times New Roman"/>
        </w:rPr>
        <w:t xml:space="preserve"> licensing seminar on the same topic but with complementary lectures and more extended non-EU attendance.</w:t>
      </w:r>
    </w:p>
    <w:p w14:paraId="1A2C9509" w14:textId="1591472F" w:rsidR="00814B24" w:rsidRPr="00C94AFC" w:rsidRDefault="697E245E" w:rsidP="3391EFF5">
      <w:pPr>
        <w:keepNext/>
        <w:spacing w:after="240"/>
        <w:jc w:val="both"/>
        <w:rPr>
          <w:rFonts w:eastAsia="Times New Roman"/>
          <w:b/>
          <w:bCs/>
          <w:lang w:eastAsia="en-GB"/>
        </w:rPr>
      </w:pPr>
      <w:r w:rsidRPr="00C94AFC">
        <w:rPr>
          <w:rFonts w:eastAsia="Times New Roman"/>
          <w:b/>
          <w:bCs/>
          <w:lang w:eastAsia="en-GB"/>
        </w:rPr>
        <w:t>3.</w:t>
      </w:r>
      <w:r w:rsidR="11DAD63A" w:rsidRPr="00C94AFC">
        <w:rPr>
          <w:rFonts w:eastAsia="Times New Roman"/>
          <w:b/>
          <w:bCs/>
          <w:lang w:eastAsia="en-GB"/>
        </w:rPr>
        <w:t>4</w:t>
      </w:r>
      <w:r w:rsidR="00CA3A7D" w:rsidRPr="00C94AFC">
        <w:tab/>
      </w:r>
      <w:r w:rsidR="12516143" w:rsidRPr="00C94AFC">
        <w:rPr>
          <w:rFonts w:eastAsia="Times New Roman"/>
          <w:b/>
          <w:bCs/>
          <w:lang w:eastAsia="en-GB"/>
        </w:rPr>
        <w:t xml:space="preserve">Technical support </w:t>
      </w:r>
      <w:r w:rsidR="0091672C">
        <w:rPr>
          <w:rFonts w:eastAsia="Times New Roman"/>
          <w:b/>
          <w:bCs/>
          <w:lang w:eastAsia="en-GB"/>
        </w:rPr>
        <w:t>for</w:t>
      </w:r>
      <w:r w:rsidR="12516143" w:rsidRPr="00C94AFC">
        <w:rPr>
          <w:rFonts w:eastAsia="Times New Roman"/>
          <w:b/>
          <w:bCs/>
          <w:lang w:eastAsia="en-GB"/>
        </w:rPr>
        <w:t xml:space="preserve"> the preparation of updates to the EU control list</w:t>
      </w:r>
      <w:r w:rsidR="44255DA6" w:rsidRPr="00C94AFC">
        <w:rPr>
          <w:rFonts w:eastAsia="Times New Roman"/>
          <w:b/>
          <w:bCs/>
          <w:lang w:eastAsia="en-GB"/>
        </w:rPr>
        <w:t xml:space="preserve"> and national implementing measures</w:t>
      </w:r>
    </w:p>
    <w:p w14:paraId="28A317D3" w14:textId="18E67942" w:rsidR="00814B24" w:rsidRPr="00C94AFC" w:rsidRDefault="4AB9E819" w:rsidP="33E1D2A8">
      <w:pPr>
        <w:spacing w:before="100" w:beforeAutospacing="1" w:after="100" w:afterAutospacing="1"/>
        <w:jc w:val="both"/>
      </w:pPr>
      <w:r>
        <w:t>T</w:t>
      </w:r>
      <w:r w:rsidR="12516143">
        <w:t xml:space="preserve">he DUCG held </w:t>
      </w:r>
      <w:r w:rsidR="46E2C80A">
        <w:t xml:space="preserve">a </w:t>
      </w:r>
      <w:r w:rsidR="12516143">
        <w:t>technical information session</w:t>
      </w:r>
      <w:r w:rsidR="46E2C80A">
        <w:t xml:space="preserve"> on </w:t>
      </w:r>
      <w:r w:rsidR="1E1211C8">
        <w:t>14</w:t>
      </w:r>
      <w:r w:rsidR="00C94AFC">
        <w:t> </w:t>
      </w:r>
      <w:r w:rsidR="1E1211C8">
        <w:t>March</w:t>
      </w:r>
      <w:r w:rsidR="6905ED36">
        <w:t xml:space="preserve"> 2024</w:t>
      </w:r>
      <w:r w:rsidR="12516143">
        <w:t xml:space="preserve"> to support the preparation of the proposal for a Commission </w:t>
      </w:r>
      <w:r w:rsidR="0091672C">
        <w:t>d</w:t>
      </w:r>
      <w:r w:rsidR="12516143">
        <w:t xml:space="preserve">elegated </w:t>
      </w:r>
      <w:r w:rsidR="0091672C">
        <w:t>r</w:t>
      </w:r>
      <w:r w:rsidR="12516143">
        <w:t xml:space="preserve">egulation updating the EU </w:t>
      </w:r>
      <w:r w:rsidR="0091672C">
        <w:t>c</w:t>
      </w:r>
      <w:r w:rsidR="12516143">
        <w:t xml:space="preserve">ontrol </w:t>
      </w:r>
      <w:r w:rsidR="0091672C">
        <w:t>l</w:t>
      </w:r>
      <w:r w:rsidR="12516143">
        <w:t xml:space="preserve">ist. The Commission adopted the </w:t>
      </w:r>
      <w:r w:rsidR="0091672C">
        <w:t>d</w:t>
      </w:r>
      <w:r w:rsidR="12516143">
        <w:t xml:space="preserve">elegated </w:t>
      </w:r>
      <w:r w:rsidR="0091672C">
        <w:t>a</w:t>
      </w:r>
      <w:r w:rsidR="12516143">
        <w:t xml:space="preserve">ct </w:t>
      </w:r>
      <w:r w:rsidR="1E2F44EE">
        <w:t>on 5</w:t>
      </w:r>
      <w:r w:rsidR="00C94AFC">
        <w:t> </w:t>
      </w:r>
      <w:r w:rsidR="1E2F44EE">
        <w:t>September</w:t>
      </w:r>
      <w:r w:rsidR="56BF6D6C">
        <w:t xml:space="preserve"> 2024</w:t>
      </w:r>
      <w:r w:rsidR="12516143">
        <w:t>.</w:t>
      </w:r>
    </w:p>
    <w:p w14:paraId="5763E69D" w14:textId="7BB2EB97" w:rsidR="009829E5" w:rsidRPr="00C94AFC" w:rsidRDefault="13EF9887" w:rsidP="3391EFF5">
      <w:pPr>
        <w:spacing w:before="100" w:beforeAutospacing="1" w:after="100" w:afterAutospacing="1"/>
        <w:jc w:val="both"/>
        <w:rPr>
          <w:rFonts w:eastAsia="Calibri"/>
          <w:lang w:eastAsia="en-GB"/>
        </w:rPr>
      </w:pPr>
      <w:r w:rsidRPr="00C94AFC">
        <w:rPr>
          <w:rFonts w:eastAsia="Calibri"/>
          <w:lang w:eastAsia="en-GB"/>
        </w:rPr>
        <w:t xml:space="preserve">The DUCG </w:t>
      </w:r>
      <w:r w:rsidR="24D2C2EB" w:rsidRPr="00C94AFC">
        <w:rPr>
          <w:rFonts w:eastAsia="Calibri"/>
          <w:lang w:eastAsia="en-GB"/>
        </w:rPr>
        <w:t xml:space="preserve">also </w:t>
      </w:r>
      <w:r w:rsidR="2157FCCE" w:rsidRPr="00C94AFC">
        <w:rPr>
          <w:rFonts w:eastAsia="Calibri"/>
          <w:lang w:eastAsia="en-GB"/>
        </w:rPr>
        <w:t>contributed to the update of the official information notice on national measures published on 2</w:t>
      </w:r>
      <w:r w:rsidR="00C94AFC" w:rsidRPr="49F47F3A">
        <w:rPr>
          <w:rFonts w:eastAsia="Calibri"/>
          <w:lang w:eastAsia="en-GB"/>
        </w:rPr>
        <w:t> </w:t>
      </w:r>
      <w:r w:rsidR="2157FCCE" w:rsidRPr="00C94AFC">
        <w:rPr>
          <w:rFonts w:eastAsia="Calibri"/>
          <w:lang w:eastAsia="en-GB"/>
        </w:rPr>
        <w:t xml:space="preserve">October 2024 and the revision of the EU </w:t>
      </w:r>
      <w:r w:rsidR="0091672C" w:rsidRPr="49F47F3A">
        <w:rPr>
          <w:rFonts w:eastAsia="Calibri"/>
          <w:lang w:eastAsia="en-GB"/>
        </w:rPr>
        <w:t>c</w:t>
      </w:r>
      <w:r w:rsidR="2157FCCE" w:rsidRPr="00C94AFC">
        <w:rPr>
          <w:rFonts w:eastAsia="Calibri"/>
          <w:lang w:eastAsia="en-GB"/>
        </w:rPr>
        <w:t xml:space="preserve">ompilation of </w:t>
      </w:r>
      <w:r w:rsidR="0091672C" w:rsidRPr="49F47F3A">
        <w:rPr>
          <w:rFonts w:eastAsia="Calibri"/>
          <w:lang w:eastAsia="en-GB"/>
        </w:rPr>
        <w:t>n</w:t>
      </w:r>
      <w:r w:rsidR="2157FCCE" w:rsidRPr="00C94AFC">
        <w:rPr>
          <w:rFonts w:eastAsia="Calibri"/>
          <w:lang w:eastAsia="en-GB"/>
        </w:rPr>
        <w:t xml:space="preserve">ational </w:t>
      </w:r>
      <w:r w:rsidR="0091672C" w:rsidRPr="49F47F3A">
        <w:rPr>
          <w:rFonts w:eastAsia="Calibri"/>
          <w:lang w:eastAsia="en-GB"/>
        </w:rPr>
        <w:t>c</w:t>
      </w:r>
      <w:r w:rsidR="2157FCCE" w:rsidRPr="00C94AFC">
        <w:rPr>
          <w:rFonts w:eastAsia="Calibri"/>
          <w:lang w:eastAsia="en-GB"/>
        </w:rPr>
        <w:t xml:space="preserve">ontrol </w:t>
      </w:r>
      <w:r w:rsidR="0091672C" w:rsidRPr="49F47F3A">
        <w:rPr>
          <w:rFonts w:eastAsia="Calibri"/>
          <w:lang w:eastAsia="en-GB"/>
        </w:rPr>
        <w:t>l</w:t>
      </w:r>
      <w:r w:rsidR="2157FCCE" w:rsidRPr="00C94AFC">
        <w:rPr>
          <w:rFonts w:eastAsia="Calibri"/>
          <w:lang w:eastAsia="en-GB"/>
        </w:rPr>
        <w:t>ists on 27</w:t>
      </w:r>
      <w:r w:rsidR="00C94AFC" w:rsidRPr="49F47F3A">
        <w:rPr>
          <w:rFonts w:eastAsia="Calibri"/>
          <w:lang w:eastAsia="en-GB"/>
        </w:rPr>
        <w:t> </w:t>
      </w:r>
      <w:r w:rsidR="2157FCCE" w:rsidRPr="00C94AFC">
        <w:rPr>
          <w:rFonts w:eastAsia="Calibri"/>
          <w:lang w:eastAsia="en-GB"/>
        </w:rPr>
        <w:t>September 2024</w:t>
      </w:r>
      <w:r w:rsidR="000B0C95" w:rsidRPr="00C94AFC">
        <w:rPr>
          <w:rStyle w:val="FootnoteReference"/>
          <w:rFonts w:eastAsia="Calibri"/>
          <w:lang w:eastAsia="en-GB"/>
        </w:rPr>
        <w:footnoteReference w:id="24"/>
      </w:r>
      <w:r w:rsidR="00C94AFC" w:rsidRPr="49F47F3A">
        <w:rPr>
          <w:rFonts w:eastAsia="Calibri"/>
          <w:lang w:eastAsia="en-GB"/>
        </w:rPr>
        <w:t>.</w:t>
      </w:r>
    </w:p>
    <w:bookmarkEnd w:id="8"/>
    <w:p w14:paraId="465C89A3" w14:textId="41A6273F" w:rsidR="00AD6B7A" w:rsidRPr="00C94AFC" w:rsidRDefault="00AD6B7A" w:rsidP="00AD6B7A">
      <w:pPr>
        <w:keepNext/>
        <w:tabs>
          <w:tab w:val="left" w:pos="850"/>
        </w:tabs>
        <w:spacing w:after="120"/>
        <w:ind w:left="850" w:hanging="850"/>
        <w:jc w:val="both"/>
        <w:outlineLvl w:val="1"/>
        <w:rPr>
          <w:rFonts w:eastAsia="Times New Roman"/>
          <w:b/>
          <w:lang w:eastAsia="en-GB"/>
        </w:rPr>
      </w:pPr>
      <w:r w:rsidRPr="00C94AFC">
        <w:rPr>
          <w:rFonts w:eastAsia="Times New Roman"/>
          <w:b/>
          <w:lang w:eastAsia="en-GB"/>
        </w:rPr>
        <w:t>3.</w:t>
      </w:r>
      <w:r w:rsidR="008148F0" w:rsidRPr="00C94AFC">
        <w:rPr>
          <w:rFonts w:eastAsia="Times New Roman"/>
          <w:b/>
          <w:lang w:eastAsia="en-GB"/>
        </w:rPr>
        <w:t>5</w:t>
      </w:r>
      <w:r w:rsidRPr="00C94AFC">
        <w:rPr>
          <w:rFonts w:eastAsia="Times New Roman"/>
          <w:b/>
          <w:lang w:eastAsia="en-GB"/>
        </w:rPr>
        <w:tab/>
        <w:t>Licensing and implementation data exchange</w:t>
      </w:r>
    </w:p>
    <w:p w14:paraId="10CFDB06" w14:textId="204FBA26" w:rsidR="00AD6B7A" w:rsidRPr="00C94AFC" w:rsidRDefault="11EE0560" w:rsidP="3391EFF5">
      <w:pPr>
        <w:spacing w:before="100" w:beforeAutospacing="1" w:after="100" w:afterAutospacing="1"/>
        <w:jc w:val="both"/>
      </w:pPr>
      <w:r w:rsidRPr="00C94AFC">
        <w:t>The DUCG initiated the collection of 202</w:t>
      </w:r>
      <w:r w:rsidR="4D853A89" w:rsidRPr="00C94AFC">
        <w:t>2-2023</w:t>
      </w:r>
      <w:r w:rsidRPr="00C94AFC">
        <w:t xml:space="preserve"> licensing data</w:t>
      </w:r>
      <w:r w:rsidR="2C6DC452" w:rsidRPr="00C94AFC">
        <w:t xml:space="preserve"> under the </w:t>
      </w:r>
      <w:r w:rsidR="47FFBCEF" w:rsidRPr="00C94AFC">
        <w:t xml:space="preserve">2024 </w:t>
      </w:r>
      <w:r w:rsidR="0091672C">
        <w:t>g</w:t>
      </w:r>
      <w:r w:rsidR="2C6DC452" w:rsidRPr="00C94AFC">
        <w:t>uidelines</w:t>
      </w:r>
      <w:r w:rsidR="4D0F96D4" w:rsidRPr="00C94AFC">
        <w:t xml:space="preserve"> </w:t>
      </w:r>
      <w:r w:rsidR="4D0F96D4" w:rsidRPr="00C94AFC">
        <w:rPr>
          <w:rFonts w:eastAsia="Times New Roman"/>
        </w:rPr>
        <w:t>on data</w:t>
      </w:r>
      <w:r w:rsidR="0091672C">
        <w:rPr>
          <w:rFonts w:eastAsia="Times New Roman"/>
        </w:rPr>
        <w:t xml:space="preserve"> </w:t>
      </w:r>
      <w:r w:rsidR="4D0F96D4" w:rsidRPr="00C94AFC">
        <w:rPr>
          <w:rFonts w:eastAsia="Times New Roman"/>
        </w:rPr>
        <w:t>gathering and processing</w:t>
      </w:r>
      <w:r w:rsidR="0BC2C5C7" w:rsidRPr="00C94AFC">
        <w:rPr>
          <w:rFonts w:eastAsia="Times New Roman"/>
        </w:rPr>
        <w:t xml:space="preserve">, </w:t>
      </w:r>
      <w:r w:rsidR="2C6DC452" w:rsidRPr="00C94AFC">
        <w:t xml:space="preserve">with a view to supplementing the annual report published on </w:t>
      </w:r>
      <w:r w:rsidR="00BF07CB" w:rsidRPr="00C94AFC">
        <w:t>30</w:t>
      </w:r>
      <w:r w:rsidR="00C94AFC">
        <w:t> </w:t>
      </w:r>
      <w:r w:rsidR="00BF07CB" w:rsidRPr="00C94AFC">
        <w:t>January 2025</w:t>
      </w:r>
      <w:r w:rsidR="003D48D5" w:rsidRPr="00C94AFC">
        <w:t>.</w:t>
      </w:r>
    </w:p>
    <w:p w14:paraId="1A018AB6" w14:textId="7C6093EC" w:rsidR="00F46B8C" w:rsidRPr="00C94AFC" w:rsidRDefault="00AA655D" w:rsidP="009515F9">
      <w:pPr>
        <w:spacing w:before="100" w:beforeAutospacing="1" w:after="100" w:afterAutospacing="1"/>
        <w:jc w:val="both"/>
        <w:rPr>
          <w:color w:val="000000"/>
        </w:rPr>
      </w:pPr>
      <w:bookmarkStart w:id="9" w:name="_Toc368065779"/>
      <w:r w:rsidRPr="00C94AFC">
        <w:rPr>
          <w:rFonts w:eastAsia="Times New Roman"/>
          <w:b/>
          <w:lang w:eastAsia="en-GB"/>
        </w:rPr>
        <w:t>3.</w:t>
      </w:r>
      <w:r w:rsidR="008148F0" w:rsidRPr="00C94AFC">
        <w:rPr>
          <w:rFonts w:eastAsia="Times New Roman"/>
          <w:b/>
          <w:lang w:eastAsia="en-GB"/>
        </w:rPr>
        <w:t>6</w:t>
      </w:r>
      <w:r w:rsidRPr="00C94AFC">
        <w:rPr>
          <w:rFonts w:eastAsia="Times New Roman"/>
          <w:b/>
          <w:lang w:eastAsia="en-GB"/>
        </w:rPr>
        <w:tab/>
      </w:r>
      <w:r w:rsidR="00CF0448" w:rsidRPr="00C94AFC">
        <w:rPr>
          <w:rFonts w:eastAsia="Times New Roman"/>
          <w:b/>
          <w:lang w:eastAsia="en-GB"/>
        </w:rPr>
        <w:t xml:space="preserve">IT </w:t>
      </w:r>
      <w:r w:rsidR="0091672C">
        <w:rPr>
          <w:rFonts w:eastAsia="Times New Roman"/>
          <w:b/>
          <w:lang w:eastAsia="en-GB"/>
        </w:rPr>
        <w:t>t</w:t>
      </w:r>
      <w:r w:rsidR="00CF0448" w:rsidRPr="00C94AFC">
        <w:rPr>
          <w:rFonts w:eastAsia="Times New Roman"/>
          <w:b/>
          <w:lang w:eastAsia="en-GB"/>
        </w:rPr>
        <w:t xml:space="preserve">ools for </w:t>
      </w:r>
      <w:r w:rsidR="00BF1657" w:rsidRPr="00C94AFC">
        <w:rPr>
          <w:rFonts w:eastAsia="Times New Roman"/>
          <w:b/>
          <w:lang w:eastAsia="en-GB"/>
        </w:rPr>
        <w:t xml:space="preserve">the </w:t>
      </w:r>
      <w:r w:rsidR="0091672C">
        <w:rPr>
          <w:rFonts w:eastAsia="Times New Roman"/>
          <w:b/>
          <w:lang w:eastAsia="en-GB"/>
        </w:rPr>
        <w:t>e</w:t>
      </w:r>
      <w:r w:rsidR="00CF0448" w:rsidRPr="00C94AFC">
        <w:rPr>
          <w:rFonts w:eastAsia="Times New Roman"/>
          <w:b/>
          <w:lang w:eastAsia="en-GB"/>
        </w:rPr>
        <w:t xml:space="preserve">xchange of </w:t>
      </w:r>
      <w:r w:rsidR="0091672C">
        <w:rPr>
          <w:rFonts w:eastAsia="Times New Roman"/>
          <w:b/>
          <w:lang w:eastAsia="en-GB"/>
        </w:rPr>
        <w:t>i</w:t>
      </w:r>
      <w:r w:rsidR="00CF0448" w:rsidRPr="00C94AFC">
        <w:rPr>
          <w:rFonts w:eastAsia="Times New Roman"/>
          <w:b/>
          <w:lang w:eastAsia="en-GB"/>
        </w:rPr>
        <w:t xml:space="preserve">nformation among Member States and for </w:t>
      </w:r>
      <w:r w:rsidR="0091672C">
        <w:rPr>
          <w:rFonts w:eastAsia="Times New Roman"/>
          <w:b/>
          <w:lang w:eastAsia="en-GB"/>
        </w:rPr>
        <w:t>e</w:t>
      </w:r>
      <w:r w:rsidRPr="00C94AFC">
        <w:rPr>
          <w:rFonts w:eastAsia="Times New Roman"/>
          <w:b/>
          <w:lang w:eastAsia="en-GB"/>
        </w:rPr>
        <w:t xml:space="preserve">lectronic </w:t>
      </w:r>
      <w:r w:rsidR="0091672C">
        <w:rPr>
          <w:rFonts w:eastAsia="Times New Roman"/>
          <w:b/>
          <w:lang w:eastAsia="en-GB"/>
        </w:rPr>
        <w:t>l</w:t>
      </w:r>
      <w:r w:rsidR="00CF0448" w:rsidRPr="00C94AFC">
        <w:rPr>
          <w:rFonts w:eastAsia="Times New Roman"/>
          <w:b/>
          <w:lang w:eastAsia="en-GB"/>
        </w:rPr>
        <w:t>icensing</w:t>
      </w:r>
      <w:bookmarkEnd w:id="9"/>
    </w:p>
    <w:p w14:paraId="4833257C" w14:textId="2D8A2135" w:rsidR="00D44B9E" w:rsidRPr="00C94AFC" w:rsidRDefault="22026E65" w:rsidP="51E91A07">
      <w:pPr>
        <w:spacing w:before="100" w:beforeAutospacing="1" w:after="100" w:afterAutospacing="1"/>
        <w:jc w:val="both"/>
        <w:rPr>
          <w:rFonts w:eastAsia="Times New Roman"/>
          <w:color w:val="000000"/>
        </w:rPr>
      </w:pPr>
      <w:r w:rsidRPr="51E91A07">
        <w:rPr>
          <w:rFonts w:eastAsia="Times New Roman"/>
          <w:color w:val="000000" w:themeColor="text1"/>
        </w:rPr>
        <w:t>The Commission, supported by the DUCG, continued to develop the Dual-</w:t>
      </w:r>
      <w:r w:rsidR="2E8FE2D6" w:rsidRPr="51E91A07">
        <w:rPr>
          <w:rFonts w:eastAsia="Times New Roman"/>
          <w:color w:val="000000" w:themeColor="text1"/>
        </w:rPr>
        <w:t>U</w:t>
      </w:r>
      <w:r w:rsidRPr="51E91A07">
        <w:rPr>
          <w:rFonts w:eastAsia="Times New Roman"/>
          <w:color w:val="000000" w:themeColor="text1"/>
        </w:rPr>
        <w:t>se e-System</w:t>
      </w:r>
      <w:r w:rsidR="25974E73" w:rsidRPr="51E91A07">
        <w:rPr>
          <w:rFonts w:eastAsia="Times New Roman"/>
          <w:color w:val="000000" w:themeColor="text1"/>
        </w:rPr>
        <w:t xml:space="preserve"> (DUeS)</w:t>
      </w:r>
      <w:r w:rsidR="2D82320A" w:rsidRPr="51E91A07">
        <w:rPr>
          <w:rFonts w:eastAsia="Times New Roman"/>
          <w:color w:val="000000" w:themeColor="text1"/>
        </w:rPr>
        <w:t xml:space="preserve"> as the </w:t>
      </w:r>
      <w:r w:rsidR="42BF21A5" w:rsidRPr="51E91A07">
        <w:rPr>
          <w:rFonts w:eastAsia="Times New Roman"/>
          <w:color w:val="000000" w:themeColor="text1"/>
        </w:rPr>
        <w:t xml:space="preserve">IT </w:t>
      </w:r>
      <w:r w:rsidR="2D82320A" w:rsidRPr="51E91A07">
        <w:rPr>
          <w:rFonts w:eastAsia="Times New Roman"/>
        </w:rPr>
        <w:t>backbone</w:t>
      </w:r>
      <w:r w:rsidR="2D82320A" w:rsidRPr="51E91A07">
        <w:rPr>
          <w:rFonts w:eastAsia="Times New Roman"/>
          <w:color w:val="000000" w:themeColor="text1"/>
        </w:rPr>
        <w:t xml:space="preserve"> of the EU </w:t>
      </w:r>
      <w:r w:rsidR="3F788E36" w:rsidRPr="51E91A07">
        <w:rPr>
          <w:rFonts w:eastAsia="Times New Roman"/>
          <w:color w:val="000000" w:themeColor="text1"/>
        </w:rPr>
        <w:t xml:space="preserve">dual-use </w:t>
      </w:r>
      <w:r w:rsidR="2D82320A" w:rsidRPr="51E91A07">
        <w:rPr>
          <w:rFonts w:eastAsia="Times New Roman"/>
          <w:color w:val="000000" w:themeColor="text1"/>
        </w:rPr>
        <w:t>export control network</w:t>
      </w:r>
      <w:r w:rsidR="48F6AF35" w:rsidRPr="51E91A07">
        <w:rPr>
          <w:rFonts w:eastAsia="Times New Roman"/>
          <w:color w:val="000000" w:themeColor="text1"/>
        </w:rPr>
        <w:t xml:space="preserve">. This platform </w:t>
      </w:r>
      <w:r w:rsidR="00F723B9" w:rsidRPr="51E91A07">
        <w:rPr>
          <w:rFonts w:eastAsia="Times New Roman"/>
          <w:color w:val="000000" w:themeColor="text1"/>
        </w:rPr>
        <w:t xml:space="preserve">plays </w:t>
      </w:r>
      <w:r w:rsidR="48F6AF35" w:rsidRPr="51E91A07">
        <w:rPr>
          <w:rFonts w:eastAsia="Times New Roman"/>
          <w:color w:val="000000" w:themeColor="text1"/>
        </w:rPr>
        <w:t>a key role in the effective application of the Regulation.</w:t>
      </w:r>
    </w:p>
    <w:p w14:paraId="0904DC59" w14:textId="12856F31" w:rsidR="009A2747" w:rsidRPr="00C94AFC" w:rsidRDefault="01E2740B" w:rsidP="3391EFF5">
      <w:pPr>
        <w:spacing w:before="100" w:beforeAutospacing="1" w:after="100" w:afterAutospacing="1"/>
        <w:jc w:val="both"/>
      </w:pPr>
      <w:r w:rsidRPr="00C94AFC">
        <w:rPr>
          <w:rFonts w:eastAsia="Times New Roman"/>
        </w:rPr>
        <w:t xml:space="preserve">DUeS </w:t>
      </w:r>
      <w:r w:rsidR="7EF6B92E" w:rsidRPr="00C94AFC">
        <w:rPr>
          <w:rFonts w:eastAsia="Times New Roman"/>
        </w:rPr>
        <w:t xml:space="preserve">functionalities </w:t>
      </w:r>
      <w:r w:rsidR="120988FF" w:rsidRPr="00C94AFC">
        <w:rPr>
          <w:rFonts w:eastAsia="Times New Roman"/>
        </w:rPr>
        <w:t>were</w:t>
      </w:r>
      <w:r w:rsidR="66140310" w:rsidRPr="00C94AFC">
        <w:rPr>
          <w:rFonts w:eastAsia="Times New Roman"/>
        </w:rPr>
        <w:t xml:space="preserve"> developed</w:t>
      </w:r>
      <w:r w:rsidR="5CD29434" w:rsidRPr="00C94AFC">
        <w:rPr>
          <w:rFonts w:eastAsia="Times New Roman"/>
        </w:rPr>
        <w:t xml:space="preserve"> or updated</w:t>
      </w:r>
      <w:r w:rsidR="66140310" w:rsidRPr="00C94AFC">
        <w:rPr>
          <w:rFonts w:eastAsia="Times New Roman"/>
        </w:rPr>
        <w:t xml:space="preserve">, </w:t>
      </w:r>
      <w:r w:rsidRPr="00C94AFC">
        <w:t>as follow</w:t>
      </w:r>
      <w:r w:rsidR="4641FC6B" w:rsidRPr="00C94AFC">
        <w:t>s</w:t>
      </w:r>
      <w:r w:rsidRPr="00C94AFC">
        <w:t>:</w:t>
      </w:r>
    </w:p>
    <w:p w14:paraId="1A860133" w14:textId="624EF55D" w:rsidR="009A2747" w:rsidRPr="00C94AFC" w:rsidRDefault="04542559" w:rsidP="00425842">
      <w:pPr>
        <w:pStyle w:val="ListParagraph"/>
        <w:numPr>
          <w:ilvl w:val="0"/>
          <w:numId w:val="18"/>
        </w:numPr>
        <w:spacing w:after="240"/>
        <w:jc w:val="both"/>
        <w:rPr>
          <w:rFonts w:ascii="Times New Roman" w:hAnsi="Times New Roman" w:cs="Times New Roman"/>
          <w:sz w:val="24"/>
          <w:szCs w:val="24"/>
        </w:rPr>
      </w:pPr>
      <w:r w:rsidRPr="00C94AFC">
        <w:rPr>
          <w:rFonts w:ascii="Times New Roman" w:hAnsi="Times New Roman" w:cs="Times New Roman"/>
          <w:sz w:val="24"/>
          <w:szCs w:val="24"/>
        </w:rPr>
        <w:t>allowing M</w:t>
      </w:r>
      <w:r w:rsidR="00BC00A0" w:rsidRPr="00C94AFC">
        <w:rPr>
          <w:rFonts w:ascii="Times New Roman" w:hAnsi="Times New Roman" w:cs="Times New Roman"/>
          <w:sz w:val="24"/>
          <w:szCs w:val="24"/>
        </w:rPr>
        <w:t xml:space="preserve">ember </w:t>
      </w:r>
      <w:r w:rsidRPr="00C94AFC">
        <w:rPr>
          <w:rFonts w:ascii="Times New Roman" w:hAnsi="Times New Roman" w:cs="Times New Roman"/>
          <w:sz w:val="24"/>
          <w:szCs w:val="24"/>
        </w:rPr>
        <w:t>S</w:t>
      </w:r>
      <w:r w:rsidR="00BC00A0" w:rsidRPr="00C94AFC">
        <w:rPr>
          <w:rFonts w:ascii="Times New Roman" w:hAnsi="Times New Roman" w:cs="Times New Roman"/>
          <w:sz w:val="24"/>
          <w:szCs w:val="24"/>
        </w:rPr>
        <w:t>tates</w:t>
      </w:r>
      <w:r w:rsidRPr="00C94AFC">
        <w:rPr>
          <w:rFonts w:ascii="Times New Roman" w:hAnsi="Times New Roman" w:cs="Times New Roman"/>
          <w:sz w:val="24"/>
          <w:szCs w:val="24"/>
        </w:rPr>
        <w:t xml:space="preserve"> to </w:t>
      </w:r>
      <w:r w:rsidR="00BC00A0" w:rsidRPr="00C94AFC">
        <w:rPr>
          <w:rFonts w:ascii="Times New Roman" w:hAnsi="Times New Roman" w:cs="Times New Roman"/>
          <w:sz w:val="24"/>
          <w:szCs w:val="24"/>
        </w:rPr>
        <w:t xml:space="preserve">share with </w:t>
      </w:r>
      <w:r w:rsidRPr="00C94AFC">
        <w:rPr>
          <w:rFonts w:ascii="Times New Roman" w:hAnsi="Times New Roman" w:cs="Times New Roman"/>
          <w:sz w:val="24"/>
          <w:szCs w:val="24"/>
        </w:rPr>
        <w:t xml:space="preserve">the </w:t>
      </w:r>
      <w:r w:rsidR="00BC00A0" w:rsidRPr="00C94AFC">
        <w:rPr>
          <w:rFonts w:ascii="Times New Roman" w:hAnsi="Times New Roman" w:cs="Times New Roman"/>
          <w:sz w:val="24"/>
          <w:szCs w:val="24"/>
        </w:rPr>
        <w:t xml:space="preserve">Commission </w:t>
      </w:r>
      <w:r w:rsidRPr="00C94AFC">
        <w:rPr>
          <w:rFonts w:ascii="Times New Roman" w:hAnsi="Times New Roman" w:cs="Times New Roman"/>
          <w:sz w:val="24"/>
          <w:szCs w:val="24"/>
        </w:rPr>
        <w:t>licensing data, as ma</w:t>
      </w:r>
      <w:r w:rsidR="77A2C5AC" w:rsidRPr="00C94AFC">
        <w:rPr>
          <w:rFonts w:ascii="Times New Roman" w:hAnsi="Times New Roman" w:cs="Times New Roman"/>
          <w:sz w:val="24"/>
          <w:szCs w:val="24"/>
        </w:rPr>
        <w:t>n</w:t>
      </w:r>
      <w:r w:rsidRPr="00C94AFC">
        <w:rPr>
          <w:rFonts w:ascii="Times New Roman" w:hAnsi="Times New Roman" w:cs="Times New Roman"/>
          <w:sz w:val="24"/>
          <w:szCs w:val="24"/>
        </w:rPr>
        <w:t xml:space="preserve">dated </w:t>
      </w:r>
      <w:r w:rsidR="00CA4CE5" w:rsidRPr="00C94AFC">
        <w:rPr>
          <w:rFonts w:ascii="Times New Roman" w:hAnsi="Times New Roman" w:cs="Times New Roman"/>
          <w:sz w:val="24"/>
          <w:szCs w:val="24"/>
        </w:rPr>
        <w:t>in Article</w:t>
      </w:r>
      <w:r w:rsidR="00C94AFC">
        <w:rPr>
          <w:rFonts w:ascii="Times New Roman" w:hAnsi="Times New Roman" w:cs="Times New Roman"/>
          <w:sz w:val="24"/>
          <w:szCs w:val="24"/>
        </w:rPr>
        <w:t> </w:t>
      </w:r>
      <w:r w:rsidR="00CA4CE5" w:rsidRPr="00C94AFC">
        <w:rPr>
          <w:rFonts w:ascii="Times New Roman" w:hAnsi="Times New Roman" w:cs="Times New Roman"/>
          <w:sz w:val="24"/>
          <w:szCs w:val="24"/>
        </w:rPr>
        <w:t>26(3) of the Dual</w:t>
      </w:r>
      <w:r w:rsidR="00F723B9">
        <w:rPr>
          <w:rFonts w:ascii="Times New Roman" w:hAnsi="Times New Roman" w:cs="Times New Roman"/>
          <w:sz w:val="24"/>
          <w:szCs w:val="24"/>
        </w:rPr>
        <w:t>-</w:t>
      </w:r>
      <w:r w:rsidR="00CA4CE5" w:rsidRPr="00C94AFC">
        <w:rPr>
          <w:rFonts w:ascii="Times New Roman" w:hAnsi="Times New Roman" w:cs="Times New Roman"/>
          <w:sz w:val="24"/>
          <w:szCs w:val="24"/>
        </w:rPr>
        <w:t xml:space="preserve">Use Regulation, in accordance with </w:t>
      </w:r>
      <w:r w:rsidR="28F145FE" w:rsidRPr="00C94AFC">
        <w:rPr>
          <w:rFonts w:ascii="Times New Roman" w:hAnsi="Times New Roman" w:cs="Times New Roman"/>
          <w:sz w:val="24"/>
          <w:szCs w:val="24"/>
        </w:rPr>
        <w:t xml:space="preserve">the guidelines </w:t>
      </w:r>
      <w:r w:rsidR="00A85EC9" w:rsidRPr="00C94AFC">
        <w:rPr>
          <w:rFonts w:ascii="Times New Roman" w:hAnsi="Times New Roman" w:cs="Times New Roman"/>
          <w:sz w:val="24"/>
          <w:szCs w:val="24"/>
        </w:rPr>
        <w:t>developed</w:t>
      </w:r>
      <w:r w:rsidR="28F145FE" w:rsidRPr="00C94AFC">
        <w:rPr>
          <w:rFonts w:ascii="Times New Roman" w:hAnsi="Times New Roman" w:cs="Times New Roman"/>
          <w:sz w:val="24"/>
          <w:szCs w:val="24"/>
        </w:rPr>
        <w:t xml:space="preserve"> with the Member States on data gathering and processing on export controls (transparency guidelines)</w:t>
      </w:r>
      <w:r w:rsidR="4641FC6B" w:rsidRPr="00C94AFC">
        <w:rPr>
          <w:rFonts w:ascii="Times New Roman" w:hAnsi="Times New Roman" w:cs="Times New Roman"/>
          <w:sz w:val="24"/>
          <w:szCs w:val="24"/>
        </w:rPr>
        <w:t>;</w:t>
      </w:r>
    </w:p>
    <w:p w14:paraId="591C0AF5" w14:textId="37ADF8CE" w:rsidR="005C1341" w:rsidRPr="00C94AFC" w:rsidRDefault="43A4BDDD" w:rsidP="005C1341">
      <w:pPr>
        <w:pStyle w:val="ListParagraph"/>
        <w:numPr>
          <w:ilvl w:val="0"/>
          <w:numId w:val="18"/>
        </w:numPr>
        <w:spacing w:after="240"/>
        <w:jc w:val="both"/>
        <w:rPr>
          <w:rFonts w:ascii="Times New Roman" w:hAnsi="Times New Roman" w:cs="Times New Roman"/>
          <w:sz w:val="24"/>
          <w:szCs w:val="24"/>
        </w:rPr>
      </w:pPr>
      <w:r w:rsidRPr="00C94AFC">
        <w:rPr>
          <w:rFonts w:ascii="Times New Roman" w:hAnsi="Times New Roman" w:cs="Times New Roman"/>
          <w:sz w:val="24"/>
          <w:szCs w:val="24"/>
        </w:rPr>
        <w:lastRenderedPageBreak/>
        <w:t xml:space="preserve">allowing </w:t>
      </w:r>
      <w:r w:rsidR="00502BE3" w:rsidRPr="00C94AFC">
        <w:rPr>
          <w:rFonts w:ascii="Times New Roman" w:hAnsi="Times New Roman" w:cs="Times New Roman"/>
          <w:sz w:val="24"/>
          <w:szCs w:val="24"/>
        </w:rPr>
        <w:t xml:space="preserve">Member States </w:t>
      </w:r>
      <w:r w:rsidRPr="00C94AFC">
        <w:rPr>
          <w:rFonts w:ascii="Times New Roman" w:hAnsi="Times New Roman" w:cs="Times New Roman"/>
          <w:sz w:val="24"/>
          <w:szCs w:val="24"/>
        </w:rPr>
        <w:t xml:space="preserve">to notify the </w:t>
      </w:r>
      <w:r w:rsidR="00502BE3" w:rsidRPr="00C94AFC">
        <w:rPr>
          <w:rFonts w:ascii="Times New Roman" w:hAnsi="Times New Roman" w:cs="Times New Roman"/>
          <w:sz w:val="24"/>
          <w:szCs w:val="24"/>
        </w:rPr>
        <w:t xml:space="preserve">Commission </w:t>
      </w:r>
      <w:r w:rsidRPr="00C94AFC">
        <w:rPr>
          <w:rFonts w:ascii="Times New Roman" w:hAnsi="Times New Roman" w:cs="Times New Roman"/>
          <w:sz w:val="24"/>
          <w:szCs w:val="24"/>
        </w:rPr>
        <w:t xml:space="preserve">of the imposition of an authorisation requirement on the basis of a national control list, </w:t>
      </w:r>
      <w:r w:rsidR="002A5292">
        <w:rPr>
          <w:rFonts w:ascii="Times New Roman" w:hAnsi="Times New Roman" w:cs="Times New Roman"/>
          <w:sz w:val="24"/>
          <w:szCs w:val="24"/>
        </w:rPr>
        <w:t>pursuant</w:t>
      </w:r>
      <w:r w:rsidR="002A5292" w:rsidRPr="00C94AFC">
        <w:rPr>
          <w:rFonts w:ascii="Times New Roman" w:hAnsi="Times New Roman" w:cs="Times New Roman"/>
          <w:sz w:val="24"/>
          <w:szCs w:val="24"/>
        </w:rPr>
        <w:t xml:space="preserve"> </w:t>
      </w:r>
      <w:r w:rsidRPr="00C94AFC">
        <w:rPr>
          <w:rFonts w:ascii="Times New Roman" w:hAnsi="Times New Roman" w:cs="Times New Roman"/>
          <w:sz w:val="24"/>
          <w:szCs w:val="24"/>
        </w:rPr>
        <w:t>to Art</w:t>
      </w:r>
      <w:r w:rsidR="20B3D528" w:rsidRPr="00C94AFC">
        <w:rPr>
          <w:rFonts w:ascii="Times New Roman" w:hAnsi="Times New Roman" w:cs="Times New Roman"/>
          <w:sz w:val="24"/>
          <w:szCs w:val="24"/>
        </w:rPr>
        <w:t>icle</w:t>
      </w:r>
      <w:r w:rsidR="00C94AFC">
        <w:rPr>
          <w:rFonts w:ascii="Times New Roman" w:hAnsi="Times New Roman" w:cs="Times New Roman"/>
          <w:sz w:val="24"/>
          <w:szCs w:val="24"/>
        </w:rPr>
        <w:t> </w:t>
      </w:r>
      <w:r w:rsidRPr="00C94AFC">
        <w:rPr>
          <w:rFonts w:ascii="Times New Roman" w:hAnsi="Times New Roman" w:cs="Times New Roman"/>
          <w:sz w:val="24"/>
          <w:szCs w:val="24"/>
        </w:rPr>
        <w:t>10</w:t>
      </w:r>
      <w:r w:rsidR="00A85EC9" w:rsidRPr="00C94AFC">
        <w:rPr>
          <w:rFonts w:ascii="Times New Roman" w:hAnsi="Times New Roman" w:cs="Times New Roman"/>
          <w:sz w:val="24"/>
          <w:szCs w:val="24"/>
        </w:rPr>
        <w:t>;</w:t>
      </w:r>
    </w:p>
    <w:p w14:paraId="2EFC31AC" w14:textId="26FCCF0A" w:rsidR="005C1341" w:rsidRPr="00C94AFC" w:rsidRDefault="3732F7DD" w:rsidP="005C1341">
      <w:pPr>
        <w:pStyle w:val="ListParagraph"/>
        <w:numPr>
          <w:ilvl w:val="0"/>
          <w:numId w:val="18"/>
        </w:numPr>
        <w:spacing w:after="240"/>
        <w:jc w:val="both"/>
        <w:rPr>
          <w:rFonts w:ascii="Times New Roman" w:hAnsi="Times New Roman" w:cs="Times New Roman"/>
          <w:sz w:val="24"/>
          <w:szCs w:val="24"/>
        </w:rPr>
      </w:pPr>
      <w:r w:rsidRPr="00C94AFC">
        <w:rPr>
          <w:rFonts w:ascii="Times New Roman" w:hAnsi="Times New Roman" w:cs="Times New Roman"/>
          <w:sz w:val="24"/>
          <w:szCs w:val="24"/>
        </w:rPr>
        <w:t xml:space="preserve">allowing voluntary exchange of information among </w:t>
      </w:r>
      <w:r w:rsidR="00502BE3" w:rsidRPr="00C94AFC">
        <w:rPr>
          <w:rFonts w:ascii="Times New Roman" w:hAnsi="Times New Roman" w:cs="Times New Roman"/>
          <w:sz w:val="24"/>
          <w:szCs w:val="24"/>
        </w:rPr>
        <w:t xml:space="preserve">Member States </w:t>
      </w:r>
      <w:r w:rsidRPr="00C94AFC">
        <w:rPr>
          <w:rFonts w:ascii="Times New Roman" w:hAnsi="Times New Roman" w:cs="Times New Roman"/>
          <w:sz w:val="24"/>
          <w:szCs w:val="24"/>
        </w:rPr>
        <w:t>on the implementation of Article</w:t>
      </w:r>
      <w:r w:rsidR="70EF9752" w:rsidRPr="00C94AFC">
        <w:rPr>
          <w:rFonts w:ascii="Times New Roman" w:hAnsi="Times New Roman" w:cs="Times New Roman"/>
          <w:sz w:val="24"/>
          <w:szCs w:val="24"/>
        </w:rPr>
        <w:t>s</w:t>
      </w:r>
      <w:r w:rsidRPr="00C94AFC">
        <w:rPr>
          <w:rFonts w:ascii="Times New Roman" w:hAnsi="Times New Roman" w:cs="Times New Roman"/>
          <w:sz w:val="24"/>
          <w:szCs w:val="24"/>
        </w:rPr>
        <w:t xml:space="preserve"> 9 and 10, as foreseen in the </w:t>
      </w:r>
      <w:r w:rsidR="3D5A2FD8" w:rsidRPr="00C94AFC">
        <w:rPr>
          <w:rFonts w:ascii="Times New Roman" w:hAnsi="Times New Roman" w:cs="Times New Roman"/>
          <w:sz w:val="24"/>
          <w:szCs w:val="24"/>
        </w:rPr>
        <w:t xml:space="preserve">Commission </w:t>
      </w:r>
      <w:r w:rsidRPr="00C94AFC">
        <w:rPr>
          <w:rFonts w:ascii="Times New Roman" w:hAnsi="Times New Roman" w:cs="Times New Roman"/>
          <w:sz w:val="24"/>
          <w:szCs w:val="24"/>
        </w:rPr>
        <w:t>Recomm</w:t>
      </w:r>
      <w:r w:rsidR="002A5292" w:rsidRPr="49F47F3A">
        <w:rPr>
          <w:rFonts w:ascii="Times New Roman" w:hAnsi="Times New Roman" w:cs="Times New Roman"/>
          <w:sz w:val="24"/>
          <w:szCs w:val="24"/>
        </w:rPr>
        <w:t>e</w:t>
      </w:r>
      <w:r w:rsidRPr="00C94AFC">
        <w:rPr>
          <w:rFonts w:ascii="Times New Roman" w:hAnsi="Times New Roman" w:cs="Times New Roman"/>
          <w:sz w:val="24"/>
          <w:szCs w:val="24"/>
        </w:rPr>
        <w:t xml:space="preserve">ndation </w:t>
      </w:r>
      <w:r w:rsidR="7A0B83FB" w:rsidRPr="00C94AFC">
        <w:rPr>
          <w:rFonts w:ascii="Times New Roman" w:hAnsi="Times New Roman" w:cs="Times New Roman"/>
          <w:sz w:val="24"/>
          <w:szCs w:val="24"/>
        </w:rPr>
        <w:t>2025/</w:t>
      </w:r>
      <w:r w:rsidR="3D5A2FD8" w:rsidRPr="00C94AFC">
        <w:rPr>
          <w:rFonts w:ascii="Times New Roman" w:hAnsi="Times New Roman" w:cs="Times New Roman"/>
          <w:sz w:val="24"/>
          <w:szCs w:val="24"/>
        </w:rPr>
        <w:t>683 on the coordination of national control list</w:t>
      </w:r>
      <w:r w:rsidR="002320B7" w:rsidRPr="00C94AFC">
        <w:rPr>
          <w:rStyle w:val="FootnoteReference"/>
          <w:rFonts w:ascii="Times New Roman" w:hAnsi="Times New Roman" w:cs="Times New Roman"/>
          <w:sz w:val="24"/>
          <w:szCs w:val="24"/>
        </w:rPr>
        <w:footnoteReference w:id="25"/>
      </w:r>
      <w:r w:rsidR="00C94AFC" w:rsidRPr="49F47F3A">
        <w:rPr>
          <w:rFonts w:ascii="Times New Roman" w:hAnsi="Times New Roman" w:cs="Times New Roman"/>
          <w:sz w:val="24"/>
          <w:szCs w:val="24"/>
        </w:rPr>
        <w:t>;</w:t>
      </w:r>
      <w:r w:rsidR="2CCCB2D1" w:rsidRPr="00C94AFC">
        <w:rPr>
          <w:rFonts w:ascii="Times New Roman" w:hAnsi="Times New Roman" w:cs="Times New Roman"/>
          <w:sz w:val="24"/>
          <w:szCs w:val="24"/>
        </w:rPr>
        <w:t xml:space="preserve"> and</w:t>
      </w:r>
    </w:p>
    <w:p w14:paraId="2C0B08C9" w14:textId="4B9F7625" w:rsidR="009111B9" w:rsidRPr="00C94AFC" w:rsidRDefault="6DDE4623" w:rsidP="3391EFF5">
      <w:pPr>
        <w:numPr>
          <w:ilvl w:val="0"/>
          <w:numId w:val="18"/>
        </w:numPr>
        <w:spacing w:after="240"/>
        <w:jc w:val="both"/>
      </w:pPr>
      <w:r w:rsidRPr="00C94AFC">
        <w:t xml:space="preserve">existing functionalities </w:t>
      </w:r>
      <w:r w:rsidR="51D4DF9E" w:rsidRPr="00C94AFC">
        <w:t>were</w:t>
      </w:r>
      <w:r w:rsidRPr="00C94AFC">
        <w:t xml:space="preserve"> updated, in particular with reference to the management of exemptions/authorisations and denials rel</w:t>
      </w:r>
      <w:r w:rsidR="702F9F97" w:rsidRPr="00C94AFC">
        <w:t>a</w:t>
      </w:r>
      <w:r w:rsidRPr="00C94AFC">
        <w:t>ted to the</w:t>
      </w:r>
      <w:r w:rsidR="702F9F97" w:rsidRPr="00C94AFC">
        <w:t xml:space="preserve"> restric</w:t>
      </w:r>
      <w:r w:rsidR="002A5292">
        <w:t>t</w:t>
      </w:r>
      <w:r w:rsidR="702F9F97" w:rsidRPr="00C94AFC">
        <w:t xml:space="preserve">ive measures against Russia and Belarus, and with reference to the database of items </w:t>
      </w:r>
      <w:r w:rsidR="002A5292">
        <w:t xml:space="preserve">subject </w:t>
      </w:r>
      <w:r w:rsidR="214167B7" w:rsidRPr="00C94AFC">
        <w:t xml:space="preserve">to control </w:t>
      </w:r>
      <w:r w:rsidR="002A5292">
        <w:t>pursuant</w:t>
      </w:r>
      <w:r w:rsidR="002A5292" w:rsidRPr="00C94AFC">
        <w:t xml:space="preserve"> </w:t>
      </w:r>
      <w:r w:rsidR="214167B7" w:rsidRPr="00C94AFC">
        <w:t>to the Regulation</w:t>
      </w:r>
      <w:r w:rsidR="5409FD52" w:rsidRPr="00C94AFC">
        <w:t>.</w:t>
      </w:r>
    </w:p>
    <w:p w14:paraId="7284FE47" w14:textId="4E1EE976" w:rsidR="009A2747" w:rsidRPr="00C94AFC" w:rsidRDefault="01E2740B" w:rsidP="3391EFF5">
      <w:pPr>
        <w:spacing w:before="100" w:beforeAutospacing="1" w:after="100" w:afterAutospacing="1"/>
        <w:jc w:val="both"/>
        <w:rPr>
          <w:rFonts w:eastAsia="Times New Roman"/>
          <w:color w:val="000000"/>
        </w:rPr>
      </w:pPr>
      <w:r w:rsidRPr="00C94AFC">
        <w:rPr>
          <w:rFonts w:eastAsia="Times New Roman"/>
          <w:color w:val="000000" w:themeColor="text1"/>
        </w:rPr>
        <w:t>202</w:t>
      </w:r>
      <w:r w:rsidR="07F74D72" w:rsidRPr="00C94AFC">
        <w:rPr>
          <w:rFonts w:eastAsia="Times New Roman"/>
          <w:color w:val="000000" w:themeColor="text1"/>
        </w:rPr>
        <w:t>4</w:t>
      </w:r>
      <w:r w:rsidRPr="00C94AFC">
        <w:rPr>
          <w:rFonts w:eastAsia="Times New Roman"/>
          <w:color w:val="000000" w:themeColor="text1"/>
        </w:rPr>
        <w:t xml:space="preserve"> </w:t>
      </w:r>
      <w:r w:rsidR="5C5D524A" w:rsidRPr="00C94AFC">
        <w:rPr>
          <w:rFonts w:eastAsia="Times New Roman"/>
          <w:color w:val="000000" w:themeColor="text1"/>
        </w:rPr>
        <w:t>was</w:t>
      </w:r>
      <w:r w:rsidR="07F84FC9" w:rsidRPr="00C94AFC">
        <w:rPr>
          <w:rFonts w:eastAsia="Times New Roman"/>
          <w:color w:val="000000" w:themeColor="text1"/>
        </w:rPr>
        <w:t xml:space="preserve"> </w:t>
      </w:r>
      <w:r w:rsidR="07F74D72" w:rsidRPr="00C94AFC">
        <w:rPr>
          <w:rFonts w:eastAsia="Times New Roman"/>
          <w:color w:val="000000" w:themeColor="text1"/>
        </w:rPr>
        <w:t xml:space="preserve">the fourth </w:t>
      </w:r>
      <w:r w:rsidR="2B91187F" w:rsidRPr="00C94AFC">
        <w:rPr>
          <w:rFonts w:eastAsia="Times New Roman"/>
          <w:color w:val="000000" w:themeColor="text1"/>
        </w:rPr>
        <w:t xml:space="preserve">year of </w:t>
      </w:r>
      <w:r w:rsidR="3A140284" w:rsidRPr="00C94AFC">
        <w:rPr>
          <w:rFonts w:eastAsia="Times New Roman"/>
          <w:color w:val="000000" w:themeColor="text1"/>
        </w:rPr>
        <w:t xml:space="preserve">operation </w:t>
      </w:r>
      <w:r w:rsidR="2B91187F" w:rsidRPr="00C94AFC">
        <w:rPr>
          <w:rFonts w:eastAsia="Times New Roman"/>
          <w:color w:val="000000" w:themeColor="text1"/>
        </w:rPr>
        <w:t>of the dual-use eLicensing system</w:t>
      </w:r>
      <w:r w:rsidR="2948F156" w:rsidRPr="00C94AFC">
        <w:rPr>
          <w:rFonts w:eastAsia="Times New Roman"/>
          <w:color w:val="000000" w:themeColor="text1"/>
        </w:rPr>
        <w:t>, which</w:t>
      </w:r>
      <w:r w:rsidR="4D9F2333" w:rsidRPr="00C94AFC">
        <w:rPr>
          <w:rFonts w:eastAsia="Times New Roman"/>
          <w:color w:val="000000" w:themeColor="text1"/>
        </w:rPr>
        <w:t xml:space="preserve"> </w:t>
      </w:r>
      <w:r w:rsidR="00A85EC9" w:rsidRPr="00C94AFC">
        <w:rPr>
          <w:rFonts w:eastAsia="Times New Roman"/>
          <w:color w:val="000000" w:themeColor="text1"/>
        </w:rPr>
        <w:t>was</w:t>
      </w:r>
      <w:r w:rsidR="0DBD6473" w:rsidRPr="00C94AFC">
        <w:rPr>
          <w:rFonts w:eastAsia="Times New Roman"/>
          <w:color w:val="000000" w:themeColor="text1"/>
        </w:rPr>
        <w:t xml:space="preserve"> </w:t>
      </w:r>
      <w:r w:rsidR="75CD411F" w:rsidRPr="00C94AFC">
        <w:rPr>
          <w:rFonts w:eastAsia="Times New Roman"/>
          <w:color w:val="000000" w:themeColor="text1"/>
        </w:rPr>
        <w:t xml:space="preserve">used </w:t>
      </w:r>
      <w:r w:rsidR="00A85EC9" w:rsidRPr="00C94AFC">
        <w:rPr>
          <w:rFonts w:eastAsia="Times New Roman"/>
          <w:color w:val="000000" w:themeColor="text1"/>
        </w:rPr>
        <w:t xml:space="preserve">during the reporting period </w:t>
      </w:r>
      <w:r w:rsidR="75CD411F" w:rsidRPr="00C94AFC">
        <w:rPr>
          <w:rFonts w:eastAsia="Times New Roman"/>
          <w:color w:val="000000" w:themeColor="text1"/>
        </w:rPr>
        <w:t xml:space="preserve">by </w:t>
      </w:r>
      <w:r w:rsidR="4D6D3182" w:rsidRPr="00C94AFC">
        <w:rPr>
          <w:rFonts w:eastAsia="Times New Roman"/>
          <w:color w:val="000000" w:themeColor="text1"/>
        </w:rPr>
        <w:t>Latvia</w:t>
      </w:r>
      <w:r w:rsidR="75CD411F" w:rsidRPr="00C94AFC">
        <w:rPr>
          <w:rFonts w:eastAsia="Times New Roman"/>
          <w:color w:val="000000" w:themeColor="text1"/>
        </w:rPr>
        <w:t>,</w:t>
      </w:r>
      <w:r w:rsidR="4D6D3182" w:rsidRPr="00C94AFC">
        <w:rPr>
          <w:rFonts w:eastAsia="Times New Roman"/>
          <w:color w:val="000000" w:themeColor="text1"/>
        </w:rPr>
        <w:t xml:space="preserve"> Romania</w:t>
      </w:r>
      <w:r w:rsidR="75CD411F" w:rsidRPr="00C94AFC">
        <w:rPr>
          <w:rFonts w:eastAsia="Times New Roman"/>
          <w:color w:val="000000" w:themeColor="text1"/>
        </w:rPr>
        <w:t xml:space="preserve">, </w:t>
      </w:r>
      <w:r w:rsidRPr="00C94AFC">
        <w:rPr>
          <w:rFonts w:eastAsia="Times New Roman"/>
          <w:color w:val="000000" w:themeColor="text1"/>
        </w:rPr>
        <w:t>Ital</w:t>
      </w:r>
      <w:r w:rsidR="75CD411F" w:rsidRPr="00C94AFC">
        <w:rPr>
          <w:rFonts w:eastAsia="Times New Roman"/>
          <w:color w:val="000000" w:themeColor="text1"/>
        </w:rPr>
        <w:t>y</w:t>
      </w:r>
      <w:r w:rsidR="006C064B" w:rsidRPr="00C94AFC">
        <w:rPr>
          <w:rFonts w:eastAsia="Times New Roman"/>
          <w:color w:val="000000" w:themeColor="text1"/>
        </w:rPr>
        <w:t>,</w:t>
      </w:r>
      <w:r w:rsidRPr="00C94AFC">
        <w:rPr>
          <w:rFonts w:eastAsia="Times New Roman"/>
          <w:color w:val="000000" w:themeColor="text1"/>
        </w:rPr>
        <w:t xml:space="preserve"> </w:t>
      </w:r>
      <w:r w:rsidRPr="00C94AFC">
        <w:rPr>
          <w:rFonts w:eastAsia="Times New Roman"/>
        </w:rPr>
        <w:t xml:space="preserve">Slovenia and </w:t>
      </w:r>
      <w:r w:rsidR="7BF946DE" w:rsidRPr="00C94AFC">
        <w:rPr>
          <w:rFonts w:eastAsia="Times New Roman"/>
        </w:rPr>
        <w:t>Belgium (</w:t>
      </w:r>
      <w:r w:rsidRPr="00C94AFC">
        <w:rPr>
          <w:rFonts w:eastAsia="Times New Roman"/>
        </w:rPr>
        <w:t>Wallo</w:t>
      </w:r>
      <w:r w:rsidR="00DC707A">
        <w:rPr>
          <w:rFonts w:eastAsia="Times New Roman"/>
        </w:rPr>
        <w:t>on</w:t>
      </w:r>
      <w:r w:rsidRPr="00C94AFC">
        <w:rPr>
          <w:rFonts w:eastAsia="Times New Roman"/>
        </w:rPr>
        <w:t xml:space="preserve"> authorities</w:t>
      </w:r>
      <w:r w:rsidR="7BF946DE" w:rsidRPr="00C94AFC">
        <w:rPr>
          <w:rFonts w:eastAsia="Times New Roman"/>
        </w:rPr>
        <w:t>)</w:t>
      </w:r>
      <w:r w:rsidRPr="00C94AFC">
        <w:rPr>
          <w:rFonts w:eastAsia="Times New Roman"/>
        </w:rPr>
        <w:t>.</w:t>
      </w:r>
      <w:r w:rsidR="3CF16813" w:rsidRPr="00C94AFC">
        <w:rPr>
          <w:rFonts w:eastAsia="Times New Roman"/>
        </w:rPr>
        <w:t xml:space="preserve"> </w:t>
      </w:r>
      <w:r w:rsidRPr="00C94AFC">
        <w:rPr>
          <w:rFonts w:eastAsia="Times New Roman"/>
          <w:color w:val="000000" w:themeColor="text1"/>
        </w:rPr>
        <w:t xml:space="preserve">Hungary </w:t>
      </w:r>
      <w:r w:rsidR="4D6D3182" w:rsidRPr="00C94AFC">
        <w:rPr>
          <w:rFonts w:eastAsia="Times New Roman"/>
          <w:color w:val="000000" w:themeColor="text1"/>
        </w:rPr>
        <w:t xml:space="preserve">and Belgium (Brussels Region) </w:t>
      </w:r>
      <w:r w:rsidRPr="00C94AFC">
        <w:rPr>
          <w:rFonts w:eastAsia="Times New Roman"/>
          <w:color w:val="000000" w:themeColor="text1"/>
        </w:rPr>
        <w:t xml:space="preserve">expressed </w:t>
      </w:r>
      <w:r w:rsidR="4641FC6B" w:rsidRPr="00C94AFC">
        <w:rPr>
          <w:rFonts w:eastAsia="Times New Roman"/>
          <w:color w:val="000000" w:themeColor="text1"/>
        </w:rPr>
        <w:t xml:space="preserve">an </w:t>
      </w:r>
      <w:r w:rsidRPr="00C94AFC">
        <w:rPr>
          <w:rFonts w:eastAsia="Times New Roman"/>
          <w:color w:val="000000" w:themeColor="text1"/>
        </w:rPr>
        <w:t>interest in joining the project.</w:t>
      </w:r>
    </w:p>
    <w:p w14:paraId="731BE4AC" w14:textId="776DFAE7" w:rsidR="009A2747" w:rsidRPr="00C94AFC" w:rsidRDefault="3D399F2F" w:rsidP="3391EFF5">
      <w:pPr>
        <w:spacing w:before="100" w:beforeAutospacing="1" w:after="100" w:afterAutospacing="1"/>
        <w:jc w:val="both"/>
        <w:rPr>
          <w:rFonts w:eastAsia="Times New Roman"/>
          <w:color w:val="000000"/>
        </w:rPr>
      </w:pPr>
      <w:r w:rsidRPr="00C94AFC">
        <w:rPr>
          <w:rFonts w:eastAsia="Times New Roman"/>
          <w:color w:val="000000" w:themeColor="text1"/>
        </w:rPr>
        <w:t xml:space="preserve">Beyond the EU, </w:t>
      </w:r>
      <w:r w:rsidR="3CF16813" w:rsidRPr="00C94AFC">
        <w:rPr>
          <w:rFonts w:eastAsia="Times New Roman"/>
          <w:color w:val="000000" w:themeColor="text1"/>
        </w:rPr>
        <w:t xml:space="preserve">and </w:t>
      </w:r>
      <w:r w:rsidRPr="00C94AFC">
        <w:rPr>
          <w:rFonts w:eastAsia="Times New Roman"/>
          <w:color w:val="000000" w:themeColor="text1"/>
        </w:rPr>
        <w:t xml:space="preserve">as part of its </w:t>
      </w:r>
      <w:r w:rsidR="5063B5FB" w:rsidRPr="00C94AFC">
        <w:rPr>
          <w:rFonts w:eastAsia="Times New Roman"/>
          <w:color w:val="000000" w:themeColor="text1"/>
        </w:rPr>
        <w:t xml:space="preserve">cooperation </w:t>
      </w:r>
      <w:r w:rsidRPr="00C94AFC">
        <w:rPr>
          <w:rFonts w:ascii="-webkit-standard" w:hAnsi="-webkit-standard"/>
          <w:color w:val="000000" w:themeColor="text1"/>
        </w:rPr>
        <w:t xml:space="preserve">with </w:t>
      </w:r>
      <w:r w:rsidR="00991E6B" w:rsidRPr="00C94AFC">
        <w:rPr>
          <w:rFonts w:ascii="-webkit-standard" w:hAnsi="-webkit-standard"/>
          <w:color w:val="000000" w:themeColor="text1"/>
        </w:rPr>
        <w:t>p</w:t>
      </w:r>
      <w:r w:rsidRPr="00C94AFC">
        <w:rPr>
          <w:rFonts w:eastAsia="Times New Roman"/>
          <w:color w:val="000000" w:themeColor="text1"/>
        </w:rPr>
        <w:t xml:space="preserve">artner countries, the Commission </w:t>
      </w:r>
      <w:r w:rsidR="00DC707A">
        <w:rPr>
          <w:rFonts w:eastAsia="Times New Roman"/>
          <w:color w:val="000000" w:themeColor="text1"/>
        </w:rPr>
        <w:t xml:space="preserve">explored the possibility of </w:t>
      </w:r>
      <w:r w:rsidRPr="00C94AFC">
        <w:rPr>
          <w:rFonts w:eastAsia="Times New Roman"/>
          <w:color w:val="000000" w:themeColor="text1"/>
        </w:rPr>
        <w:t>providing the eLicensing tool to partner</w:t>
      </w:r>
      <w:r w:rsidR="33C25BE8" w:rsidRPr="00C94AFC">
        <w:rPr>
          <w:rFonts w:eastAsia="Times New Roman"/>
          <w:color w:val="000000" w:themeColor="text1"/>
        </w:rPr>
        <w:t xml:space="preserve"> countrie</w:t>
      </w:r>
      <w:r w:rsidRPr="00C94AFC">
        <w:rPr>
          <w:rFonts w:eastAsia="Times New Roman"/>
          <w:color w:val="000000" w:themeColor="text1"/>
        </w:rPr>
        <w:t xml:space="preserve">s. </w:t>
      </w:r>
      <w:r w:rsidR="3CF16813" w:rsidRPr="00C94AFC">
        <w:rPr>
          <w:rFonts w:eastAsia="Times New Roman"/>
          <w:color w:val="000000" w:themeColor="text1"/>
        </w:rPr>
        <w:t>Bosnia and Herzegovina</w:t>
      </w:r>
      <w:r w:rsidR="00763045" w:rsidRPr="00C94AFC">
        <w:rPr>
          <w:rFonts w:eastAsia="Times New Roman"/>
          <w:color w:val="000000" w:themeColor="text1"/>
        </w:rPr>
        <w:t>,</w:t>
      </w:r>
      <w:r w:rsidR="3CF16813" w:rsidRPr="00C94AFC">
        <w:rPr>
          <w:rFonts w:eastAsia="Times New Roman"/>
          <w:color w:val="000000" w:themeColor="text1"/>
        </w:rPr>
        <w:t xml:space="preserve"> </w:t>
      </w:r>
      <w:r w:rsidR="33C25BE8" w:rsidRPr="00C94AFC">
        <w:rPr>
          <w:rFonts w:eastAsia="Times New Roman"/>
          <w:color w:val="000000" w:themeColor="text1"/>
        </w:rPr>
        <w:t xml:space="preserve">Kyrgyzstan </w:t>
      </w:r>
      <w:r w:rsidR="3CF16813" w:rsidRPr="00C94AFC">
        <w:rPr>
          <w:rFonts w:eastAsia="Times New Roman"/>
          <w:color w:val="000000" w:themeColor="text1"/>
        </w:rPr>
        <w:t xml:space="preserve">and Serbia </w:t>
      </w:r>
      <w:r w:rsidRPr="00C94AFC">
        <w:rPr>
          <w:rFonts w:eastAsia="Times New Roman"/>
          <w:color w:val="000000" w:themeColor="text1"/>
        </w:rPr>
        <w:t>expressed interest in using the tool</w:t>
      </w:r>
      <w:r w:rsidR="00502BE3" w:rsidRPr="00C94AFC">
        <w:rPr>
          <w:rFonts w:eastAsia="Times New Roman"/>
          <w:color w:val="000000" w:themeColor="text1"/>
        </w:rPr>
        <w:t>.</w:t>
      </w:r>
    </w:p>
    <w:p w14:paraId="7B5C2307" w14:textId="25C4A058" w:rsidR="009A2747" w:rsidRPr="00C94AFC" w:rsidRDefault="01E2740B" w:rsidP="009D6D2B">
      <w:pPr>
        <w:jc w:val="both"/>
        <w:rPr>
          <w:rFonts w:eastAsia="Times New Roman"/>
          <w:color w:val="000000"/>
        </w:rPr>
      </w:pPr>
      <w:r w:rsidRPr="00C94AFC">
        <w:rPr>
          <w:rFonts w:eastAsia="Times New Roman"/>
          <w:color w:val="000000" w:themeColor="text1"/>
        </w:rPr>
        <w:t xml:space="preserve">The eLicensing project </w:t>
      </w:r>
      <w:r w:rsidR="0FEDBF00" w:rsidRPr="00C94AFC">
        <w:rPr>
          <w:rFonts w:eastAsia="Times New Roman"/>
          <w:color w:val="000000" w:themeColor="text1"/>
        </w:rPr>
        <w:t xml:space="preserve">continuously improves the </w:t>
      </w:r>
      <w:r w:rsidR="00DC707A">
        <w:rPr>
          <w:rFonts w:eastAsia="Times New Roman"/>
          <w:color w:val="000000" w:themeColor="text1"/>
        </w:rPr>
        <w:t>interconnect</w:t>
      </w:r>
      <w:r w:rsidR="00221A90">
        <w:rPr>
          <w:rFonts w:eastAsia="Times New Roman"/>
          <w:color w:val="000000" w:themeColor="text1"/>
        </w:rPr>
        <w:t>ion</w:t>
      </w:r>
      <w:r w:rsidR="00DC707A">
        <w:rPr>
          <w:rFonts w:eastAsia="Times New Roman"/>
          <w:color w:val="000000" w:themeColor="text1"/>
        </w:rPr>
        <w:t xml:space="preserve"> of the</w:t>
      </w:r>
      <w:r w:rsidRPr="00C94AFC">
        <w:rPr>
          <w:rFonts w:eastAsia="Times New Roman"/>
          <w:color w:val="000000" w:themeColor="text1"/>
        </w:rPr>
        <w:t xml:space="preserve"> national customs systems via the </w:t>
      </w:r>
      <w:r w:rsidR="00DC707A">
        <w:rPr>
          <w:rFonts w:eastAsia="Times New Roman"/>
          <w:color w:val="000000" w:themeColor="text1"/>
        </w:rPr>
        <w:t xml:space="preserve">EU </w:t>
      </w:r>
      <w:r w:rsidRPr="00C94AFC">
        <w:rPr>
          <w:rFonts w:eastAsia="Times New Roman"/>
          <w:color w:val="000000" w:themeColor="text1"/>
        </w:rPr>
        <w:t xml:space="preserve">Single Window </w:t>
      </w:r>
      <w:r w:rsidR="00DC707A">
        <w:rPr>
          <w:rFonts w:eastAsia="Times New Roman"/>
          <w:color w:val="000000" w:themeColor="text1"/>
        </w:rPr>
        <w:t>E</w:t>
      </w:r>
      <w:r w:rsidRPr="00C94AFC">
        <w:rPr>
          <w:rFonts w:eastAsia="Times New Roman"/>
          <w:color w:val="000000" w:themeColor="text1"/>
        </w:rPr>
        <w:t>nvironment</w:t>
      </w:r>
      <w:r w:rsidR="00DC707A">
        <w:rPr>
          <w:rFonts w:eastAsia="Times New Roman"/>
          <w:color w:val="000000" w:themeColor="text1"/>
        </w:rPr>
        <w:t xml:space="preserve"> for Customs</w:t>
      </w:r>
      <w:r w:rsidRPr="00C94AFC">
        <w:rPr>
          <w:rFonts w:eastAsia="Times New Roman"/>
          <w:color w:val="000000" w:themeColor="text1"/>
        </w:rPr>
        <w:t xml:space="preserve">. This makes </w:t>
      </w:r>
      <w:r w:rsidR="751E7E27" w:rsidRPr="00C94AFC">
        <w:rPr>
          <w:rFonts w:eastAsia="Times New Roman"/>
          <w:color w:val="000000" w:themeColor="text1"/>
        </w:rPr>
        <w:t xml:space="preserve">the </w:t>
      </w:r>
      <w:r w:rsidRPr="00C94AFC">
        <w:rPr>
          <w:rFonts w:eastAsia="Times New Roman"/>
          <w:color w:val="000000" w:themeColor="text1"/>
        </w:rPr>
        <w:t xml:space="preserve">sharing </w:t>
      </w:r>
      <w:r w:rsidR="751E7E27" w:rsidRPr="00C94AFC">
        <w:rPr>
          <w:rFonts w:eastAsia="Times New Roman"/>
          <w:color w:val="000000" w:themeColor="text1"/>
        </w:rPr>
        <w:t xml:space="preserve">of </w:t>
      </w:r>
      <w:r w:rsidRPr="00C94AFC">
        <w:rPr>
          <w:rFonts w:eastAsia="Times New Roman"/>
          <w:color w:val="000000" w:themeColor="text1"/>
        </w:rPr>
        <w:t xml:space="preserve">information across borders with </w:t>
      </w:r>
      <w:r w:rsidR="00DC707A">
        <w:rPr>
          <w:rFonts w:eastAsia="Times New Roman"/>
          <w:color w:val="000000" w:themeColor="text1"/>
        </w:rPr>
        <w:t xml:space="preserve">different </w:t>
      </w:r>
      <w:r w:rsidRPr="00C94AFC">
        <w:rPr>
          <w:rFonts w:eastAsia="Times New Roman"/>
          <w:color w:val="000000" w:themeColor="text1"/>
        </w:rPr>
        <w:t xml:space="preserve">customs authorities much easier, reducing the regulatory burden </w:t>
      </w:r>
      <w:r w:rsidR="00DC707A">
        <w:rPr>
          <w:rFonts w:eastAsia="Times New Roman"/>
          <w:color w:val="000000" w:themeColor="text1"/>
        </w:rPr>
        <w:t>on</w:t>
      </w:r>
      <w:r w:rsidR="00DC707A" w:rsidRPr="00C94AFC">
        <w:rPr>
          <w:rFonts w:eastAsia="Times New Roman"/>
          <w:color w:val="000000" w:themeColor="text1"/>
        </w:rPr>
        <w:t xml:space="preserve"> </w:t>
      </w:r>
      <w:r w:rsidRPr="00C94AFC">
        <w:rPr>
          <w:rFonts w:eastAsia="Times New Roman"/>
          <w:color w:val="000000" w:themeColor="text1"/>
        </w:rPr>
        <w:t>operators and allowing automatic licens</w:t>
      </w:r>
      <w:r w:rsidR="4641FC6B" w:rsidRPr="00C94AFC">
        <w:rPr>
          <w:rFonts w:eastAsia="Times New Roman"/>
          <w:color w:val="000000" w:themeColor="text1"/>
        </w:rPr>
        <w:t>ing</w:t>
      </w:r>
      <w:r w:rsidRPr="00C94AFC">
        <w:rPr>
          <w:rFonts w:eastAsia="Times New Roman"/>
          <w:color w:val="000000" w:themeColor="text1"/>
        </w:rPr>
        <w:t xml:space="preserve"> management. This is done through the </w:t>
      </w:r>
      <w:r w:rsidR="00DC707A">
        <w:rPr>
          <w:rFonts w:eastAsia="Times New Roman"/>
          <w:color w:val="000000" w:themeColor="text1"/>
        </w:rPr>
        <w:t>c</w:t>
      </w:r>
      <w:r w:rsidRPr="00C94AFC">
        <w:rPr>
          <w:rFonts w:eastAsia="Times New Roman"/>
          <w:color w:val="000000" w:themeColor="text1"/>
        </w:rPr>
        <w:t xml:space="preserve">ertification </w:t>
      </w:r>
      <w:r w:rsidR="00DC707A">
        <w:rPr>
          <w:rFonts w:eastAsia="Times New Roman"/>
          <w:color w:val="000000" w:themeColor="text1"/>
        </w:rPr>
        <w:t>e</w:t>
      </w:r>
      <w:r w:rsidRPr="00C94AFC">
        <w:rPr>
          <w:rFonts w:eastAsia="Times New Roman"/>
          <w:color w:val="000000" w:themeColor="text1"/>
        </w:rPr>
        <w:t>xcha</w:t>
      </w:r>
      <w:r w:rsidR="4641FC6B" w:rsidRPr="00C94AFC">
        <w:rPr>
          <w:rFonts w:eastAsia="Times New Roman"/>
          <w:color w:val="000000" w:themeColor="text1"/>
        </w:rPr>
        <w:t>n</w:t>
      </w:r>
      <w:r w:rsidRPr="00C94AFC">
        <w:rPr>
          <w:rFonts w:eastAsia="Times New Roman"/>
          <w:color w:val="000000" w:themeColor="text1"/>
        </w:rPr>
        <w:t xml:space="preserve">ge </w:t>
      </w:r>
      <w:r w:rsidR="00C94AFC">
        <w:rPr>
          <w:rFonts w:eastAsia="Times New Roman"/>
          <w:color w:val="000000" w:themeColor="text1"/>
        </w:rPr>
        <w:t>‘</w:t>
      </w:r>
      <w:r w:rsidRPr="00C94AFC">
        <w:rPr>
          <w:rFonts w:eastAsia="Times New Roman"/>
          <w:color w:val="000000" w:themeColor="text1"/>
        </w:rPr>
        <w:t>CERTEX</w:t>
      </w:r>
      <w:r w:rsidR="00C94AFC">
        <w:rPr>
          <w:rFonts w:eastAsia="Times New Roman"/>
          <w:color w:val="000000" w:themeColor="text1"/>
        </w:rPr>
        <w:t>’</w:t>
      </w:r>
      <w:r w:rsidRPr="00C94AFC">
        <w:rPr>
          <w:rFonts w:eastAsia="Times New Roman"/>
          <w:color w:val="000000" w:themeColor="text1"/>
        </w:rPr>
        <w:t xml:space="preserve"> platform</w:t>
      </w:r>
      <w:r w:rsidR="751E7E27" w:rsidRPr="00C94AFC">
        <w:rPr>
          <w:rFonts w:eastAsia="Times New Roman"/>
          <w:color w:val="000000" w:themeColor="text1"/>
        </w:rPr>
        <w:t>,</w:t>
      </w:r>
      <w:r w:rsidRPr="00C94AFC">
        <w:rPr>
          <w:rFonts w:eastAsia="Times New Roman"/>
          <w:color w:val="000000" w:themeColor="text1"/>
        </w:rPr>
        <w:t xml:space="preserve"> managed by DG TAXUD. The interconnection between eLicensing and the national customs </w:t>
      </w:r>
      <w:r w:rsidR="00DC707A">
        <w:rPr>
          <w:rFonts w:eastAsia="Times New Roman"/>
          <w:color w:val="000000" w:themeColor="text1"/>
        </w:rPr>
        <w:t xml:space="preserve">systems </w:t>
      </w:r>
      <w:r w:rsidR="4641FC6B" w:rsidRPr="00C94AFC">
        <w:rPr>
          <w:rFonts w:eastAsia="Times New Roman"/>
          <w:color w:val="000000" w:themeColor="text1"/>
        </w:rPr>
        <w:t>has been</w:t>
      </w:r>
      <w:r w:rsidRPr="00C94AFC">
        <w:rPr>
          <w:rFonts w:eastAsia="Times New Roman"/>
          <w:color w:val="000000" w:themeColor="text1"/>
        </w:rPr>
        <w:t xml:space="preserve"> operational since December 2022.</w:t>
      </w:r>
      <w:r w:rsidR="612722D8" w:rsidRPr="00C94AFC">
        <w:rPr>
          <w:rFonts w:eastAsia="Times New Roman"/>
          <w:color w:val="000000" w:themeColor="text1"/>
        </w:rPr>
        <w:t xml:space="preserve"> </w:t>
      </w:r>
      <w:r w:rsidR="00DC707A">
        <w:rPr>
          <w:rFonts w:eastAsia="Times New Roman"/>
          <w:color w:val="000000" w:themeColor="text1"/>
        </w:rPr>
        <w:t xml:space="preserve">The </w:t>
      </w:r>
      <w:r w:rsidR="56C78D96" w:rsidRPr="00C94AFC">
        <w:rPr>
          <w:rFonts w:eastAsia="Times New Roman"/>
          <w:color w:val="000000" w:themeColor="text1"/>
        </w:rPr>
        <w:t xml:space="preserve">Romanian customs authorities have </w:t>
      </w:r>
      <w:r w:rsidR="00DC707A">
        <w:rPr>
          <w:rFonts w:eastAsia="Times New Roman"/>
          <w:color w:val="000000" w:themeColor="text1"/>
        </w:rPr>
        <w:t>been part of the system</w:t>
      </w:r>
      <w:r w:rsidR="56C78D96" w:rsidRPr="00C94AFC">
        <w:rPr>
          <w:rFonts w:eastAsia="Times New Roman"/>
          <w:color w:val="000000" w:themeColor="text1"/>
        </w:rPr>
        <w:t xml:space="preserve"> since April 2024.</w:t>
      </w:r>
    </w:p>
    <w:p w14:paraId="3DA8BF03" w14:textId="4E947C31" w:rsidR="000D4556" w:rsidRPr="00C94AFC" w:rsidRDefault="3D399F2F" w:rsidP="3391EFF5">
      <w:pPr>
        <w:spacing w:before="100" w:beforeAutospacing="1" w:after="100" w:afterAutospacing="1"/>
        <w:jc w:val="both"/>
        <w:rPr>
          <w:rFonts w:eastAsia="Times New Roman"/>
          <w:color w:val="000000"/>
        </w:rPr>
      </w:pPr>
      <w:r w:rsidRPr="00C94AFC">
        <w:rPr>
          <w:rFonts w:eastAsia="Times New Roman"/>
          <w:color w:val="000000" w:themeColor="text1"/>
        </w:rPr>
        <w:t xml:space="preserve">At the request of </w:t>
      </w:r>
      <w:r w:rsidR="00DC707A">
        <w:rPr>
          <w:rFonts w:eastAsia="Times New Roman"/>
          <w:color w:val="000000" w:themeColor="text1"/>
        </w:rPr>
        <w:t xml:space="preserve">the </w:t>
      </w:r>
      <w:r w:rsidRPr="00C94AFC">
        <w:rPr>
          <w:rFonts w:eastAsia="Times New Roman"/>
          <w:color w:val="000000" w:themeColor="text1"/>
        </w:rPr>
        <w:t xml:space="preserve">Member States that already </w:t>
      </w:r>
      <w:r w:rsidR="00DC707A">
        <w:rPr>
          <w:rFonts w:eastAsia="Times New Roman"/>
          <w:color w:val="000000" w:themeColor="text1"/>
        </w:rPr>
        <w:t xml:space="preserve">used </w:t>
      </w:r>
      <w:r w:rsidR="00221A90">
        <w:rPr>
          <w:rFonts w:eastAsia="Times New Roman"/>
          <w:color w:val="000000" w:themeColor="text1"/>
        </w:rPr>
        <w:t>electronic l</w:t>
      </w:r>
      <w:r w:rsidRPr="00C94AFC">
        <w:rPr>
          <w:rFonts w:eastAsia="Times New Roman"/>
          <w:color w:val="000000" w:themeColor="text1"/>
        </w:rPr>
        <w:t xml:space="preserve">icensing systems, </w:t>
      </w:r>
      <w:r w:rsidR="751E7E27" w:rsidRPr="00C94AFC">
        <w:rPr>
          <w:rFonts w:eastAsia="Times New Roman"/>
          <w:color w:val="000000" w:themeColor="text1"/>
        </w:rPr>
        <w:t xml:space="preserve">in April 2022 </w:t>
      </w:r>
      <w:r w:rsidRPr="00C94AFC">
        <w:rPr>
          <w:rFonts w:eastAsia="Times New Roman"/>
          <w:color w:val="000000" w:themeColor="text1"/>
        </w:rPr>
        <w:t xml:space="preserve">the Commission initiated a new </w:t>
      </w:r>
      <w:r w:rsidR="00C94AFC">
        <w:rPr>
          <w:rFonts w:eastAsia="Times New Roman"/>
          <w:color w:val="000000" w:themeColor="text1"/>
        </w:rPr>
        <w:t>‘</w:t>
      </w:r>
      <w:r w:rsidRPr="00C94AFC">
        <w:rPr>
          <w:rFonts w:eastAsia="Times New Roman"/>
          <w:color w:val="000000" w:themeColor="text1"/>
        </w:rPr>
        <w:t>eLicensing bridge</w:t>
      </w:r>
      <w:r w:rsidR="00C94AFC">
        <w:rPr>
          <w:rFonts w:eastAsia="Times New Roman"/>
          <w:color w:val="000000" w:themeColor="text1"/>
        </w:rPr>
        <w:t>’</w:t>
      </w:r>
      <w:r w:rsidRPr="00C94AFC">
        <w:rPr>
          <w:rFonts w:eastAsia="Times New Roman"/>
          <w:b/>
          <w:bCs/>
          <w:color w:val="000000" w:themeColor="text1"/>
        </w:rPr>
        <w:t xml:space="preserve"> </w:t>
      </w:r>
      <w:r w:rsidRPr="00C94AFC">
        <w:rPr>
          <w:rFonts w:eastAsia="Times New Roman"/>
          <w:color w:val="000000" w:themeColor="text1"/>
        </w:rPr>
        <w:t xml:space="preserve">project to </w:t>
      </w:r>
      <w:r w:rsidR="00DC707A">
        <w:rPr>
          <w:rFonts w:eastAsia="Times New Roman"/>
          <w:color w:val="000000" w:themeColor="text1"/>
        </w:rPr>
        <w:t>make it possible</w:t>
      </w:r>
      <w:r w:rsidR="00DC707A" w:rsidRPr="00C94AFC">
        <w:rPr>
          <w:rFonts w:eastAsia="Times New Roman"/>
          <w:color w:val="000000" w:themeColor="text1"/>
        </w:rPr>
        <w:t xml:space="preserve"> </w:t>
      </w:r>
      <w:r w:rsidRPr="00C94AFC">
        <w:rPr>
          <w:rFonts w:eastAsia="Times New Roman"/>
          <w:color w:val="000000" w:themeColor="text1"/>
        </w:rPr>
        <w:t>to connect national licensing systems to customs systems</w:t>
      </w:r>
      <w:r w:rsidR="4D6D3182" w:rsidRPr="00C94AFC">
        <w:rPr>
          <w:rFonts w:eastAsia="Times New Roman"/>
          <w:color w:val="000000" w:themeColor="text1"/>
        </w:rPr>
        <w:t xml:space="preserve"> through eLicensing</w:t>
      </w:r>
      <w:r w:rsidRPr="00C94AFC">
        <w:rPr>
          <w:rFonts w:eastAsia="Times New Roman"/>
          <w:color w:val="000000" w:themeColor="text1"/>
        </w:rPr>
        <w:t>. Finland</w:t>
      </w:r>
      <w:r w:rsidR="4D6D3182" w:rsidRPr="00C94AFC">
        <w:rPr>
          <w:rFonts w:eastAsia="Times New Roman"/>
          <w:color w:val="000000" w:themeColor="text1"/>
        </w:rPr>
        <w:t xml:space="preserve"> </w:t>
      </w:r>
      <w:r w:rsidR="00A85EC9" w:rsidRPr="00C94AFC">
        <w:rPr>
          <w:rFonts w:eastAsia="Times New Roman"/>
          <w:color w:val="000000" w:themeColor="text1"/>
        </w:rPr>
        <w:t>wa</w:t>
      </w:r>
      <w:r w:rsidR="4D6D3182" w:rsidRPr="00C94AFC">
        <w:rPr>
          <w:rFonts w:eastAsia="Times New Roman"/>
          <w:color w:val="000000" w:themeColor="text1"/>
        </w:rPr>
        <w:t>s part of the pilot project</w:t>
      </w:r>
      <w:r w:rsidR="60A2E795" w:rsidRPr="00C94AFC">
        <w:rPr>
          <w:rFonts w:eastAsia="Times New Roman"/>
          <w:color w:val="000000" w:themeColor="text1"/>
        </w:rPr>
        <w:t xml:space="preserve"> and </w:t>
      </w:r>
      <w:r w:rsidR="01E1DCE2" w:rsidRPr="00C94AFC">
        <w:rPr>
          <w:rFonts w:eastAsia="Times New Roman"/>
          <w:color w:val="000000" w:themeColor="text1"/>
        </w:rPr>
        <w:t>tested the interconnection in 2024</w:t>
      </w:r>
      <w:r w:rsidR="4D6D3182" w:rsidRPr="00C94AFC">
        <w:rPr>
          <w:rFonts w:eastAsia="Times New Roman"/>
          <w:color w:val="000000" w:themeColor="text1"/>
        </w:rPr>
        <w:t>.</w:t>
      </w:r>
    </w:p>
    <w:p w14:paraId="7B721AC9" w14:textId="07C241EB" w:rsidR="00114F71" w:rsidRPr="00C94AFC" w:rsidRDefault="0F137245" w:rsidP="3391EFF5">
      <w:pPr>
        <w:keepNext/>
        <w:tabs>
          <w:tab w:val="left" w:pos="850"/>
        </w:tabs>
        <w:spacing w:after="120"/>
        <w:ind w:left="850" w:hanging="850"/>
        <w:jc w:val="both"/>
        <w:outlineLvl w:val="0"/>
        <w:rPr>
          <w:rFonts w:eastAsia="Times New Roman"/>
          <w:b/>
          <w:bCs/>
          <w:smallCaps/>
          <w:lang w:eastAsia="en-GB"/>
        </w:rPr>
      </w:pPr>
      <w:r w:rsidRPr="00C94AFC">
        <w:rPr>
          <w:rFonts w:eastAsia="Times New Roman"/>
          <w:b/>
          <w:bCs/>
          <w:smallCaps/>
          <w:lang w:eastAsia="en-GB"/>
        </w:rPr>
        <w:t>4.</w:t>
      </w:r>
      <w:r w:rsidR="00114F71" w:rsidRPr="00C94AFC">
        <w:tab/>
      </w:r>
      <w:r w:rsidRPr="00C94AFC">
        <w:rPr>
          <w:rFonts w:eastAsia="Times New Roman"/>
          <w:b/>
          <w:bCs/>
          <w:smallCaps/>
          <w:lang w:eastAsia="en-GB"/>
        </w:rPr>
        <w:t xml:space="preserve">EU export controls – </w:t>
      </w:r>
      <w:r w:rsidR="00221A90">
        <w:rPr>
          <w:rFonts w:eastAsia="Times New Roman"/>
          <w:b/>
          <w:bCs/>
          <w:smallCaps/>
          <w:lang w:eastAsia="en-GB"/>
        </w:rPr>
        <w:t>k</w:t>
      </w:r>
      <w:r w:rsidRPr="00C94AFC">
        <w:rPr>
          <w:rFonts w:eastAsia="Times New Roman"/>
          <w:b/>
          <w:bCs/>
          <w:smallCaps/>
          <w:lang w:eastAsia="en-GB"/>
        </w:rPr>
        <w:t xml:space="preserve">ey </w:t>
      </w:r>
      <w:r w:rsidR="00221A90">
        <w:rPr>
          <w:rFonts w:eastAsia="Times New Roman"/>
          <w:b/>
          <w:bCs/>
          <w:smallCaps/>
          <w:lang w:eastAsia="en-GB"/>
        </w:rPr>
        <w:t>d</w:t>
      </w:r>
      <w:r w:rsidRPr="00C94AFC">
        <w:rPr>
          <w:rFonts w:eastAsia="Times New Roman"/>
          <w:b/>
          <w:bCs/>
          <w:smallCaps/>
          <w:lang w:eastAsia="en-GB"/>
        </w:rPr>
        <w:t>ata</w:t>
      </w:r>
    </w:p>
    <w:p w14:paraId="7E06AD8A" w14:textId="118E38AB" w:rsidR="008D0D0F" w:rsidRPr="00C94AFC" w:rsidRDefault="008D0D0F" w:rsidP="008D0D0F">
      <w:pPr>
        <w:spacing w:before="100" w:beforeAutospacing="1" w:after="100" w:afterAutospacing="1"/>
        <w:jc w:val="both"/>
        <w:rPr>
          <w:rFonts w:eastAsiaTheme="minorEastAsia"/>
        </w:rPr>
      </w:pPr>
      <w:bookmarkStart w:id="10" w:name="EUExportControlsKeyData"/>
      <w:r w:rsidRPr="00C94AFC">
        <w:rPr>
          <w:rFonts w:eastAsiaTheme="minorEastAsia"/>
        </w:rPr>
        <w:t>Article</w:t>
      </w:r>
      <w:r w:rsidR="00C94AFC">
        <w:rPr>
          <w:rFonts w:eastAsiaTheme="minorEastAsia"/>
        </w:rPr>
        <w:t> </w:t>
      </w:r>
      <w:r w:rsidRPr="00C94AFC">
        <w:rPr>
          <w:rFonts w:eastAsiaTheme="minorEastAsia"/>
        </w:rPr>
        <w:t xml:space="preserve">26 of the Regulation provides </w:t>
      </w:r>
      <w:r w:rsidR="003D48D5" w:rsidRPr="00C94AFC">
        <w:rPr>
          <w:rFonts w:eastAsiaTheme="minorEastAsia"/>
        </w:rPr>
        <w:t>that the</w:t>
      </w:r>
      <w:r w:rsidRPr="00C94AFC">
        <w:rPr>
          <w:rFonts w:eastAsiaTheme="minorEastAsia"/>
        </w:rPr>
        <w:t xml:space="preserve"> </w:t>
      </w:r>
      <w:r w:rsidR="003D48D5" w:rsidRPr="00C94AFC">
        <w:rPr>
          <w:rFonts w:eastAsiaTheme="minorEastAsia"/>
        </w:rPr>
        <w:t xml:space="preserve">European Commission’s </w:t>
      </w:r>
      <w:r w:rsidRPr="00C94AFC">
        <w:rPr>
          <w:rFonts w:eastAsiaTheme="minorEastAsia"/>
        </w:rPr>
        <w:t xml:space="preserve">annual report on the implementation of controls </w:t>
      </w:r>
      <w:r w:rsidR="00E47BAC">
        <w:rPr>
          <w:rFonts w:eastAsiaTheme="minorEastAsia"/>
        </w:rPr>
        <w:t>must</w:t>
      </w:r>
      <w:r w:rsidR="00E47BAC" w:rsidRPr="00C94AFC">
        <w:rPr>
          <w:rFonts w:eastAsiaTheme="minorEastAsia"/>
        </w:rPr>
        <w:t xml:space="preserve"> </w:t>
      </w:r>
      <w:r w:rsidRPr="00C94AFC">
        <w:rPr>
          <w:rFonts w:eastAsiaTheme="minorEastAsia"/>
        </w:rPr>
        <w:t>include relevant information on authorisations, denials and prohibitions, as well as information on the administration and enforcement of such controls.</w:t>
      </w:r>
    </w:p>
    <w:p w14:paraId="613C8AEE" w14:textId="0F3A2A5C" w:rsidR="008D0D0F" w:rsidRPr="00C94AFC" w:rsidRDefault="008D0D0F" w:rsidP="008D0D0F">
      <w:pPr>
        <w:spacing w:before="100" w:beforeAutospacing="1" w:after="100" w:afterAutospacing="1"/>
        <w:jc w:val="both"/>
        <w:rPr>
          <w:rFonts w:eastAsiaTheme="minorEastAsia"/>
        </w:rPr>
      </w:pPr>
      <w:r w:rsidRPr="00C94AFC">
        <w:rPr>
          <w:rFonts w:eastAsiaTheme="minorEastAsia"/>
        </w:rPr>
        <w:t xml:space="preserve">This Section presents EU aggregated export control data for the reference year 2024. </w:t>
      </w:r>
      <w:bookmarkStart w:id="11" w:name="_Hlk171320818"/>
      <w:r w:rsidRPr="00C94AFC">
        <w:rPr>
          <w:rFonts w:eastAsiaTheme="minorEastAsia"/>
        </w:rPr>
        <w:t xml:space="preserve">Due to their volume, the underlying data provided by Member States are presented in consolidated form in the </w:t>
      </w:r>
      <w:r w:rsidR="00372067">
        <w:rPr>
          <w:rFonts w:eastAsiaTheme="minorEastAsia"/>
        </w:rPr>
        <w:t>s</w:t>
      </w:r>
      <w:r w:rsidRPr="00C94AFC">
        <w:rPr>
          <w:rFonts w:eastAsiaTheme="minorEastAsia"/>
        </w:rPr>
        <w:t xml:space="preserve">taff </w:t>
      </w:r>
      <w:r w:rsidR="00372067">
        <w:rPr>
          <w:rFonts w:eastAsiaTheme="minorEastAsia"/>
        </w:rPr>
        <w:t>w</w:t>
      </w:r>
      <w:r w:rsidRPr="00C94AFC">
        <w:rPr>
          <w:rFonts w:eastAsiaTheme="minorEastAsia"/>
        </w:rPr>
        <w:t xml:space="preserve">orking </w:t>
      </w:r>
      <w:r w:rsidR="00372067">
        <w:rPr>
          <w:rFonts w:eastAsiaTheme="minorEastAsia"/>
        </w:rPr>
        <w:t>d</w:t>
      </w:r>
      <w:r w:rsidRPr="00C94AFC">
        <w:rPr>
          <w:rFonts w:eastAsiaTheme="minorEastAsia"/>
        </w:rPr>
        <w:t>ocument that accompanies th</w:t>
      </w:r>
      <w:r w:rsidR="00372067">
        <w:rPr>
          <w:rFonts w:eastAsiaTheme="minorEastAsia"/>
        </w:rPr>
        <w:t>is</w:t>
      </w:r>
      <w:r w:rsidRPr="00C94AFC">
        <w:rPr>
          <w:rFonts w:eastAsiaTheme="minorEastAsia"/>
        </w:rPr>
        <w:t xml:space="preserve"> report.</w:t>
      </w:r>
      <w:bookmarkEnd w:id="11"/>
    </w:p>
    <w:p w14:paraId="6AAAB9C7" w14:textId="1EC66503" w:rsidR="008D0D0F" w:rsidRPr="00C94AFC" w:rsidRDefault="008D0D0F" w:rsidP="008D0D0F">
      <w:pPr>
        <w:spacing w:before="100" w:beforeAutospacing="1" w:after="100" w:afterAutospacing="1"/>
        <w:jc w:val="both"/>
        <w:rPr>
          <w:rFonts w:eastAsiaTheme="minorEastAsia"/>
        </w:rPr>
      </w:pPr>
      <w:r w:rsidRPr="49F47F3A">
        <w:rPr>
          <w:rFonts w:eastAsiaTheme="minorEastAsia"/>
        </w:rPr>
        <w:t>The data have been made available in accordance with specific reporting guidelines (‘the Guidelines’)</w:t>
      </w:r>
      <w:r w:rsidRPr="00C94AFC">
        <w:rPr>
          <w:rFonts w:eastAsia="Times New Roman"/>
          <w:sz w:val="20"/>
          <w:szCs w:val="20"/>
          <w:vertAlign w:val="superscript"/>
        </w:rPr>
        <w:footnoteReference w:id="26"/>
      </w:r>
      <w:r w:rsidR="00C94AFC" w:rsidRPr="49F47F3A">
        <w:rPr>
          <w:rFonts w:eastAsiaTheme="minorEastAsia"/>
        </w:rPr>
        <w:t>.</w:t>
      </w:r>
      <w:r w:rsidR="000B0C95" w:rsidRPr="49F47F3A">
        <w:rPr>
          <w:rFonts w:eastAsiaTheme="minorEastAsia"/>
        </w:rPr>
        <w:t xml:space="preserve"> </w:t>
      </w:r>
      <w:r w:rsidRPr="49F47F3A">
        <w:rPr>
          <w:rFonts w:eastAsiaTheme="minorEastAsia"/>
        </w:rPr>
        <w:t xml:space="preserve">Under these guidelines, the data collection methodology is designed to remain </w:t>
      </w:r>
      <w:r w:rsidRPr="49F47F3A">
        <w:rPr>
          <w:rFonts w:eastAsiaTheme="minorEastAsia"/>
        </w:rPr>
        <w:lastRenderedPageBreak/>
        <w:t>sustainable over time, allowing Member States to provide relevant information to the Commission in an efficient and cost-effective manner, which is statistically sound and with due consideration to the protection of personal information, commercially sensitive information or protected information on defence, foreign policy or national security.</w:t>
      </w:r>
    </w:p>
    <w:p w14:paraId="4E24FE13" w14:textId="442A8E13" w:rsidR="00FD0AB2" w:rsidRPr="00C94AFC" w:rsidRDefault="00FD0AB2" w:rsidP="00FD0AB2">
      <w:pPr>
        <w:pStyle w:val="ListAR"/>
        <w:rPr>
          <w:noProof w:val="0"/>
          <w:color w:val="000000" w:themeColor="text1"/>
          <w:lang w:val="en-GB"/>
        </w:rPr>
      </w:pPr>
      <w:bookmarkStart w:id="12" w:name="MethodologicalNotes"/>
      <w:bookmarkEnd w:id="10"/>
      <w:r w:rsidRPr="00C94AFC">
        <w:rPr>
          <w:noProof w:val="0"/>
          <w:lang w:val="en-GB"/>
        </w:rPr>
        <w:t>4.1</w:t>
      </w:r>
      <w:r w:rsidRPr="00C94AFC">
        <w:rPr>
          <w:noProof w:val="0"/>
          <w:lang w:val="en-GB"/>
        </w:rPr>
        <w:tab/>
        <w:t>Methodological notes</w:t>
      </w:r>
    </w:p>
    <w:bookmarkEnd w:id="12"/>
    <w:p w14:paraId="268E83E8" w14:textId="351382DE" w:rsidR="008D0D0F" w:rsidRPr="00C94AFC" w:rsidRDefault="008D0D0F" w:rsidP="008D0D0F">
      <w:pPr>
        <w:spacing w:before="100" w:beforeAutospacing="1" w:after="100" w:afterAutospacing="1"/>
        <w:jc w:val="both"/>
        <w:rPr>
          <w:rFonts w:eastAsiaTheme="minorEastAsia"/>
          <w:sz w:val="20"/>
          <w:szCs w:val="20"/>
        </w:rPr>
      </w:pPr>
      <w:r w:rsidRPr="6E3DF1AC">
        <w:rPr>
          <w:rFonts w:eastAsiaTheme="minorEastAsia"/>
        </w:rPr>
        <w:t>The Regulation primarily applies to the export of over 1</w:t>
      </w:r>
      <w:r w:rsidR="00C94AFC" w:rsidRPr="6E3DF1AC">
        <w:rPr>
          <w:rFonts w:eastAsiaTheme="minorEastAsia"/>
        </w:rPr>
        <w:t> </w:t>
      </w:r>
      <w:r w:rsidRPr="6E3DF1AC">
        <w:rPr>
          <w:rFonts w:eastAsiaTheme="minorEastAsia"/>
        </w:rPr>
        <w:t xml:space="preserve">800 dual-use items listed in the EU </w:t>
      </w:r>
      <w:r w:rsidR="00372067" w:rsidRPr="6E3DF1AC">
        <w:rPr>
          <w:rFonts w:eastAsiaTheme="minorEastAsia"/>
        </w:rPr>
        <w:t>c</w:t>
      </w:r>
      <w:r w:rsidRPr="6E3DF1AC">
        <w:rPr>
          <w:rFonts w:eastAsiaTheme="minorEastAsia"/>
        </w:rPr>
        <w:t xml:space="preserve">ontrol </w:t>
      </w:r>
      <w:r w:rsidR="00372067" w:rsidRPr="6E3DF1AC">
        <w:rPr>
          <w:rFonts w:eastAsiaTheme="minorEastAsia"/>
        </w:rPr>
        <w:t>l</w:t>
      </w:r>
      <w:r w:rsidRPr="6E3DF1AC">
        <w:rPr>
          <w:rFonts w:eastAsiaTheme="minorEastAsia"/>
        </w:rPr>
        <w:t xml:space="preserve">ist, classified in 10 categories (Figure </w:t>
      </w:r>
      <w:r w:rsidR="01E2C6A3" w:rsidRPr="6E3DF1AC">
        <w:rPr>
          <w:rFonts w:eastAsiaTheme="minorEastAsia"/>
        </w:rPr>
        <w:t>3</w:t>
      </w:r>
      <w:r w:rsidRPr="6E3DF1AC">
        <w:rPr>
          <w:rFonts w:eastAsiaTheme="minorEastAsia"/>
        </w:rPr>
        <w:t>). That is the underlying rationale that led the EU to group the entries in Annex I to the Regulation in ‘types of items’ for the purpose of the EU annual report</w:t>
      </w:r>
      <w:r w:rsidRPr="6E3DF1AC">
        <w:rPr>
          <w:rFonts w:eastAsiaTheme="minorEastAsia"/>
          <w:sz w:val="20"/>
          <w:szCs w:val="20"/>
          <w:vertAlign w:val="superscript"/>
        </w:rPr>
        <w:footnoteReference w:id="27"/>
      </w:r>
      <w:r w:rsidRPr="6E3DF1AC">
        <w:rPr>
          <w:rFonts w:eastAsiaTheme="minorEastAsia"/>
          <w:sz w:val="20"/>
          <w:szCs w:val="20"/>
        </w:rPr>
        <w:t>.</w:t>
      </w:r>
    </w:p>
    <w:p w14:paraId="446717D3" w14:textId="62DF2267" w:rsidR="008D0D0F" w:rsidRPr="00C94AFC" w:rsidRDefault="2E0A7C49" w:rsidP="00474D2D">
      <w:pPr>
        <w:spacing w:after="120" w:line="264" w:lineRule="auto"/>
        <w:contextualSpacing/>
        <w:jc w:val="center"/>
        <w:rPr>
          <w:rFonts w:eastAsiaTheme="minorEastAsia"/>
          <w:i/>
          <w:iCs/>
          <w:sz w:val="20"/>
          <w:szCs w:val="20"/>
        </w:rPr>
      </w:pPr>
      <w:r>
        <w:rPr>
          <w:noProof/>
        </w:rPr>
        <w:drawing>
          <wp:inline distT="0" distB="0" distL="0" distR="0" wp14:anchorId="14CD1195" wp14:editId="6A44B556">
            <wp:extent cx="5256757" cy="2658790"/>
            <wp:effectExtent l="0" t="0" r="0" b="0"/>
            <wp:docPr id="1434464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64312" name="Picture 1434464312"/>
                    <pic:cNvPicPr/>
                  </pic:nvPicPr>
                  <pic:blipFill>
                    <a:blip r:embed="rId20">
                      <a:extLst>
                        <a:ext uri="{28A0092B-C50C-407E-A947-70E740481C1C}">
                          <a14:useLocalDpi xmlns:a14="http://schemas.microsoft.com/office/drawing/2010/main"/>
                        </a:ext>
                      </a:extLst>
                    </a:blip>
                    <a:stretch>
                      <a:fillRect/>
                    </a:stretch>
                  </pic:blipFill>
                  <pic:spPr>
                    <a:xfrm>
                      <a:off x="0" y="0"/>
                      <a:ext cx="5256757" cy="2658790"/>
                    </a:xfrm>
                    <a:prstGeom prst="rect">
                      <a:avLst/>
                    </a:prstGeom>
                  </pic:spPr>
                </pic:pic>
              </a:graphicData>
            </a:graphic>
          </wp:inline>
        </w:drawing>
      </w:r>
    </w:p>
    <w:p w14:paraId="4209CA80" w14:textId="5F5D3B67" w:rsidR="008D0D0F" w:rsidRPr="00C94AFC" w:rsidRDefault="008D0D0F" w:rsidP="008D0D0F">
      <w:pPr>
        <w:spacing w:after="120" w:line="264" w:lineRule="auto"/>
        <w:rPr>
          <w:rFonts w:eastAsiaTheme="minorEastAsia"/>
          <w:i/>
          <w:sz w:val="20"/>
          <w:szCs w:val="20"/>
        </w:rPr>
      </w:pPr>
      <w:r w:rsidRPr="6E3DF1AC">
        <w:rPr>
          <w:rFonts w:eastAsiaTheme="minorEastAsia"/>
          <w:i/>
          <w:iCs/>
          <w:sz w:val="20"/>
          <w:szCs w:val="20"/>
        </w:rPr>
        <w:t xml:space="preserve">Figure </w:t>
      </w:r>
      <w:r w:rsidR="30BC331B" w:rsidRPr="6E3DF1AC">
        <w:rPr>
          <w:rFonts w:eastAsiaTheme="minorEastAsia"/>
          <w:i/>
          <w:iCs/>
          <w:sz w:val="20"/>
          <w:szCs w:val="20"/>
        </w:rPr>
        <w:t>3</w:t>
      </w:r>
      <w:r w:rsidRPr="6E3DF1AC">
        <w:rPr>
          <w:rFonts w:eastAsiaTheme="minorEastAsia"/>
          <w:i/>
          <w:iCs/>
          <w:sz w:val="20"/>
          <w:szCs w:val="20"/>
        </w:rPr>
        <w:t>: Number of dual-use items listed in the 10 categories of Annex I to the Regulation</w:t>
      </w:r>
    </w:p>
    <w:p w14:paraId="0CAA69F8" w14:textId="1AB0AD09" w:rsidR="008D0D0F" w:rsidRPr="00C94AFC" w:rsidRDefault="008D0D0F" w:rsidP="008D0D0F">
      <w:pPr>
        <w:spacing w:before="100" w:beforeAutospacing="1" w:after="100" w:afterAutospacing="1"/>
        <w:jc w:val="both"/>
        <w:rPr>
          <w:rFonts w:eastAsia="Times New Roman"/>
        </w:rPr>
      </w:pPr>
      <w:r w:rsidRPr="00C94AFC">
        <w:rPr>
          <w:rFonts w:eastAsia="Times New Roman"/>
        </w:rPr>
        <w:t xml:space="preserve">To allow for the required level of transparency of public reporting while ensuring efficient and sustainable data collection over time, it was decided that the baseline </w:t>
      </w:r>
      <w:r w:rsidR="00C478C1">
        <w:rPr>
          <w:rFonts w:eastAsia="Times New Roman"/>
        </w:rPr>
        <w:t>for</w:t>
      </w:r>
      <w:r w:rsidR="00C478C1" w:rsidRPr="00C94AFC">
        <w:rPr>
          <w:rFonts w:eastAsia="Times New Roman"/>
        </w:rPr>
        <w:t xml:space="preserve"> determin</w:t>
      </w:r>
      <w:r w:rsidR="00C478C1">
        <w:rPr>
          <w:rFonts w:eastAsia="Times New Roman"/>
        </w:rPr>
        <w:t>ing</w:t>
      </w:r>
      <w:r w:rsidR="00C478C1" w:rsidRPr="00C94AFC">
        <w:rPr>
          <w:rFonts w:eastAsia="Times New Roman"/>
        </w:rPr>
        <w:t xml:space="preserve"> </w:t>
      </w:r>
      <w:r w:rsidRPr="00C94AFC">
        <w:rPr>
          <w:rFonts w:eastAsia="Times New Roman"/>
        </w:rPr>
        <w:t>the types of items</w:t>
      </w:r>
      <w:r w:rsidR="00C478C1">
        <w:rPr>
          <w:rFonts w:eastAsia="Times New Roman"/>
        </w:rPr>
        <w:t xml:space="preserve"> </w:t>
      </w:r>
      <w:r w:rsidRPr="00C94AFC">
        <w:rPr>
          <w:rFonts w:eastAsia="Times New Roman"/>
        </w:rPr>
        <w:t xml:space="preserve">would build on the </w:t>
      </w:r>
      <w:r w:rsidR="70F4DC11" w:rsidRPr="00C94AFC">
        <w:rPr>
          <w:rFonts w:eastAsia="Times New Roman"/>
        </w:rPr>
        <w:t xml:space="preserve">specific </w:t>
      </w:r>
      <w:r w:rsidRPr="00C94AFC">
        <w:rPr>
          <w:rFonts w:eastAsia="Times New Roman"/>
        </w:rPr>
        <w:t xml:space="preserve">classification of dual-use items </w:t>
      </w:r>
      <w:r w:rsidR="7F4C83E9" w:rsidRPr="00C94AFC">
        <w:rPr>
          <w:rFonts w:eastAsia="Times New Roman"/>
        </w:rPr>
        <w:t xml:space="preserve">used in the Regulation </w:t>
      </w:r>
      <w:r w:rsidRPr="00C94AFC">
        <w:rPr>
          <w:rFonts w:eastAsia="Times New Roman"/>
        </w:rPr>
        <w:t>at 5-digit level while ensuring that the heading ‘types of items’ provides meaningful information from a security, policy and trade perspective</w:t>
      </w:r>
      <w:r w:rsidR="000B0C95" w:rsidRPr="00C94AFC">
        <w:rPr>
          <w:rFonts w:eastAsia="Times New Roman"/>
          <w:vertAlign w:val="superscript"/>
        </w:rPr>
        <w:footnoteReference w:id="28"/>
      </w:r>
      <w:r w:rsidR="00C94AFC" w:rsidRPr="49F47F3A">
        <w:rPr>
          <w:rFonts w:eastAsia="Times New Roman"/>
        </w:rPr>
        <w:t>.</w:t>
      </w:r>
    </w:p>
    <w:p w14:paraId="00AFFDEE" w14:textId="7E768B4B" w:rsidR="008D0D0F" w:rsidRPr="00C94AFC" w:rsidRDefault="008D0D0F" w:rsidP="008D0D0F">
      <w:pPr>
        <w:spacing w:before="100" w:beforeAutospacing="1" w:after="100" w:afterAutospacing="1"/>
        <w:jc w:val="both"/>
        <w:rPr>
          <w:rFonts w:eastAsia="Times New Roman"/>
        </w:rPr>
      </w:pPr>
      <w:r w:rsidRPr="00C94AFC">
        <w:rPr>
          <w:rFonts w:eastAsia="Times New Roman"/>
        </w:rPr>
        <w:t xml:space="preserve">Annex A to the </w:t>
      </w:r>
      <w:r w:rsidR="0073117B" w:rsidRPr="49F47F3A">
        <w:rPr>
          <w:rFonts w:eastAsia="Times New Roman"/>
        </w:rPr>
        <w:t>G</w:t>
      </w:r>
      <w:r w:rsidRPr="00C94AFC">
        <w:rPr>
          <w:rFonts w:eastAsia="Times New Roman"/>
        </w:rPr>
        <w:t>uidelines describes the list of 52 ‘types of items’ used for collecting licensing data and preparing this annual report. Authorisations are broken down by type of item and by relevant destination in line with the requirements of the Regulation, while considering the nature, purpose and characteristics of the different types of authorisations, as well as the varying practices in Member States for granting authorisations and collecting data. Furthermore, it was necessary to adapt the relevant data collection and submission by the Member States to the Commission according to the specific features of the different types of national authorisations and practices. For that reason, figures presented in this report provide a count of Member States that have provided the data underlying each authorisation type</w:t>
      </w:r>
      <w:r w:rsidR="00193EC5" w:rsidRPr="00C94AFC">
        <w:rPr>
          <w:rStyle w:val="FootnoteReference"/>
          <w:rFonts w:eastAsia="Times New Roman"/>
        </w:rPr>
        <w:footnoteReference w:id="29"/>
      </w:r>
      <w:r w:rsidR="00C94AFC" w:rsidRPr="49F47F3A">
        <w:rPr>
          <w:rFonts w:eastAsia="Times New Roman"/>
        </w:rPr>
        <w:t>.</w:t>
      </w:r>
      <w:r w:rsidR="00193EC5" w:rsidRPr="00C94AFC">
        <w:rPr>
          <w:rFonts w:eastAsia="Times New Roman"/>
        </w:rPr>
        <w:t xml:space="preserve"> </w:t>
      </w:r>
      <w:r w:rsidRPr="00C94AFC">
        <w:rPr>
          <w:rFonts w:eastAsia="Times New Roman"/>
        </w:rPr>
        <w:t xml:space="preserve">The methodology also </w:t>
      </w:r>
      <w:r w:rsidRPr="00C94AFC">
        <w:rPr>
          <w:rFonts w:eastAsia="Times New Roman"/>
        </w:rPr>
        <w:lastRenderedPageBreak/>
        <w:t>acknowledges that authorisations may refer to more than one individual item falling under various types of items.</w:t>
      </w:r>
    </w:p>
    <w:p w14:paraId="7AAD34BA" w14:textId="5680A972" w:rsidR="008D0D0F" w:rsidRPr="00C94AFC" w:rsidRDefault="008D0D0F" w:rsidP="008D0D0F">
      <w:pPr>
        <w:spacing w:before="100" w:beforeAutospacing="1" w:after="100" w:afterAutospacing="1"/>
        <w:jc w:val="both"/>
        <w:rPr>
          <w:rFonts w:eastAsia="Times New Roman"/>
        </w:rPr>
      </w:pPr>
      <w:r w:rsidRPr="00C94AFC">
        <w:rPr>
          <w:rFonts w:eastAsia="Times New Roman"/>
        </w:rPr>
        <w:t>Concerning cyber-surveillance items, the definition set out in Article 2(20) of the Regulation comprises both</w:t>
      </w:r>
      <w:r w:rsidR="00436FF1">
        <w:rPr>
          <w:rFonts w:eastAsia="Times New Roman"/>
        </w:rPr>
        <w:t xml:space="preserve"> the</w:t>
      </w:r>
      <w:r w:rsidRPr="00C94AFC">
        <w:rPr>
          <w:rFonts w:eastAsia="Times New Roman"/>
        </w:rPr>
        <w:t xml:space="preserve"> items listed in Annex I as well as non-listed items. Annex B to the Guidelines identifies five items in Annex I to the Regulation which fulfil the definition set out in Article 2(20). The decision as to whether a specific non-listed item meets the requirements of the legal definition is taken on a case-by-case basis by the Member States and the Commission within the Surveillance Technology Expert Group (STEG). Applications and authorisations for non-listed cyber surveillance items also need to be included in the annual report in accordance with Article</w:t>
      </w:r>
      <w:r w:rsidR="00C94AFC">
        <w:rPr>
          <w:rFonts w:eastAsia="Times New Roman"/>
        </w:rPr>
        <w:t> </w:t>
      </w:r>
      <w:r w:rsidRPr="00C94AFC">
        <w:rPr>
          <w:rFonts w:eastAsia="Times New Roman"/>
        </w:rPr>
        <w:t xml:space="preserve">26(2) of the Regulation, based on </w:t>
      </w:r>
      <w:r w:rsidR="00436FF1">
        <w:rPr>
          <w:rFonts w:eastAsia="Times New Roman"/>
        </w:rPr>
        <w:t xml:space="preserve">the </w:t>
      </w:r>
      <w:r w:rsidRPr="00C94AFC">
        <w:rPr>
          <w:rFonts w:eastAsia="Times New Roman"/>
        </w:rPr>
        <w:t>data provided by the Member States. Applications and authorisations for other listed items can be included in the report, based on the decision of the relevant competent authority.</w:t>
      </w:r>
    </w:p>
    <w:p w14:paraId="47B640EC" w14:textId="3DC08F84" w:rsidR="00FD0AB2" w:rsidRPr="00C94AFC" w:rsidRDefault="00FD0AB2" w:rsidP="008D0D0F">
      <w:pPr>
        <w:spacing w:before="100" w:beforeAutospacing="1" w:after="100" w:afterAutospacing="1"/>
        <w:jc w:val="both"/>
        <w:rPr>
          <w:rFonts w:eastAsia="Times New Roman"/>
          <w:b/>
          <w:bCs/>
        </w:rPr>
      </w:pPr>
      <w:r w:rsidRPr="00C94AFC">
        <w:rPr>
          <w:rFonts w:eastAsia="Times New Roman"/>
          <w:b/>
          <w:bCs/>
        </w:rPr>
        <w:t>4.2</w:t>
      </w:r>
      <w:r w:rsidRPr="00C94AFC">
        <w:rPr>
          <w:rFonts w:eastAsia="Times New Roman"/>
          <w:b/>
          <w:bCs/>
        </w:rPr>
        <w:tab/>
        <w:t>Overview of authorisations by type of licence</w:t>
      </w:r>
      <w:r w:rsidRPr="49F47F3A">
        <w:rPr>
          <w:rFonts w:eastAsiaTheme="minorEastAsia"/>
          <w:vertAlign w:val="superscript"/>
          <w:lang w:eastAsia="en-GB"/>
        </w:rPr>
        <w:footnoteReference w:id="30"/>
      </w:r>
    </w:p>
    <w:p w14:paraId="0579F77F" w14:textId="58FEB875" w:rsidR="008D0D0F" w:rsidRPr="00C94AFC" w:rsidRDefault="008D0D0F" w:rsidP="03633F84">
      <w:pPr>
        <w:spacing w:beforeAutospacing="1" w:afterAutospacing="1" w:line="259" w:lineRule="auto"/>
        <w:jc w:val="both"/>
        <w:rPr>
          <w:rFonts w:eastAsia="Times New Roman"/>
        </w:rPr>
      </w:pPr>
      <w:r w:rsidRPr="00C94AFC">
        <w:rPr>
          <w:rFonts w:eastAsia="Times New Roman"/>
        </w:rPr>
        <w:t>In 2024, the total value of authorised dual-use trade amounted to EUR</w:t>
      </w:r>
      <w:r w:rsidR="00C94AFC" w:rsidRPr="49F47F3A">
        <w:rPr>
          <w:rFonts w:eastAsia="Times New Roman"/>
        </w:rPr>
        <w:t> </w:t>
      </w:r>
      <w:r w:rsidRPr="00C94AFC">
        <w:rPr>
          <w:rFonts w:eastAsia="Times New Roman"/>
        </w:rPr>
        <w:t xml:space="preserve">77.6 billion, representing 3% of extra-EU exports of goods (Figure </w:t>
      </w:r>
      <w:r w:rsidR="3AB3D1D2" w:rsidRPr="00C94AFC">
        <w:rPr>
          <w:rFonts w:eastAsia="Times New Roman"/>
        </w:rPr>
        <w:t>4</w:t>
      </w:r>
      <w:r w:rsidRPr="00C94AFC">
        <w:rPr>
          <w:rFonts w:eastAsia="Times New Roman"/>
        </w:rPr>
        <w:t>)</w:t>
      </w:r>
      <w:r w:rsidR="00684ABC" w:rsidRPr="00C94AFC">
        <w:rPr>
          <w:rFonts w:eastAsia="Times New Roman"/>
        </w:rPr>
        <w:t xml:space="preserve"> and an increase compared to 2023 (</w:t>
      </w:r>
      <w:r w:rsidR="00682F01" w:rsidRPr="00C94AFC">
        <w:rPr>
          <w:rFonts w:eastAsia="Times New Roman"/>
        </w:rPr>
        <w:t>EUR</w:t>
      </w:r>
      <w:r w:rsidR="00C94AFC" w:rsidRPr="49F47F3A">
        <w:rPr>
          <w:rFonts w:eastAsia="Times New Roman"/>
        </w:rPr>
        <w:t> </w:t>
      </w:r>
      <w:r w:rsidR="00682F01" w:rsidRPr="00C94AFC">
        <w:rPr>
          <w:rFonts w:eastAsia="Times New Roman"/>
        </w:rPr>
        <w:t>71 billion).</w:t>
      </w:r>
      <w:r w:rsidRPr="00C94AFC">
        <w:rPr>
          <w:rFonts w:eastAsia="Times New Roman"/>
        </w:rPr>
        <w:t xml:space="preserve"> In terms of numbers, that corresponds to 133</w:t>
      </w:r>
      <w:r w:rsidR="00C94AFC" w:rsidRPr="49F47F3A">
        <w:rPr>
          <w:rFonts w:eastAsia="Times New Roman"/>
        </w:rPr>
        <w:t> </w:t>
      </w:r>
      <w:r w:rsidRPr="00C94AFC">
        <w:rPr>
          <w:rFonts w:eastAsia="Times New Roman"/>
        </w:rPr>
        <w:t>470 authorisations and notifications</w:t>
      </w:r>
      <w:r w:rsidRPr="00C94AFC">
        <w:rPr>
          <w:rFonts w:eastAsia="Times New Roman"/>
          <w:vertAlign w:val="superscript"/>
        </w:rPr>
        <w:footnoteReference w:id="31"/>
      </w:r>
      <w:r w:rsidR="00C94AFC" w:rsidRPr="49F47F3A">
        <w:rPr>
          <w:rFonts w:eastAsia="Times New Roman"/>
        </w:rPr>
        <w:t>.</w:t>
      </w:r>
      <w:r w:rsidRPr="00C94AFC">
        <w:rPr>
          <w:rFonts w:eastAsia="Times New Roman"/>
        </w:rPr>
        <w:t xml:space="preserve"> With respect to the types of authorisations, most transactions fall under EU general export authorisations (89</w:t>
      </w:r>
      <w:r w:rsidR="00C94AFC" w:rsidRPr="49F47F3A">
        <w:rPr>
          <w:rFonts w:eastAsia="Times New Roman"/>
        </w:rPr>
        <w:t> </w:t>
      </w:r>
      <w:r w:rsidRPr="00C94AFC">
        <w:rPr>
          <w:rFonts w:eastAsia="Times New Roman"/>
        </w:rPr>
        <w:t>388), national general export authorisations (23</w:t>
      </w:r>
      <w:r w:rsidR="00C94AFC" w:rsidRPr="49F47F3A">
        <w:rPr>
          <w:rFonts w:eastAsia="Times New Roman"/>
        </w:rPr>
        <w:t> </w:t>
      </w:r>
      <w:r w:rsidRPr="00C94AFC">
        <w:rPr>
          <w:rFonts w:eastAsia="Times New Roman"/>
        </w:rPr>
        <w:t>406) and individual licences (18</w:t>
      </w:r>
      <w:r w:rsidR="00C94AFC" w:rsidRPr="49F47F3A">
        <w:rPr>
          <w:rFonts w:eastAsia="Times New Roman"/>
        </w:rPr>
        <w:t> </w:t>
      </w:r>
      <w:r w:rsidRPr="00C94AFC">
        <w:rPr>
          <w:rFonts w:eastAsia="Times New Roman"/>
        </w:rPr>
        <w:t>549)</w:t>
      </w:r>
      <w:r w:rsidR="003135DF" w:rsidRPr="00C94AFC">
        <w:rPr>
          <w:rFonts w:eastAsia="Times New Roman"/>
        </w:rPr>
        <w:t>, which mirrors the ranking in 2023</w:t>
      </w:r>
      <w:r w:rsidRPr="00C94AFC">
        <w:rPr>
          <w:rFonts w:eastAsia="Times New Roman"/>
        </w:rPr>
        <w:t>. In terms of value, the types of licences having the highest weighting were global export authorisations (EUR</w:t>
      </w:r>
      <w:r w:rsidR="00C94AFC" w:rsidRPr="49F47F3A">
        <w:rPr>
          <w:rFonts w:eastAsia="Times New Roman"/>
        </w:rPr>
        <w:t> </w:t>
      </w:r>
      <w:r w:rsidRPr="00C94AFC">
        <w:rPr>
          <w:rFonts w:eastAsia="Times New Roman"/>
        </w:rPr>
        <w:t>36.5 billion</w:t>
      </w:r>
      <w:r w:rsidR="099892D6" w:rsidRPr="00C94AFC">
        <w:rPr>
          <w:rFonts w:eastAsia="Times New Roman"/>
        </w:rPr>
        <w:t>, 47% of total authorised trade</w:t>
      </w:r>
      <w:r w:rsidRPr="00C94AFC">
        <w:rPr>
          <w:rFonts w:eastAsia="Times New Roman"/>
        </w:rPr>
        <w:t>), individual export authorisations (EUR</w:t>
      </w:r>
      <w:r w:rsidR="00C94AFC" w:rsidRPr="49F47F3A">
        <w:rPr>
          <w:rFonts w:eastAsia="Times New Roman"/>
        </w:rPr>
        <w:t> </w:t>
      </w:r>
      <w:r w:rsidRPr="00C94AFC">
        <w:rPr>
          <w:rFonts w:eastAsia="Times New Roman"/>
        </w:rPr>
        <w:t>24 billion</w:t>
      </w:r>
      <w:r w:rsidR="4273E032" w:rsidRPr="00C94AFC">
        <w:rPr>
          <w:rFonts w:eastAsia="Times New Roman"/>
        </w:rPr>
        <w:t>, 31% of total</w:t>
      </w:r>
      <w:r w:rsidRPr="00C94AFC">
        <w:rPr>
          <w:rFonts w:eastAsia="Times New Roman"/>
        </w:rPr>
        <w:t>) and EU general export authorisations (EUR</w:t>
      </w:r>
      <w:r w:rsidR="00C94AFC" w:rsidRPr="49F47F3A">
        <w:rPr>
          <w:rFonts w:eastAsia="Times New Roman"/>
        </w:rPr>
        <w:t> </w:t>
      </w:r>
      <w:r w:rsidRPr="00C94AFC">
        <w:rPr>
          <w:rFonts w:eastAsia="Times New Roman"/>
        </w:rPr>
        <w:t>9 billion</w:t>
      </w:r>
      <w:r w:rsidR="7B4A52FC" w:rsidRPr="00C94AFC">
        <w:rPr>
          <w:rFonts w:eastAsia="Times New Roman"/>
        </w:rPr>
        <w:t>, 12% of total</w:t>
      </w:r>
      <w:r w:rsidRPr="00C94AFC">
        <w:rPr>
          <w:rFonts w:eastAsia="Times New Roman"/>
        </w:rPr>
        <w:t>).</w:t>
      </w:r>
    </w:p>
    <w:p w14:paraId="59CF5DD9" w14:textId="7F7B1286" w:rsidR="00FD0AB2" w:rsidRPr="00C94AFC" w:rsidRDefault="00FD0AB2" w:rsidP="008D0D0F">
      <w:pPr>
        <w:spacing w:before="100" w:beforeAutospacing="1" w:after="100" w:afterAutospacing="1"/>
        <w:jc w:val="both"/>
        <w:rPr>
          <w:rFonts w:eastAsia="Times New Roman"/>
          <w:b/>
          <w:bCs/>
        </w:rPr>
      </w:pPr>
      <w:r w:rsidRPr="00C94AFC">
        <w:rPr>
          <w:rFonts w:eastAsia="Times New Roman"/>
          <w:b/>
          <w:bCs/>
        </w:rPr>
        <w:t>4.3</w:t>
      </w:r>
      <w:r w:rsidRPr="00C94AFC">
        <w:rPr>
          <w:rFonts w:eastAsia="Times New Roman"/>
          <w:b/>
          <w:bCs/>
        </w:rPr>
        <w:tab/>
        <w:t>Denials and prohibitions</w:t>
      </w:r>
    </w:p>
    <w:p w14:paraId="4F4B7706" w14:textId="1122C5F3" w:rsidR="008D0D0F" w:rsidRPr="00C94AFC" w:rsidRDefault="008D0D0F" w:rsidP="008D0D0F">
      <w:pPr>
        <w:spacing w:before="100" w:beforeAutospacing="1" w:after="100" w:afterAutospacing="1"/>
        <w:jc w:val="both"/>
        <w:rPr>
          <w:rFonts w:eastAsia="Times New Roman"/>
        </w:rPr>
      </w:pPr>
      <w:r w:rsidRPr="00C94AFC">
        <w:rPr>
          <w:rFonts w:eastAsia="Times New Roman"/>
        </w:rPr>
        <w:t>In 2024, 487 denials were reported for a value of EUR</w:t>
      </w:r>
      <w:r w:rsidR="00C94AFC">
        <w:rPr>
          <w:rFonts w:eastAsia="Times New Roman"/>
        </w:rPr>
        <w:t> </w:t>
      </w:r>
      <w:r w:rsidRPr="00C94AFC">
        <w:rPr>
          <w:rFonts w:eastAsia="Times New Roman"/>
        </w:rPr>
        <w:t xml:space="preserve">0.2 billion. Those figures show that only a small portion of EU exports were denied </w:t>
      </w:r>
      <w:r w:rsidR="00EC3628" w:rsidRPr="00C94AFC">
        <w:rPr>
          <w:rFonts w:eastAsia="Times New Roman"/>
        </w:rPr>
        <w:t>(</w:t>
      </w:r>
      <w:r w:rsidRPr="00C94AFC">
        <w:rPr>
          <w:rFonts w:eastAsia="Times New Roman"/>
        </w:rPr>
        <w:t>0.01% of total extra-EU exports of goods that year).</w:t>
      </w:r>
      <w:r w:rsidR="00D323DA" w:rsidRPr="00C94AFC">
        <w:rPr>
          <w:rFonts w:eastAsia="Times New Roman"/>
        </w:rPr>
        <w:t xml:space="preserve"> This represents </w:t>
      </w:r>
      <w:r w:rsidR="00263AF3" w:rsidRPr="00C94AFC">
        <w:rPr>
          <w:rFonts w:eastAsia="Times New Roman"/>
        </w:rPr>
        <w:t xml:space="preserve">both a </w:t>
      </w:r>
      <w:r w:rsidR="00D323DA" w:rsidRPr="00C94AFC">
        <w:rPr>
          <w:rFonts w:eastAsia="Times New Roman"/>
        </w:rPr>
        <w:t xml:space="preserve">lower number and a </w:t>
      </w:r>
      <w:r w:rsidR="00263AF3" w:rsidRPr="00C94AFC">
        <w:rPr>
          <w:rFonts w:eastAsia="Times New Roman"/>
        </w:rPr>
        <w:t xml:space="preserve">lower value of denials compared to 2023 but </w:t>
      </w:r>
      <w:r w:rsidR="00117D6A">
        <w:rPr>
          <w:rFonts w:eastAsia="Times New Roman"/>
        </w:rPr>
        <w:t xml:space="preserve">accounts for </w:t>
      </w:r>
      <w:r w:rsidR="00263AF3" w:rsidRPr="00C94AFC">
        <w:rPr>
          <w:rFonts w:eastAsia="Times New Roman"/>
        </w:rPr>
        <w:t>the same percentage of extra-EU exports.</w:t>
      </w:r>
    </w:p>
    <w:p w14:paraId="1D21EE5C" w14:textId="32DDB91D" w:rsidR="008D0D0F" w:rsidRPr="00C94AFC" w:rsidRDefault="48FBB0D1" w:rsidP="6E3DF1AC">
      <w:pPr>
        <w:tabs>
          <w:tab w:val="left" w:pos="720"/>
        </w:tabs>
        <w:spacing w:before="100" w:beforeAutospacing="1" w:after="100" w:afterAutospacing="1" w:line="264" w:lineRule="auto"/>
        <w:jc w:val="both"/>
        <w:rPr>
          <w:rFonts w:eastAsiaTheme="minorEastAsia"/>
          <w:sz w:val="20"/>
          <w:szCs w:val="20"/>
        </w:rPr>
      </w:pPr>
      <w:r>
        <w:rPr>
          <w:noProof/>
        </w:rPr>
        <w:lastRenderedPageBreak/>
        <w:drawing>
          <wp:inline distT="0" distB="0" distL="0" distR="0" wp14:anchorId="2D233347" wp14:editId="4AB5802B">
            <wp:extent cx="5762625" cy="3552825"/>
            <wp:effectExtent l="0" t="0" r="0" b="0"/>
            <wp:docPr id="1157780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80223" name="Picture 1157780223"/>
                    <pic:cNvPicPr/>
                  </pic:nvPicPr>
                  <pic:blipFill>
                    <a:blip r:embed="rId21">
                      <a:extLst>
                        <a:ext uri="{28A0092B-C50C-407E-A947-70E740481C1C}">
                          <a14:useLocalDpi xmlns:a14="http://schemas.microsoft.com/office/drawing/2010/main"/>
                        </a:ext>
                      </a:extLst>
                    </a:blip>
                    <a:stretch>
                      <a:fillRect/>
                    </a:stretch>
                  </pic:blipFill>
                  <pic:spPr>
                    <a:xfrm>
                      <a:off x="0" y="0"/>
                      <a:ext cx="5762625" cy="3552825"/>
                    </a:xfrm>
                    <a:prstGeom prst="rect">
                      <a:avLst/>
                    </a:prstGeom>
                  </pic:spPr>
                </pic:pic>
              </a:graphicData>
            </a:graphic>
          </wp:inline>
        </w:drawing>
      </w:r>
      <w:r w:rsidR="008D0D0F" w:rsidRPr="6E3DF1AC">
        <w:rPr>
          <w:rFonts w:eastAsiaTheme="minorEastAsia"/>
          <w:i/>
          <w:iCs/>
          <w:sz w:val="20"/>
          <w:szCs w:val="20"/>
        </w:rPr>
        <w:t xml:space="preserve">Figure </w:t>
      </w:r>
      <w:r w:rsidR="45F5E693" w:rsidRPr="6E3DF1AC">
        <w:rPr>
          <w:rFonts w:eastAsiaTheme="minorEastAsia"/>
          <w:i/>
          <w:iCs/>
          <w:sz w:val="20"/>
          <w:szCs w:val="20"/>
        </w:rPr>
        <w:t>4</w:t>
      </w:r>
      <w:r w:rsidR="008D0D0F" w:rsidRPr="6E3DF1AC">
        <w:rPr>
          <w:rFonts w:eastAsiaTheme="minorEastAsia"/>
          <w:i/>
          <w:iCs/>
          <w:sz w:val="20"/>
          <w:szCs w:val="20"/>
        </w:rPr>
        <w:t xml:space="preserve">: Export </w:t>
      </w:r>
      <w:bookmarkStart w:id="14" w:name="_Hlk167710423"/>
      <w:r w:rsidR="008D0D0F" w:rsidRPr="6E3DF1AC">
        <w:rPr>
          <w:rFonts w:eastAsiaTheme="minorEastAsia"/>
          <w:i/>
          <w:iCs/>
          <w:sz w:val="20"/>
          <w:szCs w:val="20"/>
        </w:rPr>
        <w:t>authorisations</w:t>
      </w:r>
      <w:bookmarkEnd w:id="14"/>
      <w:r w:rsidR="008D0D0F" w:rsidRPr="6E3DF1AC">
        <w:rPr>
          <w:rFonts w:eastAsiaTheme="minorEastAsia"/>
          <w:i/>
          <w:iCs/>
          <w:sz w:val="20"/>
          <w:szCs w:val="20"/>
        </w:rPr>
        <w:t xml:space="preserve"> by type of licence</w:t>
      </w:r>
    </w:p>
    <w:p w14:paraId="461EF26C" w14:textId="5468198E" w:rsidR="00FD0AB2" w:rsidRPr="00C94AFC" w:rsidRDefault="00FD0AB2" w:rsidP="008D0D0F">
      <w:pPr>
        <w:spacing w:before="100" w:beforeAutospacing="1" w:after="100" w:afterAutospacing="1"/>
        <w:jc w:val="both"/>
        <w:rPr>
          <w:rFonts w:eastAsia="Times New Roman"/>
          <w:b/>
          <w:bCs/>
        </w:rPr>
      </w:pPr>
      <w:r w:rsidRPr="00C94AFC">
        <w:rPr>
          <w:rFonts w:eastAsia="Times New Roman"/>
          <w:b/>
          <w:bCs/>
        </w:rPr>
        <w:t>4.4</w:t>
      </w:r>
      <w:r w:rsidRPr="00C94AFC">
        <w:rPr>
          <w:rFonts w:eastAsia="Times New Roman"/>
          <w:b/>
          <w:bCs/>
        </w:rPr>
        <w:tab/>
        <w:t>Individual authorisations</w:t>
      </w:r>
    </w:p>
    <w:p w14:paraId="61146D47" w14:textId="2D14E2FA" w:rsidR="008D0D0F" w:rsidRPr="00C94AFC" w:rsidRDefault="008D0D0F" w:rsidP="008D0D0F">
      <w:pPr>
        <w:spacing w:before="100" w:beforeAutospacing="1" w:after="100" w:afterAutospacing="1"/>
        <w:jc w:val="both"/>
        <w:rPr>
          <w:rFonts w:eastAsia="Times New Roman"/>
        </w:rPr>
      </w:pPr>
      <w:r w:rsidRPr="00C94AFC">
        <w:rPr>
          <w:rFonts w:eastAsia="Times New Roman"/>
        </w:rPr>
        <w:t xml:space="preserve">Individual authorisations are licences granted to one specific exporter for one end-user or consignee in a non-EU country and covering one or more dual-use items. As specified in the </w:t>
      </w:r>
      <w:r w:rsidR="00815E5F">
        <w:rPr>
          <w:rFonts w:eastAsia="Times New Roman"/>
        </w:rPr>
        <w:t>G</w:t>
      </w:r>
      <w:r w:rsidRPr="00C94AFC">
        <w:rPr>
          <w:rFonts w:eastAsia="Times New Roman"/>
        </w:rPr>
        <w:t>uidelines, the following items are all considered individual licences for the purpose of this report: individual export authorisations, brokering authorisations, technical assistance authorisations, transit authorisations, intra-EU transfer authorisations, authorisations under a national control measure and authorisations for non-listed items.</w:t>
      </w:r>
    </w:p>
    <w:p w14:paraId="67B1186E" w14:textId="306B2555" w:rsidR="008D0D0F" w:rsidRPr="00C94AFC" w:rsidRDefault="008D0D0F" w:rsidP="008D0D0F">
      <w:pPr>
        <w:spacing w:before="100" w:beforeAutospacing="1" w:after="100" w:afterAutospacing="1"/>
        <w:jc w:val="both"/>
        <w:rPr>
          <w:rFonts w:eastAsia="Times New Roman"/>
        </w:rPr>
      </w:pPr>
      <w:r w:rsidRPr="00C94AFC">
        <w:rPr>
          <w:rFonts w:eastAsia="Times New Roman"/>
        </w:rPr>
        <w:t xml:space="preserve">The overview of individual authorisations in 2024 by the 10 categories of items in Annex I to the Regulation as well as non-listed items subject to controls (Figure </w:t>
      </w:r>
      <w:r w:rsidR="021DEA08" w:rsidRPr="00C94AFC">
        <w:rPr>
          <w:rFonts w:eastAsia="Times New Roman"/>
        </w:rPr>
        <w:t>5</w:t>
      </w:r>
      <w:r w:rsidRPr="00C94AFC">
        <w:rPr>
          <w:rFonts w:eastAsia="Times New Roman"/>
        </w:rPr>
        <w:t xml:space="preserve">) indicates that the highest number of authorisations in terms of market </w:t>
      </w:r>
      <w:r w:rsidRPr="00C94AFC">
        <w:rPr>
          <w:rFonts w:eastAsia="Times New Roman"/>
          <w:u w:val="single"/>
        </w:rPr>
        <w:t>value</w:t>
      </w:r>
      <w:r w:rsidRPr="00C94AFC">
        <w:rPr>
          <w:rFonts w:eastAsia="Times New Roman"/>
        </w:rPr>
        <w:t xml:space="preserve"> was granted to Nuclear materials, facilities and equipment (EUR</w:t>
      </w:r>
      <w:r w:rsidR="00C94AFC">
        <w:rPr>
          <w:rFonts w:eastAsia="Times New Roman"/>
        </w:rPr>
        <w:t> </w:t>
      </w:r>
      <w:r w:rsidRPr="00C94AFC">
        <w:rPr>
          <w:rFonts w:eastAsia="Times New Roman"/>
        </w:rPr>
        <w:t>12.2 billion, 36% of total)</w:t>
      </w:r>
      <w:r w:rsidR="00AD5A51" w:rsidRPr="00C94AFC">
        <w:rPr>
          <w:rFonts w:eastAsia="Times New Roman"/>
        </w:rPr>
        <w:t xml:space="preserve">. </w:t>
      </w:r>
      <w:r w:rsidRPr="00C94AFC">
        <w:rPr>
          <w:rFonts w:eastAsia="Times New Roman"/>
        </w:rPr>
        <w:t xml:space="preserve">Telecommunications and ‘information security’ </w:t>
      </w:r>
      <w:r w:rsidR="00815E5F">
        <w:rPr>
          <w:rFonts w:eastAsia="Times New Roman"/>
        </w:rPr>
        <w:t xml:space="preserve">came second </w:t>
      </w:r>
      <w:r w:rsidRPr="00C94AFC">
        <w:rPr>
          <w:rFonts w:eastAsia="Times New Roman"/>
        </w:rPr>
        <w:t>(EUR</w:t>
      </w:r>
      <w:r w:rsidR="00C94AFC">
        <w:rPr>
          <w:rFonts w:eastAsia="Times New Roman"/>
        </w:rPr>
        <w:t> </w:t>
      </w:r>
      <w:r w:rsidRPr="00C94AFC">
        <w:rPr>
          <w:rFonts w:eastAsia="Times New Roman"/>
        </w:rPr>
        <w:t xml:space="preserve">6.7 billion, 20% of total), </w:t>
      </w:r>
      <w:r w:rsidR="00815E5F">
        <w:rPr>
          <w:rFonts w:eastAsia="Times New Roman"/>
        </w:rPr>
        <w:t>and</w:t>
      </w:r>
      <w:r w:rsidR="00C94AFC" w:rsidRPr="00C94AFC">
        <w:rPr>
          <w:rFonts w:eastAsia="Times New Roman"/>
        </w:rPr>
        <w:t xml:space="preserve"> </w:t>
      </w:r>
      <w:r w:rsidRPr="00C94AFC">
        <w:rPr>
          <w:rFonts w:eastAsia="Times New Roman"/>
        </w:rPr>
        <w:t>Aerospace and propulsion</w:t>
      </w:r>
      <w:r w:rsidR="00815E5F">
        <w:rPr>
          <w:rFonts w:eastAsia="Times New Roman"/>
        </w:rPr>
        <w:t xml:space="preserve"> third</w:t>
      </w:r>
      <w:r w:rsidRPr="00C94AFC">
        <w:rPr>
          <w:rFonts w:eastAsia="Times New Roman"/>
        </w:rPr>
        <w:t xml:space="preserve"> (EUR</w:t>
      </w:r>
      <w:r w:rsidR="00C94AFC">
        <w:rPr>
          <w:rFonts w:eastAsia="Times New Roman"/>
        </w:rPr>
        <w:t> </w:t>
      </w:r>
      <w:r w:rsidRPr="00C94AFC">
        <w:rPr>
          <w:rFonts w:eastAsia="Times New Roman"/>
        </w:rPr>
        <w:t xml:space="preserve">4.6 billion, 13% of total). Concerning the </w:t>
      </w:r>
      <w:r w:rsidRPr="00C94AFC">
        <w:rPr>
          <w:rFonts w:eastAsia="Times New Roman"/>
          <w:u w:val="single"/>
        </w:rPr>
        <w:t>volume</w:t>
      </w:r>
      <w:r w:rsidRPr="00C94AFC">
        <w:rPr>
          <w:rFonts w:eastAsia="Times New Roman"/>
        </w:rPr>
        <w:t xml:space="preserve"> of individual authorisations, the largest figure was </w:t>
      </w:r>
      <w:r w:rsidR="001C336D">
        <w:rPr>
          <w:rFonts w:eastAsia="Times New Roman"/>
        </w:rPr>
        <w:t>recorded for</w:t>
      </w:r>
      <w:r w:rsidR="001C336D" w:rsidRPr="00C94AFC">
        <w:rPr>
          <w:rFonts w:eastAsia="Times New Roman"/>
        </w:rPr>
        <w:t xml:space="preserve"> </w:t>
      </w:r>
      <w:r w:rsidRPr="00C94AFC">
        <w:rPr>
          <w:rFonts w:eastAsia="Times New Roman"/>
        </w:rPr>
        <w:t>Materials processing (5</w:t>
      </w:r>
      <w:r w:rsidR="00C94AFC">
        <w:rPr>
          <w:rFonts w:eastAsia="Times New Roman"/>
        </w:rPr>
        <w:t> </w:t>
      </w:r>
      <w:r w:rsidRPr="00C94AFC">
        <w:rPr>
          <w:rFonts w:eastAsia="Times New Roman"/>
        </w:rPr>
        <w:t>891, 27% of total), followed by Telecommunications and ‘information security’ (4</w:t>
      </w:r>
      <w:r w:rsidR="00C94AFC">
        <w:rPr>
          <w:rFonts w:eastAsia="Times New Roman"/>
        </w:rPr>
        <w:t> </w:t>
      </w:r>
      <w:r w:rsidRPr="00C94AFC">
        <w:rPr>
          <w:rFonts w:eastAsia="Times New Roman"/>
        </w:rPr>
        <w:t>405, 20% of total) and Special materials and related equipment (4</w:t>
      </w:r>
      <w:r w:rsidR="00C94AFC">
        <w:rPr>
          <w:rFonts w:eastAsia="Times New Roman"/>
        </w:rPr>
        <w:t> </w:t>
      </w:r>
      <w:r w:rsidRPr="00C94AFC">
        <w:rPr>
          <w:rFonts w:eastAsia="Times New Roman"/>
        </w:rPr>
        <w:t>293, 20% of total)</w:t>
      </w:r>
      <w:r w:rsidR="00AD5A51" w:rsidRPr="00C94AFC">
        <w:rPr>
          <w:rFonts w:eastAsia="Times New Roman"/>
        </w:rPr>
        <w:t>.</w:t>
      </w:r>
    </w:p>
    <w:p w14:paraId="1003136C" w14:textId="742C043C" w:rsidR="008D0D0F" w:rsidRPr="00C94AFC" w:rsidRDefault="0F465C14" w:rsidP="6E3DF1AC">
      <w:pPr>
        <w:spacing w:before="100" w:beforeAutospacing="1" w:after="100" w:afterAutospacing="1"/>
        <w:jc w:val="both"/>
        <w:rPr>
          <w:rFonts w:eastAsia="Times New Roman"/>
        </w:rPr>
      </w:pPr>
      <w:r>
        <w:rPr>
          <w:noProof/>
        </w:rPr>
        <w:lastRenderedPageBreak/>
        <w:drawing>
          <wp:inline distT="0" distB="0" distL="0" distR="0" wp14:anchorId="49D1A931" wp14:editId="697A9D55">
            <wp:extent cx="5762625" cy="3800475"/>
            <wp:effectExtent l="0" t="0" r="0" b="0"/>
            <wp:docPr id="2922086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08672" name="Picture 292208672"/>
                    <pic:cNvPicPr/>
                  </pic:nvPicPr>
                  <pic:blipFill>
                    <a:blip r:embed="rId22">
                      <a:extLst>
                        <a:ext uri="{28A0092B-C50C-407E-A947-70E740481C1C}">
                          <a14:useLocalDpi xmlns:a14="http://schemas.microsoft.com/office/drawing/2010/main"/>
                        </a:ext>
                      </a:extLst>
                    </a:blip>
                    <a:stretch>
                      <a:fillRect/>
                    </a:stretch>
                  </pic:blipFill>
                  <pic:spPr>
                    <a:xfrm>
                      <a:off x="0" y="0"/>
                      <a:ext cx="5762625" cy="3800475"/>
                    </a:xfrm>
                    <a:prstGeom prst="rect">
                      <a:avLst/>
                    </a:prstGeom>
                  </pic:spPr>
                </pic:pic>
              </a:graphicData>
            </a:graphic>
          </wp:inline>
        </w:drawing>
      </w:r>
    </w:p>
    <w:p w14:paraId="610CD972" w14:textId="0FCBB098" w:rsidR="008D0D0F" w:rsidRPr="00C94AFC" w:rsidRDefault="008D0D0F" w:rsidP="008D0D0F">
      <w:pPr>
        <w:spacing w:before="100" w:beforeAutospacing="1" w:after="100" w:afterAutospacing="1"/>
        <w:jc w:val="both"/>
        <w:rPr>
          <w:rFonts w:eastAsia="Times New Roman"/>
          <w:i/>
          <w:iCs/>
        </w:rPr>
      </w:pPr>
      <w:bookmarkStart w:id="15" w:name="_Hlk161738033"/>
      <w:r w:rsidRPr="6E3DF1AC">
        <w:rPr>
          <w:rFonts w:eastAsia="Times New Roman"/>
          <w:i/>
          <w:iCs/>
        </w:rPr>
        <w:t xml:space="preserve">Figure </w:t>
      </w:r>
      <w:r w:rsidR="42D2228F" w:rsidRPr="6E3DF1AC">
        <w:rPr>
          <w:rFonts w:eastAsia="Times New Roman"/>
          <w:i/>
          <w:iCs/>
        </w:rPr>
        <w:t>5</w:t>
      </w:r>
      <w:r w:rsidRPr="6E3DF1AC">
        <w:rPr>
          <w:rFonts w:eastAsia="Times New Roman"/>
          <w:i/>
          <w:iCs/>
        </w:rPr>
        <w:t>: Individual export authorisations by category of items in Annex I to Regulation (EU) 2021/821</w:t>
      </w:r>
    </w:p>
    <w:p w14:paraId="44FEC1A1" w14:textId="2F3F66EC" w:rsidR="008D0D0F" w:rsidRPr="00C94AFC" w:rsidRDefault="008D0D0F" w:rsidP="008D0D0F">
      <w:pPr>
        <w:spacing w:before="100" w:beforeAutospacing="1" w:after="100" w:afterAutospacing="1"/>
        <w:jc w:val="both"/>
        <w:rPr>
          <w:rFonts w:eastAsia="Times New Roman"/>
        </w:rPr>
      </w:pPr>
      <w:r w:rsidRPr="00C94AFC">
        <w:rPr>
          <w:rFonts w:eastAsia="Times New Roman"/>
        </w:rPr>
        <w:t xml:space="preserve">Breaking down the value of individual authorisations by type of items (Figures </w:t>
      </w:r>
      <w:r w:rsidR="361E8F07" w:rsidRPr="00C94AFC">
        <w:rPr>
          <w:rFonts w:eastAsia="Times New Roman"/>
        </w:rPr>
        <w:t>6</w:t>
      </w:r>
      <w:r w:rsidRPr="00C94AFC">
        <w:rPr>
          <w:rFonts w:eastAsia="Times New Roman"/>
        </w:rPr>
        <w:t xml:space="preserve">.1 and </w:t>
      </w:r>
      <w:r w:rsidR="597C6E9D" w:rsidRPr="00C94AFC">
        <w:rPr>
          <w:rFonts w:eastAsia="Times New Roman"/>
        </w:rPr>
        <w:t>6</w:t>
      </w:r>
      <w:r w:rsidRPr="00C94AFC">
        <w:rPr>
          <w:rFonts w:eastAsia="Times New Roman"/>
        </w:rPr>
        <w:t>.2) shows that the top five items are Nuclear materials, facilities, plants and equipment (EUR 9.2 billion, 27% of total), Information security and crypto-analysis items and equipment (EUR 5.5 billion, 16% of total), Aerospace engines and gas turbines (except UAV) (EUR 3.5 billion, 10% of total), Other/non-listed items (EUR 3.2 billion, 9% of total), and Technology for nuclear materials facilities and equipment (EUR</w:t>
      </w:r>
      <w:r w:rsidR="00C94AFC">
        <w:rPr>
          <w:rFonts w:eastAsia="Times New Roman"/>
        </w:rPr>
        <w:t> </w:t>
      </w:r>
      <w:r w:rsidRPr="00C94AFC">
        <w:rPr>
          <w:rFonts w:eastAsia="Times New Roman"/>
        </w:rPr>
        <w:t>2.1 billion, 6% of total).</w:t>
      </w:r>
    </w:p>
    <w:p w14:paraId="7C5727CF" w14:textId="77777777" w:rsidR="008D0D0F" w:rsidRPr="00C94AFC" w:rsidRDefault="008D0D0F" w:rsidP="008D0D0F">
      <w:pPr>
        <w:spacing w:before="100" w:beforeAutospacing="1" w:after="100" w:afterAutospacing="1"/>
        <w:jc w:val="both"/>
        <w:rPr>
          <w:rFonts w:eastAsia="Times New Roman"/>
        </w:rPr>
      </w:pPr>
      <w:r w:rsidRPr="00C94AFC">
        <w:rPr>
          <w:rFonts w:eastAsia="Times New Roman"/>
          <w:noProof/>
        </w:rPr>
        <w:lastRenderedPageBreak/>
        <w:drawing>
          <wp:inline distT="0" distB="0" distL="0" distR="0" wp14:anchorId="2C675690" wp14:editId="24C9DFDA">
            <wp:extent cx="5367600" cy="8110800"/>
            <wp:effectExtent l="0" t="0" r="5080" b="5080"/>
            <wp:docPr id="8"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5367600" cy="8110800"/>
                    </a:xfrm>
                    <a:prstGeom prst="rect">
                      <a:avLst/>
                    </a:prstGeom>
                  </pic:spPr>
                </pic:pic>
              </a:graphicData>
            </a:graphic>
          </wp:inline>
        </w:drawing>
      </w:r>
    </w:p>
    <w:p w14:paraId="369F26BD" w14:textId="27758CFD" w:rsidR="008D0D0F" w:rsidRPr="00C94AFC" w:rsidRDefault="008D0D0F" w:rsidP="008D0D0F">
      <w:pPr>
        <w:spacing w:before="100" w:beforeAutospacing="1" w:after="100" w:afterAutospacing="1"/>
        <w:jc w:val="both"/>
        <w:rPr>
          <w:rFonts w:eastAsia="Times New Roman"/>
          <w:i/>
          <w:iCs/>
        </w:rPr>
      </w:pPr>
      <w:r w:rsidRPr="00C94AFC">
        <w:rPr>
          <w:rFonts w:eastAsia="Times New Roman"/>
          <w:i/>
          <w:iCs/>
        </w:rPr>
        <w:t xml:space="preserve">Figure </w:t>
      </w:r>
      <w:r w:rsidR="47F3480C" w:rsidRPr="00C94AFC">
        <w:rPr>
          <w:rFonts w:eastAsia="Times New Roman"/>
          <w:i/>
          <w:iCs/>
        </w:rPr>
        <w:t>6</w:t>
      </w:r>
      <w:r w:rsidRPr="00C94AFC">
        <w:rPr>
          <w:rFonts w:eastAsia="Times New Roman"/>
          <w:i/>
          <w:iCs/>
        </w:rPr>
        <w:t>.1: Individual export authorisations by type of items (Part 1)</w:t>
      </w:r>
    </w:p>
    <w:p w14:paraId="129DE1ED" w14:textId="77777777" w:rsidR="008D0D0F" w:rsidRPr="00C94AFC" w:rsidRDefault="008D0D0F" w:rsidP="008D0D0F">
      <w:pPr>
        <w:spacing w:before="100" w:beforeAutospacing="1" w:after="100" w:afterAutospacing="1"/>
        <w:jc w:val="both"/>
        <w:rPr>
          <w:rFonts w:eastAsia="Times New Roman"/>
        </w:rPr>
      </w:pPr>
      <w:r w:rsidRPr="00C94AFC">
        <w:rPr>
          <w:rFonts w:eastAsia="Times New Roman"/>
          <w:noProof/>
        </w:rPr>
        <w:lastRenderedPageBreak/>
        <w:drawing>
          <wp:inline distT="0" distB="0" distL="0" distR="0" wp14:anchorId="614D4B15" wp14:editId="6F9D8137">
            <wp:extent cx="5367600" cy="8110800"/>
            <wp:effectExtent l="0" t="0" r="5080" b="5080"/>
            <wp:docPr id="11" name="Picture 1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computer&#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5367600" cy="8110800"/>
                    </a:xfrm>
                    <a:prstGeom prst="rect">
                      <a:avLst/>
                    </a:prstGeom>
                  </pic:spPr>
                </pic:pic>
              </a:graphicData>
            </a:graphic>
          </wp:inline>
        </w:drawing>
      </w:r>
    </w:p>
    <w:p w14:paraId="4DF0FC97" w14:textId="2E5C46D9" w:rsidR="008D0D0F" w:rsidRPr="00C94AFC" w:rsidRDefault="008D0D0F" w:rsidP="008D0D0F">
      <w:pPr>
        <w:spacing w:before="100" w:beforeAutospacing="1" w:after="100" w:afterAutospacing="1"/>
        <w:jc w:val="both"/>
        <w:rPr>
          <w:rFonts w:eastAsia="Times New Roman"/>
          <w:i/>
          <w:iCs/>
        </w:rPr>
      </w:pPr>
      <w:r w:rsidRPr="00C94AFC">
        <w:rPr>
          <w:rFonts w:eastAsia="Times New Roman"/>
          <w:i/>
          <w:iCs/>
        </w:rPr>
        <w:t xml:space="preserve">Figure </w:t>
      </w:r>
      <w:r w:rsidR="784F32CB" w:rsidRPr="00C94AFC">
        <w:rPr>
          <w:rFonts w:eastAsia="Times New Roman"/>
          <w:i/>
          <w:iCs/>
        </w:rPr>
        <w:t>6</w:t>
      </w:r>
      <w:r w:rsidRPr="00C94AFC">
        <w:rPr>
          <w:rFonts w:eastAsia="Times New Roman"/>
          <w:i/>
          <w:iCs/>
        </w:rPr>
        <w:t>.2: Individual export authorisations by type of items (Part 2)</w:t>
      </w:r>
    </w:p>
    <w:p w14:paraId="31170F3D" w14:textId="48F74CFA" w:rsidR="008D0D0F" w:rsidRPr="00C94AFC" w:rsidRDefault="008D0D0F" w:rsidP="155A95DD">
      <w:pPr>
        <w:spacing w:beforeAutospacing="1" w:afterAutospacing="1" w:line="259" w:lineRule="auto"/>
        <w:jc w:val="both"/>
        <w:rPr>
          <w:rFonts w:eastAsia="Times New Roman"/>
        </w:rPr>
      </w:pPr>
      <w:bookmarkStart w:id="16" w:name="_Hlk163053801"/>
      <w:bookmarkStart w:id="17" w:name="_Hlk179808102"/>
      <w:bookmarkEnd w:id="15"/>
      <w:r w:rsidRPr="00C94AFC">
        <w:rPr>
          <w:rFonts w:eastAsia="Times New Roman"/>
        </w:rPr>
        <w:lastRenderedPageBreak/>
        <w:t xml:space="preserve">Of the destinations covered by individual authorisations (Figures </w:t>
      </w:r>
      <w:r w:rsidR="36D67C68" w:rsidRPr="00C94AFC">
        <w:rPr>
          <w:rFonts w:eastAsia="Times New Roman"/>
        </w:rPr>
        <w:t>7</w:t>
      </w:r>
      <w:r w:rsidRPr="00C94AFC">
        <w:rPr>
          <w:rFonts w:eastAsia="Times New Roman"/>
        </w:rPr>
        <w:t xml:space="preserve"> and </w:t>
      </w:r>
      <w:r w:rsidR="277BFD46" w:rsidRPr="00C94AFC">
        <w:rPr>
          <w:rFonts w:eastAsia="Times New Roman"/>
        </w:rPr>
        <w:t>8</w:t>
      </w:r>
      <w:r w:rsidRPr="00C94AFC">
        <w:rPr>
          <w:rFonts w:eastAsia="Times New Roman"/>
        </w:rPr>
        <w:t>), China was the top destination by value (EUR</w:t>
      </w:r>
      <w:r w:rsidR="00C94AFC" w:rsidRPr="49F47F3A">
        <w:rPr>
          <w:rFonts w:eastAsia="Times New Roman"/>
        </w:rPr>
        <w:t> </w:t>
      </w:r>
      <w:r w:rsidRPr="00C94AFC">
        <w:rPr>
          <w:rFonts w:eastAsia="Times New Roman"/>
        </w:rPr>
        <w:t>9.6 billion, 36% of total), followed by the United States (EUR</w:t>
      </w:r>
      <w:r w:rsidR="00C94AFC" w:rsidRPr="49F47F3A">
        <w:rPr>
          <w:rFonts w:eastAsia="Times New Roman"/>
        </w:rPr>
        <w:t> </w:t>
      </w:r>
      <w:r w:rsidRPr="00C94AFC">
        <w:rPr>
          <w:rFonts w:eastAsia="Times New Roman"/>
        </w:rPr>
        <w:t>2.7 billion, 10% of total), South Korea (EUR</w:t>
      </w:r>
      <w:r w:rsidR="00C94AFC" w:rsidRPr="49F47F3A">
        <w:rPr>
          <w:rFonts w:eastAsia="Times New Roman"/>
        </w:rPr>
        <w:t> </w:t>
      </w:r>
      <w:r w:rsidRPr="00C94AFC">
        <w:rPr>
          <w:rFonts w:eastAsia="Times New Roman"/>
        </w:rPr>
        <w:t>2.6 billion, 10% of total), the United Kingdom (EUR</w:t>
      </w:r>
      <w:r w:rsidR="00C94AFC" w:rsidRPr="49F47F3A">
        <w:rPr>
          <w:rFonts w:eastAsia="Times New Roman"/>
        </w:rPr>
        <w:t> </w:t>
      </w:r>
      <w:r w:rsidRPr="00C94AFC">
        <w:rPr>
          <w:rFonts w:eastAsia="Times New Roman"/>
        </w:rPr>
        <w:t>1.2 billion, 5% of total) and India (EUR</w:t>
      </w:r>
      <w:r w:rsidR="00C94AFC" w:rsidRPr="49F47F3A">
        <w:rPr>
          <w:rFonts w:eastAsia="Times New Roman"/>
        </w:rPr>
        <w:t> </w:t>
      </w:r>
      <w:r w:rsidRPr="00C94AFC">
        <w:rPr>
          <w:rFonts w:eastAsia="Times New Roman"/>
        </w:rPr>
        <w:t>1 billion, 4% of total).</w:t>
      </w:r>
      <w:bookmarkEnd w:id="16"/>
      <w:bookmarkEnd w:id="17"/>
      <w:r w:rsidRPr="00C94AFC">
        <w:rPr>
          <w:rFonts w:eastAsia="Times New Roman"/>
        </w:rPr>
        <w:t xml:space="preserve"> Overall, the top 25 extra-EU destinations account for 94% of individual authorisations by value</w:t>
      </w:r>
      <w:r w:rsidRPr="00C94AFC">
        <w:rPr>
          <w:rFonts w:eastAsia="Times New Roman"/>
          <w:vertAlign w:val="superscript"/>
        </w:rPr>
        <w:footnoteReference w:id="32"/>
      </w:r>
      <w:r w:rsidR="00C94AFC" w:rsidRPr="49F47F3A">
        <w:rPr>
          <w:rFonts w:eastAsia="Times New Roman"/>
        </w:rPr>
        <w:t>.</w:t>
      </w:r>
      <w:r w:rsidRPr="00C94AFC">
        <w:rPr>
          <w:rFonts w:eastAsia="Times New Roman"/>
        </w:rPr>
        <w:t xml:space="preserve"> With respect to intra-EU transfers, the main destinations were Hungary (EUR</w:t>
      </w:r>
      <w:r w:rsidR="00C94AFC" w:rsidRPr="49F47F3A">
        <w:rPr>
          <w:rFonts w:eastAsia="Times New Roman"/>
        </w:rPr>
        <w:t> </w:t>
      </w:r>
      <w:r w:rsidRPr="00C94AFC">
        <w:rPr>
          <w:rFonts w:eastAsia="Times New Roman"/>
        </w:rPr>
        <w:t>704 million), France (EUR</w:t>
      </w:r>
      <w:r w:rsidR="00C94AFC" w:rsidRPr="49F47F3A">
        <w:rPr>
          <w:rFonts w:eastAsia="Times New Roman"/>
        </w:rPr>
        <w:t> </w:t>
      </w:r>
      <w:r w:rsidRPr="00C94AFC">
        <w:rPr>
          <w:rFonts w:eastAsia="Times New Roman"/>
        </w:rPr>
        <w:t>507 million), Belgium (EUR</w:t>
      </w:r>
      <w:r w:rsidR="00C94AFC" w:rsidRPr="49F47F3A">
        <w:rPr>
          <w:rFonts w:eastAsia="Times New Roman"/>
        </w:rPr>
        <w:t> </w:t>
      </w:r>
      <w:r w:rsidRPr="00C94AFC">
        <w:rPr>
          <w:rFonts w:eastAsia="Times New Roman"/>
        </w:rPr>
        <w:t>458 million), Germany (EUR</w:t>
      </w:r>
      <w:r w:rsidR="00C94AFC" w:rsidRPr="49F47F3A">
        <w:rPr>
          <w:rFonts w:eastAsia="Times New Roman"/>
        </w:rPr>
        <w:t> </w:t>
      </w:r>
      <w:r w:rsidRPr="00C94AFC">
        <w:rPr>
          <w:rFonts w:eastAsia="Times New Roman"/>
        </w:rPr>
        <w:t>324 million) and the Netherlands (EUR</w:t>
      </w:r>
      <w:r w:rsidR="00C94AFC" w:rsidRPr="49F47F3A">
        <w:rPr>
          <w:rFonts w:eastAsia="Times New Roman"/>
        </w:rPr>
        <w:t> </w:t>
      </w:r>
      <w:r w:rsidRPr="00C94AFC">
        <w:rPr>
          <w:rFonts w:eastAsia="Times New Roman"/>
        </w:rPr>
        <w:t xml:space="preserve">234 million). Compared to extra-EU destinations, intra-EU transfers appear to be limited because most intra-EU dual-use exports do not need to be authorised </w:t>
      </w:r>
      <w:r w:rsidR="00EC0ED1" w:rsidRPr="49F47F3A">
        <w:rPr>
          <w:rFonts w:eastAsia="Times New Roman"/>
        </w:rPr>
        <w:t>under</w:t>
      </w:r>
      <w:r w:rsidRPr="00C94AFC">
        <w:rPr>
          <w:rFonts w:eastAsia="Times New Roman"/>
        </w:rPr>
        <w:t xml:space="preserve"> the Regulation.</w:t>
      </w:r>
      <w:r w:rsidR="009426F3" w:rsidRPr="00C94AFC">
        <w:rPr>
          <w:rFonts w:eastAsia="Times New Roman"/>
        </w:rPr>
        <w:t xml:space="preserve"> Instead, export control authorisations for exports of dual-use items </w:t>
      </w:r>
      <w:r w:rsidR="00EE12FF" w:rsidRPr="00C94AFC">
        <w:rPr>
          <w:rFonts w:eastAsia="Times New Roman"/>
        </w:rPr>
        <w:t xml:space="preserve">to another EU Member State are only required </w:t>
      </w:r>
      <w:r w:rsidR="00EC0ED1" w:rsidRPr="49F47F3A">
        <w:rPr>
          <w:rFonts w:eastAsia="Times New Roman"/>
        </w:rPr>
        <w:t xml:space="preserve">in </w:t>
      </w:r>
      <w:r w:rsidR="00EE12FF" w:rsidRPr="00C94AFC">
        <w:rPr>
          <w:rFonts w:eastAsia="Times New Roman"/>
        </w:rPr>
        <w:t xml:space="preserve">specific circumstances under the Regulation, such as for items listed in Annex IV </w:t>
      </w:r>
      <w:r w:rsidR="00EC0ED1" w:rsidRPr="49F47F3A">
        <w:rPr>
          <w:rFonts w:eastAsia="Times New Roman"/>
        </w:rPr>
        <w:t>to</w:t>
      </w:r>
      <w:r w:rsidR="00EE12FF" w:rsidRPr="00C94AFC">
        <w:rPr>
          <w:rFonts w:eastAsia="Times New Roman"/>
        </w:rPr>
        <w:t xml:space="preserve"> the Regulation</w:t>
      </w:r>
      <w:r w:rsidR="00494158" w:rsidRPr="00C94AFC">
        <w:rPr>
          <w:rFonts w:eastAsia="Times New Roman"/>
        </w:rPr>
        <w:t xml:space="preserve"> </w:t>
      </w:r>
      <w:r w:rsidR="00EC0ED1" w:rsidRPr="49F47F3A">
        <w:rPr>
          <w:rFonts w:eastAsia="Times New Roman"/>
        </w:rPr>
        <w:t xml:space="preserve">pursuant to </w:t>
      </w:r>
      <w:r w:rsidR="00494158" w:rsidRPr="00C94AFC">
        <w:rPr>
          <w:rFonts w:eastAsia="Times New Roman"/>
        </w:rPr>
        <w:t>Article</w:t>
      </w:r>
      <w:r w:rsidR="00C94AFC" w:rsidRPr="49F47F3A">
        <w:rPr>
          <w:rFonts w:eastAsia="Times New Roman"/>
        </w:rPr>
        <w:t> </w:t>
      </w:r>
      <w:r w:rsidR="0053188E" w:rsidRPr="00C94AFC">
        <w:rPr>
          <w:rFonts w:eastAsia="Times New Roman"/>
        </w:rPr>
        <w:t>11</w:t>
      </w:r>
      <w:r w:rsidR="00CF1080" w:rsidRPr="00C94AFC">
        <w:rPr>
          <w:rFonts w:eastAsia="Times New Roman"/>
        </w:rPr>
        <w:t>(1)</w:t>
      </w:r>
      <w:r w:rsidR="00494158" w:rsidRPr="00C94AFC">
        <w:rPr>
          <w:rFonts w:eastAsia="Times New Roman"/>
        </w:rPr>
        <w:t xml:space="preserve"> or </w:t>
      </w:r>
      <w:r w:rsidR="00135328" w:rsidRPr="00C94AFC">
        <w:rPr>
          <w:rFonts w:eastAsia="Times New Roman"/>
        </w:rPr>
        <w:t xml:space="preserve">based on measures taken by a Member State </w:t>
      </w:r>
      <w:r w:rsidR="00EC0ED1" w:rsidRPr="49F47F3A">
        <w:rPr>
          <w:rFonts w:eastAsia="Times New Roman"/>
        </w:rPr>
        <w:t>pursuant to Article </w:t>
      </w:r>
      <w:r w:rsidR="00CF1080" w:rsidRPr="00C94AFC">
        <w:rPr>
          <w:rFonts w:eastAsia="Times New Roman"/>
        </w:rPr>
        <w:t>11(8)</w:t>
      </w:r>
      <w:r w:rsidR="00132DBD" w:rsidRPr="00C94AFC">
        <w:rPr>
          <w:rFonts w:eastAsia="Times New Roman"/>
        </w:rPr>
        <w:t xml:space="preserve"> of the Regulation</w:t>
      </w:r>
      <w:r w:rsidR="000649C3" w:rsidRPr="00C94AFC">
        <w:rPr>
          <w:rFonts w:eastAsia="Times New Roman"/>
        </w:rPr>
        <w:t>.</w:t>
      </w:r>
    </w:p>
    <w:p w14:paraId="5CB05D97" w14:textId="6C1E1B04" w:rsidR="008D0D0F" w:rsidRPr="00C94AFC" w:rsidRDefault="00B14451" w:rsidP="008D0D0F">
      <w:pPr>
        <w:spacing w:before="100" w:beforeAutospacing="1" w:after="100" w:afterAutospacing="1"/>
        <w:jc w:val="both"/>
        <w:rPr>
          <w:rFonts w:eastAsia="Times New Roman"/>
        </w:rPr>
      </w:pPr>
      <w:bookmarkStart w:id="18" w:name="_Hlk161738169"/>
      <w:r>
        <w:rPr>
          <w:rFonts w:eastAsia="Times New Roman"/>
          <w:noProof/>
        </w:rPr>
        <w:drawing>
          <wp:inline distT="0" distB="0" distL="0" distR="0" wp14:anchorId="64A3931D" wp14:editId="636CB4B1">
            <wp:extent cx="5760720" cy="3940175"/>
            <wp:effectExtent l="0" t="0" r="0" b="3175"/>
            <wp:docPr id="2" name="Picture 2"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map&#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3940175"/>
                    </a:xfrm>
                    <a:prstGeom prst="rect">
                      <a:avLst/>
                    </a:prstGeom>
                  </pic:spPr>
                </pic:pic>
              </a:graphicData>
            </a:graphic>
          </wp:inline>
        </w:drawing>
      </w:r>
    </w:p>
    <w:p w14:paraId="7503602A" w14:textId="62EAF0C6" w:rsidR="008D0D0F" w:rsidRPr="00C94AFC" w:rsidRDefault="008D0D0F" w:rsidP="008D0D0F">
      <w:pPr>
        <w:spacing w:before="100" w:beforeAutospacing="1" w:after="100" w:afterAutospacing="1"/>
        <w:jc w:val="both"/>
        <w:rPr>
          <w:rFonts w:eastAsia="Times New Roman"/>
          <w:i/>
          <w:iCs/>
        </w:rPr>
      </w:pPr>
      <w:r w:rsidRPr="00C94AFC">
        <w:rPr>
          <w:rFonts w:eastAsia="Times New Roman"/>
          <w:i/>
          <w:iCs/>
        </w:rPr>
        <w:t xml:space="preserve">Figure </w:t>
      </w:r>
      <w:r w:rsidR="7D00A017" w:rsidRPr="00C94AFC">
        <w:rPr>
          <w:rFonts w:eastAsia="Times New Roman"/>
          <w:i/>
          <w:iCs/>
        </w:rPr>
        <w:t>7</w:t>
      </w:r>
      <w:r w:rsidRPr="00C94AFC">
        <w:rPr>
          <w:rFonts w:eastAsia="Times New Roman"/>
          <w:i/>
          <w:iCs/>
        </w:rPr>
        <w:t>: Individual export authorisations by destination</w:t>
      </w:r>
    </w:p>
    <w:p w14:paraId="1D8D2432" w14:textId="77777777" w:rsidR="008D0D0F" w:rsidRPr="00C94AFC" w:rsidRDefault="008D0D0F" w:rsidP="008D0D0F">
      <w:pPr>
        <w:spacing w:before="100" w:beforeAutospacing="1" w:after="100" w:afterAutospacing="1"/>
        <w:jc w:val="both"/>
        <w:rPr>
          <w:rFonts w:eastAsia="Times New Roman"/>
        </w:rPr>
      </w:pPr>
      <w:r w:rsidRPr="00C94AFC">
        <w:rPr>
          <w:rFonts w:eastAsia="Times New Roman"/>
          <w:noProof/>
        </w:rPr>
        <w:lastRenderedPageBreak/>
        <w:drawing>
          <wp:inline distT="0" distB="0" distL="0" distR="0" wp14:anchorId="118EB40F" wp14:editId="728442FD">
            <wp:extent cx="5367020" cy="6181725"/>
            <wp:effectExtent l="0" t="0" r="5080" b="9525"/>
            <wp:docPr id="21" name="Picture 2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shot of a computer&#10;&#10;AI-generated content may be incorrect."/>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5367600" cy="6182393"/>
                    </a:xfrm>
                    <a:prstGeom prst="rect">
                      <a:avLst/>
                    </a:prstGeom>
                    <a:ln>
                      <a:noFill/>
                    </a:ln>
                    <a:extLst>
                      <a:ext uri="{53640926-AAD7-44D8-BBD7-CCE9431645EC}">
                        <a14:shadowObscured xmlns:a14="http://schemas.microsoft.com/office/drawing/2010/main"/>
                      </a:ext>
                    </a:extLst>
                  </pic:spPr>
                </pic:pic>
              </a:graphicData>
            </a:graphic>
          </wp:inline>
        </w:drawing>
      </w:r>
    </w:p>
    <w:p w14:paraId="4AB24C3C" w14:textId="7057A87C" w:rsidR="008D0D0F" w:rsidRPr="00C94AFC" w:rsidRDefault="008D0D0F" w:rsidP="008D0D0F">
      <w:pPr>
        <w:spacing w:before="100" w:beforeAutospacing="1" w:after="100" w:afterAutospacing="1"/>
        <w:jc w:val="both"/>
        <w:rPr>
          <w:rFonts w:eastAsia="Times New Roman"/>
          <w:i/>
          <w:iCs/>
        </w:rPr>
      </w:pPr>
      <w:r w:rsidRPr="00C94AFC">
        <w:rPr>
          <w:rFonts w:eastAsia="Times New Roman"/>
          <w:i/>
          <w:iCs/>
        </w:rPr>
        <w:t xml:space="preserve">Figure </w:t>
      </w:r>
      <w:r w:rsidR="7B37D28E" w:rsidRPr="00C94AFC">
        <w:rPr>
          <w:rFonts w:eastAsia="Times New Roman"/>
          <w:i/>
          <w:iCs/>
        </w:rPr>
        <w:t>8</w:t>
      </w:r>
      <w:r w:rsidRPr="00C94AFC">
        <w:rPr>
          <w:rFonts w:eastAsia="Times New Roman"/>
          <w:i/>
          <w:iCs/>
        </w:rPr>
        <w:t>: Individual export authorisations by top extra-EU destinations and by intra-EU destinations</w:t>
      </w:r>
      <w:bookmarkEnd w:id="18"/>
    </w:p>
    <w:p w14:paraId="4F34FE49" w14:textId="5DEFF4BF" w:rsidR="00FD0AB2" w:rsidRPr="00C94AFC" w:rsidRDefault="00FD0AB2" w:rsidP="008D0D0F">
      <w:pPr>
        <w:spacing w:before="100" w:beforeAutospacing="1" w:after="100" w:afterAutospacing="1"/>
        <w:jc w:val="both"/>
        <w:rPr>
          <w:rFonts w:eastAsiaTheme="minorEastAsia"/>
          <w:b/>
          <w:bCs/>
        </w:rPr>
      </w:pPr>
      <w:r w:rsidRPr="00C94AFC">
        <w:rPr>
          <w:rFonts w:eastAsiaTheme="minorEastAsia"/>
          <w:b/>
          <w:bCs/>
        </w:rPr>
        <w:t>4.5</w:t>
      </w:r>
      <w:r w:rsidRPr="00C94AFC">
        <w:rPr>
          <w:rFonts w:eastAsiaTheme="minorEastAsia"/>
          <w:b/>
          <w:bCs/>
        </w:rPr>
        <w:tab/>
        <w:t>Global export authorisations</w:t>
      </w:r>
    </w:p>
    <w:p w14:paraId="2AC7B505" w14:textId="0662D7C2" w:rsidR="008D0D0F" w:rsidRPr="00C94AFC" w:rsidRDefault="008D0D0F" w:rsidP="008D0D0F">
      <w:pPr>
        <w:spacing w:before="100" w:beforeAutospacing="1" w:after="100" w:afterAutospacing="1"/>
        <w:jc w:val="both"/>
        <w:rPr>
          <w:rFonts w:eastAsiaTheme="minorEastAsia"/>
        </w:rPr>
      </w:pPr>
      <w:r w:rsidRPr="00C94AFC">
        <w:rPr>
          <w:rFonts w:eastAsiaTheme="minorEastAsia"/>
        </w:rPr>
        <w:t xml:space="preserve">Global export authorisations most often contain estimated or open-ended export values and are granted either for one or multiple items for a single destination or for one or multiple items for multiple destinations. As such, global authorisations reduce administrative burden for competent authorities and exporters when handling similar and/or frequent transactions. To safeguard non-proliferation objectives, exporters are required to draft and submit an internal compliance programme in order to qualify for a global </w:t>
      </w:r>
      <w:r w:rsidR="00AD5A51" w:rsidRPr="00C94AFC">
        <w:rPr>
          <w:rFonts w:eastAsiaTheme="minorEastAsia"/>
        </w:rPr>
        <w:t>authorisation</w:t>
      </w:r>
      <w:r w:rsidRPr="00C94AFC">
        <w:rPr>
          <w:rFonts w:eastAsiaTheme="minorEastAsia"/>
        </w:rPr>
        <w:t>. As the Regulation leaves it up to individual Member States to decide on the concrete configuration of global authorisations, practices vary from one EU country to another.</w:t>
      </w:r>
    </w:p>
    <w:p w14:paraId="4A7849A5" w14:textId="20B3FABA" w:rsidR="008D0D0F" w:rsidRPr="00C94AFC" w:rsidRDefault="008D0D0F" w:rsidP="7D83B6A9">
      <w:pPr>
        <w:spacing w:beforeAutospacing="1" w:afterAutospacing="1" w:line="259" w:lineRule="auto"/>
        <w:jc w:val="both"/>
        <w:rPr>
          <w:rFonts w:eastAsiaTheme="minorEastAsia"/>
        </w:rPr>
      </w:pPr>
      <w:r w:rsidRPr="00C94AFC">
        <w:rPr>
          <w:rFonts w:eastAsiaTheme="minorEastAsia"/>
        </w:rPr>
        <w:lastRenderedPageBreak/>
        <w:t xml:space="preserve">To provide meaningful information to the public while taking into account </w:t>
      </w:r>
      <w:r w:rsidR="0064374E">
        <w:rPr>
          <w:rFonts w:eastAsiaTheme="minorEastAsia"/>
        </w:rPr>
        <w:t xml:space="preserve">the </w:t>
      </w:r>
      <w:r w:rsidRPr="00C94AFC">
        <w:rPr>
          <w:rFonts w:eastAsiaTheme="minorEastAsia"/>
        </w:rPr>
        <w:t xml:space="preserve">different national practices and the rationale </w:t>
      </w:r>
      <w:r w:rsidR="0064374E">
        <w:rPr>
          <w:rFonts w:eastAsiaTheme="minorEastAsia"/>
        </w:rPr>
        <w:t>behind</w:t>
      </w:r>
      <w:r w:rsidR="0064374E" w:rsidRPr="00C94AFC">
        <w:rPr>
          <w:rFonts w:eastAsiaTheme="minorEastAsia"/>
        </w:rPr>
        <w:t xml:space="preserve"> </w:t>
      </w:r>
      <w:r w:rsidRPr="00C94AFC">
        <w:rPr>
          <w:rFonts w:eastAsiaTheme="minorEastAsia"/>
        </w:rPr>
        <w:t xml:space="preserve">global export authorisations, the </w:t>
      </w:r>
      <w:r w:rsidR="0064374E">
        <w:rPr>
          <w:rFonts w:eastAsiaTheme="minorEastAsia"/>
        </w:rPr>
        <w:t>G</w:t>
      </w:r>
      <w:r w:rsidRPr="00C94AFC">
        <w:rPr>
          <w:rFonts w:eastAsiaTheme="minorEastAsia"/>
        </w:rPr>
        <w:t>uidelines have adapted the relevant data collection and reporting standards. Member States provide licensing data to the Commission accordingly, with a focus on (i) the total value of global export authorisation</w:t>
      </w:r>
      <w:r w:rsidR="0064374E">
        <w:rPr>
          <w:rFonts w:eastAsiaTheme="minorEastAsia"/>
        </w:rPr>
        <w:t>s</w:t>
      </w:r>
      <w:r w:rsidRPr="00C94AFC">
        <w:rPr>
          <w:rFonts w:eastAsiaTheme="minorEastAsia"/>
        </w:rPr>
        <w:t xml:space="preserve"> (EUR</w:t>
      </w:r>
      <w:r w:rsidR="00C94AFC">
        <w:rPr>
          <w:rFonts w:eastAsiaTheme="minorEastAsia"/>
        </w:rPr>
        <w:t> </w:t>
      </w:r>
      <w:r w:rsidRPr="00C94AFC">
        <w:rPr>
          <w:rFonts w:eastAsiaTheme="minorEastAsia"/>
        </w:rPr>
        <w:t xml:space="preserve">36.5 billion, equivalent to 47% of authorised value in 2024) and (ii) a breakdown of the total volume of global licences by type of items (Figures </w:t>
      </w:r>
      <w:r w:rsidR="7132DA1C" w:rsidRPr="00C94AFC">
        <w:rPr>
          <w:rFonts w:eastAsiaTheme="minorEastAsia"/>
        </w:rPr>
        <w:t>10</w:t>
      </w:r>
      <w:r w:rsidRPr="00C94AFC">
        <w:rPr>
          <w:rFonts w:eastAsiaTheme="minorEastAsia"/>
        </w:rPr>
        <w:t xml:space="preserve">.1 and </w:t>
      </w:r>
      <w:r w:rsidR="3870BA7B" w:rsidRPr="00C94AFC">
        <w:rPr>
          <w:rFonts w:eastAsiaTheme="minorEastAsia"/>
        </w:rPr>
        <w:t>10</w:t>
      </w:r>
      <w:r w:rsidRPr="00C94AFC">
        <w:rPr>
          <w:rFonts w:eastAsiaTheme="minorEastAsia"/>
        </w:rPr>
        <w:t xml:space="preserve">.2) and destinations (Figures </w:t>
      </w:r>
      <w:r w:rsidR="0F3F62B3" w:rsidRPr="00C94AFC">
        <w:rPr>
          <w:rFonts w:eastAsiaTheme="minorEastAsia"/>
        </w:rPr>
        <w:t>11</w:t>
      </w:r>
      <w:r w:rsidRPr="00C94AFC">
        <w:rPr>
          <w:rFonts w:eastAsiaTheme="minorEastAsia"/>
        </w:rPr>
        <w:t xml:space="preserve">.1 and </w:t>
      </w:r>
      <w:r w:rsidR="2A1D8509" w:rsidRPr="00C94AFC">
        <w:rPr>
          <w:rFonts w:eastAsiaTheme="minorEastAsia"/>
        </w:rPr>
        <w:t>11</w:t>
      </w:r>
      <w:r w:rsidRPr="00C94AFC">
        <w:rPr>
          <w:rFonts w:eastAsiaTheme="minorEastAsia"/>
        </w:rPr>
        <w:t>.2).</w:t>
      </w:r>
    </w:p>
    <w:p w14:paraId="03AE2E10" w14:textId="15F24C74" w:rsidR="008D0D0F" w:rsidRPr="00C94AFC" w:rsidRDefault="008D0D0F" w:rsidP="008D0D0F">
      <w:pPr>
        <w:spacing w:before="100" w:beforeAutospacing="1" w:after="100" w:afterAutospacing="1"/>
        <w:jc w:val="both"/>
        <w:rPr>
          <w:rFonts w:eastAsiaTheme="minorEastAsia"/>
        </w:rPr>
      </w:pPr>
      <w:r w:rsidRPr="00C94AFC">
        <w:rPr>
          <w:rFonts w:eastAsiaTheme="minorEastAsia"/>
        </w:rPr>
        <w:t xml:space="preserve">By category of items in Annex I to the Regulation (Figure </w:t>
      </w:r>
      <w:r w:rsidR="3BF8743F" w:rsidRPr="00C94AFC">
        <w:rPr>
          <w:rFonts w:eastAsiaTheme="minorEastAsia"/>
        </w:rPr>
        <w:t>9</w:t>
      </w:r>
      <w:r w:rsidRPr="00C94AFC">
        <w:rPr>
          <w:rFonts w:eastAsiaTheme="minorEastAsia"/>
        </w:rPr>
        <w:t>), the majority of authorisations</w:t>
      </w:r>
      <w:r w:rsidR="00C94AFC" w:rsidRPr="00C94AFC">
        <w:rPr>
          <w:rFonts w:eastAsiaTheme="minorEastAsia"/>
        </w:rPr>
        <w:t xml:space="preserve"> </w:t>
      </w:r>
      <w:r w:rsidRPr="00C94AFC">
        <w:rPr>
          <w:rFonts w:eastAsiaTheme="minorEastAsia"/>
        </w:rPr>
        <w:t>were granted for items listed under</w:t>
      </w:r>
      <w:r w:rsidR="00C94AFC" w:rsidRPr="00C94AFC">
        <w:rPr>
          <w:rFonts w:eastAsiaTheme="minorEastAsia"/>
        </w:rPr>
        <w:t xml:space="preserve"> </w:t>
      </w:r>
      <w:r w:rsidRPr="00C94AFC">
        <w:rPr>
          <w:rFonts w:eastAsiaTheme="minorEastAsia"/>
        </w:rPr>
        <w:t>Telecommunication and ‘information security’ (31% of total), Materials processing (19%) and Sensors and lasers (13%).</w:t>
      </w:r>
    </w:p>
    <w:p w14:paraId="4C29DD99" w14:textId="0B6BB9DD" w:rsidR="008D0D0F" w:rsidRPr="00C94AFC" w:rsidRDefault="008D0D0F" w:rsidP="008D0D0F">
      <w:pPr>
        <w:spacing w:before="100" w:beforeAutospacing="1" w:after="100" w:afterAutospacing="1"/>
        <w:jc w:val="both"/>
        <w:rPr>
          <w:rFonts w:eastAsiaTheme="minorEastAsia"/>
        </w:rPr>
      </w:pPr>
      <w:r w:rsidRPr="00C94AFC">
        <w:rPr>
          <w:rFonts w:eastAsiaTheme="minorEastAsia"/>
        </w:rPr>
        <w:t xml:space="preserve">The top five types of items covered by global export authorisations (Figures </w:t>
      </w:r>
      <w:r w:rsidR="2F8BE968" w:rsidRPr="00C94AFC">
        <w:rPr>
          <w:rFonts w:eastAsiaTheme="minorEastAsia"/>
        </w:rPr>
        <w:t>10</w:t>
      </w:r>
      <w:r w:rsidRPr="00C94AFC">
        <w:rPr>
          <w:rFonts w:eastAsiaTheme="minorEastAsia"/>
        </w:rPr>
        <w:t xml:space="preserve">.1 and </w:t>
      </w:r>
      <w:r w:rsidR="57CDF7A2" w:rsidRPr="00C94AFC">
        <w:rPr>
          <w:rFonts w:eastAsiaTheme="minorEastAsia"/>
        </w:rPr>
        <w:t>10</w:t>
      </w:r>
      <w:r w:rsidRPr="00C94AFC">
        <w:rPr>
          <w:rFonts w:eastAsiaTheme="minorEastAsia"/>
        </w:rPr>
        <w:t>.2) are Information security and crypto-analysis items and equipment (19% of total), Optical and acoustic equipment, related components and materials; other sensors (11%), Explosives, propellants and related equipment (10%), Software for telecommunications and information security (8%) and Toxic chemicals, precursors, pathogens, toxins and genetically-modified organisms, related protective and detection equipment and components (8%).</w:t>
      </w:r>
    </w:p>
    <w:p w14:paraId="7D2722DA" w14:textId="7C08D011" w:rsidR="008D0D0F" w:rsidRPr="00C94AFC" w:rsidRDefault="00106D79" w:rsidP="6E3DF1AC">
      <w:pPr>
        <w:spacing w:before="100" w:beforeAutospacing="1" w:after="100" w:afterAutospacing="1"/>
        <w:jc w:val="both"/>
        <w:rPr>
          <w:rFonts w:eastAsiaTheme="minorEastAsia"/>
        </w:rPr>
      </w:pPr>
      <w:r>
        <w:rPr>
          <w:noProof/>
        </w:rPr>
        <w:drawing>
          <wp:inline distT="0" distB="0" distL="0" distR="0" wp14:anchorId="291FB07D" wp14:editId="2F52B51A">
            <wp:extent cx="5760720" cy="3723044"/>
            <wp:effectExtent l="0" t="0" r="0" b="0"/>
            <wp:docPr id="1915349113"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49113" name="drawing" descr="A screenshot of a computer&#10;&#10;AI-generated content may be incorrect."/>
                    <pic:cNvPicPr/>
                  </pic:nvPicPr>
                  <pic:blipFill>
                    <a:blip r:embed="rId27">
                      <a:extLst>
                        <a:ext uri="{28A0092B-C50C-407E-A947-70E740481C1C}">
                          <a14:useLocalDpi xmlns:a14="http://schemas.microsoft.com/office/drawing/2010/main"/>
                        </a:ext>
                      </a:extLst>
                    </a:blip>
                    <a:stretch>
                      <a:fillRect/>
                    </a:stretch>
                  </pic:blipFill>
                  <pic:spPr>
                    <a:xfrm>
                      <a:off x="0" y="0"/>
                      <a:ext cx="5760720" cy="3723044"/>
                    </a:xfrm>
                    <a:prstGeom prst="rect">
                      <a:avLst/>
                    </a:prstGeom>
                  </pic:spPr>
                </pic:pic>
              </a:graphicData>
            </a:graphic>
          </wp:inline>
        </w:drawing>
      </w:r>
      <w:r w:rsidR="008D0D0F" w:rsidRPr="6E3DF1AC">
        <w:rPr>
          <w:rFonts w:eastAsiaTheme="minorEastAsia"/>
          <w:i/>
          <w:iCs/>
        </w:rPr>
        <w:t xml:space="preserve">Figure </w:t>
      </w:r>
      <w:r w:rsidR="62C30C57" w:rsidRPr="6E3DF1AC">
        <w:rPr>
          <w:rFonts w:eastAsiaTheme="minorEastAsia"/>
          <w:i/>
          <w:iCs/>
        </w:rPr>
        <w:t>9</w:t>
      </w:r>
      <w:r w:rsidR="008D0D0F" w:rsidRPr="6E3DF1AC">
        <w:rPr>
          <w:rFonts w:eastAsiaTheme="minorEastAsia"/>
          <w:i/>
          <w:iCs/>
        </w:rPr>
        <w:t>: Global export authorisations by category of items in Annex I to Regulation (EU) 2021/821</w:t>
      </w:r>
    </w:p>
    <w:p w14:paraId="6170F117" w14:textId="67A698A5" w:rsidR="008D0D0F" w:rsidRPr="00C94AFC" w:rsidRDefault="00106D79" w:rsidP="008D0D0F">
      <w:pPr>
        <w:spacing w:before="100" w:beforeAutospacing="1" w:after="100" w:afterAutospacing="1"/>
        <w:jc w:val="both"/>
        <w:rPr>
          <w:rFonts w:eastAsiaTheme="minorEastAsia"/>
          <w:i/>
          <w:iCs/>
        </w:rPr>
      </w:pPr>
      <w:r>
        <w:rPr>
          <w:noProof/>
        </w:rPr>
        <w:lastRenderedPageBreak/>
        <w:drawing>
          <wp:inline distT="0" distB="0" distL="0" distR="0" wp14:anchorId="00280915" wp14:editId="4FDFB56C">
            <wp:extent cx="5389325" cy="8110800"/>
            <wp:effectExtent l="0" t="0" r="0" b="0"/>
            <wp:docPr id="119968155"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8155" name="drawing" descr="A screenshot of a computer&#10;&#10;AI-generated content may be incorrect."/>
                    <pic:cNvPicPr/>
                  </pic:nvPicPr>
                  <pic:blipFill>
                    <a:blip r:embed="rId28">
                      <a:extLst>
                        <a:ext uri="{28A0092B-C50C-407E-A947-70E740481C1C}">
                          <a14:useLocalDpi xmlns:a14="http://schemas.microsoft.com/office/drawing/2010/main"/>
                        </a:ext>
                      </a:extLst>
                    </a:blip>
                    <a:stretch>
                      <a:fillRect/>
                    </a:stretch>
                  </pic:blipFill>
                  <pic:spPr>
                    <a:xfrm>
                      <a:off x="0" y="0"/>
                      <a:ext cx="5389325" cy="8110800"/>
                    </a:xfrm>
                    <a:prstGeom prst="rect">
                      <a:avLst/>
                    </a:prstGeom>
                  </pic:spPr>
                </pic:pic>
              </a:graphicData>
            </a:graphic>
          </wp:inline>
        </w:drawing>
      </w:r>
      <w:r w:rsidR="008D0D0F" w:rsidRPr="00C94AFC">
        <w:rPr>
          <w:rFonts w:eastAsiaTheme="minorEastAsia"/>
          <w:i/>
          <w:iCs/>
        </w:rPr>
        <w:t xml:space="preserve">Figure </w:t>
      </w:r>
      <w:r w:rsidR="7C2F9252" w:rsidRPr="00C94AFC">
        <w:rPr>
          <w:rFonts w:eastAsiaTheme="minorEastAsia"/>
          <w:i/>
          <w:iCs/>
        </w:rPr>
        <w:t>10</w:t>
      </w:r>
      <w:r w:rsidR="008D0D0F" w:rsidRPr="00C94AFC">
        <w:rPr>
          <w:rFonts w:eastAsiaTheme="minorEastAsia"/>
          <w:i/>
          <w:iCs/>
        </w:rPr>
        <w:t>.1: Global export authorisations by type of items (Part 1)</w:t>
      </w:r>
    </w:p>
    <w:p w14:paraId="44DDEEC6" w14:textId="0DB1F9F3" w:rsidR="008D0D0F" w:rsidRPr="00C94AFC" w:rsidRDefault="00106D79" w:rsidP="008D0D0F">
      <w:pPr>
        <w:spacing w:before="100" w:beforeAutospacing="1" w:after="100" w:afterAutospacing="1"/>
        <w:jc w:val="both"/>
        <w:rPr>
          <w:rFonts w:eastAsiaTheme="minorEastAsia"/>
        </w:rPr>
      </w:pPr>
      <w:r>
        <w:rPr>
          <w:noProof/>
        </w:rPr>
        <w:lastRenderedPageBreak/>
        <w:drawing>
          <wp:inline distT="0" distB="0" distL="0" distR="0" wp14:anchorId="04FA946A" wp14:editId="14736DFF">
            <wp:extent cx="5362512" cy="8110800"/>
            <wp:effectExtent l="0" t="0" r="0" b="0"/>
            <wp:docPr id="272720145"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20145" name="drawing" descr="A screenshot of a computer&#10;&#10;AI-generated content may be incorrect."/>
                    <pic:cNvPicPr/>
                  </pic:nvPicPr>
                  <pic:blipFill>
                    <a:blip r:embed="rId29">
                      <a:extLst>
                        <a:ext uri="{28A0092B-C50C-407E-A947-70E740481C1C}">
                          <a14:useLocalDpi xmlns:a14="http://schemas.microsoft.com/office/drawing/2010/main"/>
                        </a:ext>
                      </a:extLst>
                    </a:blip>
                    <a:stretch>
                      <a:fillRect/>
                    </a:stretch>
                  </pic:blipFill>
                  <pic:spPr>
                    <a:xfrm>
                      <a:off x="0" y="0"/>
                      <a:ext cx="5362512" cy="8110800"/>
                    </a:xfrm>
                    <a:prstGeom prst="rect">
                      <a:avLst/>
                    </a:prstGeom>
                  </pic:spPr>
                </pic:pic>
              </a:graphicData>
            </a:graphic>
          </wp:inline>
        </w:drawing>
      </w:r>
    </w:p>
    <w:p w14:paraId="111DFF98" w14:textId="041AC039" w:rsidR="008D0D0F" w:rsidRPr="00C94AFC" w:rsidRDefault="008D0D0F" w:rsidP="008D0D0F">
      <w:pPr>
        <w:spacing w:before="100" w:beforeAutospacing="1" w:after="100" w:afterAutospacing="1"/>
        <w:jc w:val="both"/>
        <w:rPr>
          <w:rFonts w:eastAsiaTheme="minorEastAsia"/>
          <w:i/>
          <w:iCs/>
        </w:rPr>
      </w:pPr>
      <w:r w:rsidRPr="00C94AFC">
        <w:rPr>
          <w:rFonts w:eastAsiaTheme="minorEastAsia"/>
          <w:i/>
          <w:iCs/>
        </w:rPr>
        <w:t xml:space="preserve">Figure </w:t>
      </w:r>
      <w:r w:rsidR="504E07E3" w:rsidRPr="00C94AFC">
        <w:rPr>
          <w:rFonts w:eastAsiaTheme="minorEastAsia"/>
          <w:i/>
          <w:iCs/>
        </w:rPr>
        <w:t>10</w:t>
      </w:r>
      <w:r w:rsidRPr="00C94AFC">
        <w:rPr>
          <w:rFonts w:eastAsiaTheme="minorEastAsia"/>
          <w:i/>
          <w:iCs/>
        </w:rPr>
        <w:t>.2: Global export authorisations by type of items (Part 2)</w:t>
      </w:r>
    </w:p>
    <w:p w14:paraId="46E31FA4" w14:textId="3EE1E6C6" w:rsidR="008D0D0F" w:rsidRPr="00C94AFC" w:rsidRDefault="008D0D0F" w:rsidP="4CB79B8F">
      <w:pPr>
        <w:spacing w:beforeAutospacing="1" w:afterAutospacing="1" w:line="259" w:lineRule="auto"/>
        <w:jc w:val="both"/>
        <w:rPr>
          <w:rFonts w:eastAsiaTheme="minorEastAsia"/>
        </w:rPr>
      </w:pPr>
      <w:r w:rsidRPr="49F47F3A">
        <w:rPr>
          <w:rFonts w:eastAsiaTheme="minorEastAsia"/>
        </w:rPr>
        <w:lastRenderedPageBreak/>
        <w:t xml:space="preserve">Concerning destinations (Figures </w:t>
      </w:r>
      <w:r w:rsidR="2CB95C4D" w:rsidRPr="49F47F3A">
        <w:rPr>
          <w:rFonts w:eastAsiaTheme="minorEastAsia"/>
        </w:rPr>
        <w:t>11</w:t>
      </w:r>
      <w:r w:rsidRPr="49F47F3A">
        <w:rPr>
          <w:rFonts w:eastAsiaTheme="minorEastAsia"/>
        </w:rPr>
        <w:t xml:space="preserve"> and 1</w:t>
      </w:r>
      <w:r w:rsidR="16848994" w:rsidRPr="49F47F3A">
        <w:rPr>
          <w:rFonts w:eastAsiaTheme="minorEastAsia"/>
        </w:rPr>
        <w:t>2</w:t>
      </w:r>
      <w:r w:rsidRPr="49F47F3A">
        <w:rPr>
          <w:rFonts w:eastAsiaTheme="minorEastAsia"/>
        </w:rPr>
        <w:t>), the majority of authorisations by volume were granted for exports</w:t>
      </w:r>
      <w:r w:rsidR="00C94AFC" w:rsidRPr="49F47F3A">
        <w:rPr>
          <w:rFonts w:eastAsiaTheme="minorEastAsia"/>
        </w:rPr>
        <w:t xml:space="preserve"> </w:t>
      </w:r>
      <w:r w:rsidR="00AD5A51" w:rsidRPr="49F47F3A">
        <w:rPr>
          <w:rFonts w:eastAsiaTheme="minorEastAsia"/>
        </w:rPr>
        <w:t xml:space="preserve">to </w:t>
      </w:r>
      <w:r w:rsidRPr="49F47F3A">
        <w:rPr>
          <w:rFonts w:eastAsiaTheme="minorEastAsia"/>
        </w:rPr>
        <w:t>China (3%), India (2%), Taiwan (2%), Brazil (2%) and Singapore (2%). Overall, the top 25 destinations account for only 37% of authorisations by volume of global export authorisations, as a global licence often covers multiple destinations</w:t>
      </w:r>
      <w:r w:rsidRPr="49F47F3A">
        <w:rPr>
          <w:rFonts w:eastAsiaTheme="minorEastAsia"/>
          <w:sz w:val="20"/>
          <w:szCs w:val="20"/>
          <w:vertAlign w:val="superscript"/>
        </w:rPr>
        <w:footnoteReference w:id="33"/>
      </w:r>
      <w:r w:rsidR="00C94AFC" w:rsidRPr="49F47F3A">
        <w:rPr>
          <w:rFonts w:eastAsiaTheme="minorEastAsia"/>
        </w:rPr>
        <w:t>.</w:t>
      </w:r>
    </w:p>
    <w:p w14:paraId="1241C3FA" w14:textId="26EA1870" w:rsidR="008D0D0F" w:rsidRPr="00C94AFC" w:rsidRDefault="00106D79" w:rsidP="008D0D0F">
      <w:pPr>
        <w:spacing w:before="100" w:beforeAutospacing="1" w:after="100" w:afterAutospacing="1"/>
        <w:jc w:val="both"/>
        <w:rPr>
          <w:rFonts w:eastAsiaTheme="minorEastAsia"/>
        </w:rPr>
      </w:pPr>
      <w:r>
        <w:rPr>
          <w:noProof/>
        </w:rPr>
        <w:drawing>
          <wp:inline distT="0" distB="0" distL="0" distR="0" wp14:anchorId="7D009DA9" wp14:editId="4FB756EA">
            <wp:extent cx="5760720" cy="4180093"/>
            <wp:effectExtent l="0" t="0" r="0" b="0"/>
            <wp:docPr id="2102322769" name="drawing"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22769" name="drawing" descr="A map of the world with blue circles&#10;&#10;AI-generated content may be incorrect."/>
                    <pic:cNvPicPr/>
                  </pic:nvPicPr>
                  <pic:blipFill>
                    <a:blip r:embed="rId30">
                      <a:extLst>
                        <a:ext uri="{28A0092B-C50C-407E-A947-70E740481C1C}">
                          <a14:useLocalDpi xmlns:a14="http://schemas.microsoft.com/office/drawing/2010/main"/>
                        </a:ext>
                      </a:extLst>
                    </a:blip>
                    <a:stretch>
                      <a:fillRect/>
                    </a:stretch>
                  </pic:blipFill>
                  <pic:spPr>
                    <a:xfrm>
                      <a:off x="0" y="0"/>
                      <a:ext cx="5760720" cy="4180093"/>
                    </a:xfrm>
                    <a:prstGeom prst="rect">
                      <a:avLst/>
                    </a:prstGeom>
                  </pic:spPr>
                </pic:pic>
              </a:graphicData>
            </a:graphic>
          </wp:inline>
        </w:drawing>
      </w:r>
      <w:r w:rsidR="008D0D0F" w:rsidRPr="00C94AFC">
        <w:rPr>
          <w:rFonts w:eastAsiaTheme="minorEastAsia"/>
          <w:i/>
          <w:iCs/>
        </w:rPr>
        <w:t xml:space="preserve">Figure </w:t>
      </w:r>
      <w:r w:rsidR="7FCD0908" w:rsidRPr="00C94AFC">
        <w:rPr>
          <w:rFonts w:eastAsiaTheme="minorEastAsia"/>
          <w:i/>
          <w:iCs/>
        </w:rPr>
        <w:t>11</w:t>
      </w:r>
      <w:r w:rsidR="008D0D0F" w:rsidRPr="00C94AFC">
        <w:rPr>
          <w:rFonts w:eastAsiaTheme="minorEastAsia"/>
          <w:i/>
          <w:iCs/>
        </w:rPr>
        <w:t>: Global export authorisations by destination</w:t>
      </w:r>
    </w:p>
    <w:p w14:paraId="000808CB" w14:textId="008995E7" w:rsidR="008D0D0F" w:rsidRPr="00C94AFC" w:rsidRDefault="00106D79" w:rsidP="008D0D0F">
      <w:pPr>
        <w:spacing w:before="100" w:beforeAutospacing="1" w:after="100" w:afterAutospacing="1"/>
        <w:jc w:val="both"/>
        <w:rPr>
          <w:rFonts w:eastAsiaTheme="minorEastAsia"/>
        </w:rPr>
      </w:pPr>
      <w:r>
        <w:rPr>
          <w:noProof/>
        </w:rPr>
        <w:lastRenderedPageBreak/>
        <w:drawing>
          <wp:inline distT="0" distB="0" distL="0" distR="0" wp14:anchorId="3B371039" wp14:editId="15FC598C">
            <wp:extent cx="2590393" cy="7462800"/>
            <wp:effectExtent l="0" t="0" r="0" b="0"/>
            <wp:docPr id="13831034"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034" name="drawing" descr="A screenshot of a computer&#10;&#10;AI-generated content may be incorrect."/>
                    <pic:cNvPicPr/>
                  </pic:nvPicPr>
                  <pic:blipFill>
                    <a:blip r:embed="rId31">
                      <a:extLst>
                        <a:ext uri="{28A0092B-C50C-407E-A947-70E740481C1C}">
                          <a14:useLocalDpi xmlns:a14="http://schemas.microsoft.com/office/drawing/2010/main"/>
                        </a:ext>
                      </a:extLst>
                    </a:blip>
                    <a:stretch>
                      <a:fillRect/>
                    </a:stretch>
                  </pic:blipFill>
                  <pic:spPr>
                    <a:xfrm>
                      <a:off x="0" y="0"/>
                      <a:ext cx="2590393" cy="7462800"/>
                    </a:xfrm>
                    <a:prstGeom prst="rect">
                      <a:avLst/>
                    </a:prstGeom>
                  </pic:spPr>
                </pic:pic>
              </a:graphicData>
            </a:graphic>
          </wp:inline>
        </w:drawing>
      </w:r>
    </w:p>
    <w:p w14:paraId="4F460559" w14:textId="54A68FC1" w:rsidR="008D0D0F" w:rsidRPr="00C94AFC" w:rsidRDefault="008D0D0F" w:rsidP="008D0D0F">
      <w:pPr>
        <w:spacing w:before="100" w:beforeAutospacing="1" w:after="100" w:afterAutospacing="1"/>
        <w:jc w:val="both"/>
        <w:rPr>
          <w:rFonts w:eastAsiaTheme="minorEastAsia"/>
          <w:i/>
          <w:iCs/>
        </w:rPr>
      </w:pPr>
      <w:r w:rsidRPr="00C94AFC">
        <w:rPr>
          <w:rFonts w:eastAsiaTheme="minorEastAsia"/>
          <w:i/>
          <w:iCs/>
        </w:rPr>
        <w:t>Figure 1</w:t>
      </w:r>
      <w:r w:rsidR="665093CC" w:rsidRPr="00C94AFC">
        <w:rPr>
          <w:rFonts w:eastAsiaTheme="minorEastAsia"/>
          <w:i/>
          <w:iCs/>
        </w:rPr>
        <w:t>2</w:t>
      </w:r>
      <w:r w:rsidRPr="00C94AFC">
        <w:rPr>
          <w:rFonts w:eastAsiaTheme="minorEastAsia"/>
          <w:i/>
          <w:iCs/>
        </w:rPr>
        <w:t>: Global export authorisations by top destinations</w:t>
      </w:r>
    </w:p>
    <w:p w14:paraId="4C480A9D" w14:textId="77777777" w:rsidR="008D0D0F" w:rsidRPr="00C94AFC" w:rsidRDefault="008D0D0F" w:rsidP="008D0D0F">
      <w:pPr>
        <w:spacing w:before="100" w:beforeAutospacing="1" w:after="100" w:afterAutospacing="1"/>
        <w:jc w:val="both"/>
        <w:rPr>
          <w:rFonts w:eastAsiaTheme="minorEastAsia"/>
          <w:i/>
          <w:iCs/>
        </w:rPr>
      </w:pPr>
    </w:p>
    <w:p w14:paraId="02CC0401" w14:textId="77777777" w:rsidR="008D0D0F" w:rsidRPr="00C94AFC" w:rsidRDefault="008D0D0F" w:rsidP="008D0D0F">
      <w:pPr>
        <w:spacing w:before="100" w:beforeAutospacing="1" w:after="100" w:afterAutospacing="1"/>
        <w:jc w:val="both"/>
        <w:rPr>
          <w:rFonts w:eastAsiaTheme="minorEastAsia"/>
          <w:i/>
          <w:iCs/>
        </w:rPr>
      </w:pPr>
    </w:p>
    <w:p w14:paraId="67C23B1B" w14:textId="77777777" w:rsidR="008D0D0F" w:rsidRPr="00C94AFC" w:rsidRDefault="008D0D0F" w:rsidP="008D0D0F">
      <w:pPr>
        <w:spacing w:before="100" w:beforeAutospacing="1" w:after="100" w:afterAutospacing="1"/>
        <w:jc w:val="both"/>
        <w:rPr>
          <w:rFonts w:eastAsiaTheme="minorEastAsia"/>
          <w:sz w:val="20"/>
          <w:szCs w:val="20"/>
          <w:lang w:eastAsia="en-GB"/>
        </w:rPr>
      </w:pPr>
    </w:p>
    <w:p w14:paraId="17E03223" w14:textId="2DC8B619" w:rsidR="00FD0AB2" w:rsidRPr="00C94AFC" w:rsidRDefault="00FD0AB2" w:rsidP="008D0D0F">
      <w:pPr>
        <w:spacing w:before="100" w:beforeAutospacing="1" w:after="100" w:afterAutospacing="1"/>
        <w:jc w:val="both"/>
        <w:rPr>
          <w:rFonts w:eastAsiaTheme="minorEastAsia"/>
          <w:b/>
          <w:bCs/>
        </w:rPr>
      </w:pPr>
      <w:r w:rsidRPr="00C94AFC">
        <w:rPr>
          <w:rFonts w:eastAsiaTheme="minorEastAsia"/>
          <w:b/>
          <w:bCs/>
        </w:rPr>
        <w:lastRenderedPageBreak/>
        <w:t>4.6</w:t>
      </w:r>
      <w:r w:rsidRPr="00C94AFC">
        <w:rPr>
          <w:rFonts w:eastAsiaTheme="minorEastAsia"/>
          <w:b/>
          <w:bCs/>
        </w:rPr>
        <w:tab/>
        <w:t>National and EU general export authorisations</w:t>
      </w:r>
    </w:p>
    <w:p w14:paraId="56811405" w14:textId="05232FA1" w:rsidR="008D0D0F" w:rsidRPr="00C94AFC" w:rsidRDefault="008D0D0F" w:rsidP="008D0D0F">
      <w:pPr>
        <w:spacing w:before="100" w:beforeAutospacing="1" w:after="100" w:afterAutospacing="1"/>
        <w:jc w:val="both"/>
        <w:rPr>
          <w:rFonts w:eastAsiaTheme="minorEastAsia"/>
        </w:rPr>
      </w:pPr>
      <w:r w:rsidRPr="49F47F3A">
        <w:rPr>
          <w:rFonts w:eastAsiaTheme="minorEastAsia"/>
        </w:rPr>
        <w:t xml:space="preserve">National and EU general export authorisations (GEAs) are issued to facilitate trade </w:t>
      </w:r>
      <w:r w:rsidR="00E61BFC" w:rsidRPr="49F47F3A">
        <w:rPr>
          <w:rFonts w:eastAsiaTheme="minorEastAsia"/>
        </w:rPr>
        <w:t xml:space="preserve">in </w:t>
      </w:r>
      <w:r w:rsidRPr="49F47F3A">
        <w:rPr>
          <w:rFonts w:eastAsiaTheme="minorEastAsia"/>
        </w:rPr>
        <w:t>dual-use items while reducing the administrative burden for exporters and export control authorities alike. EU general export authorisations (EU GEAs)</w:t>
      </w:r>
      <w:r w:rsidR="00AD5A51" w:rsidRPr="49F47F3A">
        <w:rPr>
          <w:rFonts w:eastAsiaTheme="minorEastAsia"/>
        </w:rPr>
        <w:t xml:space="preserve"> provide the highest level of trade facilitation for dual</w:t>
      </w:r>
      <w:r w:rsidR="000B0C95" w:rsidRPr="49F47F3A">
        <w:rPr>
          <w:rFonts w:eastAsiaTheme="minorEastAsia"/>
        </w:rPr>
        <w:t>-</w:t>
      </w:r>
      <w:r w:rsidR="00AD5A51" w:rsidRPr="49F47F3A">
        <w:rPr>
          <w:rFonts w:eastAsiaTheme="minorEastAsia"/>
        </w:rPr>
        <w:t xml:space="preserve">use goods. They are granted to </w:t>
      </w:r>
      <w:r w:rsidRPr="49F47F3A">
        <w:rPr>
          <w:rFonts w:eastAsiaTheme="minorEastAsia"/>
        </w:rPr>
        <w:t>EU exporters</w:t>
      </w:r>
      <w:r w:rsidR="00C94AFC" w:rsidRPr="49F47F3A">
        <w:rPr>
          <w:rFonts w:eastAsiaTheme="minorEastAsia"/>
        </w:rPr>
        <w:t xml:space="preserve"> </w:t>
      </w:r>
      <w:r w:rsidR="00AD5A51" w:rsidRPr="49F47F3A">
        <w:rPr>
          <w:rFonts w:eastAsiaTheme="minorEastAsia"/>
        </w:rPr>
        <w:t xml:space="preserve">who comply </w:t>
      </w:r>
      <w:r w:rsidRPr="49F47F3A">
        <w:rPr>
          <w:rFonts w:eastAsiaTheme="minorEastAsia"/>
        </w:rPr>
        <w:t>with the relevant pre-conditions established in the Regulation. The Regulation provides for eight types of EU GEAs</w:t>
      </w:r>
      <w:r w:rsidRPr="49F47F3A">
        <w:rPr>
          <w:rFonts w:eastAsiaTheme="minorEastAsia"/>
          <w:sz w:val="20"/>
          <w:szCs w:val="20"/>
          <w:vertAlign w:val="superscript"/>
        </w:rPr>
        <w:footnoteReference w:id="34"/>
      </w:r>
      <w:r w:rsidRPr="49F47F3A">
        <w:rPr>
          <w:rFonts w:eastAsiaTheme="minorEastAsia"/>
        </w:rPr>
        <w:t>.</w:t>
      </w:r>
    </w:p>
    <w:p w14:paraId="30E9DE68" w14:textId="14E5AF5D" w:rsidR="008D0D0F" w:rsidRPr="00C94AFC" w:rsidRDefault="008D0D0F" w:rsidP="4CB79B8F">
      <w:pPr>
        <w:spacing w:before="100" w:beforeAutospacing="1" w:after="100" w:afterAutospacing="1"/>
        <w:jc w:val="both"/>
        <w:rPr>
          <w:rFonts w:eastAsiaTheme="minorEastAsia"/>
        </w:rPr>
      </w:pPr>
      <w:r w:rsidRPr="00C94AFC">
        <w:rPr>
          <w:rFonts w:eastAsiaTheme="minorEastAsia"/>
        </w:rPr>
        <w:t>The vast majority of uses of EU GEAs in 2024 (Figure 1</w:t>
      </w:r>
      <w:r w:rsidR="413D6A60" w:rsidRPr="00C94AFC">
        <w:rPr>
          <w:rFonts w:eastAsiaTheme="minorEastAsia"/>
        </w:rPr>
        <w:t>3</w:t>
      </w:r>
      <w:r w:rsidRPr="00C94AFC">
        <w:rPr>
          <w:rFonts w:eastAsiaTheme="minorEastAsia"/>
        </w:rPr>
        <w:t>) corresponded to EU001 (99% in terms of value, 99% of volume), for exports to the 10 destinations set out in the authorisation.</w:t>
      </w:r>
    </w:p>
    <w:p w14:paraId="1706066A" w14:textId="0534E60F" w:rsidR="008D0D0F" w:rsidRPr="00C94AFC" w:rsidRDefault="00106D79" w:rsidP="008D0D0F">
      <w:pPr>
        <w:spacing w:before="100" w:beforeAutospacing="1" w:after="100" w:afterAutospacing="1"/>
        <w:jc w:val="both"/>
        <w:rPr>
          <w:rFonts w:eastAsiaTheme="minorEastAsia"/>
        </w:rPr>
      </w:pPr>
      <w:r>
        <w:rPr>
          <w:noProof/>
        </w:rPr>
        <w:drawing>
          <wp:inline distT="0" distB="0" distL="0" distR="0" wp14:anchorId="622B51F7" wp14:editId="2A74EA90">
            <wp:extent cx="5760720" cy="3132689"/>
            <wp:effectExtent l="0" t="0" r="0" b="0"/>
            <wp:docPr id="191685428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854281" name="drawing" descr="A screenshot of a computer&#10;&#10;AI-generated content may be incorrect."/>
                    <pic:cNvPicPr/>
                  </pic:nvPicPr>
                  <pic:blipFill>
                    <a:blip r:embed="rId32">
                      <a:extLst>
                        <a:ext uri="{28A0092B-C50C-407E-A947-70E740481C1C}">
                          <a14:useLocalDpi xmlns:a14="http://schemas.microsoft.com/office/drawing/2010/main"/>
                        </a:ext>
                      </a:extLst>
                    </a:blip>
                    <a:stretch>
                      <a:fillRect/>
                    </a:stretch>
                  </pic:blipFill>
                  <pic:spPr>
                    <a:xfrm>
                      <a:off x="0" y="0"/>
                      <a:ext cx="5760720" cy="3132689"/>
                    </a:xfrm>
                    <a:prstGeom prst="rect">
                      <a:avLst/>
                    </a:prstGeom>
                  </pic:spPr>
                </pic:pic>
              </a:graphicData>
            </a:graphic>
          </wp:inline>
        </w:drawing>
      </w:r>
    </w:p>
    <w:p w14:paraId="5D30C0AF" w14:textId="4A854ADE" w:rsidR="008D0D0F" w:rsidRPr="00C94AFC" w:rsidRDefault="008D0D0F" w:rsidP="008D0D0F">
      <w:pPr>
        <w:spacing w:before="100" w:beforeAutospacing="1" w:after="100" w:afterAutospacing="1"/>
        <w:jc w:val="both"/>
        <w:rPr>
          <w:rFonts w:eastAsiaTheme="minorEastAsia"/>
          <w:i/>
          <w:iCs/>
        </w:rPr>
      </w:pPr>
      <w:r w:rsidRPr="00C94AFC">
        <w:rPr>
          <w:rFonts w:eastAsiaTheme="minorEastAsia"/>
          <w:i/>
          <w:iCs/>
        </w:rPr>
        <w:t>Figure 1</w:t>
      </w:r>
      <w:r w:rsidR="229F51DF" w:rsidRPr="00C94AFC">
        <w:rPr>
          <w:rFonts w:eastAsiaTheme="minorEastAsia"/>
          <w:i/>
          <w:iCs/>
        </w:rPr>
        <w:t>3</w:t>
      </w:r>
      <w:r w:rsidRPr="00C94AFC">
        <w:rPr>
          <w:rFonts w:eastAsiaTheme="minorEastAsia"/>
          <w:i/>
          <w:iCs/>
        </w:rPr>
        <w:t>: EU general export authorisations</w:t>
      </w:r>
    </w:p>
    <w:p w14:paraId="325CF1E9" w14:textId="31E6D8CE" w:rsidR="008D0D0F" w:rsidRPr="00C94AFC" w:rsidRDefault="008D0D0F" w:rsidP="008D0D0F">
      <w:pPr>
        <w:spacing w:before="100" w:beforeAutospacing="1" w:after="100" w:afterAutospacing="1"/>
        <w:jc w:val="both"/>
        <w:rPr>
          <w:rFonts w:eastAsiaTheme="minorEastAsia"/>
        </w:rPr>
      </w:pPr>
      <w:r w:rsidRPr="00C94AFC">
        <w:rPr>
          <w:rFonts w:eastAsiaTheme="minorEastAsia"/>
        </w:rPr>
        <w:t>National general export authorisations are granted by the Member States to exporters who notify competent authorities while complying with the relevant pre-conditions established by applicable national laws.</w:t>
      </w:r>
    </w:p>
    <w:p w14:paraId="32B9468C" w14:textId="494A69E7" w:rsidR="008D0D0F" w:rsidRPr="00C94AFC" w:rsidRDefault="008D0D0F" w:rsidP="4CB79B8F">
      <w:pPr>
        <w:spacing w:before="100" w:beforeAutospacing="1" w:after="100" w:afterAutospacing="1"/>
        <w:jc w:val="both"/>
        <w:rPr>
          <w:rFonts w:eastAsiaTheme="minorEastAsia"/>
        </w:rPr>
      </w:pPr>
      <w:r w:rsidRPr="00C94AFC">
        <w:rPr>
          <w:rFonts w:eastAsiaTheme="minorEastAsia"/>
        </w:rPr>
        <w:t>Figure 1</w:t>
      </w:r>
      <w:r w:rsidR="61B5991F" w:rsidRPr="00C94AFC">
        <w:rPr>
          <w:rFonts w:eastAsiaTheme="minorEastAsia"/>
        </w:rPr>
        <w:t>4</w:t>
      </w:r>
      <w:r w:rsidRPr="00C94AFC">
        <w:rPr>
          <w:rFonts w:eastAsiaTheme="minorEastAsia"/>
        </w:rPr>
        <w:t xml:space="preserve"> breaks down the value of EU</w:t>
      </w:r>
      <w:r w:rsidR="00AD5A51" w:rsidRPr="00C94AFC">
        <w:rPr>
          <w:rFonts w:eastAsiaTheme="minorEastAsia"/>
        </w:rPr>
        <w:t xml:space="preserve"> </w:t>
      </w:r>
      <w:r w:rsidRPr="00C94AFC">
        <w:rPr>
          <w:rFonts w:eastAsiaTheme="minorEastAsia"/>
        </w:rPr>
        <w:t xml:space="preserve">and national GEAs by the categories included in Annex I to the Regulation. The highest values correspond to </w:t>
      </w:r>
      <w:r w:rsidR="00E61BFC">
        <w:rPr>
          <w:rFonts w:eastAsiaTheme="minorEastAsia"/>
        </w:rPr>
        <w:t>T</w:t>
      </w:r>
      <w:r w:rsidRPr="00C94AFC">
        <w:rPr>
          <w:rFonts w:eastAsiaTheme="minorEastAsia"/>
        </w:rPr>
        <w:t>elecommunications and ‘information security’ (EUR</w:t>
      </w:r>
      <w:r w:rsidR="00C94AFC">
        <w:rPr>
          <w:rFonts w:eastAsiaTheme="minorEastAsia"/>
        </w:rPr>
        <w:t> </w:t>
      </w:r>
      <w:r w:rsidRPr="00C94AFC">
        <w:rPr>
          <w:rFonts w:eastAsiaTheme="minorEastAsia"/>
        </w:rPr>
        <w:t>3.5 billion, 44% of total),</w:t>
      </w:r>
      <w:r w:rsidR="00C94AFC" w:rsidRPr="00C94AFC">
        <w:rPr>
          <w:rFonts w:eastAsiaTheme="minorEastAsia"/>
        </w:rPr>
        <w:t xml:space="preserve"> </w:t>
      </w:r>
      <w:r w:rsidR="00E61BFC">
        <w:rPr>
          <w:rFonts w:eastAsiaTheme="minorEastAsia"/>
        </w:rPr>
        <w:t>E</w:t>
      </w:r>
      <w:r w:rsidRPr="00C94AFC">
        <w:rPr>
          <w:rFonts w:eastAsiaTheme="minorEastAsia"/>
        </w:rPr>
        <w:t>lectronics (EUR</w:t>
      </w:r>
      <w:r w:rsidR="00C94AFC">
        <w:rPr>
          <w:rFonts w:eastAsiaTheme="minorEastAsia"/>
        </w:rPr>
        <w:t> </w:t>
      </w:r>
      <w:r w:rsidRPr="00C94AFC">
        <w:rPr>
          <w:rFonts w:eastAsiaTheme="minorEastAsia"/>
        </w:rPr>
        <w:t xml:space="preserve">3.3 billion, 42% of total), and </w:t>
      </w:r>
      <w:r w:rsidR="00E61BFC">
        <w:rPr>
          <w:rFonts w:eastAsiaTheme="minorEastAsia"/>
        </w:rPr>
        <w:t>M</w:t>
      </w:r>
      <w:r w:rsidRPr="00C94AFC">
        <w:rPr>
          <w:rFonts w:eastAsiaTheme="minorEastAsia"/>
        </w:rPr>
        <w:t>aterials processing</w:t>
      </w:r>
      <w:r w:rsidR="00C94AFC" w:rsidRPr="00C94AFC">
        <w:rPr>
          <w:rFonts w:eastAsiaTheme="minorEastAsia"/>
        </w:rPr>
        <w:t xml:space="preserve"> </w:t>
      </w:r>
      <w:r w:rsidRPr="00C94AFC">
        <w:rPr>
          <w:rFonts w:eastAsiaTheme="minorEastAsia"/>
        </w:rPr>
        <w:t>(EUR</w:t>
      </w:r>
      <w:r w:rsidR="00C94AFC">
        <w:rPr>
          <w:rFonts w:eastAsiaTheme="minorEastAsia"/>
        </w:rPr>
        <w:t> </w:t>
      </w:r>
      <w:r w:rsidRPr="00C94AFC">
        <w:rPr>
          <w:rFonts w:eastAsiaTheme="minorEastAsia"/>
        </w:rPr>
        <w:t>0.3 billion, 4% of total).</w:t>
      </w:r>
    </w:p>
    <w:p w14:paraId="08D4269B" w14:textId="17F59749" w:rsidR="008D0D0F" w:rsidRPr="00C94AFC" w:rsidRDefault="00106D79" w:rsidP="6E3DF1AC">
      <w:pPr>
        <w:spacing w:before="100" w:beforeAutospacing="1" w:after="100" w:afterAutospacing="1"/>
        <w:jc w:val="both"/>
        <w:rPr>
          <w:rFonts w:eastAsiaTheme="minorEastAsia"/>
        </w:rPr>
      </w:pPr>
      <w:r>
        <w:rPr>
          <w:noProof/>
        </w:rPr>
        <w:lastRenderedPageBreak/>
        <w:drawing>
          <wp:inline distT="0" distB="0" distL="0" distR="0" wp14:anchorId="352DFB16" wp14:editId="33B9909F">
            <wp:extent cx="5760720" cy="3723044"/>
            <wp:effectExtent l="0" t="0" r="0" b="0"/>
            <wp:docPr id="1077234144" name="drawing"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34144" name="drawing" descr="A screenshot of a document&#10;&#10;AI-generated content may be incorrect."/>
                    <pic:cNvPicPr/>
                  </pic:nvPicPr>
                  <pic:blipFill>
                    <a:blip r:embed="rId33">
                      <a:extLst>
                        <a:ext uri="{28A0092B-C50C-407E-A947-70E740481C1C}">
                          <a14:useLocalDpi xmlns:a14="http://schemas.microsoft.com/office/drawing/2010/main"/>
                        </a:ext>
                      </a:extLst>
                    </a:blip>
                    <a:stretch>
                      <a:fillRect/>
                    </a:stretch>
                  </pic:blipFill>
                  <pic:spPr>
                    <a:xfrm>
                      <a:off x="0" y="0"/>
                      <a:ext cx="5760720" cy="3723044"/>
                    </a:xfrm>
                    <a:prstGeom prst="rect">
                      <a:avLst/>
                    </a:prstGeom>
                  </pic:spPr>
                </pic:pic>
              </a:graphicData>
            </a:graphic>
          </wp:inline>
        </w:drawing>
      </w:r>
    </w:p>
    <w:p w14:paraId="4DD9AF32" w14:textId="58EF242C" w:rsidR="008D0D0F" w:rsidRPr="00C94AFC" w:rsidRDefault="008D0D0F" w:rsidP="008D0D0F">
      <w:pPr>
        <w:spacing w:before="100" w:beforeAutospacing="1" w:after="100" w:afterAutospacing="1"/>
        <w:jc w:val="both"/>
        <w:rPr>
          <w:rFonts w:eastAsiaTheme="minorEastAsia"/>
          <w:i/>
          <w:iCs/>
        </w:rPr>
      </w:pPr>
      <w:r w:rsidRPr="6E3DF1AC">
        <w:rPr>
          <w:rFonts w:eastAsiaTheme="minorEastAsia"/>
          <w:i/>
          <w:iCs/>
        </w:rPr>
        <w:t>Figure 1</w:t>
      </w:r>
      <w:r w:rsidR="054747C0" w:rsidRPr="6E3DF1AC">
        <w:rPr>
          <w:rFonts w:eastAsiaTheme="minorEastAsia"/>
          <w:i/>
          <w:iCs/>
        </w:rPr>
        <w:t>4</w:t>
      </w:r>
      <w:r w:rsidRPr="6E3DF1AC">
        <w:rPr>
          <w:rFonts w:eastAsiaTheme="minorEastAsia"/>
          <w:i/>
          <w:iCs/>
        </w:rPr>
        <w:t xml:space="preserve">: </w:t>
      </w:r>
      <w:bookmarkStart w:id="19" w:name="_Hlk161741495"/>
      <w:r w:rsidRPr="6E3DF1AC">
        <w:rPr>
          <w:rFonts w:eastAsiaTheme="minorEastAsia"/>
          <w:i/>
          <w:iCs/>
        </w:rPr>
        <w:t xml:space="preserve">EU and national general export authorisations </w:t>
      </w:r>
      <w:bookmarkEnd w:id="19"/>
      <w:r w:rsidRPr="6E3DF1AC">
        <w:rPr>
          <w:rFonts w:eastAsiaTheme="minorEastAsia"/>
          <w:i/>
          <w:iCs/>
        </w:rPr>
        <w:t>by category of items in Annex I to Regulation (EU) 2021/821</w:t>
      </w:r>
    </w:p>
    <w:p w14:paraId="3322F56B" w14:textId="5CBEC2EE" w:rsidR="008D0D0F" w:rsidRPr="00C94AFC" w:rsidRDefault="008D0D0F" w:rsidP="4CB79B8F">
      <w:pPr>
        <w:spacing w:before="100" w:beforeAutospacing="1" w:after="100" w:afterAutospacing="1"/>
        <w:jc w:val="both"/>
        <w:rPr>
          <w:rFonts w:eastAsiaTheme="minorEastAsia"/>
        </w:rPr>
      </w:pPr>
      <w:r w:rsidRPr="00C94AFC">
        <w:rPr>
          <w:rFonts w:eastAsiaTheme="minorEastAsia"/>
        </w:rPr>
        <w:t>Breaking down the value of EU and national GEAs by type of items (Figures 1</w:t>
      </w:r>
      <w:r w:rsidR="103042CF" w:rsidRPr="00C94AFC">
        <w:rPr>
          <w:rFonts w:eastAsiaTheme="minorEastAsia"/>
        </w:rPr>
        <w:t>5</w:t>
      </w:r>
      <w:r w:rsidRPr="00C94AFC">
        <w:rPr>
          <w:rFonts w:eastAsiaTheme="minorEastAsia"/>
        </w:rPr>
        <w:t>.1 and 1</w:t>
      </w:r>
      <w:r w:rsidR="711FC291" w:rsidRPr="00C94AFC">
        <w:rPr>
          <w:rFonts w:eastAsiaTheme="minorEastAsia"/>
        </w:rPr>
        <w:t>5</w:t>
      </w:r>
      <w:r w:rsidRPr="00C94AFC">
        <w:rPr>
          <w:rFonts w:eastAsiaTheme="minorEastAsia"/>
        </w:rPr>
        <w:t xml:space="preserve">.2) indicates that the top five items are </w:t>
      </w:r>
      <w:r w:rsidR="00E61BFC">
        <w:rPr>
          <w:rFonts w:eastAsiaTheme="minorEastAsia"/>
        </w:rPr>
        <w:t>I</w:t>
      </w:r>
      <w:r w:rsidRPr="00C94AFC">
        <w:rPr>
          <w:rFonts w:eastAsiaTheme="minorEastAsia"/>
        </w:rPr>
        <w:t>nformation security and crypto-analysis items and equipment (EUR</w:t>
      </w:r>
      <w:r w:rsidR="00C94AFC">
        <w:rPr>
          <w:rFonts w:eastAsiaTheme="minorEastAsia"/>
        </w:rPr>
        <w:t> </w:t>
      </w:r>
      <w:r w:rsidRPr="00C94AFC">
        <w:rPr>
          <w:rFonts w:eastAsiaTheme="minorEastAsia"/>
        </w:rPr>
        <w:t xml:space="preserve">3.5 billion, 44% of total), </w:t>
      </w:r>
      <w:r w:rsidR="00E61BFC">
        <w:rPr>
          <w:rFonts w:eastAsiaTheme="minorEastAsia"/>
        </w:rPr>
        <w:t>E</w:t>
      </w:r>
      <w:r w:rsidRPr="00C94AFC">
        <w:rPr>
          <w:rFonts w:eastAsiaTheme="minorEastAsia"/>
        </w:rPr>
        <w:t>quipment for the manufacturing and testing of semiconductor devices or materials (EUR</w:t>
      </w:r>
      <w:r w:rsidR="00C94AFC">
        <w:rPr>
          <w:rFonts w:eastAsiaTheme="minorEastAsia"/>
        </w:rPr>
        <w:t> </w:t>
      </w:r>
      <w:r w:rsidRPr="00C94AFC">
        <w:rPr>
          <w:rFonts w:eastAsiaTheme="minorEastAsia"/>
        </w:rPr>
        <w:t xml:space="preserve">3.2 billion, 40% of total), </w:t>
      </w:r>
      <w:r w:rsidR="00E61BFC">
        <w:rPr>
          <w:rFonts w:eastAsiaTheme="minorEastAsia"/>
        </w:rPr>
        <w:t>M</w:t>
      </w:r>
      <w:r w:rsidRPr="00C94AFC">
        <w:rPr>
          <w:rFonts w:eastAsiaTheme="minorEastAsia"/>
        </w:rPr>
        <w:t>achines tools and systems and components for industrial equipment (EUR</w:t>
      </w:r>
      <w:r w:rsidR="00C94AFC">
        <w:rPr>
          <w:rFonts w:eastAsiaTheme="minorEastAsia"/>
        </w:rPr>
        <w:t> </w:t>
      </w:r>
      <w:r w:rsidRPr="00C94AFC">
        <w:rPr>
          <w:rFonts w:eastAsiaTheme="minorEastAsia"/>
        </w:rPr>
        <w:t>0.2 billion, 2% of total), UAV and propulsions therefor (EUR</w:t>
      </w:r>
      <w:r w:rsidR="00C94AFC">
        <w:rPr>
          <w:rFonts w:eastAsiaTheme="minorEastAsia"/>
        </w:rPr>
        <w:t> </w:t>
      </w:r>
      <w:r w:rsidRPr="00C94AFC">
        <w:rPr>
          <w:rFonts w:eastAsiaTheme="minorEastAsia"/>
        </w:rPr>
        <w:t xml:space="preserve">0.2 billion, 2% of total) and </w:t>
      </w:r>
      <w:r w:rsidR="00E61BFC">
        <w:rPr>
          <w:rFonts w:eastAsiaTheme="minorEastAsia"/>
        </w:rPr>
        <w:t>L</w:t>
      </w:r>
      <w:r w:rsidRPr="00C94AFC">
        <w:rPr>
          <w:rFonts w:eastAsiaTheme="minorEastAsia"/>
        </w:rPr>
        <w:t>asers, related equipment and materials (EUR</w:t>
      </w:r>
      <w:r w:rsidR="00C94AFC">
        <w:rPr>
          <w:rFonts w:eastAsiaTheme="minorEastAsia"/>
        </w:rPr>
        <w:t> </w:t>
      </w:r>
      <w:r w:rsidRPr="00C94AFC">
        <w:rPr>
          <w:rFonts w:eastAsiaTheme="minorEastAsia"/>
        </w:rPr>
        <w:t>0.1 billion, 2% of total).</w:t>
      </w:r>
    </w:p>
    <w:p w14:paraId="5F2DE50F" w14:textId="7E4B365B" w:rsidR="008D0D0F" w:rsidRPr="00C94AFC" w:rsidRDefault="00106D79" w:rsidP="008D0D0F">
      <w:pPr>
        <w:spacing w:before="100" w:beforeAutospacing="1" w:after="100" w:afterAutospacing="1"/>
        <w:jc w:val="both"/>
        <w:rPr>
          <w:rFonts w:eastAsiaTheme="minorEastAsia"/>
        </w:rPr>
      </w:pPr>
      <w:r>
        <w:rPr>
          <w:noProof/>
        </w:rPr>
        <w:lastRenderedPageBreak/>
        <w:drawing>
          <wp:inline distT="0" distB="0" distL="0" distR="0" wp14:anchorId="0C1BB122" wp14:editId="39D05750">
            <wp:extent cx="5362512" cy="8110800"/>
            <wp:effectExtent l="0" t="0" r="0" b="0"/>
            <wp:docPr id="863401649"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01649" name="drawing" descr="A screenshot of a computer&#10;&#10;AI-generated content may be incorrect."/>
                    <pic:cNvPicPr/>
                  </pic:nvPicPr>
                  <pic:blipFill>
                    <a:blip r:embed="rId34">
                      <a:extLst>
                        <a:ext uri="{28A0092B-C50C-407E-A947-70E740481C1C}">
                          <a14:useLocalDpi xmlns:a14="http://schemas.microsoft.com/office/drawing/2010/main"/>
                        </a:ext>
                      </a:extLst>
                    </a:blip>
                    <a:stretch>
                      <a:fillRect/>
                    </a:stretch>
                  </pic:blipFill>
                  <pic:spPr>
                    <a:xfrm>
                      <a:off x="0" y="0"/>
                      <a:ext cx="5362512" cy="8110800"/>
                    </a:xfrm>
                    <a:prstGeom prst="rect">
                      <a:avLst/>
                    </a:prstGeom>
                  </pic:spPr>
                </pic:pic>
              </a:graphicData>
            </a:graphic>
          </wp:inline>
        </w:drawing>
      </w:r>
    </w:p>
    <w:p w14:paraId="7EB94C75" w14:textId="25BA8AE1" w:rsidR="008D0D0F" w:rsidRPr="00C94AFC" w:rsidRDefault="008D0D0F" w:rsidP="008D0D0F">
      <w:pPr>
        <w:spacing w:before="100" w:beforeAutospacing="1" w:after="100" w:afterAutospacing="1"/>
        <w:jc w:val="both"/>
        <w:rPr>
          <w:rFonts w:eastAsiaTheme="minorEastAsia"/>
          <w:i/>
          <w:iCs/>
        </w:rPr>
      </w:pPr>
      <w:r w:rsidRPr="00C94AFC">
        <w:rPr>
          <w:rFonts w:eastAsiaTheme="minorEastAsia"/>
          <w:i/>
          <w:iCs/>
        </w:rPr>
        <w:t>Figure 1</w:t>
      </w:r>
      <w:r w:rsidR="12179C08" w:rsidRPr="00C94AFC">
        <w:rPr>
          <w:rFonts w:eastAsiaTheme="minorEastAsia"/>
          <w:i/>
          <w:iCs/>
        </w:rPr>
        <w:t>5</w:t>
      </w:r>
      <w:r w:rsidRPr="00C94AFC">
        <w:rPr>
          <w:rFonts w:eastAsiaTheme="minorEastAsia"/>
          <w:i/>
          <w:iCs/>
        </w:rPr>
        <w:t>.1: EU and national general export authorisations by type of items (Part 1)</w:t>
      </w:r>
    </w:p>
    <w:p w14:paraId="25B726CE" w14:textId="3B36F007" w:rsidR="008D0D0F" w:rsidRPr="00C94AFC" w:rsidRDefault="00106D79" w:rsidP="008D0D0F">
      <w:pPr>
        <w:spacing w:before="100" w:beforeAutospacing="1" w:after="100" w:afterAutospacing="1"/>
        <w:jc w:val="both"/>
        <w:rPr>
          <w:rFonts w:eastAsiaTheme="minorEastAsia"/>
        </w:rPr>
      </w:pPr>
      <w:r>
        <w:rPr>
          <w:noProof/>
        </w:rPr>
        <w:lastRenderedPageBreak/>
        <w:drawing>
          <wp:inline distT="0" distB="0" distL="0" distR="0" wp14:anchorId="3537E5BC" wp14:editId="180D97C0">
            <wp:extent cx="5362512" cy="8110800"/>
            <wp:effectExtent l="0" t="0" r="0" b="0"/>
            <wp:docPr id="193771276"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71276" name="drawing" descr="A screenshot of a computer&#10;&#10;AI-generated content may be incorrect."/>
                    <pic:cNvPicPr/>
                  </pic:nvPicPr>
                  <pic:blipFill>
                    <a:blip r:embed="rId35">
                      <a:extLst>
                        <a:ext uri="{28A0092B-C50C-407E-A947-70E740481C1C}">
                          <a14:useLocalDpi xmlns:a14="http://schemas.microsoft.com/office/drawing/2010/main"/>
                        </a:ext>
                      </a:extLst>
                    </a:blip>
                    <a:stretch>
                      <a:fillRect/>
                    </a:stretch>
                  </pic:blipFill>
                  <pic:spPr>
                    <a:xfrm>
                      <a:off x="0" y="0"/>
                      <a:ext cx="5362512" cy="8110800"/>
                    </a:xfrm>
                    <a:prstGeom prst="rect">
                      <a:avLst/>
                    </a:prstGeom>
                  </pic:spPr>
                </pic:pic>
              </a:graphicData>
            </a:graphic>
          </wp:inline>
        </w:drawing>
      </w:r>
    </w:p>
    <w:p w14:paraId="7E5881E0" w14:textId="006E8DF8" w:rsidR="008D0D0F" w:rsidRPr="00C94AFC" w:rsidRDefault="008D0D0F" w:rsidP="008D0D0F">
      <w:pPr>
        <w:spacing w:before="100" w:beforeAutospacing="1" w:after="100" w:afterAutospacing="1"/>
        <w:jc w:val="both"/>
        <w:rPr>
          <w:rFonts w:eastAsiaTheme="minorEastAsia"/>
          <w:i/>
          <w:iCs/>
        </w:rPr>
      </w:pPr>
      <w:r w:rsidRPr="00C94AFC">
        <w:rPr>
          <w:rFonts w:eastAsiaTheme="minorEastAsia"/>
          <w:i/>
          <w:iCs/>
        </w:rPr>
        <w:t>Figure 1</w:t>
      </w:r>
      <w:r w:rsidR="2D50AE5A" w:rsidRPr="00C94AFC">
        <w:rPr>
          <w:rFonts w:eastAsiaTheme="minorEastAsia"/>
          <w:i/>
          <w:iCs/>
        </w:rPr>
        <w:t>5</w:t>
      </w:r>
      <w:r w:rsidRPr="00C94AFC">
        <w:rPr>
          <w:rFonts w:eastAsiaTheme="minorEastAsia"/>
          <w:i/>
          <w:iCs/>
        </w:rPr>
        <w:t>.2: EU and national general export authorisations by type of items (Part 2)</w:t>
      </w:r>
    </w:p>
    <w:p w14:paraId="6586A98E" w14:textId="6D40DAB8" w:rsidR="00B14451" w:rsidRPr="00C94AFC" w:rsidRDefault="008D0D0F" w:rsidP="33E1D2A8">
      <w:pPr>
        <w:spacing w:beforeAutospacing="1" w:afterAutospacing="1" w:line="259" w:lineRule="auto"/>
        <w:jc w:val="both"/>
        <w:rPr>
          <w:rFonts w:eastAsiaTheme="minorEastAsia"/>
        </w:rPr>
      </w:pPr>
      <w:r w:rsidRPr="33E1D2A8">
        <w:rPr>
          <w:rFonts w:eastAsiaTheme="minorEastAsia"/>
        </w:rPr>
        <w:lastRenderedPageBreak/>
        <w:t>Of the destinations authorised under EU and national GEAs, the top five were the United States (EUR</w:t>
      </w:r>
      <w:r w:rsidR="00C94AFC" w:rsidRPr="33E1D2A8">
        <w:rPr>
          <w:rFonts w:eastAsiaTheme="minorEastAsia"/>
        </w:rPr>
        <w:t> </w:t>
      </w:r>
      <w:r w:rsidRPr="33E1D2A8">
        <w:rPr>
          <w:rFonts w:eastAsiaTheme="minorEastAsia"/>
        </w:rPr>
        <w:t>5.3 billion, 55% of total), the United Kingdom (EUR</w:t>
      </w:r>
      <w:r w:rsidR="00C94AFC" w:rsidRPr="33E1D2A8">
        <w:rPr>
          <w:rFonts w:eastAsiaTheme="minorEastAsia"/>
        </w:rPr>
        <w:t> </w:t>
      </w:r>
      <w:r w:rsidRPr="33E1D2A8">
        <w:rPr>
          <w:rFonts w:eastAsiaTheme="minorEastAsia"/>
        </w:rPr>
        <w:t>1.5 billion, 16% of total), Norway (EUR</w:t>
      </w:r>
      <w:r w:rsidR="00C94AFC" w:rsidRPr="33E1D2A8">
        <w:rPr>
          <w:rFonts w:eastAsiaTheme="minorEastAsia"/>
        </w:rPr>
        <w:t> </w:t>
      </w:r>
      <w:r w:rsidRPr="33E1D2A8">
        <w:rPr>
          <w:rFonts w:eastAsiaTheme="minorEastAsia"/>
        </w:rPr>
        <w:t>0.6 billion, 6% of total)</w:t>
      </w:r>
      <w:r w:rsidR="1C0E764C" w:rsidRPr="33E1D2A8">
        <w:rPr>
          <w:rFonts w:eastAsiaTheme="minorEastAsia"/>
        </w:rPr>
        <w:t>,</w:t>
      </w:r>
      <w:r w:rsidRPr="33E1D2A8">
        <w:rPr>
          <w:rFonts w:eastAsiaTheme="minorEastAsia"/>
        </w:rPr>
        <w:t xml:space="preserve"> Switzerland (EUR</w:t>
      </w:r>
      <w:r w:rsidR="00C94AFC" w:rsidRPr="33E1D2A8">
        <w:rPr>
          <w:rFonts w:eastAsiaTheme="minorEastAsia"/>
        </w:rPr>
        <w:t> </w:t>
      </w:r>
      <w:r w:rsidRPr="33E1D2A8">
        <w:rPr>
          <w:rFonts w:eastAsiaTheme="minorEastAsia"/>
        </w:rPr>
        <w:t>0.6 billion, 6% of total) and Japan (EUR</w:t>
      </w:r>
      <w:r w:rsidR="00C94AFC" w:rsidRPr="33E1D2A8">
        <w:rPr>
          <w:rFonts w:eastAsiaTheme="minorEastAsia"/>
        </w:rPr>
        <w:t> </w:t>
      </w:r>
      <w:r w:rsidRPr="33E1D2A8">
        <w:rPr>
          <w:rFonts w:eastAsiaTheme="minorEastAsia"/>
        </w:rPr>
        <w:t>0.3 billion, 4% of total). This indicates that the large majority of the dual-use exports covered by GEAs are directed towards countries listed in EU GEA EU001, also reflecting the fact that the value of exports authorised under EU GEAs is much higher than under national GEAs (EUR</w:t>
      </w:r>
      <w:r w:rsidR="00C94AFC" w:rsidRPr="33E1D2A8">
        <w:rPr>
          <w:rFonts w:eastAsiaTheme="minorEastAsia"/>
        </w:rPr>
        <w:t> </w:t>
      </w:r>
      <w:r w:rsidRPr="33E1D2A8">
        <w:rPr>
          <w:rFonts w:eastAsiaTheme="minorEastAsia"/>
        </w:rPr>
        <w:t>9 billion versus EUR</w:t>
      </w:r>
      <w:r w:rsidR="00C94AFC" w:rsidRPr="33E1D2A8">
        <w:rPr>
          <w:rFonts w:eastAsiaTheme="minorEastAsia"/>
        </w:rPr>
        <w:t> </w:t>
      </w:r>
      <w:r w:rsidRPr="33E1D2A8">
        <w:rPr>
          <w:rFonts w:eastAsiaTheme="minorEastAsia"/>
        </w:rPr>
        <w:t xml:space="preserve">1 billion, as per Figure </w:t>
      </w:r>
      <w:r w:rsidR="4DAAB410" w:rsidRPr="33E1D2A8">
        <w:rPr>
          <w:rFonts w:eastAsiaTheme="minorEastAsia"/>
        </w:rPr>
        <w:t>4</w:t>
      </w:r>
      <w:r w:rsidRPr="33E1D2A8">
        <w:rPr>
          <w:rFonts w:eastAsiaTheme="minorEastAsia"/>
        </w:rPr>
        <w:t>).</w:t>
      </w:r>
    </w:p>
    <w:p w14:paraId="38CF79C2" w14:textId="56FAC6EE" w:rsidR="00B14451" w:rsidRDefault="00B14451" w:rsidP="008D0D0F">
      <w:pPr>
        <w:spacing w:before="100" w:beforeAutospacing="1" w:after="100" w:afterAutospacing="1"/>
        <w:jc w:val="both"/>
        <w:rPr>
          <w:rFonts w:eastAsiaTheme="minorEastAsia"/>
          <w:i/>
          <w:iCs/>
        </w:rPr>
      </w:pPr>
    </w:p>
    <w:p w14:paraId="2F3C8ADB" w14:textId="1E8653C7" w:rsidR="008D0D0F" w:rsidRPr="00C94AFC" w:rsidRDefault="00B14451" w:rsidP="008D0D0F">
      <w:pPr>
        <w:spacing w:before="100" w:beforeAutospacing="1" w:after="100" w:afterAutospacing="1"/>
        <w:jc w:val="both"/>
        <w:rPr>
          <w:rFonts w:eastAsiaTheme="minorEastAsia"/>
          <w:i/>
          <w:iCs/>
        </w:rPr>
      </w:pPr>
      <w:r>
        <w:rPr>
          <w:rFonts w:eastAsiaTheme="minorEastAsia"/>
          <w:i/>
          <w:iCs/>
          <w:noProof/>
        </w:rPr>
        <w:drawing>
          <wp:inline distT="0" distB="0" distL="0" distR="0" wp14:anchorId="2248B862" wp14:editId="21981BBC">
            <wp:extent cx="5760720" cy="3964305"/>
            <wp:effectExtent l="0" t="0" r="0" b="0"/>
            <wp:docPr id="3" name="Picture 3"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the world with blue circles&#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3964305"/>
                    </a:xfrm>
                    <a:prstGeom prst="rect">
                      <a:avLst/>
                    </a:prstGeom>
                  </pic:spPr>
                </pic:pic>
              </a:graphicData>
            </a:graphic>
          </wp:inline>
        </w:drawing>
      </w:r>
      <w:r w:rsidR="008D0D0F" w:rsidRPr="00C94AFC">
        <w:rPr>
          <w:rFonts w:eastAsiaTheme="minorEastAsia"/>
          <w:i/>
          <w:iCs/>
        </w:rPr>
        <w:t>Figure 1</w:t>
      </w:r>
      <w:r w:rsidR="338D71CE" w:rsidRPr="00C94AFC">
        <w:rPr>
          <w:rFonts w:eastAsiaTheme="minorEastAsia"/>
          <w:i/>
          <w:iCs/>
        </w:rPr>
        <w:t>6</w:t>
      </w:r>
      <w:r w:rsidR="008D0D0F" w:rsidRPr="00C94AFC">
        <w:rPr>
          <w:rFonts w:eastAsiaTheme="minorEastAsia"/>
          <w:i/>
          <w:iCs/>
        </w:rPr>
        <w:t>: EU and national general export authorisations by destination</w:t>
      </w:r>
    </w:p>
    <w:p w14:paraId="40A7B7BE" w14:textId="0F231C9C" w:rsidR="008D0D0F" w:rsidRPr="00C94AFC" w:rsidRDefault="00290787" w:rsidP="008D0D0F">
      <w:pPr>
        <w:spacing w:before="100" w:beforeAutospacing="1" w:after="100" w:afterAutospacing="1"/>
        <w:jc w:val="both"/>
        <w:rPr>
          <w:rFonts w:eastAsiaTheme="minorEastAsia"/>
        </w:rPr>
      </w:pPr>
      <w:r>
        <w:rPr>
          <w:rFonts w:eastAsiaTheme="minorEastAsia"/>
          <w:noProof/>
        </w:rPr>
        <w:lastRenderedPageBreak/>
        <w:drawing>
          <wp:inline distT="0" distB="0" distL="0" distR="0" wp14:anchorId="34DF4B80" wp14:editId="6DDD0628">
            <wp:extent cx="3247200" cy="7470000"/>
            <wp:effectExtent l="0" t="0" r="0" b="0"/>
            <wp:docPr id="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3247200" cy="7470000"/>
                    </a:xfrm>
                    <a:prstGeom prst="rect">
                      <a:avLst/>
                    </a:prstGeom>
                  </pic:spPr>
                </pic:pic>
              </a:graphicData>
            </a:graphic>
          </wp:inline>
        </w:drawing>
      </w:r>
    </w:p>
    <w:p w14:paraId="7D40D919" w14:textId="4FF92334" w:rsidR="008D0D0F" w:rsidRPr="00C94AFC" w:rsidRDefault="008D0D0F" w:rsidP="008D0D0F">
      <w:pPr>
        <w:spacing w:before="100" w:beforeAutospacing="1" w:after="100" w:afterAutospacing="1"/>
        <w:jc w:val="both"/>
        <w:rPr>
          <w:rFonts w:eastAsiaTheme="minorEastAsia"/>
          <w:i/>
          <w:iCs/>
        </w:rPr>
      </w:pPr>
      <w:r w:rsidRPr="00C94AFC">
        <w:rPr>
          <w:rFonts w:eastAsiaTheme="minorEastAsia"/>
          <w:i/>
          <w:iCs/>
        </w:rPr>
        <w:t>Figure 1</w:t>
      </w:r>
      <w:r w:rsidR="15B9F620" w:rsidRPr="00C94AFC">
        <w:rPr>
          <w:rFonts w:eastAsiaTheme="minorEastAsia"/>
          <w:i/>
          <w:iCs/>
        </w:rPr>
        <w:t>7</w:t>
      </w:r>
      <w:r w:rsidRPr="00C94AFC">
        <w:rPr>
          <w:rFonts w:eastAsiaTheme="minorEastAsia"/>
          <w:i/>
          <w:iCs/>
        </w:rPr>
        <w:t>: EU and national general export authorisations by top destinations</w:t>
      </w:r>
    </w:p>
    <w:p w14:paraId="3BD5958F" w14:textId="77777777" w:rsidR="008D0D0F" w:rsidRPr="00C94AFC" w:rsidRDefault="008D0D0F" w:rsidP="008D0D0F">
      <w:pPr>
        <w:spacing w:before="100" w:beforeAutospacing="1" w:after="100" w:afterAutospacing="1"/>
        <w:jc w:val="both"/>
        <w:rPr>
          <w:rFonts w:eastAsiaTheme="minorEastAsia"/>
          <w:i/>
          <w:iCs/>
        </w:rPr>
      </w:pPr>
    </w:p>
    <w:p w14:paraId="0BD763FF" w14:textId="77777777" w:rsidR="008D0D0F" w:rsidRPr="00C94AFC" w:rsidRDefault="008D0D0F" w:rsidP="008D0D0F">
      <w:pPr>
        <w:spacing w:before="100" w:beforeAutospacing="1" w:after="100" w:afterAutospacing="1"/>
        <w:jc w:val="both"/>
        <w:rPr>
          <w:rFonts w:eastAsiaTheme="minorEastAsia"/>
          <w:i/>
          <w:iCs/>
        </w:rPr>
      </w:pPr>
    </w:p>
    <w:p w14:paraId="6123E754" w14:textId="77777777" w:rsidR="008D0D0F" w:rsidRPr="00C94AFC" w:rsidRDefault="008D0D0F" w:rsidP="008D0D0F">
      <w:pPr>
        <w:spacing w:before="100" w:beforeAutospacing="1" w:after="100" w:afterAutospacing="1"/>
        <w:jc w:val="both"/>
        <w:rPr>
          <w:rFonts w:eastAsiaTheme="minorEastAsia"/>
          <w:i/>
          <w:iCs/>
        </w:rPr>
      </w:pPr>
    </w:p>
    <w:p w14:paraId="4CEB24E3" w14:textId="4C7161D3" w:rsidR="00FD0AB2" w:rsidRPr="00C94AFC" w:rsidRDefault="00FD0AB2" w:rsidP="008D0D0F">
      <w:pPr>
        <w:spacing w:before="100" w:beforeAutospacing="1" w:after="100" w:afterAutospacing="1"/>
        <w:jc w:val="both"/>
        <w:rPr>
          <w:rFonts w:eastAsiaTheme="minorEastAsia"/>
          <w:b/>
          <w:bCs/>
        </w:rPr>
      </w:pPr>
      <w:r w:rsidRPr="00C94AFC">
        <w:rPr>
          <w:rFonts w:eastAsiaTheme="minorEastAsia"/>
          <w:b/>
          <w:bCs/>
        </w:rPr>
        <w:lastRenderedPageBreak/>
        <w:t>4.7</w:t>
      </w:r>
      <w:r w:rsidRPr="00C94AFC">
        <w:rPr>
          <w:rFonts w:eastAsiaTheme="minorEastAsia"/>
          <w:b/>
          <w:bCs/>
        </w:rPr>
        <w:tab/>
        <w:t>Registered users of national and EU general export authorisations</w:t>
      </w:r>
    </w:p>
    <w:p w14:paraId="5EAA0A91" w14:textId="003E81B9" w:rsidR="008D0D0F" w:rsidRPr="00C94AFC" w:rsidRDefault="008D0D0F" w:rsidP="008D0D0F">
      <w:pPr>
        <w:spacing w:before="100" w:beforeAutospacing="1" w:after="100" w:afterAutospacing="1"/>
        <w:jc w:val="both"/>
        <w:rPr>
          <w:rFonts w:eastAsiaTheme="minorEastAsia"/>
        </w:rPr>
      </w:pPr>
      <w:r w:rsidRPr="49F47F3A">
        <w:rPr>
          <w:rFonts w:eastAsiaTheme="minorEastAsia"/>
        </w:rPr>
        <w:t>In order to provide information on exporters’ notifications in accordance with the Regulation</w:t>
      </w:r>
      <w:r w:rsidRPr="49F47F3A">
        <w:rPr>
          <w:rFonts w:eastAsiaTheme="minorEastAsia"/>
          <w:sz w:val="20"/>
          <w:szCs w:val="20"/>
          <w:vertAlign w:val="superscript"/>
        </w:rPr>
        <w:footnoteReference w:id="35"/>
      </w:r>
      <w:r w:rsidR="00C94AFC" w:rsidRPr="49F47F3A">
        <w:rPr>
          <w:rFonts w:eastAsiaTheme="minorEastAsia"/>
        </w:rPr>
        <w:t>,</w:t>
      </w:r>
      <w:r w:rsidRPr="49F47F3A">
        <w:rPr>
          <w:rFonts w:eastAsiaTheme="minorEastAsia"/>
        </w:rPr>
        <w:t xml:space="preserve"> the annual report includes data on the number of exporters that have notified or are registered with the competent authority to use EU or national general export authorisations.</w:t>
      </w:r>
    </w:p>
    <w:p w14:paraId="3C6449FF" w14:textId="0F2E64BE" w:rsidR="008D0D0F" w:rsidRPr="00C94AFC" w:rsidRDefault="008D0D0F" w:rsidP="008D0D0F">
      <w:pPr>
        <w:spacing w:before="100" w:beforeAutospacing="1" w:after="100" w:afterAutospacing="1"/>
        <w:jc w:val="both"/>
        <w:rPr>
          <w:rFonts w:eastAsiaTheme="minorEastAsia"/>
        </w:rPr>
      </w:pPr>
      <w:r w:rsidRPr="00C94AFC">
        <w:rPr>
          <w:rFonts w:eastAsiaTheme="minorEastAsia"/>
        </w:rPr>
        <w:t>In 2024, a total 12</w:t>
      </w:r>
      <w:r w:rsidR="00C94AFC">
        <w:rPr>
          <w:rFonts w:eastAsiaTheme="minorEastAsia"/>
        </w:rPr>
        <w:t> </w:t>
      </w:r>
      <w:r w:rsidRPr="00C94AFC">
        <w:rPr>
          <w:rFonts w:eastAsiaTheme="minorEastAsia"/>
        </w:rPr>
        <w:t>093 exporters were using EU general export authorisations, of which 50% of them were using EU001, and 37% of exporters were using national general export authorisations. With respect to first-use notifications or registrations in 2024, the figures were 1</w:t>
      </w:r>
      <w:r w:rsidR="00C94AFC">
        <w:rPr>
          <w:rFonts w:eastAsiaTheme="minorEastAsia"/>
        </w:rPr>
        <w:t> </w:t>
      </w:r>
      <w:r w:rsidRPr="00C94AFC">
        <w:rPr>
          <w:rFonts w:eastAsiaTheme="minorEastAsia"/>
        </w:rPr>
        <w:t>044 for EU GEAs (45% for EU001) and 644 for national GEAs.</w:t>
      </w:r>
    </w:p>
    <w:p w14:paraId="6E7795FF" w14:textId="3EB731E3" w:rsidR="008D0D0F" w:rsidRPr="00C94AFC" w:rsidRDefault="00106D79" w:rsidP="6E3DF1AC">
      <w:pPr>
        <w:spacing w:before="100" w:beforeAutospacing="1" w:after="100" w:afterAutospacing="1"/>
        <w:jc w:val="both"/>
        <w:rPr>
          <w:rFonts w:eastAsiaTheme="minorEastAsia"/>
        </w:rPr>
      </w:pPr>
      <w:r>
        <w:rPr>
          <w:noProof/>
        </w:rPr>
        <w:drawing>
          <wp:inline distT="0" distB="0" distL="0" distR="0" wp14:anchorId="6FD9C37B" wp14:editId="3A28806C">
            <wp:extent cx="5760720" cy="3342170"/>
            <wp:effectExtent l="0" t="0" r="0" b="0"/>
            <wp:docPr id="48444968"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44968" name="drawing" descr="A screenshot of a computer&#10;&#10;AI-generated content may be incorrect."/>
                    <pic:cNvPicPr/>
                  </pic:nvPicPr>
                  <pic:blipFill>
                    <a:blip r:embed="rId38">
                      <a:extLst>
                        <a:ext uri="{28A0092B-C50C-407E-A947-70E740481C1C}">
                          <a14:useLocalDpi xmlns:a14="http://schemas.microsoft.com/office/drawing/2010/main"/>
                        </a:ext>
                      </a:extLst>
                    </a:blip>
                    <a:stretch>
                      <a:fillRect/>
                    </a:stretch>
                  </pic:blipFill>
                  <pic:spPr>
                    <a:xfrm>
                      <a:off x="0" y="0"/>
                      <a:ext cx="5760720" cy="3342170"/>
                    </a:xfrm>
                    <a:prstGeom prst="rect">
                      <a:avLst/>
                    </a:prstGeom>
                  </pic:spPr>
                </pic:pic>
              </a:graphicData>
            </a:graphic>
          </wp:inline>
        </w:drawing>
      </w:r>
    </w:p>
    <w:p w14:paraId="7CC25A15" w14:textId="06AE7F6C" w:rsidR="008D0D0F" w:rsidRPr="00C94AFC" w:rsidRDefault="008D0D0F" w:rsidP="008D0D0F">
      <w:pPr>
        <w:spacing w:before="100" w:beforeAutospacing="1" w:after="100" w:afterAutospacing="1"/>
        <w:jc w:val="both"/>
        <w:rPr>
          <w:rFonts w:eastAsiaTheme="minorEastAsia"/>
          <w:i/>
          <w:iCs/>
        </w:rPr>
      </w:pPr>
      <w:r w:rsidRPr="6E3DF1AC">
        <w:rPr>
          <w:rFonts w:eastAsiaTheme="minorEastAsia"/>
          <w:i/>
          <w:iCs/>
        </w:rPr>
        <w:t>Figure 1</w:t>
      </w:r>
      <w:r w:rsidR="4BDF45B7" w:rsidRPr="6E3DF1AC">
        <w:rPr>
          <w:rFonts w:eastAsiaTheme="minorEastAsia"/>
          <w:i/>
          <w:iCs/>
        </w:rPr>
        <w:t>8</w:t>
      </w:r>
      <w:r w:rsidRPr="6E3DF1AC">
        <w:rPr>
          <w:rFonts w:eastAsiaTheme="minorEastAsia"/>
          <w:i/>
          <w:iCs/>
        </w:rPr>
        <w:t>: Exporters registered or notified to use EU and national general export authorisations</w:t>
      </w:r>
    </w:p>
    <w:p w14:paraId="4706E0F9" w14:textId="77777777" w:rsidR="008D0D0F" w:rsidRPr="00C94AFC" w:rsidRDefault="008D0D0F" w:rsidP="008D0D0F">
      <w:pPr>
        <w:spacing w:after="120" w:line="264" w:lineRule="auto"/>
        <w:rPr>
          <w:rFonts w:eastAsiaTheme="minorEastAsia"/>
          <w:b/>
          <w:bCs/>
          <w:lang w:eastAsia="en-GB"/>
        </w:rPr>
      </w:pPr>
    </w:p>
    <w:p w14:paraId="6DF18858" w14:textId="10F15490" w:rsidR="008D0D0F" w:rsidRPr="00C94AFC" w:rsidRDefault="008D0D0F" w:rsidP="00FD0AB2">
      <w:pPr>
        <w:pStyle w:val="TOC1"/>
        <w:rPr>
          <w:lang w:val="en-GB"/>
        </w:rPr>
      </w:pPr>
      <w:bookmarkStart w:id="20" w:name="DataonDualUse"/>
      <w:r w:rsidRPr="00C94AFC">
        <w:rPr>
          <w:lang w:val="en-GB"/>
        </w:rPr>
        <w:t>Data on dual-use items classified as cyber-surveillance items according to Article</w:t>
      </w:r>
      <w:r w:rsidR="00C94AFC">
        <w:rPr>
          <w:lang w:val="en-GB"/>
        </w:rPr>
        <w:t> </w:t>
      </w:r>
      <w:r w:rsidRPr="00C94AFC">
        <w:rPr>
          <w:lang w:val="en-GB"/>
        </w:rPr>
        <w:t>2 (20) of the Regulation</w:t>
      </w:r>
    </w:p>
    <w:bookmarkEnd w:id="20"/>
    <w:p w14:paraId="66089AA4" w14:textId="63CFD649" w:rsidR="008D0D0F" w:rsidRPr="00C94AFC" w:rsidRDefault="008D0D0F" w:rsidP="4CB79B8F">
      <w:pPr>
        <w:spacing w:before="100" w:beforeAutospacing="1" w:after="100" w:afterAutospacing="1"/>
        <w:jc w:val="both"/>
        <w:rPr>
          <w:rFonts w:eastAsiaTheme="minorEastAsia"/>
        </w:rPr>
      </w:pPr>
      <w:r w:rsidRPr="49F47F3A">
        <w:rPr>
          <w:rFonts w:eastAsiaTheme="minorEastAsia"/>
        </w:rPr>
        <w:t>In 2024, Member States received a total of 320 applications (Figure 1</w:t>
      </w:r>
      <w:r w:rsidR="4ED81BD2" w:rsidRPr="49F47F3A">
        <w:rPr>
          <w:rFonts w:eastAsiaTheme="minorEastAsia"/>
        </w:rPr>
        <w:t>9</w:t>
      </w:r>
      <w:r w:rsidRPr="49F47F3A">
        <w:rPr>
          <w:rFonts w:eastAsiaTheme="minorEastAsia"/>
        </w:rPr>
        <w:t xml:space="preserve">) for the export of cyber-surveillance items, mostly in relation to telecommunications interception systems (233 applications), followed by communication monitoring software (46 applications) and intrusion software (18 applications). Figures </w:t>
      </w:r>
      <w:r w:rsidR="190A4077" w:rsidRPr="49F47F3A">
        <w:rPr>
          <w:rFonts w:eastAsiaTheme="minorEastAsia"/>
        </w:rPr>
        <w:t>20</w:t>
      </w:r>
      <w:r w:rsidRPr="49F47F3A">
        <w:rPr>
          <w:rFonts w:eastAsiaTheme="minorEastAsia"/>
        </w:rPr>
        <w:t xml:space="preserve">.1 and </w:t>
      </w:r>
      <w:r w:rsidR="2FC24CFB" w:rsidRPr="49F47F3A">
        <w:rPr>
          <w:rFonts w:eastAsiaTheme="minorEastAsia"/>
        </w:rPr>
        <w:t>20</w:t>
      </w:r>
      <w:r w:rsidRPr="49F47F3A">
        <w:rPr>
          <w:rFonts w:eastAsiaTheme="minorEastAsia"/>
        </w:rPr>
        <w:t xml:space="preserve">.2 show the 71 destinations of applications for the export of cyber-surveillance items. In 2024, 293 authorisations were issued and 13 denied. </w:t>
      </w:r>
      <w:r w:rsidRPr="49F47F3A">
        <w:rPr>
          <w:rFonts w:eastAsiaTheme="minorEastAsia"/>
        </w:rPr>
        <w:lastRenderedPageBreak/>
        <w:t xml:space="preserve">This shows a rather stable number of licences for cyber-surveillance items (330 licences issued in 2023), </w:t>
      </w:r>
      <w:r w:rsidR="008A6523" w:rsidRPr="49F47F3A">
        <w:rPr>
          <w:rFonts w:eastAsiaTheme="minorEastAsia"/>
        </w:rPr>
        <w:t xml:space="preserve">signalling an end to </w:t>
      </w:r>
      <w:r w:rsidRPr="49F47F3A">
        <w:rPr>
          <w:rFonts w:eastAsiaTheme="minorEastAsia"/>
        </w:rPr>
        <w:t xml:space="preserve">the </w:t>
      </w:r>
      <w:r w:rsidR="008A6523" w:rsidRPr="49F47F3A">
        <w:rPr>
          <w:rFonts w:eastAsiaTheme="minorEastAsia"/>
        </w:rPr>
        <w:t xml:space="preserve">upward </w:t>
      </w:r>
      <w:r w:rsidRPr="49F47F3A">
        <w:rPr>
          <w:rFonts w:eastAsiaTheme="minorEastAsia"/>
        </w:rPr>
        <w:t>trend observed since 2020. The number of denials for the export of cyber-surveillance items</w:t>
      </w:r>
      <w:r w:rsidRPr="49F47F3A">
        <w:rPr>
          <w:rFonts w:eastAsiaTheme="minorEastAsia"/>
          <w:sz w:val="20"/>
          <w:szCs w:val="20"/>
          <w:vertAlign w:val="superscript"/>
        </w:rPr>
        <w:footnoteReference w:id="36"/>
      </w:r>
      <w:r w:rsidRPr="49F47F3A">
        <w:rPr>
          <w:rFonts w:eastAsiaTheme="minorEastAsia"/>
        </w:rPr>
        <w:t xml:space="preserve"> appeared to be decreasing (20 denials in 2023).</w:t>
      </w:r>
    </w:p>
    <w:p w14:paraId="73217D63" w14:textId="79DD3B62" w:rsidR="008D0D0F" w:rsidRPr="00C94AFC" w:rsidRDefault="00106D79" w:rsidP="008D0D0F">
      <w:pPr>
        <w:spacing w:before="100" w:beforeAutospacing="1" w:after="100" w:afterAutospacing="1"/>
        <w:jc w:val="both"/>
        <w:rPr>
          <w:rFonts w:eastAsiaTheme="minorEastAsia"/>
        </w:rPr>
      </w:pPr>
      <w:r>
        <w:rPr>
          <w:noProof/>
        </w:rPr>
        <w:drawing>
          <wp:inline distT="0" distB="0" distL="0" distR="0" wp14:anchorId="60215579" wp14:editId="5A7EA5D2">
            <wp:extent cx="5760720" cy="2437594"/>
            <wp:effectExtent l="0" t="0" r="0" b="1270"/>
            <wp:docPr id="681121763"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121763" name="drawing" descr="A screenshot of a computer&#10;&#10;AI-generated content may be incorrect."/>
                    <pic:cNvPicPr/>
                  </pic:nvPicPr>
                  <pic:blipFill>
                    <a:blip r:embed="rId39">
                      <a:extLst>
                        <a:ext uri="{28A0092B-C50C-407E-A947-70E740481C1C}">
                          <a14:useLocalDpi xmlns:a14="http://schemas.microsoft.com/office/drawing/2010/main"/>
                        </a:ext>
                      </a:extLst>
                    </a:blip>
                    <a:stretch>
                      <a:fillRect/>
                    </a:stretch>
                  </pic:blipFill>
                  <pic:spPr>
                    <a:xfrm>
                      <a:off x="0" y="0"/>
                      <a:ext cx="5760720" cy="2437594"/>
                    </a:xfrm>
                    <a:prstGeom prst="rect">
                      <a:avLst/>
                    </a:prstGeom>
                  </pic:spPr>
                </pic:pic>
              </a:graphicData>
            </a:graphic>
          </wp:inline>
        </w:drawing>
      </w:r>
    </w:p>
    <w:p w14:paraId="66D429D0" w14:textId="5A6F3C3B" w:rsidR="008D0D0F" w:rsidRPr="00C94AFC" w:rsidRDefault="008D0D0F" w:rsidP="008D0D0F">
      <w:pPr>
        <w:spacing w:before="100" w:beforeAutospacing="1" w:after="100" w:afterAutospacing="1"/>
        <w:jc w:val="both"/>
        <w:rPr>
          <w:rFonts w:eastAsiaTheme="minorEastAsia"/>
          <w:i/>
          <w:iCs/>
        </w:rPr>
      </w:pPr>
      <w:r w:rsidRPr="49F47F3A">
        <w:rPr>
          <w:rFonts w:eastAsiaTheme="minorEastAsia"/>
          <w:i/>
          <w:iCs/>
        </w:rPr>
        <w:t>Figure 1</w:t>
      </w:r>
      <w:r w:rsidR="74391DDD" w:rsidRPr="49F47F3A">
        <w:rPr>
          <w:rFonts w:eastAsiaTheme="minorEastAsia"/>
          <w:i/>
          <w:iCs/>
        </w:rPr>
        <w:t>9</w:t>
      </w:r>
      <w:r w:rsidRPr="49F47F3A">
        <w:rPr>
          <w:rFonts w:eastAsiaTheme="minorEastAsia"/>
          <w:i/>
          <w:iCs/>
        </w:rPr>
        <w:t>: Applications for the exports of cyber-surveillance items</w:t>
      </w:r>
      <w:r w:rsidRPr="49F47F3A">
        <w:rPr>
          <w:rFonts w:eastAsiaTheme="minorEastAsia"/>
          <w:sz w:val="20"/>
          <w:szCs w:val="20"/>
          <w:vertAlign w:val="superscript"/>
        </w:rPr>
        <w:footnoteReference w:id="37"/>
      </w:r>
    </w:p>
    <w:p w14:paraId="7454EB4C" w14:textId="55944384" w:rsidR="008D0D0F" w:rsidRDefault="008D0D0F" w:rsidP="008D0D0F">
      <w:pPr>
        <w:spacing w:before="100" w:beforeAutospacing="1" w:after="100" w:afterAutospacing="1"/>
        <w:jc w:val="both"/>
        <w:rPr>
          <w:rFonts w:eastAsiaTheme="minorEastAsia"/>
        </w:rPr>
      </w:pPr>
    </w:p>
    <w:p w14:paraId="37ADF2ED" w14:textId="679E1446" w:rsidR="00B14451" w:rsidRPr="00C94AFC" w:rsidRDefault="00B14451" w:rsidP="008D0D0F">
      <w:pPr>
        <w:spacing w:before="100" w:beforeAutospacing="1" w:after="100" w:afterAutospacing="1"/>
        <w:jc w:val="both"/>
        <w:rPr>
          <w:rFonts w:eastAsiaTheme="minorEastAsia"/>
        </w:rPr>
      </w:pPr>
      <w:r>
        <w:rPr>
          <w:rFonts w:eastAsiaTheme="minorEastAsia"/>
          <w:noProof/>
        </w:rPr>
        <w:drawing>
          <wp:inline distT="0" distB="0" distL="0" distR="0" wp14:anchorId="367CA90E" wp14:editId="69BDD8BF">
            <wp:extent cx="5334052" cy="3870998"/>
            <wp:effectExtent l="0" t="0" r="0" b="0"/>
            <wp:docPr id="4" name="Picture 4"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map of the world&#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34052" cy="3870998"/>
                    </a:xfrm>
                    <a:prstGeom prst="rect">
                      <a:avLst/>
                    </a:prstGeom>
                  </pic:spPr>
                </pic:pic>
              </a:graphicData>
            </a:graphic>
          </wp:inline>
        </w:drawing>
      </w:r>
    </w:p>
    <w:p w14:paraId="78D3C189" w14:textId="786690AD" w:rsidR="008D0D0F" w:rsidRPr="00C94AFC" w:rsidRDefault="008D0D0F" w:rsidP="008D0D0F">
      <w:pPr>
        <w:spacing w:before="100" w:beforeAutospacing="1" w:after="100" w:afterAutospacing="1"/>
        <w:jc w:val="both"/>
        <w:rPr>
          <w:rFonts w:eastAsiaTheme="minorEastAsia"/>
          <w:i/>
          <w:iCs/>
        </w:rPr>
      </w:pPr>
      <w:r w:rsidRPr="00C94AFC">
        <w:rPr>
          <w:rFonts w:eastAsiaTheme="minorEastAsia"/>
          <w:i/>
          <w:iCs/>
        </w:rPr>
        <w:lastRenderedPageBreak/>
        <w:t xml:space="preserve">Figure </w:t>
      </w:r>
      <w:r w:rsidR="5D09A64E" w:rsidRPr="00C94AFC">
        <w:rPr>
          <w:rFonts w:eastAsiaTheme="minorEastAsia"/>
          <w:i/>
          <w:iCs/>
        </w:rPr>
        <w:t>20</w:t>
      </w:r>
      <w:r w:rsidRPr="00C94AFC">
        <w:rPr>
          <w:rFonts w:eastAsiaTheme="minorEastAsia"/>
          <w:i/>
          <w:iCs/>
        </w:rPr>
        <w:t>.1: Applications for the exports of cyber-surveillance items by destination</w:t>
      </w:r>
    </w:p>
    <w:p w14:paraId="6EB49995" w14:textId="77777777" w:rsidR="008D0D0F" w:rsidRPr="00C94AFC" w:rsidRDefault="008D0D0F" w:rsidP="008D0D0F">
      <w:pPr>
        <w:spacing w:before="100" w:beforeAutospacing="1" w:after="100" w:afterAutospacing="1"/>
        <w:jc w:val="both"/>
        <w:rPr>
          <w:rFonts w:eastAsiaTheme="minorEastAsia"/>
        </w:rPr>
      </w:pPr>
      <w:r w:rsidRPr="00C94AFC">
        <w:rPr>
          <w:rFonts w:eastAsiaTheme="minorEastAsia"/>
          <w:noProof/>
        </w:rPr>
        <w:drawing>
          <wp:inline distT="0" distB="0" distL="0" distR="0" wp14:anchorId="607BB505" wp14:editId="06CC5B65">
            <wp:extent cx="3564000" cy="5184000"/>
            <wp:effectExtent l="0" t="0" r="0" b="0"/>
            <wp:docPr id="50" name="Picture 50"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screenshot of a computer screen&#10;&#10;AI-generated content may be incorrect."/>
                    <pic:cNvPicPr/>
                  </pic:nvPicPr>
                  <pic:blipFill>
                    <a:blip r:embed="rId41">
                      <a:extLst>
                        <a:ext uri="{28A0092B-C50C-407E-A947-70E740481C1C}">
                          <a14:useLocalDpi xmlns:a14="http://schemas.microsoft.com/office/drawing/2010/main" val="0"/>
                        </a:ext>
                      </a:extLst>
                    </a:blip>
                    <a:stretch>
                      <a:fillRect/>
                    </a:stretch>
                  </pic:blipFill>
                  <pic:spPr>
                    <a:xfrm>
                      <a:off x="0" y="0"/>
                      <a:ext cx="3564000" cy="5184000"/>
                    </a:xfrm>
                    <a:prstGeom prst="rect">
                      <a:avLst/>
                    </a:prstGeom>
                  </pic:spPr>
                </pic:pic>
              </a:graphicData>
            </a:graphic>
          </wp:inline>
        </w:drawing>
      </w:r>
    </w:p>
    <w:p w14:paraId="2174C9DD" w14:textId="11C9369C" w:rsidR="008D0D0F" w:rsidRPr="00C94AFC" w:rsidRDefault="008D0D0F" w:rsidP="008D0D0F">
      <w:pPr>
        <w:spacing w:before="100" w:beforeAutospacing="1" w:after="100" w:afterAutospacing="1"/>
        <w:jc w:val="both"/>
        <w:rPr>
          <w:rFonts w:eastAsiaTheme="minorEastAsia"/>
          <w:i/>
          <w:iCs/>
        </w:rPr>
      </w:pPr>
      <w:r w:rsidRPr="00C94AFC">
        <w:rPr>
          <w:rFonts w:eastAsiaTheme="minorEastAsia"/>
          <w:i/>
          <w:iCs/>
        </w:rPr>
        <w:t xml:space="preserve">Figure </w:t>
      </w:r>
      <w:r w:rsidR="382B17BC" w:rsidRPr="00C94AFC">
        <w:rPr>
          <w:rFonts w:eastAsiaTheme="minorEastAsia"/>
          <w:i/>
          <w:iCs/>
        </w:rPr>
        <w:t>20</w:t>
      </w:r>
      <w:r w:rsidRPr="00C94AFC">
        <w:rPr>
          <w:rFonts w:eastAsiaTheme="minorEastAsia"/>
          <w:i/>
          <w:iCs/>
        </w:rPr>
        <w:t>.2: Applications for the exports of cyber-surveillance items by destination</w:t>
      </w:r>
    </w:p>
    <w:p w14:paraId="1870E9F2" w14:textId="50764D73" w:rsidR="008D0D0F" w:rsidRPr="00C94AFC" w:rsidRDefault="008D0D0F" w:rsidP="00FD0AB2">
      <w:pPr>
        <w:pStyle w:val="TOC1"/>
        <w:rPr>
          <w:lang w:val="en-GB"/>
        </w:rPr>
      </w:pPr>
      <w:bookmarkStart w:id="21" w:name="InfoonAdminandEnforcement"/>
      <w:r w:rsidRPr="00C94AFC">
        <w:rPr>
          <w:lang w:val="en-GB"/>
        </w:rPr>
        <w:t>Information on administration and enforcement</w:t>
      </w:r>
    </w:p>
    <w:bookmarkEnd w:id="21"/>
    <w:p w14:paraId="3ECBA768" w14:textId="77777777" w:rsidR="008D0D0F" w:rsidRPr="00C94AFC" w:rsidRDefault="008D0D0F" w:rsidP="008D0D0F">
      <w:pPr>
        <w:spacing w:before="100" w:beforeAutospacing="1" w:after="100" w:afterAutospacing="1" w:line="264" w:lineRule="auto"/>
        <w:jc w:val="both"/>
        <w:rPr>
          <w:rFonts w:eastAsiaTheme="minorEastAsia"/>
        </w:rPr>
      </w:pPr>
      <w:r w:rsidRPr="00C94AFC">
        <w:rPr>
          <w:rFonts w:eastAsiaTheme="minorEastAsia"/>
        </w:rPr>
        <w:t>Member States communicated the following information on the administration and enforcement of the Regulation in 2024:</w:t>
      </w:r>
    </w:p>
    <w:p w14:paraId="25E206FE" w14:textId="2E20F09E" w:rsidR="008D0D0F" w:rsidRPr="00C94AFC" w:rsidRDefault="008D0D0F" w:rsidP="008D0D0F">
      <w:pPr>
        <w:numPr>
          <w:ilvl w:val="0"/>
          <w:numId w:val="22"/>
        </w:numPr>
        <w:spacing w:after="240" w:line="264" w:lineRule="auto"/>
        <w:jc w:val="both"/>
        <w:rPr>
          <w:rFonts w:eastAsiaTheme="minorEastAsia"/>
        </w:rPr>
      </w:pPr>
      <w:r w:rsidRPr="00C94AFC">
        <w:rPr>
          <w:rFonts w:eastAsiaTheme="minorEastAsia"/>
        </w:rPr>
        <w:t>number of staff (full-time equivalent) directly involved in the administration of controls in the EU: 415;</w:t>
      </w:r>
    </w:p>
    <w:p w14:paraId="6B32F951" w14:textId="79A5B108" w:rsidR="008D0D0F" w:rsidRPr="00C94AFC" w:rsidRDefault="008D0D0F" w:rsidP="008D0D0F">
      <w:pPr>
        <w:numPr>
          <w:ilvl w:val="0"/>
          <w:numId w:val="22"/>
        </w:numPr>
        <w:spacing w:after="240" w:line="264" w:lineRule="auto"/>
        <w:ind w:left="714" w:hanging="357"/>
        <w:jc w:val="both"/>
        <w:rPr>
          <w:rFonts w:eastAsiaTheme="minorEastAsia"/>
        </w:rPr>
      </w:pPr>
      <w:r w:rsidRPr="00C94AFC">
        <w:rPr>
          <w:rFonts w:eastAsiaTheme="minorEastAsia"/>
        </w:rPr>
        <w:t>number of outreach events organised in the reference year: 154;</w:t>
      </w:r>
    </w:p>
    <w:p w14:paraId="1D93775D" w14:textId="375C91E0" w:rsidR="008D0D0F" w:rsidRPr="00C94AFC" w:rsidRDefault="008D0D0F" w:rsidP="008D0D0F">
      <w:pPr>
        <w:numPr>
          <w:ilvl w:val="0"/>
          <w:numId w:val="22"/>
        </w:numPr>
        <w:spacing w:after="240" w:line="264" w:lineRule="auto"/>
        <w:ind w:left="714" w:hanging="357"/>
        <w:jc w:val="both"/>
        <w:rPr>
          <w:rFonts w:eastAsiaTheme="minorEastAsia"/>
        </w:rPr>
      </w:pPr>
      <w:r w:rsidRPr="00C94AFC">
        <w:rPr>
          <w:rFonts w:eastAsiaTheme="minorEastAsia"/>
        </w:rPr>
        <w:t>number of compliance audits conducted in the year, including those conducted by customs or other agencies: 1</w:t>
      </w:r>
      <w:r w:rsidR="00C94AFC">
        <w:rPr>
          <w:rFonts w:eastAsiaTheme="minorEastAsia"/>
        </w:rPr>
        <w:t> </w:t>
      </w:r>
      <w:r w:rsidRPr="00C94AFC">
        <w:rPr>
          <w:rFonts w:eastAsiaTheme="minorEastAsia"/>
        </w:rPr>
        <w:t>353;</w:t>
      </w:r>
    </w:p>
    <w:p w14:paraId="3D56E3A8" w14:textId="42B450EC" w:rsidR="008D0D0F" w:rsidRPr="00C94AFC" w:rsidRDefault="008D0D0F" w:rsidP="008D0D0F">
      <w:pPr>
        <w:numPr>
          <w:ilvl w:val="0"/>
          <w:numId w:val="22"/>
        </w:numPr>
        <w:spacing w:after="240" w:line="264" w:lineRule="auto"/>
        <w:ind w:left="714" w:hanging="357"/>
        <w:jc w:val="both"/>
        <w:rPr>
          <w:rFonts w:eastAsiaTheme="minorEastAsia"/>
        </w:rPr>
      </w:pPr>
      <w:r w:rsidRPr="00C94AFC">
        <w:rPr>
          <w:rFonts w:eastAsiaTheme="minorEastAsia"/>
        </w:rPr>
        <w:t>number of infringements reported: 270;</w:t>
      </w:r>
    </w:p>
    <w:p w14:paraId="496878B3" w14:textId="755512AB" w:rsidR="008D0D0F" w:rsidRPr="00C94AFC" w:rsidRDefault="008D0D0F" w:rsidP="008D0D0F">
      <w:pPr>
        <w:numPr>
          <w:ilvl w:val="0"/>
          <w:numId w:val="22"/>
        </w:numPr>
        <w:spacing w:after="240" w:line="264" w:lineRule="auto"/>
        <w:jc w:val="both"/>
        <w:rPr>
          <w:rFonts w:eastAsiaTheme="minorEastAsia"/>
        </w:rPr>
      </w:pPr>
      <w:r w:rsidRPr="00C94AFC">
        <w:rPr>
          <w:rFonts w:eastAsiaTheme="minorEastAsia"/>
        </w:rPr>
        <w:lastRenderedPageBreak/>
        <w:t>number of administrative and criminal penalties or fines imposed (by any relevant national enforcement agency) in case of infringement of export control regulations: 144; and</w:t>
      </w:r>
    </w:p>
    <w:p w14:paraId="47EB4E9B" w14:textId="77777777" w:rsidR="008D0D0F" w:rsidRPr="00C94AFC" w:rsidRDefault="008D0D0F" w:rsidP="008D0D0F">
      <w:pPr>
        <w:numPr>
          <w:ilvl w:val="0"/>
          <w:numId w:val="22"/>
        </w:numPr>
        <w:spacing w:after="240" w:line="264" w:lineRule="auto"/>
        <w:ind w:left="714" w:hanging="357"/>
        <w:jc w:val="both"/>
        <w:rPr>
          <w:rFonts w:eastAsiaTheme="minorEastAsia"/>
        </w:rPr>
      </w:pPr>
      <w:r w:rsidRPr="00C94AFC">
        <w:rPr>
          <w:rFonts w:eastAsiaTheme="minorEastAsia"/>
        </w:rPr>
        <w:t>use of export control tools:</w:t>
      </w:r>
    </w:p>
    <w:p w14:paraId="29337982" w14:textId="5BBA1139" w:rsidR="008D0D0F" w:rsidRPr="00C94AFC" w:rsidRDefault="008D0D0F" w:rsidP="008D0D0F">
      <w:pPr>
        <w:numPr>
          <w:ilvl w:val="0"/>
          <w:numId w:val="23"/>
        </w:numPr>
        <w:spacing w:after="240" w:line="264" w:lineRule="auto"/>
        <w:jc w:val="both"/>
        <w:rPr>
          <w:rFonts w:eastAsiaTheme="minorEastAsia"/>
        </w:rPr>
      </w:pPr>
      <w:r w:rsidRPr="49F47F3A">
        <w:rPr>
          <w:rFonts w:eastAsiaTheme="minorEastAsia"/>
        </w:rPr>
        <w:t>Member States using the e-licensing system</w:t>
      </w:r>
      <w:r w:rsidRPr="49F47F3A">
        <w:rPr>
          <w:rFonts w:eastAsiaTheme="minorEastAsia"/>
          <w:vertAlign w:val="superscript"/>
        </w:rPr>
        <w:footnoteReference w:id="38"/>
      </w:r>
      <w:r w:rsidR="00C94AFC" w:rsidRPr="49F47F3A">
        <w:rPr>
          <w:rFonts w:eastAsiaTheme="minorEastAsia"/>
        </w:rPr>
        <w:t>:</w:t>
      </w:r>
      <w:r w:rsidRPr="49F47F3A">
        <w:rPr>
          <w:rFonts w:eastAsiaTheme="minorEastAsia"/>
        </w:rPr>
        <w:t xml:space="preserve"> 19;</w:t>
      </w:r>
    </w:p>
    <w:p w14:paraId="36C94AF7" w14:textId="0C338F27" w:rsidR="008D0D0F" w:rsidRPr="00C94AFC" w:rsidRDefault="008D0D0F" w:rsidP="008D0D0F">
      <w:pPr>
        <w:numPr>
          <w:ilvl w:val="0"/>
          <w:numId w:val="23"/>
        </w:numPr>
        <w:spacing w:after="240" w:line="264" w:lineRule="auto"/>
        <w:jc w:val="both"/>
        <w:rPr>
          <w:rFonts w:eastAsiaTheme="minorEastAsia"/>
        </w:rPr>
      </w:pPr>
      <w:r w:rsidRPr="49F47F3A">
        <w:rPr>
          <w:rFonts w:eastAsiaTheme="minorEastAsia"/>
        </w:rPr>
        <w:t>Member States using classification tools</w:t>
      </w:r>
      <w:r w:rsidRPr="49F47F3A">
        <w:rPr>
          <w:rFonts w:eastAsiaTheme="minorEastAsia"/>
          <w:vertAlign w:val="superscript"/>
        </w:rPr>
        <w:footnoteReference w:id="39"/>
      </w:r>
      <w:r w:rsidR="00C94AFC" w:rsidRPr="49F47F3A">
        <w:rPr>
          <w:rFonts w:eastAsiaTheme="minorEastAsia"/>
        </w:rPr>
        <w:t>:</w:t>
      </w:r>
      <w:r w:rsidRPr="49F47F3A">
        <w:rPr>
          <w:rFonts w:eastAsiaTheme="minorEastAsia"/>
        </w:rPr>
        <w:t xml:space="preserve"> 4; and</w:t>
      </w:r>
    </w:p>
    <w:p w14:paraId="6AA471BC" w14:textId="44DB9D5B" w:rsidR="00B930EF" w:rsidRPr="00C94AFC" w:rsidRDefault="008D0D0F" w:rsidP="000B0C95">
      <w:pPr>
        <w:numPr>
          <w:ilvl w:val="0"/>
          <w:numId w:val="23"/>
        </w:numPr>
        <w:spacing w:after="240" w:line="264" w:lineRule="auto"/>
        <w:jc w:val="both"/>
        <w:rPr>
          <w:rFonts w:eastAsiaTheme="minorEastAsia"/>
        </w:rPr>
      </w:pPr>
      <w:r w:rsidRPr="00C94AFC">
        <w:rPr>
          <w:rFonts w:eastAsiaTheme="minorEastAsia"/>
        </w:rPr>
        <w:t>Member States using other tools or software to support the application of controls:</w:t>
      </w:r>
      <w:r w:rsidR="00EF6D08">
        <w:rPr>
          <w:rFonts w:eastAsiaTheme="minorEastAsia"/>
        </w:rPr>
        <w:t> </w:t>
      </w:r>
      <w:r w:rsidRPr="00C94AFC">
        <w:rPr>
          <w:rFonts w:eastAsiaTheme="minorEastAsia"/>
        </w:rPr>
        <w:t>9.</w:t>
      </w:r>
    </w:p>
    <w:sectPr w:rsidR="00B930EF" w:rsidRPr="00C94AFC" w:rsidSect="003D4750">
      <w:headerReference w:type="even" r:id="rId42"/>
      <w:headerReference w:type="default" r:id="rId43"/>
      <w:footerReference w:type="even" r:id="rId44"/>
      <w:footerReference w:type="default" r:id="rId45"/>
      <w:headerReference w:type="first" r:id="rId46"/>
      <w:footerReference w:type="first" r:id="rId47"/>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E5C64" w14:textId="77777777" w:rsidR="00B23E33" w:rsidRPr="00C94AFC" w:rsidRDefault="00B23E33" w:rsidP="00AA655D">
      <w:r w:rsidRPr="00C94AFC">
        <w:separator/>
      </w:r>
    </w:p>
  </w:endnote>
  <w:endnote w:type="continuationSeparator" w:id="0">
    <w:p w14:paraId="5B2D16E6" w14:textId="77777777" w:rsidR="00B23E33" w:rsidRPr="00C94AFC" w:rsidRDefault="00B23E33" w:rsidP="00AA655D">
      <w:r w:rsidRPr="00C94AFC">
        <w:continuationSeparator/>
      </w:r>
    </w:p>
  </w:endnote>
  <w:endnote w:type="continuationNotice" w:id="1">
    <w:p w14:paraId="4C72164B" w14:textId="77777777" w:rsidR="00B23E33" w:rsidRPr="00C94AFC" w:rsidRDefault="00B23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34FA" w14:textId="60609606" w:rsidR="006C064B" w:rsidRPr="00DB0D0B" w:rsidRDefault="00DB0D0B" w:rsidP="00DB0D0B">
    <w:pPr>
      <w:pStyle w:val="FooterCoverPage"/>
      <w:rPr>
        <w:rFonts w:ascii="Arial" w:hAnsi="Arial" w:cs="Arial"/>
        <w:b/>
        <w:sz w:val="48"/>
      </w:rPr>
    </w:pPr>
    <w:r w:rsidRPr="00DB0D0B">
      <w:rPr>
        <w:rFonts w:ascii="Arial" w:hAnsi="Arial" w:cs="Arial"/>
        <w:b/>
        <w:sz w:val="48"/>
      </w:rPr>
      <w:t>EN</w:t>
    </w:r>
    <w:r w:rsidRPr="00DB0D0B">
      <w:rPr>
        <w:rFonts w:ascii="Arial" w:hAnsi="Arial" w:cs="Arial"/>
        <w:b/>
        <w:sz w:val="48"/>
      </w:rPr>
      <w:tab/>
    </w:r>
    <w:r w:rsidRPr="00DB0D0B">
      <w:rPr>
        <w:rFonts w:ascii="Arial" w:hAnsi="Arial" w:cs="Arial"/>
        <w:b/>
        <w:sz w:val="48"/>
      </w:rPr>
      <w:tab/>
    </w:r>
    <w:r w:rsidRPr="00DB0D0B">
      <w:tab/>
    </w:r>
    <w:r w:rsidRPr="00DB0D0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B1EF" w14:textId="3F0B6950" w:rsidR="006C064B" w:rsidRPr="00DB0D0B" w:rsidRDefault="00DB0D0B" w:rsidP="00DB0D0B">
    <w:pPr>
      <w:pStyle w:val="FooterCoverPage"/>
      <w:rPr>
        <w:rFonts w:ascii="Arial" w:hAnsi="Arial" w:cs="Arial"/>
        <w:b/>
        <w:sz w:val="48"/>
      </w:rPr>
    </w:pPr>
    <w:r w:rsidRPr="00DB0D0B">
      <w:rPr>
        <w:rFonts w:ascii="Arial" w:hAnsi="Arial" w:cs="Arial"/>
        <w:b/>
        <w:sz w:val="48"/>
      </w:rPr>
      <w:t>EN</w:t>
    </w:r>
    <w:r w:rsidRPr="00DB0D0B">
      <w:rPr>
        <w:rFonts w:ascii="Arial" w:hAnsi="Arial" w:cs="Arial"/>
        <w:b/>
        <w:sz w:val="48"/>
      </w:rPr>
      <w:tab/>
    </w:r>
    <w:r w:rsidRPr="00DB0D0B">
      <w:rPr>
        <w:rFonts w:ascii="Arial" w:hAnsi="Arial" w:cs="Arial"/>
        <w:b/>
        <w:sz w:val="48"/>
      </w:rPr>
      <w:tab/>
    </w:r>
    <w:r w:rsidRPr="00DB0D0B">
      <w:tab/>
    </w:r>
    <w:r w:rsidRPr="00DB0D0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3B07" w14:textId="77777777" w:rsidR="006C064B" w:rsidRPr="00DB0D0B" w:rsidRDefault="006C064B" w:rsidP="00DB0D0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35FB" w14:textId="77777777" w:rsidR="00EF0D4D" w:rsidRPr="00C94AFC" w:rsidRDefault="00EF0D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353372"/>
      <w:docPartObj>
        <w:docPartGallery w:val="Page Numbers (Bottom of Page)"/>
        <w:docPartUnique/>
      </w:docPartObj>
    </w:sdtPr>
    <w:sdtContent>
      <w:p w14:paraId="07DDE83B" w14:textId="320A0C03" w:rsidR="00423223" w:rsidRPr="00C94AFC" w:rsidRDefault="00423223">
        <w:pPr>
          <w:pStyle w:val="Footer"/>
          <w:jc w:val="center"/>
        </w:pPr>
        <w:r w:rsidRPr="00C94AFC">
          <w:fldChar w:fldCharType="begin"/>
        </w:r>
        <w:r w:rsidRPr="00C94AFC">
          <w:instrText xml:space="preserve"> PAGE   \* MERGEFORMAT </w:instrText>
        </w:r>
        <w:r w:rsidRPr="00C94AFC">
          <w:fldChar w:fldCharType="separate"/>
        </w:r>
        <w:r w:rsidR="008E628B" w:rsidRPr="00C94AFC">
          <w:t>31</w:t>
        </w:r>
        <w:r w:rsidRPr="00C94AFC">
          <w:fldChar w:fldCharType="end"/>
        </w:r>
      </w:p>
    </w:sdtContent>
  </w:sdt>
  <w:p w14:paraId="5E6C5D0B" w14:textId="77777777" w:rsidR="00EF0D4D" w:rsidRPr="00C94AFC" w:rsidRDefault="00EF0D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D1D9" w14:textId="77777777" w:rsidR="00EF0D4D" w:rsidRPr="00C94AFC" w:rsidRDefault="00EF0D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8993F" w14:textId="77777777" w:rsidR="00B23E33" w:rsidRPr="00C94AFC" w:rsidRDefault="00B23E33" w:rsidP="00AA655D">
      <w:r w:rsidRPr="00C94AFC">
        <w:separator/>
      </w:r>
    </w:p>
  </w:footnote>
  <w:footnote w:type="continuationSeparator" w:id="0">
    <w:p w14:paraId="22A28D23" w14:textId="77777777" w:rsidR="00B23E33" w:rsidRPr="00C94AFC" w:rsidRDefault="00B23E33" w:rsidP="00AA655D">
      <w:r w:rsidRPr="00C94AFC">
        <w:continuationSeparator/>
      </w:r>
    </w:p>
  </w:footnote>
  <w:footnote w:type="continuationNotice" w:id="1">
    <w:p w14:paraId="022D5DBE" w14:textId="77777777" w:rsidR="00B23E33" w:rsidRPr="00C94AFC" w:rsidRDefault="00B23E33"/>
  </w:footnote>
  <w:footnote w:id="2">
    <w:p w14:paraId="2BFBBD80" w14:textId="745C26AE" w:rsidR="00D969CE" w:rsidRPr="00C94AFC" w:rsidRDefault="00D969CE" w:rsidP="00D260A7">
      <w:pPr>
        <w:pStyle w:val="FootnoteText"/>
        <w:jc w:val="both"/>
      </w:pPr>
      <w:r w:rsidRPr="00C94AFC">
        <w:rPr>
          <w:rStyle w:val="FootnoteReference"/>
        </w:rPr>
        <w:footnoteRef/>
      </w:r>
      <w:r w:rsidRPr="00C94AFC">
        <w:t xml:space="preserve"> Regulation (EU) 2021/821 of the European Parliament and of the Council of 20</w:t>
      </w:r>
      <w:r w:rsidR="00C94AFC">
        <w:t> </w:t>
      </w:r>
      <w:r w:rsidRPr="00C94AFC">
        <w:t>May 2021 setting up a Union regime for the control of exports, brokering, technical assistance, transit and transfer of dual-use items (recast) – (OJ</w:t>
      </w:r>
      <w:r w:rsidR="006A49BE">
        <w:t> </w:t>
      </w:r>
      <w:r w:rsidRPr="00C94AFC">
        <w:t>L</w:t>
      </w:r>
      <w:r w:rsidR="006A49BE">
        <w:t> </w:t>
      </w:r>
      <w:r w:rsidRPr="00C94AFC">
        <w:t>206, 11.6.2021, p.</w:t>
      </w:r>
      <w:r w:rsidR="00C94AFC">
        <w:t> </w:t>
      </w:r>
      <w:r w:rsidRPr="00C94AFC">
        <w:t>1)</w:t>
      </w:r>
      <w:r w:rsidR="00C6077E">
        <w:t>:</w:t>
      </w:r>
      <w:r w:rsidRPr="00C94AFC">
        <w:t xml:space="preserve"> </w:t>
      </w:r>
      <w:hyperlink r:id="rId1" w:history="1">
        <w:r w:rsidRPr="00C94AFC">
          <w:rPr>
            <w:rStyle w:val="Hyperlink"/>
          </w:rPr>
          <w:t>https://eur-lex.europa.eu/eli/reg/2021/821/oj</w:t>
        </w:r>
      </w:hyperlink>
      <w:r w:rsidRPr="00C94AFC">
        <w:t>.</w:t>
      </w:r>
    </w:p>
  </w:footnote>
  <w:footnote w:id="3">
    <w:p w14:paraId="13CBDFF0" w14:textId="034815E2" w:rsidR="002101CC" w:rsidRPr="00C94AFC" w:rsidRDefault="002101CC" w:rsidP="001B46AF">
      <w:pPr>
        <w:jc w:val="both"/>
      </w:pPr>
      <w:r w:rsidRPr="00C94AFC">
        <w:rPr>
          <w:rStyle w:val="FootnoteReference"/>
        </w:rPr>
        <w:footnoteRef/>
      </w:r>
      <w:r w:rsidRPr="00C94AFC">
        <w:t xml:space="preserve"> </w:t>
      </w:r>
      <w:r w:rsidRPr="00C94AFC">
        <w:rPr>
          <w:rFonts w:eastAsia="Calibri"/>
          <w:sz w:val="20"/>
          <w:szCs w:val="20"/>
        </w:rPr>
        <w:t>Commission Recommendation (EU) 2024/214 of 10</w:t>
      </w:r>
      <w:r w:rsidR="00C94AFC">
        <w:rPr>
          <w:rFonts w:eastAsia="Calibri"/>
          <w:sz w:val="20"/>
          <w:szCs w:val="20"/>
        </w:rPr>
        <w:t> </w:t>
      </w:r>
      <w:r w:rsidRPr="00C94AFC">
        <w:rPr>
          <w:rFonts w:eastAsia="Calibri"/>
          <w:sz w:val="20"/>
          <w:szCs w:val="20"/>
        </w:rPr>
        <w:t>January 2024 on guidelines setting out the methodology for data gathering and processing for the preparation of the annual report on the control of exports, brokering, technical assistance, transit and transfer of dual-use items pursuant to Regulation (EU) 2021/821 of the European Parliament and of the Council</w:t>
      </w:r>
      <w:r w:rsidR="004E031C" w:rsidRPr="00C94AFC">
        <w:rPr>
          <w:rFonts w:eastAsia="Calibri"/>
          <w:sz w:val="20"/>
          <w:szCs w:val="20"/>
        </w:rPr>
        <w:t xml:space="preserve"> (OJ</w:t>
      </w:r>
      <w:r w:rsidR="006A49BE">
        <w:rPr>
          <w:rFonts w:eastAsia="Calibri"/>
          <w:sz w:val="20"/>
          <w:szCs w:val="20"/>
        </w:rPr>
        <w:t> </w:t>
      </w:r>
      <w:r w:rsidR="00264290">
        <w:rPr>
          <w:rFonts w:eastAsia="Calibri"/>
          <w:sz w:val="20"/>
          <w:szCs w:val="20"/>
        </w:rPr>
        <w:t>L </w:t>
      </w:r>
      <w:r w:rsidR="004E031C" w:rsidRPr="00C94AFC">
        <w:rPr>
          <w:rFonts w:eastAsia="Calibri"/>
          <w:sz w:val="20"/>
          <w:szCs w:val="20"/>
        </w:rPr>
        <w:t>2024/214, 1</w:t>
      </w:r>
      <w:r w:rsidR="001E2970">
        <w:rPr>
          <w:rFonts w:eastAsia="Calibri"/>
          <w:sz w:val="20"/>
          <w:szCs w:val="20"/>
        </w:rPr>
        <w:t>7</w:t>
      </w:r>
      <w:r w:rsidR="004E031C" w:rsidRPr="00C94AFC">
        <w:rPr>
          <w:rFonts w:eastAsia="Calibri"/>
          <w:sz w:val="20"/>
          <w:szCs w:val="20"/>
        </w:rPr>
        <w:t>.1.2024)</w:t>
      </w:r>
      <w:r w:rsidR="00C6077E">
        <w:rPr>
          <w:rFonts w:eastAsia="Calibri"/>
          <w:sz w:val="20"/>
          <w:szCs w:val="20"/>
        </w:rPr>
        <w:t>:</w:t>
      </w:r>
      <w:r w:rsidR="004E031C" w:rsidRPr="00C94AFC">
        <w:rPr>
          <w:rFonts w:eastAsia="Calibri"/>
          <w:sz w:val="20"/>
          <w:szCs w:val="20"/>
        </w:rPr>
        <w:t xml:space="preserve"> </w:t>
      </w:r>
      <w:hyperlink r:id="rId2" w:tooltip="Gives access to this document through its ELI URI." w:history="1">
        <w:r w:rsidR="006103B6" w:rsidRPr="00C94AFC">
          <w:rPr>
            <w:rStyle w:val="Hyperlink"/>
            <w:rFonts w:eastAsia="Calibri"/>
            <w:sz w:val="20"/>
            <w:szCs w:val="20"/>
          </w:rPr>
          <w:t>http://data.europa.eu/eli/reco/2024/214/oj</w:t>
        </w:r>
      </w:hyperlink>
      <w:r w:rsidR="00247BAF" w:rsidRPr="00C94AFC">
        <w:rPr>
          <w:rFonts w:eastAsia="Calibri"/>
          <w:sz w:val="20"/>
          <w:szCs w:val="20"/>
        </w:rPr>
        <w:t>.</w:t>
      </w:r>
    </w:p>
  </w:footnote>
  <w:footnote w:id="4">
    <w:p w14:paraId="6A0095E7" w14:textId="77777777" w:rsidR="00631BC1" w:rsidRPr="00C94AFC" w:rsidRDefault="00631BC1" w:rsidP="00D260A7">
      <w:pPr>
        <w:jc w:val="both"/>
        <w:rPr>
          <w:sz w:val="20"/>
          <w:szCs w:val="20"/>
        </w:rPr>
      </w:pPr>
      <w:r w:rsidRPr="00C94AFC">
        <w:rPr>
          <w:rStyle w:val="FootnoteReference"/>
        </w:rPr>
        <w:footnoteRef/>
      </w:r>
      <w:r w:rsidRPr="00C94AFC">
        <w:t xml:space="preserve"> </w:t>
      </w:r>
      <w:r w:rsidRPr="00C94AFC">
        <w:rPr>
          <w:sz w:val="20"/>
          <w:szCs w:val="20"/>
        </w:rPr>
        <w:t>Some Member States’ competent authorities also publicly report on trade in dual-use items.</w:t>
      </w:r>
    </w:p>
  </w:footnote>
  <w:footnote w:id="5">
    <w:p w14:paraId="35777481" w14:textId="3794DFEE" w:rsidR="001B46AF" w:rsidRPr="00C94AFC" w:rsidRDefault="001B46AF" w:rsidP="001B46AF">
      <w:pPr>
        <w:pStyle w:val="FootnoteText"/>
        <w:jc w:val="both"/>
      </w:pPr>
      <w:r w:rsidRPr="00C94AFC">
        <w:rPr>
          <w:rStyle w:val="FootnoteReference"/>
        </w:rPr>
        <w:footnoteRef/>
      </w:r>
      <w:r w:rsidRPr="00C94AFC">
        <w:t xml:space="preserve"> This includes voluntary data on </w:t>
      </w:r>
      <w:r w:rsidR="006A49BE">
        <w:t xml:space="preserve">the </w:t>
      </w:r>
      <w:r w:rsidRPr="00C94AFC">
        <w:t>uses of national general export authorisations and EU general export authorisations.</w:t>
      </w:r>
    </w:p>
  </w:footnote>
  <w:footnote w:id="6">
    <w:p w14:paraId="63691904" w14:textId="77777777" w:rsidR="002D7174" w:rsidRPr="00C94AFC" w:rsidRDefault="002D7174" w:rsidP="001B46AF">
      <w:pPr>
        <w:pStyle w:val="FootnoteText"/>
        <w:jc w:val="both"/>
      </w:pPr>
      <w:r w:rsidRPr="00C94AFC">
        <w:rPr>
          <w:rStyle w:val="FootnoteReference"/>
        </w:rPr>
        <w:footnoteRef/>
      </w:r>
      <w:r w:rsidRPr="00C94AFC">
        <w:t xml:space="preserve"> In 2023, 330 licences were issued for cyber-surveillance items.</w:t>
      </w:r>
    </w:p>
  </w:footnote>
  <w:footnote w:id="7">
    <w:p w14:paraId="51F196AD" w14:textId="77777777" w:rsidR="002D7174" w:rsidRPr="00C94AFC" w:rsidRDefault="002D7174" w:rsidP="001B46AF">
      <w:pPr>
        <w:pStyle w:val="FootnoteText"/>
        <w:jc w:val="both"/>
      </w:pPr>
      <w:r w:rsidRPr="00C94AFC">
        <w:rPr>
          <w:rStyle w:val="FootnoteReference"/>
        </w:rPr>
        <w:footnoteRef/>
      </w:r>
      <w:r w:rsidRPr="00C94AFC">
        <w:t xml:space="preserve"> In 2023, 20 denials were issued for cyber-surveillance items.</w:t>
      </w:r>
    </w:p>
  </w:footnote>
  <w:footnote w:id="8">
    <w:p w14:paraId="23EB8EE4" w14:textId="51B43432" w:rsidR="1D28B2C7" w:rsidRPr="00C94AFC" w:rsidRDefault="1D28B2C7" w:rsidP="001B46AF">
      <w:pPr>
        <w:pStyle w:val="FootnoteText"/>
        <w:jc w:val="both"/>
      </w:pPr>
      <w:r w:rsidRPr="00C94AFC">
        <w:rPr>
          <w:rStyle w:val="FootnoteReference"/>
        </w:rPr>
        <w:footnoteRef/>
      </w:r>
      <w:r w:rsidRPr="00C94AFC">
        <w:t xml:space="preserve"> Commission Recommendation (EU) 2024/2659 of 11</w:t>
      </w:r>
      <w:r w:rsidR="00C94AFC">
        <w:t> </w:t>
      </w:r>
      <w:r w:rsidRPr="00C94AFC">
        <w:t>October 2024 on guidelines on the export of cyber-surveillance items under Article</w:t>
      </w:r>
      <w:r w:rsidR="00C94AFC">
        <w:t> </w:t>
      </w:r>
      <w:r w:rsidRPr="00C94AFC">
        <w:t>5 of Regulation (EU) 2021/821 of the European Parliament and of the Council, C/2024/7035</w:t>
      </w:r>
      <w:r w:rsidR="00C94AFC" w:rsidRPr="00C94AFC">
        <w:t xml:space="preserve"> </w:t>
      </w:r>
      <w:r w:rsidRPr="00C94AFC">
        <w:t>(OJ</w:t>
      </w:r>
      <w:r w:rsidR="006C21E5">
        <w:t> </w:t>
      </w:r>
      <w:r w:rsidRPr="00C94AFC">
        <w:t>L</w:t>
      </w:r>
      <w:r w:rsidR="006C21E5">
        <w:t> </w:t>
      </w:r>
      <w:r w:rsidRPr="00C94AFC">
        <w:t>2024/2659, 16.10.2024</w:t>
      </w:r>
      <w:r w:rsidR="0034055F">
        <w:t>):</w:t>
      </w:r>
      <w:r w:rsidRPr="00C94AFC">
        <w:t xml:space="preserve"> </w:t>
      </w:r>
      <w:hyperlink r:id="rId3">
        <w:r w:rsidRPr="00C94AFC">
          <w:rPr>
            <w:rStyle w:val="Hyperlink"/>
          </w:rPr>
          <w:t>http://data.europa.eu/eli/reco/2024/2659/oj</w:t>
        </w:r>
      </w:hyperlink>
      <w:r w:rsidRPr="00C94AFC">
        <w:t>.</w:t>
      </w:r>
    </w:p>
  </w:footnote>
  <w:footnote w:id="9">
    <w:p w14:paraId="77A5534E" w14:textId="09433AA8" w:rsidR="00D7465F" w:rsidRPr="00C94AFC" w:rsidRDefault="00D7465F">
      <w:pPr>
        <w:pStyle w:val="FootnoteText"/>
      </w:pPr>
      <w:r w:rsidRPr="00C94AFC">
        <w:rPr>
          <w:rStyle w:val="FootnoteReference"/>
        </w:rPr>
        <w:footnoteRef/>
      </w:r>
      <w:r w:rsidRPr="00C94AFC">
        <w:t xml:space="preserve"> European Council, Conclusions of the European Council meeting (ST 9439</w:t>
      </w:r>
      <w:r w:rsidR="00C94AFC">
        <w:t> </w:t>
      </w:r>
      <w:r w:rsidRPr="00C94AFC">
        <w:t>2024 COR 1).</w:t>
      </w:r>
    </w:p>
  </w:footnote>
  <w:footnote w:id="10">
    <w:p w14:paraId="48AEE0F5" w14:textId="088081C5" w:rsidR="000223C5" w:rsidRPr="00C94AFC" w:rsidRDefault="000223C5" w:rsidP="001B46AF">
      <w:pPr>
        <w:pStyle w:val="FootnoteText"/>
        <w:jc w:val="both"/>
      </w:pPr>
      <w:r w:rsidRPr="00C94AFC">
        <w:rPr>
          <w:rStyle w:val="FootnoteReference"/>
        </w:rPr>
        <w:footnoteRef/>
      </w:r>
      <w:r w:rsidR="100A786D" w:rsidRPr="00C94AFC">
        <w:t xml:space="preserve"> Council of the EU, Press Release </w:t>
      </w:r>
      <w:r w:rsidR="00C94AFC">
        <w:t>‘</w:t>
      </w:r>
      <w:r w:rsidR="100A786D" w:rsidRPr="00C94AFC">
        <w:t>Russia’s war of aggression against Ukraine: EU adopts 15th package of restrictive measures</w:t>
      </w:r>
      <w:r w:rsidR="00C94AFC">
        <w:t>’</w:t>
      </w:r>
      <w:r w:rsidR="003B5F8C">
        <w:t>:</w:t>
      </w:r>
      <w:hyperlink r:id="rId4" w:history="1">
        <w:r w:rsidR="100A786D" w:rsidRPr="00C94AFC">
          <w:rPr>
            <w:rStyle w:val="Hyperlink"/>
          </w:rPr>
          <w:t>https://www.consilium.europa.eu/en/press/press-releases/2024/12/16/russia-s-war-of-aggression-against-ukraine-eu-adopts-15th-package-of-restrictive-measures/</w:t>
        </w:r>
      </w:hyperlink>
      <w:r w:rsidR="100A786D" w:rsidRPr="00C94AFC">
        <w:t>.</w:t>
      </w:r>
    </w:p>
  </w:footnote>
  <w:footnote w:id="11">
    <w:p w14:paraId="68A4B3E8" w14:textId="5C37450F" w:rsidR="00531ECA" w:rsidRPr="00C94AFC" w:rsidRDefault="00531ECA" w:rsidP="001B46AF">
      <w:pPr>
        <w:pStyle w:val="FootnoteText"/>
        <w:jc w:val="both"/>
      </w:pPr>
      <w:r w:rsidRPr="00C94AFC">
        <w:rPr>
          <w:rStyle w:val="FootnoteReference"/>
        </w:rPr>
        <w:footnoteRef/>
      </w:r>
      <w:r w:rsidR="100A786D" w:rsidRPr="00C94AFC">
        <w:t xml:space="preserve"> Preventing Russian Export Control and Sanctions Evasion: Updated Guidance for Industry</w:t>
      </w:r>
      <w:r w:rsidR="003B5F8C">
        <w:t xml:space="preserve">: </w:t>
      </w:r>
      <w:hyperlink r:id="rId5" w:history="1">
        <w:r w:rsidR="100A786D" w:rsidRPr="00C94AFC">
          <w:rPr>
            <w:rStyle w:val="Hyperlink"/>
          </w:rPr>
          <w:t>https://finance.ec.europa.eu/news/sanctions-vis-vis-russia-commission-publishes-g7-industry-guidance-preventing-sanctions-evasion-2024-09-24_en</w:t>
        </w:r>
      </w:hyperlink>
      <w:r w:rsidR="100A786D" w:rsidRPr="00C94AFC">
        <w:t>.</w:t>
      </w:r>
    </w:p>
  </w:footnote>
  <w:footnote w:id="12">
    <w:p w14:paraId="51186A0C" w14:textId="77777777" w:rsidR="00967D1D" w:rsidRPr="00C94AFC" w:rsidRDefault="00967D1D" w:rsidP="001B46AF">
      <w:pPr>
        <w:pStyle w:val="FootnoteText"/>
        <w:jc w:val="both"/>
      </w:pPr>
      <w:r w:rsidRPr="00C94AFC">
        <w:rPr>
          <w:rStyle w:val="FootnoteReference"/>
        </w:rPr>
        <w:footnoteRef/>
      </w:r>
      <w:r w:rsidRPr="00C94AFC">
        <w:t xml:space="preserve"> The GECC members are Australia, Canada, the 27 EU Member States, Iceland, Japan, Liechtenstein, New Zealand, Norway, South Korea, Switzerland, United Kingdom, United States and Taiwan.</w:t>
      </w:r>
    </w:p>
  </w:footnote>
  <w:footnote w:id="13">
    <w:p w14:paraId="594044CD" w14:textId="56BF6CA2" w:rsidR="001B46AF" w:rsidRPr="00C94AFC" w:rsidRDefault="001B46AF" w:rsidP="001B46AF">
      <w:pPr>
        <w:pStyle w:val="FootnoteText"/>
        <w:jc w:val="both"/>
      </w:pPr>
      <w:r w:rsidRPr="00C94AFC">
        <w:rPr>
          <w:rStyle w:val="FootnoteReference"/>
        </w:rPr>
        <w:footnoteRef/>
      </w:r>
      <w:r w:rsidRPr="00C94AFC">
        <w:t xml:space="preserve"> In June 2021, the EU and the U.S. established the Trade and Technology Council, which met for the first time in Pittsburgh on 29</w:t>
      </w:r>
      <w:r w:rsidR="00C94AFC">
        <w:t> </w:t>
      </w:r>
      <w:r w:rsidRPr="00C94AFC">
        <w:t xml:space="preserve">September 2021 and agreed on an ambitious </w:t>
      </w:r>
      <w:r w:rsidR="003B5F8C">
        <w:t>j</w:t>
      </w:r>
      <w:r w:rsidRPr="00C94AFC">
        <w:t xml:space="preserve">oint </w:t>
      </w:r>
      <w:r w:rsidR="003B5F8C">
        <w:t>s</w:t>
      </w:r>
      <w:r w:rsidRPr="00C94AFC">
        <w:t xml:space="preserve">tatement, including cooperation on export control. One of </w:t>
      </w:r>
      <w:r w:rsidR="003B5F8C">
        <w:t>its</w:t>
      </w:r>
      <w:r w:rsidR="003B5F8C" w:rsidRPr="00C94AFC">
        <w:t xml:space="preserve"> </w:t>
      </w:r>
      <w:r w:rsidRPr="00C94AFC">
        <w:t xml:space="preserve">ten </w:t>
      </w:r>
      <w:r w:rsidR="003B5F8C">
        <w:t>w</w:t>
      </w:r>
      <w:r w:rsidRPr="00C94AFC">
        <w:t xml:space="preserve">orking </w:t>
      </w:r>
      <w:r w:rsidR="003B5F8C">
        <w:t>g</w:t>
      </w:r>
      <w:r w:rsidRPr="00C94AFC">
        <w:t xml:space="preserve">roups is dedicated to export controls, sharing information and working on </w:t>
      </w:r>
      <w:r w:rsidR="003B5F8C">
        <w:t>topics</w:t>
      </w:r>
      <w:r w:rsidR="003B5F8C" w:rsidRPr="00C94AFC">
        <w:t xml:space="preserve"> </w:t>
      </w:r>
      <w:r w:rsidRPr="00C94AFC">
        <w:t xml:space="preserve">like legislative and regulatory developments, risk assessments and licensing good practices, as well as on approaches to industry compliance and enforcement. Furthermore, this working group aims </w:t>
      </w:r>
      <w:r w:rsidR="003B5F8C">
        <w:t>to</w:t>
      </w:r>
      <w:r w:rsidR="003B5F8C" w:rsidRPr="00C94AFC">
        <w:t xml:space="preserve"> </w:t>
      </w:r>
      <w:r w:rsidRPr="00C94AFC">
        <w:t>promot</w:t>
      </w:r>
      <w:r w:rsidR="003B5F8C">
        <w:t>e</w:t>
      </w:r>
      <w:r w:rsidRPr="00C94AFC">
        <w:t xml:space="preserve"> convergent control approaches on sensitive dual-use technologies and </w:t>
      </w:r>
      <w:r w:rsidR="003B5F8C">
        <w:t xml:space="preserve">to </w:t>
      </w:r>
      <w:r w:rsidRPr="00C94AFC">
        <w:t xml:space="preserve">perform joint industry outreach </w:t>
      </w:r>
      <w:r w:rsidR="003B5F8C">
        <w:t xml:space="preserve">activities </w:t>
      </w:r>
      <w:r w:rsidRPr="00C94AFC">
        <w:t>on dual-use export controls.</w:t>
      </w:r>
    </w:p>
  </w:footnote>
  <w:footnote w:id="14">
    <w:p w14:paraId="0C52C860" w14:textId="40DD63D4" w:rsidR="00800F6C" w:rsidRPr="00C94AFC" w:rsidRDefault="00800F6C">
      <w:pPr>
        <w:pStyle w:val="FootnoteText"/>
      </w:pPr>
      <w:r w:rsidRPr="00C94AFC">
        <w:rPr>
          <w:rStyle w:val="FootnoteReference"/>
        </w:rPr>
        <w:footnoteRef/>
      </w:r>
      <w:r w:rsidRPr="00C94AFC">
        <w:t xml:space="preserve"> </w:t>
      </w:r>
      <w:r w:rsidR="00514127" w:rsidRPr="00C94AFC">
        <w:t xml:space="preserve">Press release: </w:t>
      </w:r>
      <w:r w:rsidR="003B5F8C">
        <w:t>‘</w:t>
      </w:r>
      <w:r w:rsidR="00705BC2" w:rsidRPr="00C94AFC">
        <w:t>EU and US continue strong trade and technology cooperation at a time of global challenges</w:t>
      </w:r>
      <w:r w:rsidR="00C94AFC">
        <w:t>’</w:t>
      </w:r>
      <w:r w:rsidR="00514127" w:rsidRPr="00C94AFC">
        <w:t>, 5</w:t>
      </w:r>
      <w:r w:rsidR="00C94AFC">
        <w:t> </w:t>
      </w:r>
      <w:r w:rsidR="00514127" w:rsidRPr="00C94AFC">
        <w:t>April 2024</w:t>
      </w:r>
      <w:r w:rsidR="003B5F8C">
        <w:t>:</w:t>
      </w:r>
      <w:r w:rsidR="00514127" w:rsidRPr="00C94AFC">
        <w:t xml:space="preserve"> </w:t>
      </w:r>
      <w:hyperlink r:id="rId6" w:history="1">
        <w:r w:rsidR="00514127" w:rsidRPr="00C94AFC">
          <w:rPr>
            <w:rStyle w:val="Hyperlink"/>
          </w:rPr>
          <w:t>https://ec.europa.eu/commission/presscorner/detail/en/ip_24_1827</w:t>
        </w:r>
      </w:hyperlink>
      <w:r w:rsidR="00514127" w:rsidRPr="00C94AFC">
        <w:t>.</w:t>
      </w:r>
    </w:p>
  </w:footnote>
  <w:footnote w:id="15">
    <w:p w14:paraId="6D41A52D" w14:textId="11967A36" w:rsidR="008D1952" w:rsidRPr="00C94AFC" w:rsidRDefault="008D1952" w:rsidP="001B46AF">
      <w:pPr>
        <w:pStyle w:val="FootnoteText"/>
        <w:jc w:val="both"/>
      </w:pPr>
      <w:r w:rsidRPr="00C94AFC">
        <w:rPr>
          <w:rStyle w:val="FootnoteReference"/>
        </w:rPr>
        <w:footnoteRef/>
      </w:r>
      <w:r w:rsidR="100A786D" w:rsidRPr="00C94AFC">
        <w:t xml:space="preserve"> COMMISSION DELEGATED REGULATION (EU)</w:t>
      </w:r>
      <w:r w:rsidR="00C94AFC">
        <w:t> </w:t>
      </w:r>
      <w:r w:rsidR="100A786D" w:rsidRPr="00C94AFC">
        <w:t>…/</w:t>
      </w:r>
      <w:r w:rsidR="00C94AFC">
        <w:t>…</w:t>
      </w:r>
      <w:r w:rsidR="100A786D" w:rsidRPr="00C94AFC">
        <w:t xml:space="preserve"> amending Regulation (EU) 2021/821 of the European Parliament and of the Council as regards the list of dual-use items</w:t>
      </w:r>
      <w:r w:rsidR="003B5F8C">
        <w:t>:</w:t>
      </w:r>
      <w:r w:rsidR="100A786D" w:rsidRPr="00C94AFC">
        <w:t xml:space="preserve"> </w:t>
      </w:r>
      <w:hyperlink r:id="rId7" w:history="1">
        <w:r w:rsidR="100A786D" w:rsidRPr="00C94AFC">
          <w:rPr>
            <w:rStyle w:val="Hyperlink"/>
          </w:rPr>
          <w:t>https://policy.trade.ec.europa.eu/news/2025-update-eu-control-list-dual-use-items-2025-09-08_en</w:t>
        </w:r>
      </w:hyperlink>
      <w:r w:rsidR="100A786D" w:rsidRPr="00C94AFC">
        <w:t>.</w:t>
      </w:r>
    </w:p>
  </w:footnote>
  <w:footnote w:id="16">
    <w:p w14:paraId="77D56250" w14:textId="54DB1C1E" w:rsidR="007F3C9F" w:rsidRPr="00C94AFC" w:rsidRDefault="00EF0D4D" w:rsidP="001B46AF">
      <w:pPr>
        <w:pStyle w:val="FootnoteText"/>
        <w:jc w:val="both"/>
      </w:pPr>
      <w:r w:rsidRPr="00C94AFC">
        <w:rPr>
          <w:rStyle w:val="FootnoteReference"/>
        </w:rPr>
        <w:footnoteRef/>
      </w:r>
      <w:r w:rsidR="100A786D" w:rsidRPr="00C94AFC">
        <w:t xml:space="preserve"> </w:t>
      </w:r>
      <w:hyperlink r:id="rId8" w:history="1">
        <w:r w:rsidR="100A786D" w:rsidRPr="00C94AFC">
          <w:rPr>
            <w:rStyle w:val="Hyperlink"/>
          </w:rPr>
          <w:t>https://eur-lex.europa.eu/legal-content/EN/TXT/?uri=OJ:C_202405881</w:t>
        </w:r>
      </w:hyperlink>
      <w:r w:rsidR="00462D9E">
        <w:t>.</w:t>
      </w:r>
    </w:p>
  </w:footnote>
  <w:footnote w:id="17">
    <w:p w14:paraId="3B7A8503" w14:textId="2529F779" w:rsidR="00F9708F" w:rsidRPr="00C94AFC" w:rsidRDefault="00F9708F" w:rsidP="001B46AF">
      <w:pPr>
        <w:pStyle w:val="FootnoteText"/>
        <w:jc w:val="both"/>
      </w:pPr>
      <w:r w:rsidRPr="00C94AFC">
        <w:rPr>
          <w:rStyle w:val="FootnoteReference"/>
        </w:rPr>
        <w:footnoteRef/>
      </w:r>
      <w:r w:rsidRPr="00C94AFC">
        <w:t xml:space="preserve"> The UK has been added to EU General E</w:t>
      </w:r>
      <w:r w:rsidR="003F1AD3" w:rsidRPr="00C94AFC">
        <w:t>x</w:t>
      </w:r>
      <w:r w:rsidRPr="00C94AFC">
        <w:t>po</w:t>
      </w:r>
      <w:r w:rsidR="003F1AD3" w:rsidRPr="00C94AFC">
        <w:t>rt</w:t>
      </w:r>
      <w:r w:rsidRPr="00C94AFC">
        <w:t xml:space="preserve"> Authorisation EU001 in the meantime.</w:t>
      </w:r>
    </w:p>
  </w:footnote>
  <w:footnote w:id="18">
    <w:p w14:paraId="78B123E5" w14:textId="06B21E72" w:rsidR="00EF0D4D" w:rsidRPr="00C94AFC" w:rsidRDefault="00EF0D4D" w:rsidP="001B46AF">
      <w:pPr>
        <w:pStyle w:val="Default"/>
        <w:jc w:val="both"/>
        <w:rPr>
          <w:rFonts w:ascii="Times New Roman" w:eastAsia="Calibri" w:hAnsi="Times New Roman" w:cs="Times New Roman"/>
          <w:color w:val="auto"/>
          <w:sz w:val="20"/>
          <w:szCs w:val="20"/>
        </w:rPr>
      </w:pPr>
      <w:r w:rsidRPr="00C94AFC">
        <w:rPr>
          <w:rStyle w:val="FootnoteReference"/>
          <w:rFonts w:ascii="Times New Roman" w:eastAsia="Calibri" w:hAnsi="Times New Roman" w:cs="Times New Roman"/>
          <w:sz w:val="20"/>
          <w:szCs w:val="20"/>
        </w:rPr>
        <w:footnoteRef/>
      </w:r>
      <w:r w:rsidRPr="00C94AFC">
        <w:rPr>
          <w:rFonts w:ascii="Times New Roman" w:eastAsia="Times New Roman" w:hAnsi="Times New Roman" w:cs="Times New Roman"/>
          <w:color w:val="auto"/>
          <w:sz w:val="20"/>
          <w:szCs w:val="20"/>
          <w:lang w:eastAsia="fr-BE"/>
        </w:rPr>
        <w:t xml:space="preserve"> </w:t>
      </w:r>
      <w:r w:rsidRPr="00C94AFC">
        <w:rPr>
          <w:rFonts w:ascii="Times New Roman" w:eastAsia="Calibri" w:hAnsi="Times New Roman" w:cs="Times New Roman"/>
          <w:color w:val="auto"/>
          <w:sz w:val="20"/>
          <w:szCs w:val="20"/>
        </w:rPr>
        <w:t>OJ</w:t>
      </w:r>
      <w:r w:rsidR="00462D9E">
        <w:rPr>
          <w:rFonts w:ascii="Times New Roman" w:eastAsia="Calibri" w:hAnsi="Times New Roman" w:cs="Times New Roman"/>
          <w:color w:val="auto"/>
          <w:sz w:val="20"/>
          <w:szCs w:val="20"/>
        </w:rPr>
        <w:t> </w:t>
      </w:r>
      <w:r w:rsidRPr="00C94AFC">
        <w:rPr>
          <w:rFonts w:ascii="Times New Roman" w:eastAsia="Calibri" w:hAnsi="Times New Roman" w:cs="Times New Roman"/>
          <w:color w:val="auto"/>
          <w:sz w:val="20"/>
          <w:szCs w:val="20"/>
        </w:rPr>
        <w:t>L</w:t>
      </w:r>
      <w:r w:rsidR="00462D9E">
        <w:rPr>
          <w:rFonts w:ascii="Times New Roman" w:eastAsia="Calibri" w:hAnsi="Times New Roman" w:cs="Times New Roman"/>
          <w:color w:val="auto"/>
          <w:sz w:val="20"/>
          <w:szCs w:val="20"/>
        </w:rPr>
        <w:t> </w:t>
      </w:r>
      <w:r w:rsidRPr="00C94AFC">
        <w:rPr>
          <w:rFonts w:ascii="Times New Roman" w:eastAsia="Calibri" w:hAnsi="Times New Roman" w:cs="Times New Roman"/>
          <w:color w:val="auto"/>
          <w:sz w:val="20"/>
          <w:szCs w:val="20"/>
        </w:rPr>
        <w:t>29, 31.1.2020, p.</w:t>
      </w:r>
      <w:r w:rsidR="00C94AFC">
        <w:rPr>
          <w:rFonts w:ascii="Times New Roman" w:eastAsia="Calibri" w:hAnsi="Times New Roman" w:cs="Times New Roman"/>
          <w:color w:val="auto"/>
          <w:sz w:val="20"/>
          <w:szCs w:val="20"/>
        </w:rPr>
        <w:t> </w:t>
      </w:r>
      <w:r w:rsidRPr="00C94AFC">
        <w:rPr>
          <w:rFonts w:ascii="Times New Roman" w:eastAsia="Calibri" w:hAnsi="Times New Roman" w:cs="Times New Roman"/>
          <w:color w:val="auto"/>
          <w:sz w:val="20"/>
          <w:szCs w:val="20"/>
        </w:rPr>
        <w:t>7 (</w:t>
      </w:r>
      <w:r w:rsidR="00C94AFC">
        <w:rPr>
          <w:rFonts w:ascii="Times New Roman" w:eastAsia="Calibri" w:hAnsi="Times New Roman" w:cs="Times New Roman"/>
          <w:color w:val="auto"/>
          <w:sz w:val="20"/>
          <w:szCs w:val="20"/>
        </w:rPr>
        <w:t>‘</w:t>
      </w:r>
      <w:r w:rsidRPr="00C94AFC">
        <w:rPr>
          <w:rFonts w:ascii="Times New Roman" w:eastAsia="Calibri" w:hAnsi="Times New Roman" w:cs="Times New Roman"/>
          <w:color w:val="auto"/>
          <w:sz w:val="20"/>
          <w:szCs w:val="20"/>
        </w:rPr>
        <w:t>Withdrawal Agreement</w:t>
      </w:r>
      <w:r w:rsidR="00C94AFC">
        <w:rPr>
          <w:rFonts w:ascii="Times New Roman" w:eastAsia="Calibri" w:hAnsi="Times New Roman" w:cs="Times New Roman"/>
          <w:color w:val="auto"/>
          <w:sz w:val="20"/>
          <w:szCs w:val="20"/>
        </w:rPr>
        <w:t>’</w:t>
      </w:r>
      <w:r w:rsidRPr="00C94AFC">
        <w:rPr>
          <w:rFonts w:ascii="Times New Roman" w:eastAsia="Calibri" w:hAnsi="Times New Roman" w:cs="Times New Roman"/>
          <w:color w:val="auto"/>
          <w:sz w:val="20"/>
          <w:szCs w:val="20"/>
        </w:rPr>
        <w:t>).</w:t>
      </w:r>
    </w:p>
  </w:footnote>
  <w:footnote w:id="19">
    <w:p w14:paraId="3EBAF8A9" w14:textId="4E434716" w:rsidR="00EF0D4D" w:rsidRPr="00C94AFC" w:rsidRDefault="00EF0D4D" w:rsidP="001B46AF">
      <w:pPr>
        <w:pStyle w:val="FootnoteText"/>
        <w:jc w:val="both"/>
      </w:pPr>
      <w:r w:rsidRPr="00C94AFC">
        <w:rPr>
          <w:rStyle w:val="FootnoteReference"/>
        </w:rPr>
        <w:footnoteRef/>
      </w:r>
      <w:r w:rsidRPr="00C94AFC">
        <w:t xml:space="preserve"> Article</w:t>
      </w:r>
      <w:r w:rsidR="00C94AFC">
        <w:t> </w:t>
      </w:r>
      <w:r w:rsidRPr="00C94AFC">
        <w:t xml:space="preserve">5(4) of the NI Protocol and </w:t>
      </w:r>
      <w:r w:rsidR="00C94AFC">
        <w:t>S</w:t>
      </w:r>
      <w:r w:rsidRPr="00C94AFC">
        <w:t>ection</w:t>
      </w:r>
      <w:r w:rsidR="00462D9E">
        <w:t> </w:t>
      </w:r>
      <w:r w:rsidRPr="00C94AFC">
        <w:t xml:space="preserve">47 of </w:t>
      </w:r>
      <w:r w:rsidR="00B5316B" w:rsidRPr="00C94AFC">
        <w:t>A</w:t>
      </w:r>
      <w:r w:rsidRPr="00C94AFC">
        <w:t>nnex</w:t>
      </w:r>
      <w:r w:rsidR="00462D9E">
        <w:t> </w:t>
      </w:r>
      <w:r w:rsidRPr="00C94AFC">
        <w:t>2 to that Protocol.</w:t>
      </w:r>
    </w:p>
  </w:footnote>
  <w:footnote w:id="20">
    <w:p w14:paraId="727BB801" w14:textId="060AFD93" w:rsidR="00EF0D4D" w:rsidRPr="00C94AFC" w:rsidRDefault="00EF0D4D" w:rsidP="00D260A7">
      <w:pPr>
        <w:pStyle w:val="FootnoteText"/>
        <w:jc w:val="both"/>
      </w:pPr>
      <w:r w:rsidRPr="00C94AFC">
        <w:rPr>
          <w:rStyle w:val="FootnoteReference"/>
        </w:rPr>
        <w:footnoteRef/>
      </w:r>
      <w:r w:rsidRPr="00C94AFC">
        <w:t xml:space="preserve"> This report is also the annual report required </w:t>
      </w:r>
      <w:r w:rsidR="00462D9E">
        <w:t>under</w:t>
      </w:r>
      <w:r w:rsidR="00462D9E" w:rsidRPr="00C94AFC">
        <w:t xml:space="preserve"> </w:t>
      </w:r>
      <w:r w:rsidRPr="00C94AFC">
        <w:t>the Regulation on the activities, examinations and consultations of the DUCG.</w:t>
      </w:r>
    </w:p>
  </w:footnote>
  <w:footnote w:id="21">
    <w:p w14:paraId="5396A286" w14:textId="7F7C1E45" w:rsidR="00D260A7" w:rsidRPr="00C94AFC" w:rsidRDefault="00D260A7" w:rsidP="001B46AF">
      <w:pPr>
        <w:pStyle w:val="FootnoteText"/>
        <w:jc w:val="both"/>
      </w:pPr>
      <w:r w:rsidRPr="00C94AFC">
        <w:rPr>
          <w:rStyle w:val="FootnoteReference"/>
        </w:rPr>
        <w:footnoteRef/>
      </w:r>
      <w:r w:rsidRPr="00C94AFC">
        <w:t xml:space="preserve"> Commission Recommendation (EU) 2024/214 of 10</w:t>
      </w:r>
      <w:r w:rsidR="00C94AFC">
        <w:t> </w:t>
      </w:r>
      <w:r w:rsidRPr="00C94AFC">
        <w:t>January 2024 on guidelines setting out the methodology for data gathering and processing for the preparation of the annual report on the control of exports, brokering, technical assistance, transit and transfer of dual-use items pursuant to Regulation (EU) 2021/821 of the European Parliament and of the Council (OJ</w:t>
      </w:r>
      <w:r w:rsidR="00264290">
        <w:t> L</w:t>
      </w:r>
      <w:r w:rsidR="00C94AFC">
        <w:t> </w:t>
      </w:r>
      <w:r w:rsidRPr="00C94AFC">
        <w:t>2024/214, 1</w:t>
      </w:r>
      <w:r w:rsidR="001E2970">
        <w:t>7</w:t>
      </w:r>
      <w:r w:rsidRPr="00C94AFC">
        <w:t>.1.2024)</w:t>
      </w:r>
      <w:r w:rsidR="00264290">
        <w:t>:</w:t>
      </w:r>
      <w:r w:rsidRPr="00C94AFC">
        <w:t xml:space="preserve"> </w:t>
      </w:r>
      <w:hyperlink r:id="rId9" w:tooltip="Gives access to this document through its ELI URI." w:history="1">
        <w:r w:rsidRPr="00C94AFC">
          <w:rPr>
            <w:rStyle w:val="Hyperlink"/>
          </w:rPr>
          <w:t>http://data.europa.eu/eli/reco/2024/214/oj</w:t>
        </w:r>
      </w:hyperlink>
      <w:r w:rsidRPr="00C94AFC">
        <w:t>.</w:t>
      </w:r>
    </w:p>
  </w:footnote>
  <w:footnote w:id="22">
    <w:p w14:paraId="230A1A3A" w14:textId="404E8782" w:rsidR="2AFE86F6" w:rsidRPr="00C94AFC" w:rsidRDefault="2AFE86F6" w:rsidP="001B46AF">
      <w:pPr>
        <w:jc w:val="both"/>
        <w:rPr>
          <w:rFonts w:eastAsia="Times New Roman"/>
          <w:sz w:val="20"/>
          <w:szCs w:val="20"/>
        </w:rPr>
      </w:pPr>
      <w:r w:rsidRPr="00474D2D">
        <w:rPr>
          <w:sz w:val="20"/>
          <w:szCs w:val="20"/>
          <w:vertAlign w:val="superscript"/>
        </w:rPr>
        <w:footnoteRef/>
      </w:r>
      <w:r w:rsidRPr="00C94AFC">
        <w:rPr>
          <w:sz w:val="20"/>
          <w:szCs w:val="20"/>
        </w:rPr>
        <w:t xml:space="preserve"> </w:t>
      </w:r>
      <w:r w:rsidRPr="00C94AFC">
        <w:rPr>
          <w:rFonts w:eastAsia="Times New Roman"/>
          <w:sz w:val="20"/>
          <w:szCs w:val="20"/>
        </w:rPr>
        <w:t>Commission Recommendation (EU) 2024/2659 of 11</w:t>
      </w:r>
      <w:r w:rsidR="00C94AFC">
        <w:rPr>
          <w:rFonts w:eastAsia="Times New Roman"/>
          <w:sz w:val="20"/>
          <w:szCs w:val="20"/>
        </w:rPr>
        <w:t> </w:t>
      </w:r>
      <w:r w:rsidRPr="00C94AFC">
        <w:rPr>
          <w:rFonts w:eastAsia="Times New Roman"/>
          <w:sz w:val="20"/>
          <w:szCs w:val="20"/>
        </w:rPr>
        <w:t>October 2024 on guidelines on the export of cyber-surveillance items under Article</w:t>
      </w:r>
      <w:r w:rsidR="00C94AFC">
        <w:rPr>
          <w:rFonts w:eastAsia="Times New Roman"/>
          <w:sz w:val="20"/>
          <w:szCs w:val="20"/>
        </w:rPr>
        <w:t> </w:t>
      </w:r>
      <w:r w:rsidRPr="00C94AFC">
        <w:rPr>
          <w:rFonts w:eastAsia="Times New Roman"/>
          <w:sz w:val="20"/>
          <w:szCs w:val="20"/>
        </w:rPr>
        <w:t>5 of Regulation (EU) 2021/821 of the European Parliament and of the Council</w:t>
      </w:r>
      <w:r w:rsidR="009515F9" w:rsidRPr="00C94AFC">
        <w:rPr>
          <w:rFonts w:eastAsia="Times New Roman"/>
          <w:sz w:val="20"/>
          <w:szCs w:val="20"/>
        </w:rPr>
        <w:t>,</w:t>
      </w:r>
    </w:p>
    <w:p w14:paraId="0B046682" w14:textId="63C6A6B1" w:rsidR="2AFE86F6" w:rsidRPr="00474D2D" w:rsidRDefault="2AFE86F6" w:rsidP="001B46AF">
      <w:pPr>
        <w:jc w:val="both"/>
        <w:rPr>
          <w:rFonts w:eastAsia="Times New Roman"/>
          <w:lang w:val="pl-PL"/>
        </w:rPr>
      </w:pPr>
      <w:r w:rsidRPr="00474D2D">
        <w:rPr>
          <w:rFonts w:eastAsia="Times New Roman"/>
          <w:sz w:val="20"/>
          <w:szCs w:val="20"/>
          <w:lang w:val="pl-PL"/>
        </w:rPr>
        <w:t>C/2024/7035</w:t>
      </w:r>
      <w:r w:rsidR="001C1E69" w:rsidRPr="00474D2D">
        <w:rPr>
          <w:rFonts w:eastAsia="Times New Roman"/>
          <w:sz w:val="20"/>
          <w:szCs w:val="20"/>
          <w:lang w:val="pl-PL"/>
        </w:rPr>
        <w:t xml:space="preserve"> (OJ</w:t>
      </w:r>
      <w:r w:rsidR="00264290" w:rsidRPr="00474D2D">
        <w:rPr>
          <w:rFonts w:eastAsia="Times New Roman"/>
          <w:sz w:val="20"/>
          <w:szCs w:val="20"/>
          <w:lang w:val="pl-PL"/>
        </w:rPr>
        <w:t> </w:t>
      </w:r>
      <w:r w:rsidR="001C1E69" w:rsidRPr="00474D2D">
        <w:rPr>
          <w:rFonts w:eastAsia="Times New Roman"/>
          <w:sz w:val="20"/>
          <w:szCs w:val="20"/>
          <w:lang w:val="pl-PL"/>
        </w:rPr>
        <w:t>L</w:t>
      </w:r>
      <w:r w:rsidR="00264290" w:rsidRPr="00474D2D">
        <w:rPr>
          <w:rFonts w:eastAsia="Times New Roman"/>
          <w:sz w:val="20"/>
          <w:szCs w:val="20"/>
          <w:lang w:val="pl-PL"/>
        </w:rPr>
        <w:t> </w:t>
      </w:r>
      <w:r w:rsidR="001C1E69" w:rsidRPr="00474D2D">
        <w:rPr>
          <w:rFonts w:eastAsia="Times New Roman"/>
          <w:sz w:val="20"/>
          <w:szCs w:val="20"/>
          <w:lang w:val="pl-PL"/>
        </w:rPr>
        <w:t>2024/2659, 1</w:t>
      </w:r>
      <w:r w:rsidR="001E2970">
        <w:rPr>
          <w:rFonts w:eastAsia="Times New Roman"/>
          <w:sz w:val="20"/>
          <w:szCs w:val="20"/>
          <w:lang w:val="pl-PL"/>
        </w:rPr>
        <w:t>6</w:t>
      </w:r>
      <w:r w:rsidR="001C1E69" w:rsidRPr="00474D2D">
        <w:rPr>
          <w:rFonts w:eastAsia="Times New Roman"/>
          <w:sz w:val="20"/>
          <w:szCs w:val="20"/>
          <w:lang w:val="pl-PL"/>
        </w:rPr>
        <w:t>.10.2024)</w:t>
      </w:r>
      <w:r w:rsidR="00264290" w:rsidRPr="00474D2D">
        <w:rPr>
          <w:rFonts w:eastAsia="Times New Roman"/>
          <w:sz w:val="20"/>
          <w:szCs w:val="20"/>
          <w:lang w:val="pl-PL"/>
        </w:rPr>
        <w:t>:</w:t>
      </w:r>
      <w:r w:rsidR="00671EAC" w:rsidRPr="00474D2D">
        <w:rPr>
          <w:rFonts w:eastAsia="Times New Roman"/>
          <w:sz w:val="20"/>
          <w:szCs w:val="20"/>
          <w:lang w:val="pl-PL"/>
        </w:rPr>
        <w:t xml:space="preserve"> </w:t>
      </w:r>
      <w:hyperlink r:id="rId10" w:history="1">
        <w:r w:rsidR="00F40EC3" w:rsidRPr="00474D2D">
          <w:rPr>
            <w:rStyle w:val="Hyperlink"/>
            <w:rFonts w:eastAsia="Times New Roman"/>
            <w:sz w:val="20"/>
            <w:szCs w:val="20"/>
            <w:lang w:val="pl-PL"/>
          </w:rPr>
          <w:t>http://data.europa.eu/eli/reco/2024/2659/oj</w:t>
        </w:r>
      </w:hyperlink>
      <w:r w:rsidR="00F40EC3" w:rsidRPr="00474D2D">
        <w:rPr>
          <w:rFonts w:eastAsia="Times New Roman"/>
          <w:sz w:val="20"/>
          <w:szCs w:val="20"/>
          <w:lang w:val="pl-PL"/>
        </w:rPr>
        <w:t>.</w:t>
      </w:r>
    </w:p>
  </w:footnote>
  <w:footnote w:id="23">
    <w:p w14:paraId="07DD195F" w14:textId="2B7D7551" w:rsidR="49F47F3A" w:rsidRDefault="49F47F3A" w:rsidP="00474D2D">
      <w:pPr>
        <w:pStyle w:val="FootnoteText"/>
      </w:pPr>
      <w:r w:rsidRPr="00474D2D">
        <w:rPr>
          <w:vertAlign w:val="superscript"/>
        </w:rPr>
        <w:footnoteRef/>
      </w:r>
      <w:r>
        <w:t xml:space="preserve"> United States National Nuclear Security Administration (NNSA).</w:t>
      </w:r>
    </w:p>
  </w:footnote>
  <w:footnote w:id="24">
    <w:p w14:paraId="397C8B36" w14:textId="442DFB52" w:rsidR="000B0C95" w:rsidRPr="00C94AFC" w:rsidRDefault="000B0C95" w:rsidP="000B0C95">
      <w:pPr>
        <w:jc w:val="both"/>
      </w:pPr>
      <w:r w:rsidRPr="00C94AFC">
        <w:rPr>
          <w:rStyle w:val="FootnoteReference"/>
        </w:rPr>
        <w:footnoteRef/>
      </w:r>
      <w:r w:rsidRPr="00C94AFC">
        <w:t xml:space="preserve"> </w:t>
      </w:r>
      <w:r w:rsidRPr="00C94AFC">
        <w:rPr>
          <w:rFonts w:eastAsia="Calibri"/>
          <w:sz w:val="20"/>
          <w:szCs w:val="20"/>
        </w:rPr>
        <w:t>Information Note – Regulation (EU) 2021/821 of the European Parliament and of the Council setting up a Union regime for the control of exports, brokering, technical assistance, transit and transfer of dual-use items: Information on measures adopted by Member States in conformity with Articles 4, 5, 6, 7, 8, 9, 11, 12, 22 and 23 (PUB/2024/740), OJ</w:t>
      </w:r>
      <w:r w:rsidR="0091672C">
        <w:rPr>
          <w:rFonts w:eastAsia="Calibri"/>
          <w:sz w:val="20"/>
          <w:szCs w:val="20"/>
        </w:rPr>
        <w:t> </w:t>
      </w:r>
      <w:r w:rsidRPr="00C94AFC">
        <w:rPr>
          <w:rFonts w:eastAsia="Calibri"/>
          <w:sz w:val="20"/>
          <w:szCs w:val="20"/>
        </w:rPr>
        <w:t>C/2024/5881, 2.10.2024</w:t>
      </w:r>
      <w:r w:rsidR="0091672C">
        <w:rPr>
          <w:rFonts w:eastAsia="Calibri"/>
          <w:sz w:val="20"/>
          <w:szCs w:val="20"/>
        </w:rPr>
        <w:t>:</w:t>
      </w:r>
      <w:r w:rsidRPr="00C94AFC">
        <w:rPr>
          <w:rFonts w:eastAsia="Calibri"/>
          <w:sz w:val="20"/>
          <w:szCs w:val="20"/>
        </w:rPr>
        <w:t xml:space="preserve"> </w:t>
      </w:r>
      <w:hyperlink r:id="rId11" w:history="1">
        <w:r w:rsidRPr="00C94AFC">
          <w:rPr>
            <w:rStyle w:val="Hyperlink"/>
            <w:rFonts w:eastAsia="Calibri"/>
            <w:sz w:val="20"/>
            <w:szCs w:val="20"/>
          </w:rPr>
          <w:t>http://data.europa.eu/eli/C/2024/5881/oj</w:t>
        </w:r>
      </w:hyperlink>
      <w:r w:rsidRPr="00C94AFC">
        <w:rPr>
          <w:rFonts w:eastAsia="Calibri"/>
          <w:sz w:val="20"/>
          <w:szCs w:val="20"/>
        </w:rPr>
        <w:t>.</w:t>
      </w:r>
    </w:p>
  </w:footnote>
  <w:footnote w:id="25">
    <w:p w14:paraId="0D504BC0" w14:textId="330F4CB6" w:rsidR="002320B7" w:rsidRPr="00C94AFC" w:rsidRDefault="002320B7" w:rsidP="001B46AF">
      <w:pPr>
        <w:pStyle w:val="FootnoteText"/>
        <w:jc w:val="both"/>
      </w:pPr>
      <w:r w:rsidRPr="00C94AFC">
        <w:rPr>
          <w:rStyle w:val="FootnoteReference"/>
        </w:rPr>
        <w:footnoteRef/>
      </w:r>
      <w:r w:rsidR="100A786D" w:rsidRPr="00C94AFC">
        <w:t xml:space="preserve"> </w:t>
      </w:r>
      <w:hyperlink r:id="rId12" w:history="1">
        <w:r w:rsidR="100A786D" w:rsidRPr="00C94AFC">
          <w:rPr>
            <w:rStyle w:val="Hyperlink"/>
          </w:rPr>
          <w:t>https://eur-lex.europa.eu/legal-content/EN/TXT/?uri=CELEX%3A32025H0683</w:t>
        </w:r>
      </w:hyperlink>
      <w:r w:rsidR="100A786D" w:rsidRPr="00C94AFC">
        <w:t>.</w:t>
      </w:r>
    </w:p>
  </w:footnote>
  <w:footnote w:id="26">
    <w:p w14:paraId="2E7DD2B0" w14:textId="6CFEA660" w:rsidR="008D0D0F" w:rsidRPr="00C94AFC" w:rsidRDefault="008D0D0F" w:rsidP="00D260A7">
      <w:pPr>
        <w:pStyle w:val="FootnoteText"/>
        <w:jc w:val="both"/>
      </w:pPr>
      <w:r w:rsidRPr="00C94AFC">
        <w:rPr>
          <w:rStyle w:val="FootnoteReference"/>
        </w:rPr>
        <w:footnoteRef/>
      </w:r>
      <w:r w:rsidRPr="00C94AFC">
        <w:t xml:space="preserve"> </w:t>
      </w:r>
      <w:hyperlink r:id="rId13" w:history="1">
        <w:r w:rsidRPr="00C94AFC">
          <w:rPr>
            <w:rStyle w:val="Hyperlink"/>
          </w:rPr>
          <w:t>Commission Recommendation (EU) 2024/214</w:t>
        </w:r>
      </w:hyperlink>
      <w:r w:rsidRPr="00C94AFC">
        <w:t xml:space="preserve"> of 10</w:t>
      </w:r>
      <w:r w:rsidR="00C94AFC">
        <w:t> </w:t>
      </w:r>
      <w:r w:rsidRPr="00C94AFC">
        <w:t>January 2024 setting out the methodology for data gathering and processing for the preparation of the annual report on the control of exports, brokering, technical assistance, transit and transfer of dual-use items pursuant to Regulation (EU) 2021/821 (‘the Guidelines’)</w:t>
      </w:r>
      <w:r w:rsidR="00372067">
        <w:t>.</w:t>
      </w:r>
    </w:p>
  </w:footnote>
  <w:footnote w:id="27">
    <w:p w14:paraId="2C088846" w14:textId="00419CED" w:rsidR="008D0D0F" w:rsidRPr="00C94AFC" w:rsidRDefault="008D0D0F" w:rsidP="001B46AF">
      <w:pPr>
        <w:pStyle w:val="FootnoteText"/>
        <w:jc w:val="both"/>
      </w:pPr>
      <w:r w:rsidRPr="00C94AFC">
        <w:rPr>
          <w:rStyle w:val="FootnoteReference"/>
        </w:rPr>
        <w:footnoteRef/>
      </w:r>
      <w:r w:rsidRPr="00C94AFC">
        <w:t xml:space="preserve"> Cf. Article</w:t>
      </w:r>
      <w:r w:rsidR="00C94AFC">
        <w:t> </w:t>
      </w:r>
      <w:r w:rsidRPr="00C94AFC">
        <w:t>26(2) of the Regulation</w:t>
      </w:r>
      <w:r w:rsidR="00372067">
        <w:t>.</w:t>
      </w:r>
    </w:p>
  </w:footnote>
  <w:footnote w:id="28">
    <w:p w14:paraId="19F1C783" w14:textId="77777777" w:rsidR="000B0C95" w:rsidRPr="00C94AFC" w:rsidRDefault="000B0C95" w:rsidP="000B0C95">
      <w:pPr>
        <w:pStyle w:val="FootnoteText"/>
        <w:jc w:val="both"/>
      </w:pPr>
      <w:r w:rsidRPr="00C94AFC">
        <w:rPr>
          <w:rStyle w:val="FootnoteReference"/>
        </w:rPr>
        <w:footnoteRef/>
      </w:r>
      <w:r w:rsidRPr="00C94AFC">
        <w:t xml:space="preserve"> E.g. ECCN 0A001: Nuclear reactors.</w:t>
      </w:r>
    </w:p>
  </w:footnote>
  <w:footnote w:id="29">
    <w:p w14:paraId="79877299" w14:textId="336ACF08" w:rsidR="00193EC5" w:rsidRPr="00C94AFC" w:rsidRDefault="00193EC5" w:rsidP="00D260A7">
      <w:pPr>
        <w:pStyle w:val="FootnoteText"/>
        <w:jc w:val="both"/>
      </w:pPr>
      <w:r w:rsidRPr="00C94AFC">
        <w:rPr>
          <w:rStyle w:val="FootnoteReference"/>
        </w:rPr>
        <w:footnoteRef/>
      </w:r>
      <w:r w:rsidRPr="00C94AFC">
        <w:t xml:space="preserve"> </w:t>
      </w:r>
      <w:bookmarkStart w:id="13" w:name="_Hlk221698536"/>
      <w:r w:rsidRPr="00C94AFC">
        <w:rPr>
          <w:rFonts w:eastAsia="Times New Roman"/>
        </w:rPr>
        <w:t>This includes voluntary data on uses of national general export authorisations and EU general export authorisations. The data in these figures do not cover all 27 EU Member States.</w:t>
      </w:r>
      <w:bookmarkEnd w:id="13"/>
    </w:p>
  </w:footnote>
  <w:footnote w:id="30">
    <w:p w14:paraId="1F4EA01C" w14:textId="62732557" w:rsidR="00FD0AB2" w:rsidRPr="00C94AFC" w:rsidRDefault="00FD0AB2" w:rsidP="00D260A7">
      <w:pPr>
        <w:pStyle w:val="FootnoteText"/>
        <w:jc w:val="both"/>
      </w:pPr>
      <w:r w:rsidRPr="00C94AFC">
        <w:rPr>
          <w:rStyle w:val="FootnoteReference"/>
        </w:rPr>
        <w:footnoteRef/>
      </w:r>
      <w:r w:rsidRPr="00C94AFC">
        <w:t xml:space="preserve"> In accordance with the third paragraph of Article</w:t>
      </w:r>
      <w:r w:rsidR="00C94AFC">
        <w:t> </w:t>
      </w:r>
      <w:r w:rsidRPr="00C94AFC">
        <w:t xml:space="preserve">26(2) of the Regulation, Sections </w:t>
      </w:r>
      <w:r w:rsidR="001E2DD0">
        <w:t>4</w:t>
      </w:r>
      <w:r w:rsidRPr="00C94AFC">
        <w:t xml:space="preserve">.2 to </w:t>
      </w:r>
      <w:r w:rsidR="001E2DD0">
        <w:t>4</w:t>
      </w:r>
      <w:r w:rsidRPr="00C94AFC">
        <w:t xml:space="preserve">.7 of this report do not include data relating to cyber-surveillance items. Information on those items is provided in Section </w:t>
      </w:r>
      <w:r w:rsidR="001E2DD0">
        <w:t>5</w:t>
      </w:r>
      <w:r w:rsidR="001E2DD0" w:rsidRPr="00C94AFC">
        <w:t xml:space="preserve"> </w:t>
      </w:r>
      <w:r w:rsidRPr="00C94AFC">
        <w:t>below.</w:t>
      </w:r>
    </w:p>
  </w:footnote>
  <w:footnote w:id="31">
    <w:p w14:paraId="125F6F4E" w14:textId="77777777" w:rsidR="008D0D0F" w:rsidRPr="00C94AFC" w:rsidRDefault="008D0D0F" w:rsidP="00D260A7">
      <w:pPr>
        <w:pStyle w:val="FootnoteText"/>
        <w:jc w:val="both"/>
      </w:pPr>
      <w:r w:rsidRPr="00C94AFC">
        <w:rPr>
          <w:rStyle w:val="FootnoteReference"/>
        </w:rPr>
        <w:footnoteRef/>
      </w:r>
      <w:r w:rsidRPr="00C94AFC">
        <w:t xml:space="preserve"> This includes voluntary data on uses of national general export authorisations and EU general export authorisations.</w:t>
      </w:r>
    </w:p>
  </w:footnote>
  <w:footnote w:id="32">
    <w:p w14:paraId="723DC69E" w14:textId="36BC5665" w:rsidR="008D0D0F" w:rsidRPr="00C94AFC" w:rsidRDefault="008D0D0F" w:rsidP="00D260A7">
      <w:pPr>
        <w:pStyle w:val="FootnoteText"/>
        <w:jc w:val="both"/>
      </w:pPr>
      <w:r w:rsidRPr="00C94AFC">
        <w:rPr>
          <w:rStyle w:val="FootnoteReference"/>
        </w:rPr>
        <w:footnoteRef/>
      </w:r>
      <w:r w:rsidRPr="00C94AFC">
        <w:t xml:space="preserve"> Please note that export authorisations with a destination to the Russian Federation correspond to </w:t>
      </w:r>
      <w:r w:rsidR="006D58C5" w:rsidRPr="00C94AFC">
        <w:t xml:space="preserve">trade taking place under the limited </w:t>
      </w:r>
      <w:r w:rsidRPr="00C94AFC">
        <w:t xml:space="preserve">exemptions and derogations </w:t>
      </w:r>
      <w:r w:rsidR="006D58C5" w:rsidRPr="00C94AFC">
        <w:t xml:space="preserve">under the EU’s Russia sanctions regime. See </w:t>
      </w:r>
      <w:r w:rsidRPr="00C94AFC">
        <w:t>Council Regulation (EU) No</w:t>
      </w:r>
      <w:r w:rsidR="00C94AFC">
        <w:t> </w:t>
      </w:r>
      <w:r w:rsidRPr="00C94AFC">
        <w:t>833/2014 of 31</w:t>
      </w:r>
      <w:r w:rsidR="00C94AFC">
        <w:t> </w:t>
      </w:r>
      <w:r w:rsidRPr="00C94AFC">
        <w:t>July 2014 concerning restrictive measures in view of Russia’s war of aggression against Ukraine.</w:t>
      </w:r>
    </w:p>
  </w:footnote>
  <w:footnote w:id="33">
    <w:p w14:paraId="46F99FF2" w14:textId="77777777" w:rsidR="008D0D0F" w:rsidRPr="00C94AFC" w:rsidRDefault="008D0D0F" w:rsidP="00D260A7">
      <w:pPr>
        <w:pStyle w:val="FootnoteText"/>
        <w:jc w:val="both"/>
      </w:pPr>
      <w:r w:rsidRPr="00C94AFC">
        <w:rPr>
          <w:rStyle w:val="FootnoteReference"/>
        </w:rPr>
        <w:footnoteRef/>
      </w:r>
      <w:r w:rsidRPr="00C94AFC">
        <w:t xml:space="preserve"> </w:t>
      </w:r>
      <w:r w:rsidRPr="00C94AFC">
        <w:rPr>
          <w:i/>
          <w:iCs/>
        </w:rPr>
        <w:t>Ibid</w:t>
      </w:r>
      <w:r w:rsidRPr="00C94AFC">
        <w:t>.</w:t>
      </w:r>
    </w:p>
  </w:footnote>
  <w:footnote w:id="34">
    <w:p w14:paraId="7179ED30" w14:textId="77777777" w:rsidR="008D0D0F" w:rsidRPr="00C94AFC" w:rsidRDefault="008D0D0F" w:rsidP="001B46AF">
      <w:pPr>
        <w:pStyle w:val="FootnoteText"/>
        <w:jc w:val="both"/>
      </w:pPr>
      <w:r w:rsidRPr="00C94AFC">
        <w:rPr>
          <w:rStyle w:val="FootnoteReference"/>
        </w:rPr>
        <w:footnoteRef/>
      </w:r>
      <w:r w:rsidRPr="00C94AFC">
        <w:t xml:space="preserve"> EU001 – Exports to Australia, Canada, Iceland, Japan, New Zealand, Norway, Switzerland, Liechtenstein, the United Kingdom and the United States of America</w:t>
      </w:r>
    </w:p>
    <w:p w14:paraId="6D8D4851" w14:textId="77777777" w:rsidR="008D0D0F" w:rsidRPr="00C94AFC" w:rsidRDefault="008D0D0F" w:rsidP="001B46AF">
      <w:pPr>
        <w:pStyle w:val="FootnoteText"/>
        <w:jc w:val="both"/>
      </w:pPr>
      <w:r w:rsidRPr="00C94AFC">
        <w:t>EU002 – Export of certain dual-use items to certain destinations</w:t>
      </w:r>
    </w:p>
    <w:p w14:paraId="601C2B42" w14:textId="77777777" w:rsidR="008D0D0F" w:rsidRPr="00C94AFC" w:rsidRDefault="008D0D0F" w:rsidP="001B46AF">
      <w:pPr>
        <w:pStyle w:val="FootnoteText"/>
        <w:jc w:val="both"/>
      </w:pPr>
      <w:r w:rsidRPr="00C94AFC">
        <w:t>EU003 – Export after repair/replacement</w:t>
      </w:r>
    </w:p>
    <w:p w14:paraId="33B4691B" w14:textId="77777777" w:rsidR="008D0D0F" w:rsidRPr="00C94AFC" w:rsidRDefault="008D0D0F" w:rsidP="001B46AF">
      <w:pPr>
        <w:pStyle w:val="FootnoteText"/>
        <w:jc w:val="both"/>
      </w:pPr>
      <w:r w:rsidRPr="00C94AFC">
        <w:t>EU004 – Temporary export for exhibitions or fairs</w:t>
      </w:r>
    </w:p>
    <w:p w14:paraId="2B30FA64" w14:textId="77777777" w:rsidR="008D0D0F" w:rsidRPr="00C94AFC" w:rsidRDefault="008D0D0F" w:rsidP="001B46AF">
      <w:pPr>
        <w:pStyle w:val="FootnoteText"/>
        <w:jc w:val="both"/>
      </w:pPr>
      <w:r w:rsidRPr="00C94AFC">
        <w:t>EU005 – Telecommunications</w:t>
      </w:r>
    </w:p>
    <w:p w14:paraId="1102900B" w14:textId="77777777" w:rsidR="008D0D0F" w:rsidRPr="00C94AFC" w:rsidRDefault="008D0D0F" w:rsidP="001B46AF">
      <w:pPr>
        <w:pStyle w:val="FootnoteText"/>
        <w:jc w:val="both"/>
      </w:pPr>
      <w:r w:rsidRPr="00C94AFC">
        <w:t>EU006 – Chemicals</w:t>
      </w:r>
    </w:p>
    <w:p w14:paraId="2A5CB4F0" w14:textId="77777777" w:rsidR="008D0D0F" w:rsidRPr="00C94AFC" w:rsidRDefault="008D0D0F" w:rsidP="001B46AF">
      <w:pPr>
        <w:pStyle w:val="FootnoteText"/>
        <w:jc w:val="both"/>
      </w:pPr>
      <w:r w:rsidRPr="00C94AFC">
        <w:t>EU007 – Intra-group technology transfers</w:t>
      </w:r>
    </w:p>
    <w:p w14:paraId="419624D8" w14:textId="77777777" w:rsidR="008D0D0F" w:rsidRPr="00C94AFC" w:rsidRDefault="008D0D0F" w:rsidP="001B46AF">
      <w:pPr>
        <w:pStyle w:val="FootnoteText"/>
        <w:jc w:val="both"/>
      </w:pPr>
      <w:r w:rsidRPr="00C94AFC">
        <w:t>EU008 – Encryption</w:t>
      </w:r>
    </w:p>
    <w:p w14:paraId="38103B26" w14:textId="77777777" w:rsidR="008D0D0F" w:rsidRPr="00C94AFC" w:rsidRDefault="008D0D0F" w:rsidP="001B46AF">
      <w:pPr>
        <w:pStyle w:val="FootnoteText"/>
        <w:jc w:val="both"/>
      </w:pPr>
    </w:p>
  </w:footnote>
  <w:footnote w:id="35">
    <w:p w14:paraId="61BA01FC" w14:textId="5D128CBD" w:rsidR="008D0D0F" w:rsidRPr="00C94AFC" w:rsidRDefault="008D0D0F" w:rsidP="00D260A7">
      <w:pPr>
        <w:pStyle w:val="FootnoteText"/>
        <w:jc w:val="both"/>
      </w:pPr>
      <w:r w:rsidRPr="00C94AFC">
        <w:rPr>
          <w:rStyle w:val="FootnoteReference"/>
        </w:rPr>
        <w:footnoteRef/>
      </w:r>
      <w:r w:rsidRPr="00C94AFC">
        <w:t xml:space="preserve"> In accordance with the provisions for EU general export authorisations in Annex II to the Regulation, </w:t>
      </w:r>
      <w:r w:rsidR="003A59FE">
        <w:rPr>
          <w:i/>
          <w:iCs/>
        </w:rPr>
        <w:t>[t]</w:t>
      </w:r>
      <w:r w:rsidRPr="00C94AFC">
        <w:rPr>
          <w:i/>
          <w:iCs/>
        </w:rPr>
        <w:t>he exporter who uses this authorisation shall notify the competent authority of the Member State where the exporter is resident or established of the first use of this authorisation within 30 days from the date when the first export took place or, alternatively, and in accordance with a requirement by the competent authority of the Member State where the exporter is resident or established, prior to the first use of this authorisation. Member States shall notify the Commission of the notification mechanism chosen for this authorisation. The Commission shall publish the information notified to it in the C series of the Official Journal of the European Union</w:t>
      </w:r>
      <w:r w:rsidRPr="00C94AFC">
        <w:t>.</w:t>
      </w:r>
    </w:p>
  </w:footnote>
  <w:footnote w:id="36">
    <w:p w14:paraId="37EB10F1" w14:textId="2BAE0BB9" w:rsidR="008D0D0F" w:rsidRPr="00C94AFC" w:rsidRDefault="008D0D0F" w:rsidP="00D260A7">
      <w:pPr>
        <w:pStyle w:val="FootnoteText"/>
        <w:jc w:val="both"/>
      </w:pPr>
      <w:r w:rsidRPr="00C94AFC">
        <w:rPr>
          <w:rStyle w:val="FootnoteReference"/>
        </w:rPr>
        <w:footnoteRef/>
      </w:r>
      <w:r w:rsidRPr="00C94AFC">
        <w:t xml:space="preserve"> More information on cyber-surveillance items can be found in the Guidelines of 16</w:t>
      </w:r>
      <w:r w:rsidR="00C94AFC">
        <w:t> </w:t>
      </w:r>
      <w:r w:rsidRPr="00C94AFC">
        <w:t>October 2024, as referred to in footnote 7.</w:t>
      </w:r>
    </w:p>
  </w:footnote>
  <w:footnote w:id="37">
    <w:p w14:paraId="4FF5B2B5" w14:textId="4F04829C" w:rsidR="008D0D0F" w:rsidRPr="00C94AFC" w:rsidRDefault="008D0D0F" w:rsidP="00D260A7">
      <w:pPr>
        <w:pStyle w:val="FootnoteText"/>
        <w:jc w:val="both"/>
      </w:pPr>
      <w:r w:rsidRPr="00C94AFC">
        <w:rPr>
          <w:rStyle w:val="FootnoteReference"/>
        </w:rPr>
        <w:footnoteRef/>
      </w:r>
      <w:r w:rsidRPr="00C94AFC">
        <w:t xml:space="preserve"> Please note that Article</w:t>
      </w:r>
      <w:r w:rsidR="00C94AFC">
        <w:t> </w:t>
      </w:r>
      <w:r w:rsidRPr="00C94AFC">
        <w:t>11 of the Regulation also requires licences issued by Member States in the case of intra-EU exports of specific cyber-surveillance items listed in Annex IV to the Regulation.</w:t>
      </w:r>
    </w:p>
  </w:footnote>
  <w:footnote w:id="38">
    <w:p w14:paraId="1FD5BCB2" w14:textId="77777777" w:rsidR="008D0D0F" w:rsidRPr="00C94AFC" w:rsidRDefault="008D0D0F" w:rsidP="00D260A7">
      <w:pPr>
        <w:pStyle w:val="FootnoteText"/>
        <w:jc w:val="both"/>
      </w:pPr>
      <w:r w:rsidRPr="00C94AFC">
        <w:rPr>
          <w:rStyle w:val="FootnoteReference"/>
        </w:rPr>
        <w:footnoteRef/>
      </w:r>
      <w:r w:rsidRPr="00C94AFC">
        <w:t xml:space="preserve"> e-Licensing is a web-based platform to request authorisations for exporting, brokering, technical assistance, transit and transfer of dual-use items, such as software and technology.</w:t>
      </w:r>
    </w:p>
  </w:footnote>
  <w:footnote w:id="39">
    <w:p w14:paraId="65B4C490" w14:textId="77777777" w:rsidR="008D0D0F" w:rsidRPr="00C94AFC" w:rsidRDefault="008D0D0F" w:rsidP="001B46AF">
      <w:pPr>
        <w:pStyle w:val="FootnoteText"/>
        <w:jc w:val="both"/>
      </w:pPr>
      <w:r w:rsidRPr="00C94AFC">
        <w:rPr>
          <w:rStyle w:val="FootnoteReference"/>
        </w:rPr>
        <w:footnoteRef/>
      </w:r>
      <w:r w:rsidRPr="00C94AFC">
        <w:t xml:space="preserve"> Such tools can assist exporters and national authorities in classifying items.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3150" w14:textId="77777777" w:rsidR="006C064B" w:rsidRPr="00DB0D0B" w:rsidRDefault="006C064B" w:rsidP="00DB0D0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74EE" w14:textId="77777777" w:rsidR="006C064B" w:rsidRPr="00DB0D0B" w:rsidRDefault="006C064B" w:rsidP="00DB0D0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4AD4" w14:textId="77777777" w:rsidR="006C064B" w:rsidRPr="00DB0D0B" w:rsidRDefault="006C064B" w:rsidP="00DB0D0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A71C" w14:textId="77777777" w:rsidR="00EF0D4D" w:rsidRPr="00C94AFC" w:rsidRDefault="00EF0D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1B3E" w14:textId="1C8CBC06" w:rsidR="00EF0D4D" w:rsidRPr="00C94AFC" w:rsidRDefault="00EF0D4D" w:rsidP="00B25A6B">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8F0A" w14:textId="77777777" w:rsidR="00EF0D4D" w:rsidRPr="00C94AFC" w:rsidRDefault="00EF0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14E6"/>
    <w:multiLevelType w:val="hybridMultilevel"/>
    <w:tmpl w:val="C4CC5A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7270590"/>
    <w:multiLevelType w:val="hybridMultilevel"/>
    <w:tmpl w:val="FE2209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D33A64"/>
    <w:multiLevelType w:val="hybridMultilevel"/>
    <w:tmpl w:val="A3B2712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DC24D50"/>
    <w:multiLevelType w:val="hybridMultilevel"/>
    <w:tmpl w:val="96522F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47A26EE"/>
    <w:multiLevelType w:val="hybridMultilevel"/>
    <w:tmpl w:val="8B40B1C2"/>
    <w:lvl w:ilvl="0" w:tplc="0407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BC011F"/>
    <w:multiLevelType w:val="hybridMultilevel"/>
    <w:tmpl w:val="5A3E675A"/>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6" w15:restartNumberingAfterBreak="0">
    <w:nsid w:val="2CD46B29"/>
    <w:multiLevelType w:val="multilevel"/>
    <w:tmpl w:val="9D463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66339"/>
    <w:multiLevelType w:val="hybridMultilevel"/>
    <w:tmpl w:val="C1BAB696"/>
    <w:lvl w:ilvl="0" w:tplc="511AD4F4">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791DED"/>
    <w:multiLevelType w:val="hybridMultilevel"/>
    <w:tmpl w:val="357AF2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A8670D"/>
    <w:multiLevelType w:val="hybridMultilevel"/>
    <w:tmpl w:val="31B8E9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71C61A0"/>
    <w:multiLevelType w:val="hybridMultilevel"/>
    <w:tmpl w:val="EE2C9E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4A2977"/>
    <w:multiLevelType w:val="hybridMultilevel"/>
    <w:tmpl w:val="D7BA807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9F6BC7"/>
    <w:multiLevelType w:val="hybridMultilevel"/>
    <w:tmpl w:val="13B8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A825A1D"/>
    <w:multiLevelType w:val="hybridMultilevel"/>
    <w:tmpl w:val="BEA660D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5102DD"/>
    <w:multiLevelType w:val="hybridMultilevel"/>
    <w:tmpl w:val="FA94B36E"/>
    <w:lvl w:ilvl="0" w:tplc="DBE68FB4">
      <w:start w:val="1"/>
      <w:numFmt w:val="decimal"/>
      <w:lvlText w:val="%1."/>
      <w:lvlJc w:val="left"/>
      <w:pPr>
        <w:ind w:left="720" w:hanging="360"/>
      </w:pPr>
      <w:rPr>
        <w:rFonts w:hint="default"/>
        <w:b w:val="0"/>
      </w:rPr>
    </w:lvl>
    <w:lvl w:ilvl="1" w:tplc="C4D2513E">
      <w:start w:val="1"/>
      <w:numFmt w:val="lowerRoman"/>
      <w:lvlText w:val="(%2)"/>
      <w:lvlJc w:val="left"/>
      <w:pPr>
        <w:ind w:left="1800" w:hanging="720"/>
      </w:pPr>
      <w:rPr>
        <w:rFonts w:hint="default"/>
      </w:rPr>
    </w:lvl>
    <w:lvl w:ilvl="2" w:tplc="E0082A7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186CAE"/>
    <w:multiLevelType w:val="hybridMultilevel"/>
    <w:tmpl w:val="25BE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C5177"/>
    <w:multiLevelType w:val="hybridMultilevel"/>
    <w:tmpl w:val="F64A0742"/>
    <w:lvl w:ilvl="0" w:tplc="FDB4ADB6">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76D5CE4"/>
    <w:multiLevelType w:val="hybridMultilevel"/>
    <w:tmpl w:val="B0F2E912"/>
    <w:lvl w:ilvl="0" w:tplc="FDB4ADB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252BEC"/>
    <w:multiLevelType w:val="hybridMultilevel"/>
    <w:tmpl w:val="64DEFF9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E3476D6"/>
    <w:multiLevelType w:val="hybridMultilevel"/>
    <w:tmpl w:val="A86E051A"/>
    <w:lvl w:ilvl="0" w:tplc="0407000F">
      <w:start w:val="1"/>
      <w:numFmt w:val="decimal"/>
      <w:lvlText w:val="%1."/>
      <w:lvlJc w:val="left"/>
      <w:pPr>
        <w:ind w:left="77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0F63771"/>
    <w:multiLevelType w:val="hybridMultilevel"/>
    <w:tmpl w:val="748C89D0"/>
    <w:lvl w:ilvl="0" w:tplc="0407000F">
      <w:start w:val="1"/>
      <w:numFmt w:val="decimal"/>
      <w:lvlText w:val="%1."/>
      <w:lvlJc w:val="left"/>
      <w:pPr>
        <w:ind w:left="774" w:hanging="360"/>
      </w:pPr>
    </w:lvl>
    <w:lvl w:ilvl="1" w:tplc="04070019" w:tentative="1">
      <w:start w:val="1"/>
      <w:numFmt w:val="lowerLetter"/>
      <w:lvlText w:val="%2."/>
      <w:lvlJc w:val="left"/>
      <w:pPr>
        <w:ind w:left="1494" w:hanging="360"/>
      </w:pPr>
    </w:lvl>
    <w:lvl w:ilvl="2" w:tplc="0407001B" w:tentative="1">
      <w:start w:val="1"/>
      <w:numFmt w:val="lowerRoman"/>
      <w:lvlText w:val="%3."/>
      <w:lvlJc w:val="right"/>
      <w:pPr>
        <w:ind w:left="2214" w:hanging="180"/>
      </w:pPr>
    </w:lvl>
    <w:lvl w:ilvl="3" w:tplc="0407000F" w:tentative="1">
      <w:start w:val="1"/>
      <w:numFmt w:val="decimal"/>
      <w:lvlText w:val="%4."/>
      <w:lvlJc w:val="left"/>
      <w:pPr>
        <w:ind w:left="2934" w:hanging="360"/>
      </w:pPr>
    </w:lvl>
    <w:lvl w:ilvl="4" w:tplc="04070019" w:tentative="1">
      <w:start w:val="1"/>
      <w:numFmt w:val="lowerLetter"/>
      <w:lvlText w:val="%5."/>
      <w:lvlJc w:val="left"/>
      <w:pPr>
        <w:ind w:left="3654" w:hanging="360"/>
      </w:pPr>
    </w:lvl>
    <w:lvl w:ilvl="5" w:tplc="0407001B" w:tentative="1">
      <w:start w:val="1"/>
      <w:numFmt w:val="lowerRoman"/>
      <w:lvlText w:val="%6."/>
      <w:lvlJc w:val="right"/>
      <w:pPr>
        <w:ind w:left="4374" w:hanging="180"/>
      </w:pPr>
    </w:lvl>
    <w:lvl w:ilvl="6" w:tplc="0407000F" w:tentative="1">
      <w:start w:val="1"/>
      <w:numFmt w:val="decimal"/>
      <w:lvlText w:val="%7."/>
      <w:lvlJc w:val="left"/>
      <w:pPr>
        <w:ind w:left="5094" w:hanging="360"/>
      </w:pPr>
    </w:lvl>
    <w:lvl w:ilvl="7" w:tplc="04070019" w:tentative="1">
      <w:start w:val="1"/>
      <w:numFmt w:val="lowerLetter"/>
      <w:lvlText w:val="%8."/>
      <w:lvlJc w:val="left"/>
      <w:pPr>
        <w:ind w:left="5814" w:hanging="360"/>
      </w:pPr>
    </w:lvl>
    <w:lvl w:ilvl="8" w:tplc="0407001B" w:tentative="1">
      <w:start w:val="1"/>
      <w:numFmt w:val="lowerRoman"/>
      <w:lvlText w:val="%9."/>
      <w:lvlJc w:val="right"/>
      <w:pPr>
        <w:ind w:left="6534" w:hanging="180"/>
      </w:pPr>
    </w:lvl>
  </w:abstractNum>
  <w:abstractNum w:abstractNumId="21" w15:restartNumberingAfterBreak="0">
    <w:nsid w:val="510D2024"/>
    <w:multiLevelType w:val="hybridMultilevel"/>
    <w:tmpl w:val="538E0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21953A4"/>
    <w:multiLevelType w:val="hybridMultilevel"/>
    <w:tmpl w:val="E7B805F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8295438"/>
    <w:multiLevelType w:val="multilevel"/>
    <w:tmpl w:val="78CA7150"/>
    <w:lvl w:ilvl="0">
      <w:start w:val="5"/>
      <w:numFmt w:val="decimal"/>
      <w:pStyle w:val="TOC1"/>
      <w:lvlText w:val="%1."/>
      <w:lvlJc w:val="left"/>
      <w:pPr>
        <w:ind w:left="720" w:hanging="360"/>
      </w:pPr>
      <w:rPr>
        <w:rFonts w:hint="default"/>
        <w:color w:val="000000" w:themeColor="text1"/>
      </w:rPr>
    </w:lvl>
    <w:lvl w:ilvl="1">
      <w:start w:val="1"/>
      <w:numFmt w:val="decimal"/>
      <w:lvlText w:val="%1.%2."/>
      <w:lvlJc w:val="left"/>
      <w:pPr>
        <w:ind w:left="92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BAC2AAD"/>
    <w:multiLevelType w:val="hybridMultilevel"/>
    <w:tmpl w:val="D45A25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1634FA0"/>
    <w:multiLevelType w:val="hybridMultilevel"/>
    <w:tmpl w:val="BEF2EB12"/>
    <w:lvl w:ilvl="0" w:tplc="849AB02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60282A"/>
    <w:multiLevelType w:val="hybridMultilevel"/>
    <w:tmpl w:val="00CE3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6A6A0F"/>
    <w:multiLevelType w:val="hybridMultilevel"/>
    <w:tmpl w:val="0E1492E0"/>
    <w:lvl w:ilvl="0" w:tplc="0CD80326">
      <w:start w:val="1"/>
      <w:numFmt w:val="bullet"/>
      <w:lvlText w:val="ü"/>
      <w:lvlJc w:val="left"/>
      <w:pPr>
        <w:ind w:left="720" w:hanging="360"/>
      </w:pPr>
      <w:rPr>
        <w:rFonts w:ascii="Wingdings" w:hAnsi="Wingdings" w:hint="default"/>
      </w:rPr>
    </w:lvl>
    <w:lvl w:ilvl="1" w:tplc="4A32F654">
      <w:start w:val="1"/>
      <w:numFmt w:val="bullet"/>
      <w:lvlText w:val="o"/>
      <w:lvlJc w:val="left"/>
      <w:pPr>
        <w:ind w:left="1440" w:hanging="360"/>
      </w:pPr>
      <w:rPr>
        <w:rFonts w:ascii="Courier New" w:hAnsi="Courier New" w:hint="default"/>
      </w:rPr>
    </w:lvl>
    <w:lvl w:ilvl="2" w:tplc="96C8F0BC">
      <w:start w:val="1"/>
      <w:numFmt w:val="bullet"/>
      <w:lvlText w:val=""/>
      <w:lvlJc w:val="left"/>
      <w:pPr>
        <w:ind w:left="2160" w:hanging="360"/>
      </w:pPr>
      <w:rPr>
        <w:rFonts w:ascii="Wingdings" w:hAnsi="Wingdings" w:hint="default"/>
      </w:rPr>
    </w:lvl>
    <w:lvl w:ilvl="3" w:tplc="E8048E94">
      <w:start w:val="1"/>
      <w:numFmt w:val="bullet"/>
      <w:lvlText w:val=""/>
      <w:lvlJc w:val="left"/>
      <w:pPr>
        <w:ind w:left="2880" w:hanging="360"/>
      </w:pPr>
      <w:rPr>
        <w:rFonts w:ascii="Symbol" w:hAnsi="Symbol" w:hint="default"/>
      </w:rPr>
    </w:lvl>
    <w:lvl w:ilvl="4" w:tplc="5060D92E">
      <w:start w:val="1"/>
      <w:numFmt w:val="bullet"/>
      <w:lvlText w:val="o"/>
      <w:lvlJc w:val="left"/>
      <w:pPr>
        <w:ind w:left="3600" w:hanging="360"/>
      </w:pPr>
      <w:rPr>
        <w:rFonts w:ascii="Courier New" w:hAnsi="Courier New" w:hint="default"/>
      </w:rPr>
    </w:lvl>
    <w:lvl w:ilvl="5" w:tplc="69322EE4">
      <w:start w:val="1"/>
      <w:numFmt w:val="bullet"/>
      <w:lvlText w:val=""/>
      <w:lvlJc w:val="left"/>
      <w:pPr>
        <w:ind w:left="4320" w:hanging="360"/>
      </w:pPr>
      <w:rPr>
        <w:rFonts w:ascii="Wingdings" w:hAnsi="Wingdings" w:hint="default"/>
      </w:rPr>
    </w:lvl>
    <w:lvl w:ilvl="6" w:tplc="489E4BAA">
      <w:start w:val="1"/>
      <w:numFmt w:val="bullet"/>
      <w:lvlText w:val=""/>
      <w:lvlJc w:val="left"/>
      <w:pPr>
        <w:ind w:left="5040" w:hanging="360"/>
      </w:pPr>
      <w:rPr>
        <w:rFonts w:ascii="Symbol" w:hAnsi="Symbol" w:hint="default"/>
      </w:rPr>
    </w:lvl>
    <w:lvl w:ilvl="7" w:tplc="25A6C34C">
      <w:start w:val="1"/>
      <w:numFmt w:val="bullet"/>
      <w:lvlText w:val="o"/>
      <w:lvlJc w:val="left"/>
      <w:pPr>
        <w:ind w:left="5760" w:hanging="360"/>
      </w:pPr>
      <w:rPr>
        <w:rFonts w:ascii="Courier New" w:hAnsi="Courier New" w:hint="default"/>
      </w:rPr>
    </w:lvl>
    <w:lvl w:ilvl="8" w:tplc="E2A8E25A">
      <w:start w:val="1"/>
      <w:numFmt w:val="bullet"/>
      <w:lvlText w:val=""/>
      <w:lvlJc w:val="left"/>
      <w:pPr>
        <w:ind w:left="6480" w:hanging="360"/>
      </w:pPr>
      <w:rPr>
        <w:rFonts w:ascii="Wingdings" w:hAnsi="Wingdings" w:hint="default"/>
      </w:rPr>
    </w:lvl>
  </w:abstractNum>
  <w:abstractNum w:abstractNumId="28" w15:restartNumberingAfterBreak="0">
    <w:nsid w:val="6FEA2F83"/>
    <w:multiLevelType w:val="hybridMultilevel"/>
    <w:tmpl w:val="C31CB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2D0CB6"/>
    <w:multiLevelType w:val="hybridMultilevel"/>
    <w:tmpl w:val="CA1AF120"/>
    <w:lvl w:ilvl="0" w:tplc="F656D9B6">
      <w:start w:val="1"/>
      <w:numFmt w:val="decimal"/>
      <w:lvlText w:val="%1)"/>
      <w:lvlJc w:val="left"/>
      <w:pPr>
        <w:ind w:left="1020" w:hanging="360"/>
      </w:pPr>
    </w:lvl>
    <w:lvl w:ilvl="1" w:tplc="D77EAC82">
      <w:start w:val="1"/>
      <w:numFmt w:val="decimal"/>
      <w:lvlText w:val="%2)"/>
      <w:lvlJc w:val="left"/>
      <w:pPr>
        <w:ind w:left="1020" w:hanging="360"/>
      </w:pPr>
    </w:lvl>
    <w:lvl w:ilvl="2" w:tplc="62AE0160">
      <w:start w:val="1"/>
      <w:numFmt w:val="decimal"/>
      <w:lvlText w:val="%3)"/>
      <w:lvlJc w:val="left"/>
      <w:pPr>
        <w:ind w:left="1020" w:hanging="360"/>
      </w:pPr>
    </w:lvl>
    <w:lvl w:ilvl="3" w:tplc="251E7658">
      <w:start w:val="1"/>
      <w:numFmt w:val="decimal"/>
      <w:lvlText w:val="%4)"/>
      <w:lvlJc w:val="left"/>
      <w:pPr>
        <w:ind w:left="1020" w:hanging="360"/>
      </w:pPr>
    </w:lvl>
    <w:lvl w:ilvl="4" w:tplc="AF7229CE">
      <w:start w:val="1"/>
      <w:numFmt w:val="decimal"/>
      <w:lvlText w:val="%5)"/>
      <w:lvlJc w:val="left"/>
      <w:pPr>
        <w:ind w:left="1020" w:hanging="360"/>
      </w:pPr>
    </w:lvl>
    <w:lvl w:ilvl="5" w:tplc="5254B020">
      <w:start w:val="1"/>
      <w:numFmt w:val="decimal"/>
      <w:lvlText w:val="%6)"/>
      <w:lvlJc w:val="left"/>
      <w:pPr>
        <w:ind w:left="1020" w:hanging="360"/>
      </w:pPr>
    </w:lvl>
    <w:lvl w:ilvl="6" w:tplc="5B70462E">
      <w:start w:val="1"/>
      <w:numFmt w:val="decimal"/>
      <w:lvlText w:val="%7)"/>
      <w:lvlJc w:val="left"/>
      <w:pPr>
        <w:ind w:left="1020" w:hanging="360"/>
      </w:pPr>
    </w:lvl>
    <w:lvl w:ilvl="7" w:tplc="CDFA94FC">
      <w:start w:val="1"/>
      <w:numFmt w:val="decimal"/>
      <w:lvlText w:val="%8)"/>
      <w:lvlJc w:val="left"/>
      <w:pPr>
        <w:ind w:left="1020" w:hanging="360"/>
      </w:pPr>
    </w:lvl>
    <w:lvl w:ilvl="8" w:tplc="EDD0D342">
      <w:start w:val="1"/>
      <w:numFmt w:val="decimal"/>
      <w:lvlText w:val="%9)"/>
      <w:lvlJc w:val="left"/>
      <w:pPr>
        <w:ind w:left="1020" w:hanging="360"/>
      </w:pPr>
    </w:lvl>
  </w:abstractNum>
  <w:abstractNum w:abstractNumId="30" w15:restartNumberingAfterBreak="0">
    <w:nsid w:val="721D020C"/>
    <w:multiLevelType w:val="hybridMultilevel"/>
    <w:tmpl w:val="3FA85E8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5C006DD"/>
    <w:multiLevelType w:val="hybridMultilevel"/>
    <w:tmpl w:val="D7BA807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89954512">
    <w:abstractNumId w:val="27"/>
  </w:num>
  <w:num w:numId="2" w16cid:durableId="430205534">
    <w:abstractNumId w:val="26"/>
  </w:num>
  <w:num w:numId="3" w16cid:durableId="255599972">
    <w:abstractNumId w:val="14"/>
  </w:num>
  <w:num w:numId="4" w16cid:durableId="1940217091">
    <w:abstractNumId w:val="1"/>
  </w:num>
  <w:num w:numId="5" w16cid:durableId="1064260592">
    <w:abstractNumId w:val="15"/>
  </w:num>
  <w:num w:numId="6" w16cid:durableId="1872693633">
    <w:abstractNumId w:val="2"/>
  </w:num>
  <w:num w:numId="7" w16cid:durableId="188298420">
    <w:abstractNumId w:val="8"/>
  </w:num>
  <w:num w:numId="8" w16cid:durableId="753355046">
    <w:abstractNumId w:val="28"/>
  </w:num>
  <w:num w:numId="9" w16cid:durableId="2141607813">
    <w:abstractNumId w:val="10"/>
  </w:num>
  <w:num w:numId="10" w16cid:durableId="792672609">
    <w:abstractNumId w:val="25"/>
  </w:num>
  <w:num w:numId="11" w16cid:durableId="975836609">
    <w:abstractNumId w:val="12"/>
  </w:num>
  <w:num w:numId="12" w16cid:durableId="743528014">
    <w:abstractNumId w:val="3"/>
  </w:num>
  <w:num w:numId="13" w16cid:durableId="1601252764">
    <w:abstractNumId w:val="21"/>
  </w:num>
  <w:num w:numId="14" w16cid:durableId="1482037492">
    <w:abstractNumId w:val="6"/>
  </w:num>
  <w:num w:numId="15" w16cid:durableId="670063188">
    <w:abstractNumId w:val="18"/>
  </w:num>
  <w:num w:numId="16" w16cid:durableId="1705475898">
    <w:abstractNumId w:val="31"/>
  </w:num>
  <w:num w:numId="17" w16cid:durableId="1089932512">
    <w:abstractNumId w:val="13"/>
  </w:num>
  <w:num w:numId="18" w16cid:durableId="99448248">
    <w:abstractNumId w:val="4"/>
  </w:num>
  <w:num w:numId="19" w16cid:durableId="111096201">
    <w:abstractNumId w:val="17"/>
  </w:num>
  <w:num w:numId="20" w16cid:durableId="774055798">
    <w:abstractNumId w:val="11"/>
  </w:num>
  <w:num w:numId="21" w16cid:durableId="65617181">
    <w:abstractNumId w:val="7"/>
  </w:num>
  <w:num w:numId="22" w16cid:durableId="1673222982">
    <w:abstractNumId w:val="30"/>
  </w:num>
  <w:num w:numId="23" w16cid:durableId="685980082">
    <w:abstractNumId w:val="16"/>
  </w:num>
  <w:num w:numId="24" w16cid:durableId="1803696189">
    <w:abstractNumId w:val="9"/>
  </w:num>
  <w:num w:numId="25" w16cid:durableId="1755205636">
    <w:abstractNumId w:val="22"/>
  </w:num>
  <w:num w:numId="26" w16cid:durableId="1766224113">
    <w:abstractNumId w:val="5"/>
  </w:num>
  <w:num w:numId="27" w16cid:durableId="1907718615">
    <w:abstractNumId w:val="0"/>
  </w:num>
  <w:num w:numId="28" w16cid:durableId="297689339">
    <w:abstractNumId w:val="23"/>
  </w:num>
  <w:num w:numId="29" w16cid:durableId="149061075">
    <w:abstractNumId w:val="20"/>
  </w:num>
  <w:num w:numId="30" w16cid:durableId="352920533">
    <w:abstractNumId w:val="19"/>
  </w:num>
  <w:num w:numId="31" w16cid:durableId="917205892">
    <w:abstractNumId w:val="24"/>
  </w:num>
  <w:num w:numId="32" w16cid:durableId="3465634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ctiveWritingStyle w:appName="MSWord" w:lang="en-GB" w:vendorID="64" w:dllVersion="0" w:nlCheck="1" w:checkStyle="0"/>
  <w:activeWritingStyle w:appName="MSWord" w:lang="pl-PL"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46E6B0FD-0910-4F50-BBC1-3973B2C59C9B"/>
    <w:docVar w:name="LW_COVERPAGE_TYPE" w:val="1"/>
    <w:docVar w:name="LW_CROSSREFERENCE" w:val="{SWD(2026) 162 final}"/>
    <w:docVar w:name="LW_DocType" w:val="NORMAL"/>
    <w:docVar w:name="LW_EMISSION" w:val="25.6.2026"/>
    <w:docVar w:name="LW_EMISSION_ISODATE" w:val="2026-06-25"/>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Regulation (EU) 2021/821 setting up a Union regime for the control of exports, brokering, technical assistance, transit and transfer of dual-use items"/>
    <w:docVar w:name="LW_TYPE.DOC.CP" w:val="REPORT FROM THE COMMISSION TO THE EUROPEAN PARLIAMENT AND THE COUNCIL"/>
    <w:docVar w:name="LwApiVersions" w:val="LW4CoDe 1.23.2.0; LW 8.0, Build 20211117"/>
    <w:docVar w:name="Stamp" w:val="\\dossiers.dgt.cec.eu.int\dossiers\TRADE\TRADE-2026-00363\TRADE-2026-00363-00-00-EN-EDT-00.202604151149183234855.DOCX"/>
  </w:docVars>
  <w:rsids>
    <w:rsidRoot w:val="00AA655D"/>
    <w:rsid w:val="00000055"/>
    <w:rsid w:val="00000409"/>
    <w:rsid w:val="00000D55"/>
    <w:rsid w:val="0000201D"/>
    <w:rsid w:val="000034FA"/>
    <w:rsid w:val="0000355C"/>
    <w:rsid w:val="00003D07"/>
    <w:rsid w:val="00004457"/>
    <w:rsid w:val="00005F6B"/>
    <w:rsid w:val="00006472"/>
    <w:rsid w:val="00006639"/>
    <w:rsid w:val="000071E0"/>
    <w:rsid w:val="00007241"/>
    <w:rsid w:val="000076EC"/>
    <w:rsid w:val="00007861"/>
    <w:rsid w:val="00010CA8"/>
    <w:rsid w:val="00010D89"/>
    <w:rsid w:val="00011C4B"/>
    <w:rsid w:val="00011D3D"/>
    <w:rsid w:val="000121E4"/>
    <w:rsid w:val="00012299"/>
    <w:rsid w:val="0001275C"/>
    <w:rsid w:val="00012F0F"/>
    <w:rsid w:val="00013121"/>
    <w:rsid w:val="00013313"/>
    <w:rsid w:val="0001388E"/>
    <w:rsid w:val="00013BDE"/>
    <w:rsid w:val="00014570"/>
    <w:rsid w:val="00014664"/>
    <w:rsid w:val="000156A3"/>
    <w:rsid w:val="00015884"/>
    <w:rsid w:val="000167C6"/>
    <w:rsid w:val="0001708D"/>
    <w:rsid w:val="000176B5"/>
    <w:rsid w:val="000178EB"/>
    <w:rsid w:val="00017C0B"/>
    <w:rsid w:val="00017CBC"/>
    <w:rsid w:val="00017D01"/>
    <w:rsid w:val="00020181"/>
    <w:rsid w:val="000202D9"/>
    <w:rsid w:val="00021125"/>
    <w:rsid w:val="00021282"/>
    <w:rsid w:val="000214FD"/>
    <w:rsid w:val="000223C5"/>
    <w:rsid w:val="000224B6"/>
    <w:rsid w:val="00022DA0"/>
    <w:rsid w:val="00022F0B"/>
    <w:rsid w:val="00022FB4"/>
    <w:rsid w:val="00023304"/>
    <w:rsid w:val="000233AA"/>
    <w:rsid w:val="0002384C"/>
    <w:rsid w:val="00026108"/>
    <w:rsid w:val="00026543"/>
    <w:rsid w:val="00026608"/>
    <w:rsid w:val="00027B94"/>
    <w:rsid w:val="00030733"/>
    <w:rsid w:val="00030750"/>
    <w:rsid w:val="0003080F"/>
    <w:rsid w:val="00030E50"/>
    <w:rsid w:val="000314C5"/>
    <w:rsid w:val="0003218E"/>
    <w:rsid w:val="0003349F"/>
    <w:rsid w:val="0003382D"/>
    <w:rsid w:val="00033EB3"/>
    <w:rsid w:val="0003416D"/>
    <w:rsid w:val="000346C4"/>
    <w:rsid w:val="00034774"/>
    <w:rsid w:val="00034951"/>
    <w:rsid w:val="00034EED"/>
    <w:rsid w:val="0003547C"/>
    <w:rsid w:val="00035E2B"/>
    <w:rsid w:val="00035EDD"/>
    <w:rsid w:val="00036768"/>
    <w:rsid w:val="00040526"/>
    <w:rsid w:val="000407F7"/>
    <w:rsid w:val="00040D6C"/>
    <w:rsid w:val="000415B7"/>
    <w:rsid w:val="00041A3A"/>
    <w:rsid w:val="00042960"/>
    <w:rsid w:val="00042D5B"/>
    <w:rsid w:val="00043B1E"/>
    <w:rsid w:val="00043C54"/>
    <w:rsid w:val="00044596"/>
    <w:rsid w:val="0004715F"/>
    <w:rsid w:val="000471B8"/>
    <w:rsid w:val="00047334"/>
    <w:rsid w:val="00047831"/>
    <w:rsid w:val="00047D49"/>
    <w:rsid w:val="00050B2D"/>
    <w:rsid w:val="000513F2"/>
    <w:rsid w:val="0005195F"/>
    <w:rsid w:val="00051C52"/>
    <w:rsid w:val="0005202F"/>
    <w:rsid w:val="00052A74"/>
    <w:rsid w:val="000530A4"/>
    <w:rsid w:val="00054026"/>
    <w:rsid w:val="00054288"/>
    <w:rsid w:val="00054321"/>
    <w:rsid w:val="000544D4"/>
    <w:rsid w:val="000547AF"/>
    <w:rsid w:val="00054AD2"/>
    <w:rsid w:val="00054F12"/>
    <w:rsid w:val="000550A2"/>
    <w:rsid w:val="0005532D"/>
    <w:rsid w:val="0005544F"/>
    <w:rsid w:val="00055673"/>
    <w:rsid w:val="00057FE8"/>
    <w:rsid w:val="00060DF7"/>
    <w:rsid w:val="0006129D"/>
    <w:rsid w:val="000636B6"/>
    <w:rsid w:val="0006411E"/>
    <w:rsid w:val="000649C3"/>
    <w:rsid w:val="00064AF4"/>
    <w:rsid w:val="00065581"/>
    <w:rsid w:val="0006615F"/>
    <w:rsid w:val="00066DEE"/>
    <w:rsid w:val="00067952"/>
    <w:rsid w:val="0007099C"/>
    <w:rsid w:val="000718E3"/>
    <w:rsid w:val="000729C4"/>
    <w:rsid w:val="00072B12"/>
    <w:rsid w:val="00073A06"/>
    <w:rsid w:val="00074079"/>
    <w:rsid w:val="00074280"/>
    <w:rsid w:val="00074391"/>
    <w:rsid w:val="00076330"/>
    <w:rsid w:val="0007661B"/>
    <w:rsid w:val="00076F8C"/>
    <w:rsid w:val="0007787D"/>
    <w:rsid w:val="0008080B"/>
    <w:rsid w:val="00080DF6"/>
    <w:rsid w:val="000812A0"/>
    <w:rsid w:val="000813D6"/>
    <w:rsid w:val="0008167E"/>
    <w:rsid w:val="0008168C"/>
    <w:rsid w:val="00082145"/>
    <w:rsid w:val="00083492"/>
    <w:rsid w:val="00083694"/>
    <w:rsid w:val="00083743"/>
    <w:rsid w:val="00083BE7"/>
    <w:rsid w:val="00083D4B"/>
    <w:rsid w:val="00083EB9"/>
    <w:rsid w:val="000841FA"/>
    <w:rsid w:val="00085426"/>
    <w:rsid w:val="000859BC"/>
    <w:rsid w:val="00086411"/>
    <w:rsid w:val="00087025"/>
    <w:rsid w:val="0008757B"/>
    <w:rsid w:val="000879E9"/>
    <w:rsid w:val="000900D4"/>
    <w:rsid w:val="00090142"/>
    <w:rsid w:val="0009023F"/>
    <w:rsid w:val="0009048E"/>
    <w:rsid w:val="00090CA6"/>
    <w:rsid w:val="00090E7F"/>
    <w:rsid w:val="00091234"/>
    <w:rsid w:val="00091458"/>
    <w:rsid w:val="000929DB"/>
    <w:rsid w:val="00092E32"/>
    <w:rsid w:val="00093430"/>
    <w:rsid w:val="00093542"/>
    <w:rsid w:val="000937B1"/>
    <w:rsid w:val="00094DDE"/>
    <w:rsid w:val="0009560B"/>
    <w:rsid w:val="00095A62"/>
    <w:rsid w:val="00095C42"/>
    <w:rsid w:val="00095D06"/>
    <w:rsid w:val="0009631C"/>
    <w:rsid w:val="00096CA2"/>
    <w:rsid w:val="00096EE9"/>
    <w:rsid w:val="00096FE0"/>
    <w:rsid w:val="00097967"/>
    <w:rsid w:val="00097D47"/>
    <w:rsid w:val="00097E67"/>
    <w:rsid w:val="00097F64"/>
    <w:rsid w:val="000A0B8C"/>
    <w:rsid w:val="000A0C50"/>
    <w:rsid w:val="000A14EB"/>
    <w:rsid w:val="000A18C0"/>
    <w:rsid w:val="000A2811"/>
    <w:rsid w:val="000A2EFC"/>
    <w:rsid w:val="000A3719"/>
    <w:rsid w:val="000A3A71"/>
    <w:rsid w:val="000A3ACE"/>
    <w:rsid w:val="000A3DC8"/>
    <w:rsid w:val="000A3E0A"/>
    <w:rsid w:val="000A3E0E"/>
    <w:rsid w:val="000A5022"/>
    <w:rsid w:val="000A50FE"/>
    <w:rsid w:val="000A55A5"/>
    <w:rsid w:val="000A67B9"/>
    <w:rsid w:val="000A6B90"/>
    <w:rsid w:val="000A7C12"/>
    <w:rsid w:val="000B069F"/>
    <w:rsid w:val="000B0953"/>
    <w:rsid w:val="000B095E"/>
    <w:rsid w:val="000B0A06"/>
    <w:rsid w:val="000B0C95"/>
    <w:rsid w:val="000B0EFB"/>
    <w:rsid w:val="000B1502"/>
    <w:rsid w:val="000B1528"/>
    <w:rsid w:val="000B1568"/>
    <w:rsid w:val="000B2195"/>
    <w:rsid w:val="000B27C7"/>
    <w:rsid w:val="000B2FF2"/>
    <w:rsid w:val="000B3695"/>
    <w:rsid w:val="000B36D7"/>
    <w:rsid w:val="000B3895"/>
    <w:rsid w:val="000B4C05"/>
    <w:rsid w:val="000B4C2C"/>
    <w:rsid w:val="000B51D5"/>
    <w:rsid w:val="000B6116"/>
    <w:rsid w:val="000B64A3"/>
    <w:rsid w:val="000B76AC"/>
    <w:rsid w:val="000B7762"/>
    <w:rsid w:val="000B7BC7"/>
    <w:rsid w:val="000C04F3"/>
    <w:rsid w:val="000C052B"/>
    <w:rsid w:val="000C0659"/>
    <w:rsid w:val="000C06D5"/>
    <w:rsid w:val="000C0796"/>
    <w:rsid w:val="000C147E"/>
    <w:rsid w:val="000C167B"/>
    <w:rsid w:val="000C175F"/>
    <w:rsid w:val="000C1F1B"/>
    <w:rsid w:val="000C263D"/>
    <w:rsid w:val="000C2D21"/>
    <w:rsid w:val="000C313B"/>
    <w:rsid w:val="000C3481"/>
    <w:rsid w:val="000C400B"/>
    <w:rsid w:val="000C54B6"/>
    <w:rsid w:val="000C5985"/>
    <w:rsid w:val="000C681F"/>
    <w:rsid w:val="000C6D7E"/>
    <w:rsid w:val="000C6D97"/>
    <w:rsid w:val="000C6E41"/>
    <w:rsid w:val="000C7038"/>
    <w:rsid w:val="000C710B"/>
    <w:rsid w:val="000C734C"/>
    <w:rsid w:val="000C75D8"/>
    <w:rsid w:val="000D02BB"/>
    <w:rsid w:val="000D0C8B"/>
    <w:rsid w:val="000D0D04"/>
    <w:rsid w:val="000D1495"/>
    <w:rsid w:val="000D1BD4"/>
    <w:rsid w:val="000D232B"/>
    <w:rsid w:val="000D26B1"/>
    <w:rsid w:val="000D279C"/>
    <w:rsid w:val="000D2852"/>
    <w:rsid w:val="000D2B1C"/>
    <w:rsid w:val="000D3404"/>
    <w:rsid w:val="000D3EF6"/>
    <w:rsid w:val="000D3FF7"/>
    <w:rsid w:val="000D4556"/>
    <w:rsid w:val="000D4593"/>
    <w:rsid w:val="000D489D"/>
    <w:rsid w:val="000D4A4F"/>
    <w:rsid w:val="000D4B29"/>
    <w:rsid w:val="000D4B5C"/>
    <w:rsid w:val="000D52BC"/>
    <w:rsid w:val="000D5350"/>
    <w:rsid w:val="000D5703"/>
    <w:rsid w:val="000D5AF9"/>
    <w:rsid w:val="000D6A32"/>
    <w:rsid w:val="000D707F"/>
    <w:rsid w:val="000D7674"/>
    <w:rsid w:val="000D77E3"/>
    <w:rsid w:val="000D7BCA"/>
    <w:rsid w:val="000E03EC"/>
    <w:rsid w:val="000E065A"/>
    <w:rsid w:val="000E1458"/>
    <w:rsid w:val="000E188C"/>
    <w:rsid w:val="000E28AF"/>
    <w:rsid w:val="000E29A7"/>
    <w:rsid w:val="000E3007"/>
    <w:rsid w:val="000E3270"/>
    <w:rsid w:val="000E3288"/>
    <w:rsid w:val="000E37FC"/>
    <w:rsid w:val="000E382D"/>
    <w:rsid w:val="000E3B93"/>
    <w:rsid w:val="000E43C8"/>
    <w:rsid w:val="000E5260"/>
    <w:rsid w:val="000E56DD"/>
    <w:rsid w:val="000E56F0"/>
    <w:rsid w:val="000E58EB"/>
    <w:rsid w:val="000E62CE"/>
    <w:rsid w:val="000E6330"/>
    <w:rsid w:val="000E6771"/>
    <w:rsid w:val="000E7200"/>
    <w:rsid w:val="000E76E5"/>
    <w:rsid w:val="000F0137"/>
    <w:rsid w:val="000F0211"/>
    <w:rsid w:val="000F12C4"/>
    <w:rsid w:val="000F1885"/>
    <w:rsid w:val="000F2637"/>
    <w:rsid w:val="000F2DC4"/>
    <w:rsid w:val="000F4317"/>
    <w:rsid w:val="000F492F"/>
    <w:rsid w:val="000F5CF5"/>
    <w:rsid w:val="000F6B7A"/>
    <w:rsid w:val="000F6C6D"/>
    <w:rsid w:val="000F6E3F"/>
    <w:rsid w:val="000F7039"/>
    <w:rsid w:val="001000DA"/>
    <w:rsid w:val="0010014A"/>
    <w:rsid w:val="00100A21"/>
    <w:rsid w:val="00100B7A"/>
    <w:rsid w:val="00100C8B"/>
    <w:rsid w:val="00101530"/>
    <w:rsid w:val="00101562"/>
    <w:rsid w:val="001026B1"/>
    <w:rsid w:val="00102E82"/>
    <w:rsid w:val="001033A4"/>
    <w:rsid w:val="00103568"/>
    <w:rsid w:val="00103991"/>
    <w:rsid w:val="001048B8"/>
    <w:rsid w:val="001051B9"/>
    <w:rsid w:val="001058B1"/>
    <w:rsid w:val="00106D79"/>
    <w:rsid w:val="00107059"/>
    <w:rsid w:val="00107237"/>
    <w:rsid w:val="00107481"/>
    <w:rsid w:val="0010749D"/>
    <w:rsid w:val="00107865"/>
    <w:rsid w:val="00110FAA"/>
    <w:rsid w:val="0011130F"/>
    <w:rsid w:val="00111574"/>
    <w:rsid w:val="001117F9"/>
    <w:rsid w:val="00111BB3"/>
    <w:rsid w:val="00112073"/>
    <w:rsid w:val="0011207A"/>
    <w:rsid w:val="00112A5B"/>
    <w:rsid w:val="00113143"/>
    <w:rsid w:val="00113855"/>
    <w:rsid w:val="00113939"/>
    <w:rsid w:val="00114600"/>
    <w:rsid w:val="0011475D"/>
    <w:rsid w:val="00114F71"/>
    <w:rsid w:val="00115F25"/>
    <w:rsid w:val="0011694C"/>
    <w:rsid w:val="00116EA1"/>
    <w:rsid w:val="00117510"/>
    <w:rsid w:val="00117B58"/>
    <w:rsid w:val="00117D6A"/>
    <w:rsid w:val="00120107"/>
    <w:rsid w:val="001207A5"/>
    <w:rsid w:val="00120AD0"/>
    <w:rsid w:val="001212A0"/>
    <w:rsid w:val="001217C4"/>
    <w:rsid w:val="00122114"/>
    <w:rsid w:val="00122271"/>
    <w:rsid w:val="001222B5"/>
    <w:rsid w:val="0012309F"/>
    <w:rsid w:val="00123E97"/>
    <w:rsid w:val="0012414D"/>
    <w:rsid w:val="00124CCA"/>
    <w:rsid w:val="00125F96"/>
    <w:rsid w:val="00126B87"/>
    <w:rsid w:val="00127795"/>
    <w:rsid w:val="00127D0A"/>
    <w:rsid w:val="00127D4A"/>
    <w:rsid w:val="00127D75"/>
    <w:rsid w:val="00130696"/>
    <w:rsid w:val="00130E64"/>
    <w:rsid w:val="0013140C"/>
    <w:rsid w:val="00131AAB"/>
    <w:rsid w:val="00131F95"/>
    <w:rsid w:val="001322C7"/>
    <w:rsid w:val="00132CF2"/>
    <w:rsid w:val="00132D7B"/>
    <w:rsid w:val="00132DBD"/>
    <w:rsid w:val="00132DF5"/>
    <w:rsid w:val="00132E0D"/>
    <w:rsid w:val="001339D4"/>
    <w:rsid w:val="00135328"/>
    <w:rsid w:val="0013537D"/>
    <w:rsid w:val="0013543E"/>
    <w:rsid w:val="001359F8"/>
    <w:rsid w:val="00136215"/>
    <w:rsid w:val="00136479"/>
    <w:rsid w:val="001372A7"/>
    <w:rsid w:val="00137CE3"/>
    <w:rsid w:val="00140059"/>
    <w:rsid w:val="00140982"/>
    <w:rsid w:val="00140A32"/>
    <w:rsid w:val="00140A51"/>
    <w:rsid w:val="00140DFC"/>
    <w:rsid w:val="001410F8"/>
    <w:rsid w:val="001415F3"/>
    <w:rsid w:val="001419AE"/>
    <w:rsid w:val="00141AAF"/>
    <w:rsid w:val="00141B65"/>
    <w:rsid w:val="00141BE1"/>
    <w:rsid w:val="00142F06"/>
    <w:rsid w:val="0014319A"/>
    <w:rsid w:val="00143435"/>
    <w:rsid w:val="0014379D"/>
    <w:rsid w:val="00143E41"/>
    <w:rsid w:val="001444FB"/>
    <w:rsid w:val="00144EE3"/>
    <w:rsid w:val="00144FB7"/>
    <w:rsid w:val="001453E7"/>
    <w:rsid w:val="0014584E"/>
    <w:rsid w:val="00145C69"/>
    <w:rsid w:val="00146949"/>
    <w:rsid w:val="00146A9A"/>
    <w:rsid w:val="0014741F"/>
    <w:rsid w:val="001477DC"/>
    <w:rsid w:val="00147C7F"/>
    <w:rsid w:val="00150045"/>
    <w:rsid w:val="0015019A"/>
    <w:rsid w:val="00150969"/>
    <w:rsid w:val="001509EA"/>
    <w:rsid w:val="00150BC1"/>
    <w:rsid w:val="00150EF0"/>
    <w:rsid w:val="00151A54"/>
    <w:rsid w:val="00151F86"/>
    <w:rsid w:val="0015210E"/>
    <w:rsid w:val="0015243D"/>
    <w:rsid w:val="00152469"/>
    <w:rsid w:val="0015257D"/>
    <w:rsid w:val="00152B30"/>
    <w:rsid w:val="00152B85"/>
    <w:rsid w:val="0015306E"/>
    <w:rsid w:val="001532A9"/>
    <w:rsid w:val="00153DE8"/>
    <w:rsid w:val="001545E6"/>
    <w:rsid w:val="00154E13"/>
    <w:rsid w:val="001550C7"/>
    <w:rsid w:val="001552ED"/>
    <w:rsid w:val="001554F6"/>
    <w:rsid w:val="00155A4A"/>
    <w:rsid w:val="00155CC4"/>
    <w:rsid w:val="00155E09"/>
    <w:rsid w:val="00156119"/>
    <w:rsid w:val="00156187"/>
    <w:rsid w:val="0015663F"/>
    <w:rsid w:val="00156969"/>
    <w:rsid w:val="00157B7C"/>
    <w:rsid w:val="001606B0"/>
    <w:rsid w:val="00160E21"/>
    <w:rsid w:val="001619DD"/>
    <w:rsid w:val="00161D38"/>
    <w:rsid w:val="00161E18"/>
    <w:rsid w:val="0016262F"/>
    <w:rsid w:val="00162755"/>
    <w:rsid w:val="001640A9"/>
    <w:rsid w:val="001647A0"/>
    <w:rsid w:val="00164B21"/>
    <w:rsid w:val="00165A8F"/>
    <w:rsid w:val="00166B20"/>
    <w:rsid w:val="00167232"/>
    <w:rsid w:val="00167413"/>
    <w:rsid w:val="00167AB9"/>
    <w:rsid w:val="0017006B"/>
    <w:rsid w:val="00170191"/>
    <w:rsid w:val="00170308"/>
    <w:rsid w:val="001703E5"/>
    <w:rsid w:val="00170671"/>
    <w:rsid w:val="00171266"/>
    <w:rsid w:val="00171BC6"/>
    <w:rsid w:val="00171CF5"/>
    <w:rsid w:val="00172AB8"/>
    <w:rsid w:val="00172EAC"/>
    <w:rsid w:val="00173126"/>
    <w:rsid w:val="001731FB"/>
    <w:rsid w:val="00173578"/>
    <w:rsid w:val="00174055"/>
    <w:rsid w:val="001741AF"/>
    <w:rsid w:val="00174218"/>
    <w:rsid w:val="001742D8"/>
    <w:rsid w:val="0017436D"/>
    <w:rsid w:val="0017457D"/>
    <w:rsid w:val="0017474D"/>
    <w:rsid w:val="0017516E"/>
    <w:rsid w:val="00175F93"/>
    <w:rsid w:val="001762AB"/>
    <w:rsid w:val="00176409"/>
    <w:rsid w:val="00176477"/>
    <w:rsid w:val="00177003"/>
    <w:rsid w:val="001774C3"/>
    <w:rsid w:val="0017773D"/>
    <w:rsid w:val="00177857"/>
    <w:rsid w:val="00177D30"/>
    <w:rsid w:val="001800A3"/>
    <w:rsid w:val="0018017C"/>
    <w:rsid w:val="001817D4"/>
    <w:rsid w:val="00181B99"/>
    <w:rsid w:val="00182283"/>
    <w:rsid w:val="00182872"/>
    <w:rsid w:val="001829DA"/>
    <w:rsid w:val="00182A49"/>
    <w:rsid w:val="00182CF5"/>
    <w:rsid w:val="00183266"/>
    <w:rsid w:val="0018336B"/>
    <w:rsid w:val="00183A77"/>
    <w:rsid w:val="00183AFA"/>
    <w:rsid w:val="0018436D"/>
    <w:rsid w:val="0018453B"/>
    <w:rsid w:val="001853D5"/>
    <w:rsid w:val="001860B5"/>
    <w:rsid w:val="00186635"/>
    <w:rsid w:val="00186FAE"/>
    <w:rsid w:val="00187007"/>
    <w:rsid w:val="0019025D"/>
    <w:rsid w:val="0019049D"/>
    <w:rsid w:val="001904D4"/>
    <w:rsid w:val="00190C6F"/>
    <w:rsid w:val="00191C6C"/>
    <w:rsid w:val="00191ED0"/>
    <w:rsid w:val="001923C1"/>
    <w:rsid w:val="0019255C"/>
    <w:rsid w:val="001926CB"/>
    <w:rsid w:val="00192872"/>
    <w:rsid w:val="00192D7D"/>
    <w:rsid w:val="00193BF5"/>
    <w:rsid w:val="00193CB8"/>
    <w:rsid w:val="00193EC5"/>
    <w:rsid w:val="0019486A"/>
    <w:rsid w:val="00195829"/>
    <w:rsid w:val="001959CD"/>
    <w:rsid w:val="00196490"/>
    <w:rsid w:val="00196F27"/>
    <w:rsid w:val="001972E4"/>
    <w:rsid w:val="001975ED"/>
    <w:rsid w:val="00197644"/>
    <w:rsid w:val="00197B41"/>
    <w:rsid w:val="001A0FD1"/>
    <w:rsid w:val="001A1083"/>
    <w:rsid w:val="001A1366"/>
    <w:rsid w:val="001A180C"/>
    <w:rsid w:val="001A26F7"/>
    <w:rsid w:val="001A3931"/>
    <w:rsid w:val="001A3AC2"/>
    <w:rsid w:val="001A3D86"/>
    <w:rsid w:val="001A3ED0"/>
    <w:rsid w:val="001A480A"/>
    <w:rsid w:val="001A4E8D"/>
    <w:rsid w:val="001A4FC3"/>
    <w:rsid w:val="001A501B"/>
    <w:rsid w:val="001A53D7"/>
    <w:rsid w:val="001A5631"/>
    <w:rsid w:val="001A5964"/>
    <w:rsid w:val="001A5B2F"/>
    <w:rsid w:val="001A5B49"/>
    <w:rsid w:val="001A5EFD"/>
    <w:rsid w:val="001A69FE"/>
    <w:rsid w:val="001A6A88"/>
    <w:rsid w:val="001A6B2B"/>
    <w:rsid w:val="001A6EE6"/>
    <w:rsid w:val="001A7758"/>
    <w:rsid w:val="001B17A6"/>
    <w:rsid w:val="001B1950"/>
    <w:rsid w:val="001B1DF1"/>
    <w:rsid w:val="001B210C"/>
    <w:rsid w:val="001B2FA5"/>
    <w:rsid w:val="001B46AF"/>
    <w:rsid w:val="001B4909"/>
    <w:rsid w:val="001B517B"/>
    <w:rsid w:val="001B5C4A"/>
    <w:rsid w:val="001B5CEA"/>
    <w:rsid w:val="001B6299"/>
    <w:rsid w:val="001B67C6"/>
    <w:rsid w:val="001B6A48"/>
    <w:rsid w:val="001B6D6A"/>
    <w:rsid w:val="001B6E18"/>
    <w:rsid w:val="001B7D95"/>
    <w:rsid w:val="001C06E1"/>
    <w:rsid w:val="001C0982"/>
    <w:rsid w:val="001C0D1A"/>
    <w:rsid w:val="001C0ED6"/>
    <w:rsid w:val="001C192B"/>
    <w:rsid w:val="001C1E69"/>
    <w:rsid w:val="001C1EB7"/>
    <w:rsid w:val="001C2371"/>
    <w:rsid w:val="001C26E6"/>
    <w:rsid w:val="001C2B3A"/>
    <w:rsid w:val="001C2CFF"/>
    <w:rsid w:val="001C2D54"/>
    <w:rsid w:val="001C2E89"/>
    <w:rsid w:val="001C336D"/>
    <w:rsid w:val="001C4537"/>
    <w:rsid w:val="001C5BCD"/>
    <w:rsid w:val="001C5FC1"/>
    <w:rsid w:val="001C6EDA"/>
    <w:rsid w:val="001C7627"/>
    <w:rsid w:val="001C7966"/>
    <w:rsid w:val="001C7EC7"/>
    <w:rsid w:val="001D0356"/>
    <w:rsid w:val="001D0C62"/>
    <w:rsid w:val="001D0F73"/>
    <w:rsid w:val="001D1074"/>
    <w:rsid w:val="001D11D2"/>
    <w:rsid w:val="001D1741"/>
    <w:rsid w:val="001D1803"/>
    <w:rsid w:val="001D2259"/>
    <w:rsid w:val="001D236A"/>
    <w:rsid w:val="001D34B7"/>
    <w:rsid w:val="001D36C3"/>
    <w:rsid w:val="001D3C5E"/>
    <w:rsid w:val="001D4122"/>
    <w:rsid w:val="001D434A"/>
    <w:rsid w:val="001D53CC"/>
    <w:rsid w:val="001D572A"/>
    <w:rsid w:val="001D5934"/>
    <w:rsid w:val="001D60DB"/>
    <w:rsid w:val="001D6278"/>
    <w:rsid w:val="001D666E"/>
    <w:rsid w:val="001D6A13"/>
    <w:rsid w:val="001D6C4E"/>
    <w:rsid w:val="001D6D14"/>
    <w:rsid w:val="001D7322"/>
    <w:rsid w:val="001D7BB5"/>
    <w:rsid w:val="001E0148"/>
    <w:rsid w:val="001E01A9"/>
    <w:rsid w:val="001E0A2C"/>
    <w:rsid w:val="001E0B06"/>
    <w:rsid w:val="001E1F44"/>
    <w:rsid w:val="001E230D"/>
    <w:rsid w:val="001E2970"/>
    <w:rsid w:val="001E2B2D"/>
    <w:rsid w:val="001E2DD0"/>
    <w:rsid w:val="001E39EF"/>
    <w:rsid w:val="001E4523"/>
    <w:rsid w:val="001E490C"/>
    <w:rsid w:val="001E4A83"/>
    <w:rsid w:val="001E4EF3"/>
    <w:rsid w:val="001E4F29"/>
    <w:rsid w:val="001E4F89"/>
    <w:rsid w:val="001E5167"/>
    <w:rsid w:val="001E51C4"/>
    <w:rsid w:val="001E6478"/>
    <w:rsid w:val="001E6854"/>
    <w:rsid w:val="001E68DB"/>
    <w:rsid w:val="001E7816"/>
    <w:rsid w:val="001E7E52"/>
    <w:rsid w:val="001F166C"/>
    <w:rsid w:val="001F169C"/>
    <w:rsid w:val="001F1883"/>
    <w:rsid w:val="001F1D54"/>
    <w:rsid w:val="001F1F0C"/>
    <w:rsid w:val="001F1F17"/>
    <w:rsid w:val="001F2CD7"/>
    <w:rsid w:val="001F3373"/>
    <w:rsid w:val="001F33E3"/>
    <w:rsid w:val="001F362A"/>
    <w:rsid w:val="001F39F9"/>
    <w:rsid w:val="001F4483"/>
    <w:rsid w:val="001F48F2"/>
    <w:rsid w:val="001F5B2B"/>
    <w:rsid w:val="001F60B4"/>
    <w:rsid w:val="001F6214"/>
    <w:rsid w:val="001F6C99"/>
    <w:rsid w:val="001F7303"/>
    <w:rsid w:val="001F78AC"/>
    <w:rsid w:val="001F792F"/>
    <w:rsid w:val="001F7A22"/>
    <w:rsid w:val="0020055A"/>
    <w:rsid w:val="002007A3"/>
    <w:rsid w:val="00200A52"/>
    <w:rsid w:val="0020139A"/>
    <w:rsid w:val="00201A60"/>
    <w:rsid w:val="00201F7D"/>
    <w:rsid w:val="00202FCE"/>
    <w:rsid w:val="0020330B"/>
    <w:rsid w:val="00203600"/>
    <w:rsid w:val="002042E4"/>
    <w:rsid w:val="00204755"/>
    <w:rsid w:val="002053A7"/>
    <w:rsid w:val="00205675"/>
    <w:rsid w:val="00205E48"/>
    <w:rsid w:val="002060D5"/>
    <w:rsid w:val="00206BD8"/>
    <w:rsid w:val="00207126"/>
    <w:rsid w:val="002101CC"/>
    <w:rsid w:val="002112CF"/>
    <w:rsid w:val="00212A2D"/>
    <w:rsid w:val="0021395F"/>
    <w:rsid w:val="00213E3D"/>
    <w:rsid w:val="00213EE7"/>
    <w:rsid w:val="00214406"/>
    <w:rsid w:val="00214A6B"/>
    <w:rsid w:val="00214D80"/>
    <w:rsid w:val="002150CE"/>
    <w:rsid w:val="00215684"/>
    <w:rsid w:val="002157E3"/>
    <w:rsid w:val="00215A7E"/>
    <w:rsid w:val="00215E28"/>
    <w:rsid w:val="0021696E"/>
    <w:rsid w:val="00216BE7"/>
    <w:rsid w:val="002179F0"/>
    <w:rsid w:val="0022000B"/>
    <w:rsid w:val="00220345"/>
    <w:rsid w:val="002208F3"/>
    <w:rsid w:val="00221151"/>
    <w:rsid w:val="0022130B"/>
    <w:rsid w:val="002214E6"/>
    <w:rsid w:val="00221A90"/>
    <w:rsid w:val="00221BEE"/>
    <w:rsid w:val="002221F6"/>
    <w:rsid w:val="002229C3"/>
    <w:rsid w:val="00222D5F"/>
    <w:rsid w:val="00223446"/>
    <w:rsid w:val="002235DD"/>
    <w:rsid w:val="002237A2"/>
    <w:rsid w:val="00223B22"/>
    <w:rsid w:val="00223D5F"/>
    <w:rsid w:val="00224540"/>
    <w:rsid w:val="002248D4"/>
    <w:rsid w:val="00225257"/>
    <w:rsid w:val="00225873"/>
    <w:rsid w:val="00225A71"/>
    <w:rsid w:val="002266DF"/>
    <w:rsid w:val="00226CAB"/>
    <w:rsid w:val="002274A1"/>
    <w:rsid w:val="002276B1"/>
    <w:rsid w:val="002279C3"/>
    <w:rsid w:val="00230A49"/>
    <w:rsid w:val="00230B9A"/>
    <w:rsid w:val="00230C53"/>
    <w:rsid w:val="0023131F"/>
    <w:rsid w:val="0023144C"/>
    <w:rsid w:val="00231A1E"/>
    <w:rsid w:val="00231CD9"/>
    <w:rsid w:val="00231EDE"/>
    <w:rsid w:val="00231F8D"/>
    <w:rsid w:val="00231FA3"/>
    <w:rsid w:val="002320B7"/>
    <w:rsid w:val="002323E5"/>
    <w:rsid w:val="00232401"/>
    <w:rsid w:val="00232D36"/>
    <w:rsid w:val="00233A00"/>
    <w:rsid w:val="00233A69"/>
    <w:rsid w:val="00233FA1"/>
    <w:rsid w:val="00234AE6"/>
    <w:rsid w:val="00234D91"/>
    <w:rsid w:val="00235C08"/>
    <w:rsid w:val="002361AB"/>
    <w:rsid w:val="002363C9"/>
    <w:rsid w:val="00236787"/>
    <w:rsid w:val="00236B96"/>
    <w:rsid w:val="00237049"/>
    <w:rsid w:val="002373A0"/>
    <w:rsid w:val="002379FC"/>
    <w:rsid w:val="00237AE7"/>
    <w:rsid w:val="0024081F"/>
    <w:rsid w:val="002408A4"/>
    <w:rsid w:val="00240B01"/>
    <w:rsid w:val="00241219"/>
    <w:rsid w:val="00241DC3"/>
    <w:rsid w:val="002422D8"/>
    <w:rsid w:val="0024272C"/>
    <w:rsid w:val="0024291D"/>
    <w:rsid w:val="00242C3E"/>
    <w:rsid w:val="00243E82"/>
    <w:rsid w:val="00243FC0"/>
    <w:rsid w:val="002445E4"/>
    <w:rsid w:val="00244C26"/>
    <w:rsid w:val="002451BC"/>
    <w:rsid w:val="00246070"/>
    <w:rsid w:val="00246A4D"/>
    <w:rsid w:val="00247AB5"/>
    <w:rsid w:val="00247BAF"/>
    <w:rsid w:val="002500DF"/>
    <w:rsid w:val="00250EFE"/>
    <w:rsid w:val="00251068"/>
    <w:rsid w:val="00251899"/>
    <w:rsid w:val="00251D16"/>
    <w:rsid w:val="00252160"/>
    <w:rsid w:val="0025223C"/>
    <w:rsid w:val="00252607"/>
    <w:rsid w:val="00252C3E"/>
    <w:rsid w:val="002541AC"/>
    <w:rsid w:val="0025465A"/>
    <w:rsid w:val="00254CD2"/>
    <w:rsid w:val="0025503C"/>
    <w:rsid w:val="00255D47"/>
    <w:rsid w:val="002569B4"/>
    <w:rsid w:val="002569EF"/>
    <w:rsid w:val="00256AC0"/>
    <w:rsid w:val="002570D5"/>
    <w:rsid w:val="00257E37"/>
    <w:rsid w:val="00260497"/>
    <w:rsid w:val="00260A62"/>
    <w:rsid w:val="00260CE1"/>
    <w:rsid w:val="0026153C"/>
    <w:rsid w:val="002617B2"/>
    <w:rsid w:val="00261B3D"/>
    <w:rsid w:val="00261D67"/>
    <w:rsid w:val="00261DE1"/>
    <w:rsid w:val="00262744"/>
    <w:rsid w:val="00262FAA"/>
    <w:rsid w:val="0026312C"/>
    <w:rsid w:val="002632FB"/>
    <w:rsid w:val="00263A11"/>
    <w:rsid w:val="00263AF3"/>
    <w:rsid w:val="00263C9B"/>
    <w:rsid w:val="00263E9A"/>
    <w:rsid w:val="00264107"/>
    <w:rsid w:val="00264290"/>
    <w:rsid w:val="00264511"/>
    <w:rsid w:val="00264613"/>
    <w:rsid w:val="00264A38"/>
    <w:rsid w:val="00264D1E"/>
    <w:rsid w:val="002653EE"/>
    <w:rsid w:val="00265548"/>
    <w:rsid w:val="0026560F"/>
    <w:rsid w:val="00265726"/>
    <w:rsid w:val="00265AAC"/>
    <w:rsid w:val="00265C96"/>
    <w:rsid w:val="00265ECA"/>
    <w:rsid w:val="00266093"/>
    <w:rsid w:val="002666FC"/>
    <w:rsid w:val="00266BEE"/>
    <w:rsid w:val="00266F2B"/>
    <w:rsid w:val="002671EF"/>
    <w:rsid w:val="00270706"/>
    <w:rsid w:val="00271200"/>
    <w:rsid w:val="0027166B"/>
    <w:rsid w:val="002719B8"/>
    <w:rsid w:val="00271E06"/>
    <w:rsid w:val="00271FDB"/>
    <w:rsid w:val="00272415"/>
    <w:rsid w:val="002727D3"/>
    <w:rsid w:val="00272AC1"/>
    <w:rsid w:val="00272F07"/>
    <w:rsid w:val="00273296"/>
    <w:rsid w:val="00273856"/>
    <w:rsid w:val="00274314"/>
    <w:rsid w:val="0027453B"/>
    <w:rsid w:val="002755B3"/>
    <w:rsid w:val="002755CB"/>
    <w:rsid w:val="00276E96"/>
    <w:rsid w:val="00277234"/>
    <w:rsid w:val="0027729A"/>
    <w:rsid w:val="00277A08"/>
    <w:rsid w:val="00280955"/>
    <w:rsid w:val="002810BB"/>
    <w:rsid w:val="0028113B"/>
    <w:rsid w:val="002819D5"/>
    <w:rsid w:val="0028246A"/>
    <w:rsid w:val="00282567"/>
    <w:rsid w:val="00283548"/>
    <w:rsid w:val="00284283"/>
    <w:rsid w:val="00284547"/>
    <w:rsid w:val="00284D25"/>
    <w:rsid w:val="00284D35"/>
    <w:rsid w:val="00285871"/>
    <w:rsid w:val="00285D5E"/>
    <w:rsid w:val="00286217"/>
    <w:rsid w:val="00286757"/>
    <w:rsid w:val="00286B38"/>
    <w:rsid w:val="00287405"/>
    <w:rsid w:val="00287572"/>
    <w:rsid w:val="0028774F"/>
    <w:rsid w:val="00287C18"/>
    <w:rsid w:val="002902C7"/>
    <w:rsid w:val="0029060B"/>
    <w:rsid w:val="00290787"/>
    <w:rsid w:val="00290850"/>
    <w:rsid w:val="0029094C"/>
    <w:rsid w:val="00290957"/>
    <w:rsid w:val="002909C9"/>
    <w:rsid w:val="00291076"/>
    <w:rsid w:val="002911A5"/>
    <w:rsid w:val="002915E4"/>
    <w:rsid w:val="0029195F"/>
    <w:rsid w:val="00292C54"/>
    <w:rsid w:val="00292CF8"/>
    <w:rsid w:val="00293000"/>
    <w:rsid w:val="00293277"/>
    <w:rsid w:val="00293385"/>
    <w:rsid w:val="00293500"/>
    <w:rsid w:val="002935AB"/>
    <w:rsid w:val="0029395C"/>
    <w:rsid w:val="00293B19"/>
    <w:rsid w:val="002940B7"/>
    <w:rsid w:val="0029480B"/>
    <w:rsid w:val="00294D3E"/>
    <w:rsid w:val="00295333"/>
    <w:rsid w:val="002957E0"/>
    <w:rsid w:val="00295EAD"/>
    <w:rsid w:val="002962F2"/>
    <w:rsid w:val="002965B9"/>
    <w:rsid w:val="00296C46"/>
    <w:rsid w:val="00296CF8"/>
    <w:rsid w:val="00297054"/>
    <w:rsid w:val="00297D57"/>
    <w:rsid w:val="00297EEF"/>
    <w:rsid w:val="002A014D"/>
    <w:rsid w:val="002A06B7"/>
    <w:rsid w:val="002A1155"/>
    <w:rsid w:val="002A24C1"/>
    <w:rsid w:val="002A269D"/>
    <w:rsid w:val="002A2D8F"/>
    <w:rsid w:val="002A3114"/>
    <w:rsid w:val="002A3D6B"/>
    <w:rsid w:val="002A3F8E"/>
    <w:rsid w:val="002A4061"/>
    <w:rsid w:val="002A476A"/>
    <w:rsid w:val="002A4E9E"/>
    <w:rsid w:val="002A4EB8"/>
    <w:rsid w:val="002A517C"/>
    <w:rsid w:val="002A5292"/>
    <w:rsid w:val="002A55FC"/>
    <w:rsid w:val="002A65A5"/>
    <w:rsid w:val="002A68F8"/>
    <w:rsid w:val="002A7361"/>
    <w:rsid w:val="002A74FA"/>
    <w:rsid w:val="002A75CB"/>
    <w:rsid w:val="002A7DA3"/>
    <w:rsid w:val="002A7F00"/>
    <w:rsid w:val="002B00D3"/>
    <w:rsid w:val="002B1386"/>
    <w:rsid w:val="002B17E4"/>
    <w:rsid w:val="002B2B95"/>
    <w:rsid w:val="002B2D67"/>
    <w:rsid w:val="002B2EFB"/>
    <w:rsid w:val="002B30A2"/>
    <w:rsid w:val="002B3BEC"/>
    <w:rsid w:val="002B543E"/>
    <w:rsid w:val="002B58FC"/>
    <w:rsid w:val="002B7550"/>
    <w:rsid w:val="002B77DE"/>
    <w:rsid w:val="002B79F2"/>
    <w:rsid w:val="002C0F63"/>
    <w:rsid w:val="002C1EE2"/>
    <w:rsid w:val="002C26BF"/>
    <w:rsid w:val="002C362E"/>
    <w:rsid w:val="002C3EFC"/>
    <w:rsid w:val="002C41B9"/>
    <w:rsid w:val="002C51D0"/>
    <w:rsid w:val="002C6022"/>
    <w:rsid w:val="002C6D29"/>
    <w:rsid w:val="002C7940"/>
    <w:rsid w:val="002D01E5"/>
    <w:rsid w:val="002D07BC"/>
    <w:rsid w:val="002D0A45"/>
    <w:rsid w:val="002D1038"/>
    <w:rsid w:val="002D1395"/>
    <w:rsid w:val="002D13FA"/>
    <w:rsid w:val="002D17F0"/>
    <w:rsid w:val="002D1BB8"/>
    <w:rsid w:val="002D253D"/>
    <w:rsid w:val="002D26FD"/>
    <w:rsid w:val="002D2E30"/>
    <w:rsid w:val="002D30D1"/>
    <w:rsid w:val="002D3775"/>
    <w:rsid w:val="002D3BA0"/>
    <w:rsid w:val="002D413F"/>
    <w:rsid w:val="002D4346"/>
    <w:rsid w:val="002D48C3"/>
    <w:rsid w:val="002D4B61"/>
    <w:rsid w:val="002D51AB"/>
    <w:rsid w:val="002D51C3"/>
    <w:rsid w:val="002D5A0E"/>
    <w:rsid w:val="002D5BCC"/>
    <w:rsid w:val="002D63FF"/>
    <w:rsid w:val="002D6A2C"/>
    <w:rsid w:val="002D7174"/>
    <w:rsid w:val="002D7AC4"/>
    <w:rsid w:val="002D7B5F"/>
    <w:rsid w:val="002E0141"/>
    <w:rsid w:val="002E0648"/>
    <w:rsid w:val="002E0803"/>
    <w:rsid w:val="002E0D29"/>
    <w:rsid w:val="002E16ED"/>
    <w:rsid w:val="002E2673"/>
    <w:rsid w:val="002E3CE4"/>
    <w:rsid w:val="002E4C52"/>
    <w:rsid w:val="002E6AAD"/>
    <w:rsid w:val="002E6C43"/>
    <w:rsid w:val="002E6DEB"/>
    <w:rsid w:val="002E752F"/>
    <w:rsid w:val="002E75E4"/>
    <w:rsid w:val="002E7EBF"/>
    <w:rsid w:val="002F01D8"/>
    <w:rsid w:val="002F15BF"/>
    <w:rsid w:val="002F1C45"/>
    <w:rsid w:val="002F2052"/>
    <w:rsid w:val="002F2B11"/>
    <w:rsid w:val="002F3E7F"/>
    <w:rsid w:val="002F3F32"/>
    <w:rsid w:val="002F40C9"/>
    <w:rsid w:val="002F4AC0"/>
    <w:rsid w:val="002F4F7D"/>
    <w:rsid w:val="002F53A0"/>
    <w:rsid w:val="002F5BD6"/>
    <w:rsid w:val="002F5E15"/>
    <w:rsid w:val="002F67B1"/>
    <w:rsid w:val="002F6EE5"/>
    <w:rsid w:val="002F6F78"/>
    <w:rsid w:val="002F7DE6"/>
    <w:rsid w:val="002F7E52"/>
    <w:rsid w:val="002F7E55"/>
    <w:rsid w:val="002F7FBF"/>
    <w:rsid w:val="003003A5"/>
    <w:rsid w:val="0030171E"/>
    <w:rsid w:val="0030214F"/>
    <w:rsid w:val="003026BE"/>
    <w:rsid w:val="00303368"/>
    <w:rsid w:val="003033E7"/>
    <w:rsid w:val="0030355D"/>
    <w:rsid w:val="0030375D"/>
    <w:rsid w:val="003044FB"/>
    <w:rsid w:val="003049ED"/>
    <w:rsid w:val="00304C86"/>
    <w:rsid w:val="00305F3E"/>
    <w:rsid w:val="00306372"/>
    <w:rsid w:val="00306430"/>
    <w:rsid w:val="00306FA6"/>
    <w:rsid w:val="003075C2"/>
    <w:rsid w:val="00307BC5"/>
    <w:rsid w:val="00307CAE"/>
    <w:rsid w:val="00310390"/>
    <w:rsid w:val="00310861"/>
    <w:rsid w:val="00310E0B"/>
    <w:rsid w:val="00311DA1"/>
    <w:rsid w:val="00311E0D"/>
    <w:rsid w:val="003120DB"/>
    <w:rsid w:val="003125B2"/>
    <w:rsid w:val="003126E4"/>
    <w:rsid w:val="00312BEE"/>
    <w:rsid w:val="00312C61"/>
    <w:rsid w:val="003135DF"/>
    <w:rsid w:val="00313B11"/>
    <w:rsid w:val="00313B3E"/>
    <w:rsid w:val="00314EC5"/>
    <w:rsid w:val="00316616"/>
    <w:rsid w:val="00316D9E"/>
    <w:rsid w:val="00316E71"/>
    <w:rsid w:val="003174B6"/>
    <w:rsid w:val="00317A24"/>
    <w:rsid w:val="00317E8B"/>
    <w:rsid w:val="00320077"/>
    <w:rsid w:val="003204CD"/>
    <w:rsid w:val="00320857"/>
    <w:rsid w:val="003210BA"/>
    <w:rsid w:val="00321749"/>
    <w:rsid w:val="00321F5B"/>
    <w:rsid w:val="0032223A"/>
    <w:rsid w:val="00322283"/>
    <w:rsid w:val="0032237D"/>
    <w:rsid w:val="00322781"/>
    <w:rsid w:val="003234AD"/>
    <w:rsid w:val="003235C7"/>
    <w:rsid w:val="003238F3"/>
    <w:rsid w:val="003245B9"/>
    <w:rsid w:val="00324CCB"/>
    <w:rsid w:val="00324EFF"/>
    <w:rsid w:val="00325645"/>
    <w:rsid w:val="00326187"/>
    <w:rsid w:val="00326483"/>
    <w:rsid w:val="0032698B"/>
    <w:rsid w:val="00326A4B"/>
    <w:rsid w:val="00326E86"/>
    <w:rsid w:val="00326FEA"/>
    <w:rsid w:val="00327A23"/>
    <w:rsid w:val="00327B37"/>
    <w:rsid w:val="003309DA"/>
    <w:rsid w:val="00331887"/>
    <w:rsid w:val="00331BC3"/>
    <w:rsid w:val="00332085"/>
    <w:rsid w:val="00332484"/>
    <w:rsid w:val="0033382B"/>
    <w:rsid w:val="00334471"/>
    <w:rsid w:val="00335043"/>
    <w:rsid w:val="0033508D"/>
    <w:rsid w:val="003352D5"/>
    <w:rsid w:val="00335CED"/>
    <w:rsid w:val="00336E85"/>
    <w:rsid w:val="003375B6"/>
    <w:rsid w:val="00337BAB"/>
    <w:rsid w:val="00340523"/>
    <w:rsid w:val="0034055F"/>
    <w:rsid w:val="00340CE2"/>
    <w:rsid w:val="00341FEE"/>
    <w:rsid w:val="003423D1"/>
    <w:rsid w:val="003425A8"/>
    <w:rsid w:val="00343884"/>
    <w:rsid w:val="00343891"/>
    <w:rsid w:val="003444B0"/>
    <w:rsid w:val="00344D85"/>
    <w:rsid w:val="003450C4"/>
    <w:rsid w:val="0034525E"/>
    <w:rsid w:val="00345495"/>
    <w:rsid w:val="0034585F"/>
    <w:rsid w:val="00345C7E"/>
    <w:rsid w:val="00345D29"/>
    <w:rsid w:val="003467C4"/>
    <w:rsid w:val="00346F3C"/>
    <w:rsid w:val="003472B6"/>
    <w:rsid w:val="003478B9"/>
    <w:rsid w:val="00347FA4"/>
    <w:rsid w:val="0035063B"/>
    <w:rsid w:val="00350C83"/>
    <w:rsid w:val="003517C9"/>
    <w:rsid w:val="0035199D"/>
    <w:rsid w:val="00351C17"/>
    <w:rsid w:val="00352253"/>
    <w:rsid w:val="003528EA"/>
    <w:rsid w:val="003534B0"/>
    <w:rsid w:val="003538C4"/>
    <w:rsid w:val="00353DAB"/>
    <w:rsid w:val="003556FD"/>
    <w:rsid w:val="00355959"/>
    <w:rsid w:val="0035624E"/>
    <w:rsid w:val="00357002"/>
    <w:rsid w:val="0035772F"/>
    <w:rsid w:val="00360232"/>
    <w:rsid w:val="003606C3"/>
    <w:rsid w:val="003608C9"/>
    <w:rsid w:val="003613D1"/>
    <w:rsid w:val="003615F5"/>
    <w:rsid w:val="0036160B"/>
    <w:rsid w:val="00361725"/>
    <w:rsid w:val="00361E70"/>
    <w:rsid w:val="003627FB"/>
    <w:rsid w:val="00362C65"/>
    <w:rsid w:val="0036359B"/>
    <w:rsid w:val="003639D2"/>
    <w:rsid w:val="00364905"/>
    <w:rsid w:val="00364F78"/>
    <w:rsid w:val="00365C14"/>
    <w:rsid w:val="00366E8B"/>
    <w:rsid w:val="00367033"/>
    <w:rsid w:val="003673E7"/>
    <w:rsid w:val="003677B1"/>
    <w:rsid w:val="003678CD"/>
    <w:rsid w:val="003679DC"/>
    <w:rsid w:val="00367F5E"/>
    <w:rsid w:val="00370052"/>
    <w:rsid w:val="00370611"/>
    <w:rsid w:val="0037143E"/>
    <w:rsid w:val="00371E26"/>
    <w:rsid w:val="00372067"/>
    <w:rsid w:val="00372116"/>
    <w:rsid w:val="00373694"/>
    <w:rsid w:val="0037408E"/>
    <w:rsid w:val="003755C8"/>
    <w:rsid w:val="003757CC"/>
    <w:rsid w:val="00375A4B"/>
    <w:rsid w:val="00375EAF"/>
    <w:rsid w:val="00376241"/>
    <w:rsid w:val="00377B4E"/>
    <w:rsid w:val="00377C17"/>
    <w:rsid w:val="00380594"/>
    <w:rsid w:val="00380EE7"/>
    <w:rsid w:val="003814F7"/>
    <w:rsid w:val="00381A26"/>
    <w:rsid w:val="00382027"/>
    <w:rsid w:val="00382665"/>
    <w:rsid w:val="00382A91"/>
    <w:rsid w:val="00382DB3"/>
    <w:rsid w:val="00382E78"/>
    <w:rsid w:val="00382FF4"/>
    <w:rsid w:val="003838E7"/>
    <w:rsid w:val="00383C21"/>
    <w:rsid w:val="00384885"/>
    <w:rsid w:val="00384976"/>
    <w:rsid w:val="00385156"/>
    <w:rsid w:val="0038578F"/>
    <w:rsid w:val="00385868"/>
    <w:rsid w:val="0038590C"/>
    <w:rsid w:val="00385E4D"/>
    <w:rsid w:val="00386074"/>
    <w:rsid w:val="00386FA1"/>
    <w:rsid w:val="00387039"/>
    <w:rsid w:val="00387756"/>
    <w:rsid w:val="00390411"/>
    <w:rsid w:val="00390426"/>
    <w:rsid w:val="0039049F"/>
    <w:rsid w:val="00390AD5"/>
    <w:rsid w:val="0039115C"/>
    <w:rsid w:val="0039193A"/>
    <w:rsid w:val="00392B75"/>
    <w:rsid w:val="00393150"/>
    <w:rsid w:val="00393485"/>
    <w:rsid w:val="00393B4A"/>
    <w:rsid w:val="00394867"/>
    <w:rsid w:val="00394FAF"/>
    <w:rsid w:val="003950DA"/>
    <w:rsid w:val="0039645B"/>
    <w:rsid w:val="00396C90"/>
    <w:rsid w:val="00397FB5"/>
    <w:rsid w:val="003A0061"/>
    <w:rsid w:val="003A01F7"/>
    <w:rsid w:val="003A02D6"/>
    <w:rsid w:val="003A09BC"/>
    <w:rsid w:val="003A1A3A"/>
    <w:rsid w:val="003A26B9"/>
    <w:rsid w:val="003A2EAE"/>
    <w:rsid w:val="003A465A"/>
    <w:rsid w:val="003A48DC"/>
    <w:rsid w:val="003A4994"/>
    <w:rsid w:val="003A4E40"/>
    <w:rsid w:val="003A575B"/>
    <w:rsid w:val="003A59FE"/>
    <w:rsid w:val="003A5B2A"/>
    <w:rsid w:val="003A5D81"/>
    <w:rsid w:val="003A624C"/>
    <w:rsid w:val="003A6997"/>
    <w:rsid w:val="003A69F3"/>
    <w:rsid w:val="003A6B01"/>
    <w:rsid w:val="003A6B16"/>
    <w:rsid w:val="003A6BB5"/>
    <w:rsid w:val="003A6F36"/>
    <w:rsid w:val="003A70D8"/>
    <w:rsid w:val="003A7262"/>
    <w:rsid w:val="003A7ECE"/>
    <w:rsid w:val="003B01C0"/>
    <w:rsid w:val="003B04EE"/>
    <w:rsid w:val="003B0D97"/>
    <w:rsid w:val="003B1019"/>
    <w:rsid w:val="003B14F0"/>
    <w:rsid w:val="003B18C5"/>
    <w:rsid w:val="003B20BC"/>
    <w:rsid w:val="003B2BCC"/>
    <w:rsid w:val="003B35E6"/>
    <w:rsid w:val="003B3655"/>
    <w:rsid w:val="003B44FC"/>
    <w:rsid w:val="003B470A"/>
    <w:rsid w:val="003B4D77"/>
    <w:rsid w:val="003B5178"/>
    <w:rsid w:val="003B567C"/>
    <w:rsid w:val="003B5749"/>
    <w:rsid w:val="003B5D1D"/>
    <w:rsid w:val="003B5F8C"/>
    <w:rsid w:val="003B66EB"/>
    <w:rsid w:val="003B6F78"/>
    <w:rsid w:val="003B7421"/>
    <w:rsid w:val="003B78F9"/>
    <w:rsid w:val="003B79A7"/>
    <w:rsid w:val="003C0857"/>
    <w:rsid w:val="003C1178"/>
    <w:rsid w:val="003C1AEB"/>
    <w:rsid w:val="003C2451"/>
    <w:rsid w:val="003C2B4A"/>
    <w:rsid w:val="003C37FA"/>
    <w:rsid w:val="003C3C12"/>
    <w:rsid w:val="003C4999"/>
    <w:rsid w:val="003C4E0F"/>
    <w:rsid w:val="003C553D"/>
    <w:rsid w:val="003C5C9A"/>
    <w:rsid w:val="003C5F08"/>
    <w:rsid w:val="003C64BA"/>
    <w:rsid w:val="003C6707"/>
    <w:rsid w:val="003C6825"/>
    <w:rsid w:val="003C6A4C"/>
    <w:rsid w:val="003C70E4"/>
    <w:rsid w:val="003C77ED"/>
    <w:rsid w:val="003C78E6"/>
    <w:rsid w:val="003C7F15"/>
    <w:rsid w:val="003D02B7"/>
    <w:rsid w:val="003D0318"/>
    <w:rsid w:val="003D0652"/>
    <w:rsid w:val="003D06ED"/>
    <w:rsid w:val="003D0F32"/>
    <w:rsid w:val="003D278B"/>
    <w:rsid w:val="003D297F"/>
    <w:rsid w:val="003D2A8D"/>
    <w:rsid w:val="003D2DF2"/>
    <w:rsid w:val="003D35E5"/>
    <w:rsid w:val="003D4202"/>
    <w:rsid w:val="003D42E9"/>
    <w:rsid w:val="003D43FE"/>
    <w:rsid w:val="003D4750"/>
    <w:rsid w:val="003D48D5"/>
    <w:rsid w:val="003D4BF7"/>
    <w:rsid w:val="003D4ED5"/>
    <w:rsid w:val="003D5C42"/>
    <w:rsid w:val="003D5E08"/>
    <w:rsid w:val="003D6910"/>
    <w:rsid w:val="003D70A7"/>
    <w:rsid w:val="003D7207"/>
    <w:rsid w:val="003D779A"/>
    <w:rsid w:val="003E0797"/>
    <w:rsid w:val="003E09E0"/>
    <w:rsid w:val="003E0C13"/>
    <w:rsid w:val="003E1808"/>
    <w:rsid w:val="003E1959"/>
    <w:rsid w:val="003E1B61"/>
    <w:rsid w:val="003E23F8"/>
    <w:rsid w:val="003E26E2"/>
    <w:rsid w:val="003E2E0E"/>
    <w:rsid w:val="003E2EF0"/>
    <w:rsid w:val="003E3046"/>
    <w:rsid w:val="003E3194"/>
    <w:rsid w:val="003E3900"/>
    <w:rsid w:val="003E4092"/>
    <w:rsid w:val="003E42B8"/>
    <w:rsid w:val="003E4353"/>
    <w:rsid w:val="003E4B58"/>
    <w:rsid w:val="003E54D4"/>
    <w:rsid w:val="003E5AAA"/>
    <w:rsid w:val="003E5D34"/>
    <w:rsid w:val="003E5E50"/>
    <w:rsid w:val="003E69B4"/>
    <w:rsid w:val="003E6D18"/>
    <w:rsid w:val="003E6FF0"/>
    <w:rsid w:val="003E7104"/>
    <w:rsid w:val="003E78A7"/>
    <w:rsid w:val="003E7F09"/>
    <w:rsid w:val="003F078F"/>
    <w:rsid w:val="003F0809"/>
    <w:rsid w:val="003F0AEA"/>
    <w:rsid w:val="003F0E22"/>
    <w:rsid w:val="003F1737"/>
    <w:rsid w:val="003F1AD3"/>
    <w:rsid w:val="003F1C04"/>
    <w:rsid w:val="003F1FF1"/>
    <w:rsid w:val="003F21F7"/>
    <w:rsid w:val="003F2B51"/>
    <w:rsid w:val="003F314C"/>
    <w:rsid w:val="003F333F"/>
    <w:rsid w:val="003F3BCF"/>
    <w:rsid w:val="003F48E9"/>
    <w:rsid w:val="003F4973"/>
    <w:rsid w:val="003F561F"/>
    <w:rsid w:val="003F566B"/>
    <w:rsid w:val="003F5B2C"/>
    <w:rsid w:val="003F634B"/>
    <w:rsid w:val="003F7578"/>
    <w:rsid w:val="003F7804"/>
    <w:rsid w:val="003F78DE"/>
    <w:rsid w:val="004006C6"/>
    <w:rsid w:val="00400B63"/>
    <w:rsid w:val="00400E4B"/>
    <w:rsid w:val="004025DD"/>
    <w:rsid w:val="00402D08"/>
    <w:rsid w:val="00403A4A"/>
    <w:rsid w:val="00403BBF"/>
    <w:rsid w:val="00404278"/>
    <w:rsid w:val="00404DAA"/>
    <w:rsid w:val="004058F7"/>
    <w:rsid w:val="00405B66"/>
    <w:rsid w:val="00406FDC"/>
    <w:rsid w:val="004071E9"/>
    <w:rsid w:val="004072D3"/>
    <w:rsid w:val="00407F4B"/>
    <w:rsid w:val="0041057C"/>
    <w:rsid w:val="00410C73"/>
    <w:rsid w:val="00411187"/>
    <w:rsid w:val="004114A0"/>
    <w:rsid w:val="00411A0B"/>
    <w:rsid w:val="00411D5C"/>
    <w:rsid w:val="00412137"/>
    <w:rsid w:val="00412179"/>
    <w:rsid w:val="004121BA"/>
    <w:rsid w:val="004135A3"/>
    <w:rsid w:val="00413FC4"/>
    <w:rsid w:val="004141C2"/>
    <w:rsid w:val="0041431D"/>
    <w:rsid w:val="004154F3"/>
    <w:rsid w:val="004156B9"/>
    <w:rsid w:val="00415775"/>
    <w:rsid w:val="0041621F"/>
    <w:rsid w:val="004170FB"/>
    <w:rsid w:val="004171E4"/>
    <w:rsid w:val="004171E8"/>
    <w:rsid w:val="00417C25"/>
    <w:rsid w:val="00420666"/>
    <w:rsid w:val="0042139F"/>
    <w:rsid w:val="004216C2"/>
    <w:rsid w:val="00422605"/>
    <w:rsid w:val="00422728"/>
    <w:rsid w:val="00422FE1"/>
    <w:rsid w:val="0042313F"/>
    <w:rsid w:val="00423223"/>
    <w:rsid w:val="004236DA"/>
    <w:rsid w:val="00423704"/>
    <w:rsid w:val="00423CA4"/>
    <w:rsid w:val="00424575"/>
    <w:rsid w:val="004249C6"/>
    <w:rsid w:val="00425842"/>
    <w:rsid w:val="0042592A"/>
    <w:rsid w:val="00426E75"/>
    <w:rsid w:val="0042709F"/>
    <w:rsid w:val="00427377"/>
    <w:rsid w:val="004274BE"/>
    <w:rsid w:val="0042755B"/>
    <w:rsid w:val="004277D3"/>
    <w:rsid w:val="004279FD"/>
    <w:rsid w:val="00427D8F"/>
    <w:rsid w:val="00430041"/>
    <w:rsid w:val="00430274"/>
    <w:rsid w:val="0043062D"/>
    <w:rsid w:val="004309CE"/>
    <w:rsid w:val="00430BC7"/>
    <w:rsid w:val="0043148C"/>
    <w:rsid w:val="00432263"/>
    <w:rsid w:val="004322D1"/>
    <w:rsid w:val="004323CF"/>
    <w:rsid w:val="00432F0A"/>
    <w:rsid w:val="00433877"/>
    <w:rsid w:val="00435253"/>
    <w:rsid w:val="0043534A"/>
    <w:rsid w:val="004355F4"/>
    <w:rsid w:val="00435B75"/>
    <w:rsid w:val="00435B93"/>
    <w:rsid w:val="00436E1B"/>
    <w:rsid w:val="00436F11"/>
    <w:rsid w:val="00436FF1"/>
    <w:rsid w:val="00437AE4"/>
    <w:rsid w:val="00437BD3"/>
    <w:rsid w:val="00440F08"/>
    <w:rsid w:val="00441273"/>
    <w:rsid w:val="00441589"/>
    <w:rsid w:val="00441C35"/>
    <w:rsid w:val="00442046"/>
    <w:rsid w:val="004423DD"/>
    <w:rsid w:val="00442634"/>
    <w:rsid w:val="00442758"/>
    <w:rsid w:val="004427EC"/>
    <w:rsid w:val="0044322A"/>
    <w:rsid w:val="004432C9"/>
    <w:rsid w:val="00443ACA"/>
    <w:rsid w:val="00444839"/>
    <w:rsid w:val="00444C4F"/>
    <w:rsid w:val="00444D3A"/>
    <w:rsid w:val="00445A03"/>
    <w:rsid w:val="00446B19"/>
    <w:rsid w:val="00450646"/>
    <w:rsid w:val="00450C7A"/>
    <w:rsid w:val="004512DA"/>
    <w:rsid w:val="004514A2"/>
    <w:rsid w:val="004529D8"/>
    <w:rsid w:val="00452ADB"/>
    <w:rsid w:val="00453174"/>
    <w:rsid w:val="00453B03"/>
    <w:rsid w:val="00453C10"/>
    <w:rsid w:val="00453DEE"/>
    <w:rsid w:val="00454518"/>
    <w:rsid w:val="0045488A"/>
    <w:rsid w:val="004552C6"/>
    <w:rsid w:val="004558EE"/>
    <w:rsid w:val="004559FB"/>
    <w:rsid w:val="00455A63"/>
    <w:rsid w:val="0045648E"/>
    <w:rsid w:val="004574BC"/>
    <w:rsid w:val="00457637"/>
    <w:rsid w:val="004579CD"/>
    <w:rsid w:val="004605E1"/>
    <w:rsid w:val="0046106D"/>
    <w:rsid w:val="004610FD"/>
    <w:rsid w:val="00461321"/>
    <w:rsid w:val="00461DEE"/>
    <w:rsid w:val="00461EF8"/>
    <w:rsid w:val="00462556"/>
    <w:rsid w:val="00462D9E"/>
    <w:rsid w:val="00463762"/>
    <w:rsid w:val="00463B21"/>
    <w:rsid w:val="004655F4"/>
    <w:rsid w:val="00465C67"/>
    <w:rsid w:val="00465EC1"/>
    <w:rsid w:val="00465F00"/>
    <w:rsid w:val="004661B1"/>
    <w:rsid w:val="004663AA"/>
    <w:rsid w:val="00466C04"/>
    <w:rsid w:val="00467389"/>
    <w:rsid w:val="004703A4"/>
    <w:rsid w:val="00470DD2"/>
    <w:rsid w:val="004712BE"/>
    <w:rsid w:val="00471E32"/>
    <w:rsid w:val="00472D5E"/>
    <w:rsid w:val="00473192"/>
    <w:rsid w:val="0047346D"/>
    <w:rsid w:val="00474027"/>
    <w:rsid w:val="004740EE"/>
    <w:rsid w:val="00474229"/>
    <w:rsid w:val="00474D2D"/>
    <w:rsid w:val="0047521F"/>
    <w:rsid w:val="00476185"/>
    <w:rsid w:val="00476217"/>
    <w:rsid w:val="00476AFC"/>
    <w:rsid w:val="00476B88"/>
    <w:rsid w:val="00477157"/>
    <w:rsid w:val="00477550"/>
    <w:rsid w:val="004776E1"/>
    <w:rsid w:val="00477B8C"/>
    <w:rsid w:val="0048085B"/>
    <w:rsid w:val="0048094F"/>
    <w:rsid w:val="004810C4"/>
    <w:rsid w:val="00481810"/>
    <w:rsid w:val="004818DE"/>
    <w:rsid w:val="00481CC9"/>
    <w:rsid w:val="00481E3C"/>
    <w:rsid w:val="00481ECE"/>
    <w:rsid w:val="004834D6"/>
    <w:rsid w:val="00483569"/>
    <w:rsid w:val="00483D44"/>
    <w:rsid w:val="00483DD5"/>
    <w:rsid w:val="00483DFD"/>
    <w:rsid w:val="00483EFD"/>
    <w:rsid w:val="00484F5D"/>
    <w:rsid w:val="00485B92"/>
    <w:rsid w:val="004860D0"/>
    <w:rsid w:val="00486588"/>
    <w:rsid w:val="004866EF"/>
    <w:rsid w:val="00486709"/>
    <w:rsid w:val="0048692A"/>
    <w:rsid w:val="00486CC2"/>
    <w:rsid w:val="004877B0"/>
    <w:rsid w:val="00487CB7"/>
    <w:rsid w:val="00487F78"/>
    <w:rsid w:val="00490175"/>
    <w:rsid w:val="00490E4B"/>
    <w:rsid w:val="004910F2"/>
    <w:rsid w:val="004911BD"/>
    <w:rsid w:val="00491BAC"/>
    <w:rsid w:val="00491C94"/>
    <w:rsid w:val="00491E84"/>
    <w:rsid w:val="00491EB6"/>
    <w:rsid w:val="00491EE1"/>
    <w:rsid w:val="0049235B"/>
    <w:rsid w:val="00492414"/>
    <w:rsid w:val="00492D32"/>
    <w:rsid w:val="004935B6"/>
    <w:rsid w:val="00493C64"/>
    <w:rsid w:val="0049403D"/>
    <w:rsid w:val="00494158"/>
    <w:rsid w:val="0049460C"/>
    <w:rsid w:val="00494FC0"/>
    <w:rsid w:val="004950D7"/>
    <w:rsid w:val="004954B6"/>
    <w:rsid w:val="0049558B"/>
    <w:rsid w:val="00495D5E"/>
    <w:rsid w:val="004964EF"/>
    <w:rsid w:val="00496A1F"/>
    <w:rsid w:val="0049709B"/>
    <w:rsid w:val="00497666"/>
    <w:rsid w:val="00497E41"/>
    <w:rsid w:val="004A0355"/>
    <w:rsid w:val="004A058B"/>
    <w:rsid w:val="004A06CE"/>
    <w:rsid w:val="004A0787"/>
    <w:rsid w:val="004A1415"/>
    <w:rsid w:val="004A1499"/>
    <w:rsid w:val="004A1C42"/>
    <w:rsid w:val="004A227D"/>
    <w:rsid w:val="004A2355"/>
    <w:rsid w:val="004A25A1"/>
    <w:rsid w:val="004A2DF9"/>
    <w:rsid w:val="004A387C"/>
    <w:rsid w:val="004A3C22"/>
    <w:rsid w:val="004A44A0"/>
    <w:rsid w:val="004A450F"/>
    <w:rsid w:val="004A5EB8"/>
    <w:rsid w:val="004A6513"/>
    <w:rsid w:val="004A7548"/>
    <w:rsid w:val="004A7C74"/>
    <w:rsid w:val="004B03B8"/>
    <w:rsid w:val="004B050E"/>
    <w:rsid w:val="004B07BB"/>
    <w:rsid w:val="004B0CE1"/>
    <w:rsid w:val="004B1BA9"/>
    <w:rsid w:val="004B37C2"/>
    <w:rsid w:val="004B4062"/>
    <w:rsid w:val="004B40B1"/>
    <w:rsid w:val="004B43E2"/>
    <w:rsid w:val="004B5054"/>
    <w:rsid w:val="004B54C8"/>
    <w:rsid w:val="004B5524"/>
    <w:rsid w:val="004B5A90"/>
    <w:rsid w:val="004B5CAE"/>
    <w:rsid w:val="004B5F85"/>
    <w:rsid w:val="004B653D"/>
    <w:rsid w:val="004B6D28"/>
    <w:rsid w:val="004B70CA"/>
    <w:rsid w:val="004B739F"/>
    <w:rsid w:val="004B77FE"/>
    <w:rsid w:val="004B7E35"/>
    <w:rsid w:val="004C057A"/>
    <w:rsid w:val="004C08CF"/>
    <w:rsid w:val="004C0F67"/>
    <w:rsid w:val="004C1641"/>
    <w:rsid w:val="004C1680"/>
    <w:rsid w:val="004C19B8"/>
    <w:rsid w:val="004C1A34"/>
    <w:rsid w:val="004C3479"/>
    <w:rsid w:val="004C3BD7"/>
    <w:rsid w:val="004C4132"/>
    <w:rsid w:val="004C483C"/>
    <w:rsid w:val="004C48A8"/>
    <w:rsid w:val="004C4A28"/>
    <w:rsid w:val="004C4A4C"/>
    <w:rsid w:val="004C4EFC"/>
    <w:rsid w:val="004C5400"/>
    <w:rsid w:val="004C582C"/>
    <w:rsid w:val="004C68E4"/>
    <w:rsid w:val="004C78B0"/>
    <w:rsid w:val="004D0BAB"/>
    <w:rsid w:val="004D1DBE"/>
    <w:rsid w:val="004D216D"/>
    <w:rsid w:val="004D2A1E"/>
    <w:rsid w:val="004D2DF0"/>
    <w:rsid w:val="004D2EDE"/>
    <w:rsid w:val="004D3114"/>
    <w:rsid w:val="004D3281"/>
    <w:rsid w:val="004D3362"/>
    <w:rsid w:val="004D3A52"/>
    <w:rsid w:val="004D3EF6"/>
    <w:rsid w:val="004D504E"/>
    <w:rsid w:val="004D527E"/>
    <w:rsid w:val="004D57F8"/>
    <w:rsid w:val="004D5DE3"/>
    <w:rsid w:val="004D644D"/>
    <w:rsid w:val="004D6948"/>
    <w:rsid w:val="004D69FC"/>
    <w:rsid w:val="004D6CE0"/>
    <w:rsid w:val="004D780C"/>
    <w:rsid w:val="004D7D6B"/>
    <w:rsid w:val="004E031C"/>
    <w:rsid w:val="004E0982"/>
    <w:rsid w:val="004E0E15"/>
    <w:rsid w:val="004E1D23"/>
    <w:rsid w:val="004E28F4"/>
    <w:rsid w:val="004E363E"/>
    <w:rsid w:val="004E4560"/>
    <w:rsid w:val="004E4597"/>
    <w:rsid w:val="004E4A4F"/>
    <w:rsid w:val="004E6151"/>
    <w:rsid w:val="004E63F7"/>
    <w:rsid w:val="004E668A"/>
    <w:rsid w:val="004E7651"/>
    <w:rsid w:val="004F0104"/>
    <w:rsid w:val="004F028A"/>
    <w:rsid w:val="004F06F8"/>
    <w:rsid w:val="004F1400"/>
    <w:rsid w:val="004F16D1"/>
    <w:rsid w:val="004F1B68"/>
    <w:rsid w:val="004F1FAF"/>
    <w:rsid w:val="004F2150"/>
    <w:rsid w:val="004F254D"/>
    <w:rsid w:val="004F2BE3"/>
    <w:rsid w:val="004F32CA"/>
    <w:rsid w:val="004F337F"/>
    <w:rsid w:val="004F3530"/>
    <w:rsid w:val="004F3859"/>
    <w:rsid w:val="004F38C4"/>
    <w:rsid w:val="004F408C"/>
    <w:rsid w:val="004F418F"/>
    <w:rsid w:val="004F44A8"/>
    <w:rsid w:val="004F4D0C"/>
    <w:rsid w:val="004F53F9"/>
    <w:rsid w:val="004F5766"/>
    <w:rsid w:val="004F578A"/>
    <w:rsid w:val="004F5863"/>
    <w:rsid w:val="004F5C51"/>
    <w:rsid w:val="004F5ECA"/>
    <w:rsid w:val="004F629C"/>
    <w:rsid w:val="004F6510"/>
    <w:rsid w:val="004F6ABE"/>
    <w:rsid w:val="00500C3F"/>
    <w:rsid w:val="00501425"/>
    <w:rsid w:val="005019BC"/>
    <w:rsid w:val="00501B01"/>
    <w:rsid w:val="0050274F"/>
    <w:rsid w:val="00502A5C"/>
    <w:rsid w:val="00502BE3"/>
    <w:rsid w:val="00502C45"/>
    <w:rsid w:val="00502C92"/>
    <w:rsid w:val="00502E00"/>
    <w:rsid w:val="00502F18"/>
    <w:rsid w:val="005033AE"/>
    <w:rsid w:val="00503EC6"/>
    <w:rsid w:val="00503F7B"/>
    <w:rsid w:val="00504001"/>
    <w:rsid w:val="00504D23"/>
    <w:rsid w:val="005055C8"/>
    <w:rsid w:val="005056B6"/>
    <w:rsid w:val="00505A89"/>
    <w:rsid w:val="00505DA1"/>
    <w:rsid w:val="00506215"/>
    <w:rsid w:val="005062A6"/>
    <w:rsid w:val="005067F4"/>
    <w:rsid w:val="00506A41"/>
    <w:rsid w:val="00506D4C"/>
    <w:rsid w:val="00507C70"/>
    <w:rsid w:val="00507DFC"/>
    <w:rsid w:val="00510455"/>
    <w:rsid w:val="0051099F"/>
    <w:rsid w:val="00510EB2"/>
    <w:rsid w:val="005114B7"/>
    <w:rsid w:val="00511559"/>
    <w:rsid w:val="0051175D"/>
    <w:rsid w:val="00512086"/>
    <w:rsid w:val="005122DE"/>
    <w:rsid w:val="0051295B"/>
    <w:rsid w:val="00512D58"/>
    <w:rsid w:val="00513F41"/>
    <w:rsid w:val="00514127"/>
    <w:rsid w:val="005142A3"/>
    <w:rsid w:val="0051514F"/>
    <w:rsid w:val="00515413"/>
    <w:rsid w:val="00515D6B"/>
    <w:rsid w:val="00515F0E"/>
    <w:rsid w:val="0051637F"/>
    <w:rsid w:val="00516549"/>
    <w:rsid w:val="0051672A"/>
    <w:rsid w:val="005178A0"/>
    <w:rsid w:val="00517BBB"/>
    <w:rsid w:val="00520555"/>
    <w:rsid w:val="005207C0"/>
    <w:rsid w:val="00520902"/>
    <w:rsid w:val="005216F4"/>
    <w:rsid w:val="00521B16"/>
    <w:rsid w:val="0052211D"/>
    <w:rsid w:val="00522281"/>
    <w:rsid w:val="005222D0"/>
    <w:rsid w:val="00522D51"/>
    <w:rsid w:val="0052327E"/>
    <w:rsid w:val="00523551"/>
    <w:rsid w:val="00524F75"/>
    <w:rsid w:val="005250E2"/>
    <w:rsid w:val="0052524C"/>
    <w:rsid w:val="00525D2D"/>
    <w:rsid w:val="00525D56"/>
    <w:rsid w:val="0052614C"/>
    <w:rsid w:val="00526804"/>
    <w:rsid w:val="0052689C"/>
    <w:rsid w:val="00527205"/>
    <w:rsid w:val="00527ED0"/>
    <w:rsid w:val="00530A9B"/>
    <w:rsid w:val="00530B05"/>
    <w:rsid w:val="0053188E"/>
    <w:rsid w:val="00531BDD"/>
    <w:rsid w:val="00531C7A"/>
    <w:rsid w:val="00531ECA"/>
    <w:rsid w:val="00531FC6"/>
    <w:rsid w:val="00532AED"/>
    <w:rsid w:val="00534307"/>
    <w:rsid w:val="00534671"/>
    <w:rsid w:val="00534E5F"/>
    <w:rsid w:val="0053527B"/>
    <w:rsid w:val="00535556"/>
    <w:rsid w:val="00535D76"/>
    <w:rsid w:val="0053605D"/>
    <w:rsid w:val="005361CD"/>
    <w:rsid w:val="00537065"/>
    <w:rsid w:val="005370B3"/>
    <w:rsid w:val="005373D2"/>
    <w:rsid w:val="005377D1"/>
    <w:rsid w:val="00537AC0"/>
    <w:rsid w:val="00537B92"/>
    <w:rsid w:val="0054050F"/>
    <w:rsid w:val="00540B72"/>
    <w:rsid w:val="00540E03"/>
    <w:rsid w:val="0054106F"/>
    <w:rsid w:val="0054186F"/>
    <w:rsid w:val="00541DF8"/>
    <w:rsid w:val="00543100"/>
    <w:rsid w:val="00543FDF"/>
    <w:rsid w:val="00545554"/>
    <w:rsid w:val="005457EE"/>
    <w:rsid w:val="00546CD4"/>
    <w:rsid w:val="00546D81"/>
    <w:rsid w:val="00546F98"/>
    <w:rsid w:val="00547BA0"/>
    <w:rsid w:val="00550008"/>
    <w:rsid w:val="00551EA3"/>
    <w:rsid w:val="0055239F"/>
    <w:rsid w:val="00552FF7"/>
    <w:rsid w:val="005530D5"/>
    <w:rsid w:val="00553BA1"/>
    <w:rsid w:val="005549CE"/>
    <w:rsid w:val="00555219"/>
    <w:rsid w:val="0055521F"/>
    <w:rsid w:val="00555477"/>
    <w:rsid w:val="00555E88"/>
    <w:rsid w:val="00557045"/>
    <w:rsid w:val="005574A0"/>
    <w:rsid w:val="005574FD"/>
    <w:rsid w:val="0055791F"/>
    <w:rsid w:val="00557F15"/>
    <w:rsid w:val="0056172F"/>
    <w:rsid w:val="0056179F"/>
    <w:rsid w:val="0056189B"/>
    <w:rsid w:val="00561919"/>
    <w:rsid w:val="00561952"/>
    <w:rsid w:val="00562B15"/>
    <w:rsid w:val="005634C2"/>
    <w:rsid w:val="0056366B"/>
    <w:rsid w:val="00564560"/>
    <w:rsid w:val="00564A86"/>
    <w:rsid w:val="005651E7"/>
    <w:rsid w:val="00565609"/>
    <w:rsid w:val="005661E7"/>
    <w:rsid w:val="00566F87"/>
    <w:rsid w:val="005703FA"/>
    <w:rsid w:val="00570D39"/>
    <w:rsid w:val="00571554"/>
    <w:rsid w:val="00571559"/>
    <w:rsid w:val="005718E4"/>
    <w:rsid w:val="00571906"/>
    <w:rsid w:val="00571F66"/>
    <w:rsid w:val="005728C5"/>
    <w:rsid w:val="0057300D"/>
    <w:rsid w:val="00573392"/>
    <w:rsid w:val="0057339A"/>
    <w:rsid w:val="00573659"/>
    <w:rsid w:val="00574274"/>
    <w:rsid w:val="0057509A"/>
    <w:rsid w:val="00575262"/>
    <w:rsid w:val="005752E0"/>
    <w:rsid w:val="00575C38"/>
    <w:rsid w:val="005761A7"/>
    <w:rsid w:val="005762EF"/>
    <w:rsid w:val="0057750A"/>
    <w:rsid w:val="00577A90"/>
    <w:rsid w:val="005802A9"/>
    <w:rsid w:val="00580305"/>
    <w:rsid w:val="00580DF1"/>
    <w:rsid w:val="00580EC1"/>
    <w:rsid w:val="0058124C"/>
    <w:rsid w:val="0058163E"/>
    <w:rsid w:val="00581830"/>
    <w:rsid w:val="00581ACD"/>
    <w:rsid w:val="00581B57"/>
    <w:rsid w:val="005821A2"/>
    <w:rsid w:val="00582B7C"/>
    <w:rsid w:val="0058303A"/>
    <w:rsid w:val="00583551"/>
    <w:rsid w:val="005835FF"/>
    <w:rsid w:val="00583FC0"/>
    <w:rsid w:val="00584E85"/>
    <w:rsid w:val="0058570E"/>
    <w:rsid w:val="00585E71"/>
    <w:rsid w:val="00586424"/>
    <w:rsid w:val="00586590"/>
    <w:rsid w:val="00586AE2"/>
    <w:rsid w:val="00586CC5"/>
    <w:rsid w:val="00586CE8"/>
    <w:rsid w:val="00586FD4"/>
    <w:rsid w:val="005871DA"/>
    <w:rsid w:val="00587263"/>
    <w:rsid w:val="005877C5"/>
    <w:rsid w:val="005877CD"/>
    <w:rsid w:val="00587A6B"/>
    <w:rsid w:val="00587C99"/>
    <w:rsid w:val="00590719"/>
    <w:rsid w:val="00590EF5"/>
    <w:rsid w:val="00590FD4"/>
    <w:rsid w:val="00591848"/>
    <w:rsid w:val="00591B5B"/>
    <w:rsid w:val="00591C9A"/>
    <w:rsid w:val="00592024"/>
    <w:rsid w:val="0059294A"/>
    <w:rsid w:val="00593851"/>
    <w:rsid w:val="00593B24"/>
    <w:rsid w:val="00593F6B"/>
    <w:rsid w:val="0059435A"/>
    <w:rsid w:val="0059479F"/>
    <w:rsid w:val="00594847"/>
    <w:rsid w:val="00594B70"/>
    <w:rsid w:val="00594E86"/>
    <w:rsid w:val="00594E8A"/>
    <w:rsid w:val="00596033"/>
    <w:rsid w:val="00596F17"/>
    <w:rsid w:val="005970EA"/>
    <w:rsid w:val="005973A5"/>
    <w:rsid w:val="0059776C"/>
    <w:rsid w:val="00597B76"/>
    <w:rsid w:val="005A04DF"/>
    <w:rsid w:val="005A073A"/>
    <w:rsid w:val="005A0BC4"/>
    <w:rsid w:val="005A0D66"/>
    <w:rsid w:val="005A0FFA"/>
    <w:rsid w:val="005A10F8"/>
    <w:rsid w:val="005A11DE"/>
    <w:rsid w:val="005A12EB"/>
    <w:rsid w:val="005A2311"/>
    <w:rsid w:val="005A2E0D"/>
    <w:rsid w:val="005A30E1"/>
    <w:rsid w:val="005A3721"/>
    <w:rsid w:val="005A456D"/>
    <w:rsid w:val="005A58CE"/>
    <w:rsid w:val="005A5FE1"/>
    <w:rsid w:val="005A616B"/>
    <w:rsid w:val="005A64EA"/>
    <w:rsid w:val="005A676A"/>
    <w:rsid w:val="005A6CA1"/>
    <w:rsid w:val="005A7045"/>
    <w:rsid w:val="005A795B"/>
    <w:rsid w:val="005B10AE"/>
    <w:rsid w:val="005B11DA"/>
    <w:rsid w:val="005B1547"/>
    <w:rsid w:val="005B1637"/>
    <w:rsid w:val="005B224B"/>
    <w:rsid w:val="005B2832"/>
    <w:rsid w:val="005B2C19"/>
    <w:rsid w:val="005B3354"/>
    <w:rsid w:val="005B338C"/>
    <w:rsid w:val="005B42A6"/>
    <w:rsid w:val="005B4C2F"/>
    <w:rsid w:val="005B5234"/>
    <w:rsid w:val="005B5500"/>
    <w:rsid w:val="005B58E7"/>
    <w:rsid w:val="005B6593"/>
    <w:rsid w:val="005B69BB"/>
    <w:rsid w:val="005B6EE0"/>
    <w:rsid w:val="005B7404"/>
    <w:rsid w:val="005B774D"/>
    <w:rsid w:val="005B7A11"/>
    <w:rsid w:val="005C0947"/>
    <w:rsid w:val="005C0D4A"/>
    <w:rsid w:val="005C0E4F"/>
    <w:rsid w:val="005C1341"/>
    <w:rsid w:val="005C1938"/>
    <w:rsid w:val="005C1943"/>
    <w:rsid w:val="005C1B42"/>
    <w:rsid w:val="005C24CF"/>
    <w:rsid w:val="005C3330"/>
    <w:rsid w:val="005C3629"/>
    <w:rsid w:val="005C38AF"/>
    <w:rsid w:val="005C582C"/>
    <w:rsid w:val="005C5A19"/>
    <w:rsid w:val="005C5BAE"/>
    <w:rsid w:val="005C641A"/>
    <w:rsid w:val="005C7E08"/>
    <w:rsid w:val="005D0103"/>
    <w:rsid w:val="005D126A"/>
    <w:rsid w:val="005D2087"/>
    <w:rsid w:val="005D2357"/>
    <w:rsid w:val="005D26B3"/>
    <w:rsid w:val="005D2C36"/>
    <w:rsid w:val="005D2C9C"/>
    <w:rsid w:val="005D3140"/>
    <w:rsid w:val="005D317D"/>
    <w:rsid w:val="005D4807"/>
    <w:rsid w:val="005D4B3E"/>
    <w:rsid w:val="005D50E2"/>
    <w:rsid w:val="005D5372"/>
    <w:rsid w:val="005D5758"/>
    <w:rsid w:val="005D5AC3"/>
    <w:rsid w:val="005D6B60"/>
    <w:rsid w:val="005D6F57"/>
    <w:rsid w:val="005D707B"/>
    <w:rsid w:val="005D72B1"/>
    <w:rsid w:val="005D79C4"/>
    <w:rsid w:val="005E0018"/>
    <w:rsid w:val="005E0364"/>
    <w:rsid w:val="005E0A68"/>
    <w:rsid w:val="005E0F93"/>
    <w:rsid w:val="005E174E"/>
    <w:rsid w:val="005E23C7"/>
    <w:rsid w:val="005E28F4"/>
    <w:rsid w:val="005E2B84"/>
    <w:rsid w:val="005E2CE9"/>
    <w:rsid w:val="005E3CFE"/>
    <w:rsid w:val="005E4078"/>
    <w:rsid w:val="005E437D"/>
    <w:rsid w:val="005E4A8C"/>
    <w:rsid w:val="005E4DFC"/>
    <w:rsid w:val="005E5136"/>
    <w:rsid w:val="005E5F57"/>
    <w:rsid w:val="005E668A"/>
    <w:rsid w:val="005E6D47"/>
    <w:rsid w:val="005E7069"/>
    <w:rsid w:val="005E733D"/>
    <w:rsid w:val="005E74D8"/>
    <w:rsid w:val="005E798D"/>
    <w:rsid w:val="005E7C62"/>
    <w:rsid w:val="005E7DA2"/>
    <w:rsid w:val="005F0203"/>
    <w:rsid w:val="005F029F"/>
    <w:rsid w:val="005F07B1"/>
    <w:rsid w:val="005F0DB0"/>
    <w:rsid w:val="005F139D"/>
    <w:rsid w:val="005F1712"/>
    <w:rsid w:val="005F19E5"/>
    <w:rsid w:val="005F24C3"/>
    <w:rsid w:val="005F2B13"/>
    <w:rsid w:val="005F2E77"/>
    <w:rsid w:val="005F2FFF"/>
    <w:rsid w:val="005F310F"/>
    <w:rsid w:val="005F34E5"/>
    <w:rsid w:val="005F3536"/>
    <w:rsid w:val="005F3F5C"/>
    <w:rsid w:val="005F43D6"/>
    <w:rsid w:val="005F47EB"/>
    <w:rsid w:val="005F495C"/>
    <w:rsid w:val="005F4B8E"/>
    <w:rsid w:val="005F51B4"/>
    <w:rsid w:val="005F532C"/>
    <w:rsid w:val="005F560A"/>
    <w:rsid w:val="005F5932"/>
    <w:rsid w:val="005F5E35"/>
    <w:rsid w:val="005F5F53"/>
    <w:rsid w:val="005F655E"/>
    <w:rsid w:val="005F6BD2"/>
    <w:rsid w:val="005F6D6B"/>
    <w:rsid w:val="005F6D9A"/>
    <w:rsid w:val="005F725F"/>
    <w:rsid w:val="006004CA"/>
    <w:rsid w:val="00600973"/>
    <w:rsid w:val="00600A38"/>
    <w:rsid w:val="00601DB7"/>
    <w:rsid w:val="00602C95"/>
    <w:rsid w:val="0060310B"/>
    <w:rsid w:val="00603138"/>
    <w:rsid w:val="006031DD"/>
    <w:rsid w:val="00603772"/>
    <w:rsid w:val="00603CAF"/>
    <w:rsid w:val="00603EB5"/>
    <w:rsid w:val="00604064"/>
    <w:rsid w:val="006042F7"/>
    <w:rsid w:val="0060453A"/>
    <w:rsid w:val="00605118"/>
    <w:rsid w:val="00605341"/>
    <w:rsid w:val="00605775"/>
    <w:rsid w:val="00606C56"/>
    <w:rsid w:val="00606EF4"/>
    <w:rsid w:val="00606FC8"/>
    <w:rsid w:val="00607EE8"/>
    <w:rsid w:val="00607FA7"/>
    <w:rsid w:val="0060E02A"/>
    <w:rsid w:val="006103B6"/>
    <w:rsid w:val="0061125B"/>
    <w:rsid w:val="00611E09"/>
    <w:rsid w:val="00613074"/>
    <w:rsid w:val="00613135"/>
    <w:rsid w:val="006132CC"/>
    <w:rsid w:val="0061380D"/>
    <w:rsid w:val="00613D2D"/>
    <w:rsid w:val="0061427F"/>
    <w:rsid w:val="00616B10"/>
    <w:rsid w:val="00617132"/>
    <w:rsid w:val="00617345"/>
    <w:rsid w:val="006175B3"/>
    <w:rsid w:val="00617F3C"/>
    <w:rsid w:val="006204D6"/>
    <w:rsid w:val="006205A4"/>
    <w:rsid w:val="00620AC3"/>
    <w:rsid w:val="00620BA7"/>
    <w:rsid w:val="00620BA8"/>
    <w:rsid w:val="00620EF0"/>
    <w:rsid w:val="006212A3"/>
    <w:rsid w:val="006214AB"/>
    <w:rsid w:val="006216C2"/>
    <w:rsid w:val="00621B5D"/>
    <w:rsid w:val="00621EC2"/>
    <w:rsid w:val="00621EE4"/>
    <w:rsid w:val="0062204C"/>
    <w:rsid w:val="00622341"/>
    <w:rsid w:val="006223E2"/>
    <w:rsid w:val="0062252C"/>
    <w:rsid w:val="00622983"/>
    <w:rsid w:val="006230E4"/>
    <w:rsid w:val="006237EA"/>
    <w:rsid w:val="0062430F"/>
    <w:rsid w:val="006244F5"/>
    <w:rsid w:val="00624BCB"/>
    <w:rsid w:val="00625D02"/>
    <w:rsid w:val="006272E0"/>
    <w:rsid w:val="00627386"/>
    <w:rsid w:val="00627FA1"/>
    <w:rsid w:val="00630082"/>
    <w:rsid w:val="0063008E"/>
    <w:rsid w:val="006301FC"/>
    <w:rsid w:val="00630267"/>
    <w:rsid w:val="006304E1"/>
    <w:rsid w:val="0063063D"/>
    <w:rsid w:val="00631312"/>
    <w:rsid w:val="00631893"/>
    <w:rsid w:val="00631BC1"/>
    <w:rsid w:val="00631D2A"/>
    <w:rsid w:val="00631F4D"/>
    <w:rsid w:val="00632305"/>
    <w:rsid w:val="006323DC"/>
    <w:rsid w:val="0063251E"/>
    <w:rsid w:val="00632A60"/>
    <w:rsid w:val="00633FDF"/>
    <w:rsid w:val="0063501E"/>
    <w:rsid w:val="00635F9D"/>
    <w:rsid w:val="00636BEC"/>
    <w:rsid w:val="00636F91"/>
    <w:rsid w:val="0063751B"/>
    <w:rsid w:val="0063770B"/>
    <w:rsid w:val="00637812"/>
    <w:rsid w:val="00637AFA"/>
    <w:rsid w:val="00637B20"/>
    <w:rsid w:val="006408C3"/>
    <w:rsid w:val="006410A3"/>
    <w:rsid w:val="00641D30"/>
    <w:rsid w:val="006421CD"/>
    <w:rsid w:val="00642A7F"/>
    <w:rsid w:val="00642DFD"/>
    <w:rsid w:val="0064374E"/>
    <w:rsid w:val="00645577"/>
    <w:rsid w:val="0064577B"/>
    <w:rsid w:val="0064598F"/>
    <w:rsid w:val="0064654B"/>
    <w:rsid w:val="00646966"/>
    <w:rsid w:val="00646F64"/>
    <w:rsid w:val="00647277"/>
    <w:rsid w:val="006472A6"/>
    <w:rsid w:val="00647562"/>
    <w:rsid w:val="00647A33"/>
    <w:rsid w:val="0065080F"/>
    <w:rsid w:val="006510B7"/>
    <w:rsid w:val="006513CA"/>
    <w:rsid w:val="00651731"/>
    <w:rsid w:val="00652395"/>
    <w:rsid w:val="0065240E"/>
    <w:rsid w:val="00652426"/>
    <w:rsid w:val="00653408"/>
    <w:rsid w:val="00653AA8"/>
    <w:rsid w:val="006547C0"/>
    <w:rsid w:val="00654C21"/>
    <w:rsid w:val="00655A27"/>
    <w:rsid w:val="006562EF"/>
    <w:rsid w:val="00657A08"/>
    <w:rsid w:val="00660475"/>
    <w:rsid w:val="006605E2"/>
    <w:rsid w:val="00660761"/>
    <w:rsid w:val="006607EF"/>
    <w:rsid w:val="00660C26"/>
    <w:rsid w:val="006610C2"/>
    <w:rsid w:val="00661492"/>
    <w:rsid w:val="006618B9"/>
    <w:rsid w:val="00661A1E"/>
    <w:rsid w:val="00661ABD"/>
    <w:rsid w:val="00662527"/>
    <w:rsid w:val="006628C3"/>
    <w:rsid w:val="006628F1"/>
    <w:rsid w:val="006638ED"/>
    <w:rsid w:val="00663E08"/>
    <w:rsid w:val="0066404E"/>
    <w:rsid w:val="006642A8"/>
    <w:rsid w:val="006648EC"/>
    <w:rsid w:val="006649A1"/>
    <w:rsid w:val="00664A52"/>
    <w:rsid w:val="00664A6A"/>
    <w:rsid w:val="00664F1F"/>
    <w:rsid w:val="006658AA"/>
    <w:rsid w:val="00666AAD"/>
    <w:rsid w:val="0066768E"/>
    <w:rsid w:val="00667DBA"/>
    <w:rsid w:val="00670206"/>
    <w:rsid w:val="00670380"/>
    <w:rsid w:val="006705D1"/>
    <w:rsid w:val="00671E4E"/>
    <w:rsid w:val="00671E9F"/>
    <w:rsid w:val="00671EAC"/>
    <w:rsid w:val="00671F71"/>
    <w:rsid w:val="0067248C"/>
    <w:rsid w:val="006725E8"/>
    <w:rsid w:val="00672B42"/>
    <w:rsid w:val="00672FC3"/>
    <w:rsid w:val="006732A8"/>
    <w:rsid w:val="00674768"/>
    <w:rsid w:val="00674B08"/>
    <w:rsid w:val="006756CF"/>
    <w:rsid w:val="006758A3"/>
    <w:rsid w:val="0067647A"/>
    <w:rsid w:val="006765A2"/>
    <w:rsid w:val="00677296"/>
    <w:rsid w:val="00677BDE"/>
    <w:rsid w:val="0068118D"/>
    <w:rsid w:val="0068129F"/>
    <w:rsid w:val="00681CA3"/>
    <w:rsid w:val="0068208F"/>
    <w:rsid w:val="0068231A"/>
    <w:rsid w:val="00682A28"/>
    <w:rsid w:val="00682C9E"/>
    <w:rsid w:val="00682F01"/>
    <w:rsid w:val="006835BD"/>
    <w:rsid w:val="00683668"/>
    <w:rsid w:val="00684A9E"/>
    <w:rsid w:val="00684ABC"/>
    <w:rsid w:val="006853C6"/>
    <w:rsid w:val="0068548C"/>
    <w:rsid w:val="00685849"/>
    <w:rsid w:val="00686256"/>
    <w:rsid w:val="00687631"/>
    <w:rsid w:val="00690202"/>
    <w:rsid w:val="00692217"/>
    <w:rsid w:val="006932EE"/>
    <w:rsid w:val="0069406F"/>
    <w:rsid w:val="0069495D"/>
    <w:rsid w:val="00694C5D"/>
    <w:rsid w:val="00695414"/>
    <w:rsid w:val="00695E91"/>
    <w:rsid w:val="00695F1F"/>
    <w:rsid w:val="00696235"/>
    <w:rsid w:val="00696736"/>
    <w:rsid w:val="00696BAF"/>
    <w:rsid w:val="00696CD9"/>
    <w:rsid w:val="00696D2B"/>
    <w:rsid w:val="006970BA"/>
    <w:rsid w:val="006A1432"/>
    <w:rsid w:val="006A1A9E"/>
    <w:rsid w:val="006A1B19"/>
    <w:rsid w:val="006A1F38"/>
    <w:rsid w:val="006A1FBA"/>
    <w:rsid w:val="006A32BD"/>
    <w:rsid w:val="006A3B6C"/>
    <w:rsid w:val="006A4249"/>
    <w:rsid w:val="006A4653"/>
    <w:rsid w:val="006A49BE"/>
    <w:rsid w:val="006A4D3D"/>
    <w:rsid w:val="006A509C"/>
    <w:rsid w:val="006A6030"/>
    <w:rsid w:val="006A66A3"/>
    <w:rsid w:val="006A67E3"/>
    <w:rsid w:val="006A69D3"/>
    <w:rsid w:val="006A6B95"/>
    <w:rsid w:val="006B053A"/>
    <w:rsid w:val="006B15B3"/>
    <w:rsid w:val="006B168E"/>
    <w:rsid w:val="006B1746"/>
    <w:rsid w:val="006B217F"/>
    <w:rsid w:val="006B22C2"/>
    <w:rsid w:val="006B396E"/>
    <w:rsid w:val="006B435C"/>
    <w:rsid w:val="006B537F"/>
    <w:rsid w:val="006B5489"/>
    <w:rsid w:val="006B5687"/>
    <w:rsid w:val="006B56CB"/>
    <w:rsid w:val="006B62E9"/>
    <w:rsid w:val="006B6375"/>
    <w:rsid w:val="006B6785"/>
    <w:rsid w:val="006B6B3F"/>
    <w:rsid w:val="006B7330"/>
    <w:rsid w:val="006B73A8"/>
    <w:rsid w:val="006B73FF"/>
    <w:rsid w:val="006B7508"/>
    <w:rsid w:val="006B7754"/>
    <w:rsid w:val="006B7CB8"/>
    <w:rsid w:val="006C064B"/>
    <w:rsid w:val="006C08D9"/>
    <w:rsid w:val="006C1AFA"/>
    <w:rsid w:val="006C21E5"/>
    <w:rsid w:val="006C2D33"/>
    <w:rsid w:val="006C3116"/>
    <w:rsid w:val="006C3201"/>
    <w:rsid w:val="006C33D0"/>
    <w:rsid w:val="006C340A"/>
    <w:rsid w:val="006C38CA"/>
    <w:rsid w:val="006C3B2C"/>
    <w:rsid w:val="006C3D78"/>
    <w:rsid w:val="006C431F"/>
    <w:rsid w:val="006C4C3A"/>
    <w:rsid w:val="006C4DD1"/>
    <w:rsid w:val="006C4DEA"/>
    <w:rsid w:val="006C4EE9"/>
    <w:rsid w:val="006C64E2"/>
    <w:rsid w:val="006D01AA"/>
    <w:rsid w:val="006D0727"/>
    <w:rsid w:val="006D1871"/>
    <w:rsid w:val="006D2068"/>
    <w:rsid w:val="006D2122"/>
    <w:rsid w:val="006D2771"/>
    <w:rsid w:val="006D28B3"/>
    <w:rsid w:val="006D2AC7"/>
    <w:rsid w:val="006D2E20"/>
    <w:rsid w:val="006D33BE"/>
    <w:rsid w:val="006D4553"/>
    <w:rsid w:val="006D4E31"/>
    <w:rsid w:val="006D4E3F"/>
    <w:rsid w:val="006D4EB3"/>
    <w:rsid w:val="006D5088"/>
    <w:rsid w:val="006D58C5"/>
    <w:rsid w:val="006D668E"/>
    <w:rsid w:val="006D6F73"/>
    <w:rsid w:val="006E0899"/>
    <w:rsid w:val="006E08E1"/>
    <w:rsid w:val="006E1599"/>
    <w:rsid w:val="006E1C54"/>
    <w:rsid w:val="006E2046"/>
    <w:rsid w:val="006E2679"/>
    <w:rsid w:val="006E2E24"/>
    <w:rsid w:val="006E35C5"/>
    <w:rsid w:val="006E3701"/>
    <w:rsid w:val="006E3C97"/>
    <w:rsid w:val="006E3CE6"/>
    <w:rsid w:val="006E572C"/>
    <w:rsid w:val="006E5DFF"/>
    <w:rsid w:val="006E7310"/>
    <w:rsid w:val="006E7514"/>
    <w:rsid w:val="006E7CA3"/>
    <w:rsid w:val="006E7E48"/>
    <w:rsid w:val="006F01C6"/>
    <w:rsid w:val="006F06C7"/>
    <w:rsid w:val="006F1498"/>
    <w:rsid w:val="006F1D44"/>
    <w:rsid w:val="006F2003"/>
    <w:rsid w:val="006F2669"/>
    <w:rsid w:val="006F2C39"/>
    <w:rsid w:val="006F2F28"/>
    <w:rsid w:val="006F3058"/>
    <w:rsid w:val="006F3E31"/>
    <w:rsid w:val="006F4A24"/>
    <w:rsid w:val="006F551B"/>
    <w:rsid w:val="006F673A"/>
    <w:rsid w:val="006F70DB"/>
    <w:rsid w:val="006F74C2"/>
    <w:rsid w:val="0070046B"/>
    <w:rsid w:val="0070097B"/>
    <w:rsid w:val="007009AB"/>
    <w:rsid w:val="00700B3E"/>
    <w:rsid w:val="0070110F"/>
    <w:rsid w:val="00701A49"/>
    <w:rsid w:val="00701C9B"/>
    <w:rsid w:val="00702284"/>
    <w:rsid w:val="00702919"/>
    <w:rsid w:val="00702E56"/>
    <w:rsid w:val="00704F61"/>
    <w:rsid w:val="0070533C"/>
    <w:rsid w:val="00705BC2"/>
    <w:rsid w:val="00707453"/>
    <w:rsid w:val="007077A6"/>
    <w:rsid w:val="00707CB5"/>
    <w:rsid w:val="007103C4"/>
    <w:rsid w:val="00710E8E"/>
    <w:rsid w:val="00710F95"/>
    <w:rsid w:val="007111EB"/>
    <w:rsid w:val="0071157E"/>
    <w:rsid w:val="00711CCB"/>
    <w:rsid w:val="00712414"/>
    <w:rsid w:val="00713D60"/>
    <w:rsid w:val="0071433B"/>
    <w:rsid w:val="007146A3"/>
    <w:rsid w:val="00714CD3"/>
    <w:rsid w:val="007152BC"/>
    <w:rsid w:val="00715609"/>
    <w:rsid w:val="00715627"/>
    <w:rsid w:val="00716A2F"/>
    <w:rsid w:val="00716C00"/>
    <w:rsid w:val="007203B6"/>
    <w:rsid w:val="00720569"/>
    <w:rsid w:val="007205E7"/>
    <w:rsid w:val="007208E2"/>
    <w:rsid w:val="00720F85"/>
    <w:rsid w:val="0072101F"/>
    <w:rsid w:val="0072110F"/>
    <w:rsid w:val="00721D6F"/>
    <w:rsid w:val="007227CD"/>
    <w:rsid w:val="00723C33"/>
    <w:rsid w:val="00723C49"/>
    <w:rsid w:val="00723C7D"/>
    <w:rsid w:val="00723D66"/>
    <w:rsid w:val="0072446A"/>
    <w:rsid w:val="00724A7B"/>
    <w:rsid w:val="0072622D"/>
    <w:rsid w:val="0072622F"/>
    <w:rsid w:val="007262EE"/>
    <w:rsid w:val="007265B4"/>
    <w:rsid w:val="007266FB"/>
    <w:rsid w:val="0072680D"/>
    <w:rsid w:val="00727A03"/>
    <w:rsid w:val="00730D62"/>
    <w:rsid w:val="0073117B"/>
    <w:rsid w:val="00731FA4"/>
    <w:rsid w:val="00732640"/>
    <w:rsid w:val="007326DB"/>
    <w:rsid w:val="00732B20"/>
    <w:rsid w:val="007330B0"/>
    <w:rsid w:val="0073314A"/>
    <w:rsid w:val="00733C71"/>
    <w:rsid w:val="00734025"/>
    <w:rsid w:val="00734145"/>
    <w:rsid w:val="00734648"/>
    <w:rsid w:val="00735926"/>
    <w:rsid w:val="007359C7"/>
    <w:rsid w:val="00735BA9"/>
    <w:rsid w:val="0073620A"/>
    <w:rsid w:val="007365EC"/>
    <w:rsid w:val="00737409"/>
    <w:rsid w:val="007374A9"/>
    <w:rsid w:val="0073780D"/>
    <w:rsid w:val="0074022E"/>
    <w:rsid w:val="0074151D"/>
    <w:rsid w:val="00741738"/>
    <w:rsid w:val="00741F61"/>
    <w:rsid w:val="00741F8E"/>
    <w:rsid w:val="00742362"/>
    <w:rsid w:val="007429A7"/>
    <w:rsid w:val="00742B0A"/>
    <w:rsid w:val="00742FD2"/>
    <w:rsid w:val="00744361"/>
    <w:rsid w:val="007443F0"/>
    <w:rsid w:val="007446FD"/>
    <w:rsid w:val="007447CF"/>
    <w:rsid w:val="00744F22"/>
    <w:rsid w:val="0074520B"/>
    <w:rsid w:val="0074562E"/>
    <w:rsid w:val="007456D8"/>
    <w:rsid w:val="007457A3"/>
    <w:rsid w:val="00745CC5"/>
    <w:rsid w:val="00745CFB"/>
    <w:rsid w:val="0074617C"/>
    <w:rsid w:val="00746D8E"/>
    <w:rsid w:val="00746FA5"/>
    <w:rsid w:val="007477F1"/>
    <w:rsid w:val="00747831"/>
    <w:rsid w:val="00747D9D"/>
    <w:rsid w:val="00750145"/>
    <w:rsid w:val="0075054C"/>
    <w:rsid w:val="007506C7"/>
    <w:rsid w:val="00750F9A"/>
    <w:rsid w:val="00750FD8"/>
    <w:rsid w:val="00751D2D"/>
    <w:rsid w:val="00752D2D"/>
    <w:rsid w:val="007530F1"/>
    <w:rsid w:val="00753156"/>
    <w:rsid w:val="007533E2"/>
    <w:rsid w:val="00753744"/>
    <w:rsid w:val="00753D06"/>
    <w:rsid w:val="007543D0"/>
    <w:rsid w:val="00754612"/>
    <w:rsid w:val="00754B60"/>
    <w:rsid w:val="007556BD"/>
    <w:rsid w:val="00755CE0"/>
    <w:rsid w:val="00755CF3"/>
    <w:rsid w:val="007568FD"/>
    <w:rsid w:val="00756D4F"/>
    <w:rsid w:val="0075760C"/>
    <w:rsid w:val="007609A4"/>
    <w:rsid w:val="0076142B"/>
    <w:rsid w:val="00761531"/>
    <w:rsid w:val="007619AC"/>
    <w:rsid w:val="00761B94"/>
    <w:rsid w:val="00762036"/>
    <w:rsid w:val="00762F95"/>
    <w:rsid w:val="00763045"/>
    <w:rsid w:val="007642FE"/>
    <w:rsid w:val="00764FA0"/>
    <w:rsid w:val="00764FEE"/>
    <w:rsid w:val="00765E60"/>
    <w:rsid w:val="00767505"/>
    <w:rsid w:val="0076785E"/>
    <w:rsid w:val="00767A24"/>
    <w:rsid w:val="00767E0B"/>
    <w:rsid w:val="00767E39"/>
    <w:rsid w:val="00770AA8"/>
    <w:rsid w:val="007716D4"/>
    <w:rsid w:val="007718E2"/>
    <w:rsid w:val="0077200C"/>
    <w:rsid w:val="0077285B"/>
    <w:rsid w:val="00772980"/>
    <w:rsid w:val="00772CDB"/>
    <w:rsid w:val="007739CA"/>
    <w:rsid w:val="00773B86"/>
    <w:rsid w:val="00773D79"/>
    <w:rsid w:val="00774171"/>
    <w:rsid w:val="0077518B"/>
    <w:rsid w:val="0077627C"/>
    <w:rsid w:val="0077689F"/>
    <w:rsid w:val="007768B8"/>
    <w:rsid w:val="00777323"/>
    <w:rsid w:val="007775AA"/>
    <w:rsid w:val="00780919"/>
    <w:rsid w:val="00780C76"/>
    <w:rsid w:val="00781A69"/>
    <w:rsid w:val="00781FA2"/>
    <w:rsid w:val="007826A0"/>
    <w:rsid w:val="0078338E"/>
    <w:rsid w:val="007837F8"/>
    <w:rsid w:val="00783D3D"/>
    <w:rsid w:val="00784453"/>
    <w:rsid w:val="007845B2"/>
    <w:rsid w:val="00784734"/>
    <w:rsid w:val="00784AA5"/>
    <w:rsid w:val="00784CB1"/>
    <w:rsid w:val="00784D8C"/>
    <w:rsid w:val="00784F0B"/>
    <w:rsid w:val="00786892"/>
    <w:rsid w:val="007869A4"/>
    <w:rsid w:val="0078738D"/>
    <w:rsid w:val="007903E4"/>
    <w:rsid w:val="0079054C"/>
    <w:rsid w:val="00790589"/>
    <w:rsid w:val="007908CB"/>
    <w:rsid w:val="007912A1"/>
    <w:rsid w:val="007915F1"/>
    <w:rsid w:val="00791ADE"/>
    <w:rsid w:val="00791FD7"/>
    <w:rsid w:val="0079207E"/>
    <w:rsid w:val="00792497"/>
    <w:rsid w:val="0079250A"/>
    <w:rsid w:val="00793A9D"/>
    <w:rsid w:val="00793C4F"/>
    <w:rsid w:val="007947C5"/>
    <w:rsid w:val="00794CC6"/>
    <w:rsid w:val="00794F7F"/>
    <w:rsid w:val="00795245"/>
    <w:rsid w:val="00795432"/>
    <w:rsid w:val="007955D6"/>
    <w:rsid w:val="00795830"/>
    <w:rsid w:val="00795CCD"/>
    <w:rsid w:val="007960EF"/>
    <w:rsid w:val="007962F9"/>
    <w:rsid w:val="0079695A"/>
    <w:rsid w:val="00796A9F"/>
    <w:rsid w:val="00797849"/>
    <w:rsid w:val="007A0770"/>
    <w:rsid w:val="007A0A9E"/>
    <w:rsid w:val="007A0AB6"/>
    <w:rsid w:val="007A0B5E"/>
    <w:rsid w:val="007A0D1E"/>
    <w:rsid w:val="007A0DA4"/>
    <w:rsid w:val="007A0F78"/>
    <w:rsid w:val="007A18D6"/>
    <w:rsid w:val="007A1B14"/>
    <w:rsid w:val="007A20CB"/>
    <w:rsid w:val="007A227D"/>
    <w:rsid w:val="007A238D"/>
    <w:rsid w:val="007A2806"/>
    <w:rsid w:val="007A2CEF"/>
    <w:rsid w:val="007A2FC9"/>
    <w:rsid w:val="007A33AB"/>
    <w:rsid w:val="007A39B2"/>
    <w:rsid w:val="007A3DA8"/>
    <w:rsid w:val="007A4936"/>
    <w:rsid w:val="007A4994"/>
    <w:rsid w:val="007A4A82"/>
    <w:rsid w:val="007A4D8C"/>
    <w:rsid w:val="007A5719"/>
    <w:rsid w:val="007A5E2B"/>
    <w:rsid w:val="007A5E7E"/>
    <w:rsid w:val="007A6279"/>
    <w:rsid w:val="007A6EE3"/>
    <w:rsid w:val="007A7893"/>
    <w:rsid w:val="007A79B5"/>
    <w:rsid w:val="007A7DCE"/>
    <w:rsid w:val="007B058B"/>
    <w:rsid w:val="007B2379"/>
    <w:rsid w:val="007B27E1"/>
    <w:rsid w:val="007B331F"/>
    <w:rsid w:val="007B3514"/>
    <w:rsid w:val="007B3BE1"/>
    <w:rsid w:val="007B46F2"/>
    <w:rsid w:val="007B4F0A"/>
    <w:rsid w:val="007B5028"/>
    <w:rsid w:val="007B530C"/>
    <w:rsid w:val="007B56BE"/>
    <w:rsid w:val="007B618C"/>
    <w:rsid w:val="007B6371"/>
    <w:rsid w:val="007B65BF"/>
    <w:rsid w:val="007B692E"/>
    <w:rsid w:val="007B6ABB"/>
    <w:rsid w:val="007B6AE5"/>
    <w:rsid w:val="007B6F8D"/>
    <w:rsid w:val="007B799A"/>
    <w:rsid w:val="007B7CBA"/>
    <w:rsid w:val="007C0123"/>
    <w:rsid w:val="007C0324"/>
    <w:rsid w:val="007C0E56"/>
    <w:rsid w:val="007C1154"/>
    <w:rsid w:val="007C118D"/>
    <w:rsid w:val="007C13A4"/>
    <w:rsid w:val="007C2004"/>
    <w:rsid w:val="007C2184"/>
    <w:rsid w:val="007C23C3"/>
    <w:rsid w:val="007C258C"/>
    <w:rsid w:val="007C3022"/>
    <w:rsid w:val="007C311A"/>
    <w:rsid w:val="007C39B6"/>
    <w:rsid w:val="007C4098"/>
    <w:rsid w:val="007C43B1"/>
    <w:rsid w:val="007C56E3"/>
    <w:rsid w:val="007C5EDB"/>
    <w:rsid w:val="007C600C"/>
    <w:rsid w:val="007C6127"/>
    <w:rsid w:val="007C6AFC"/>
    <w:rsid w:val="007C76C8"/>
    <w:rsid w:val="007C796E"/>
    <w:rsid w:val="007C7C6C"/>
    <w:rsid w:val="007D064C"/>
    <w:rsid w:val="007D094B"/>
    <w:rsid w:val="007D0C8A"/>
    <w:rsid w:val="007D1C11"/>
    <w:rsid w:val="007D221A"/>
    <w:rsid w:val="007D36F5"/>
    <w:rsid w:val="007D3FAF"/>
    <w:rsid w:val="007D4749"/>
    <w:rsid w:val="007D4C80"/>
    <w:rsid w:val="007D4E67"/>
    <w:rsid w:val="007D5179"/>
    <w:rsid w:val="007D63A4"/>
    <w:rsid w:val="007D645B"/>
    <w:rsid w:val="007D6648"/>
    <w:rsid w:val="007D757F"/>
    <w:rsid w:val="007D77AB"/>
    <w:rsid w:val="007D791B"/>
    <w:rsid w:val="007E0C00"/>
    <w:rsid w:val="007E128E"/>
    <w:rsid w:val="007E1D7A"/>
    <w:rsid w:val="007E2D17"/>
    <w:rsid w:val="007E3380"/>
    <w:rsid w:val="007E3385"/>
    <w:rsid w:val="007E4B32"/>
    <w:rsid w:val="007E5012"/>
    <w:rsid w:val="007E5668"/>
    <w:rsid w:val="007E60AD"/>
    <w:rsid w:val="007E733C"/>
    <w:rsid w:val="007E74AE"/>
    <w:rsid w:val="007E7C46"/>
    <w:rsid w:val="007F003E"/>
    <w:rsid w:val="007F0688"/>
    <w:rsid w:val="007F07C4"/>
    <w:rsid w:val="007F1B77"/>
    <w:rsid w:val="007F237C"/>
    <w:rsid w:val="007F298F"/>
    <w:rsid w:val="007F373F"/>
    <w:rsid w:val="007F3BFA"/>
    <w:rsid w:val="007F3C9F"/>
    <w:rsid w:val="007F54B9"/>
    <w:rsid w:val="007F6A67"/>
    <w:rsid w:val="007F7674"/>
    <w:rsid w:val="0080089F"/>
    <w:rsid w:val="00800F6C"/>
    <w:rsid w:val="0080176B"/>
    <w:rsid w:val="008017FC"/>
    <w:rsid w:val="00801B5D"/>
    <w:rsid w:val="00803648"/>
    <w:rsid w:val="0080414A"/>
    <w:rsid w:val="008043EB"/>
    <w:rsid w:val="008046F4"/>
    <w:rsid w:val="00805373"/>
    <w:rsid w:val="00805CA2"/>
    <w:rsid w:val="00806F88"/>
    <w:rsid w:val="0080719A"/>
    <w:rsid w:val="00807460"/>
    <w:rsid w:val="008077DC"/>
    <w:rsid w:val="00810723"/>
    <w:rsid w:val="0081093C"/>
    <w:rsid w:val="00810E31"/>
    <w:rsid w:val="00812242"/>
    <w:rsid w:val="00812F3F"/>
    <w:rsid w:val="00813206"/>
    <w:rsid w:val="00813369"/>
    <w:rsid w:val="00813E07"/>
    <w:rsid w:val="008147F9"/>
    <w:rsid w:val="008148F0"/>
    <w:rsid w:val="00814B24"/>
    <w:rsid w:val="00814ED9"/>
    <w:rsid w:val="0081533B"/>
    <w:rsid w:val="00815E5F"/>
    <w:rsid w:val="0081691B"/>
    <w:rsid w:val="0081720E"/>
    <w:rsid w:val="00817B98"/>
    <w:rsid w:val="00820145"/>
    <w:rsid w:val="00820736"/>
    <w:rsid w:val="0082087D"/>
    <w:rsid w:val="00820C8D"/>
    <w:rsid w:val="00820E78"/>
    <w:rsid w:val="008210AF"/>
    <w:rsid w:val="008217AC"/>
    <w:rsid w:val="008220F3"/>
    <w:rsid w:val="00822398"/>
    <w:rsid w:val="0082359A"/>
    <w:rsid w:val="00824061"/>
    <w:rsid w:val="00824826"/>
    <w:rsid w:val="00827051"/>
    <w:rsid w:val="008309A9"/>
    <w:rsid w:val="00830A58"/>
    <w:rsid w:val="008311FF"/>
    <w:rsid w:val="008316FE"/>
    <w:rsid w:val="00832860"/>
    <w:rsid w:val="00833975"/>
    <w:rsid w:val="00833C77"/>
    <w:rsid w:val="00833D95"/>
    <w:rsid w:val="00833FF4"/>
    <w:rsid w:val="00834064"/>
    <w:rsid w:val="0083543D"/>
    <w:rsid w:val="008356A9"/>
    <w:rsid w:val="00835CAB"/>
    <w:rsid w:val="00835D7D"/>
    <w:rsid w:val="008368CC"/>
    <w:rsid w:val="0083699E"/>
    <w:rsid w:val="0084014F"/>
    <w:rsid w:val="00840341"/>
    <w:rsid w:val="0084119A"/>
    <w:rsid w:val="00841323"/>
    <w:rsid w:val="00841FCF"/>
    <w:rsid w:val="00842BD6"/>
    <w:rsid w:val="00842E76"/>
    <w:rsid w:val="008432F1"/>
    <w:rsid w:val="00843AF9"/>
    <w:rsid w:val="00843B4A"/>
    <w:rsid w:val="008444D4"/>
    <w:rsid w:val="0084573A"/>
    <w:rsid w:val="00845903"/>
    <w:rsid w:val="00845976"/>
    <w:rsid w:val="00845CBA"/>
    <w:rsid w:val="00845E3C"/>
    <w:rsid w:val="00845F30"/>
    <w:rsid w:val="00845FAA"/>
    <w:rsid w:val="008460D6"/>
    <w:rsid w:val="00846D5A"/>
    <w:rsid w:val="00847217"/>
    <w:rsid w:val="00847458"/>
    <w:rsid w:val="0084752E"/>
    <w:rsid w:val="00847539"/>
    <w:rsid w:val="00847A46"/>
    <w:rsid w:val="00850878"/>
    <w:rsid w:val="008510BF"/>
    <w:rsid w:val="008512D3"/>
    <w:rsid w:val="00851E24"/>
    <w:rsid w:val="00851E97"/>
    <w:rsid w:val="008528D7"/>
    <w:rsid w:val="00852CAB"/>
    <w:rsid w:val="00852CB2"/>
    <w:rsid w:val="00854875"/>
    <w:rsid w:val="008551FF"/>
    <w:rsid w:val="00855AC8"/>
    <w:rsid w:val="00856B55"/>
    <w:rsid w:val="0085715E"/>
    <w:rsid w:val="00857162"/>
    <w:rsid w:val="008576DA"/>
    <w:rsid w:val="008576ED"/>
    <w:rsid w:val="00860519"/>
    <w:rsid w:val="00860A4A"/>
    <w:rsid w:val="00861149"/>
    <w:rsid w:val="00861407"/>
    <w:rsid w:val="008617EE"/>
    <w:rsid w:val="00861D64"/>
    <w:rsid w:val="00862070"/>
    <w:rsid w:val="00862635"/>
    <w:rsid w:val="0086275B"/>
    <w:rsid w:val="00862784"/>
    <w:rsid w:val="00862AF5"/>
    <w:rsid w:val="00862FFE"/>
    <w:rsid w:val="00863383"/>
    <w:rsid w:val="008633DD"/>
    <w:rsid w:val="00863E58"/>
    <w:rsid w:val="00866138"/>
    <w:rsid w:val="00866158"/>
    <w:rsid w:val="0086668C"/>
    <w:rsid w:val="00866BAE"/>
    <w:rsid w:val="00866F19"/>
    <w:rsid w:val="008673E6"/>
    <w:rsid w:val="00867AC6"/>
    <w:rsid w:val="008702A7"/>
    <w:rsid w:val="008705CA"/>
    <w:rsid w:val="008707B4"/>
    <w:rsid w:val="00870E9C"/>
    <w:rsid w:val="0087143E"/>
    <w:rsid w:val="00871775"/>
    <w:rsid w:val="008722E7"/>
    <w:rsid w:val="0087246F"/>
    <w:rsid w:val="0087270C"/>
    <w:rsid w:val="00872BB2"/>
    <w:rsid w:val="00873814"/>
    <w:rsid w:val="00873BD2"/>
    <w:rsid w:val="00873FD2"/>
    <w:rsid w:val="008743F5"/>
    <w:rsid w:val="008758B1"/>
    <w:rsid w:val="00875DEA"/>
    <w:rsid w:val="00875E0A"/>
    <w:rsid w:val="008760BE"/>
    <w:rsid w:val="008760E0"/>
    <w:rsid w:val="008766DC"/>
    <w:rsid w:val="0087799C"/>
    <w:rsid w:val="00877B57"/>
    <w:rsid w:val="00880064"/>
    <w:rsid w:val="008805F4"/>
    <w:rsid w:val="008808A4"/>
    <w:rsid w:val="0088127A"/>
    <w:rsid w:val="0088153C"/>
    <w:rsid w:val="008816EE"/>
    <w:rsid w:val="0088199A"/>
    <w:rsid w:val="00881E2E"/>
    <w:rsid w:val="00881EF3"/>
    <w:rsid w:val="00881F4A"/>
    <w:rsid w:val="00882035"/>
    <w:rsid w:val="00883538"/>
    <w:rsid w:val="0088406E"/>
    <w:rsid w:val="008853D3"/>
    <w:rsid w:val="00885AB3"/>
    <w:rsid w:val="00885B50"/>
    <w:rsid w:val="00885D51"/>
    <w:rsid w:val="00885DD3"/>
    <w:rsid w:val="0088662D"/>
    <w:rsid w:val="008868B1"/>
    <w:rsid w:val="00886F5B"/>
    <w:rsid w:val="008871C4"/>
    <w:rsid w:val="00887E25"/>
    <w:rsid w:val="00887EAA"/>
    <w:rsid w:val="0089010A"/>
    <w:rsid w:val="00890471"/>
    <w:rsid w:val="00890AFF"/>
    <w:rsid w:val="00890B64"/>
    <w:rsid w:val="00891A95"/>
    <w:rsid w:val="00891D75"/>
    <w:rsid w:val="00891FC3"/>
    <w:rsid w:val="008929AD"/>
    <w:rsid w:val="00892D0E"/>
    <w:rsid w:val="0089316C"/>
    <w:rsid w:val="008931B9"/>
    <w:rsid w:val="0089382F"/>
    <w:rsid w:val="00893C7D"/>
    <w:rsid w:val="008945BF"/>
    <w:rsid w:val="008954DC"/>
    <w:rsid w:val="00895546"/>
    <w:rsid w:val="008957DB"/>
    <w:rsid w:val="00895EFE"/>
    <w:rsid w:val="00895FC1"/>
    <w:rsid w:val="00896179"/>
    <w:rsid w:val="008964E7"/>
    <w:rsid w:val="00897943"/>
    <w:rsid w:val="00897C8D"/>
    <w:rsid w:val="008A0094"/>
    <w:rsid w:val="008A0391"/>
    <w:rsid w:val="008A0848"/>
    <w:rsid w:val="008A14DA"/>
    <w:rsid w:val="008A19A5"/>
    <w:rsid w:val="008A1FAE"/>
    <w:rsid w:val="008A25DB"/>
    <w:rsid w:val="008A2F9E"/>
    <w:rsid w:val="008A3182"/>
    <w:rsid w:val="008A32CE"/>
    <w:rsid w:val="008A3472"/>
    <w:rsid w:val="008A49FB"/>
    <w:rsid w:val="008A4C65"/>
    <w:rsid w:val="008A4FA3"/>
    <w:rsid w:val="008A50C2"/>
    <w:rsid w:val="008A50EB"/>
    <w:rsid w:val="008A53CF"/>
    <w:rsid w:val="008A54C9"/>
    <w:rsid w:val="008A56D7"/>
    <w:rsid w:val="008A576C"/>
    <w:rsid w:val="008A6010"/>
    <w:rsid w:val="008A6084"/>
    <w:rsid w:val="008A61FA"/>
    <w:rsid w:val="008A6523"/>
    <w:rsid w:val="008A661D"/>
    <w:rsid w:val="008A6931"/>
    <w:rsid w:val="008A6C48"/>
    <w:rsid w:val="008A7125"/>
    <w:rsid w:val="008A748B"/>
    <w:rsid w:val="008A74FB"/>
    <w:rsid w:val="008A758D"/>
    <w:rsid w:val="008A7678"/>
    <w:rsid w:val="008A7ADA"/>
    <w:rsid w:val="008A7E98"/>
    <w:rsid w:val="008A7FC1"/>
    <w:rsid w:val="008B0A60"/>
    <w:rsid w:val="008B0CCD"/>
    <w:rsid w:val="008B17C1"/>
    <w:rsid w:val="008B1E49"/>
    <w:rsid w:val="008B2E91"/>
    <w:rsid w:val="008B32C8"/>
    <w:rsid w:val="008B3434"/>
    <w:rsid w:val="008B3940"/>
    <w:rsid w:val="008B39F1"/>
    <w:rsid w:val="008B5030"/>
    <w:rsid w:val="008B5694"/>
    <w:rsid w:val="008B5A55"/>
    <w:rsid w:val="008B5C01"/>
    <w:rsid w:val="008B5C4A"/>
    <w:rsid w:val="008B6184"/>
    <w:rsid w:val="008B6AD3"/>
    <w:rsid w:val="008B6B74"/>
    <w:rsid w:val="008B6DFA"/>
    <w:rsid w:val="008B70C4"/>
    <w:rsid w:val="008B7750"/>
    <w:rsid w:val="008B79A4"/>
    <w:rsid w:val="008BCC80"/>
    <w:rsid w:val="008C00B0"/>
    <w:rsid w:val="008C0C2D"/>
    <w:rsid w:val="008C0D3F"/>
    <w:rsid w:val="008C1E2F"/>
    <w:rsid w:val="008C23C3"/>
    <w:rsid w:val="008C2769"/>
    <w:rsid w:val="008C2C29"/>
    <w:rsid w:val="008C3156"/>
    <w:rsid w:val="008C359C"/>
    <w:rsid w:val="008C3C98"/>
    <w:rsid w:val="008C3D01"/>
    <w:rsid w:val="008C3FA2"/>
    <w:rsid w:val="008C4021"/>
    <w:rsid w:val="008C4CD2"/>
    <w:rsid w:val="008C544A"/>
    <w:rsid w:val="008C5A11"/>
    <w:rsid w:val="008C620E"/>
    <w:rsid w:val="008C6385"/>
    <w:rsid w:val="008C6769"/>
    <w:rsid w:val="008C67B3"/>
    <w:rsid w:val="008C697D"/>
    <w:rsid w:val="008C6E34"/>
    <w:rsid w:val="008C7018"/>
    <w:rsid w:val="008C7189"/>
    <w:rsid w:val="008C7685"/>
    <w:rsid w:val="008C7A6F"/>
    <w:rsid w:val="008D0247"/>
    <w:rsid w:val="008D0D0F"/>
    <w:rsid w:val="008D102B"/>
    <w:rsid w:val="008D1952"/>
    <w:rsid w:val="008D1E70"/>
    <w:rsid w:val="008D256B"/>
    <w:rsid w:val="008D2995"/>
    <w:rsid w:val="008D2A34"/>
    <w:rsid w:val="008D3318"/>
    <w:rsid w:val="008D3F18"/>
    <w:rsid w:val="008D3F2B"/>
    <w:rsid w:val="008D453A"/>
    <w:rsid w:val="008D4718"/>
    <w:rsid w:val="008D48F2"/>
    <w:rsid w:val="008D5228"/>
    <w:rsid w:val="008D54D0"/>
    <w:rsid w:val="008D59DB"/>
    <w:rsid w:val="008D5DF2"/>
    <w:rsid w:val="008D5EA3"/>
    <w:rsid w:val="008D6FC7"/>
    <w:rsid w:val="008D7C04"/>
    <w:rsid w:val="008D7E00"/>
    <w:rsid w:val="008E127B"/>
    <w:rsid w:val="008E1656"/>
    <w:rsid w:val="008E1728"/>
    <w:rsid w:val="008E1AE0"/>
    <w:rsid w:val="008E1E1D"/>
    <w:rsid w:val="008E2871"/>
    <w:rsid w:val="008E30B0"/>
    <w:rsid w:val="008E3750"/>
    <w:rsid w:val="008E3F34"/>
    <w:rsid w:val="008E3F7D"/>
    <w:rsid w:val="008E3FCE"/>
    <w:rsid w:val="008E47DF"/>
    <w:rsid w:val="008E4AA6"/>
    <w:rsid w:val="008E51B1"/>
    <w:rsid w:val="008E61AA"/>
    <w:rsid w:val="008E622E"/>
    <w:rsid w:val="008E628B"/>
    <w:rsid w:val="008E6B19"/>
    <w:rsid w:val="008E76BF"/>
    <w:rsid w:val="008E7836"/>
    <w:rsid w:val="008E78FA"/>
    <w:rsid w:val="008E7977"/>
    <w:rsid w:val="008E7A79"/>
    <w:rsid w:val="008F0320"/>
    <w:rsid w:val="008F074A"/>
    <w:rsid w:val="008F0D13"/>
    <w:rsid w:val="008F16AA"/>
    <w:rsid w:val="008F1D5A"/>
    <w:rsid w:val="008F28E3"/>
    <w:rsid w:val="008F2977"/>
    <w:rsid w:val="008F2CAD"/>
    <w:rsid w:val="008F2F5D"/>
    <w:rsid w:val="008F3950"/>
    <w:rsid w:val="008F3D92"/>
    <w:rsid w:val="008F4070"/>
    <w:rsid w:val="008F4DC2"/>
    <w:rsid w:val="008F5036"/>
    <w:rsid w:val="008F522F"/>
    <w:rsid w:val="008F5309"/>
    <w:rsid w:val="008F54E2"/>
    <w:rsid w:val="008F57EF"/>
    <w:rsid w:val="008F5923"/>
    <w:rsid w:val="008F5CD7"/>
    <w:rsid w:val="008F712C"/>
    <w:rsid w:val="008F7AFE"/>
    <w:rsid w:val="008F7C2A"/>
    <w:rsid w:val="008F7E59"/>
    <w:rsid w:val="009008B9"/>
    <w:rsid w:val="00900A95"/>
    <w:rsid w:val="00900C9B"/>
    <w:rsid w:val="00901035"/>
    <w:rsid w:val="0090203A"/>
    <w:rsid w:val="009020AC"/>
    <w:rsid w:val="0090261C"/>
    <w:rsid w:val="0090275C"/>
    <w:rsid w:val="0090324C"/>
    <w:rsid w:val="00903541"/>
    <w:rsid w:val="00903726"/>
    <w:rsid w:val="00903892"/>
    <w:rsid w:val="00903F92"/>
    <w:rsid w:val="00904700"/>
    <w:rsid w:val="009047B2"/>
    <w:rsid w:val="00905116"/>
    <w:rsid w:val="009057F6"/>
    <w:rsid w:val="00906037"/>
    <w:rsid w:val="009070D0"/>
    <w:rsid w:val="00907403"/>
    <w:rsid w:val="0090795B"/>
    <w:rsid w:val="00907F56"/>
    <w:rsid w:val="00910893"/>
    <w:rsid w:val="009111B9"/>
    <w:rsid w:val="00911231"/>
    <w:rsid w:val="009119FA"/>
    <w:rsid w:val="00912492"/>
    <w:rsid w:val="00912CC8"/>
    <w:rsid w:val="00913097"/>
    <w:rsid w:val="00913CF6"/>
    <w:rsid w:val="00913E8D"/>
    <w:rsid w:val="0091440B"/>
    <w:rsid w:val="00914C51"/>
    <w:rsid w:val="009154A9"/>
    <w:rsid w:val="009164D3"/>
    <w:rsid w:val="0091672C"/>
    <w:rsid w:val="00916B8A"/>
    <w:rsid w:val="00917126"/>
    <w:rsid w:val="009173DB"/>
    <w:rsid w:val="00920B72"/>
    <w:rsid w:val="00920CA3"/>
    <w:rsid w:val="00922C9B"/>
    <w:rsid w:val="009237F6"/>
    <w:rsid w:val="009247F0"/>
    <w:rsid w:val="009249F5"/>
    <w:rsid w:val="00924A54"/>
    <w:rsid w:val="00924D2A"/>
    <w:rsid w:val="00924D3E"/>
    <w:rsid w:val="00924F72"/>
    <w:rsid w:val="00926760"/>
    <w:rsid w:val="00926A6C"/>
    <w:rsid w:val="00926BF1"/>
    <w:rsid w:val="009275EC"/>
    <w:rsid w:val="009278D6"/>
    <w:rsid w:val="00927F23"/>
    <w:rsid w:val="00927F50"/>
    <w:rsid w:val="00930380"/>
    <w:rsid w:val="009303A3"/>
    <w:rsid w:val="009304C4"/>
    <w:rsid w:val="00930749"/>
    <w:rsid w:val="00930A3D"/>
    <w:rsid w:val="00930BE0"/>
    <w:rsid w:val="00931F47"/>
    <w:rsid w:val="009325A8"/>
    <w:rsid w:val="009332DE"/>
    <w:rsid w:val="00933503"/>
    <w:rsid w:val="009337EA"/>
    <w:rsid w:val="00933859"/>
    <w:rsid w:val="00933922"/>
    <w:rsid w:val="00934AA7"/>
    <w:rsid w:val="00934D46"/>
    <w:rsid w:val="009355AF"/>
    <w:rsid w:val="00935711"/>
    <w:rsid w:val="009363AD"/>
    <w:rsid w:val="00936BE7"/>
    <w:rsid w:val="009374CD"/>
    <w:rsid w:val="0093751D"/>
    <w:rsid w:val="00937700"/>
    <w:rsid w:val="00937AD0"/>
    <w:rsid w:val="00937DDC"/>
    <w:rsid w:val="00941020"/>
    <w:rsid w:val="00941290"/>
    <w:rsid w:val="0094176F"/>
    <w:rsid w:val="00941975"/>
    <w:rsid w:val="00941A63"/>
    <w:rsid w:val="00942219"/>
    <w:rsid w:val="009426F3"/>
    <w:rsid w:val="009429C6"/>
    <w:rsid w:val="00943271"/>
    <w:rsid w:val="00943A5A"/>
    <w:rsid w:val="00943D2B"/>
    <w:rsid w:val="009444E6"/>
    <w:rsid w:val="00944916"/>
    <w:rsid w:val="009449F7"/>
    <w:rsid w:val="0094592B"/>
    <w:rsid w:val="00945AE3"/>
    <w:rsid w:val="00945F75"/>
    <w:rsid w:val="009469E3"/>
    <w:rsid w:val="009476FF"/>
    <w:rsid w:val="009500BB"/>
    <w:rsid w:val="0095047D"/>
    <w:rsid w:val="00950738"/>
    <w:rsid w:val="0095080D"/>
    <w:rsid w:val="00950B6C"/>
    <w:rsid w:val="00950BA8"/>
    <w:rsid w:val="0095101A"/>
    <w:rsid w:val="00951362"/>
    <w:rsid w:val="009514DE"/>
    <w:rsid w:val="009515E5"/>
    <w:rsid w:val="009515F9"/>
    <w:rsid w:val="00951EC9"/>
    <w:rsid w:val="00953698"/>
    <w:rsid w:val="00953CE1"/>
    <w:rsid w:val="00953F52"/>
    <w:rsid w:val="00953FA4"/>
    <w:rsid w:val="00954E12"/>
    <w:rsid w:val="009555D0"/>
    <w:rsid w:val="009555E0"/>
    <w:rsid w:val="00956050"/>
    <w:rsid w:val="009569DB"/>
    <w:rsid w:val="009570DA"/>
    <w:rsid w:val="00957162"/>
    <w:rsid w:val="00957688"/>
    <w:rsid w:val="00960238"/>
    <w:rsid w:val="0096040F"/>
    <w:rsid w:val="00960537"/>
    <w:rsid w:val="0096075A"/>
    <w:rsid w:val="00960867"/>
    <w:rsid w:val="0096173E"/>
    <w:rsid w:val="00961FB3"/>
    <w:rsid w:val="0096219A"/>
    <w:rsid w:val="0096247C"/>
    <w:rsid w:val="009631CC"/>
    <w:rsid w:val="009639B2"/>
    <w:rsid w:val="0096455C"/>
    <w:rsid w:val="009647BE"/>
    <w:rsid w:val="00964A35"/>
    <w:rsid w:val="00964AF4"/>
    <w:rsid w:val="00965375"/>
    <w:rsid w:val="0096610B"/>
    <w:rsid w:val="0096638A"/>
    <w:rsid w:val="00966437"/>
    <w:rsid w:val="00966585"/>
    <w:rsid w:val="00966D40"/>
    <w:rsid w:val="00966D75"/>
    <w:rsid w:val="00967094"/>
    <w:rsid w:val="00967367"/>
    <w:rsid w:val="009678EF"/>
    <w:rsid w:val="00967B89"/>
    <w:rsid w:val="00967D1D"/>
    <w:rsid w:val="009709A0"/>
    <w:rsid w:val="00970DB3"/>
    <w:rsid w:val="0097137C"/>
    <w:rsid w:val="00971675"/>
    <w:rsid w:val="00971BC1"/>
    <w:rsid w:val="00971F41"/>
    <w:rsid w:val="00972816"/>
    <w:rsid w:val="0097357D"/>
    <w:rsid w:val="00973B57"/>
    <w:rsid w:val="00973DCB"/>
    <w:rsid w:val="009744DC"/>
    <w:rsid w:val="00974F42"/>
    <w:rsid w:val="00975570"/>
    <w:rsid w:val="009758B6"/>
    <w:rsid w:val="00975FCA"/>
    <w:rsid w:val="00976250"/>
    <w:rsid w:val="0097640C"/>
    <w:rsid w:val="00976E3C"/>
    <w:rsid w:val="00976E5D"/>
    <w:rsid w:val="00977356"/>
    <w:rsid w:val="009774B8"/>
    <w:rsid w:val="009777E2"/>
    <w:rsid w:val="00977C37"/>
    <w:rsid w:val="00977FDF"/>
    <w:rsid w:val="009801FB"/>
    <w:rsid w:val="00980908"/>
    <w:rsid w:val="009809B2"/>
    <w:rsid w:val="00981080"/>
    <w:rsid w:val="0098140B"/>
    <w:rsid w:val="00981BA4"/>
    <w:rsid w:val="009822B8"/>
    <w:rsid w:val="009829E5"/>
    <w:rsid w:val="00982B43"/>
    <w:rsid w:val="00982DBE"/>
    <w:rsid w:val="00982E42"/>
    <w:rsid w:val="009839BA"/>
    <w:rsid w:val="00983BBC"/>
    <w:rsid w:val="00985231"/>
    <w:rsid w:val="00985A2E"/>
    <w:rsid w:val="00985ED0"/>
    <w:rsid w:val="00985F8A"/>
    <w:rsid w:val="00986AA0"/>
    <w:rsid w:val="00986DE7"/>
    <w:rsid w:val="0098734B"/>
    <w:rsid w:val="00987860"/>
    <w:rsid w:val="009902F6"/>
    <w:rsid w:val="009912AB"/>
    <w:rsid w:val="00991703"/>
    <w:rsid w:val="00991A09"/>
    <w:rsid w:val="00991D08"/>
    <w:rsid w:val="00991E6B"/>
    <w:rsid w:val="0099208C"/>
    <w:rsid w:val="009925EE"/>
    <w:rsid w:val="00992639"/>
    <w:rsid w:val="009932C5"/>
    <w:rsid w:val="009935DE"/>
    <w:rsid w:val="009935F2"/>
    <w:rsid w:val="00993CB3"/>
    <w:rsid w:val="00994681"/>
    <w:rsid w:val="00994FBC"/>
    <w:rsid w:val="009958AC"/>
    <w:rsid w:val="0099622E"/>
    <w:rsid w:val="00996550"/>
    <w:rsid w:val="0099676F"/>
    <w:rsid w:val="00996D70"/>
    <w:rsid w:val="00997078"/>
    <w:rsid w:val="00997483"/>
    <w:rsid w:val="0099750A"/>
    <w:rsid w:val="009976C6"/>
    <w:rsid w:val="00997EBA"/>
    <w:rsid w:val="009A036D"/>
    <w:rsid w:val="009A0558"/>
    <w:rsid w:val="009A0C2A"/>
    <w:rsid w:val="009A174B"/>
    <w:rsid w:val="009A20F7"/>
    <w:rsid w:val="009A2747"/>
    <w:rsid w:val="009A2B3A"/>
    <w:rsid w:val="009A2C74"/>
    <w:rsid w:val="009A3092"/>
    <w:rsid w:val="009A30DE"/>
    <w:rsid w:val="009A31B2"/>
    <w:rsid w:val="009A325F"/>
    <w:rsid w:val="009A3341"/>
    <w:rsid w:val="009A3B61"/>
    <w:rsid w:val="009A3D5E"/>
    <w:rsid w:val="009A45D2"/>
    <w:rsid w:val="009A4608"/>
    <w:rsid w:val="009A4638"/>
    <w:rsid w:val="009A46F1"/>
    <w:rsid w:val="009A5191"/>
    <w:rsid w:val="009A540D"/>
    <w:rsid w:val="009A5786"/>
    <w:rsid w:val="009A5AF4"/>
    <w:rsid w:val="009A5C77"/>
    <w:rsid w:val="009A6212"/>
    <w:rsid w:val="009A6A37"/>
    <w:rsid w:val="009B0D66"/>
    <w:rsid w:val="009B14C2"/>
    <w:rsid w:val="009B17AF"/>
    <w:rsid w:val="009B1B57"/>
    <w:rsid w:val="009B2586"/>
    <w:rsid w:val="009B2818"/>
    <w:rsid w:val="009B2AB4"/>
    <w:rsid w:val="009B35AA"/>
    <w:rsid w:val="009B3808"/>
    <w:rsid w:val="009B3895"/>
    <w:rsid w:val="009B3CDA"/>
    <w:rsid w:val="009B3E05"/>
    <w:rsid w:val="009B4700"/>
    <w:rsid w:val="009B4B37"/>
    <w:rsid w:val="009B4B9E"/>
    <w:rsid w:val="009B4E2F"/>
    <w:rsid w:val="009B55D2"/>
    <w:rsid w:val="009B6F49"/>
    <w:rsid w:val="009B7331"/>
    <w:rsid w:val="009B764A"/>
    <w:rsid w:val="009B7939"/>
    <w:rsid w:val="009C0C62"/>
    <w:rsid w:val="009C0FA8"/>
    <w:rsid w:val="009C164C"/>
    <w:rsid w:val="009C18A9"/>
    <w:rsid w:val="009C2387"/>
    <w:rsid w:val="009C2F3D"/>
    <w:rsid w:val="009C30B5"/>
    <w:rsid w:val="009C387E"/>
    <w:rsid w:val="009C3AC0"/>
    <w:rsid w:val="009C480C"/>
    <w:rsid w:val="009C4C97"/>
    <w:rsid w:val="009C4E25"/>
    <w:rsid w:val="009C69CD"/>
    <w:rsid w:val="009C7084"/>
    <w:rsid w:val="009C757B"/>
    <w:rsid w:val="009C769C"/>
    <w:rsid w:val="009C777C"/>
    <w:rsid w:val="009C7A7C"/>
    <w:rsid w:val="009C7B7E"/>
    <w:rsid w:val="009C7C3C"/>
    <w:rsid w:val="009D00BB"/>
    <w:rsid w:val="009D028C"/>
    <w:rsid w:val="009D0770"/>
    <w:rsid w:val="009D156E"/>
    <w:rsid w:val="009D1A57"/>
    <w:rsid w:val="009D1DE4"/>
    <w:rsid w:val="009D21CF"/>
    <w:rsid w:val="009D2A0E"/>
    <w:rsid w:val="009D3458"/>
    <w:rsid w:val="009D3565"/>
    <w:rsid w:val="009D37A1"/>
    <w:rsid w:val="009D392B"/>
    <w:rsid w:val="009D456A"/>
    <w:rsid w:val="009D4571"/>
    <w:rsid w:val="009D4952"/>
    <w:rsid w:val="009D4AE3"/>
    <w:rsid w:val="009D517F"/>
    <w:rsid w:val="009D5EEC"/>
    <w:rsid w:val="009D612C"/>
    <w:rsid w:val="009D6372"/>
    <w:rsid w:val="009D6D2B"/>
    <w:rsid w:val="009D784F"/>
    <w:rsid w:val="009E0AF5"/>
    <w:rsid w:val="009E0AF9"/>
    <w:rsid w:val="009E13CD"/>
    <w:rsid w:val="009E1447"/>
    <w:rsid w:val="009E1870"/>
    <w:rsid w:val="009E2EEF"/>
    <w:rsid w:val="009E3307"/>
    <w:rsid w:val="009E36E8"/>
    <w:rsid w:val="009E3AC4"/>
    <w:rsid w:val="009E60BE"/>
    <w:rsid w:val="009E7731"/>
    <w:rsid w:val="009F04C2"/>
    <w:rsid w:val="009F066A"/>
    <w:rsid w:val="009F18DE"/>
    <w:rsid w:val="009F38F2"/>
    <w:rsid w:val="009F3F57"/>
    <w:rsid w:val="009F4B61"/>
    <w:rsid w:val="009F588D"/>
    <w:rsid w:val="009F5B86"/>
    <w:rsid w:val="009F5DC4"/>
    <w:rsid w:val="009F5F0C"/>
    <w:rsid w:val="009F5F68"/>
    <w:rsid w:val="009F6DC9"/>
    <w:rsid w:val="009F7044"/>
    <w:rsid w:val="009F7DB1"/>
    <w:rsid w:val="00A00960"/>
    <w:rsid w:val="00A011D8"/>
    <w:rsid w:val="00A01B65"/>
    <w:rsid w:val="00A01FC8"/>
    <w:rsid w:val="00A0249B"/>
    <w:rsid w:val="00A02A59"/>
    <w:rsid w:val="00A02C1E"/>
    <w:rsid w:val="00A02CC3"/>
    <w:rsid w:val="00A02DC5"/>
    <w:rsid w:val="00A03A03"/>
    <w:rsid w:val="00A04A29"/>
    <w:rsid w:val="00A0550D"/>
    <w:rsid w:val="00A05CF6"/>
    <w:rsid w:val="00A06916"/>
    <w:rsid w:val="00A10932"/>
    <w:rsid w:val="00A10C29"/>
    <w:rsid w:val="00A110A6"/>
    <w:rsid w:val="00A11675"/>
    <w:rsid w:val="00A11929"/>
    <w:rsid w:val="00A11CA3"/>
    <w:rsid w:val="00A1270D"/>
    <w:rsid w:val="00A12997"/>
    <w:rsid w:val="00A12C85"/>
    <w:rsid w:val="00A13438"/>
    <w:rsid w:val="00A13849"/>
    <w:rsid w:val="00A13CC3"/>
    <w:rsid w:val="00A14466"/>
    <w:rsid w:val="00A14C82"/>
    <w:rsid w:val="00A15375"/>
    <w:rsid w:val="00A15CE5"/>
    <w:rsid w:val="00A15D2A"/>
    <w:rsid w:val="00A16410"/>
    <w:rsid w:val="00A169A5"/>
    <w:rsid w:val="00A16B2E"/>
    <w:rsid w:val="00A17440"/>
    <w:rsid w:val="00A17D26"/>
    <w:rsid w:val="00A17EC6"/>
    <w:rsid w:val="00A215CC"/>
    <w:rsid w:val="00A22A23"/>
    <w:rsid w:val="00A2384C"/>
    <w:rsid w:val="00A24299"/>
    <w:rsid w:val="00A2466B"/>
    <w:rsid w:val="00A24709"/>
    <w:rsid w:val="00A24D9A"/>
    <w:rsid w:val="00A25705"/>
    <w:rsid w:val="00A26D79"/>
    <w:rsid w:val="00A2729F"/>
    <w:rsid w:val="00A27EBF"/>
    <w:rsid w:val="00A300C2"/>
    <w:rsid w:val="00A30433"/>
    <w:rsid w:val="00A30513"/>
    <w:rsid w:val="00A30ABB"/>
    <w:rsid w:val="00A3114C"/>
    <w:rsid w:val="00A313CB"/>
    <w:rsid w:val="00A31E08"/>
    <w:rsid w:val="00A31FD8"/>
    <w:rsid w:val="00A32A91"/>
    <w:rsid w:val="00A332BC"/>
    <w:rsid w:val="00A33330"/>
    <w:rsid w:val="00A33A6C"/>
    <w:rsid w:val="00A33B24"/>
    <w:rsid w:val="00A33B37"/>
    <w:rsid w:val="00A33EF9"/>
    <w:rsid w:val="00A343E9"/>
    <w:rsid w:val="00A3446B"/>
    <w:rsid w:val="00A34840"/>
    <w:rsid w:val="00A35FBA"/>
    <w:rsid w:val="00A3660F"/>
    <w:rsid w:val="00A36883"/>
    <w:rsid w:val="00A36AC5"/>
    <w:rsid w:val="00A3775B"/>
    <w:rsid w:val="00A40126"/>
    <w:rsid w:val="00A40A0F"/>
    <w:rsid w:val="00A41405"/>
    <w:rsid w:val="00A415F3"/>
    <w:rsid w:val="00A41868"/>
    <w:rsid w:val="00A41A62"/>
    <w:rsid w:val="00A41B94"/>
    <w:rsid w:val="00A41EAC"/>
    <w:rsid w:val="00A42464"/>
    <w:rsid w:val="00A424F2"/>
    <w:rsid w:val="00A42567"/>
    <w:rsid w:val="00A42B62"/>
    <w:rsid w:val="00A42CAF"/>
    <w:rsid w:val="00A43C60"/>
    <w:rsid w:val="00A44281"/>
    <w:rsid w:val="00A4474D"/>
    <w:rsid w:val="00A44C7E"/>
    <w:rsid w:val="00A45200"/>
    <w:rsid w:val="00A45435"/>
    <w:rsid w:val="00A45487"/>
    <w:rsid w:val="00A45785"/>
    <w:rsid w:val="00A45A1D"/>
    <w:rsid w:val="00A45E11"/>
    <w:rsid w:val="00A461F7"/>
    <w:rsid w:val="00A46625"/>
    <w:rsid w:val="00A4670B"/>
    <w:rsid w:val="00A46A0C"/>
    <w:rsid w:val="00A46CD9"/>
    <w:rsid w:val="00A47018"/>
    <w:rsid w:val="00A47585"/>
    <w:rsid w:val="00A506C4"/>
    <w:rsid w:val="00A50BC5"/>
    <w:rsid w:val="00A51AC9"/>
    <w:rsid w:val="00A521DE"/>
    <w:rsid w:val="00A5228E"/>
    <w:rsid w:val="00A52F8F"/>
    <w:rsid w:val="00A534CB"/>
    <w:rsid w:val="00A553B6"/>
    <w:rsid w:val="00A55E7C"/>
    <w:rsid w:val="00A566F3"/>
    <w:rsid w:val="00A56C2B"/>
    <w:rsid w:val="00A570C2"/>
    <w:rsid w:val="00A57308"/>
    <w:rsid w:val="00A57713"/>
    <w:rsid w:val="00A57762"/>
    <w:rsid w:val="00A60552"/>
    <w:rsid w:val="00A60E5C"/>
    <w:rsid w:val="00A612C6"/>
    <w:rsid w:val="00A612D3"/>
    <w:rsid w:val="00A61C14"/>
    <w:rsid w:val="00A62E82"/>
    <w:rsid w:val="00A6318C"/>
    <w:rsid w:val="00A63305"/>
    <w:rsid w:val="00A63CD7"/>
    <w:rsid w:val="00A63D5B"/>
    <w:rsid w:val="00A646CD"/>
    <w:rsid w:val="00A64726"/>
    <w:rsid w:val="00A64820"/>
    <w:rsid w:val="00A64C45"/>
    <w:rsid w:val="00A652F6"/>
    <w:rsid w:val="00A65303"/>
    <w:rsid w:val="00A65F1C"/>
    <w:rsid w:val="00A6616E"/>
    <w:rsid w:val="00A66A62"/>
    <w:rsid w:val="00A66C5C"/>
    <w:rsid w:val="00A67123"/>
    <w:rsid w:val="00A701B8"/>
    <w:rsid w:val="00A704F2"/>
    <w:rsid w:val="00A70A05"/>
    <w:rsid w:val="00A70A3D"/>
    <w:rsid w:val="00A7115F"/>
    <w:rsid w:val="00A71846"/>
    <w:rsid w:val="00A7277A"/>
    <w:rsid w:val="00A73412"/>
    <w:rsid w:val="00A73948"/>
    <w:rsid w:val="00A73A08"/>
    <w:rsid w:val="00A74951"/>
    <w:rsid w:val="00A74C55"/>
    <w:rsid w:val="00A7565A"/>
    <w:rsid w:val="00A758F1"/>
    <w:rsid w:val="00A75EB4"/>
    <w:rsid w:val="00A75EC7"/>
    <w:rsid w:val="00A76783"/>
    <w:rsid w:val="00A76C58"/>
    <w:rsid w:val="00A76CAB"/>
    <w:rsid w:val="00A77259"/>
    <w:rsid w:val="00A77BC1"/>
    <w:rsid w:val="00A77EF0"/>
    <w:rsid w:val="00A802C3"/>
    <w:rsid w:val="00A8052A"/>
    <w:rsid w:val="00A807A7"/>
    <w:rsid w:val="00A80C10"/>
    <w:rsid w:val="00A80DAA"/>
    <w:rsid w:val="00A82E9F"/>
    <w:rsid w:val="00A8314E"/>
    <w:rsid w:val="00A837C7"/>
    <w:rsid w:val="00A8380E"/>
    <w:rsid w:val="00A83853"/>
    <w:rsid w:val="00A850B6"/>
    <w:rsid w:val="00A85809"/>
    <w:rsid w:val="00A859AD"/>
    <w:rsid w:val="00A85B51"/>
    <w:rsid w:val="00A85EC9"/>
    <w:rsid w:val="00A861D3"/>
    <w:rsid w:val="00A86399"/>
    <w:rsid w:val="00A879CE"/>
    <w:rsid w:val="00A87A50"/>
    <w:rsid w:val="00A90A2B"/>
    <w:rsid w:val="00A913A2"/>
    <w:rsid w:val="00A9181E"/>
    <w:rsid w:val="00A92F95"/>
    <w:rsid w:val="00A930B2"/>
    <w:rsid w:val="00A93A23"/>
    <w:rsid w:val="00A93B12"/>
    <w:rsid w:val="00A94B26"/>
    <w:rsid w:val="00A962F7"/>
    <w:rsid w:val="00AA0D6C"/>
    <w:rsid w:val="00AA1234"/>
    <w:rsid w:val="00AA1247"/>
    <w:rsid w:val="00AA2647"/>
    <w:rsid w:val="00AA3D77"/>
    <w:rsid w:val="00AA3E48"/>
    <w:rsid w:val="00AA44EE"/>
    <w:rsid w:val="00AA655D"/>
    <w:rsid w:val="00AA66BB"/>
    <w:rsid w:val="00AA6A50"/>
    <w:rsid w:val="00AB12DF"/>
    <w:rsid w:val="00AB1460"/>
    <w:rsid w:val="00AB15A9"/>
    <w:rsid w:val="00AB2070"/>
    <w:rsid w:val="00AB2398"/>
    <w:rsid w:val="00AB248F"/>
    <w:rsid w:val="00AB32E7"/>
    <w:rsid w:val="00AB3D39"/>
    <w:rsid w:val="00AB3E28"/>
    <w:rsid w:val="00AB3E9C"/>
    <w:rsid w:val="00AB4120"/>
    <w:rsid w:val="00AB463B"/>
    <w:rsid w:val="00AB5007"/>
    <w:rsid w:val="00AB5075"/>
    <w:rsid w:val="00AB57B5"/>
    <w:rsid w:val="00AB6F13"/>
    <w:rsid w:val="00AB7456"/>
    <w:rsid w:val="00AB784D"/>
    <w:rsid w:val="00AB7916"/>
    <w:rsid w:val="00AC0A2F"/>
    <w:rsid w:val="00AC0D99"/>
    <w:rsid w:val="00AC1776"/>
    <w:rsid w:val="00AC1E0B"/>
    <w:rsid w:val="00AC1EF9"/>
    <w:rsid w:val="00AC3203"/>
    <w:rsid w:val="00AC35F3"/>
    <w:rsid w:val="00AC4B33"/>
    <w:rsid w:val="00AC50D3"/>
    <w:rsid w:val="00AC5341"/>
    <w:rsid w:val="00AC566C"/>
    <w:rsid w:val="00AC5B73"/>
    <w:rsid w:val="00AC63C1"/>
    <w:rsid w:val="00AC656E"/>
    <w:rsid w:val="00AC766B"/>
    <w:rsid w:val="00AD004D"/>
    <w:rsid w:val="00AD0063"/>
    <w:rsid w:val="00AD01AF"/>
    <w:rsid w:val="00AD0407"/>
    <w:rsid w:val="00AD0409"/>
    <w:rsid w:val="00AD09CE"/>
    <w:rsid w:val="00AD1067"/>
    <w:rsid w:val="00AD17D8"/>
    <w:rsid w:val="00AD1B98"/>
    <w:rsid w:val="00AD2C30"/>
    <w:rsid w:val="00AD456E"/>
    <w:rsid w:val="00AD47B4"/>
    <w:rsid w:val="00AD489D"/>
    <w:rsid w:val="00AD5510"/>
    <w:rsid w:val="00AD5740"/>
    <w:rsid w:val="00AD57E6"/>
    <w:rsid w:val="00AD5A51"/>
    <w:rsid w:val="00AD67E2"/>
    <w:rsid w:val="00AD698F"/>
    <w:rsid w:val="00AD69ED"/>
    <w:rsid w:val="00AD6AC2"/>
    <w:rsid w:val="00AD6B7A"/>
    <w:rsid w:val="00AD7129"/>
    <w:rsid w:val="00AD7B4C"/>
    <w:rsid w:val="00AD7EC9"/>
    <w:rsid w:val="00AE0126"/>
    <w:rsid w:val="00AE0E7B"/>
    <w:rsid w:val="00AE1320"/>
    <w:rsid w:val="00AE1C2C"/>
    <w:rsid w:val="00AE1CD5"/>
    <w:rsid w:val="00AE1E12"/>
    <w:rsid w:val="00AE2474"/>
    <w:rsid w:val="00AE3996"/>
    <w:rsid w:val="00AE3DB8"/>
    <w:rsid w:val="00AE42D1"/>
    <w:rsid w:val="00AE46E8"/>
    <w:rsid w:val="00AE4F8A"/>
    <w:rsid w:val="00AE593E"/>
    <w:rsid w:val="00AE5A47"/>
    <w:rsid w:val="00AE5B65"/>
    <w:rsid w:val="00AE6B98"/>
    <w:rsid w:val="00AE7473"/>
    <w:rsid w:val="00AE74D3"/>
    <w:rsid w:val="00AE7694"/>
    <w:rsid w:val="00AE7B7E"/>
    <w:rsid w:val="00AE7F46"/>
    <w:rsid w:val="00AF0347"/>
    <w:rsid w:val="00AF0496"/>
    <w:rsid w:val="00AF0EAE"/>
    <w:rsid w:val="00AF0F58"/>
    <w:rsid w:val="00AF1278"/>
    <w:rsid w:val="00AF1552"/>
    <w:rsid w:val="00AF1AAC"/>
    <w:rsid w:val="00AF1BDB"/>
    <w:rsid w:val="00AF1FB9"/>
    <w:rsid w:val="00AF22A8"/>
    <w:rsid w:val="00AF32B1"/>
    <w:rsid w:val="00AF3987"/>
    <w:rsid w:val="00AF3C12"/>
    <w:rsid w:val="00AF54A5"/>
    <w:rsid w:val="00AF5618"/>
    <w:rsid w:val="00AF5C88"/>
    <w:rsid w:val="00AF64FF"/>
    <w:rsid w:val="00AF6830"/>
    <w:rsid w:val="00AF726D"/>
    <w:rsid w:val="00AF7617"/>
    <w:rsid w:val="00AF7F49"/>
    <w:rsid w:val="00AF7FE3"/>
    <w:rsid w:val="00B002A7"/>
    <w:rsid w:val="00B00B7E"/>
    <w:rsid w:val="00B00ED0"/>
    <w:rsid w:val="00B00FDD"/>
    <w:rsid w:val="00B01028"/>
    <w:rsid w:val="00B0143E"/>
    <w:rsid w:val="00B02458"/>
    <w:rsid w:val="00B0281F"/>
    <w:rsid w:val="00B02A45"/>
    <w:rsid w:val="00B02B2C"/>
    <w:rsid w:val="00B03052"/>
    <w:rsid w:val="00B035E7"/>
    <w:rsid w:val="00B03995"/>
    <w:rsid w:val="00B044A0"/>
    <w:rsid w:val="00B054D7"/>
    <w:rsid w:val="00B055FE"/>
    <w:rsid w:val="00B05784"/>
    <w:rsid w:val="00B0604D"/>
    <w:rsid w:val="00B061BB"/>
    <w:rsid w:val="00B06D01"/>
    <w:rsid w:val="00B06DA3"/>
    <w:rsid w:val="00B06E4A"/>
    <w:rsid w:val="00B0737E"/>
    <w:rsid w:val="00B07795"/>
    <w:rsid w:val="00B07894"/>
    <w:rsid w:val="00B079C9"/>
    <w:rsid w:val="00B07D0B"/>
    <w:rsid w:val="00B07E84"/>
    <w:rsid w:val="00B07EE8"/>
    <w:rsid w:val="00B111B0"/>
    <w:rsid w:val="00B1135D"/>
    <w:rsid w:val="00B1144B"/>
    <w:rsid w:val="00B11B9C"/>
    <w:rsid w:val="00B12216"/>
    <w:rsid w:val="00B12456"/>
    <w:rsid w:val="00B137AA"/>
    <w:rsid w:val="00B139AC"/>
    <w:rsid w:val="00B14271"/>
    <w:rsid w:val="00B14451"/>
    <w:rsid w:val="00B155D7"/>
    <w:rsid w:val="00B157D9"/>
    <w:rsid w:val="00B1581E"/>
    <w:rsid w:val="00B15EA8"/>
    <w:rsid w:val="00B1619D"/>
    <w:rsid w:val="00B162C8"/>
    <w:rsid w:val="00B16544"/>
    <w:rsid w:val="00B16DB0"/>
    <w:rsid w:val="00B16E0F"/>
    <w:rsid w:val="00B16EEB"/>
    <w:rsid w:val="00B1784A"/>
    <w:rsid w:val="00B17F78"/>
    <w:rsid w:val="00B17FA3"/>
    <w:rsid w:val="00B21B47"/>
    <w:rsid w:val="00B21BB0"/>
    <w:rsid w:val="00B21FFE"/>
    <w:rsid w:val="00B222BF"/>
    <w:rsid w:val="00B2239F"/>
    <w:rsid w:val="00B224BD"/>
    <w:rsid w:val="00B22674"/>
    <w:rsid w:val="00B22820"/>
    <w:rsid w:val="00B22C3B"/>
    <w:rsid w:val="00B22CA0"/>
    <w:rsid w:val="00B2350C"/>
    <w:rsid w:val="00B23E33"/>
    <w:rsid w:val="00B23F93"/>
    <w:rsid w:val="00B2491D"/>
    <w:rsid w:val="00B25169"/>
    <w:rsid w:val="00B257DA"/>
    <w:rsid w:val="00B25984"/>
    <w:rsid w:val="00B25A6B"/>
    <w:rsid w:val="00B25D22"/>
    <w:rsid w:val="00B2784A"/>
    <w:rsid w:val="00B3037F"/>
    <w:rsid w:val="00B3078E"/>
    <w:rsid w:val="00B30ECE"/>
    <w:rsid w:val="00B315DE"/>
    <w:rsid w:val="00B32304"/>
    <w:rsid w:val="00B32895"/>
    <w:rsid w:val="00B32AB5"/>
    <w:rsid w:val="00B33046"/>
    <w:rsid w:val="00B33320"/>
    <w:rsid w:val="00B33B49"/>
    <w:rsid w:val="00B3409F"/>
    <w:rsid w:val="00B345AD"/>
    <w:rsid w:val="00B348D0"/>
    <w:rsid w:val="00B35345"/>
    <w:rsid w:val="00B3540C"/>
    <w:rsid w:val="00B354D3"/>
    <w:rsid w:val="00B35A43"/>
    <w:rsid w:val="00B35D97"/>
    <w:rsid w:val="00B35E06"/>
    <w:rsid w:val="00B35E5C"/>
    <w:rsid w:val="00B35EAB"/>
    <w:rsid w:val="00B36388"/>
    <w:rsid w:val="00B365E9"/>
    <w:rsid w:val="00B36BB7"/>
    <w:rsid w:val="00B37B2E"/>
    <w:rsid w:val="00B40630"/>
    <w:rsid w:val="00B406E4"/>
    <w:rsid w:val="00B409A9"/>
    <w:rsid w:val="00B40B8A"/>
    <w:rsid w:val="00B41028"/>
    <w:rsid w:val="00B41926"/>
    <w:rsid w:val="00B41FBE"/>
    <w:rsid w:val="00B4255F"/>
    <w:rsid w:val="00B4271B"/>
    <w:rsid w:val="00B42806"/>
    <w:rsid w:val="00B42888"/>
    <w:rsid w:val="00B429F6"/>
    <w:rsid w:val="00B43068"/>
    <w:rsid w:val="00B43998"/>
    <w:rsid w:val="00B43B05"/>
    <w:rsid w:val="00B43DF3"/>
    <w:rsid w:val="00B4454F"/>
    <w:rsid w:val="00B4491C"/>
    <w:rsid w:val="00B44DB5"/>
    <w:rsid w:val="00B45098"/>
    <w:rsid w:val="00B455B9"/>
    <w:rsid w:val="00B45ED8"/>
    <w:rsid w:val="00B46449"/>
    <w:rsid w:val="00B46525"/>
    <w:rsid w:val="00B46675"/>
    <w:rsid w:val="00B471F1"/>
    <w:rsid w:val="00B47313"/>
    <w:rsid w:val="00B4777D"/>
    <w:rsid w:val="00B506FA"/>
    <w:rsid w:val="00B50753"/>
    <w:rsid w:val="00B50897"/>
    <w:rsid w:val="00B50981"/>
    <w:rsid w:val="00B50ECA"/>
    <w:rsid w:val="00B51131"/>
    <w:rsid w:val="00B516ED"/>
    <w:rsid w:val="00B520E5"/>
    <w:rsid w:val="00B52457"/>
    <w:rsid w:val="00B529F3"/>
    <w:rsid w:val="00B5316B"/>
    <w:rsid w:val="00B54570"/>
    <w:rsid w:val="00B548A5"/>
    <w:rsid w:val="00B563CA"/>
    <w:rsid w:val="00B563CF"/>
    <w:rsid w:val="00B569CF"/>
    <w:rsid w:val="00B56F02"/>
    <w:rsid w:val="00B577B9"/>
    <w:rsid w:val="00B57B33"/>
    <w:rsid w:val="00B57D69"/>
    <w:rsid w:val="00B6074B"/>
    <w:rsid w:val="00B60753"/>
    <w:rsid w:val="00B60B88"/>
    <w:rsid w:val="00B61101"/>
    <w:rsid w:val="00B6276D"/>
    <w:rsid w:val="00B62832"/>
    <w:rsid w:val="00B634F1"/>
    <w:rsid w:val="00B6406F"/>
    <w:rsid w:val="00B64213"/>
    <w:rsid w:val="00B65185"/>
    <w:rsid w:val="00B65286"/>
    <w:rsid w:val="00B65DBC"/>
    <w:rsid w:val="00B66DC4"/>
    <w:rsid w:val="00B70064"/>
    <w:rsid w:val="00B706DB"/>
    <w:rsid w:val="00B7102E"/>
    <w:rsid w:val="00B7151B"/>
    <w:rsid w:val="00B716CB"/>
    <w:rsid w:val="00B719E1"/>
    <w:rsid w:val="00B7287C"/>
    <w:rsid w:val="00B72C9A"/>
    <w:rsid w:val="00B73397"/>
    <w:rsid w:val="00B7365F"/>
    <w:rsid w:val="00B74333"/>
    <w:rsid w:val="00B746BC"/>
    <w:rsid w:val="00B74BE1"/>
    <w:rsid w:val="00B76F8E"/>
    <w:rsid w:val="00B779E1"/>
    <w:rsid w:val="00B77FA0"/>
    <w:rsid w:val="00B8061F"/>
    <w:rsid w:val="00B8167F"/>
    <w:rsid w:val="00B81DC4"/>
    <w:rsid w:val="00B823C3"/>
    <w:rsid w:val="00B823D9"/>
    <w:rsid w:val="00B827B2"/>
    <w:rsid w:val="00B82FD2"/>
    <w:rsid w:val="00B8354C"/>
    <w:rsid w:val="00B84535"/>
    <w:rsid w:val="00B847D9"/>
    <w:rsid w:val="00B84D4B"/>
    <w:rsid w:val="00B85093"/>
    <w:rsid w:val="00B86353"/>
    <w:rsid w:val="00B87889"/>
    <w:rsid w:val="00B87F67"/>
    <w:rsid w:val="00B9262E"/>
    <w:rsid w:val="00B930EF"/>
    <w:rsid w:val="00B944B8"/>
    <w:rsid w:val="00B95CF6"/>
    <w:rsid w:val="00B9602B"/>
    <w:rsid w:val="00B96209"/>
    <w:rsid w:val="00B964F3"/>
    <w:rsid w:val="00B96B3E"/>
    <w:rsid w:val="00B96B86"/>
    <w:rsid w:val="00B974DD"/>
    <w:rsid w:val="00B9750A"/>
    <w:rsid w:val="00B97B11"/>
    <w:rsid w:val="00BA04FF"/>
    <w:rsid w:val="00BA0829"/>
    <w:rsid w:val="00BA0E4E"/>
    <w:rsid w:val="00BA1715"/>
    <w:rsid w:val="00BA1A48"/>
    <w:rsid w:val="00BA24C6"/>
    <w:rsid w:val="00BA3415"/>
    <w:rsid w:val="00BA3A55"/>
    <w:rsid w:val="00BA3C73"/>
    <w:rsid w:val="00BA4E40"/>
    <w:rsid w:val="00BA4E56"/>
    <w:rsid w:val="00BA532E"/>
    <w:rsid w:val="00BA56B7"/>
    <w:rsid w:val="00BA5995"/>
    <w:rsid w:val="00BA60E5"/>
    <w:rsid w:val="00BA60FA"/>
    <w:rsid w:val="00BA6548"/>
    <w:rsid w:val="00BA7312"/>
    <w:rsid w:val="00BA774D"/>
    <w:rsid w:val="00BA7E94"/>
    <w:rsid w:val="00BB05BA"/>
    <w:rsid w:val="00BB1001"/>
    <w:rsid w:val="00BB1BE6"/>
    <w:rsid w:val="00BB2244"/>
    <w:rsid w:val="00BB2858"/>
    <w:rsid w:val="00BB2886"/>
    <w:rsid w:val="00BB3BF1"/>
    <w:rsid w:val="00BB441B"/>
    <w:rsid w:val="00BB444B"/>
    <w:rsid w:val="00BB474A"/>
    <w:rsid w:val="00BB4E5D"/>
    <w:rsid w:val="00BB5294"/>
    <w:rsid w:val="00BB5308"/>
    <w:rsid w:val="00BB6B78"/>
    <w:rsid w:val="00BB7137"/>
    <w:rsid w:val="00BB72CA"/>
    <w:rsid w:val="00BB75B6"/>
    <w:rsid w:val="00BC00A0"/>
    <w:rsid w:val="00BC1806"/>
    <w:rsid w:val="00BC1B08"/>
    <w:rsid w:val="00BC2161"/>
    <w:rsid w:val="00BC2D38"/>
    <w:rsid w:val="00BC2D99"/>
    <w:rsid w:val="00BC2FD9"/>
    <w:rsid w:val="00BC3484"/>
    <w:rsid w:val="00BC39E7"/>
    <w:rsid w:val="00BC3F24"/>
    <w:rsid w:val="00BC3F99"/>
    <w:rsid w:val="00BC5795"/>
    <w:rsid w:val="00BC5C41"/>
    <w:rsid w:val="00BC5C7B"/>
    <w:rsid w:val="00BC5EB2"/>
    <w:rsid w:val="00BC6FA6"/>
    <w:rsid w:val="00BC70BC"/>
    <w:rsid w:val="00BC7122"/>
    <w:rsid w:val="00BC748B"/>
    <w:rsid w:val="00BC752C"/>
    <w:rsid w:val="00BC7C14"/>
    <w:rsid w:val="00BD0C78"/>
    <w:rsid w:val="00BD1678"/>
    <w:rsid w:val="00BD1CD9"/>
    <w:rsid w:val="00BD1FBC"/>
    <w:rsid w:val="00BD276A"/>
    <w:rsid w:val="00BD32D8"/>
    <w:rsid w:val="00BD3B3A"/>
    <w:rsid w:val="00BD3BA7"/>
    <w:rsid w:val="00BD3DF2"/>
    <w:rsid w:val="00BD4265"/>
    <w:rsid w:val="00BD4A17"/>
    <w:rsid w:val="00BD4E3D"/>
    <w:rsid w:val="00BD5255"/>
    <w:rsid w:val="00BD5D33"/>
    <w:rsid w:val="00BD5D4C"/>
    <w:rsid w:val="00BD5FAA"/>
    <w:rsid w:val="00BD6323"/>
    <w:rsid w:val="00BD660B"/>
    <w:rsid w:val="00BE07CA"/>
    <w:rsid w:val="00BE1CDC"/>
    <w:rsid w:val="00BE1E4E"/>
    <w:rsid w:val="00BE202B"/>
    <w:rsid w:val="00BE2082"/>
    <w:rsid w:val="00BE2857"/>
    <w:rsid w:val="00BE2D51"/>
    <w:rsid w:val="00BE3731"/>
    <w:rsid w:val="00BE3873"/>
    <w:rsid w:val="00BE3D51"/>
    <w:rsid w:val="00BE506F"/>
    <w:rsid w:val="00BE53CD"/>
    <w:rsid w:val="00BE5977"/>
    <w:rsid w:val="00BE5B47"/>
    <w:rsid w:val="00BE64EC"/>
    <w:rsid w:val="00BE6619"/>
    <w:rsid w:val="00BE73F7"/>
    <w:rsid w:val="00BE7770"/>
    <w:rsid w:val="00BF0683"/>
    <w:rsid w:val="00BF0712"/>
    <w:rsid w:val="00BF07CB"/>
    <w:rsid w:val="00BF0940"/>
    <w:rsid w:val="00BF0D5E"/>
    <w:rsid w:val="00BF10C4"/>
    <w:rsid w:val="00BF1334"/>
    <w:rsid w:val="00BF1657"/>
    <w:rsid w:val="00BF1E2C"/>
    <w:rsid w:val="00BF1E59"/>
    <w:rsid w:val="00BF308D"/>
    <w:rsid w:val="00BF310A"/>
    <w:rsid w:val="00BF315D"/>
    <w:rsid w:val="00BF3255"/>
    <w:rsid w:val="00BF426D"/>
    <w:rsid w:val="00BF42E7"/>
    <w:rsid w:val="00BF490D"/>
    <w:rsid w:val="00BF4AFA"/>
    <w:rsid w:val="00BF5086"/>
    <w:rsid w:val="00BF59F7"/>
    <w:rsid w:val="00BF5C9D"/>
    <w:rsid w:val="00BF6718"/>
    <w:rsid w:val="00BF6780"/>
    <w:rsid w:val="00BF6FAD"/>
    <w:rsid w:val="00BF6FCD"/>
    <w:rsid w:val="00BF7125"/>
    <w:rsid w:val="00BF7369"/>
    <w:rsid w:val="00BF7868"/>
    <w:rsid w:val="00C00528"/>
    <w:rsid w:val="00C00565"/>
    <w:rsid w:val="00C00975"/>
    <w:rsid w:val="00C00A53"/>
    <w:rsid w:val="00C00B93"/>
    <w:rsid w:val="00C00D33"/>
    <w:rsid w:val="00C00E2A"/>
    <w:rsid w:val="00C01C5D"/>
    <w:rsid w:val="00C022CB"/>
    <w:rsid w:val="00C024D6"/>
    <w:rsid w:val="00C028AD"/>
    <w:rsid w:val="00C0362A"/>
    <w:rsid w:val="00C0396B"/>
    <w:rsid w:val="00C03AE1"/>
    <w:rsid w:val="00C04C21"/>
    <w:rsid w:val="00C052B1"/>
    <w:rsid w:val="00C061ED"/>
    <w:rsid w:val="00C067C8"/>
    <w:rsid w:val="00C06AB3"/>
    <w:rsid w:val="00C07001"/>
    <w:rsid w:val="00C07026"/>
    <w:rsid w:val="00C0775F"/>
    <w:rsid w:val="00C10556"/>
    <w:rsid w:val="00C1123D"/>
    <w:rsid w:val="00C11555"/>
    <w:rsid w:val="00C1161A"/>
    <w:rsid w:val="00C12498"/>
    <w:rsid w:val="00C1256A"/>
    <w:rsid w:val="00C14004"/>
    <w:rsid w:val="00C14FC5"/>
    <w:rsid w:val="00C154B1"/>
    <w:rsid w:val="00C155EF"/>
    <w:rsid w:val="00C15D64"/>
    <w:rsid w:val="00C1611E"/>
    <w:rsid w:val="00C177FD"/>
    <w:rsid w:val="00C17D22"/>
    <w:rsid w:val="00C20AE0"/>
    <w:rsid w:val="00C20D1D"/>
    <w:rsid w:val="00C211A3"/>
    <w:rsid w:val="00C21AC8"/>
    <w:rsid w:val="00C221F2"/>
    <w:rsid w:val="00C2288F"/>
    <w:rsid w:val="00C22986"/>
    <w:rsid w:val="00C22B10"/>
    <w:rsid w:val="00C230C0"/>
    <w:rsid w:val="00C23265"/>
    <w:rsid w:val="00C23AB6"/>
    <w:rsid w:val="00C23F90"/>
    <w:rsid w:val="00C23FF2"/>
    <w:rsid w:val="00C243F8"/>
    <w:rsid w:val="00C24735"/>
    <w:rsid w:val="00C256AD"/>
    <w:rsid w:val="00C2591E"/>
    <w:rsid w:val="00C25D42"/>
    <w:rsid w:val="00C25D68"/>
    <w:rsid w:val="00C261F8"/>
    <w:rsid w:val="00C26EF8"/>
    <w:rsid w:val="00C278F2"/>
    <w:rsid w:val="00C306BD"/>
    <w:rsid w:val="00C30BB8"/>
    <w:rsid w:val="00C30BF7"/>
    <w:rsid w:val="00C30CA8"/>
    <w:rsid w:val="00C30E8F"/>
    <w:rsid w:val="00C30EF5"/>
    <w:rsid w:val="00C314AA"/>
    <w:rsid w:val="00C31661"/>
    <w:rsid w:val="00C31E9A"/>
    <w:rsid w:val="00C326A6"/>
    <w:rsid w:val="00C33278"/>
    <w:rsid w:val="00C339D3"/>
    <w:rsid w:val="00C34D4D"/>
    <w:rsid w:val="00C358E9"/>
    <w:rsid w:val="00C358F4"/>
    <w:rsid w:val="00C35C11"/>
    <w:rsid w:val="00C36525"/>
    <w:rsid w:val="00C365EA"/>
    <w:rsid w:val="00C3757D"/>
    <w:rsid w:val="00C400A4"/>
    <w:rsid w:val="00C40A54"/>
    <w:rsid w:val="00C40ABA"/>
    <w:rsid w:val="00C40CE3"/>
    <w:rsid w:val="00C40E54"/>
    <w:rsid w:val="00C41851"/>
    <w:rsid w:val="00C427D2"/>
    <w:rsid w:val="00C42D57"/>
    <w:rsid w:val="00C43A58"/>
    <w:rsid w:val="00C442D4"/>
    <w:rsid w:val="00C44673"/>
    <w:rsid w:val="00C446C1"/>
    <w:rsid w:val="00C453DA"/>
    <w:rsid w:val="00C45583"/>
    <w:rsid w:val="00C455DD"/>
    <w:rsid w:val="00C45EDF"/>
    <w:rsid w:val="00C45F86"/>
    <w:rsid w:val="00C46C36"/>
    <w:rsid w:val="00C47067"/>
    <w:rsid w:val="00C474B5"/>
    <w:rsid w:val="00C478C1"/>
    <w:rsid w:val="00C50389"/>
    <w:rsid w:val="00C5059C"/>
    <w:rsid w:val="00C511D0"/>
    <w:rsid w:val="00C514AA"/>
    <w:rsid w:val="00C5151E"/>
    <w:rsid w:val="00C52186"/>
    <w:rsid w:val="00C52F45"/>
    <w:rsid w:val="00C52FAD"/>
    <w:rsid w:val="00C53140"/>
    <w:rsid w:val="00C534F7"/>
    <w:rsid w:val="00C538BF"/>
    <w:rsid w:val="00C539B0"/>
    <w:rsid w:val="00C547B8"/>
    <w:rsid w:val="00C56C0F"/>
    <w:rsid w:val="00C574F2"/>
    <w:rsid w:val="00C5775B"/>
    <w:rsid w:val="00C60490"/>
    <w:rsid w:val="00C604DC"/>
    <w:rsid w:val="00C6061E"/>
    <w:rsid w:val="00C6077E"/>
    <w:rsid w:val="00C60AA6"/>
    <w:rsid w:val="00C60C41"/>
    <w:rsid w:val="00C60E16"/>
    <w:rsid w:val="00C610B7"/>
    <w:rsid w:val="00C62B4E"/>
    <w:rsid w:val="00C64A20"/>
    <w:rsid w:val="00C6530B"/>
    <w:rsid w:val="00C65988"/>
    <w:rsid w:val="00C66A57"/>
    <w:rsid w:val="00C66ABB"/>
    <w:rsid w:val="00C671F5"/>
    <w:rsid w:val="00C67A0E"/>
    <w:rsid w:val="00C7035C"/>
    <w:rsid w:val="00C706B1"/>
    <w:rsid w:val="00C71514"/>
    <w:rsid w:val="00C71890"/>
    <w:rsid w:val="00C71A09"/>
    <w:rsid w:val="00C72086"/>
    <w:rsid w:val="00C72A03"/>
    <w:rsid w:val="00C72DC5"/>
    <w:rsid w:val="00C7335F"/>
    <w:rsid w:val="00C73F65"/>
    <w:rsid w:val="00C7428E"/>
    <w:rsid w:val="00C748B9"/>
    <w:rsid w:val="00C74910"/>
    <w:rsid w:val="00C75805"/>
    <w:rsid w:val="00C75A99"/>
    <w:rsid w:val="00C76052"/>
    <w:rsid w:val="00C763D2"/>
    <w:rsid w:val="00C76431"/>
    <w:rsid w:val="00C764E0"/>
    <w:rsid w:val="00C76AD2"/>
    <w:rsid w:val="00C76ED0"/>
    <w:rsid w:val="00C76F49"/>
    <w:rsid w:val="00C77682"/>
    <w:rsid w:val="00C77EE1"/>
    <w:rsid w:val="00C80A6E"/>
    <w:rsid w:val="00C80D9F"/>
    <w:rsid w:val="00C80E79"/>
    <w:rsid w:val="00C81367"/>
    <w:rsid w:val="00C8167F"/>
    <w:rsid w:val="00C81B0A"/>
    <w:rsid w:val="00C81FB8"/>
    <w:rsid w:val="00C8218A"/>
    <w:rsid w:val="00C821D0"/>
    <w:rsid w:val="00C832FF"/>
    <w:rsid w:val="00C83CC5"/>
    <w:rsid w:val="00C83DC3"/>
    <w:rsid w:val="00C84CEE"/>
    <w:rsid w:val="00C851AA"/>
    <w:rsid w:val="00C85BEB"/>
    <w:rsid w:val="00C861EF"/>
    <w:rsid w:val="00C86F55"/>
    <w:rsid w:val="00C87113"/>
    <w:rsid w:val="00C87AAC"/>
    <w:rsid w:val="00C90638"/>
    <w:rsid w:val="00C907ED"/>
    <w:rsid w:val="00C90A3D"/>
    <w:rsid w:val="00C91955"/>
    <w:rsid w:val="00C922FC"/>
    <w:rsid w:val="00C935FC"/>
    <w:rsid w:val="00C93E0D"/>
    <w:rsid w:val="00C94A36"/>
    <w:rsid w:val="00C94AFC"/>
    <w:rsid w:val="00C94FE4"/>
    <w:rsid w:val="00C95123"/>
    <w:rsid w:val="00C96651"/>
    <w:rsid w:val="00C96CFC"/>
    <w:rsid w:val="00C96E79"/>
    <w:rsid w:val="00C96EE6"/>
    <w:rsid w:val="00C9774D"/>
    <w:rsid w:val="00C97A04"/>
    <w:rsid w:val="00C97C1D"/>
    <w:rsid w:val="00CA0655"/>
    <w:rsid w:val="00CA0CB5"/>
    <w:rsid w:val="00CA14A0"/>
    <w:rsid w:val="00CA1CB9"/>
    <w:rsid w:val="00CA2325"/>
    <w:rsid w:val="00CA337A"/>
    <w:rsid w:val="00CA3389"/>
    <w:rsid w:val="00CA3552"/>
    <w:rsid w:val="00CA3A7D"/>
    <w:rsid w:val="00CA4709"/>
    <w:rsid w:val="00CA493A"/>
    <w:rsid w:val="00CA4CE5"/>
    <w:rsid w:val="00CA5760"/>
    <w:rsid w:val="00CA599B"/>
    <w:rsid w:val="00CA656E"/>
    <w:rsid w:val="00CA6F36"/>
    <w:rsid w:val="00CA7673"/>
    <w:rsid w:val="00CA7B35"/>
    <w:rsid w:val="00CB0AFE"/>
    <w:rsid w:val="00CB1349"/>
    <w:rsid w:val="00CB16F7"/>
    <w:rsid w:val="00CB2510"/>
    <w:rsid w:val="00CB2519"/>
    <w:rsid w:val="00CB28E8"/>
    <w:rsid w:val="00CB3D16"/>
    <w:rsid w:val="00CB413C"/>
    <w:rsid w:val="00CB4656"/>
    <w:rsid w:val="00CB4833"/>
    <w:rsid w:val="00CB4B68"/>
    <w:rsid w:val="00CB5042"/>
    <w:rsid w:val="00CB5054"/>
    <w:rsid w:val="00CB5068"/>
    <w:rsid w:val="00CB5BF3"/>
    <w:rsid w:val="00CB61BA"/>
    <w:rsid w:val="00CB62E9"/>
    <w:rsid w:val="00CB654E"/>
    <w:rsid w:val="00CB67A8"/>
    <w:rsid w:val="00CB6AB6"/>
    <w:rsid w:val="00CB6B5D"/>
    <w:rsid w:val="00CB7583"/>
    <w:rsid w:val="00CB7673"/>
    <w:rsid w:val="00CC0311"/>
    <w:rsid w:val="00CC06D1"/>
    <w:rsid w:val="00CC0779"/>
    <w:rsid w:val="00CC0DF5"/>
    <w:rsid w:val="00CC0ED9"/>
    <w:rsid w:val="00CC1A6B"/>
    <w:rsid w:val="00CC1B8E"/>
    <w:rsid w:val="00CC1E03"/>
    <w:rsid w:val="00CC1E5B"/>
    <w:rsid w:val="00CC25E6"/>
    <w:rsid w:val="00CC2FF4"/>
    <w:rsid w:val="00CC3077"/>
    <w:rsid w:val="00CC3C91"/>
    <w:rsid w:val="00CC3DCF"/>
    <w:rsid w:val="00CC42CE"/>
    <w:rsid w:val="00CC4BDB"/>
    <w:rsid w:val="00CC4D96"/>
    <w:rsid w:val="00CC517B"/>
    <w:rsid w:val="00CC557B"/>
    <w:rsid w:val="00CC564B"/>
    <w:rsid w:val="00CC5B65"/>
    <w:rsid w:val="00CC5DAC"/>
    <w:rsid w:val="00CC6052"/>
    <w:rsid w:val="00CC6556"/>
    <w:rsid w:val="00CC6587"/>
    <w:rsid w:val="00CC7292"/>
    <w:rsid w:val="00CC7737"/>
    <w:rsid w:val="00CC7B56"/>
    <w:rsid w:val="00CD0B7D"/>
    <w:rsid w:val="00CD12A3"/>
    <w:rsid w:val="00CD1B73"/>
    <w:rsid w:val="00CD1FB6"/>
    <w:rsid w:val="00CD2040"/>
    <w:rsid w:val="00CD26B6"/>
    <w:rsid w:val="00CD26FE"/>
    <w:rsid w:val="00CD271F"/>
    <w:rsid w:val="00CD28DC"/>
    <w:rsid w:val="00CD305E"/>
    <w:rsid w:val="00CD3176"/>
    <w:rsid w:val="00CD3800"/>
    <w:rsid w:val="00CD3AC4"/>
    <w:rsid w:val="00CD4436"/>
    <w:rsid w:val="00CD45B9"/>
    <w:rsid w:val="00CD49C6"/>
    <w:rsid w:val="00CD518C"/>
    <w:rsid w:val="00CD6923"/>
    <w:rsid w:val="00CD712B"/>
    <w:rsid w:val="00CD7594"/>
    <w:rsid w:val="00CD7AA1"/>
    <w:rsid w:val="00CD7BCF"/>
    <w:rsid w:val="00CE04C7"/>
    <w:rsid w:val="00CE08B9"/>
    <w:rsid w:val="00CE0922"/>
    <w:rsid w:val="00CE0ED9"/>
    <w:rsid w:val="00CE1B2D"/>
    <w:rsid w:val="00CE201B"/>
    <w:rsid w:val="00CE230F"/>
    <w:rsid w:val="00CE3272"/>
    <w:rsid w:val="00CE3F17"/>
    <w:rsid w:val="00CE4187"/>
    <w:rsid w:val="00CE4965"/>
    <w:rsid w:val="00CE53D8"/>
    <w:rsid w:val="00CE555A"/>
    <w:rsid w:val="00CE5700"/>
    <w:rsid w:val="00CE6B9E"/>
    <w:rsid w:val="00CE6FC9"/>
    <w:rsid w:val="00CE7246"/>
    <w:rsid w:val="00CE7529"/>
    <w:rsid w:val="00CE79E6"/>
    <w:rsid w:val="00CE7D8D"/>
    <w:rsid w:val="00CF02A3"/>
    <w:rsid w:val="00CF0448"/>
    <w:rsid w:val="00CF1080"/>
    <w:rsid w:val="00CF11C9"/>
    <w:rsid w:val="00CF20D3"/>
    <w:rsid w:val="00CF26B9"/>
    <w:rsid w:val="00CF289E"/>
    <w:rsid w:val="00CF329B"/>
    <w:rsid w:val="00CF345B"/>
    <w:rsid w:val="00CF388D"/>
    <w:rsid w:val="00CF42DC"/>
    <w:rsid w:val="00CF4841"/>
    <w:rsid w:val="00CF48E7"/>
    <w:rsid w:val="00CF4921"/>
    <w:rsid w:val="00CF516A"/>
    <w:rsid w:val="00CF5C6F"/>
    <w:rsid w:val="00CF6BE8"/>
    <w:rsid w:val="00CF74CA"/>
    <w:rsid w:val="00CF7607"/>
    <w:rsid w:val="00CF77CE"/>
    <w:rsid w:val="00CF7B93"/>
    <w:rsid w:val="00CF7BD2"/>
    <w:rsid w:val="00CF7C02"/>
    <w:rsid w:val="00D00019"/>
    <w:rsid w:val="00D00164"/>
    <w:rsid w:val="00D001AB"/>
    <w:rsid w:val="00D00286"/>
    <w:rsid w:val="00D00EE6"/>
    <w:rsid w:val="00D0137E"/>
    <w:rsid w:val="00D020A2"/>
    <w:rsid w:val="00D02812"/>
    <w:rsid w:val="00D02B1A"/>
    <w:rsid w:val="00D0338F"/>
    <w:rsid w:val="00D034A4"/>
    <w:rsid w:val="00D05EF1"/>
    <w:rsid w:val="00D05F95"/>
    <w:rsid w:val="00D06900"/>
    <w:rsid w:val="00D06986"/>
    <w:rsid w:val="00D073AC"/>
    <w:rsid w:val="00D1042F"/>
    <w:rsid w:val="00D1063B"/>
    <w:rsid w:val="00D106B0"/>
    <w:rsid w:val="00D10887"/>
    <w:rsid w:val="00D112F5"/>
    <w:rsid w:val="00D11491"/>
    <w:rsid w:val="00D11713"/>
    <w:rsid w:val="00D11B37"/>
    <w:rsid w:val="00D12011"/>
    <w:rsid w:val="00D12C7A"/>
    <w:rsid w:val="00D13298"/>
    <w:rsid w:val="00D1350B"/>
    <w:rsid w:val="00D13636"/>
    <w:rsid w:val="00D136C0"/>
    <w:rsid w:val="00D141B5"/>
    <w:rsid w:val="00D147FC"/>
    <w:rsid w:val="00D14A84"/>
    <w:rsid w:val="00D1537B"/>
    <w:rsid w:val="00D16112"/>
    <w:rsid w:val="00D169C2"/>
    <w:rsid w:val="00D16CFE"/>
    <w:rsid w:val="00D16FAE"/>
    <w:rsid w:val="00D17D87"/>
    <w:rsid w:val="00D2028B"/>
    <w:rsid w:val="00D20680"/>
    <w:rsid w:val="00D20EFE"/>
    <w:rsid w:val="00D20F8A"/>
    <w:rsid w:val="00D213F2"/>
    <w:rsid w:val="00D2226F"/>
    <w:rsid w:val="00D22F2C"/>
    <w:rsid w:val="00D2311D"/>
    <w:rsid w:val="00D23F55"/>
    <w:rsid w:val="00D24606"/>
    <w:rsid w:val="00D24DE5"/>
    <w:rsid w:val="00D24E6F"/>
    <w:rsid w:val="00D25257"/>
    <w:rsid w:val="00D260A7"/>
    <w:rsid w:val="00D266DC"/>
    <w:rsid w:val="00D269E1"/>
    <w:rsid w:val="00D26FD1"/>
    <w:rsid w:val="00D2714B"/>
    <w:rsid w:val="00D27771"/>
    <w:rsid w:val="00D27B8E"/>
    <w:rsid w:val="00D27D5E"/>
    <w:rsid w:val="00D27D64"/>
    <w:rsid w:val="00D30A95"/>
    <w:rsid w:val="00D30F47"/>
    <w:rsid w:val="00D3110A"/>
    <w:rsid w:val="00D31306"/>
    <w:rsid w:val="00D31CC6"/>
    <w:rsid w:val="00D323DA"/>
    <w:rsid w:val="00D32432"/>
    <w:rsid w:val="00D327F0"/>
    <w:rsid w:val="00D3281A"/>
    <w:rsid w:val="00D33243"/>
    <w:rsid w:val="00D34437"/>
    <w:rsid w:val="00D3459D"/>
    <w:rsid w:val="00D3472D"/>
    <w:rsid w:val="00D34AFC"/>
    <w:rsid w:val="00D35329"/>
    <w:rsid w:val="00D353A7"/>
    <w:rsid w:val="00D355C5"/>
    <w:rsid w:val="00D3614E"/>
    <w:rsid w:val="00D36DCE"/>
    <w:rsid w:val="00D37D8E"/>
    <w:rsid w:val="00D3904A"/>
    <w:rsid w:val="00D4058B"/>
    <w:rsid w:val="00D40768"/>
    <w:rsid w:val="00D40B03"/>
    <w:rsid w:val="00D40D9C"/>
    <w:rsid w:val="00D417E9"/>
    <w:rsid w:val="00D41B23"/>
    <w:rsid w:val="00D422BE"/>
    <w:rsid w:val="00D426AF"/>
    <w:rsid w:val="00D426C8"/>
    <w:rsid w:val="00D4350B"/>
    <w:rsid w:val="00D43826"/>
    <w:rsid w:val="00D441B7"/>
    <w:rsid w:val="00D44B9E"/>
    <w:rsid w:val="00D44DE5"/>
    <w:rsid w:val="00D4522B"/>
    <w:rsid w:val="00D452B8"/>
    <w:rsid w:val="00D45721"/>
    <w:rsid w:val="00D46A5A"/>
    <w:rsid w:val="00D46D52"/>
    <w:rsid w:val="00D47635"/>
    <w:rsid w:val="00D47AEC"/>
    <w:rsid w:val="00D5023B"/>
    <w:rsid w:val="00D50520"/>
    <w:rsid w:val="00D5260D"/>
    <w:rsid w:val="00D529BB"/>
    <w:rsid w:val="00D53A39"/>
    <w:rsid w:val="00D53C6F"/>
    <w:rsid w:val="00D53E43"/>
    <w:rsid w:val="00D541CA"/>
    <w:rsid w:val="00D54DCC"/>
    <w:rsid w:val="00D5532B"/>
    <w:rsid w:val="00D558DD"/>
    <w:rsid w:val="00D5641D"/>
    <w:rsid w:val="00D56C03"/>
    <w:rsid w:val="00D57019"/>
    <w:rsid w:val="00D57AB3"/>
    <w:rsid w:val="00D57C53"/>
    <w:rsid w:val="00D57D05"/>
    <w:rsid w:val="00D60988"/>
    <w:rsid w:val="00D60AB8"/>
    <w:rsid w:val="00D60C96"/>
    <w:rsid w:val="00D60E8E"/>
    <w:rsid w:val="00D6103F"/>
    <w:rsid w:val="00D61350"/>
    <w:rsid w:val="00D614D4"/>
    <w:rsid w:val="00D614EA"/>
    <w:rsid w:val="00D616B5"/>
    <w:rsid w:val="00D6314F"/>
    <w:rsid w:val="00D636EB"/>
    <w:rsid w:val="00D63B17"/>
    <w:rsid w:val="00D63E60"/>
    <w:rsid w:val="00D6511D"/>
    <w:rsid w:val="00D657E2"/>
    <w:rsid w:val="00D66394"/>
    <w:rsid w:val="00D66CCA"/>
    <w:rsid w:val="00D67ADF"/>
    <w:rsid w:val="00D67B08"/>
    <w:rsid w:val="00D67C55"/>
    <w:rsid w:val="00D67F64"/>
    <w:rsid w:val="00D70291"/>
    <w:rsid w:val="00D7101B"/>
    <w:rsid w:val="00D710F6"/>
    <w:rsid w:val="00D72746"/>
    <w:rsid w:val="00D732BF"/>
    <w:rsid w:val="00D733C0"/>
    <w:rsid w:val="00D736A8"/>
    <w:rsid w:val="00D736C0"/>
    <w:rsid w:val="00D736E2"/>
    <w:rsid w:val="00D7379D"/>
    <w:rsid w:val="00D74046"/>
    <w:rsid w:val="00D74062"/>
    <w:rsid w:val="00D74592"/>
    <w:rsid w:val="00D7462B"/>
    <w:rsid w:val="00D7465F"/>
    <w:rsid w:val="00D74719"/>
    <w:rsid w:val="00D749A2"/>
    <w:rsid w:val="00D74BD3"/>
    <w:rsid w:val="00D754C7"/>
    <w:rsid w:val="00D7559A"/>
    <w:rsid w:val="00D75907"/>
    <w:rsid w:val="00D759E4"/>
    <w:rsid w:val="00D75DDA"/>
    <w:rsid w:val="00D76008"/>
    <w:rsid w:val="00D76416"/>
    <w:rsid w:val="00D77DF5"/>
    <w:rsid w:val="00D77DF9"/>
    <w:rsid w:val="00D804BE"/>
    <w:rsid w:val="00D806C7"/>
    <w:rsid w:val="00D81842"/>
    <w:rsid w:val="00D82E20"/>
    <w:rsid w:val="00D82E64"/>
    <w:rsid w:val="00D83FFF"/>
    <w:rsid w:val="00D8450A"/>
    <w:rsid w:val="00D85531"/>
    <w:rsid w:val="00D8562B"/>
    <w:rsid w:val="00D8641B"/>
    <w:rsid w:val="00D864B1"/>
    <w:rsid w:val="00D86A7C"/>
    <w:rsid w:val="00D86C63"/>
    <w:rsid w:val="00D871EE"/>
    <w:rsid w:val="00D87377"/>
    <w:rsid w:val="00D874ED"/>
    <w:rsid w:val="00D878EE"/>
    <w:rsid w:val="00D8792C"/>
    <w:rsid w:val="00D87DD5"/>
    <w:rsid w:val="00D901D4"/>
    <w:rsid w:val="00D90CD0"/>
    <w:rsid w:val="00D90CD1"/>
    <w:rsid w:val="00D90D24"/>
    <w:rsid w:val="00D9102B"/>
    <w:rsid w:val="00D91B4C"/>
    <w:rsid w:val="00D91CD8"/>
    <w:rsid w:val="00D91D23"/>
    <w:rsid w:val="00D92227"/>
    <w:rsid w:val="00D92B22"/>
    <w:rsid w:val="00D9400F"/>
    <w:rsid w:val="00D94BA7"/>
    <w:rsid w:val="00D9595A"/>
    <w:rsid w:val="00D95A9D"/>
    <w:rsid w:val="00D95BA5"/>
    <w:rsid w:val="00D95F81"/>
    <w:rsid w:val="00D9650F"/>
    <w:rsid w:val="00D96538"/>
    <w:rsid w:val="00D969CE"/>
    <w:rsid w:val="00D96AF5"/>
    <w:rsid w:val="00D972B2"/>
    <w:rsid w:val="00D97E15"/>
    <w:rsid w:val="00DA096C"/>
    <w:rsid w:val="00DA0A30"/>
    <w:rsid w:val="00DA0B5F"/>
    <w:rsid w:val="00DA0CB6"/>
    <w:rsid w:val="00DA11ED"/>
    <w:rsid w:val="00DA12AC"/>
    <w:rsid w:val="00DA1EFB"/>
    <w:rsid w:val="00DA1F6F"/>
    <w:rsid w:val="00DA2006"/>
    <w:rsid w:val="00DA208B"/>
    <w:rsid w:val="00DA2A71"/>
    <w:rsid w:val="00DA3590"/>
    <w:rsid w:val="00DA35FF"/>
    <w:rsid w:val="00DA3A0B"/>
    <w:rsid w:val="00DA3E79"/>
    <w:rsid w:val="00DA480B"/>
    <w:rsid w:val="00DA4F6F"/>
    <w:rsid w:val="00DA5253"/>
    <w:rsid w:val="00DA5AA9"/>
    <w:rsid w:val="00DA69FF"/>
    <w:rsid w:val="00DA6EC7"/>
    <w:rsid w:val="00DA7171"/>
    <w:rsid w:val="00DA73D0"/>
    <w:rsid w:val="00DA7545"/>
    <w:rsid w:val="00DA77C9"/>
    <w:rsid w:val="00DA7967"/>
    <w:rsid w:val="00DB0047"/>
    <w:rsid w:val="00DB03C5"/>
    <w:rsid w:val="00DB03FF"/>
    <w:rsid w:val="00DB0C2D"/>
    <w:rsid w:val="00DB0D0B"/>
    <w:rsid w:val="00DB0FFD"/>
    <w:rsid w:val="00DB143A"/>
    <w:rsid w:val="00DB1A72"/>
    <w:rsid w:val="00DB2198"/>
    <w:rsid w:val="00DB3F59"/>
    <w:rsid w:val="00DB4130"/>
    <w:rsid w:val="00DB45D5"/>
    <w:rsid w:val="00DB47F6"/>
    <w:rsid w:val="00DB4D0F"/>
    <w:rsid w:val="00DB5238"/>
    <w:rsid w:val="00DB5775"/>
    <w:rsid w:val="00DB5863"/>
    <w:rsid w:val="00DB62D4"/>
    <w:rsid w:val="00DB69B4"/>
    <w:rsid w:val="00DB6BEA"/>
    <w:rsid w:val="00DB729D"/>
    <w:rsid w:val="00DC004A"/>
    <w:rsid w:val="00DC00FE"/>
    <w:rsid w:val="00DC04AA"/>
    <w:rsid w:val="00DC0B86"/>
    <w:rsid w:val="00DC102E"/>
    <w:rsid w:val="00DC1AC9"/>
    <w:rsid w:val="00DC2346"/>
    <w:rsid w:val="00DC238D"/>
    <w:rsid w:val="00DC2AE7"/>
    <w:rsid w:val="00DC2C39"/>
    <w:rsid w:val="00DC30CF"/>
    <w:rsid w:val="00DC323C"/>
    <w:rsid w:val="00DC389B"/>
    <w:rsid w:val="00DC3E44"/>
    <w:rsid w:val="00DC707A"/>
    <w:rsid w:val="00DC728C"/>
    <w:rsid w:val="00DC74C1"/>
    <w:rsid w:val="00DC78EF"/>
    <w:rsid w:val="00DC7D5D"/>
    <w:rsid w:val="00DD00DF"/>
    <w:rsid w:val="00DD0131"/>
    <w:rsid w:val="00DD0616"/>
    <w:rsid w:val="00DD16B6"/>
    <w:rsid w:val="00DD17B7"/>
    <w:rsid w:val="00DD1E9A"/>
    <w:rsid w:val="00DD2E18"/>
    <w:rsid w:val="00DD39CC"/>
    <w:rsid w:val="00DD3C85"/>
    <w:rsid w:val="00DD3E8C"/>
    <w:rsid w:val="00DD3F03"/>
    <w:rsid w:val="00DD405C"/>
    <w:rsid w:val="00DD4724"/>
    <w:rsid w:val="00DD482D"/>
    <w:rsid w:val="00DD52FD"/>
    <w:rsid w:val="00DD5947"/>
    <w:rsid w:val="00DD59FC"/>
    <w:rsid w:val="00DD711E"/>
    <w:rsid w:val="00DD7430"/>
    <w:rsid w:val="00DD75A0"/>
    <w:rsid w:val="00DD7E7F"/>
    <w:rsid w:val="00DD7F4E"/>
    <w:rsid w:val="00DE00A3"/>
    <w:rsid w:val="00DE032D"/>
    <w:rsid w:val="00DE052E"/>
    <w:rsid w:val="00DE0B1A"/>
    <w:rsid w:val="00DE1ECC"/>
    <w:rsid w:val="00DE2211"/>
    <w:rsid w:val="00DE222F"/>
    <w:rsid w:val="00DE3C34"/>
    <w:rsid w:val="00DE3F50"/>
    <w:rsid w:val="00DE49BD"/>
    <w:rsid w:val="00DE4B7F"/>
    <w:rsid w:val="00DE4C68"/>
    <w:rsid w:val="00DE5206"/>
    <w:rsid w:val="00DE5A4F"/>
    <w:rsid w:val="00DE5A91"/>
    <w:rsid w:val="00DE5CF2"/>
    <w:rsid w:val="00DE5F6B"/>
    <w:rsid w:val="00DE6D1A"/>
    <w:rsid w:val="00DE7299"/>
    <w:rsid w:val="00DE7589"/>
    <w:rsid w:val="00DE7B5C"/>
    <w:rsid w:val="00DE7BB3"/>
    <w:rsid w:val="00DE7C66"/>
    <w:rsid w:val="00DF01E2"/>
    <w:rsid w:val="00DF1308"/>
    <w:rsid w:val="00DF1493"/>
    <w:rsid w:val="00DF1DF6"/>
    <w:rsid w:val="00DF2DAC"/>
    <w:rsid w:val="00DF37B7"/>
    <w:rsid w:val="00DF3DC5"/>
    <w:rsid w:val="00DF4279"/>
    <w:rsid w:val="00DF4AFF"/>
    <w:rsid w:val="00DF4C14"/>
    <w:rsid w:val="00DF4DB7"/>
    <w:rsid w:val="00DF5C19"/>
    <w:rsid w:val="00DF5C72"/>
    <w:rsid w:val="00DF5E45"/>
    <w:rsid w:val="00DF60EB"/>
    <w:rsid w:val="00DF6122"/>
    <w:rsid w:val="00DF66E8"/>
    <w:rsid w:val="00DF6CA5"/>
    <w:rsid w:val="00DF6CB4"/>
    <w:rsid w:val="00DF7739"/>
    <w:rsid w:val="00DF7E4E"/>
    <w:rsid w:val="00E0003C"/>
    <w:rsid w:val="00E0049B"/>
    <w:rsid w:val="00E0063A"/>
    <w:rsid w:val="00E0093C"/>
    <w:rsid w:val="00E00AEC"/>
    <w:rsid w:val="00E01095"/>
    <w:rsid w:val="00E01B0C"/>
    <w:rsid w:val="00E01C70"/>
    <w:rsid w:val="00E02131"/>
    <w:rsid w:val="00E02409"/>
    <w:rsid w:val="00E02838"/>
    <w:rsid w:val="00E02A0C"/>
    <w:rsid w:val="00E03379"/>
    <w:rsid w:val="00E03B96"/>
    <w:rsid w:val="00E0408F"/>
    <w:rsid w:val="00E04296"/>
    <w:rsid w:val="00E04333"/>
    <w:rsid w:val="00E04E3E"/>
    <w:rsid w:val="00E05270"/>
    <w:rsid w:val="00E061EF"/>
    <w:rsid w:val="00E066E9"/>
    <w:rsid w:val="00E06E94"/>
    <w:rsid w:val="00E07140"/>
    <w:rsid w:val="00E07A0B"/>
    <w:rsid w:val="00E100DE"/>
    <w:rsid w:val="00E108A6"/>
    <w:rsid w:val="00E10DF8"/>
    <w:rsid w:val="00E11D00"/>
    <w:rsid w:val="00E11DAA"/>
    <w:rsid w:val="00E11F4D"/>
    <w:rsid w:val="00E120C2"/>
    <w:rsid w:val="00E12FE2"/>
    <w:rsid w:val="00E13154"/>
    <w:rsid w:val="00E1321B"/>
    <w:rsid w:val="00E13BED"/>
    <w:rsid w:val="00E13F96"/>
    <w:rsid w:val="00E14668"/>
    <w:rsid w:val="00E152A2"/>
    <w:rsid w:val="00E15308"/>
    <w:rsid w:val="00E1530B"/>
    <w:rsid w:val="00E15342"/>
    <w:rsid w:val="00E16165"/>
    <w:rsid w:val="00E16366"/>
    <w:rsid w:val="00E16992"/>
    <w:rsid w:val="00E16D2D"/>
    <w:rsid w:val="00E179B5"/>
    <w:rsid w:val="00E17EBF"/>
    <w:rsid w:val="00E21EAB"/>
    <w:rsid w:val="00E22496"/>
    <w:rsid w:val="00E22554"/>
    <w:rsid w:val="00E22DCD"/>
    <w:rsid w:val="00E230E8"/>
    <w:rsid w:val="00E23683"/>
    <w:rsid w:val="00E23760"/>
    <w:rsid w:val="00E239CF"/>
    <w:rsid w:val="00E2479F"/>
    <w:rsid w:val="00E247EA"/>
    <w:rsid w:val="00E25CBF"/>
    <w:rsid w:val="00E25D45"/>
    <w:rsid w:val="00E26760"/>
    <w:rsid w:val="00E3038A"/>
    <w:rsid w:val="00E30AF3"/>
    <w:rsid w:val="00E30DBA"/>
    <w:rsid w:val="00E30DD5"/>
    <w:rsid w:val="00E30F3B"/>
    <w:rsid w:val="00E313FB"/>
    <w:rsid w:val="00E3345E"/>
    <w:rsid w:val="00E34A44"/>
    <w:rsid w:val="00E34E41"/>
    <w:rsid w:val="00E35074"/>
    <w:rsid w:val="00E3535E"/>
    <w:rsid w:val="00E3634D"/>
    <w:rsid w:val="00E363DD"/>
    <w:rsid w:val="00E365F4"/>
    <w:rsid w:val="00E36851"/>
    <w:rsid w:val="00E36C34"/>
    <w:rsid w:val="00E36FC3"/>
    <w:rsid w:val="00E373E9"/>
    <w:rsid w:val="00E376F4"/>
    <w:rsid w:val="00E37DB1"/>
    <w:rsid w:val="00E37DDB"/>
    <w:rsid w:val="00E4160C"/>
    <w:rsid w:val="00E41FB5"/>
    <w:rsid w:val="00E423E1"/>
    <w:rsid w:val="00E4291B"/>
    <w:rsid w:val="00E42F12"/>
    <w:rsid w:val="00E42F61"/>
    <w:rsid w:val="00E4395B"/>
    <w:rsid w:val="00E43D07"/>
    <w:rsid w:val="00E44360"/>
    <w:rsid w:val="00E4572C"/>
    <w:rsid w:val="00E45A89"/>
    <w:rsid w:val="00E468CB"/>
    <w:rsid w:val="00E46A18"/>
    <w:rsid w:val="00E46E10"/>
    <w:rsid w:val="00E46F1E"/>
    <w:rsid w:val="00E46FB7"/>
    <w:rsid w:val="00E47706"/>
    <w:rsid w:val="00E47A95"/>
    <w:rsid w:val="00E47BAC"/>
    <w:rsid w:val="00E47EEB"/>
    <w:rsid w:val="00E4ECE9"/>
    <w:rsid w:val="00E50B5C"/>
    <w:rsid w:val="00E5126D"/>
    <w:rsid w:val="00E5195F"/>
    <w:rsid w:val="00E51EC6"/>
    <w:rsid w:val="00E5200E"/>
    <w:rsid w:val="00E52041"/>
    <w:rsid w:val="00E52913"/>
    <w:rsid w:val="00E53955"/>
    <w:rsid w:val="00E540BD"/>
    <w:rsid w:val="00E54F20"/>
    <w:rsid w:val="00E55052"/>
    <w:rsid w:val="00E55143"/>
    <w:rsid w:val="00E554BE"/>
    <w:rsid w:val="00E55520"/>
    <w:rsid w:val="00E55B67"/>
    <w:rsid w:val="00E56137"/>
    <w:rsid w:val="00E5655C"/>
    <w:rsid w:val="00E56673"/>
    <w:rsid w:val="00E56736"/>
    <w:rsid w:val="00E56CE1"/>
    <w:rsid w:val="00E570EC"/>
    <w:rsid w:val="00E57F40"/>
    <w:rsid w:val="00E60045"/>
    <w:rsid w:val="00E613E8"/>
    <w:rsid w:val="00E61825"/>
    <w:rsid w:val="00E61BFC"/>
    <w:rsid w:val="00E6292C"/>
    <w:rsid w:val="00E62F70"/>
    <w:rsid w:val="00E630F1"/>
    <w:rsid w:val="00E63336"/>
    <w:rsid w:val="00E63524"/>
    <w:rsid w:val="00E63D1C"/>
    <w:rsid w:val="00E64D9F"/>
    <w:rsid w:val="00E657AE"/>
    <w:rsid w:val="00E65A9C"/>
    <w:rsid w:val="00E65D47"/>
    <w:rsid w:val="00E66536"/>
    <w:rsid w:val="00E6707B"/>
    <w:rsid w:val="00E678A3"/>
    <w:rsid w:val="00E678E9"/>
    <w:rsid w:val="00E679D4"/>
    <w:rsid w:val="00E67B42"/>
    <w:rsid w:val="00E67D1C"/>
    <w:rsid w:val="00E67D3D"/>
    <w:rsid w:val="00E703ED"/>
    <w:rsid w:val="00E709BE"/>
    <w:rsid w:val="00E70DF2"/>
    <w:rsid w:val="00E72244"/>
    <w:rsid w:val="00E72601"/>
    <w:rsid w:val="00E736BC"/>
    <w:rsid w:val="00E737D0"/>
    <w:rsid w:val="00E73C9B"/>
    <w:rsid w:val="00E74F72"/>
    <w:rsid w:val="00E761BB"/>
    <w:rsid w:val="00E76942"/>
    <w:rsid w:val="00E77847"/>
    <w:rsid w:val="00E778C8"/>
    <w:rsid w:val="00E80206"/>
    <w:rsid w:val="00E80473"/>
    <w:rsid w:val="00E807A4"/>
    <w:rsid w:val="00E82B40"/>
    <w:rsid w:val="00E82C8F"/>
    <w:rsid w:val="00E830C2"/>
    <w:rsid w:val="00E832D7"/>
    <w:rsid w:val="00E836E5"/>
    <w:rsid w:val="00E83E78"/>
    <w:rsid w:val="00E84FB0"/>
    <w:rsid w:val="00E85AA2"/>
    <w:rsid w:val="00E86223"/>
    <w:rsid w:val="00E86B01"/>
    <w:rsid w:val="00E86B6B"/>
    <w:rsid w:val="00E86CDF"/>
    <w:rsid w:val="00E86DF5"/>
    <w:rsid w:val="00E8706C"/>
    <w:rsid w:val="00E875B4"/>
    <w:rsid w:val="00E8760B"/>
    <w:rsid w:val="00E9021B"/>
    <w:rsid w:val="00E90570"/>
    <w:rsid w:val="00E9072A"/>
    <w:rsid w:val="00E90D53"/>
    <w:rsid w:val="00E90FE1"/>
    <w:rsid w:val="00E9124A"/>
    <w:rsid w:val="00E915BF"/>
    <w:rsid w:val="00E916C8"/>
    <w:rsid w:val="00E91CFB"/>
    <w:rsid w:val="00E92AF1"/>
    <w:rsid w:val="00E92F00"/>
    <w:rsid w:val="00E93101"/>
    <w:rsid w:val="00E93106"/>
    <w:rsid w:val="00E937D4"/>
    <w:rsid w:val="00E939BD"/>
    <w:rsid w:val="00E93AA0"/>
    <w:rsid w:val="00E93F20"/>
    <w:rsid w:val="00E946E9"/>
    <w:rsid w:val="00E94757"/>
    <w:rsid w:val="00E95A9C"/>
    <w:rsid w:val="00E962F8"/>
    <w:rsid w:val="00E9743E"/>
    <w:rsid w:val="00EA0C86"/>
    <w:rsid w:val="00EA0EB1"/>
    <w:rsid w:val="00EA10E7"/>
    <w:rsid w:val="00EA10EA"/>
    <w:rsid w:val="00EA10F1"/>
    <w:rsid w:val="00EA13F7"/>
    <w:rsid w:val="00EA1939"/>
    <w:rsid w:val="00EA1A08"/>
    <w:rsid w:val="00EA1E0C"/>
    <w:rsid w:val="00EA22A3"/>
    <w:rsid w:val="00EA2553"/>
    <w:rsid w:val="00EA2767"/>
    <w:rsid w:val="00EA34A6"/>
    <w:rsid w:val="00EA3846"/>
    <w:rsid w:val="00EA3AA8"/>
    <w:rsid w:val="00EA3B03"/>
    <w:rsid w:val="00EA3EA5"/>
    <w:rsid w:val="00EA41FD"/>
    <w:rsid w:val="00EA4B94"/>
    <w:rsid w:val="00EA4C1C"/>
    <w:rsid w:val="00EA5842"/>
    <w:rsid w:val="00EA5875"/>
    <w:rsid w:val="00EA5F83"/>
    <w:rsid w:val="00EA667F"/>
    <w:rsid w:val="00EA68FC"/>
    <w:rsid w:val="00EA7156"/>
    <w:rsid w:val="00EA763E"/>
    <w:rsid w:val="00EA7A26"/>
    <w:rsid w:val="00EA7A38"/>
    <w:rsid w:val="00EB001E"/>
    <w:rsid w:val="00EB0442"/>
    <w:rsid w:val="00EB0EEC"/>
    <w:rsid w:val="00EB1004"/>
    <w:rsid w:val="00EB1027"/>
    <w:rsid w:val="00EB25B9"/>
    <w:rsid w:val="00EB29D5"/>
    <w:rsid w:val="00EB2DF2"/>
    <w:rsid w:val="00EB30AB"/>
    <w:rsid w:val="00EB400D"/>
    <w:rsid w:val="00EB4210"/>
    <w:rsid w:val="00EB4255"/>
    <w:rsid w:val="00EB4BAC"/>
    <w:rsid w:val="00EB4DF5"/>
    <w:rsid w:val="00EB5714"/>
    <w:rsid w:val="00EB5BA2"/>
    <w:rsid w:val="00EB659A"/>
    <w:rsid w:val="00EB7328"/>
    <w:rsid w:val="00EB7A30"/>
    <w:rsid w:val="00EB7BCB"/>
    <w:rsid w:val="00EB7E2F"/>
    <w:rsid w:val="00EC04EF"/>
    <w:rsid w:val="00EC0907"/>
    <w:rsid w:val="00EC0E3C"/>
    <w:rsid w:val="00EC0ED1"/>
    <w:rsid w:val="00EC1547"/>
    <w:rsid w:val="00EC18B3"/>
    <w:rsid w:val="00EC19E7"/>
    <w:rsid w:val="00EC1BF0"/>
    <w:rsid w:val="00EC2969"/>
    <w:rsid w:val="00EC2A09"/>
    <w:rsid w:val="00EC2BDD"/>
    <w:rsid w:val="00EC33C9"/>
    <w:rsid w:val="00EC3628"/>
    <w:rsid w:val="00EC381C"/>
    <w:rsid w:val="00EC4720"/>
    <w:rsid w:val="00EC4FF1"/>
    <w:rsid w:val="00EC512A"/>
    <w:rsid w:val="00EC654E"/>
    <w:rsid w:val="00EC68DB"/>
    <w:rsid w:val="00EC6B6B"/>
    <w:rsid w:val="00EC6D7F"/>
    <w:rsid w:val="00EC7A63"/>
    <w:rsid w:val="00ED05BE"/>
    <w:rsid w:val="00ED07D5"/>
    <w:rsid w:val="00ED0A9E"/>
    <w:rsid w:val="00ED0EDE"/>
    <w:rsid w:val="00ED0F88"/>
    <w:rsid w:val="00ED1152"/>
    <w:rsid w:val="00ED19D3"/>
    <w:rsid w:val="00ED1C79"/>
    <w:rsid w:val="00ED1CBD"/>
    <w:rsid w:val="00ED1F87"/>
    <w:rsid w:val="00ED213C"/>
    <w:rsid w:val="00ED2CAC"/>
    <w:rsid w:val="00ED30A6"/>
    <w:rsid w:val="00ED310B"/>
    <w:rsid w:val="00ED37B1"/>
    <w:rsid w:val="00ED418C"/>
    <w:rsid w:val="00ED469F"/>
    <w:rsid w:val="00ED4F54"/>
    <w:rsid w:val="00ED5056"/>
    <w:rsid w:val="00ED572A"/>
    <w:rsid w:val="00ED57B2"/>
    <w:rsid w:val="00ED6157"/>
    <w:rsid w:val="00ED6211"/>
    <w:rsid w:val="00ED645D"/>
    <w:rsid w:val="00ED6B1F"/>
    <w:rsid w:val="00ED6E71"/>
    <w:rsid w:val="00ED6F78"/>
    <w:rsid w:val="00ED7512"/>
    <w:rsid w:val="00ED756D"/>
    <w:rsid w:val="00ED775B"/>
    <w:rsid w:val="00EE02C0"/>
    <w:rsid w:val="00EE03CE"/>
    <w:rsid w:val="00EE12C1"/>
    <w:rsid w:val="00EE12FF"/>
    <w:rsid w:val="00EE161B"/>
    <w:rsid w:val="00EE17DF"/>
    <w:rsid w:val="00EE19B3"/>
    <w:rsid w:val="00EE1E06"/>
    <w:rsid w:val="00EE1E0E"/>
    <w:rsid w:val="00EE2639"/>
    <w:rsid w:val="00EE29BF"/>
    <w:rsid w:val="00EE301E"/>
    <w:rsid w:val="00EE347E"/>
    <w:rsid w:val="00EE3A48"/>
    <w:rsid w:val="00EE3DB0"/>
    <w:rsid w:val="00EE42D4"/>
    <w:rsid w:val="00EE48A3"/>
    <w:rsid w:val="00EE50D5"/>
    <w:rsid w:val="00EE54F5"/>
    <w:rsid w:val="00EE5990"/>
    <w:rsid w:val="00EE5D2A"/>
    <w:rsid w:val="00EE61F2"/>
    <w:rsid w:val="00EE6570"/>
    <w:rsid w:val="00EE666E"/>
    <w:rsid w:val="00EE70D0"/>
    <w:rsid w:val="00EE73A3"/>
    <w:rsid w:val="00EF005C"/>
    <w:rsid w:val="00EF0D4D"/>
    <w:rsid w:val="00EF0F68"/>
    <w:rsid w:val="00EF1C45"/>
    <w:rsid w:val="00EF1C6C"/>
    <w:rsid w:val="00EF21CA"/>
    <w:rsid w:val="00EF2500"/>
    <w:rsid w:val="00EF2902"/>
    <w:rsid w:val="00EF3657"/>
    <w:rsid w:val="00EF45C3"/>
    <w:rsid w:val="00EF5374"/>
    <w:rsid w:val="00EF5892"/>
    <w:rsid w:val="00EF5BC8"/>
    <w:rsid w:val="00EF5BE4"/>
    <w:rsid w:val="00EF65E9"/>
    <w:rsid w:val="00EF6D08"/>
    <w:rsid w:val="00EF74B9"/>
    <w:rsid w:val="00F00186"/>
    <w:rsid w:val="00F0155F"/>
    <w:rsid w:val="00F0186C"/>
    <w:rsid w:val="00F018F3"/>
    <w:rsid w:val="00F020F0"/>
    <w:rsid w:val="00F02185"/>
    <w:rsid w:val="00F0260E"/>
    <w:rsid w:val="00F02714"/>
    <w:rsid w:val="00F032C8"/>
    <w:rsid w:val="00F0372E"/>
    <w:rsid w:val="00F038AD"/>
    <w:rsid w:val="00F047CA"/>
    <w:rsid w:val="00F050EC"/>
    <w:rsid w:val="00F057A8"/>
    <w:rsid w:val="00F05D0A"/>
    <w:rsid w:val="00F06069"/>
    <w:rsid w:val="00F06421"/>
    <w:rsid w:val="00F06D9E"/>
    <w:rsid w:val="00F07870"/>
    <w:rsid w:val="00F07DC6"/>
    <w:rsid w:val="00F10C14"/>
    <w:rsid w:val="00F10CB3"/>
    <w:rsid w:val="00F11177"/>
    <w:rsid w:val="00F11FC7"/>
    <w:rsid w:val="00F1202B"/>
    <w:rsid w:val="00F121D7"/>
    <w:rsid w:val="00F13096"/>
    <w:rsid w:val="00F13757"/>
    <w:rsid w:val="00F13A7B"/>
    <w:rsid w:val="00F14092"/>
    <w:rsid w:val="00F144E3"/>
    <w:rsid w:val="00F14961"/>
    <w:rsid w:val="00F14C70"/>
    <w:rsid w:val="00F14DFB"/>
    <w:rsid w:val="00F15124"/>
    <w:rsid w:val="00F154AE"/>
    <w:rsid w:val="00F1628F"/>
    <w:rsid w:val="00F167FC"/>
    <w:rsid w:val="00F16FA5"/>
    <w:rsid w:val="00F1703D"/>
    <w:rsid w:val="00F172F1"/>
    <w:rsid w:val="00F173B3"/>
    <w:rsid w:val="00F17AF9"/>
    <w:rsid w:val="00F20483"/>
    <w:rsid w:val="00F20D4E"/>
    <w:rsid w:val="00F20D7F"/>
    <w:rsid w:val="00F22BC0"/>
    <w:rsid w:val="00F22DB3"/>
    <w:rsid w:val="00F235F3"/>
    <w:rsid w:val="00F2406A"/>
    <w:rsid w:val="00F242ED"/>
    <w:rsid w:val="00F24B29"/>
    <w:rsid w:val="00F24BAE"/>
    <w:rsid w:val="00F24F94"/>
    <w:rsid w:val="00F25B65"/>
    <w:rsid w:val="00F25D12"/>
    <w:rsid w:val="00F266D8"/>
    <w:rsid w:val="00F267DE"/>
    <w:rsid w:val="00F26E2B"/>
    <w:rsid w:val="00F26EDB"/>
    <w:rsid w:val="00F2723C"/>
    <w:rsid w:val="00F27B59"/>
    <w:rsid w:val="00F27E2F"/>
    <w:rsid w:val="00F3079F"/>
    <w:rsid w:val="00F30DAD"/>
    <w:rsid w:val="00F30F89"/>
    <w:rsid w:val="00F31340"/>
    <w:rsid w:val="00F31668"/>
    <w:rsid w:val="00F32238"/>
    <w:rsid w:val="00F323A1"/>
    <w:rsid w:val="00F3289F"/>
    <w:rsid w:val="00F32F3A"/>
    <w:rsid w:val="00F330AB"/>
    <w:rsid w:val="00F33409"/>
    <w:rsid w:val="00F336A1"/>
    <w:rsid w:val="00F336FF"/>
    <w:rsid w:val="00F33FC9"/>
    <w:rsid w:val="00F340C1"/>
    <w:rsid w:val="00F343ED"/>
    <w:rsid w:val="00F35E9F"/>
    <w:rsid w:val="00F3606A"/>
    <w:rsid w:val="00F360F3"/>
    <w:rsid w:val="00F366E3"/>
    <w:rsid w:val="00F36764"/>
    <w:rsid w:val="00F3680A"/>
    <w:rsid w:val="00F368BA"/>
    <w:rsid w:val="00F369BB"/>
    <w:rsid w:val="00F3716B"/>
    <w:rsid w:val="00F3738F"/>
    <w:rsid w:val="00F373D0"/>
    <w:rsid w:val="00F374A3"/>
    <w:rsid w:val="00F37DEC"/>
    <w:rsid w:val="00F384A2"/>
    <w:rsid w:val="00F40261"/>
    <w:rsid w:val="00F407CE"/>
    <w:rsid w:val="00F40EC3"/>
    <w:rsid w:val="00F4113F"/>
    <w:rsid w:val="00F4167F"/>
    <w:rsid w:val="00F4251C"/>
    <w:rsid w:val="00F43B5F"/>
    <w:rsid w:val="00F43C98"/>
    <w:rsid w:val="00F43F0D"/>
    <w:rsid w:val="00F44144"/>
    <w:rsid w:val="00F441B7"/>
    <w:rsid w:val="00F44225"/>
    <w:rsid w:val="00F44AD5"/>
    <w:rsid w:val="00F44D21"/>
    <w:rsid w:val="00F44E37"/>
    <w:rsid w:val="00F45ADE"/>
    <w:rsid w:val="00F45D05"/>
    <w:rsid w:val="00F45E5B"/>
    <w:rsid w:val="00F4699F"/>
    <w:rsid w:val="00F46B8C"/>
    <w:rsid w:val="00F473A1"/>
    <w:rsid w:val="00F47437"/>
    <w:rsid w:val="00F47571"/>
    <w:rsid w:val="00F50D99"/>
    <w:rsid w:val="00F5117B"/>
    <w:rsid w:val="00F516D5"/>
    <w:rsid w:val="00F51764"/>
    <w:rsid w:val="00F517AC"/>
    <w:rsid w:val="00F51881"/>
    <w:rsid w:val="00F5231B"/>
    <w:rsid w:val="00F52598"/>
    <w:rsid w:val="00F53657"/>
    <w:rsid w:val="00F5403F"/>
    <w:rsid w:val="00F54E3B"/>
    <w:rsid w:val="00F55555"/>
    <w:rsid w:val="00F55729"/>
    <w:rsid w:val="00F55D44"/>
    <w:rsid w:val="00F56011"/>
    <w:rsid w:val="00F562C4"/>
    <w:rsid w:val="00F565A1"/>
    <w:rsid w:val="00F56D88"/>
    <w:rsid w:val="00F60A80"/>
    <w:rsid w:val="00F61274"/>
    <w:rsid w:val="00F612F6"/>
    <w:rsid w:val="00F61B46"/>
    <w:rsid w:val="00F62A8D"/>
    <w:rsid w:val="00F6345C"/>
    <w:rsid w:val="00F63951"/>
    <w:rsid w:val="00F63B24"/>
    <w:rsid w:val="00F64514"/>
    <w:rsid w:val="00F64917"/>
    <w:rsid w:val="00F64DE9"/>
    <w:rsid w:val="00F64FCE"/>
    <w:rsid w:val="00F65789"/>
    <w:rsid w:val="00F66474"/>
    <w:rsid w:val="00F668D5"/>
    <w:rsid w:val="00F669DB"/>
    <w:rsid w:val="00F672AD"/>
    <w:rsid w:val="00F67352"/>
    <w:rsid w:val="00F67390"/>
    <w:rsid w:val="00F67A1E"/>
    <w:rsid w:val="00F67FE8"/>
    <w:rsid w:val="00F7033C"/>
    <w:rsid w:val="00F70E1A"/>
    <w:rsid w:val="00F70F51"/>
    <w:rsid w:val="00F71151"/>
    <w:rsid w:val="00F71694"/>
    <w:rsid w:val="00F71D5F"/>
    <w:rsid w:val="00F71E2F"/>
    <w:rsid w:val="00F71EEB"/>
    <w:rsid w:val="00F72216"/>
    <w:rsid w:val="00F723B9"/>
    <w:rsid w:val="00F725C0"/>
    <w:rsid w:val="00F72887"/>
    <w:rsid w:val="00F729D7"/>
    <w:rsid w:val="00F73DE1"/>
    <w:rsid w:val="00F742DA"/>
    <w:rsid w:val="00F74943"/>
    <w:rsid w:val="00F76CB0"/>
    <w:rsid w:val="00F77601"/>
    <w:rsid w:val="00F77B8D"/>
    <w:rsid w:val="00F800AA"/>
    <w:rsid w:val="00F800E0"/>
    <w:rsid w:val="00F80531"/>
    <w:rsid w:val="00F8090F"/>
    <w:rsid w:val="00F8094A"/>
    <w:rsid w:val="00F81396"/>
    <w:rsid w:val="00F8165E"/>
    <w:rsid w:val="00F81EE4"/>
    <w:rsid w:val="00F82894"/>
    <w:rsid w:val="00F82907"/>
    <w:rsid w:val="00F82A79"/>
    <w:rsid w:val="00F832D8"/>
    <w:rsid w:val="00F83890"/>
    <w:rsid w:val="00F838CC"/>
    <w:rsid w:val="00F839FF"/>
    <w:rsid w:val="00F840E8"/>
    <w:rsid w:val="00F84AFE"/>
    <w:rsid w:val="00F852EF"/>
    <w:rsid w:val="00F86213"/>
    <w:rsid w:val="00F86F59"/>
    <w:rsid w:val="00F870C7"/>
    <w:rsid w:val="00F8736F"/>
    <w:rsid w:val="00F87FAA"/>
    <w:rsid w:val="00F908EE"/>
    <w:rsid w:val="00F912BE"/>
    <w:rsid w:val="00F91589"/>
    <w:rsid w:val="00F91847"/>
    <w:rsid w:val="00F921D7"/>
    <w:rsid w:val="00F9262E"/>
    <w:rsid w:val="00F92946"/>
    <w:rsid w:val="00F939B7"/>
    <w:rsid w:val="00F9435B"/>
    <w:rsid w:val="00F95078"/>
    <w:rsid w:val="00F95E69"/>
    <w:rsid w:val="00F9708F"/>
    <w:rsid w:val="00F975E6"/>
    <w:rsid w:val="00FA2028"/>
    <w:rsid w:val="00FA251E"/>
    <w:rsid w:val="00FA2A2E"/>
    <w:rsid w:val="00FA3681"/>
    <w:rsid w:val="00FA3689"/>
    <w:rsid w:val="00FA3C7F"/>
    <w:rsid w:val="00FA4566"/>
    <w:rsid w:val="00FA46FA"/>
    <w:rsid w:val="00FA48C1"/>
    <w:rsid w:val="00FA54D5"/>
    <w:rsid w:val="00FA5D48"/>
    <w:rsid w:val="00FA6220"/>
    <w:rsid w:val="00FA6944"/>
    <w:rsid w:val="00FA735F"/>
    <w:rsid w:val="00FA736D"/>
    <w:rsid w:val="00FB04D9"/>
    <w:rsid w:val="00FB0BF5"/>
    <w:rsid w:val="00FB0D3C"/>
    <w:rsid w:val="00FB0E25"/>
    <w:rsid w:val="00FB14C6"/>
    <w:rsid w:val="00FB2B31"/>
    <w:rsid w:val="00FB2FC5"/>
    <w:rsid w:val="00FB3723"/>
    <w:rsid w:val="00FB37C3"/>
    <w:rsid w:val="00FB42A8"/>
    <w:rsid w:val="00FB4649"/>
    <w:rsid w:val="00FB574E"/>
    <w:rsid w:val="00FB57C3"/>
    <w:rsid w:val="00FB5835"/>
    <w:rsid w:val="00FB661B"/>
    <w:rsid w:val="00FB6759"/>
    <w:rsid w:val="00FB6944"/>
    <w:rsid w:val="00FB6E34"/>
    <w:rsid w:val="00FB79B8"/>
    <w:rsid w:val="00FB7A57"/>
    <w:rsid w:val="00FB7B8C"/>
    <w:rsid w:val="00FC01CF"/>
    <w:rsid w:val="00FC0348"/>
    <w:rsid w:val="00FC0738"/>
    <w:rsid w:val="00FC1146"/>
    <w:rsid w:val="00FC11E2"/>
    <w:rsid w:val="00FC16D0"/>
    <w:rsid w:val="00FC17EE"/>
    <w:rsid w:val="00FC1A1F"/>
    <w:rsid w:val="00FC2297"/>
    <w:rsid w:val="00FC2A23"/>
    <w:rsid w:val="00FC33F0"/>
    <w:rsid w:val="00FC353D"/>
    <w:rsid w:val="00FC3A24"/>
    <w:rsid w:val="00FC431E"/>
    <w:rsid w:val="00FC4373"/>
    <w:rsid w:val="00FC56A0"/>
    <w:rsid w:val="00FC64D6"/>
    <w:rsid w:val="00FC68AF"/>
    <w:rsid w:val="00FC6B2D"/>
    <w:rsid w:val="00FC6C07"/>
    <w:rsid w:val="00FC7591"/>
    <w:rsid w:val="00FC7DA2"/>
    <w:rsid w:val="00FD0AB2"/>
    <w:rsid w:val="00FD127D"/>
    <w:rsid w:val="00FD13A1"/>
    <w:rsid w:val="00FD17A7"/>
    <w:rsid w:val="00FD1848"/>
    <w:rsid w:val="00FD1937"/>
    <w:rsid w:val="00FD19FA"/>
    <w:rsid w:val="00FD1D8A"/>
    <w:rsid w:val="00FD235A"/>
    <w:rsid w:val="00FD2C10"/>
    <w:rsid w:val="00FD2F8C"/>
    <w:rsid w:val="00FD3448"/>
    <w:rsid w:val="00FD548A"/>
    <w:rsid w:val="00FD5E2A"/>
    <w:rsid w:val="00FD5F3E"/>
    <w:rsid w:val="00FD619B"/>
    <w:rsid w:val="00FD6A8F"/>
    <w:rsid w:val="00FD7307"/>
    <w:rsid w:val="00FD7EBA"/>
    <w:rsid w:val="00FE01DA"/>
    <w:rsid w:val="00FE1A5C"/>
    <w:rsid w:val="00FE1D6B"/>
    <w:rsid w:val="00FE2F42"/>
    <w:rsid w:val="00FE2FCB"/>
    <w:rsid w:val="00FE3154"/>
    <w:rsid w:val="00FE37A7"/>
    <w:rsid w:val="00FE3D3A"/>
    <w:rsid w:val="00FE48F0"/>
    <w:rsid w:val="00FE538C"/>
    <w:rsid w:val="00FE5739"/>
    <w:rsid w:val="00FE6013"/>
    <w:rsid w:val="00FE6034"/>
    <w:rsid w:val="00FE663E"/>
    <w:rsid w:val="00FE7399"/>
    <w:rsid w:val="00FE7C9B"/>
    <w:rsid w:val="00FE7CCB"/>
    <w:rsid w:val="00FF1C3F"/>
    <w:rsid w:val="00FF1C40"/>
    <w:rsid w:val="00FF1CAD"/>
    <w:rsid w:val="00FF2689"/>
    <w:rsid w:val="00FF2DC6"/>
    <w:rsid w:val="00FF2FE3"/>
    <w:rsid w:val="00FF3DBE"/>
    <w:rsid w:val="00FF3EA3"/>
    <w:rsid w:val="00FF4245"/>
    <w:rsid w:val="00FF4301"/>
    <w:rsid w:val="00FF504E"/>
    <w:rsid w:val="00FF56AF"/>
    <w:rsid w:val="00FF5CBC"/>
    <w:rsid w:val="00FF5F7E"/>
    <w:rsid w:val="00FF6340"/>
    <w:rsid w:val="00FF7091"/>
    <w:rsid w:val="00FF7166"/>
    <w:rsid w:val="00FF7199"/>
    <w:rsid w:val="00FF7F39"/>
    <w:rsid w:val="0125FBDA"/>
    <w:rsid w:val="013B37D0"/>
    <w:rsid w:val="01429694"/>
    <w:rsid w:val="0145A980"/>
    <w:rsid w:val="014B2747"/>
    <w:rsid w:val="016159AB"/>
    <w:rsid w:val="01ABEE3C"/>
    <w:rsid w:val="01B03436"/>
    <w:rsid w:val="01B63F18"/>
    <w:rsid w:val="01BE04B6"/>
    <w:rsid w:val="01CC8E0F"/>
    <w:rsid w:val="01E1DCE2"/>
    <w:rsid w:val="01E2740B"/>
    <w:rsid w:val="01E2C6A3"/>
    <w:rsid w:val="01E92578"/>
    <w:rsid w:val="020DD37B"/>
    <w:rsid w:val="021DEA08"/>
    <w:rsid w:val="021EBF74"/>
    <w:rsid w:val="022F2778"/>
    <w:rsid w:val="025FB0AD"/>
    <w:rsid w:val="026F14E6"/>
    <w:rsid w:val="028EFC4A"/>
    <w:rsid w:val="02C0CF48"/>
    <w:rsid w:val="02D924A9"/>
    <w:rsid w:val="02DFEC44"/>
    <w:rsid w:val="02F08F72"/>
    <w:rsid w:val="02F1B852"/>
    <w:rsid w:val="0314487C"/>
    <w:rsid w:val="03263D1D"/>
    <w:rsid w:val="03281529"/>
    <w:rsid w:val="0330E340"/>
    <w:rsid w:val="035097CA"/>
    <w:rsid w:val="035A2C31"/>
    <w:rsid w:val="03617545"/>
    <w:rsid w:val="03633F84"/>
    <w:rsid w:val="0374DE47"/>
    <w:rsid w:val="037A4F51"/>
    <w:rsid w:val="0380C72D"/>
    <w:rsid w:val="03A8A8F2"/>
    <w:rsid w:val="03AB4EB4"/>
    <w:rsid w:val="03CC7B58"/>
    <w:rsid w:val="03D25A12"/>
    <w:rsid w:val="03E3F3DE"/>
    <w:rsid w:val="03ED8118"/>
    <w:rsid w:val="04079844"/>
    <w:rsid w:val="040B6872"/>
    <w:rsid w:val="042C5AC5"/>
    <w:rsid w:val="043956BE"/>
    <w:rsid w:val="04542559"/>
    <w:rsid w:val="047A3C61"/>
    <w:rsid w:val="04861380"/>
    <w:rsid w:val="048D34D4"/>
    <w:rsid w:val="0490ABA2"/>
    <w:rsid w:val="04AA9457"/>
    <w:rsid w:val="04C817D5"/>
    <w:rsid w:val="04CCC1CF"/>
    <w:rsid w:val="04E83AAA"/>
    <w:rsid w:val="04EA670B"/>
    <w:rsid w:val="04F46900"/>
    <w:rsid w:val="04FB7D96"/>
    <w:rsid w:val="0507493E"/>
    <w:rsid w:val="05082834"/>
    <w:rsid w:val="0519397B"/>
    <w:rsid w:val="0524A7F8"/>
    <w:rsid w:val="054747C0"/>
    <w:rsid w:val="0551A796"/>
    <w:rsid w:val="05585AE6"/>
    <w:rsid w:val="056CE1C0"/>
    <w:rsid w:val="0576DD0A"/>
    <w:rsid w:val="058BF855"/>
    <w:rsid w:val="059B2FB7"/>
    <w:rsid w:val="05A24355"/>
    <w:rsid w:val="05A2D4D5"/>
    <w:rsid w:val="05A81293"/>
    <w:rsid w:val="05B08510"/>
    <w:rsid w:val="05C7A5B2"/>
    <w:rsid w:val="05CD959B"/>
    <w:rsid w:val="05E92F15"/>
    <w:rsid w:val="06229936"/>
    <w:rsid w:val="066BDB6C"/>
    <w:rsid w:val="0671D002"/>
    <w:rsid w:val="0684CE09"/>
    <w:rsid w:val="0690DBAB"/>
    <w:rsid w:val="06A9DD99"/>
    <w:rsid w:val="06D5DC6C"/>
    <w:rsid w:val="06F0A043"/>
    <w:rsid w:val="06F27404"/>
    <w:rsid w:val="06F6A8E5"/>
    <w:rsid w:val="0708BC23"/>
    <w:rsid w:val="070D8AA1"/>
    <w:rsid w:val="070E39EE"/>
    <w:rsid w:val="0720D816"/>
    <w:rsid w:val="0748F5B9"/>
    <w:rsid w:val="075928D3"/>
    <w:rsid w:val="075CC381"/>
    <w:rsid w:val="0761BBF9"/>
    <w:rsid w:val="076371B8"/>
    <w:rsid w:val="07A2629E"/>
    <w:rsid w:val="07A33EE6"/>
    <w:rsid w:val="07B160C6"/>
    <w:rsid w:val="07EBA9D5"/>
    <w:rsid w:val="07EDF1D7"/>
    <w:rsid w:val="07F74D72"/>
    <w:rsid w:val="07F75A0F"/>
    <w:rsid w:val="07F84FC9"/>
    <w:rsid w:val="08078D6F"/>
    <w:rsid w:val="082AD027"/>
    <w:rsid w:val="082DC4B1"/>
    <w:rsid w:val="0832DF35"/>
    <w:rsid w:val="08373D8A"/>
    <w:rsid w:val="084D18B1"/>
    <w:rsid w:val="08663AAE"/>
    <w:rsid w:val="08EFADA9"/>
    <w:rsid w:val="08FC90F6"/>
    <w:rsid w:val="0914524A"/>
    <w:rsid w:val="09274521"/>
    <w:rsid w:val="092B8F2D"/>
    <w:rsid w:val="09365F07"/>
    <w:rsid w:val="093766E9"/>
    <w:rsid w:val="0946D277"/>
    <w:rsid w:val="0955E2CE"/>
    <w:rsid w:val="09818046"/>
    <w:rsid w:val="099892D6"/>
    <w:rsid w:val="09A5C976"/>
    <w:rsid w:val="09B38924"/>
    <w:rsid w:val="09EBDB2D"/>
    <w:rsid w:val="09F0A756"/>
    <w:rsid w:val="0A18D673"/>
    <w:rsid w:val="0A352EB3"/>
    <w:rsid w:val="0A3B120E"/>
    <w:rsid w:val="0A3CC25E"/>
    <w:rsid w:val="0A7A9C28"/>
    <w:rsid w:val="0A912051"/>
    <w:rsid w:val="0A943ABB"/>
    <w:rsid w:val="0A9745D0"/>
    <w:rsid w:val="0AB81666"/>
    <w:rsid w:val="0AC3481A"/>
    <w:rsid w:val="0AE169EA"/>
    <w:rsid w:val="0AEA08F6"/>
    <w:rsid w:val="0AEBF625"/>
    <w:rsid w:val="0B160CDA"/>
    <w:rsid w:val="0B2A9FEB"/>
    <w:rsid w:val="0B37BB7C"/>
    <w:rsid w:val="0B3EB5C2"/>
    <w:rsid w:val="0B4AADC2"/>
    <w:rsid w:val="0B524FDB"/>
    <w:rsid w:val="0B57FFC5"/>
    <w:rsid w:val="0B77E8C7"/>
    <w:rsid w:val="0B99AE0B"/>
    <w:rsid w:val="0BC0FED4"/>
    <w:rsid w:val="0BC2C5C7"/>
    <w:rsid w:val="0BCD7DA5"/>
    <w:rsid w:val="0BED44DC"/>
    <w:rsid w:val="0C04F7BB"/>
    <w:rsid w:val="0C1DEE21"/>
    <w:rsid w:val="0C2F92B9"/>
    <w:rsid w:val="0C360BCB"/>
    <w:rsid w:val="0C4D479A"/>
    <w:rsid w:val="0C71728F"/>
    <w:rsid w:val="0C78173C"/>
    <w:rsid w:val="0C88EC0E"/>
    <w:rsid w:val="0C908B1A"/>
    <w:rsid w:val="0C947CDF"/>
    <w:rsid w:val="0C98DF3C"/>
    <w:rsid w:val="0CA57228"/>
    <w:rsid w:val="0CAA3C11"/>
    <w:rsid w:val="0CAC8D84"/>
    <w:rsid w:val="0CF0FFBA"/>
    <w:rsid w:val="0D00C15E"/>
    <w:rsid w:val="0D2214CF"/>
    <w:rsid w:val="0D2B65A4"/>
    <w:rsid w:val="0D372B5F"/>
    <w:rsid w:val="0D415B70"/>
    <w:rsid w:val="0D64404C"/>
    <w:rsid w:val="0D769FB8"/>
    <w:rsid w:val="0D8DAC76"/>
    <w:rsid w:val="0D90630B"/>
    <w:rsid w:val="0D909366"/>
    <w:rsid w:val="0DBD6473"/>
    <w:rsid w:val="0DCD6129"/>
    <w:rsid w:val="0DD0C300"/>
    <w:rsid w:val="0DD25461"/>
    <w:rsid w:val="0DFE7E45"/>
    <w:rsid w:val="0E0A42CB"/>
    <w:rsid w:val="0E14B533"/>
    <w:rsid w:val="0E44E028"/>
    <w:rsid w:val="0E59E38F"/>
    <w:rsid w:val="0E8D4779"/>
    <w:rsid w:val="0E90325C"/>
    <w:rsid w:val="0EA3EB2E"/>
    <w:rsid w:val="0EA66A26"/>
    <w:rsid w:val="0ED4AE99"/>
    <w:rsid w:val="0F040ACC"/>
    <w:rsid w:val="0F137245"/>
    <w:rsid w:val="0F2374A6"/>
    <w:rsid w:val="0F3F62B3"/>
    <w:rsid w:val="0F465C14"/>
    <w:rsid w:val="0F5B1E01"/>
    <w:rsid w:val="0F69592C"/>
    <w:rsid w:val="0F738CE5"/>
    <w:rsid w:val="0F778B08"/>
    <w:rsid w:val="0FA76CDA"/>
    <w:rsid w:val="0FB96EC8"/>
    <w:rsid w:val="0FC50E0B"/>
    <w:rsid w:val="0FCD57B2"/>
    <w:rsid w:val="0FD71F0B"/>
    <w:rsid w:val="0FE5B4C0"/>
    <w:rsid w:val="0FE83987"/>
    <w:rsid w:val="0FEDBF00"/>
    <w:rsid w:val="0FF3BB75"/>
    <w:rsid w:val="100A786D"/>
    <w:rsid w:val="102E6F69"/>
    <w:rsid w:val="103042CF"/>
    <w:rsid w:val="103208DB"/>
    <w:rsid w:val="103B8F0D"/>
    <w:rsid w:val="1043401B"/>
    <w:rsid w:val="104B71F9"/>
    <w:rsid w:val="105E5E15"/>
    <w:rsid w:val="1067158A"/>
    <w:rsid w:val="106CECED"/>
    <w:rsid w:val="10B86B6A"/>
    <w:rsid w:val="10E28923"/>
    <w:rsid w:val="10E7E112"/>
    <w:rsid w:val="11024094"/>
    <w:rsid w:val="1144D9CE"/>
    <w:rsid w:val="1161E652"/>
    <w:rsid w:val="11627567"/>
    <w:rsid w:val="119C304A"/>
    <w:rsid w:val="11A67A11"/>
    <w:rsid w:val="11BB6A09"/>
    <w:rsid w:val="11C3355B"/>
    <w:rsid w:val="11C4B5B8"/>
    <w:rsid w:val="11DAD63A"/>
    <w:rsid w:val="11E00FBA"/>
    <w:rsid w:val="11ED65BC"/>
    <w:rsid w:val="11EE0560"/>
    <w:rsid w:val="11FC0623"/>
    <w:rsid w:val="120988FF"/>
    <w:rsid w:val="1211FA6B"/>
    <w:rsid w:val="12179C08"/>
    <w:rsid w:val="12208CBC"/>
    <w:rsid w:val="122837EB"/>
    <w:rsid w:val="1235AC6C"/>
    <w:rsid w:val="1236F0E1"/>
    <w:rsid w:val="12387C8E"/>
    <w:rsid w:val="12516143"/>
    <w:rsid w:val="1259A721"/>
    <w:rsid w:val="125A8130"/>
    <w:rsid w:val="125AA880"/>
    <w:rsid w:val="12639681"/>
    <w:rsid w:val="12683833"/>
    <w:rsid w:val="127227E8"/>
    <w:rsid w:val="127C31D1"/>
    <w:rsid w:val="127C5044"/>
    <w:rsid w:val="129D6E15"/>
    <w:rsid w:val="12AC0E5F"/>
    <w:rsid w:val="12AC8FE4"/>
    <w:rsid w:val="12AE517F"/>
    <w:rsid w:val="12AF1B5D"/>
    <w:rsid w:val="12B9A8AF"/>
    <w:rsid w:val="12CA4DA0"/>
    <w:rsid w:val="12DE28A9"/>
    <w:rsid w:val="12DE8144"/>
    <w:rsid w:val="12E9ACFE"/>
    <w:rsid w:val="12F92630"/>
    <w:rsid w:val="13071D43"/>
    <w:rsid w:val="1328BF23"/>
    <w:rsid w:val="13484284"/>
    <w:rsid w:val="134B8F5D"/>
    <w:rsid w:val="135A37F8"/>
    <w:rsid w:val="137760FB"/>
    <w:rsid w:val="137B0F96"/>
    <w:rsid w:val="137BFD92"/>
    <w:rsid w:val="1387FA10"/>
    <w:rsid w:val="13A00E71"/>
    <w:rsid w:val="13BB611C"/>
    <w:rsid w:val="13C8A2C9"/>
    <w:rsid w:val="13CADD29"/>
    <w:rsid w:val="13CCAA6D"/>
    <w:rsid w:val="13EF9887"/>
    <w:rsid w:val="141BAF7E"/>
    <w:rsid w:val="142A8C9A"/>
    <w:rsid w:val="142C5D34"/>
    <w:rsid w:val="145ACCCD"/>
    <w:rsid w:val="147D3C0F"/>
    <w:rsid w:val="1483E66F"/>
    <w:rsid w:val="1490070A"/>
    <w:rsid w:val="14978307"/>
    <w:rsid w:val="149897C0"/>
    <w:rsid w:val="14A4C54F"/>
    <w:rsid w:val="14DD50BF"/>
    <w:rsid w:val="14F4B3BE"/>
    <w:rsid w:val="14FA7D99"/>
    <w:rsid w:val="150630F1"/>
    <w:rsid w:val="150FC4F8"/>
    <w:rsid w:val="151B56D6"/>
    <w:rsid w:val="1549BFC6"/>
    <w:rsid w:val="155A95DD"/>
    <w:rsid w:val="1564C1BE"/>
    <w:rsid w:val="156A7345"/>
    <w:rsid w:val="157334E4"/>
    <w:rsid w:val="157FA3CF"/>
    <w:rsid w:val="1584751A"/>
    <w:rsid w:val="159CE96E"/>
    <w:rsid w:val="15AAF707"/>
    <w:rsid w:val="15B9F620"/>
    <w:rsid w:val="15C1701C"/>
    <w:rsid w:val="15C4DFAE"/>
    <w:rsid w:val="15FFC4EA"/>
    <w:rsid w:val="1614F2E5"/>
    <w:rsid w:val="16195570"/>
    <w:rsid w:val="1632767D"/>
    <w:rsid w:val="163D9BDF"/>
    <w:rsid w:val="16556E1A"/>
    <w:rsid w:val="16580227"/>
    <w:rsid w:val="165F04F0"/>
    <w:rsid w:val="166CD712"/>
    <w:rsid w:val="167E0CA0"/>
    <w:rsid w:val="168348F6"/>
    <w:rsid w:val="16848994"/>
    <w:rsid w:val="168B34F6"/>
    <w:rsid w:val="16B0C0A3"/>
    <w:rsid w:val="16B2A2D7"/>
    <w:rsid w:val="16BDA6CB"/>
    <w:rsid w:val="16BED737"/>
    <w:rsid w:val="16DCBE97"/>
    <w:rsid w:val="16DDBEBB"/>
    <w:rsid w:val="16EA72BE"/>
    <w:rsid w:val="16F995AE"/>
    <w:rsid w:val="17046372"/>
    <w:rsid w:val="171302E6"/>
    <w:rsid w:val="1735DA68"/>
    <w:rsid w:val="1764E894"/>
    <w:rsid w:val="17677884"/>
    <w:rsid w:val="178112E8"/>
    <w:rsid w:val="178B259D"/>
    <w:rsid w:val="179C76DC"/>
    <w:rsid w:val="17B6EABC"/>
    <w:rsid w:val="17C6F273"/>
    <w:rsid w:val="17FAD96A"/>
    <w:rsid w:val="180E1C6C"/>
    <w:rsid w:val="181A24A7"/>
    <w:rsid w:val="183997C4"/>
    <w:rsid w:val="18498816"/>
    <w:rsid w:val="184A6675"/>
    <w:rsid w:val="185191DD"/>
    <w:rsid w:val="1859BB53"/>
    <w:rsid w:val="185EAC38"/>
    <w:rsid w:val="18AA85D1"/>
    <w:rsid w:val="18BD23F7"/>
    <w:rsid w:val="18E0E29B"/>
    <w:rsid w:val="18E95634"/>
    <w:rsid w:val="18EEFBBC"/>
    <w:rsid w:val="19065049"/>
    <w:rsid w:val="190A4077"/>
    <w:rsid w:val="19243B55"/>
    <w:rsid w:val="19308FED"/>
    <w:rsid w:val="194D1446"/>
    <w:rsid w:val="1974CA35"/>
    <w:rsid w:val="197A62C4"/>
    <w:rsid w:val="19896014"/>
    <w:rsid w:val="1993739C"/>
    <w:rsid w:val="19AB4F1F"/>
    <w:rsid w:val="19B61678"/>
    <w:rsid w:val="19BE24A8"/>
    <w:rsid w:val="19BEF35A"/>
    <w:rsid w:val="19DBACB1"/>
    <w:rsid w:val="19EE6AF4"/>
    <w:rsid w:val="19F7E32D"/>
    <w:rsid w:val="1A001A59"/>
    <w:rsid w:val="1A0D40A3"/>
    <w:rsid w:val="1A1828A3"/>
    <w:rsid w:val="1A30A8BA"/>
    <w:rsid w:val="1A4FF779"/>
    <w:rsid w:val="1A5A4599"/>
    <w:rsid w:val="1A5ECB3C"/>
    <w:rsid w:val="1A8E64E3"/>
    <w:rsid w:val="1AB17979"/>
    <w:rsid w:val="1AB60DDC"/>
    <w:rsid w:val="1AC9099C"/>
    <w:rsid w:val="1ACDB536"/>
    <w:rsid w:val="1AF11D49"/>
    <w:rsid w:val="1B0B9821"/>
    <w:rsid w:val="1B26C421"/>
    <w:rsid w:val="1B366546"/>
    <w:rsid w:val="1B47F1FB"/>
    <w:rsid w:val="1B56E4FB"/>
    <w:rsid w:val="1B63F198"/>
    <w:rsid w:val="1B64679E"/>
    <w:rsid w:val="1BE52A67"/>
    <w:rsid w:val="1C0E764C"/>
    <w:rsid w:val="1C1F66E1"/>
    <w:rsid w:val="1C36B85E"/>
    <w:rsid w:val="1C39B118"/>
    <w:rsid w:val="1C4419FE"/>
    <w:rsid w:val="1C4F2F11"/>
    <w:rsid w:val="1C5200F3"/>
    <w:rsid w:val="1C65D02A"/>
    <w:rsid w:val="1C68BF0B"/>
    <w:rsid w:val="1C6EDF87"/>
    <w:rsid w:val="1C72C0A8"/>
    <w:rsid w:val="1C7978EF"/>
    <w:rsid w:val="1CBB3CB1"/>
    <w:rsid w:val="1CC4CE44"/>
    <w:rsid w:val="1CC5F15E"/>
    <w:rsid w:val="1CD09D32"/>
    <w:rsid w:val="1CE20634"/>
    <w:rsid w:val="1D0F5D8F"/>
    <w:rsid w:val="1D25AF9D"/>
    <w:rsid w:val="1D28B2C7"/>
    <w:rsid w:val="1D4A530E"/>
    <w:rsid w:val="1D4D131B"/>
    <w:rsid w:val="1D65A58C"/>
    <w:rsid w:val="1DA32509"/>
    <w:rsid w:val="1DA3568E"/>
    <w:rsid w:val="1DBD1449"/>
    <w:rsid w:val="1DC92AB4"/>
    <w:rsid w:val="1DD542ED"/>
    <w:rsid w:val="1DEBBB3C"/>
    <w:rsid w:val="1DFD98A1"/>
    <w:rsid w:val="1DFF349E"/>
    <w:rsid w:val="1E076D8F"/>
    <w:rsid w:val="1E1211C8"/>
    <w:rsid w:val="1E1A9A72"/>
    <w:rsid w:val="1E27A9D9"/>
    <w:rsid w:val="1E2DB0AD"/>
    <w:rsid w:val="1E2F1A40"/>
    <w:rsid w:val="1E2F44EE"/>
    <w:rsid w:val="1E398AAA"/>
    <w:rsid w:val="1E3DDF41"/>
    <w:rsid w:val="1E5A4AAD"/>
    <w:rsid w:val="1E600B72"/>
    <w:rsid w:val="1E67A316"/>
    <w:rsid w:val="1E8213CE"/>
    <w:rsid w:val="1E863D61"/>
    <w:rsid w:val="1EB711E1"/>
    <w:rsid w:val="1ECCB79C"/>
    <w:rsid w:val="1ED4E2C5"/>
    <w:rsid w:val="1EF93127"/>
    <w:rsid w:val="1EFE2CD2"/>
    <w:rsid w:val="1F1A542E"/>
    <w:rsid w:val="1F20E5AF"/>
    <w:rsid w:val="1F230B17"/>
    <w:rsid w:val="1F31F9DA"/>
    <w:rsid w:val="1F38A8D6"/>
    <w:rsid w:val="1F3AC271"/>
    <w:rsid w:val="1F4B3BC2"/>
    <w:rsid w:val="1F4D6056"/>
    <w:rsid w:val="1F4D95F8"/>
    <w:rsid w:val="1F7BA185"/>
    <w:rsid w:val="1F99270F"/>
    <w:rsid w:val="1FAEFF4B"/>
    <w:rsid w:val="1FDC96B0"/>
    <w:rsid w:val="2031B311"/>
    <w:rsid w:val="2031F989"/>
    <w:rsid w:val="204AAC04"/>
    <w:rsid w:val="2054B381"/>
    <w:rsid w:val="20674E35"/>
    <w:rsid w:val="2080FE4D"/>
    <w:rsid w:val="208D2728"/>
    <w:rsid w:val="20AB2094"/>
    <w:rsid w:val="20AC5349"/>
    <w:rsid w:val="20AD4DB8"/>
    <w:rsid w:val="20B3D528"/>
    <w:rsid w:val="20BB1A73"/>
    <w:rsid w:val="20CC3CE8"/>
    <w:rsid w:val="20F01A91"/>
    <w:rsid w:val="20FE143D"/>
    <w:rsid w:val="210D6B5B"/>
    <w:rsid w:val="21374D57"/>
    <w:rsid w:val="214167B7"/>
    <w:rsid w:val="2157FCCE"/>
    <w:rsid w:val="215F9770"/>
    <w:rsid w:val="21844ADD"/>
    <w:rsid w:val="21FD4576"/>
    <w:rsid w:val="22026E65"/>
    <w:rsid w:val="2204725D"/>
    <w:rsid w:val="2206C5EB"/>
    <w:rsid w:val="2222A4B0"/>
    <w:rsid w:val="222440FA"/>
    <w:rsid w:val="222A94FE"/>
    <w:rsid w:val="223DA338"/>
    <w:rsid w:val="223E459B"/>
    <w:rsid w:val="2241C114"/>
    <w:rsid w:val="224ABC8B"/>
    <w:rsid w:val="224B6A49"/>
    <w:rsid w:val="225321EE"/>
    <w:rsid w:val="22533D74"/>
    <w:rsid w:val="22597776"/>
    <w:rsid w:val="226F349E"/>
    <w:rsid w:val="22714F41"/>
    <w:rsid w:val="2274A6C5"/>
    <w:rsid w:val="228371A8"/>
    <w:rsid w:val="229F51DF"/>
    <w:rsid w:val="22A2EC6B"/>
    <w:rsid w:val="22A955ED"/>
    <w:rsid w:val="22B64E60"/>
    <w:rsid w:val="2306DA12"/>
    <w:rsid w:val="233F7E41"/>
    <w:rsid w:val="2377A0D3"/>
    <w:rsid w:val="23896DCC"/>
    <w:rsid w:val="238EC982"/>
    <w:rsid w:val="239734E0"/>
    <w:rsid w:val="23A8A796"/>
    <w:rsid w:val="23F4988A"/>
    <w:rsid w:val="2417E614"/>
    <w:rsid w:val="24217E81"/>
    <w:rsid w:val="24290E3F"/>
    <w:rsid w:val="242AF5F7"/>
    <w:rsid w:val="24632A6F"/>
    <w:rsid w:val="24649476"/>
    <w:rsid w:val="247A08E7"/>
    <w:rsid w:val="247BE1EC"/>
    <w:rsid w:val="248B0A89"/>
    <w:rsid w:val="24A2B177"/>
    <w:rsid w:val="24A52DC1"/>
    <w:rsid w:val="24B6D032"/>
    <w:rsid w:val="24B9C33E"/>
    <w:rsid w:val="24D2C2EB"/>
    <w:rsid w:val="24D8D72D"/>
    <w:rsid w:val="24DBB6BF"/>
    <w:rsid w:val="24E330BE"/>
    <w:rsid w:val="24E86394"/>
    <w:rsid w:val="24FEB9D1"/>
    <w:rsid w:val="2505C87F"/>
    <w:rsid w:val="251BD905"/>
    <w:rsid w:val="255040AE"/>
    <w:rsid w:val="255D942A"/>
    <w:rsid w:val="256B8770"/>
    <w:rsid w:val="25842EF1"/>
    <w:rsid w:val="2589F1B7"/>
    <w:rsid w:val="25974E73"/>
    <w:rsid w:val="25BEFD40"/>
    <w:rsid w:val="25DA6322"/>
    <w:rsid w:val="25E2D774"/>
    <w:rsid w:val="25F4608C"/>
    <w:rsid w:val="25FAD41B"/>
    <w:rsid w:val="26035D12"/>
    <w:rsid w:val="2621A56B"/>
    <w:rsid w:val="262388D6"/>
    <w:rsid w:val="263C92B8"/>
    <w:rsid w:val="265A4A9B"/>
    <w:rsid w:val="2670D909"/>
    <w:rsid w:val="268ADF18"/>
    <w:rsid w:val="26A06BD4"/>
    <w:rsid w:val="26A5ABC2"/>
    <w:rsid w:val="26B7B6F8"/>
    <w:rsid w:val="26C3A0A4"/>
    <w:rsid w:val="26CC73D2"/>
    <w:rsid w:val="270B2B4B"/>
    <w:rsid w:val="270BA515"/>
    <w:rsid w:val="273D8EF3"/>
    <w:rsid w:val="274A2DD5"/>
    <w:rsid w:val="2775E4BB"/>
    <w:rsid w:val="277BFD46"/>
    <w:rsid w:val="277C2C27"/>
    <w:rsid w:val="279F573E"/>
    <w:rsid w:val="27A2F58D"/>
    <w:rsid w:val="27AC835D"/>
    <w:rsid w:val="27B2CA4F"/>
    <w:rsid w:val="27C9CA8A"/>
    <w:rsid w:val="27D8EF8B"/>
    <w:rsid w:val="27DCE939"/>
    <w:rsid w:val="27FAE079"/>
    <w:rsid w:val="27FF5392"/>
    <w:rsid w:val="280DAA28"/>
    <w:rsid w:val="281CCCE5"/>
    <w:rsid w:val="281DDE99"/>
    <w:rsid w:val="281F1614"/>
    <w:rsid w:val="2831A910"/>
    <w:rsid w:val="2846316E"/>
    <w:rsid w:val="284FDCD5"/>
    <w:rsid w:val="285133FC"/>
    <w:rsid w:val="28565EAF"/>
    <w:rsid w:val="285C2564"/>
    <w:rsid w:val="2872055C"/>
    <w:rsid w:val="28BA20DD"/>
    <w:rsid w:val="28D80E7F"/>
    <w:rsid w:val="28E949F3"/>
    <w:rsid w:val="28F145FE"/>
    <w:rsid w:val="290217DD"/>
    <w:rsid w:val="2904E31C"/>
    <w:rsid w:val="2937A10A"/>
    <w:rsid w:val="293BE73E"/>
    <w:rsid w:val="2948F156"/>
    <w:rsid w:val="29665102"/>
    <w:rsid w:val="29709230"/>
    <w:rsid w:val="29762AD5"/>
    <w:rsid w:val="2991017B"/>
    <w:rsid w:val="29A62E95"/>
    <w:rsid w:val="29C14B85"/>
    <w:rsid w:val="29C6861C"/>
    <w:rsid w:val="29CDBFB4"/>
    <w:rsid w:val="29D8BDFA"/>
    <w:rsid w:val="2A065C81"/>
    <w:rsid w:val="2A0D8381"/>
    <w:rsid w:val="2A0E07CB"/>
    <w:rsid w:val="2A1D8509"/>
    <w:rsid w:val="2A36752F"/>
    <w:rsid w:val="2A472063"/>
    <w:rsid w:val="2A517F96"/>
    <w:rsid w:val="2A524BDB"/>
    <w:rsid w:val="2A7B4EAA"/>
    <w:rsid w:val="2A8F98F4"/>
    <w:rsid w:val="2A914046"/>
    <w:rsid w:val="2A9C4DF6"/>
    <w:rsid w:val="2AA0887D"/>
    <w:rsid w:val="2AB6206E"/>
    <w:rsid w:val="2AC4B0D8"/>
    <w:rsid w:val="2AC6C80D"/>
    <w:rsid w:val="2ADA2168"/>
    <w:rsid w:val="2AEB46B7"/>
    <w:rsid w:val="2AECB71C"/>
    <w:rsid w:val="2AED1ED1"/>
    <w:rsid w:val="2AFE86F6"/>
    <w:rsid w:val="2B02A84C"/>
    <w:rsid w:val="2B06AAFE"/>
    <w:rsid w:val="2B0C5AD6"/>
    <w:rsid w:val="2B2269F1"/>
    <w:rsid w:val="2B32AC14"/>
    <w:rsid w:val="2B5EB82B"/>
    <w:rsid w:val="2B77C7BC"/>
    <w:rsid w:val="2B8121F2"/>
    <w:rsid w:val="2B8A3CAE"/>
    <w:rsid w:val="2B8A7DD6"/>
    <w:rsid w:val="2B8E2E6C"/>
    <w:rsid w:val="2B91187F"/>
    <w:rsid w:val="2BA57E58"/>
    <w:rsid w:val="2BCA2616"/>
    <w:rsid w:val="2BD1FD60"/>
    <w:rsid w:val="2BD93F95"/>
    <w:rsid w:val="2BE26BC7"/>
    <w:rsid w:val="2C01EB2B"/>
    <w:rsid w:val="2C033731"/>
    <w:rsid w:val="2C04CFED"/>
    <w:rsid w:val="2C1ABC6D"/>
    <w:rsid w:val="2C1F87DA"/>
    <w:rsid w:val="2C454D5A"/>
    <w:rsid w:val="2C4CE164"/>
    <w:rsid w:val="2C610F01"/>
    <w:rsid w:val="2C663AC2"/>
    <w:rsid w:val="2C6B77AF"/>
    <w:rsid w:val="2C6DC452"/>
    <w:rsid w:val="2C84E4C7"/>
    <w:rsid w:val="2C91CAA5"/>
    <w:rsid w:val="2CA058DA"/>
    <w:rsid w:val="2CA5936B"/>
    <w:rsid w:val="2CB95C4D"/>
    <w:rsid w:val="2CCB8EBB"/>
    <w:rsid w:val="2CCCB2D1"/>
    <w:rsid w:val="2CEA73F7"/>
    <w:rsid w:val="2CFADC2F"/>
    <w:rsid w:val="2D00FCE2"/>
    <w:rsid w:val="2D0F066B"/>
    <w:rsid w:val="2D3440CF"/>
    <w:rsid w:val="2D498726"/>
    <w:rsid w:val="2D50AE5A"/>
    <w:rsid w:val="2D5ADC4C"/>
    <w:rsid w:val="2D5F6E0C"/>
    <w:rsid w:val="2D75A3A8"/>
    <w:rsid w:val="2D765D86"/>
    <w:rsid w:val="2D77A4E7"/>
    <w:rsid w:val="2D82320A"/>
    <w:rsid w:val="2D8711C7"/>
    <w:rsid w:val="2DC47183"/>
    <w:rsid w:val="2DCA9959"/>
    <w:rsid w:val="2DCC6891"/>
    <w:rsid w:val="2DEACD9E"/>
    <w:rsid w:val="2E0A7C49"/>
    <w:rsid w:val="2E0FFFFA"/>
    <w:rsid w:val="2E2ED682"/>
    <w:rsid w:val="2E42AEEF"/>
    <w:rsid w:val="2E478D55"/>
    <w:rsid w:val="2E4B5400"/>
    <w:rsid w:val="2E4C07FD"/>
    <w:rsid w:val="2E5A9F37"/>
    <w:rsid w:val="2E5E6AB1"/>
    <w:rsid w:val="2E6F25B0"/>
    <w:rsid w:val="2E8FE2D6"/>
    <w:rsid w:val="2E979BE7"/>
    <w:rsid w:val="2EA83E85"/>
    <w:rsid w:val="2EB03A12"/>
    <w:rsid w:val="2EC2B991"/>
    <w:rsid w:val="2ED22844"/>
    <w:rsid w:val="2EE627C0"/>
    <w:rsid w:val="2EEE4D52"/>
    <w:rsid w:val="2EF37268"/>
    <w:rsid w:val="2F2F1742"/>
    <w:rsid w:val="2F57238D"/>
    <w:rsid w:val="2F8BE968"/>
    <w:rsid w:val="2FBCBA31"/>
    <w:rsid w:val="2FC24CFB"/>
    <w:rsid w:val="2FCCD5C5"/>
    <w:rsid w:val="2FDC3182"/>
    <w:rsid w:val="2FF382A8"/>
    <w:rsid w:val="3009492A"/>
    <w:rsid w:val="300CA0D1"/>
    <w:rsid w:val="3012E53B"/>
    <w:rsid w:val="301FFB4B"/>
    <w:rsid w:val="30252B1A"/>
    <w:rsid w:val="303FDEAC"/>
    <w:rsid w:val="30568D99"/>
    <w:rsid w:val="306417DC"/>
    <w:rsid w:val="306A46E5"/>
    <w:rsid w:val="308C7C2F"/>
    <w:rsid w:val="30A318B8"/>
    <w:rsid w:val="30BC331B"/>
    <w:rsid w:val="30CE1E47"/>
    <w:rsid w:val="30F61301"/>
    <w:rsid w:val="3128FFFF"/>
    <w:rsid w:val="31371207"/>
    <w:rsid w:val="315B79ED"/>
    <w:rsid w:val="31801C36"/>
    <w:rsid w:val="3185D239"/>
    <w:rsid w:val="31A8662B"/>
    <w:rsid w:val="31AC56C7"/>
    <w:rsid w:val="31B6EE3C"/>
    <w:rsid w:val="31F183D3"/>
    <w:rsid w:val="323A7EFD"/>
    <w:rsid w:val="32444F84"/>
    <w:rsid w:val="32534AD9"/>
    <w:rsid w:val="328E98D6"/>
    <w:rsid w:val="3294AF93"/>
    <w:rsid w:val="32A84870"/>
    <w:rsid w:val="32CE694A"/>
    <w:rsid w:val="32D9B402"/>
    <w:rsid w:val="32E01E0D"/>
    <w:rsid w:val="32EBFEEB"/>
    <w:rsid w:val="33010411"/>
    <w:rsid w:val="3306F731"/>
    <w:rsid w:val="33273B2F"/>
    <w:rsid w:val="332A7AF7"/>
    <w:rsid w:val="3334585A"/>
    <w:rsid w:val="3342A362"/>
    <w:rsid w:val="334B33D3"/>
    <w:rsid w:val="334CE8CE"/>
    <w:rsid w:val="334F7FEE"/>
    <w:rsid w:val="337E1F37"/>
    <w:rsid w:val="338D71CE"/>
    <w:rsid w:val="3391EFF5"/>
    <w:rsid w:val="3395B84E"/>
    <w:rsid w:val="33C10D8C"/>
    <w:rsid w:val="33C25BE8"/>
    <w:rsid w:val="33C743B0"/>
    <w:rsid w:val="33D70AE2"/>
    <w:rsid w:val="33E1D2A8"/>
    <w:rsid w:val="33FB4209"/>
    <w:rsid w:val="34202EBB"/>
    <w:rsid w:val="342DD044"/>
    <w:rsid w:val="34392497"/>
    <w:rsid w:val="344011FC"/>
    <w:rsid w:val="34762C0A"/>
    <w:rsid w:val="3478B90F"/>
    <w:rsid w:val="349D5EF9"/>
    <w:rsid w:val="34A0A12F"/>
    <w:rsid w:val="34CB9E64"/>
    <w:rsid w:val="34D0007B"/>
    <w:rsid w:val="34E651A3"/>
    <w:rsid w:val="34F24B50"/>
    <w:rsid w:val="350966D8"/>
    <w:rsid w:val="352D30FB"/>
    <w:rsid w:val="353B0AC5"/>
    <w:rsid w:val="35455D2F"/>
    <w:rsid w:val="3547801D"/>
    <w:rsid w:val="35501B4D"/>
    <w:rsid w:val="35551492"/>
    <w:rsid w:val="35572F86"/>
    <w:rsid w:val="35639C31"/>
    <w:rsid w:val="3569BED3"/>
    <w:rsid w:val="356E5E02"/>
    <w:rsid w:val="358C8CC8"/>
    <w:rsid w:val="358DC8FF"/>
    <w:rsid w:val="35AC84C4"/>
    <w:rsid w:val="35BA8BBE"/>
    <w:rsid w:val="35C9CD78"/>
    <w:rsid w:val="35D93105"/>
    <w:rsid w:val="35F93279"/>
    <w:rsid w:val="3604C909"/>
    <w:rsid w:val="361E8F07"/>
    <w:rsid w:val="36404FC6"/>
    <w:rsid w:val="36531338"/>
    <w:rsid w:val="3656B406"/>
    <w:rsid w:val="36574B6A"/>
    <w:rsid w:val="365F8E63"/>
    <w:rsid w:val="366B3004"/>
    <w:rsid w:val="366E0E95"/>
    <w:rsid w:val="367178EE"/>
    <w:rsid w:val="367224F5"/>
    <w:rsid w:val="367F36F6"/>
    <w:rsid w:val="368BED54"/>
    <w:rsid w:val="36A0E18A"/>
    <w:rsid w:val="36ABE6F8"/>
    <w:rsid w:val="36C91A88"/>
    <w:rsid w:val="36CF0745"/>
    <w:rsid w:val="36D67C68"/>
    <w:rsid w:val="36FB123A"/>
    <w:rsid w:val="3710D796"/>
    <w:rsid w:val="37280118"/>
    <w:rsid w:val="372D92F6"/>
    <w:rsid w:val="37306CAA"/>
    <w:rsid w:val="3732F7DD"/>
    <w:rsid w:val="374536C9"/>
    <w:rsid w:val="37678642"/>
    <w:rsid w:val="3769E681"/>
    <w:rsid w:val="37758BAC"/>
    <w:rsid w:val="377759F6"/>
    <w:rsid w:val="379A6942"/>
    <w:rsid w:val="37BE2DFB"/>
    <w:rsid w:val="37C94E35"/>
    <w:rsid w:val="37D3BFED"/>
    <w:rsid w:val="37D81811"/>
    <w:rsid w:val="37E2AE8E"/>
    <w:rsid w:val="3809AC57"/>
    <w:rsid w:val="3809BE29"/>
    <w:rsid w:val="38142C5D"/>
    <w:rsid w:val="382B17BC"/>
    <w:rsid w:val="384715D5"/>
    <w:rsid w:val="384D0DBD"/>
    <w:rsid w:val="38579AE7"/>
    <w:rsid w:val="38637CA2"/>
    <w:rsid w:val="3870BA7B"/>
    <w:rsid w:val="387F04F9"/>
    <w:rsid w:val="3886F0D0"/>
    <w:rsid w:val="388CD928"/>
    <w:rsid w:val="38A5E2A2"/>
    <w:rsid w:val="38B6CA41"/>
    <w:rsid w:val="38BD7DDA"/>
    <w:rsid w:val="38C6751A"/>
    <w:rsid w:val="38C9B3C7"/>
    <w:rsid w:val="38E3B832"/>
    <w:rsid w:val="38E3FB82"/>
    <w:rsid w:val="38E5D936"/>
    <w:rsid w:val="38EB4FA7"/>
    <w:rsid w:val="38F142A7"/>
    <w:rsid w:val="38F2EB20"/>
    <w:rsid w:val="394FEBF1"/>
    <w:rsid w:val="397C770B"/>
    <w:rsid w:val="397DC7C3"/>
    <w:rsid w:val="397DED81"/>
    <w:rsid w:val="397F753F"/>
    <w:rsid w:val="398F20A5"/>
    <w:rsid w:val="39A012EF"/>
    <w:rsid w:val="39A92574"/>
    <w:rsid w:val="39C1AB5B"/>
    <w:rsid w:val="39E8EA46"/>
    <w:rsid w:val="3A02BB11"/>
    <w:rsid w:val="3A0F1642"/>
    <w:rsid w:val="3A140284"/>
    <w:rsid w:val="3A167410"/>
    <w:rsid w:val="3A1AB263"/>
    <w:rsid w:val="3A35DCB0"/>
    <w:rsid w:val="3A3A3881"/>
    <w:rsid w:val="3A3F126E"/>
    <w:rsid w:val="3A549E02"/>
    <w:rsid w:val="3A568026"/>
    <w:rsid w:val="3A60BC88"/>
    <w:rsid w:val="3A80244E"/>
    <w:rsid w:val="3AB2E913"/>
    <w:rsid w:val="3AB3D1D2"/>
    <w:rsid w:val="3AD8696D"/>
    <w:rsid w:val="3ADE7883"/>
    <w:rsid w:val="3B331E3D"/>
    <w:rsid w:val="3B369C5F"/>
    <w:rsid w:val="3B40D4C8"/>
    <w:rsid w:val="3B459734"/>
    <w:rsid w:val="3B55C9A5"/>
    <w:rsid w:val="3B5F416F"/>
    <w:rsid w:val="3B6A0494"/>
    <w:rsid w:val="3B6FE87F"/>
    <w:rsid w:val="3B7A37CB"/>
    <w:rsid w:val="3B8259CA"/>
    <w:rsid w:val="3B893131"/>
    <w:rsid w:val="3BA48859"/>
    <w:rsid w:val="3BACE9BD"/>
    <w:rsid w:val="3BAF196A"/>
    <w:rsid w:val="3BCBB61A"/>
    <w:rsid w:val="3BD1B517"/>
    <w:rsid w:val="3BF03A16"/>
    <w:rsid w:val="3BF3EBE8"/>
    <w:rsid w:val="3BF714B3"/>
    <w:rsid w:val="3BF8743F"/>
    <w:rsid w:val="3C0A336D"/>
    <w:rsid w:val="3C2C4192"/>
    <w:rsid w:val="3C340872"/>
    <w:rsid w:val="3C39680F"/>
    <w:rsid w:val="3C3A4D81"/>
    <w:rsid w:val="3C5FE6F8"/>
    <w:rsid w:val="3C6F59C6"/>
    <w:rsid w:val="3C70472D"/>
    <w:rsid w:val="3C7DBD6D"/>
    <w:rsid w:val="3C84EA16"/>
    <w:rsid w:val="3C965BFA"/>
    <w:rsid w:val="3CD4FE88"/>
    <w:rsid w:val="3CE0F27A"/>
    <w:rsid w:val="3CE16506"/>
    <w:rsid w:val="3CEB6077"/>
    <w:rsid w:val="3CF16813"/>
    <w:rsid w:val="3D01F96A"/>
    <w:rsid w:val="3D0201D4"/>
    <w:rsid w:val="3D0DB1BD"/>
    <w:rsid w:val="3D34CCF5"/>
    <w:rsid w:val="3D3716B0"/>
    <w:rsid w:val="3D399F2F"/>
    <w:rsid w:val="3D4D57DD"/>
    <w:rsid w:val="3D5A2FD8"/>
    <w:rsid w:val="3D84C87C"/>
    <w:rsid w:val="3D85AEC0"/>
    <w:rsid w:val="3D89A297"/>
    <w:rsid w:val="3DB7C0E4"/>
    <w:rsid w:val="3DE3D343"/>
    <w:rsid w:val="3E050DF2"/>
    <w:rsid w:val="3E197E23"/>
    <w:rsid w:val="3E2B3F80"/>
    <w:rsid w:val="3E307EFC"/>
    <w:rsid w:val="3E378CB0"/>
    <w:rsid w:val="3E398FE0"/>
    <w:rsid w:val="3E530943"/>
    <w:rsid w:val="3E6D7800"/>
    <w:rsid w:val="3E8D100A"/>
    <w:rsid w:val="3E9F1D38"/>
    <w:rsid w:val="3EA51935"/>
    <w:rsid w:val="3EBFCE23"/>
    <w:rsid w:val="3ECE35DE"/>
    <w:rsid w:val="3EDC8749"/>
    <w:rsid w:val="3EE17EA5"/>
    <w:rsid w:val="3EE21442"/>
    <w:rsid w:val="3F712228"/>
    <w:rsid w:val="3F788E36"/>
    <w:rsid w:val="3F798B71"/>
    <w:rsid w:val="3F7A60F4"/>
    <w:rsid w:val="3F80AAB2"/>
    <w:rsid w:val="3F9BDFF8"/>
    <w:rsid w:val="3FA07FAB"/>
    <w:rsid w:val="3FB25A1D"/>
    <w:rsid w:val="3FCE91AC"/>
    <w:rsid w:val="3FDF35B9"/>
    <w:rsid w:val="3FF04346"/>
    <w:rsid w:val="3FF6213C"/>
    <w:rsid w:val="402FF679"/>
    <w:rsid w:val="403C19AE"/>
    <w:rsid w:val="403F2405"/>
    <w:rsid w:val="405D6E95"/>
    <w:rsid w:val="4061C648"/>
    <w:rsid w:val="407082D2"/>
    <w:rsid w:val="40714BAA"/>
    <w:rsid w:val="408B2FCB"/>
    <w:rsid w:val="40A078E6"/>
    <w:rsid w:val="40A5ACF6"/>
    <w:rsid w:val="40BCF45B"/>
    <w:rsid w:val="40D0DE35"/>
    <w:rsid w:val="40D845C7"/>
    <w:rsid w:val="40DEF3FD"/>
    <w:rsid w:val="40EB11B3"/>
    <w:rsid w:val="410B491B"/>
    <w:rsid w:val="410E4909"/>
    <w:rsid w:val="413D6A60"/>
    <w:rsid w:val="4156CDE9"/>
    <w:rsid w:val="415D46D7"/>
    <w:rsid w:val="4168D28D"/>
    <w:rsid w:val="416F51F9"/>
    <w:rsid w:val="417ECD20"/>
    <w:rsid w:val="41A23AC3"/>
    <w:rsid w:val="41A83780"/>
    <w:rsid w:val="41CC5330"/>
    <w:rsid w:val="41D256CB"/>
    <w:rsid w:val="41F29B27"/>
    <w:rsid w:val="41F4859C"/>
    <w:rsid w:val="41F506DC"/>
    <w:rsid w:val="421E3421"/>
    <w:rsid w:val="424999EE"/>
    <w:rsid w:val="424F2DF2"/>
    <w:rsid w:val="4254B229"/>
    <w:rsid w:val="4258B28C"/>
    <w:rsid w:val="42625500"/>
    <w:rsid w:val="4273E032"/>
    <w:rsid w:val="428CEF7D"/>
    <w:rsid w:val="428E0620"/>
    <w:rsid w:val="428F1401"/>
    <w:rsid w:val="429057A0"/>
    <w:rsid w:val="42BF21A5"/>
    <w:rsid w:val="42D2228F"/>
    <w:rsid w:val="42DF2BCF"/>
    <w:rsid w:val="430570B5"/>
    <w:rsid w:val="4316C4F7"/>
    <w:rsid w:val="4339FA16"/>
    <w:rsid w:val="43660635"/>
    <w:rsid w:val="436F01F7"/>
    <w:rsid w:val="437B4B24"/>
    <w:rsid w:val="43A4BDDD"/>
    <w:rsid w:val="43B76166"/>
    <w:rsid w:val="43C9331C"/>
    <w:rsid w:val="43DB38C5"/>
    <w:rsid w:val="43E5C27A"/>
    <w:rsid w:val="44255DA6"/>
    <w:rsid w:val="445C90F4"/>
    <w:rsid w:val="446AC3EA"/>
    <w:rsid w:val="4473355C"/>
    <w:rsid w:val="448CC868"/>
    <w:rsid w:val="4493A301"/>
    <w:rsid w:val="449D6A2D"/>
    <w:rsid w:val="449DF4DC"/>
    <w:rsid w:val="44CE1288"/>
    <w:rsid w:val="44D363DC"/>
    <w:rsid w:val="44DEB361"/>
    <w:rsid w:val="44E26E95"/>
    <w:rsid w:val="44F5A2F0"/>
    <w:rsid w:val="45012B2E"/>
    <w:rsid w:val="452931E8"/>
    <w:rsid w:val="455DBBC8"/>
    <w:rsid w:val="4577DFF5"/>
    <w:rsid w:val="45B17E6E"/>
    <w:rsid w:val="45CDFDD6"/>
    <w:rsid w:val="45F1E54E"/>
    <w:rsid w:val="45F2DA51"/>
    <w:rsid w:val="45F5E693"/>
    <w:rsid w:val="45FD0611"/>
    <w:rsid w:val="463119FD"/>
    <w:rsid w:val="4641FC6B"/>
    <w:rsid w:val="464A9516"/>
    <w:rsid w:val="4659FFDD"/>
    <w:rsid w:val="46647426"/>
    <w:rsid w:val="46833CEF"/>
    <w:rsid w:val="469FEF33"/>
    <w:rsid w:val="46AA5EE4"/>
    <w:rsid w:val="46C04DA9"/>
    <w:rsid w:val="46C9252E"/>
    <w:rsid w:val="46D0CF9B"/>
    <w:rsid w:val="46E2C80A"/>
    <w:rsid w:val="46F678CD"/>
    <w:rsid w:val="47173B1D"/>
    <w:rsid w:val="471A5008"/>
    <w:rsid w:val="47239BB3"/>
    <w:rsid w:val="473364D6"/>
    <w:rsid w:val="473477B8"/>
    <w:rsid w:val="473CD101"/>
    <w:rsid w:val="473E2E76"/>
    <w:rsid w:val="4762FE37"/>
    <w:rsid w:val="478DF1B0"/>
    <w:rsid w:val="479D19AF"/>
    <w:rsid w:val="479E94C7"/>
    <w:rsid w:val="47B3D585"/>
    <w:rsid w:val="47C46E5E"/>
    <w:rsid w:val="47D4C5A3"/>
    <w:rsid w:val="47E30C44"/>
    <w:rsid w:val="47F3480C"/>
    <w:rsid w:val="47FB4ACA"/>
    <w:rsid w:val="47FFBCEF"/>
    <w:rsid w:val="484F07FA"/>
    <w:rsid w:val="486CC443"/>
    <w:rsid w:val="48A1660B"/>
    <w:rsid w:val="48A9F007"/>
    <w:rsid w:val="48CE937F"/>
    <w:rsid w:val="48CFA56C"/>
    <w:rsid w:val="48E73448"/>
    <w:rsid w:val="48F6AF35"/>
    <w:rsid w:val="48FBB0D1"/>
    <w:rsid w:val="492CC276"/>
    <w:rsid w:val="492E55A4"/>
    <w:rsid w:val="492F8149"/>
    <w:rsid w:val="494431AA"/>
    <w:rsid w:val="497C3682"/>
    <w:rsid w:val="49C9344F"/>
    <w:rsid w:val="49DA5B66"/>
    <w:rsid w:val="49DB0096"/>
    <w:rsid w:val="49DCDB5F"/>
    <w:rsid w:val="49E5E777"/>
    <w:rsid w:val="49ECA189"/>
    <w:rsid w:val="49F47F3A"/>
    <w:rsid w:val="49FEB326"/>
    <w:rsid w:val="4A037B68"/>
    <w:rsid w:val="4A350741"/>
    <w:rsid w:val="4A69EFB7"/>
    <w:rsid w:val="4A7A1C92"/>
    <w:rsid w:val="4A7CCCEE"/>
    <w:rsid w:val="4A868DD7"/>
    <w:rsid w:val="4A8C9447"/>
    <w:rsid w:val="4A8FA7AD"/>
    <w:rsid w:val="4A930992"/>
    <w:rsid w:val="4AA35011"/>
    <w:rsid w:val="4AA45870"/>
    <w:rsid w:val="4AA82A03"/>
    <w:rsid w:val="4AB9E819"/>
    <w:rsid w:val="4ABA368A"/>
    <w:rsid w:val="4ABDBD19"/>
    <w:rsid w:val="4AC8BB27"/>
    <w:rsid w:val="4ACA7218"/>
    <w:rsid w:val="4ACD1869"/>
    <w:rsid w:val="4AD1CBD6"/>
    <w:rsid w:val="4AD3920C"/>
    <w:rsid w:val="4AE72D1A"/>
    <w:rsid w:val="4AED8762"/>
    <w:rsid w:val="4AF56ECC"/>
    <w:rsid w:val="4B012987"/>
    <w:rsid w:val="4B193718"/>
    <w:rsid w:val="4B1F1D4E"/>
    <w:rsid w:val="4B242425"/>
    <w:rsid w:val="4B4BD7E2"/>
    <w:rsid w:val="4B6E9265"/>
    <w:rsid w:val="4B6FB88E"/>
    <w:rsid w:val="4B77B64B"/>
    <w:rsid w:val="4B78AF0A"/>
    <w:rsid w:val="4B9028ED"/>
    <w:rsid w:val="4B9499E5"/>
    <w:rsid w:val="4BB44051"/>
    <w:rsid w:val="4BBB4334"/>
    <w:rsid w:val="4BBD5150"/>
    <w:rsid w:val="4BD0DA51"/>
    <w:rsid w:val="4BD2BCEC"/>
    <w:rsid w:val="4BDF45B7"/>
    <w:rsid w:val="4BDFB45D"/>
    <w:rsid w:val="4BE454F6"/>
    <w:rsid w:val="4BE83225"/>
    <w:rsid w:val="4BE970A6"/>
    <w:rsid w:val="4BFD0F18"/>
    <w:rsid w:val="4C174A50"/>
    <w:rsid w:val="4C17E435"/>
    <w:rsid w:val="4C27B83B"/>
    <w:rsid w:val="4C2A875D"/>
    <w:rsid w:val="4C2BA539"/>
    <w:rsid w:val="4C574F4F"/>
    <w:rsid w:val="4C57F5ED"/>
    <w:rsid w:val="4C681722"/>
    <w:rsid w:val="4C880FAE"/>
    <w:rsid w:val="4C894847"/>
    <w:rsid w:val="4CA27C98"/>
    <w:rsid w:val="4CAA770E"/>
    <w:rsid w:val="4CB5D430"/>
    <w:rsid w:val="4CB79B8F"/>
    <w:rsid w:val="4CC18539"/>
    <w:rsid w:val="4CD1D503"/>
    <w:rsid w:val="4CD8C7B2"/>
    <w:rsid w:val="4CD8CF55"/>
    <w:rsid w:val="4CDF105B"/>
    <w:rsid w:val="4CE061DE"/>
    <w:rsid w:val="4D0F96D4"/>
    <w:rsid w:val="4D307BAA"/>
    <w:rsid w:val="4D6D3182"/>
    <w:rsid w:val="4D7A75B7"/>
    <w:rsid w:val="4D853A89"/>
    <w:rsid w:val="4D9F2333"/>
    <w:rsid w:val="4DA6AFA6"/>
    <w:rsid w:val="4DAAB410"/>
    <w:rsid w:val="4DCE70CA"/>
    <w:rsid w:val="4E0CAD50"/>
    <w:rsid w:val="4E109278"/>
    <w:rsid w:val="4E136C27"/>
    <w:rsid w:val="4E140004"/>
    <w:rsid w:val="4E338042"/>
    <w:rsid w:val="4E3903D6"/>
    <w:rsid w:val="4E531599"/>
    <w:rsid w:val="4E875828"/>
    <w:rsid w:val="4E8D9FC0"/>
    <w:rsid w:val="4E9843E6"/>
    <w:rsid w:val="4ED81BD2"/>
    <w:rsid w:val="4EE0536E"/>
    <w:rsid w:val="4EFEFAA7"/>
    <w:rsid w:val="4F11B32F"/>
    <w:rsid w:val="4F4343E7"/>
    <w:rsid w:val="4F4E1CA0"/>
    <w:rsid w:val="4F6F8FA9"/>
    <w:rsid w:val="4F704153"/>
    <w:rsid w:val="4F8FB17A"/>
    <w:rsid w:val="4FD8B8B9"/>
    <w:rsid w:val="4FDB5C1B"/>
    <w:rsid w:val="4FF7DFE2"/>
    <w:rsid w:val="5010C30D"/>
    <w:rsid w:val="501FF3D5"/>
    <w:rsid w:val="50271736"/>
    <w:rsid w:val="5045E18B"/>
    <w:rsid w:val="504D439C"/>
    <w:rsid w:val="504E07E3"/>
    <w:rsid w:val="5063B5FB"/>
    <w:rsid w:val="506DBA71"/>
    <w:rsid w:val="50881456"/>
    <w:rsid w:val="5092A05C"/>
    <w:rsid w:val="509462E8"/>
    <w:rsid w:val="509A3A71"/>
    <w:rsid w:val="50AD2CE3"/>
    <w:rsid w:val="50ADABBD"/>
    <w:rsid w:val="50CDF990"/>
    <w:rsid w:val="50D57A3F"/>
    <w:rsid w:val="50DFAEB1"/>
    <w:rsid w:val="5107A3CB"/>
    <w:rsid w:val="51104DFD"/>
    <w:rsid w:val="5126C94A"/>
    <w:rsid w:val="513335D9"/>
    <w:rsid w:val="513AF305"/>
    <w:rsid w:val="51619242"/>
    <w:rsid w:val="5179B5F2"/>
    <w:rsid w:val="517BDB35"/>
    <w:rsid w:val="517FAB93"/>
    <w:rsid w:val="51830B8D"/>
    <w:rsid w:val="5191B447"/>
    <w:rsid w:val="51A07667"/>
    <w:rsid w:val="51A2099C"/>
    <w:rsid w:val="51A9E9EB"/>
    <w:rsid w:val="51B03485"/>
    <w:rsid w:val="51C3D278"/>
    <w:rsid w:val="51D4DF9E"/>
    <w:rsid w:val="51E0FBAA"/>
    <w:rsid w:val="51E8F46B"/>
    <w:rsid w:val="51E91A07"/>
    <w:rsid w:val="51EB8C66"/>
    <w:rsid w:val="520FA1C0"/>
    <w:rsid w:val="522FA0FA"/>
    <w:rsid w:val="52439066"/>
    <w:rsid w:val="52476040"/>
    <w:rsid w:val="525EE8E6"/>
    <w:rsid w:val="527BB0F9"/>
    <w:rsid w:val="527FD4F4"/>
    <w:rsid w:val="52857195"/>
    <w:rsid w:val="5287EB81"/>
    <w:rsid w:val="528FFF65"/>
    <w:rsid w:val="5295636A"/>
    <w:rsid w:val="529A6591"/>
    <w:rsid w:val="529D831F"/>
    <w:rsid w:val="52AAE884"/>
    <w:rsid w:val="52B6158D"/>
    <w:rsid w:val="52BCFF11"/>
    <w:rsid w:val="52C0726E"/>
    <w:rsid w:val="52C281DF"/>
    <w:rsid w:val="531EADEC"/>
    <w:rsid w:val="53356A91"/>
    <w:rsid w:val="5342FB05"/>
    <w:rsid w:val="53568278"/>
    <w:rsid w:val="53672EAF"/>
    <w:rsid w:val="536D2C38"/>
    <w:rsid w:val="53710277"/>
    <w:rsid w:val="53928E76"/>
    <w:rsid w:val="539495CE"/>
    <w:rsid w:val="5396EF6A"/>
    <w:rsid w:val="53A2FA78"/>
    <w:rsid w:val="53B1ADD9"/>
    <w:rsid w:val="53B573A2"/>
    <w:rsid w:val="53EB9091"/>
    <w:rsid w:val="54000953"/>
    <w:rsid w:val="5409FD52"/>
    <w:rsid w:val="540FB103"/>
    <w:rsid w:val="54257828"/>
    <w:rsid w:val="54322DE7"/>
    <w:rsid w:val="545EFD97"/>
    <w:rsid w:val="5466DD35"/>
    <w:rsid w:val="5472051F"/>
    <w:rsid w:val="54727436"/>
    <w:rsid w:val="547E2564"/>
    <w:rsid w:val="5491684E"/>
    <w:rsid w:val="54C23DE7"/>
    <w:rsid w:val="54CF1299"/>
    <w:rsid w:val="54DBD299"/>
    <w:rsid w:val="54ECCF77"/>
    <w:rsid w:val="55089428"/>
    <w:rsid w:val="551D44D1"/>
    <w:rsid w:val="55264BAC"/>
    <w:rsid w:val="553D4DCA"/>
    <w:rsid w:val="5545462D"/>
    <w:rsid w:val="5565957F"/>
    <w:rsid w:val="55661441"/>
    <w:rsid w:val="559A4DE4"/>
    <w:rsid w:val="55A01D9D"/>
    <w:rsid w:val="55AC34CD"/>
    <w:rsid w:val="55B664E6"/>
    <w:rsid w:val="55B737D4"/>
    <w:rsid w:val="55F58656"/>
    <w:rsid w:val="55FD6E0D"/>
    <w:rsid w:val="55FE36F5"/>
    <w:rsid w:val="560ABDDE"/>
    <w:rsid w:val="561530D8"/>
    <w:rsid w:val="561653FA"/>
    <w:rsid w:val="561E14F6"/>
    <w:rsid w:val="562FF6C4"/>
    <w:rsid w:val="56427681"/>
    <w:rsid w:val="56470445"/>
    <w:rsid w:val="564D2876"/>
    <w:rsid w:val="5651EF43"/>
    <w:rsid w:val="56615953"/>
    <w:rsid w:val="56713810"/>
    <w:rsid w:val="567A8E6F"/>
    <w:rsid w:val="568F7684"/>
    <w:rsid w:val="56A4F5BD"/>
    <w:rsid w:val="56AD1B0B"/>
    <w:rsid w:val="56B5A59D"/>
    <w:rsid w:val="56BA1EA0"/>
    <w:rsid w:val="56BC65D0"/>
    <w:rsid w:val="56BF6D6C"/>
    <w:rsid w:val="56C78D96"/>
    <w:rsid w:val="56C9C2B7"/>
    <w:rsid w:val="56CC4A80"/>
    <w:rsid w:val="56CE7FCB"/>
    <w:rsid w:val="5716157B"/>
    <w:rsid w:val="5736161D"/>
    <w:rsid w:val="57362CDB"/>
    <w:rsid w:val="575C795A"/>
    <w:rsid w:val="5780DBE0"/>
    <w:rsid w:val="5792859E"/>
    <w:rsid w:val="57943E60"/>
    <w:rsid w:val="57CDF7A2"/>
    <w:rsid w:val="57D9928A"/>
    <w:rsid w:val="57DBCD7E"/>
    <w:rsid w:val="57ECDFA0"/>
    <w:rsid w:val="5801A37B"/>
    <w:rsid w:val="580A9536"/>
    <w:rsid w:val="581B7DA6"/>
    <w:rsid w:val="582883C0"/>
    <w:rsid w:val="58960E60"/>
    <w:rsid w:val="589F333C"/>
    <w:rsid w:val="58BBEB4A"/>
    <w:rsid w:val="58BDF19B"/>
    <w:rsid w:val="58C7F779"/>
    <w:rsid w:val="58D48BD7"/>
    <w:rsid w:val="58DF4FE5"/>
    <w:rsid w:val="58E831CD"/>
    <w:rsid w:val="58EC666C"/>
    <w:rsid w:val="58FE5B77"/>
    <w:rsid w:val="59116598"/>
    <w:rsid w:val="59180B4E"/>
    <w:rsid w:val="593BB838"/>
    <w:rsid w:val="5950168B"/>
    <w:rsid w:val="597C6E9D"/>
    <w:rsid w:val="5986F71F"/>
    <w:rsid w:val="598753DF"/>
    <w:rsid w:val="598DD381"/>
    <w:rsid w:val="59C71EA5"/>
    <w:rsid w:val="59D405D7"/>
    <w:rsid w:val="59E9485E"/>
    <w:rsid w:val="5A212EE5"/>
    <w:rsid w:val="5A21CCB6"/>
    <w:rsid w:val="5A245BD2"/>
    <w:rsid w:val="5A33B351"/>
    <w:rsid w:val="5A49EB59"/>
    <w:rsid w:val="5A663E9E"/>
    <w:rsid w:val="5A752BBA"/>
    <w:rsid w:val="5A81B5AD"/>
    <w:rsid w:val="5AA2A05B"/>
    <w:rsid w:val="5ADCAF27"/>
    <w:rsid w:val="5AE2390A"/>
    <w:rsid w:val="5AFD080F"/>
    <w:rsid w:val="5B167630"/>
    <w:rsid w:val="5B1DE497"/>
    <w:rsid w:val="5B35DD9A"/>
    <w:rsid w:val="5B3C2E83"/>
    <w:rsid w:val="5B44AB1A"/>
    <w:rsid w:val="5B4DC5D4"/>
    <w:rsid w:val="5B5538B5"/>
    <w:rsid w:val="5B594A8C"/>
    <w:rsid w:val="5B85E116"/>
    <w:rsid w:val="5B86F3DA"/>
    <w:rsid w:val="5B8A466D"/>
    <w:rsid w:val="5BB6F4E0"/>
    <w:rsid w:val="5BC5ABDD"/>
    <w:rsid w:val="5BCFABB1"/>
    <w:rsid w:val="5BDE3760"/>
    <w:rsid w:val="5BEB46AC"/>
    <w:rsid w:val="5C4E9B65"/>
    <w:rsid w:val="5C5D524A"/>
    <w:rsid w:val="5C6AD2CE"/>
    <w:rsid w:val="5C70FDC4"/>
    <w:rsid w:val="5C7C016D"/>
    <w:rsid w:val="5C8635E0"/>
    <w:rsid w:val="5C88FEEE"/>
    <w:rsid w:val="5C893AC7"/>
    <w:rsid w:val="5CD29434"/>
    <w:rsid w:val="5CF8ADB9"/>
    <w:rsid w:val="5D09A64E"/>
    <w:rsid w:val="5D1362A3"/>
    <w:rsid w:val="5D1FFF7A"/>
    <w:rsid w:val="5D24BA69"/>
    <w:rsid w:val="5D2779F8"/>
    <w:rsid w:val="5D566358"/>
    <w:rsid w:val="5D8CF11D"/>
    <w:rsid w:val="5D8D9211"/>
    <w:rsid w:val="5DB3A26C"/>
    <w:rsid w:val="5DD97A0F"/>
    <w:rsid w:val="5DE05568"/>
    <w:rsid w:val="5DF033A0"/>
    <w:rsid w:val="5E08BB75"/>
    <w:rsid w:val="5E8ED860"/>
    <w:rsid w:val="5EE14877"/>
    <w:rsid w:val="5EED5920"/>
    <w:rsid w:val="5EF757A7"/>
    <w:rsid w:val="5F0D3CFA"/>
    <w:rsid w:val="5F55C6C9"/>
    <w:rsid w:val="5F6E0463"/>
    <w:rsid w:val="5F6F3C6E"/>
    <w:rsid w:val="5F9B02D1"/>
    <w:rsid w:val="5F9E0A6B"/>
    <w:rsid w:val="5F9FB5CD"/>
    <w:rsid w:val="5FC90730"/>
    <w:rsid w:val="5FD21D8F"/>
    <w:rsid w:val="5FDAFF82"/>
    <w:rsid w:val="5FDBDBC7"/>
    <w:rsid w:val="60137BA8"/>
    <w:rsid w:val="601D9271"/>
    <w:rsid w:val="6021174F"/>
    <w:rsid w:val="6042A78A"/>
    <w:rsid w:val="60805F62"/>
    <w:rsid w:val="60A2E795"/>
    <w:rsid w:val="60A5FF1C"/>
    <w:rsid w:val="60B37E95"/>
    <w:rsid w:val="60C0CECF"/>
    <w:rsid w:val="60C9E39D"/>
    <w:rsid w:val="60DF358F"/>
    <w:rsid w:val="60E36A90"/>
    <w:rsid w:val="60FB9BFF"/>
    <w:rsid w:val="6121483D"/>
    <w:rsid w:val="612722D8"/>
    <w:rsid w:val="612F4E62"/>
    <w:rsid w:val="6141BE8E"/>
    <w:rsid w:val="6188DC7E"/>
    <w:rsid w:val="618D5688"/>
    <w:rsid w:val="619A466D"/>
    <w:rsid w:val="61B2EC17"/>
    <w:rsid w:val="61B5991F"/>
    <w:rsid w:val="61C86AC8"/>
    <w:rsid w:val="61CE6B38"/>
    <w:rsid w:val="61DE8E67"/>
    <w:rsid w:val="61E0D2A5"/>
    <w:rsid w:val="61E9D886"/>
    <w:rsid w:val="622DB071"/>
    <w:rsid w:val="624CD7DF"/>
    <w:rsid w:val="6255AB20"/>
    <w:rsid w:val="62592A54"/>
    <w:rsid w:val="6261BB53"/>
    <w:rsid w:val="627F00B1"/>
    <w:rsid w:val="6291781E"/>
    <w:rsid w:val="62A028B6"/>
    <w:rsid w:val="62A7CEBC"/>
    <w:rsid w:val="62B52250"/>
    <w:rsid w:val="62B8905C"/>
    <w:rsid w:val="62C30C57"/>
    <w:rsid w:val="62C89C85"/>
    <w:rsid w:val="62D56DF2"/>
    <w:rsid w:val="62F087DE"/>
    <w:rsid w:val="62FFD882"/>
    <w:rsid w:val="63002231"/>
    <w:rsid w:val="6303B1CB"/>
    <w:rsid w:val="6303DF36"/>
    <w:rsid w:val="63045722"/>
    <w:rsid w:val="6306D150"/>
    <w:rsid w:val="63154A3B"/>
    <w:rsid w:val="6315CB72"/>
    <w:rsid w:val="6316F3E6"/>
    <w:rsid w:val="632D1265"/>
    <w:rsid w:val="634AD722"/>
    <w:rsid w:val="6351016F"/>
    <w:rsid w:val="639050A1"/>
    <w:rsid w:val="639D0634"/>
    <w:rsid w:val="63BF5670"/>
    <w:rsid w:val="63C27156"/>
    <w:rsid w:val="63C93785"/>
    <w:rsid w:val="63D013BA"/>
    <w:rsid w:val="63E1C498"/>
    <w:rsid w:val="63FF176C"/>
    <w:rsid w:val="640D41F2"/>
    <w:rsid w:val="6431A60C"/>
    <w:rsid w:val="64396045"/>
    <w:rsid w:val="645F899D"/>
    <w:rsid w:val="64781B70"/>
    <w:rsid w:val="648FBB84"/>
    <w:rsid w:val="64AFB810"/>
    <w:rsid w:val="64B75EB2"/>
    <w:rsid w:val="64BF545C"/>
    <w:rsid w:val="64DB57E1"/>
    <w:rsid w:val="64DD7865"/>
    <w:rsid w:val="64FF9E62"/>
    <w:rsid w:val="6508460D"/>
    <w:rsid w:val="65189A83"/>
    <w:rsid w:val="6527800D"/>
    <w:rsid w:val="652CAB57"/>
    <w:rsid w:val="652D98EB"/>
    <w:rsid w:val="6566E813"/>
    <w:rsid w:val="6576DA37"/>
    <w:rsid w:val="6579B2C8"/>
    <w:rsid w:val="6583A933"/>
    <w:rsid w:val="659633D3"/>
    <w:rsid w:val="65CF2D26"/>
    <w:rsid w:val="65D67DB3"/>
    <w:rsid w:val="65EBA5B1"/>
    <w:rsid w:val="6601F93A"/>
    <w:rsid w:val="66047B8B"/>
    <w:rsid w:val="6605D23E"/>
    <w:rsid w:val="66067BFC"/>
    <w:rsid w:val="660A599F"/>
    <w:rsid w:val="660CBADC"/>
    <w:rsid w:val="66140310"/>
    <w:rsid w:val="661F5E16"/>
    <w:rsid w:val="665093CC"/>
    <w:rsid w:val="666969DF"/>
    <w:rsid w:val="666DADCF"/>
    <w:rsid w:val="66860339"/>
    <w:rsid w:val="66985087"/>
    <w:rsid w:val="66ABD6D9"/>
    <w:rsid w:val="66C9AC57"/>
    <w:rsid w:val="66D69681"/>
    <w:rsid w:val="66E16FED"/>
    <w:rsid w:val="66E3C443"/>
    <w:rsid w:val="66FF6F71"/>
    <w:rsid w:val="6771BE12"/>
    <w:rsid w:val="6786BB95"/>
    <w:rsid w:val="679B4BEF"/>
    <w:rsid w:val="679D88DA"/>
    <w:rsid w:val="67A3E6C8"/>
    <w:rsid w:val="67A6B827"/>
    <w:rsid w:val="67A8C38F"/>
    <w:rsid w:val="67B6A8FC"/>
    <w:rsid w:val="67CE7308"/>
    <w:rsid w:val="6803F8C0"/>
    <w:rsid w:val="680DBC9B"/>
    <w:rsid w:val="6815E8FF"/>
    <w:rsid w:val="68163EDF"/>
    <w:rsid w:val="6816B918"/>
    <w:rsid w:val="68191340"/>
    <w:rsid w:val="682C4E88"/>
    <w:rsid w:val="68444418"/>
    <w:rsid w:val="68454B28"/>
    <w:rsid w:val="684EAFA2"/>
    <w:rsid w:val="685E9428"/>
    <w:rsid w:val="6871ECB1"/>
    <w:rsid w:val="687DF03A"/>
    <w:rsid w:val="68A28411"/>
    <w:rsid w:val="68B2EBAD"/>
    <w:rsid w:val="68BC9E3A"/>
    <w:rsid w:val="68D41F57"/>
    <w:rsid w:val="68E52776"/>
    <w:rsid w:val="68F1101F"/>
    <w:rsid w:val="68F68D0C"/>
    <w:rsid w:val="68FAA428"/>
    <w:rsid w:val="6905ED36"/>
    <w:rsid w:val="6915E976"/>
    <w:rsid w:val="6916A0DC"/>
    <w:rsid w:val="69273E43"/>
    <w:rsid w:val="693621E4"/>
    <w:rsid w:val="694F4182"/>
    <w:rsid w:val="695A1425"/>
    <w:rsid w:val="695A36CE"/>
    <w:rsid w:val="69601D5A"/>
    <w:rsid w:val="69738FE2"/>
    <w:rsid w:val="697E245E"/>
    <w:rsid w:val="69A25A8A"/>
    <w:rsid w:val="69E2BF7B"/>
    <w:rsid w:val="69E3B150"/>
    <w:rsid w:val="69ED4A6F"/>
    <w:rsid w:val="6A2AFB64"/>
    <w:rsid w:val="6A593315"/>
    <w:rsid w:val="6A673D81"/>
    <w:rsid w:val="6AAB0DEF"/>
    <w:rsid w:val="6ABED4C2"/>
    <w:rsid w:val="6AC3E24A"/>
    <w:rsid w:val="6AD2919B"/>
    <w:rsid w:val="6AE1AF0B"/>
    <w:rsid w:val="6AE208F0"/>
    <w:rsid w:val="6AF73E7D"/>
    <w:rsid w:val="6B00A7D7"/>
    <w:rsid w:val="6B07B22D"/>
    <w:rsid w:val="6B0AA819"/>
    <w:rsid w:val="6B0DA4A0"/>
    <w:rsid w:val="6B0E4608"/>
    <w:rsid w:val="6B258EC3"/>
    <w:rsid w:val="6B424454"/>
    <w:rsid w:val="6B45F516"/>
    <w:rsid w:val="6B4B996E"/>
    <w:rsid w:val="6B4CA433"/>
    <w:rsid w:val="6B4DA292"/>
    <w:rsid w:val="6B55D3C5"/>
    <w:rsid w:val="6B564729"/>
    <w:rsid w:val="6B59D0B5"/>
    <w:rsid w:val="6B6A2C73"/>
    <w:rsid w:val="6B8FF5E1"/>
    <w:rsid w:val="6B985D17"/>
    <w:rsid w:val="6BA2BA16"/>
    <w:rsid w:val="6BA8CCD9"/>
    <w:rsid w:val="6BC149CE"/>
    <w:rsid w:val="6BC1CF3A"/>
    <w:rsid w:val="6BC577DA"/>
    <w:rsid w:val="6BDB75F9"/>
    <w:rsid w:val="6C04E6D9"/>
    <w:rsid w:val="6C12A9FC"/>
    <w:rsid w:val="6C52D9F0"/>
    <w:rsid w:val="6C61AF16"/>
    <w:rsid w:val="6C7D0059"/>
    <w:rsid w:val="6C93CDBF"/>
    <w:rsid w:val="6CB66490"/>
    <w:rsid w:val="6CB70E28"/>
    <w:rsid w:val="6CD724B7"/>
    <w:rsid w:val="6CF70C33"/>
    <w:rsid w:val="6D3C7FB8"/>
    <w:rsid w:val="6D3EC8EE"/>
    <w:rsid w:val="6D4F4ABC"/>
    <w:rsid w:val="6D526E18"/>
    <w:rsid w:val="6D52F2CC"/>
    <w:rsid w:val="6D55C51E"/>
    <w:rsid w:val="6D5A24BB"/>
    <w:rsid w:val="6D5F38DD"/>
    <w:rsid w:val="6D6B2042"/>
    <w:rsid w:val="6D8E8529"/>
    <w:rsid w:val="6D901FD8"/>
    <w:rsid w:val="6DDE4623"/>
    <w:rsid w:val="6DF200B1"/>
    <w:rsid w:val="6E3DF1AC"/>
    <w:rsid w:val="6E566CF2"/>
    <w:rsid w:val="6E90F8A4"/>
    <w:rsid w:val="6EA74253"/>
    <w:rsid w:val="6EB69290"/>
    <w:rsid w:val="6EF44CD3"/>
    <w:rsid w:val="6F0783A3"/>
    <w:rsid w:val="6F1398CC"/>
    <w:rsid w:val="6F205EFA"/>
    <w:rsid w:val="6F4F415A"/>
    <w:rsid w:val="6F611954"/>
    <w:rsid w:val="6F6356DB"/>
    <w:rsid w:val="6F6C20AD"/>
    <w:rsid w:val="6F87FBAA"/>
    <w:rsid w:val="6F944220"/>
    <w:rsid w:val="6FAE11BA"/>
    <w:rsid w:val="6FB363B8"/>
    <w:rsid w:val="6FC07482"/>
    <w:rsid w:val="6FCDDE33"/>
    <w:rsid w:val="6FE2ED23"/>
    <w:rsid w:val="7004F5D9"/>
    <w:rsid w:val="70254AE3"/>
    <w:rsid w:val="702C70CB"/>
    <w:rsid w:val="702F9F97"/>
    <w:rsid w:val="703FC9DD"/>
    <w:rsid w:val="707F4056"/>
    <w:rsid w:val="707FA733"/>
    <w:rsid w:val="70972D7A"/>
    <w:rsid w:val="70A2F31C"/>
    <w:rsid w:val="70AD25A2"/>
    <w:rsid w:val="70CB0DD8"/>
    <w:rsid w:val="70DADCD2"/>
    <w:rsid w:val="70E606D1"/>
    <w:rsid w:val="70EF9752"/>
    <w:rsid w:val="70F4DC11"/>
    <w:rsid w:val="7110D3AD"/>
    <w:rsid w:val="71182B03"/>
    <w:rsid w:val="711FC291"/>
    <w:rsid w:val="7132DA1C"/>
    <w:rsid w:val="7147D132"/>
    <w:rsid w:val="71493EF8"/>
    <w:rsid w:val="7181CCB5"/>
    <w:rsid w:val="71EF9A7D"/>
    <w:rsid w:val="7208BDFC"/>
    <w:rsid w:val="7242E20E"/>
    <w:rsid w:val="724FD324"/>
    <w:rsid w:val="7252C770"/>
    <w:rsid w:val="725D48B2"/>
    <w:rsid w:val="7290FD70"/>
    <w:rsid w:val="72A09477"/>
    <w:rsid w:val="72D7505F"/>
    <w:rsid w:val="72D7AC04"/>
    <w:rsid w:val="72F2AE88"/>
    <w:rsid w:val="731FDF81"/>
    <w:rsid w:val="732E6022"/>
    <w:rsid w:val="73381FC8"/>
    <w:rsid w:val="73718327"/>
    <w:rsid w:val="738994CE"/>
    <w:rsid w:val="73AF70EF"/>
    <w:rsid w:val="73B91165"/>
    <w:rsid w:val="73C1326E"/>
    <w:rsid w:val="73C4FFAA"/>
    <w:rsid w:val="73DC59C3"/>
    <w:rsid w:val="73EAEC9A"/>
    <w:rsid w:val="73F0A30E"/>
    <w:rsid w:val="7424E95F"/>
    <w:rsid w:val="74391DDD"/>
    <w:rsid w:val="7440BE0B"/>
    <w:rsid w:val="7440FA0A"/>
    <w:rsid w:val="74432EB5"/>
    <w:rsid w:val="7475AB73"/>
    <w:rsid w:val="748E905E"/>
    <w:rsid w:val="7493604E"/>
    <w:rsid w:val="749DE44B"/>
    <w:rsid w:val="749E32EA"/>
    <w:rsid w:val="74A17CDB"/>
    <w:rsid w:val="74B663D8"/>
    <w:rsid w:val="74C7FB03"/>
    <w:rsid w:val="74F81C09"/>
    <w:rsid w:val="7504BC1C"/>
    <w:rsid w:val="750E7E67"/>
    <w:rsid w:val="751E7E27"/>
    <w:rsid w:val="752F5677"/>
    <w:rsid w:val="753BBFAE"/>
    <w:rsid w:val="7544D984"/>
    <w:rsid w:val="7560716E"/>
    <w:rsid w:val="75659225"/>
    <w:rsid w:val="757289E8"/>
    <w:rsid w:val="75788CB5"/>
    <w:rsid w:val="758E1A27"/>
    <w:rsid w:val="7594D8BA"/>
    <w:rsid w:val="75CD411F"/>
    <w:rsid w:val="75D7A5BB"/>
    <w:rsid w:val="75D9E393"/>
    <w:rsid w:val="75E7C6B9"/>
    <w:rsid w:val="75E97FA8"/>
    <w:rsid w:val="75ECA586"/>
    <w:rsid w:val="762FDFDF"/>
    <w:rsid w:val="7633F861"/>
    <w:rsid w:val="763CA191"/>
    <w:rsid w:val="7641554C"/>
    <w:rsid w:val="765339E1"/>
    <w:rsid w:val="76608C63"/>
    <w:rsid w:val="76977A21"/>
    <w:rsid w:val="76B64086"/>
    <w:rsid w:val="76BB0428"/>
    <w:rsid w:val="76BF17C4"/>
    <w:rsid w:val="76E2C151"/>
    <w:rsid w:val="76E597A3"/>
    <w:rsid w:val="76ED3E8E"/>
    <w:rsid w:val="76F22B39"/>
    <w:rsid w:val="7713BAE9"/>
    <w:rsid w:val="7715FF9A"/>
    <w:rsid w:val="77191B4B"/>
    <w:rsid w:val="771DD253"/>
    <w:rsid w:val="773A7AD1"/>
    <w:rsid w:val="7745E358"/>
    <w:rsid w:val="774633F5"/>
    <w:rsid w:val="774750F5"/>
    <w:rsid w:val="7773CB89"/>
    <w:rsid w:val="7789D7E6"/>
    <w:rsid w:val="77A2C5AC"/>
    <w:rsid w:val="77AC9E9D"/>
    <w:rsid w:val="77C734A9"/>
    <w:rsid w:val="77CA142B"/>
    <w:rsid w:val="77CF6FDE"/>
    <w:rsid w:val="77D2A829"/>
    <w:rsid w:val="77DB9451"/>
    <w:rsid w:val="77ECFE86"/>
    <w:rsid w:val="77F27EFB"/>
    <w:rsid w:val="77F316ED"/>
    <w:rsid w:val="77F36A16"/>
    <w:rsid w:val="77FCD561"/>
    <w:rsid w:val="7829A211"/>
    <w:rsid w:val="782BB930"/>
    <w:rsid w:val="7830EEE7"/>
    <w:rsid w:val="7836678F"/>
    <w:rsid w:val="7838FE86"/>
    <w:rsid w:val="783CD296"/>
    <w:rsid w:val="784F32CB"/>
    <w:rsid w:val="7852B5C6"/>
    <w:rsid w:val="78556E71"/>
    <w:rsid w:val="78722301"/>
    <w:rsid w:val="7875E6CC"/>
    <w:rsid w:val="787A2660"/>
    <w:rsid w:val="78A9AB5E"/>
    <w:rsid w:val="78B3D3A9"/>
    <w:rsid w:val="78D4D755"/>
    <w:rsid w:val="78DAF44E"/>
    <w:rsid w:val="78DD7DEE"/>
    <w:rsid w:val="78E48572"/>
    <w:rsid w:val="78E7F918"/>
    <w:rsid w:val="78FAF798"/>
    <w:rsid w:val="790353C4"/>
    <w:rsid w:val="791EB067"/>
    <w:rsid w:val="792DEA11"/>
    <w:rsid w:val="793CA6AA"/>
    <w:rsid w:val="79472E35"/>
    <w:rsid w:val="7967ECB1"/>
    <w:rsid w:val="796FABCE"/>
    <w:rsid w:val="79806729"/>
    <w:rsid w:val="798756C6"/>
    <w:rsid w:val="79B4881E"/>
    <w:rsid w:val="79EC61F7"/>
    <w:rsid w:val="7A0B83FB"/>
    <w:rsid w:val="7A101A9F"/>
    <w:rsid w:val="7A1CB7EE"/>
    <w:rsid w:val="7A20E5DC"/>
    <w:rsid w:val="7A4D21BA"/>
    <w:rsid w:val="7A5CA86C"/>
    <w:rsid w:val="7A728CEB"/>
    <w:rsid w:val="7A79C5D5"/>
    <w:rsid w:val="7A9A923B"/>
    <w:rsid w:val="7AA2A644"/>
    <w:rsid w:val="7AE5E2AC"/>
    <w:rsid w:val="7AEADFF4"/>
    <w:rsid w:val="7B0996B4"/>
    <w:rsid w:val="7B11A264"/>
    <w:rsid w:val="7B37D28E"/>
    <w:rsid w:val="7B393DA4"/>
    <w:rsid w:val="7B4A52FC"/>
    <w:rsid w:val="7B520532"/>
    <w:rsid w:val="7B52275C"/>
    <w:rsid w:val="7B700614"/>
    <w:rsid w:val="7BA72061"/>
    <w:rsid w:val="7BB647F8"/>
    <w:rsid w:val="7BF946DE"/>
    <w:rsid w:val="7C0783F2"/>
    <w:rsid w:val="7C1515B5"/>
    <w:rsid w:val="7C2F9252"/>
    <w:rsid w:val="7C3B103B"/>
    <w:rsid w:val="7C42233C"/>
    <w:rsid w:val="7C49F873"/>
    <w:rsid w:val="7C5BBDB2"/>
    <w:rsid w:val="7C882E5D"/>
    <w:rsid w:val="7C8E0F0C"/>
    <w:rsid w:val="7C933329"/>
    <w:rsid w:val="7CBA36EB"/>
    <w:rsid w:val="7CBCE28C"/>
    <w:rsid w:val="7CC38FFF"/>
    <w:rsid w:val="7CCD255F"/>
    <w:rsid w:val="7CD6394C"/>
    <w:rsid w:val="7CD90217"/>
    <w:rsid w:val="7CDF4E3D"/>
    <w:rsid w:val="7CFBFC43"/>
    <w:rsid w:val="7CFDFA41"/>
    <w:rsid w:val="7D00A017"/>
    <w:rsid w:val="7D3185AB"/>
    <w:rsid w:val="7D37732E"/>
    <w:rsid w:val="7D4E7838"/>
    <w:rsid w:val="7D60AF9B"/>
    <w:rsid w:val="7D6F6CCE"/>
    <w:rsid w:val="7D775DDA"/>
    <w:rsid w:val="7D83B6A9"/>
    <w:rsid w:val="7D9B3A1D"/>
    <w:rsid w:val="7DA312F8"/>
    <w:rsid w:val="7DB240BC"/>
    <w:rsid w:val="7DCC9C4D"/>
    <w:rsid w:val="7DD9D55C"/>
    <w:rsid w:val="7E1B303A"/>
    <w:rsid w:val="7E1CC47A"/>
    <w:rsid w:val="7E278BB8"/>
    <w:rsid w:val="7E487907"/>
    <w:rsid w:val="7E5E6B44"/>
    <w:rsid w:val="7E5FA145"/>
    <w:rsid w:val="7E86D197"/>
    <w:rsid w:val="7E8C0722"/>
    <w:rsid w:val="7EC28C3B"/>
    <w:rsid w:val="7EF118EE"/>
    <w:rsid w:val="7EF27122"/>
    <w:rsid w:val="7EF6B92E"/>
    <w:rsid w:val="7F18EA6C"/>
    <w:rsid w:val="7F380C76"/>
    <w:rsid w:val="7F4C83E9"/>
    <w:rsid w:val="7F574E32"/>
    <w:rsid w:val="7F8B7F96"/>
    <w:rsid w:val="7F8E2BD3"/>
    <w:rsid w:val="7FA43D59"/>
    <w:rsid w:val="7FBB7A10"/>
    <w:rsid w:val="7FBE2B0A"/>
    <w:rsid w:val="7FCD0908"/>
    <w:rsid w:val="7FCF5A67"/>
    <w:rsid w:val="7FDB45A4"/>
    <w:rsid w:val="7FDB9B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D155F7"/>
  <w15:chartTrackingRefBased/>
  <w15:docId w15:val="{165E632D-C6C7-418E-A8EB-6DDA8EF5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next w:val="Normal"/>
    <w:link w:val="Heading1Char"/>
    <w:uiPriority w:val="9"/>
    <w:qFormat/>
    <w:rsid w:val="00586CC5"/>
    <w:pPr>
      <w:keepNext/>
      <w:keepLines/>
      <w:spacing w:before="240" w:line="259" w:lineRule="auto"/>
      <w:jc w:val="center"/>
      <w:outlineLvl w:val="0"/>
    </w:pPr>
    <w:rPr>
      <w:rFonts w:eastAsiaTheme="majorEastAsia" w:cstheme="majorBidi"/>
      <w:b/>
      <w:sz w:val="32"/>
      <w:szCs w:val="32"/>
      <w:lang w:val="en-US"/>
    </w:rPr>
  </w:style>
  <w:style w:type="paragraph" w:styleId="Heading2">
    <w:name w:val="heading 2"/>
    <w:basedOn w:val="Normal"/>
    <w:next w:val="Normal"/>
    <w:link w:val="Heading2Char"/>
    <w:uiPriority w:val="9"/>
    <w:unhideWhenUsed/>
    <w:qFormat/>
    <w:rsid w:val="00586CC5"/>
    <w:pPr>
      <w:keepNext/>
      <w:keepLines/>
      <w:spacing w:before="40" w:line="259" w:lineRule="auto"/>
      <w:jc w:val="center"/>
      <w:outlineLvl w:val="1"/>
    </w:pPr>
    <w:rPr>
      <w:rFonts w:eastAsiaTheme="majorEastAsia" w:cstheme="majorBidi"/>
      <w:b/>
      <w:szCs w:val="2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A655D"/>
    <w:rPr>
      <w:color w:val="0000FF"/>
      <w:shd w:val="clear" w:color="auto" w:fill="auto"/>
    </w:rPr>
  </w:style>
  <w:style w:type="paragraph" w:customStyle="1" w:styleId="Pagedecouverture">
    <w:name w:val="Page de couverture"/>
    <w:basedOn w:val="Normal"/>
    <w:next w:val="Normal"/>
    <w:rsid w:val="00AA655D"/>
    <w:pPr>
      <w:jc w:val="both"/>
    </w:pPr>
    <w:rPr>
      <w:szCs w:val="22"/>
    </w:rPr>
  </w:style>
  <w:style w:type="paragraph" w:styleId="Header">
    <w:name w:val="header"/>
    <w:basedOn w:val="Normal"/>
    <w:link w:val="HeaderChar"/>
    <w:uiPriority w:val="99"/>
    <w:unhideWhenUsed/>
    <w:rsid w:val="00AA655D"/>
    <w:pPr>
      <w:tabs>
        <w:tab w:val="center" w:pos="4513"/>
        <w:tab w:val="right" w:pos="9026"/>
      </w:tabs>
    </w:pPr>
  </w:style>
  <w:style w:type="character" w:customStyle="1" w:styleId="HeaderChar">
    <w:name w:val="Header Char"/>
    <w:basedOn w:val="DefaultParagraphFont"/>
    <w:link w:val="Header"/>
    <w:uiPriority w:val="99"/>
    <w:rsid w:val="00AA655D"/>
    <w:rPr>
      <w:sz w:val="24"/>
      <w:szCs w:val="24"/>
      <w:lang w:val="en-GB"/>
    </w:rPr>
  </w:style>
  <w:style w:type="paragraph" w:styleId="Footer">
    <w:name w:val="footer"/>
    <w:basedOn w:val="Normal"/>
    <w:link w:val="FooterChar"/>
    <w:uiPriority w:val="99"/>
    <w:unhideWhenUsed/>
    <w:rsid w:val="00AA655D"/>
    <w:pPr>
      <w:tabs>
        <w:tab w:val="center" w:pos="4513"/>
        <w:tab w:val="right" w:pos="9026"/>
      </w:tabs>
    </w:pPr>
  </w:style>
  <w:style w:type="character" w:customStyle="1" w:styleId="FooterChar">
    <w:name w:val="Footer Char"/>
    <w:basedOn w:val="DefaultParagraphFont"/>
    <w:link w:val="Footer"/>
    <w:uiPriority w:val="99"/>
    <w:rsid w:val="00AA655D"/>
    <w:rPr>
      <w:sz w:val="24"/>
      <w:szCs w:val="24"/>
      <w:lang w:val="en-GB"/>
    </w:rPr>
  </w:style>
  <w:style w:type="paragraph" w:customStyle="1" w:styleId="FooterCoverPage">
    <w:name w:val="Footer Cover Page"/>
    <w:basedOn w:val="Normal"/>
    <w:link w:val="FooterCoverPageChar"/>
    <w:rsid w:val="00AA655D"/>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AA655D"/>
    <w:rPr>
      <w:sz w:val="24"/>
      <w:szCs w:val="24"/>
      <w:lang w:val="en-GB"/>
    </w:rPr>
  </w:style>
  <w:style w:type="paragraph" w:customStyle="1" w:styleId="FooterSensitivity">
    <w:name w:val="Footer Sensitivity"/>
    <w:basedOn w:val="Normal"/>
    <w:link w:val="FooterSensitivityChar"/>
    <w:rsid w:val="00AA655D"/>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AA655D"/>
    <w:rPr>
      <w:b/>
      <w:sz w:val="32"/>
      <w:szCs w:val="24"/>
      <w:lang w:val="en-GB"/>
    </w:rPr>
  </w:style>
  <w:style w:type="paragraph" w:customStyle="1" w:styleId="HeaderCoverPage">
    <w:name w:val="Header Cover Page"/>
    <w:basedOn w:val="Normal"/>
    <w:link w:val="HeaderCoverPageChar"/>
    <w:rsid w:val="00AA655D"/>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AA655D"/>
    <w:rPr>
      <w:sz w:val="24"/>
      <w:szCs w:val="24"/>
      <w:lang w:val="en-GB"/>
    </w:rPr>
  </w:style>
  <w:style w:type="paragraph" w:customStyle="1" w:styleId="HeaderSensitivity">
    <w:name w:val="Header Sensitivity"/>
    <w:basedOn w:val="Normal"/>
    <w:link w:val="HeaderSensitivityChar"/>
    <w:rsid w:val="00AA65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A655D"/>
    <w:rPr>
      <w:b/>
      <w:sz w:val="32"/>
      <w:szCs w:val="24"/>
      <w:lang w:val="en-GB"/>
    </w:rPr>
  </w:style>
  <w:style w:type="paragraph" w:customStyle="1" w:styleId="HeaderSensitivityRight">
    <w:name w:val="Header Sensitivity Right"/>
    <w:basedOn w:val="Normal"/>
    <w:link w:val="HeaderSensitivityRightChar"/>
    <w:rsid w:val="006212A3"/>
    <w:pPr>
      <w:spacing w:after="120"/>
      <w:jc w:val="right"/>
    </w:pPr>
    <w:rPr>
      <w:sz w:val="28"/>
    </w:rPr>
  </w:style>
  <w:style w:type="character" w:customStyle="1" w:styleId="HeaderSensitivityRightChar">
    <w:name w:val="Header Sensitivity Right Char"/>
    <w:basedOn w:val="DefaultParagraphFont"/>
    <w:link w:val="HeaderSensitivityRight"/>
    <w:rsid w:val="00AA655D"/>
    <w:rPr>
      <w:sz w:val="28"/>
      <w:szCs w:val="24"/>
      <w:lang w:val="en-GB"/>
    </w:rPr>
  </w:style>
  <w:style w:type="paragraph" w:styleId="FootnoteText">
    <w:name w:val="footnote text"/>
    <w:basedOn w:val="Normal"/>
    <w:uiPriority w:val="99"/>
    <w:qFormat/>
    <w:rsid w:val="00AA655D"/>
    <w:rPr>
      <w:rFonts w:eastAsia="Calibri"/>
      <w:sz w:val="20"/>
      <w:szCs w:val="20"/>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ootnote Text Char1 Char,fn Char"/>
    <w:basedOn w:val="DefaultParagraphFont"/>
    <w:uiPriority w:val="99"/>
    <w:rsid w:val="00AA655D"/>
    <w:rPr>
      <w:rFonts w:eastAsia="Calibri"/>
      <w:lang w:val="en-GB"/>
    </w:rPr>
  </w:style>
  <w:style w:type="character" w:styleId="FootnoteReference">
    <w:name w:val="footnote reference"/>
    <w:aliases w:val="EN Footnote Reference,Times 10 Point,Exposant 3 Point,Footnote symbol,Footnote reference number,note TESI,stylish,Footnote Reference Superscript,BVI fnr,number,Voetnootverwijzing,SUPERS,Ref,de nota al pie,Footnote sign,callout"/>
    <w:uiPriority w:val="99"/>
    <w:unhideWhenUsed/>
    <w:qFormat/>
    <w:rsid w:val="00AA655D"/>
    <w:rPr>
      <w:shd w:val="clear" w:color="auto" w:fill="auto"/>
      <w:vertAlign w:val="superscript"/>
    </w:rPr>
  </w:style>
  <w:style w:type="character" w:styleId="Hyperlink">
    <w:name w:val="Hyperlink"/>
    <w:uiPriority w:val="99"/>
    <w:rsid w:val="00AA655D"/>
    <w:rPr>
      <w:color w:val="0000FF"/>
      <w:u w:val="single"/>
    </w:rPr>
  </w:style>
  <w:style w:type="paragraph" w:customStyle="1" w:styleId="Default">
    <w:name w:val="Default"/>
    <w:rsid w:val="00AA655D"/>
    <w:pPr>
      <w:autoSpaceDE w:val="0"/>
      <w:autoSpaceDN w:val="0"/>
      <w:adjustRightInd w:val="0"/>
    </w:pPr>
    <w:rPr>
      <w:rFonts w:ascii="Calibri" w:hAnsi="Calibri" w:cs="Calibri"/>
      <w:color w:val="000000"/>
      <w:sz w:val="24"/>
      <w:szCs w:val="24"/>
      <w:lang w:val="en-GB"/>
    </w:rPr>
  </w:style>
  <w:style w:type="paragraph" w:styleId="ListParagraph">
    <w:name w:val="List Paragraph"/>
    <w:basedOn w:val="Normal"/>
    <w:uiPriority w:val="34"/>
    <w:qFormat/>
    <w:rsid w:val="00AA655D"/>
    <w:pPr>
      <w:ind w:left="720"/>
    </w:pPr>
    <w:rPr>
      <w:rFonts w:ascii="Calibri" w:eastAsia="Calibri" w:hAnsi="Calibri" w:cs="Calibri"/>
      <w:sz w:val="22"/>
      <w:szCs w:val="22"/>
      <w:lang w:eastAsia="en-GB"/>
    </w:rPr>
  </w:style>
  <w:style w:type="paragraph" w:styleId="BalloonText">
    <w:name w:val="Balloon Text"/>
    <w:basedOn w:val="Normal"/>
    <w:link w:val="BalloonTextChar"/>
    <w:semiHidden/>
    <w:unhideWhenUsed/>
    <w:rsid w:val="00BC3F24"/>
    <w:rPr>
      <w:rFonts w:ascii="Segoe UI" w:hAnsi="Segoe UI" w:cs="Segoe UI"/>
      <w:sz w:val="18"/>
      <w:szCs w:val="18"/>
    </w:rPr>
  </w:style>
  <w:style w:type="character" w:customStyle="1" w:styleId="BalloonTextChar">
    <w:name w:val="Balloon Text Char"/>
    <w:basedOn w:val="DefaultParagraphFont"/>
    <w:link w:val="BalloonText"/>
    <w:semiHidden/>
    <w:rsid w:val="00BC3F24"/>
    <w:rPr>
      <w:rFonts w:ascii="Segoe UI" w:hAnsi="Segoe UI" w:cs="Segoe UI"/>
      <w:sz w:val="18"/>
      <w:szCs w:val="18"/>
      <w:lang w:val="en-GB"/>
    </w:rPr>
  </w:style>
  <w:style w:type="character" w:styleId="Strong">
    <w:name w:val="Strong"/>
    <w:basedOn w:val="DefaultParagraphFont"/>
    <w:uiPriority w:val="22"/>
    <w:qFormat/>
    <w:rsid w:val="00261DE1"/>
    <w:rPr>
      <w:b/>
      <w:bCs/>
    </w:rPr>
  </w:style>
  <w:style w:type="character" w:styleId="CommentReference">
    <w:name w:val="annotation reference"/>
    <w:basedOn w:val="DefaultParagraphFont"/>
    <w:uiPriority w:val="99"/>
    <w:semiHidden/>
    <w:unhideWhenUsed/>
    <w:rsid w:val="00A3660F"/>
    <w:rPr>
      <w:sz w:val="16"/>
      <w:szCs w:val="16"/>
    </w:rPr>
  </w:style>
  <w:style w:type="paragraph" w:styleId="CommentText">
    <w:name w:val="annotation text"/>
    <w:basedOn w:val="Normal"/>
    <w:link w:val="CommentTextChar"/>
    <w:uiPriority w:val="99"/>
    <w:unhideWhenUsed/>
    <w:rsid w:val="00A3660F"/>
    <w:rPr>
      <w:sz w:val="20"/>
      <w:szCs w:val="20"/>
    </w:rPr>
  </w:style>
  <w:style w:type="character" w:customStyle="1" w:styleId="CommentTextChar">
    <w:name w:val="Comment Text Char"/>
    <w:basedOn w:val="DefaultParagraphFont"/>
    <w:link w:val="CommentText"/>
    <w:uiPriority w:val="99"/>
    <w:rsid w:val="00A3660F"/>
    <w:rPr>
      <w:lang w:val="en-GB"/>
    </w:rPr>
  </w:style>
  <w:style w:type="paragraph" w:styleId="CommentSubject">
    <w:name w:val="annotation subject"/>
    <w:basedOn w:val="CommentText"/>
    <w:next w:val="CommentText"/>
    <w:link w:val="CommentSubjectChar"/>
    <w:semiHidden/>
    <w:unhideWhenUsed/>
    <w:rsid w:val="00A3660F"/>
    <w:rPr>
      <w:b/>
      <w:bCs/>
    </w:rPr>
  </w:style>
  <w:style w:type="character" w:customStyle="1" w:styleId="CommentSubjectChar">
    <w:name w:val="Comment Subject Char"/>
    <w:basedOn w:val="CommentTextChar"/>
    <w:link w:val="CommentSubject"/>
    <w:semiHidden/>
    <w:rsid w:val="00A3660F"/>
    <w:rPr>
      <w:b/>
      <w:bCs/>
      <w:lang w:val="en-GB"/>
    </w:rPr>
  </w:style>
  <w:style w:type="paragraph" w:styleId="Revision">
    <w:name w:val="Revision"/>
    <w:hidden/>
    <w:uiPriority w:val="99"/>
    <w:semiHidden/>
    <w:rsid w:val="00A3660F"/>
    <w:rPr>
      <w:sz w:val="24"/>
      <w:szCs w:val="24"/>
      <w:lang w:val="en-GB"/>
    </w:rPr>
  </w:style>
  <w:style w:type="paragraph" w:styleId="EndnoteText">
    <w:name w:val="endnote text"/>
    <w:basedOn w:val="Normal"/>
    <w:link w:val="EndnoteTextChar"/>
    <w:semiHidden/>
    <w:unhideWhenUsed/>
    <w:rsid w:val="001B5C4A"/>
    <w:rPr>
      <w:sz w:val="20"/>
      <w:szCs w:val="20"/>
    </w:rPr>
  </w:style>
  <w:style w:type="character" w:customStyle="1" w:styleId="EndnoteTextChar">
    <w:name w:val="Endnote Text Char"/>
    <w:basedOn w:val="DefaultParagraphFont"/>
    <w:link w:val="EndnoteText"/>
    <w:semiHidden/>
    <w:rsid w:val="001B5C4A"/>
    <w:rPr>
      <w:lang w:val="en-GB"/>
    </w:rPr>
  </w:style>
  <w:style w:type="character" w:styleId="EndnoteReference">
    <w:name w:val="endnote reference"/>
    <w:basedOn w:val="DefaultParagraphFont"/>
    <w:semiHidden/>
    <w:unhideWhenUsed/>
    <w:rsid w:val="001B5C4A"/>
    <w:rPr>
      <w:vertAlign w:val="superscript"/>
    </w:rPr>
  </w:style>
  <w:style w:type="paragraph" w:customStyle="1" w:styleId="Briefingtext">
    <w:name w:val="Briefing text"/>
    <w:basedOn w:val="Normal"/>
    <w:link w:val="BriefingtextChar"/>
    <w:rsid w:val="00ED213C"/>
    <w:pPr>
      <w:spacing w:after="240"/>
      <w:jc w:val="both"/>
    </w:pPr>
    <w:rPr>
      <w:rFonts w:ascii="Arial" w:eastAsia="Times New Roman" w:hAnsi="Arial" w:cs="Arial"/>
      <w:sz w:val="22"/>
    </w:rPr>
  </w:style>
  <w:style w:type="character" w:customStyle="1" w:styleId="BriefingtextChar">
    <w:name w:val="Briefing text Char"/>
    <w:link w:val="Briefingtext"/>
    <w:rsid w:val="00ED213C"/>
    <w:rPr>
      <w:rFonts w:ascii="Arial" w:eastAsia="Times New Roman" w:hAnsi="Arial" w:cs="Arial"/>
      <w:sz w:val="22"/>
      <w:szCs w:val="24"/>
      <w:lang w:val="en-GB"/>
    </w:rPr>
  </w:style>
  <w:style w:type="paragraph" w:customStyle="1" w:styleId="Typedudocument">
    <w:name w:val="Type du document"/>
    <w:basedOn w:val="Normal"/>
    <w:next w:val="Normal"/>
    <w:rsid w:val="0028246A"/>
    <w:pPr>
      <w:spacing w:before="360"/>
      <w:jc w:val="center"/>
    </w:pPr>
    <w:rPr>
      <w:b/>
      <w:szCs w:val="22"/>
    </w:rPr>
  </w:style>
  <w:style w:type="paragraph" w:customStyle="1" w:styleId="Titreobjet">
    <w:name w:val="Titre objet"/>
    <w:basedOn w:val="Normal"/>
    <w:next w:val="Normal"/>
    <w:rsid w:val="0028246A"/>
    <w:pPr>
      <w:spacing w:before="360" w:after="360"/>
      <w:jc w:val="center"/>
    </w:pPr>
    <w:rPr>
      <w:b/>
      <w:szCs w:val="22"/>
    </w:rPr>
  </w:style>
  <w:style w:type="character" w:styleId="FollowedHyperlink">
    <w:name w:val="FollowedHyperlink"/>
    <w:basedOn w:val="DefaultParagraphFont"/>
    <w:semiHidden/>
    <w:unhideWhenUsed/>
    <w:rsid w:val="003B2BCC"/>
    <w:rPr>
      <w:color w:val="800080" w:themeColor="followedHyperlink"/>
      <w:u w:val="single"/>
    </w:rPr>
  </w:style>
  <w:style w:type="paragraph" w:styleId="NormalWeb">
    <w:name w:val="Normal (Web)"/>
    <w:basedOn w:val="Normal"/>
    <w:uiPriority w:val="99"/>
    <w:semiHidden/>
    <w:unhideWhenUsed/>
    <w:rsid w:val="00B930EF"/>
    <w:pPr>
      <w:spacing w:after="160" w:line="259" w:lineRule="auto"/>
    </w:pPr>
    <w:rPr>
      <w:lang w:val="fr-FR"/>
    </w:rPr>
  </w:style>
  <w:style w:type="character" w:customStyle="1" w:styleId="UnresolvedMention1">
    <w:name w:val="Unresolved Mention1"/>
    <w:basedOn w:val="DefaultParagraphFont"/>
    <w:uiPriority w:val="99"/>
    <w:semiHidden/>
    <w:unhideWhenUsed/>
    <w:rsid w:val="005F47EB"/>
    <w:rPr>
      <w:color w:val="605E5C"/>
      <w:shd w:val="clear" w:color="auto" w:fill="E1DFDD"/>
    </w:rPr>
  </w:style>
  <w:style w:type="paragraph" w:customStyle="1" w:styleId="Disclaimer">
    <w:name w:val="Disclaimer"/>
    <w:basedOn w:val="Normal"/>
    <w:rsid w:val="000C06D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szCs w:val="22"/>
    </w:rPr>
  </w:style>
  <w:style w:type="paragraph" w:customStyle="1" w:styleId="SecurityMarking">
    <w:name w:val="SecurityMarking"/>
    <w:basedOn w:val="Normal"/>
    <w:rsid w:val="006212A3"/>
    <w:pPr>
      <w:spacing w:line="276" w:lineRule="auto"/>
      <w:ind w:left="5103"/>
    </w:pPr>
    <w:rPr>
      <w:sz w:val="28"/>
      <w:szCs w:val="22"/>
    </w:rPr>
  </w:style>
  <w:style w:type="paragraph" w:customStyle="1" w:styleId="DateMarking">
    <w:name w:val="DateMarking"/>
    <w:basedOn w:val="Normal"/>
    <w:rsid w:val="006212A3"/>
    <w:pPr>
      <w:spacing w:line="276" w:lineRule="auto"/>
      <w:ind w:left="5103"/>
    </w:pPr>
    <w:rPr>
      <w:i/>
      <w:sz w:val="28"/>
      <w:szCs w:val="22"/>
    </w:rPr>
  </w:style>
  <w:style w:type="paragraph" w:customStyle="1" w:styleId="ReleasableTo">
    <w:name w:val="ReleasableTo"/>
    <w:basedOn w:val="Normal"/>
    <w:rsid w:val="006212A3"/>
    <w:pPr>
      <w:spacing w:line="276" w:lineRule="auto"/>
      <w:ind w:left="5103"/>
    </w:pPr>
    <w:rPr>
      <w:i/>
      <w:sz w:val="28"/>
      <w:szCs w:val="22"/>
    </w:rPr>
  </w:style>
  <w:style w:type="character" w:customStyle="1" w:styleId="Heading1Char">
    <w:name w:val="Heading 1 Char"/>
    <w:basedOn w:val="DefaultParagraphFont"/>
    <w:link w:val="Heading1"/>
    <w:uiPriority w:val="9"/>
    <w:rsid w:val="00586CC5"/>
    <w:rPr>
      <w:rFonts w:eastAsiaTheme="majorEastAsia" w:cstheme="majorBidi"/>
      <w:b/>
      <w:sz w:val="32"/>
      <w:szCs w:val="32"/>
    </w:rPr>
  </w:style>
  <w:style w:type="character" w:customStyle="1" w:styleId="Heading2Char">
    <w:name w:val="Heading 2 Char"/>
    <w:basedOn w:val="DefaultParagraphFont"/>
    <w:link w:val="Heading2"/>
    <w:uiPriority w:val="9"/>
    <w:rsid w:val="00586CC5"/>
    <w:rPr>
      <w:rFonts w:eastAsiaTheme="majorEastAsia" w:cstheme="majorBidi"/>
      <w:b/>
      <w:sz w:val="24"/>
      <w:szCs w:val="26"/>
    </w:rPr>
  </w:style>
  <w:style w:type="table" w:styleId="TableGrid">
    <w:name w:val="Table Grid"/>
    <w:basedOn w:val="TableNormal"/>
    <w:rsid w:val="00421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D1B73"/>
    <w:rPr>
      <w:color w:val="605E5C"/>
      <w:shd w:val="clear" w:color="auto" w:fill="E1DFDD"/>
    </w:rPr>
  </w:style>
  <w:style w:type="paragraph" w:customStyle="1" w:styleId="oj-normal">
    <w:name w:val="oj-normal"/>
    <w:basedOn w:val="Normal"/>
    <w:rsid w:val="00847A46"/>
    <w:pPr>
      <w:spacing w:before="100" w:beforeAutospacing="1" w:after="100" w:afterAutospacing="1"/>
    </w:pPr>
    <w:rPr>
      <w:rFonts w:eastAsia="Times New Roman"/>
      <w:lang w:val="en-US"/>
    </w:rPr>
  </w:style>
  <w:style w:type="character" w:customStyle="1" w:styleId="oj-bold">
    <w:name w:val="oj-bold"/>
    <w:basedOn w:val="DefaultParagraphFont"/>
    <w:rsid w:val="00847A46"/>
  </w:style>
  <w:style w:type="character" w:styleId="Emphasis">
    <w:name w:val="Emphasis"/>
    <w:basedOn w:val="DefaultParagraphFont"/>
    <w:uiPriority w:val="20"/>
    <w:qFormat/>
    <w:rsid w:val="00BA24C6"/>
    <w:rPr>
      <w:i/>
      <w:iCs/>
    </w:rPr>
  </w:style>
  <w:style w:type="character" w:styleId="UnresolvedMention">
    <w:name w:val="Unresolved Mention"/>
    <w:basedOn w:val="DefaultParagraphFont"/>
    <w:uiPriority w:val="99"/>
    <w:semiHidden/>
    <w:unhideWhenUsed/>
    <w:rsid w:val="00A45A1D"/>
    <w:rPr>
      <w:color w:val="605E5C"/>
      <w:shd w:val="clear" w:color="auto" w:fill="E1DFDD"/>
    </w:rPr>
  </w:style>
  <w:style w:type="paragraph" w:styleId="TOC1">
    <w:name w:val="toc 1"/>
    <w:basedOn w:val="Normal"/>
    <w:next w:val="Normal"/>
    <w:link w:val="TOC1Char"/>
    <w:autoRedefine/>
    <w:uiPriority w:val="39"/>
    <w:unhideWhenUsed/>
    <w:rsid w:val="00FD0AB2"/>
    <w:pPr>
      <w:numPr>
        <w:numId w:val="28"/>
      </w:numPr>
      <w:tabs>
        <w:tab w:val="left" w:pos="480"/>
        <w:tab w:val="right" w:leader="dot" w:pos="9062"/>
      </w:tabs>
      <w:spacing w:after="100"/>
    </w:pPr>
    <w:rPr>
      <w:rFonts w:eastAsia="Times New Roman"/>
      <w:b/>
      <w:bCs/>
      <w:smallCaps/>
      <w:lang w:val="en-IE" w:eastAsia="en-GB"/>
    </w:rPr>
  </w:style>
  <w:style w:type="character" w:customStyle="1" w:styleId="TOC1Char">
    <w:name w:val="TOC 1 Char"/>
    <w:basedOn w:val="DefaultParagraphFont"/>
    <w:link w:val="TOC1"/>
    <w:uiPriority w:val="39"/>
    <w:rsid w:val="00FD0AB2"/>
    <w:rPr>
      <w:rFonts w:eastAsia="Times New Roman"/>
      <w:b/>
      <w:bCs/>
      <w:smallCaps/>
      <w:sz w:val="24"/>
      <w:szCs w:val="24"/>
      <w:lang w:val="en-IE" w:eastAsia="en-GB"/>
    </w:rPr>
  </w:style>
  <w:style w:type="paragraph" w:customStyle="1" w:styleId="Languesfaisantfoi">
    <w:name w:val="Langues faisant foi"/>
    <w:basedOn w:val="Normal"/>
    <w:next w:val="Normal"/>
    <w:rsid w:val="008E1656"/>
    <w:pPr>
      <w:spacing w:before="360" w:after="240"/>
      <w:jc w:val="center"/>
    </w:pPr>
    <w:rPr>
      <w:szCs w:val="22"/>
    </w:rPr>
  </w:style>
  <w:style w:type="paragraph" w:customStyle="1" w:styleId="LanguesfaisantfoiPagedecouverture">
    <w:name w:val="Langues faisant foi (Page de couverture)"/>
    <w:basedOn w:val="Normal"/>
    <w:next w:val="Normal"/>
    <w:rsid w:val="008E1656"/>
    <w:pPr>
      <w:spacing w:before="360" w:after="240"/>
      <w:jc w:val="center"/>
    </w:pPr>
    <w:rPr>
      <w:szCs w:val="22"/>
    </w:rPr>
  </w:style>
  <w:style w:type="paragraph" w:customStyle="1" w:styleId="IntrtEEE">
    <w:name w:val="Intérêt EEE"/>
    <w:basedOn w:val="Languesfaisantfoi"/>
    <w:next w:val="Normal"/>
    <w:rsid w:val="008E1656"/>
    <w:pPr>
      <w:spacing w:after="0"/>
    </w:pPr>
  </w:style>
  <w:style w:type="paragraph" w:customStyle="1" w:styleId="IntrtEEEPagedecouverture">
    <w:name w:val="Intérêt EEE (Page de couverture)"/>
    <w:basedOn w:val="IntrtEEE"/>
    <w:next w:val="Normal"/>
    <w:rsid w:val="008E1656"/>
  </w:style>
  <w:style w:type="paragraph" w:customStyle="1" w:styleId="ListAR">
    <w:name w:val="List AR"/>
    <w:basedOn w:val="Normal"/>
    <w:link w:val="ListARChar"/>
    <w:qFormat/>
    <w:rsid w:val="00FD0AB2"/>
    <w:pPr>
      <w:spacing w:before="100" w:beforeAutospacing="1" w:after="100" w:afterAutospacing="1"/>
      <w:jc w:val="both"/>
    </w:pPr>
    <w:rPr>
      <w:rFonts w:eastAsia="Times New Roman"/>
      <w:b/>
      <w:bCs/>
      <w:noProof/>
      <w:lang w:val="en-IE" w:eastAsia="en-GB"/>
    </w:rPr>
  </w:style>
  <w:style w:type="character" w:customStyle="1" w:styleId="ListARChar">
    <w:name w:val="List AR Char"/>
    <w:basedOn w:val="DefaultParagraphFont"/>
    <w:link w:val="ListAR"/>
    <w:rsid w:val="00FD0AB2"/>
    <w:rPr>
      <w:rFonts w:eastAsia="Times New Roman"/>
      <w:b/>
      <w:bCs/>
      <w:noProof/>
      <w:sz w:val="24"/>
      <w:szCs w:val="24"/>
      <w:lang w:val="en-IE" w:eastAsia="en-GB"/>
    </w:rPr>
  </w:style>
  <w:style w:type="character" w:styleId="Mention">
    <w:name w:val="Mention"/>
    <w:basedOn w:val="DefaultParagraphFont"/>
    <w:uiPriority w:val="99"/>
    <w:unhideWhenUsed/>
    <w:rsid w:val="00FB04D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59541">
      <w:bodyDiv w:val="1"/>
      <w:marLeft w:val="0"/>
      <w:marRight w:val="0"/>
      <w:marTop w:val="0"/>
      <w:marBottom w:val="0"/>
      <w:divBdr>
        <w:top w:val="none" w:sz="0" w:space="0" w:color="auto"/>
        <w:left w:val="none" w:sz="0" w:space="0" w:color="auto"/>
        <w:bottom w:val="none" w:sz="0" w:space="0" w:color="auto"/>
        <w:right w:val="none" w:sz="0" w:space="0" w:color="auto"/>
      </w:divBdr>
    </w:div>
    <w:div w:id="328943808">
      <w:bodyDiv w:val="1"/>
      <w:marLeft w:val="0"/>
      <w:marRight w:val="0"/>
      <w:marTop w:val="0"/>
      <w:marBottom w:val="0"/>
      <w:divBdr>
        <w:top w:val="none" w:sz="0" w:space="0" w:color="auto"/>
        <w:left w:val="none" w:sz="0" w:space="0" w:color="auto"/>
        <w:bottom w:val="none" w:sz="0" w:space="0" w:color="auto"/>
        <w:right w:val="none" w:sz="0" w:space="0" w:color="auto"/>
      </w:divBdr>
    </w:div>
    <w:div w:id="402064030">
      <w:bodyDiv w:val="1"/>
      <w:marLeft w:val="0"/>
      <w:marRight w:val="0"/>
      <w:marTop w:val="0"/>
      <w:marBottom w:val="0"/>
      <w:divBdr>
        <w:top w:val="none" w:sz="0" w:space="0" w:color="auto"/>
        <w:left w:val="none" w:sz="0" w:space="0" w:color="auto"/>
        <w:bottom w:val="none" w:sz="0" w:space="0" w:color="auto"/>
        <w:right w:val="none" w:sz="0" w:space="0" w:color="auto"/>
      </w:divBdr>
      <w:divsChild>
        <w:div w:id="1519469774">
          <w:marLeft w:val="0"/>
          <w:marRight w:val="0"/>
          <w:marTop w:val="0"/>
          <w:marBottom w:val="0"/>
          <w:divBdr>
            <w:top w:val="none" w:sz="0" w:space="0" w:color="auto"/>
            <w:left w:val="none" w:sz="0" w:space="0" w:color="auto"/>
            <w:bottom w:val="none" w:sz="0" w:space="0" w:color="auto"/>
            <w:right w:val="none" w:sz="0" w:space="0" w:color="auto"/>
          </w:divBdr>
        </w:div>
      </w:divsChild>
    </w:div>
    <w:div w:id="427046119">
      <w:bodyDiv w:val="1"/>
      <w:marLeft w:val="0"/>
      <w:marRight w:val="0"/>
      <w:marTop w:val="0"/>
      <w:marBottom w:val="0"/>
      <w:divBdr>
        <w:top w:val="none" w:sz="0" w:space="0" w:color="auto"/>
        <w:left w:val="none" w:sz="0" w:space="0" w:color="auto"/>
        <w:bottom w:val="none" w:sz="0" w:space="0" w:color="auto"/>
        <w:right w:val="none" w:sz="0" w:space="0" w:color="auto"/>
      </w:divBdr>
    </w:div>
    <w:div w:id="456946548">
      <w:bodyDiv w:val="1"/>
      <w:marLeft w:val="0"/>
      <w:marRight w:val="0"/>
      <w:marTop w:val="0"/>
      <w:marBottom w:val="0"/>
      <w:divBdr>
        <w:top w:val="none" w:sz="0" w:space="0" w:color="auto"/>
        <w:left w:val="none" w:sz="0" w:space="0" w:color="auto"/>
        <w:bottom w:val="none" w:sz="0" w:space="0" w:color="auto"/>
        <w:right w:val="none" w:sz="0" w:space="0" w:color="auto"/>
      </w:divBdr>
    </w:div>
    <w:div w:id="632445067">
      <w:bodyDiv w:val="1"/>
      <w:marLeft w:val="0"/>
      <w:marRight w:val="0"/>
      <w:marTop w:val="0"/>
      <w:marBottom w:val="0"/>
      <w:divBdr>
        <w:top w:val="none" w:sz="0" w:space="0" w:color="auto"/>
        <w:left w:val="none" w:sz="0" w:space="0" w:color="auto"/>
        <w:bottom w:val="none" w:sz="0" w:space="0" w:color="auto"/>
        <w:right w:val="none" w:sz="0" w:space="0" w:color="auto"/>
      </w:divBdr>
    </w:div>
    <w:div w:id="633759755">
      <w:bodyDiv w:val="1"/>
      <w:marLeft w:val="0"/>
      <w:marRight w:val="0"/>
      <w:marTop w:val="0"/>
      <w:marBottom w:val="0"/>
      <w:divBdr>
        <w:top w:val="none" w:sz="0" w:space="0" w:color="auto"/>
        <w:left w:val="none" w:sz="0" w:space="0" w:color="auto"/>
        <w:bottom w:val="none" w:sz="0" w:space="0" w:color="auto"/>
        <w:right w:val="none" w:sz="0" w:space="0" w:color="auto"/>
      </w:divBdr>
    </w:div>
    <w:div w:id="682131426">
      <w:bodyDiv w:val="1"/>
      <w:marLeft w:val="0"/>
      <w:marRight w:val="0"/>
      <w:marTop w:val="0"/>
      <w:marBottom w:val="0"/>
      <w:divBdr>
        <w:top w:val="none" w:sz="0" w:space="0" w:color="auto"/>
        <w:left w:val="none" w:sz="0" w:space="0" w:color="auto"/>
        <w:bottom w:val="none" w:sz="0" w:space="0" w:color="auto"/>
        <w:right w:val="none" w:sz="0" w:space="0" w:color="auto"/>
      </w:divBdr>
      <w:divsChild>
        <w:div w:id="1520580202">
          <w:marLeft w:val="0"/>
          <w:marRight w:val="0"/>
          <w:marTop w:val="0"/>
          <w:marBottom w:val="0"/>
          <w:divBdr>
            <w:top w:val="none" w:sz="0" w:space="0" w:color="auto"/>
            <w:left w:val="none" w:sz="0" w:space="0" w:color="auto"/>
            <w:bottom w:val="none" w:sz="0" w:space="0" w:color="auto"/>
            <w:right w:val="none" w:sz="0" w:space="0" w:color="auto"/>
          </w:divBdr>
        </w:div>
      </w:divsChild>
    </w:div>
    <w:div w:id="737675210">
      <w:bodyDiv w:val="1"/>
      <w:marLeft w:val="0"/>
      <w:marRight w:val="0"/>
      <w:marTop w:val="0"/>
      <w:marBottom w:val="0"/>
      <w:divBdr>
        <w:top w:val="none" w:sz="0" w:space="0" w:color="auto"/>
        <w:left w:val="none" w:sz="0" w:space="0" w:color="auto"/>
        <w:bottom w:val="none" w:sz="0" w:space="0" w:color="auto"/>
        <w:right w:val="none" w:sz="0" w:space="0" w:color="auto"/>
      </w:divBdr>
      <w:divsChild>
        <w:div w:id="1473713501">
          <w:marLeft w:val="0"/>
          <w:marRight w:val="0"/>
          <w:marTop w:val="0"/>
          <w:marBottom w:val="0"/>
          <w:divBdr>
            <w:top w:val="none" w:sz="0" w:space="0" w:color="auto"/>
            <w:left w:val="none" w:sz="0" w:space="0" w:color="auto"/>
            <w:bottom w:val="none" w:sz="0" w:space="0" w:color="auto"/>
            <w:right w:val="none" w:sz="0" w:space="0" w:color="auto"/>
          </w:divBdr>
          <w:divsChild>
            <w:div w:id="13916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065848">
      <w:bodyDiv w:val="1"/>
      <w:marLeft w:val="0"/>
      <w:marRight w:val="0"/>
      <w:marTop w:val="0"/>
      <w:marBottom w:val="0"/>
      <w:divBdr>
        <w:top w:val="none" w:sz="0" w:space="0" w:color="auto"/>
        <w:left w:val="none" w:sz="0" w:space="0" w:color="auto"/>
        <w:bottom w:val="none" w:sz="0" w:space="0" w:color="auto"/>
        <w:right w:val="none" w:sz="0" w:space="0" w:color="auto"/>
      </w:divBdr>
    </w:div>
    <w:div w:id="820582069">
      <w:bodyDiv w:val="1"/>
      <w:marLeft w:val="0"/>
      <w:marRight w:val="0"/>
      <w:marTop w:val="0"/>
      <w:marBottom w:val="0"/>
      <w:divBdr>
        <w:top w:val="none" w:sz="0" w:space="0" w:color="auto"/>
        <w:left w:val="none" w:sz="0" w:space="0" w:color="auto"/>
        <w:bottom w:val="none" w:sz="0" w:space="0" w:color="auto"/>
        <w:right w:val="none" w:sz="0" w:space="0" w:color="auto"/>
      </w:divBdr>
    </w:div>
    <w:div w:id="1012561974">
      <w:bodyDiv w:val="1"/>
      <w:marLeft w:val="0"/>
      <w:marRight w:val="0"/>
      <w:marTop w:val="0"/>
      <w:marBottom w:val="0"/>
      <w:divBdr>
        <w:top w:val="none" w:sz="0" w:space="0" w:color="auto"/>
        <w:left w:val="none" w:sz="0" w:space="0" w:color="auto"/>
        <w:bottom w:val="none" w:sz="0" w:space="0" w:color="auto"/>
        <w:right w:val="none" w:sz="0" w:space="0" w:color="auto"/>
      </w:divBdr>
    </w:div>
    <w:div w:id="1128626362">
      <w:bodyDiv w:val="1"/>
      <w:marLeft w:val="0"/>
      <w:marRight w:val="0"/>
      <w:marTop w:val="0"/>
      <w:marBottom w:val="0"/>
      <w:divBdr>
        <w:top w:val="none" w:sz="0" w:space="0" w:color="auto"/>
        <w:left w:val="none" w:sz="0" w:space="0" w:color="auto"/>
        <w:bottom w:val="none" w:sz="0" w:space="0" w:color="auto"/>
        <w:right w:val="none" w:sz="0" w:space="0" w:color="auto"/>
      </w:divBdr>
    </w:div>
    <w:div w:id="1342707757">
      <w:bodyDiv w:val="1"/>
      <w:marLeft w:val="0"/>
      <w:marRight w:val="0"/>
      <w:marTop w:val="0"/>
      <w:marBottom w:val="0"/>
      <w:divBdr>
        <w:top w:val="none" w:sz="0" w:space="0" w:color="auto"/>
        <w:left w:val="none" w:sz="0" w:space="0" w:color="auto"/>
        <w:bottom w:val="none" w:sz="0" w:space="0" w:color="auto"/>
        <w:right w:val="none" w:sz="0" w:space="0" w:color="auto"/>
      </w:divBdr>
    </w:div>
    <w:div w:id="1397967855">
      <w:bodyDiv w:val="1"/>
      <w:marLeft w:val="0"/>
      <w:marRight w:val="0"/>
      <w:marTop w:val="0"/>
      <w:marBottom w:val="0"/>
      <w:divBdr>
        <w:top w:val="none" w:sz="0" w:space="0" w:color="auto"/>
        <w:left w:val="none" w:sz="0" w:space="0" w:color="auto"/>
        <w:bottom w:val="none" w:sz="0" w:space="0" w:color="auto"/>
        <w:right w:val="none" w:sz="0" w:space="0" w:color="auto"/>
      </w:divBdr>
      <w:divsChild>
        <w:div w:id="1141653217">
          <w:marLeft w:val="0"/>
          <w:marRight w:val="0"/>
          <w:marTop w:val="0"/>
          <w:marBottom w:val="0"/>
          <w:divBdr>
            <w:top w:val="none" w:sz="0" w:space="0" w:color="auto"/>
            <w:left w:val="none" w:sz="0" w:space="0" w:color="auto"/>
            <w:bottom w:val="none" w:sz="0" w:space="0" w:color="auto"/>
            <w:right w:val="none" w:sz="0" w:space="0" w:color="auto"/>
          </w:divBdr>
          <w:divsChild>
            <w:div w:id="12468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131193">
      <w:bodyDiv w:val="1"/>
      <w:marLeft w:val="0"/>
      <w:marRight w:val="0"/>
      <w:marTop w:val="0"/>
      <w:marBottom w:val="0"/>
      <w:divBdr>
        <w:top w:val="none" w:sz="0" w:space="0" w:color="auto"/>
        <w:left w:val="none" w:sz="0" w:space="0" w:color="auto"/>
        <w:bottom w:val="none" w:sz="0" w:space="0" w:color="auto"/>
        <w:right w:val="none" w:sz="0" w:space="0" w:color="auto"/>
      </w:divBdr>
    </w:div>
    <w:div w:id="1488205042">
      <w:bodyDiv w:val="1"/>
      <w:marLeft w:val="0"/>
      <w:marRight w:val="0"/>
      <w:marTop w:val="0"/>
      <w:marBottom w:val="0"/>
      <w:divBdr>
        <w:top w:val="none" w:sz="0" w:space="0" w:color="auto"/>
        <w:left w:val="none" w:sz="0" w:space="0" w:color="auto"/>
        <w:bottom w:val="none" w:sz="0" w:space="0" w:color="auto"/>
        <w:right w:val="none" w:sz="0" w:space="0" w:color="auto"/>
      </w:divBdr>
    </w:div>
    <w:div w:id="1635284086">
      <w:bodyDiv w:val="1"/>
      <w:marLeft w:val="0"/>
      <w:marRight w:val="0"/>
      <w:marTop w:val="0"/>
      <w:marBottom w:val="0"/>
      <w:divBdr>
        <w:top w:val="none" w:sz="0" w:space="0" w:color="auto"/>
        <w:left w:val="none" w:sz="0" w:space="0" w:color="auto"/>
        <w:bottom w:val="none" w:sz="0" w:space="0" w:color="auto"/>
        <w:right w:val="none" w:sz="0" w:space="0" w:color="auto"/>
      </w:divBdr>
    </w:div>
    <w:div w:id="1661690982">
      <w:bodyDiv w:val="1"/>
      <w:marLeft w:val="0"/>
      <w:marRight w:val="0"/>
      <w:marTop w:val="0"/>
      <w:marBottom w:val="0"/>
      <w:divBdr>
        <w:top w:val="none" w:sz="0" w:space="0" w:color="auto"/>
        <w:left w:val="none" w:sz="0" w:space="0" w:color="auto"/>
        <w:bottom w:val="none" w:sz="0" w:space="0" w:color="auto"/>
        <w:right w:val="none" w:sz="0" w:space="0" w:color="auto"/>
      </w:divBdr>
    </w:div>
    <w:div w:id="1689335792">
      <w:bodyDiv w:val="1"/>
      <w:marLeft w:val="0"/>
      <w:marRight w:val="0"/>
      <w:marTop w:val="0"/>
      <w:marBottom w:val="0"/>
      <w:divBdr>
        <w:top w:val="none" w:sz="0" w:space="0" w:color="auto"/>
        <w:left w:val="none" w:sz="0" w:space="0" w:color="auto"/>
        <w:bottom w:val="none" w:sz="0" w:space="0" w:color="auto"/>
        <w:right w:val="none" w:sz="0" w:space="0" w:color="auto"/>
      </w:divBdr>
    </w:div>
    <w:div w:id="1716613597">
      <w:bodyDiv w:val="1"/>
      <w:marLeft w:val="0"/>
      <w:marRight w:val="0"/>
      <w:marTop w:val="0"/>
      <w:marBottom w:val="0"/>
      <w:divBdr>
        <w:top w:val="none" w:sz="0" w:space="0" w:color="auto"/>
        <w:left w:val="none" w:sz="0" w:space="0" w:color="auto"/>
        <w:bottom w:val="none" w:sz="0" w:space="0" w:color="auto"/>
        <w:right w:val="none" w:sz="0" w:space="0" w:color="auto"/>
      </w:divBdr>
    </w:div>
    <w:div w:id="1735616577">
      <w:bodyDiv w:val="1"/>
      <w:marLeft w:val="0"/>
      <w:marRight w:val="0"/>
      <w:marTop w:val="0"/>
      <w:marBottom w:val="0"/>
      <w:divBdr>
        <w:top w:val="none" w:sz="0" w:space="0" w:color="auto"/>
        <w:left w:val="none" w:sz="0" w:space="0" w:color="auto"/>
        <w:bottom w:val="none" w:sz="0" w:space="0" w:color="auto"/>
        <w:right w:val="none" w:sz="0" w:space="0" w:color="auto"/>
      </w:divBdr>
      <w:divsChild>
        <w:div w:id="611743725">
          <w:marLeft w:val="0"/>
          <w:marRight w:val="0"/>
          <w:marTop w:val="0"/>
          <w:marBottom w:val="0"/>
          <w:divBdr>
            <w:top w:val="none" w:sz="0" w:space="0" w:color="auto"/>
            <w:left w:val="none" w:sz="0" w:space="0" w:color="auto"/>
            <w:bottom w:val="none" w:sz="0" w:space="0" w:color="auto"/>
            <w:right w:val="none" w:sz="0" w:space="0" w:color="auto"/>
          </w:divBdr>
        </w:div>
      </w:divsChild>
    </w:div>
    <w:div w:id="1753161304">
      <w:bodyDiv w:val="1"/>
      <w:marLeft w:val="0"/>
      <w:marRight w:val="0"/>
      <w:marTop w:val="0"/>
      <w:marBottom w:val="0"/>
      <w:divBdr>
        <w:top w:val="none" w:sz="0" w:space="0" w:color="auto"/>
        <w:left w:val="none" w:sz="0" w:space="0" w:color="auto"/>
        <w:bottom w:val="none" w:sz="0" w:space="0" w:color="auto"/>
        <w:right w:val="none" w:sz="0" w:space="0" w:color="auto"/>
      </w:divBdr>
      <w:divsChild>
        <w:div w:id="467169591">
          <w:marLeft w:val="0"/>
          <w:marRight w:val="0"/>
          <w:marTop w:val="0"/>
          <w:marBottom w:val="0"/>
          <w:divBdr>
            <w:top w:val="none" w:sz="0" w:space="0" w:color="auto"/>
            <w:left w:val="none" w:sz="0" w:space="0" w:color="auto"/>
            <w:bottom w:val="none" w:sz="0" w:space="0" w:color="auto"/>
            <w:right w:val="none" w:sz="0" w:space="0" w:color="auto"/>
          </w:divBdr>
        </w:div>
      </w:divsChild>
    </w:div>
    <w:div w:id="1765303523">
      <w:bodyDiv w:val="1"/>
      <w:marLeft w:val="0"/>
      <w:marRight w:val="0"/>
      <w:marTop w:val="0"/>
      <w:marBottom w:val="0"/>
      <w:divBdr>
        <w:top w:val="none" w:sz="0" w:space="0" w:color="auto"/>
        <w:left w:val="none" w:sz="0" w:space="0" w:color="auto"/>
        <w:bottom w:val="none" w:sz="0" w:space="0" w:color="auto"/>
        <w:right w:val="none" w:sz="0" w:space="0" w:color="auto"/>
      </w:divBdr>
    </w:div>
    <w:div w:id="1988245206">
      <w:bodyDiv w:val="1"/>
      <w:marLeft w:val="0"/>
      <w:marRight w:val="0"/>
      <w:marTop w:val="0"/>
      <w:marBottom w:val="0"/>
      <w:divBdr>
        <w:top w:val="none" w:sz="0" w:space="0" w:color="auto"/>
        <w:left w:val="none" w:sz="0" w:space="0" w:color="auto"/>
        <w:bottom w:val="none" w:sz="0" w:space="0" w:color="auto"/>
        <w:right w:val="none" w:sz="0" w:space="0" w:color="auto"/>
      </w:divBdr>
    </w:div>
    <w:div w:id="2006519207">
      <w:bodyDiv w:val="1"/>
      <w:marLeft w:val="0"/>
      <w:marRight w:val="0"/>
      <w:marTop w:val="0"/>
      <w:marBottom w:val="0"/>
      <w:divBdr>
        <w:top w:val="none" w:sz="0" w:space="0" w:color="auto"/>
        <w:left w:val="none" w:sz="0" w:space="0" w:color="auto"/>
        <w:bottom w:val="none" w:sz="0" w:space="0" w:color="auto"/>
        <w:right w:val="none" w:sz="0" w:space="0" w:color="auto"/>
      </w:divBdr>
    </w:div>
    <w:div w:id="2009405792">
      <w:bodyDiv w:val="1"/>
      <w:marLeft w:val="0"/>
      <w:marRight w:val="0"/>
      <w:marTop w:val="0"/>
      <w:marBottom w:val="0"/>
      <w:divBdr>
        <w:top w:val="none" w:sz="0" w:space="0" w:color="auto"/>
        <w:left w:val="none" w:sz="0" w:space="0" w:color="auto"/>
        <w:bottom w:val="none" w:sz="0" w:space="0" w:color="auto"/>
        <w:right w:val="none" w:sz="0" w:space="0" w:color="auto"/>
      </w:divBdr>
    </w:div>
    <w:div w:id="2011567505">
      <w:bodyDiv w:val="1"/>
      <w:marLeft w:val="0"/>
      <w:marRight w:val="0"/>
      <w:marTop w:val="0"/>
      <w:marBottom w:val="0"/>
      <w:divBdr>
        <w:top w:val="none" w:sz="0" w:space="0" w:color="auto"/>
        <w:left w:val="none" w:sz="0" w:space="0" w:color="auto"/>
        <w:bottom w:val="none" w:sz="0" w:space="0" w:color="auto"/>
        <w:right w:val="none" w:sz="0" w:space="0" w:color="auto"/>
      </w:divBdr>
    </w:div>
    <w:div w:id="2073308212">
      <w:bodyDiv w:val="1"/>
      <w:marLeft w:val="0"/>
      <w:marRight w:val="0"/>
      <w:marTop w:val="0"/>
      <w:marBottom w:val="0"/>
      <w:divBdr>
        <w:top w:val="none" w:sz="0" w:space="0" w:color="auto"/>
        <w:left w:val="none" w:sz="0" w:space="0" w:color="auto"/>
        <w:bottom w:val="none" w:sz="0" w:space="0" w:color="auto"/>
        <w:right w:val="none" w:sz="0" w:space="0" w:color="auto"/>
      </w:divBdr>
    </w:div>
    <w:div w:id="2081781973">
      <w:bodyDiv w:val="1"/>
      <w:marLeft w:val="0"/>
      <w:marRight w:val="0"/>
      <w:marTop w:val="0"/>
      <w:marBottom w:val="0"/>
      <w:divBdr>
        <w:top w:val="none" w:sz="0" w:space="0" w:color="auto"/>
        <w:left w:val="none" w:sz="0" w:space="0" w:color="auto"/>
        <w:bottom w:val="none" w:sz="0" w:space="0" w:color="auto"/>
        <w:right w:val="none" w:sz="0" w:space="0" w:color="auto"/>
      </w:divBdr>
    </w:div>
    <w:div w:id="2132019505">
      <w:bodyDiv w:val="1"/>
      <w:marLeft w:val="0"/>
      <w:marRight w:val="0"/>
      <w:marTop w:val="0"/>
      <w:marBottom w:val="0"/>
      <w:divBdr>
        <w:top w:val="none" w:sz="0" w:space="0" w:color="auto"/>
        <w:left w:val="none" w:sz="0" w:space="0" w:color="auto"/>
        <w:bottom w:val="none" w:sz="0" w:space="0" w:color="auto"/>
        <w:right w:val="none" w:sz="0" w:space="0" w:color="auto"/>
      </w:divBdr>
    </w:div>
    <w:div w:id="214669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header" Target="header4.xml"/><Relationship Id="rId47"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3.png"/><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eader" Target="header6.xml"/><Relationship Id="rId20" Type="http://schemas.openxmlformats.org/officeDocument/2006/relationships/image" Target="media/image4.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OJ:C_202405881" TargetMode="External"/><Relationship Id="rId13" Type="http://schemas.openxmlformats.org/officeDocument/2006/relationships/hyperlink" Target="https://eur-lex.europa.eu/legal-content/EN/TXT/?uri=CELEX%3A32024H0214" TargetMode="External"/><Relationship Id="rId3" Type="http://schemas.openxmlformats.org/officeDocument/2006/relationships/hyperlink" Target="http://data.europa.eu/eli/reco/2024/2659/oj" TargetMode="External"/><Relationship Id="rId7" Type="http://schemas.openxmlformats.org/officeDocument/2006/relationships/hyperlink" Target="https://policy.trade.ec.europa.eu/news/2025-update-eu-control-list-dual-use-items-2025-09-08_en" TargetMode="External"/><Relationship Id="rId12" Type="http://schemas.openxmlformats.org/officeDocument/2006/relationships/hyperlink" Target="https://eur-lex.europa.eu/legal-content/EN/TXT/?uri=CELEX%3A32025H0683" TargetMode="External"/><Relationship Id="rId2" Type="http://schemas.openxmlformats.org/officeDocument/2006/relationships/hyperlink" Target="http://data.europa.eu/eli/reco/2024/214/oj" TargetMode="External"/><Relationship Id="rId1" Type="http://schemas.openxmlformats.org/officeDocument/2006/relationships/hyperlink" Target="https://eur-lex.europa.eu/eli/reg/2021/821/oj" TargetMode="External"/><Relationship Id="rId6" Type="http://schemas.openxmlformats.org/officeDocument/2006/relationships/hyperlink" Target="https://ec.europa.eu/commission/presscorner/detail/en/ip_24_1827" TargetMode="External"/><Relationship Id="rId11" Type="http://schemas.openxmlformats.org/officeDocument/2006/relationships/hyperlink" Target="http://data.europa.eu/eli/C/2024/5881/oj" TargetMode="External"/><Relationship Id="rId5" Type="http://schemas.openxmlformats.org/officeDocument/2006/relationships/hyperlink" Target="https://finance.ec.europa.eu/news/sanctions-vis-vis-russia-commission-publishes-g7-industry-guidance-preventing-sanctions-evasion-2024-09-24_en" TargetMode="External"/><Relationship Id="rId10" Type="http://schemas.openxmlformats.org/officeDocument/2006/relationships/hyperlink" Target="http://data.europa.eu/eli/reco/2024/2659/oj" TargetMode="External"/><Relationship Id="rId4" Type="http://schemas.openxmlformats.org/officeDocument/2006/relationships/hyperlink" Target="https://www.consilium.europa.eu/en/press/press-releases/2024/12/16/russia-s-war-of-aggression-against-ukraine-eu-adopts-15th-package-of-restrictive-measures/" TargetMode="External"/><Relationship Id="rId9" Type="http://schemas.openxmlformats.org/officeDocument/2006/relationships/hyperlink" Target="http://data.europa.eu/eli/reco/2024/2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03B1793096BE3A4FB9DA0D2E58FD5B65" ma:contentTypeVersion="10" ma:contentTypeDescription="Create a new document." ma:contentTypeScope="" ma:versionID="3ff0772a4d6a6dfb544197eb222acc4a">
  <xsd:schema xmlns:xsd="http://www.w3.org/2001/XMLSchema" xmlns:xs="http://www.w3.org/2001/XMLSchema" xmlns:p="http://schemas.microsoft.com/office/2006/metadata/properties" xmlns:ns2="6b1d25af-802e-4359-9463-ce1558d3ca13" xmlns:ns3="2b970155-fa05-41de-9654-5cff8e1699d0" targetNamespace="http://schemas.microsoft.com/office/2006/metadata/properties" ma:root="true" ma:fieldsID="6ad6f73667a0dab0adf61a1db0c74d5c" ns2:_="" ns3:_="">
    <xsd:import namespace="6b1d25af-802e-4359-9463-ce1558d3ca13"/>
    <xsd:import namespace="2b970155-fa05-41de-9654-5cff8e1699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d25af-802e-4359-9463-ce1558d3c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970155-fa05-41de-9654-5cff8e1699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3e88e1-5ef9-4e7f-b1c7-c6e2a405650b}" ma:internalName="TaxCatchAll" ma:showField="CatchAllData" ma:web="2b970155-fa05-41de-9654-5cff8e169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1d25af-802e-4359-9463-ce1558d3ca13">
      <Terms xmlns="http://schemas.microsoft.com/office/infopath/2007/PartnerControls"/>
    </lcf76f155ced4ddcb4097134ff3c332f>
    <TaxCatchAll xmlns="2b970155-fa05-41de-9654-5cff8e1699d0" xsi:nil="true"/>
  </documentManagement>
</p:properties>
</file>

<file path=customXml/itemProps1.xml><?xml version="1.0" encoding="utf-8"?>
<ds:datastoreItem xmlns:ds="http://schemas.openxmlformats.org/officeDocument/2006/customXml" ds:itemID="{F9D68C12-9C7A-4DB3-B364-7EB42E9E3074}">
  <ds:schemaRefs>
    <ds:schemaRef ds:uri="http://schemas.microsoft.com/sharepoint/v3/contenttype/forms"/>
  </ds:schemaRefs>
</ds:datastoreItem>
</file>

<file path=customXml/itemProps2.xml><?xml version="1.0" encoding="utf-8"?>
<ds:datastoreItem xmlns:ds="http://schemas.openxmlformats.org/officeDocument/2006/customXml" ds:itemID="{EAA69111-C5AE-4145-8C68-A504FEFFAD7E}">
  <ds:schemaRefs>
    <ds:schemaRef ds:uri="http://schemas.openxmlformats.org/officeDocument/2006/bibliography"/>
  </ds:schemaRefs>
</ds:datastoreItem>
</file>

<file path=customXml/itemProps3.xml><?xml version="1.0" encoding="utf-8"?>
<ds:datastoreItem xmlns:ds="http://schemas.openxmlformats.org/officeDocument/2006/customXml" ds:itemID="{95B12E47-F53D-4BFE-8B00-F77D0CE77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d25af-802e-4359-9463-ce1558d3ca13"/>
    <ds:schemaRef ds:uri="2b970155-fa05-41de-9654-5cff8e169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B3B177-C968-4CC8-9677-050A995683D3}">
  <ds:schemaRefs>
    <ds:schemaRef ds:uri="http://schemas.microsoft.com/office/2006/metadata/properties"/>
    <ds:schemaRef ds:uri="http://schemas.microsoft.com/office/infopath/2007/PartnerControls"/>
    <ds:schemaRef ds:uri="6b1d25af-802e-4359-9463-ce1558d3ca13"/>
    <ds:schemaRef ds:uri="2b970155-fa05-41de-9654-5cff8e1699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5873</Words>
  <Characters>33068</Characters>
  <Application>Microsoft Office Word</Application>
  <DocSecurity>0</DocSecurity>
  <Lines>533</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MELANEN Anri (TRADE)</dc:creator>
  <cp:keywords/>
  <dc:description/>
  <cp:lastModifiedBy>VANROY Anne (SG)</cp:lastModifiedBy>
  <cp:revision>2</cp:revision>
  <dcterms:created xsi:type="dcterms:W3CDTF">2026-06-25T09:21:00Z</dcterms:created>
  <dcterms:modified xsi:type="dcterms:W3CDTF">2026-06-25T09:21:00Z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2026-04-20T09:51:24Z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b71fa6d9-87ce-4a4c-8466-e4c85f42fa22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0x01010003B1793096BE3A4FB9DA0D2E58FD5B65</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