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1D2" w:rsidRDefault="00E33EFA" w:rsidP="00E33EF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0599A3-FD13-418E-B580-46E61B3E50D5" style="width:455.25pt;height:384.75pt">
            <v:imagedata r:id="rId8" o:title=""/>
          </v:shape>
        </w:pict>
      </w:r>
    </w:p>
    <w:p w:rsidR="004B01D2" w:rsidRDefault="004B01D2" w:rsidP="004B01D2">
      <w:pPr>
        <w:rPr>
          <w:noProof/>
        </w:rPr>
        <w:sectPr w:rsidR="004B01D2" w:rsidSect="00E33EF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4B01D2" w:rsidRDefault="004B01D2" w:rsidP="00BB6B30">
      <w:pPr>
        <w:pStyle w:val="Exposdesmotifstitre"/>
        <w:rPr>
          <w:noProof/>
        </w:rPr>
      </w:pPr>
      <w:bookmarkStart w:id="0" w:name="_GoBack"/>
      <w:bookmarkEnd w:id="0"/>
      <w:r w:rsidRPr="006F770D">
        <w:rPr>
          <w:noProof/>
        </w:rPr>
        <w:lastRenderedPageBreak/>
        <w:t>EXPLANATORY MEMORANDUM</w:t>
      </w:r>
    </w:p>
    <w:p w:rsidR="004B01D2" w:rsidRPr="00E34F04" w:rsidRDefault="004B01D2" w:rsidP="00705F49">
      <w:pPr>
        <w:pStyle w:val="ManualHeading1"/>
        <w:rPr>
          <w:rFonts w:eastAsia="Arial Unicode MS"/>
          <w:noProof/>
        </w:rPr>
      </w:pPr>
      <w:r>
        <w:rPr>
          <w:noProof/>
        </w:rPr>
        <w:t>1.</w:t>
      </w:r>
      <w:r>
        <w:rPr>
          <w:noProof/>
        </w:rPr>
        <w:tab/>
      </w:r>
      <w:r w:rsidRPr="00E34F04">
        <w:rPr>
          <w:rFonts w:eastAsia="Arial Unicode MS"/>
          <w:noProof/>
        </w:rPr>
        <w:t>Subject matter of the proposal</w:t>
      </w:r>
    </w:p>
    <w:p w:rsidR="00397595" w:rsidRDefault="002D0776" w:rsidP="00736AA9">
      <w:pPr>
        <w:rPr>
          <w:rFonts w:eastAsia="Arial Unicode MS"/>
          <w:noProof/>
        </w:rPr>
      </w:pPr>
      <w:r w:rsidRPr="002D0776">
        <w:rPr>
          <w:rFonts w:eastAsia="Arial Unicode MS"/>
          <w:noProof/>
        </w:rPr>
        <w:t xml:space="preserve">This proposal concerns the decision establishing the position to be taken on the European Union’s behalf </w:t>
      </w:r>
      <w:r w:rsidR="00397595" w:rsidRPr="00397595">
        <w:rPr>
          <w:rFonts w:eastAsia="Arial Unicode MS"/>
          <w:noProof/>
        </w:rPr>
        <w:t xml:space="preserve">in the Committee on Customs established under the Free Trade Agreement between the European Union and the Republic of Singapore as regards the </w:t>
      </w:r>
      <w:r w:rsidR="00397595">
        <w:rPr>
          <w:rFonts w:eastAsia="Arial Unicode MS"/>
          <w:noProof/>
        </w:rPr>
        <w:t>e</w:t>
      </w:r>
      <w:r w:rsidR="00364407">
        <w:rPr>
          <w:rFonts w:eastAsia="Arial Unicode MS"/>
          <w:noProof/>
        </w:rPr>
        <w:t>n</w:t>
      </w:r>
      <w:r w:rsidR="00397595">
        <w:rPr>
          <w:rFonts w:eastAsia="Arial Unicode MS"/>
          <w:noProof/>
        </w:rPr>
        <w:t xml:space="preserve">visaged </w:t>
      </w:r>
      <w:r w:rsidR="00397595" w:rsidRPr="00397595">
        <w:rPr>
          <w:rFonts w:eastAsia="Arial Unicode MS"/>
          <w:noProof/>
        </w:rPr>
        <w:t>adoption of the decision concerning the mutual recognition of the Secure Trade Partnership Plus Programme of Singapore and the Authorised Economic Operator Programme of the European Union</w:t>
      </w:r>
      <w:r w:rsidR="00397595">
        <w:rPr>
          <w:rFonts w:eastAsia="Arial Unicode MS"/>
          <w:noProof/>
        </w:rPr>
        <w:t>.</w:t>
      </w:r>
    </w:p>
    <w:p w:rsidR="004B01D2" w:rsidRPr="00E34F04" w:rsidRDefault="004B01D2" w:rsidP="00736AA9">
      <w:pPr>
        <w:pStyle w:val="ManualHeading1"/>
        <w:rPr>
          <w:noProof/>
        </w:rPr>
      </w:pPr>
      <w:r>
        <w:rPr>
          <w:noProof/>
        </w:rPr>
        <w:t>2.</w:t>
      </w:r>
      <w:r>
        <w:rPr>
          <w:noProof/>
        </w:rPr>
        <w:tab/>
      </w:r>
      <w:r w:rsidRPr="00E34F04">
        <w:rPr>
          <w:noProof/>
        </w:rPr>
        <w:t>Context of the proposal</w:t>
      </w:r>
    </w:p>
    <w:p w:rsidR="004B01D2" w:rsidRPr="00E34F04" w:rsidRDefault="00397595" w:rsidP="00736AA9">
      <w:pPr>
        <w:pStyle w:val="ManualHeading2"/>
        <w:rPr>
          <w:noProof/>
        </w:rPr>
      </w:pPr>
      <w:r>
        <w:rPr>
          <w:noProof/>
        </w:rPr>
        <w:t>2.1.</w:t>
      </w:r>
      <w:r>
        <w:rPr>
          <w:noProof/>
        </w:rPr>
        <w:tab/>
      </w:r>
      <w:r>
        <w:rPr>
          <w:rFonts w:eastAsia="Arial Unicode MS"/>
          <w:noProof/>
        </w:rPr>
        <w:t>T</w:t>
      </w:r>
      <w:r w:rsidRPr="00397595">
        <w:rPr>
          <w:rFonts w:eastAsia="Arial Unicode MS"/>
          <w:noProof/>
        </w:rPr>
        <w:t>he Free Trade Agreement between the European Union and the Republic of Singapore</w:t>
      </w:r>
    </w:p>
    <w:p w:rsidR="002D0776" w:rsidRDefault="00397595" w:rsidP="002D0776">
      <w:pPr>
        <w:rPr>
          <w:noProof/>
        </w:rPr>
      </w:pPr>
      <w:r>
        <w:rPr>
          <w:rFonts w:eastAsia="Arial Unicode MS"/>
          <w:noProof/>
        </w:rPr>
        <w:t>The Free Trade Agreement between the European Union and the Republic of Singapore</w:t>
      </w:r>
      <w:r w:rsidR="00131CED">
        <w:rPr>
          <w:rStyle w:val="FootnoteReference"/>
          <w:rFonts w:eastAsia="Arial Unicode MS"/>
          <w:noProof/>
        </w:rPr>
        <w:footnoteReference w:id="1"/>
      </w:r>
      <w:r>
        <w:rPr>
          <w:rFonts w:eastAsia="Arial Unicode MS"/>
          <w:noProof/>
        </w:rPr>
        <w:t xml:space="preserve"> </w:t>
      </w:r>
      <w:r w:rsidR="00131CED">
        <w:rPr>
          <w:rFonts w:eastAsia="Arial Unicode MS"/>
          <w:noProof/>
        </w:rPr>
        <w:t xml:space="preserve">(hereinafter referred to as ‘the Agreement’) </w:t>
      </w:r>
      <w:r w:rsidR="00131CED">
        <w:rPr>
          <w:noProof/>
        </w:rPr>
        <w:t>was concluded by the Union by means of Council Decision (EU) 2019/1875 and entered into force on 21 November 2019.</w:t>
      </w:r>
    </w:p>
    <w:p w:rsidR="00131CED" w:rsidRDefault="00131CED" w:rsidP="002D0776">
      <w:pPr>
        <w:rPr>
          <w:noProof/>
        </w:rPr>
      </w:pPr>
      <w:r>
        <w:rPr>
          <w:noProof/>
        </w:rPr>
        <w:t xml:space="preserve">Concerning customs cooperation, the Agreement aims to enhance cooperation between the Parties </w:t>
      </w:r>
      <w:r w:rsidR="00451039">
        <w:rPr>
          <w:noProof/>
        </w:rPr>
        <w:t xml:space="preserve">in many areas </w:t>
      </w:r>
      <w:r>
        <w:rPr>
          <w:noProof/>
        </w:rPr>
        <w:t xml:space="preserve">including the </w:t>
      </w:r>
      <w:r w:rsidR="00451039">
        <w:rPr>
          <w:noProof/>
        </w:rPr>
        <w:t xml:space="preserve">establishment, where appropriate, </w:t>
      </w:r>
      <w:r w:rsidR="005C18E8">
        <w:rPr>
          <w:noProof/>
        </w:rPr>
        <w:t xml:space="preserve">of the </w:t>
      </w:r>
      <w:r w:rsidR="00451039">
        <w:rPr>
          <w:noProof/>
        </w:rPr>
        <w:t>mutual recognition of their respective trade partnership programmes, including aspects such as data transmission and mutually agreed benefits.</w:t>
      </w:r>
      <w:r w:rsidR="006A2190">
        <w:rPr>
          <w:noProof/>
        </w:rPr>
        <w:t xml:space="preserve"> </w:t>
      </w:r>
      <w:r w:rsidR="00451039">
        <w:rPr>
          <w:noProof/>
        </w:rPr>
        <w:t xml:space="preserve">Understanding 4 of the Agreement calls on the Parties to work towards </w:t>
      </w:r>
      <w:r w:rsidR="00AE3EAC">
        <w:rPr>
          <w:noProof/>
        </w:rPr>
        <w:t xml:space="preserve">and agree on </w:t>
      </w:r>
      <w:r w:rsidR="00451039">
        <w:rPr>
          <w:noProof/>
        </w:rPr>
        <w:t>the mutual recognition of their respective Authorised Economic Operator programmes.</w:t>
      </w:r>
    </w:p>
    <w:p w:rsidR="00F9559A" w:rsidRDefault="00F9559A" w:rsidP="002D0776">
      <w:pPr>
        <w:pStyle w:val="ManualHeading2"/>
        <w:rPr>
          <w:noProof/>
        </w:rPr>
      </w:pPr>
      <w:r>
        <w:rPr>
          <w:noProof/>
        </w:rPr>
        <w:t>2.2.</w:t>
      </w:r>
      <w:r>
        <w:rPr>
          <w:noProof/>
        </w:rPr>
        <w:tab/>
      </w:r>
      <w:r w:rsidRPr="00E34F04">
        <w:rPr>
          <w:noProof/>
        </w:rPr>
        <w:t xml:space="preserve">The </w:t>
      </w:r>
      <w:r w:rsidRPr="002D0776">
        <w:rPr>
          <w:noProof/>
        </w:rPr>
        <w:t>Committee</w:t>
      </w:r>
      <w:r>
        <w:rPr>
          <w:noProof/>
        </w:rPr>
        <w:t xml:space="preserve"> on Customs</w:t>
      </w:r>
    </w:p>
    <w:p w:rsidR="00451039" w:rsidRPr="002D0776" w:rsidRDefault="00451039" w:rsidP="002D0776">
      <w:pPr>
        <w:rPr>
          <w:rFonts w:eastAsia="Arial Unicode MS"/>
          <w:noProof/>
        </w:rPr>
      </w:pPr>
      <w:r>
        <w:rPr>
          <w:noProof/>
        </w:rPr>
        <w:t>The Committee on Customs</w:t>
      </w:r>
      <w:r w:rsidR="006A2190">
        <w:rPr>
          <w:noProof/>
        </w:rPr>
        <w:t xml:space="preserve"> is</w:t>
      </w:r>
      <w:r>
        <w:rPr>
          <w:noProof/>
        </w:rPr>
        <w:t xml:space="preserve"> </w:t>
      </w:r>
      <w:r w:rsidR="00B93961">
        <w:rPr>
          <w:noProof/>
        </w:rPr>
        <w:t xml:space="preserve">a specialised committee </w:t>
      </w:r>
      <w:r>
        <w:rPr>
          <w:noProof/>
        </w:rPr>
        <w:t>established pursuant to Article 16.2</w:t>
      </w:r>
      <w:r w:rsidR="006A2190">
        <w:rPr>
          <w:noProof/>
        </w:rPr>
        <w:t xml:space="preserve"> of the Agreement</w:t>
      </w:r>
      <w:r w:rsidR="00D52535">
        <w:rPr>
          <w:noProof/>
        </w:rPr>
        <w:t xml:space="preserve">. Pursuant </w:t>
      </w:r>
      <w:r w:rsidR="005C18E8">
        <w:rPr>
          <w:noProof/>
        </w:rPr>
        <w:t xml:space="preserve">to </w:t>
      </w:r>
      <w:r w:rsidR="00D52535">
        <w:rPr>
          <w:noProof/>
        </w:rPr>
        <w:t>Article 6.17 of the Agreement it shall</w:t>
      </w:r>
      <w:r w:rsidR="00F9559A">
        <w:rPr>
          <w:noProof/>
        </w:rPr>
        <w:t xml:space="preserve"> ensure proper functioning of Chapter 6 on Customs and Trade Facilitation and other customs related provisions</w:t>
      </w:r>
      <w:r w:rsidR="00D52535">
        <w:rPr>
          <w:noProof/>
        </w:rPr>
        <w:t xml:space="preserve"> of the Agreement</w:t>
      </w:r>
      <w:r w:rsidR="006A2190">
        <w:rPr>
          <w:noProof/>
        </w:rPr>
        <w:t xml:space="preserve">. </w:t>
      </w:r>
      <w:r w:rsidR="00675923">
        <w:rPr>
          <w:noProof/>
        </w:rPr>
        <w:t>P</w:t>
      </w:r>
      <w:r w:rsidR="006A2190">
        <w:rPr>
          <w:noProof/>
        </w:rPr>
        <w:t xml:space="preserve">aragraph 2 of </w:t>
      </w:r>
      <w:r w:rsidR="006A2190" w:rsidRPr="00D0437E">
        <w:rPr>
          <w:noProof/>
        </w:rPr>
        <w:t xml:space="preserve">Article </w:t>
      </w:r>
      <w:r w:rsidR="006A2190">
        <w:rPr>
          <w:noProof/>
        </w:rPr>
        <w:t xml:space="preserve">6.17 of the Agreement </w:t>
      </w:r>
      <w:r w:rsidR="00F9559A">
        <w:rPr>
          <w:noProof/>
        </w:rPr>
        <w:t xml:space="preserve">specifically </w:t>
      </w:r>
      <w:r w:rsidR="00D52535">
        <w:rPr>
          <w:noProof/>
        </w:rPr>
        <w:t xml:space="preserve">provides that the Parties may take decisions in </w:t>
      </w:r>
      <w:r w:rsidR="006A2190">
        <w:rPr>
          <w:noProof/>
        </w:rPr>
        <w:t xml:space="preserve">the Committee on Customs on the mutual recognition of trade partnership programmes and Understanding 4 of the Agreement also specifically </w:t>
      </w:r>
      <w:r w:rsidR="00F9559A">
        <w:rPr>
          <w:noProof/>
        </w:rPr>
        <w:t>provides</w:t>
      </w:r>
      <w:r w:rsidR="006A2190">
        <w:rPr>
          <w:noProof/>
        </w:rPr>
        <w:t xml:space="preserve"> that the Parties shall agree on the mutual recognition of their respective programmes</w:t>
      </w:r>
      <w:r w:rsidR="006A2190" w:rsidRPr="006A2190">
        <w:rPr>
          <w:noProof/>
        </w:rPr>
        <w:t xml:space="preserve"> </w:t>
      </w:r>
      <w:r w:rsidR="006A2190">
        <w:rPr>
          <w:noProof/>
        </w:rPr>
        <w:t>by a decision of the Committee on Customs.</w:t>
      </w:r>
      <w:r w:rsidR="00E94734">
        <w:rPr>
          <w:noProof/>
        </w:rPr>
        <w:t xml:space="preserve"> Letter (d) of Paragraph 2 of Article 6.3 of the Agreement calls on the Parties to establish, where appropriate, mutual recognition of trade partnership programmes, including aspects such as data transmission and mutually agreed benefits.</w:t>
      </w:r>
    </w:p>
    <w:p w:rsidR="004B01D2" w:rsidRPr="00E34F04" w:rsidRDefault="004B01D2" w:rsidP="00736AA9">
      <w:pPr>
        <w:pStyle w:val="ManualHeading2"/>
        <w:rPr>
          <w:noProof/>
        </w:rPr>
      </w:pPr>
      <w:r>
        <w:rPr>
          <w:noProof/>
        </w:rPr>
        <w:t>2.3.</w:t>
      </w:r>
      <w:r>
        <w:rPr>
          <w:noProof/>
        </w:rPr>
        <w:tab/>
      </w:r>
      <w:r w:rsidRPr="00E34F04">
        <w:rPr>
          <w:noProof/>
        </w:rPr>
        <w:t xml:space="preserve">The envisaged act </w:t>
      </w:r>
      <w:r w:rsidR="002D0776" w:rsidRPr="002D0776">
        <w:rPr>
          <w:noProof/>
        </w:rPr>
        <w:t>of the Committee</w:t>
      </w:r>
      <w:r w:rsidR="006A2190">
        <w:rPr>
          <w:noProof/>
        </w:rPr>
        <w:t xml:space="preserve"> on Customs</w:t>
      </w:r>
    </w:p>
    <w:p w:rsidR="00F9559A" w:rsidRDefault="00F9559A" w:rsidP="00232A39">
      <w:pPr>
        <w:rPr>
          <w:rFonts w:eastAsia="Arial Unicode MS"/>
          <w:noProof/>
        </w:rPr>
      </w:pPr>
      <w:r>
        <w:rPr>
          <w:rFonts w:eastAsia="Arial Unicode MS"/>
          <w:noProof/>
        </w:rPr>
        <w:t xml:space="preserve">During the second meeting in 2026, the Committee on Customs is to adopt </w:t>
      </w:r>
      <w:r w:rsidRPr="00672E63">
        <w:rPr>
          <w:noProof/>
          <w:lang w:val="en-US"/>
        </w:rPr>
        <w:t>the decision concerning the mutual recognition of the Secure Trade Partnership Plus Programme of Singapore and the Authorised Economic Operator Programme of the European Union</w:t>
      </w:r>
      <w:r>
        <w:rPr>
          <w:noProof/>
          <w:lang w:val="en-US"/>
        </w:rPr>
        <w:t xml:space="preserve">. </w:t>
      </w:r>
    </w:p>
    <w:p w:rsidR="00232A39" w:rsidRDefault="486B1EF1" w:rsidP="00232A39">
      <w:pPr>
        <w:rPr>
          <w:rFonts w:eastAsia="Arial Unicode MS"/>
          <w:noProof/>
        </w:rPr>
      </w:pPr>
      <w:r w:rsidRPr="083F51CF">
        <w:rPr>
          <w:rFonts w:eastAsia="Arial Unicode MS"/>
          <w:noProof/>
        </w:rPr>
        <w:t>The purpose of</w:t>
      </w:r>
      <w:r w:rsidR="001729A3">
        <w:rPr>
          <w:rFonts w:eastAsia="Arial Unicode MS"/>
          <w:noProof/>
        </w:rPr>
        <w:t xml:space="preserve"> </w:t>
      </w:r>
      <w:r w:rsidR="00AE3EAC">
        <w:rPr>
          <w:rFonts w:eastAsia="Arial Unicode MS"/>
          <w:noProof/>
        </w:rPr>
        <w:t xml:space="preserve">the </w:t>
      </w:r>
      <w:r w:rsidR="00AE3EAC" w:rsidRPr="00672E63">
        <w:rPr>
          <w:noProof/>
          <w:lang w:val="en-US"/>
        </w:rPr>
        <w:t xml:space="preserve">decision </w:t>
      </w:r>
      <w:r w:rsidR="00D62ADC">
        <w:rPr>
          <w:noProof/>
          <w:lang w:val="en-US"/>
        </w:rPr>
        <w:t xml:space="preserve">of the Committee on Customs </w:t>
      </w:r>
      <w:r w:rsidR="001729A3" w:rsidRPr="001729A3">
        <w:rPr>
          <w:rFonts w:eastAsia="Arial Unicode MS"/>
          <w:noProof/>
        </w:rPr>
        <w:t>(</w:t>
      </w:r>
      <w:r w:rsidRPr="083F51CF">
        <w:rPr>
          <w:rFonts w:eastAsia="Arial Unicode MS"/>
          <w:noProof/>
        </w:rPr>
        <w:t>the envisaged act</w:t>
      </w:r>
      <w:r w:rsidR="001729A3">
        <w:rPr>
          <w:rFonts w:eastAsia="Arial Unicode MS"/>
          <w:noProof/>
        </w:rPr>
        <w:t>)</w:t>
      </w:r>
      <w:r w:rsidRPr="083F51CF">
        <w:rPr>
          <w:rFonts w:eastAsia="Arial Unicode MS"/>
          <w:noProof/>
        </w:rPr>
        <w:t xml:space="preserve"> is to provide for the mutual recognition between the European Union and the Republic of </w:t>
      </w:r>
      <w:bookmarkStart w:id="1" w:name="_Hlk195168293"/>
      <w:r w:rsidR="00AE3EAC">
        <w:rPr>
          <w:rFonts w:eastAsia="Arial Unicode MS"/>
          <w:noProof/>
        </w:rPr>
        <w:t>Singapore</w:t>
      </w:r>
      <w:r w:rsidRPr="083F51CF">
        <w:rPr>
          <w:rFonts w:eastAsia="Arial Unicode MS"/>
          <w:noProof/>
        </w:rPr>
        <w:t xml:space="preserve"> </w:t>
      </w:r>
      <w:bookmarkEnd w:id="1"/>
      <w:r w:rsidRPr="083F51CF">
        <w:rPr>
          <w:rFonts w:eastAsia="Arial Unicode MS"/>
          <w:noProof/>
        </w:rPr>
        <w:t xml:space="preserve">of </w:t>
      </w:r>
      <w:r w:rsidR="00AE3EAC">
        <w:rPr>
          <w:noProof/>
        </w:rPr>
        <w:t>t</w:t>
      </w:r>
      <w:r w:rsidR="00AE3EAC" w:rsidRPr="00D0437E">
        <w:rPr>
          <w:noProof/>
        </w:rPr>
        <w:t>he</w:t>
      </w:r>
      <w:r w:rsidR="00AE3EAC">
        <w:rPr>
          <w:noProof/>
        </w:rPr>
        <w:t>ir</w:t>
      </w:r>
      <w:r w:rsidR="00AE3EAC" w:rsidRPr="00D0437E">
        <w:rPr>
          <w:noProof/>
        </w:rPr>
        <w:t xml:space="preserve"> </w:t>
      </w:r>
      <w:r w:rsidR="00AE3EAC">
        <w:rPr>
          <w:noProof/>
        </w:rPr>
        <w:t>respective trade partnership programmes</w:t>
      </w:r>
      <w:r w:rsidRPr="083F51CF">
        <w:rPr>
          <w:rFonts w:eastAsia="Arial Unicode MS"/>
          <w:noProof/>
        </w:rPr>
        <w:t>.</w:t>
      </w:r>
    </w:p>
    <w:p w:rsidR="00232A39" w:rsidRDefault="00232A39" w:rsidP="00232A39">
      <w:pPr>
        <w:rPr>
          <w:rFonts w:eastAsia="Arial Unicode MS"/>
          <w:noProof/>
        </w:rPr>
      </w:pPr>
      <w:r w:rsidRPr="00232A39">
        <w:rPr>
          <w:rFonts w:eastAsia="Arial Unicode MS"/>
          <w:noProof/>
        </w:rPr>
        <w:t xml:space="preserve">Both the European Union and </w:t>
      </w:r>
      <w:r w:rsidR="00AE3EAC">
        <w:rPr>
          <w:rFonts w:eastAsia="Arial Unicode MS"/>
          <w:noProof/>
        </w:rPr>
        <w:t xml:space="preserve">the </w:t>
      </w:r>
      <w:r w:rsidRPr="00232A39">
        <w:rPr>
          <w:rFonts w:eastAsia="Arial Unicode MS"/>
          <w:noProof/>
        </w:rPr>
        <w:t xml:space="preserve">Republic of </w:t>
      </w:r>
      <w:r w:rsidR="00AE3EAC">
        <w:rPr>
          <w:rFonts w:eastAsia="Arial Unicode MS"/>
          <w:noProof/>
          <w:lang w:val="en"/>
        </w:rPr>
        <w:t>Singapore</w:t>
      </w:r>
      <w:r w:rsidRPr="00232A39">
        <w:rPr>
          <w:rFonts w:eastAsia="Arial Unicode MS"/>
          <w:noProof/>
        </w:rPr>
        <w:t xml:space="preserve"> have in place </w:t>
      </w:r>
      <w:r w:rsidR="00AE3EAC">
        <w:rPr>
          <w:noProof/>
        </w:rPr>
        <w:t>trade partnership programmes</w:t>
      </w:r>
      <w:r w:rsidR="00AE3EAC" w:rsidRPr="00232A39">
        <w:rPr>
          <w:rFonts w:eastAsia="Arial Unicode MS"/>
          <w:noProof/>
        </w:rPr>
        <w:t xml:space="preserve"> </w:t>
      </w:r>
      <w:r w:rsidRPr="00232A39">
        <w:rPr>
          <w:rFonts w:eastAsia="Arial Unicode MS"/>
          <w:noProof/>
        </w:rPr>
        <w:t xml:space="preserve">providing facilitations to economic operators who have invested in their supply chain security and have been certified by the customs </w:t>
      </w:r>
      <w:r w:rsidR="00B46BDF">
        <w:rPr>
          <w:rFonts w:eastAsia="Arial Unicode MS"/>
          <w:noProof/>
        </w:rPr>
        <w:t>authorities</w:t>
      </w:r>
      <w:r w:rsidR="00B46BDF" w:rsidRPr="00232A39">
        <w:rPr>
          <w:rFonts w:eastAsia="Arial Unicode MS"/>
          <w:noProof/>
        </w:rPr>
        <w:t xml:space="preserve"> </w:t>
      </w:r>
      <w:r w:rsidRPr="00232A39">
        <w:rPr>
          <w:rFonts w:eastAsia="Arial Unicode MS"/>
          <w:noProof/>
        </w:rPr>
        <w:t>of the respective</w:t>
      </w:r>
      <w:r w:rsidR="00B46BDF">
        <w:rPr>
          <w:rFonts w:eastAsia="Arial Unicode MS"/>
          <w:noProof/>
        </w:rPr>
        <w:t xml:space="preserve"> </w:t>
      </w:r>
      <w:r w:rsidR="005C18E8">
        <w:rPr>
          <w:rFonts w:eastAsia="Arial Unicode MS"/>
          <w:noProof/>
        </w:rPr>
        <w:t>M</w:t>
      </w:r>
      <w:r w:rsidR="00B46BDF">
        <w:rPr>
          <w:rFonts w:eastAsia="Arial Unicode MS"/>
          <w:noProof/>
        </w:rPr>
        <w:t xml:space="preserve">ember </w:t>
      </w:r>
      <w:r w:rsidR="005C18E8">
        <w:rPr>
          <w:rFonts w:eastAsia="Arial Unicode MS"/>
          <w:noProof/>
        </w:rPr>
        <w:lastRenderedPageBreak/>
        <w:t>S</w:t>
      </w:r>
      <w:r w:rsidR="00B46BDF">
        <w:rPr>
          <w:rFonts w:eastAsia="Arial Unicode MS"/>
          <w:noProof/>
        </w:rPr>
        <w:t xml:space="preserve">tate in the </w:t>
      </w:r>
      <w:r w:rsidR="00AE3EAC">
        <w:rPr>
          <w:rFonts w:eastAsia="Arial Unicode MS"/>
          <w:noProof/>
        </w:rPr>
        <w:t>European Union</w:t>
      </w:r>
      <w:r w:rsidR="00B46BDF">
        <w:rPr>
          <w:rFonts w:eastAsia="Arial Unicode MS"/>
          <w:noProof/>
        </w:rPr>
        <w:t xml:space="preserve"> and of </w:t>
      </w:r>
      <w:r w:rsidR="00AE3EAC">
        <w:rPr>
          <w:rFonts w:eastAsia="Arial Unicode MS"/>
          <w:noProof/>
        </w:rPr>
        <w:t>the Republic of Singapore</w:t>
      </w:r>
      <w:r w:rsidR="00B46BDF">
        <w:rPr>
          <w:rFonts w:eastAsia="Arial Unicode MS"/>
          <w:noProof/>
        </w:rPr>
        <w:t>.</w:t>
      </w:r>
      <w:r w:rsidR="00E52B89">
        <w:rPr>
          <w:rFonts w:eastAsia="Arial Unicode MS"/>
          <w:noProof/>
        </w:rPr>
        <w:t xml:space="preserve"> </w:t>
      </w:r>
      <w:r w:rsidR="486B1EF1" w:rsidRPr="083F51CF">
        <w:rPr>
          <w:rFonts w:eastAsia="Arial Unicode MS"/>
          <w:noProof/>
        </w:rPr>
        <w:t>The security</w:t>
      </w:r>
      <w:r w:rsidR="00E52B89">
        <w:rPr>
          <w:rFonts w:eastAsia="Arial Unicode MS"/>
          <w:noProof/>
        </w:rPr>
        <w:t xml:space="preserve">, </w:t>
      </w:r>
      <w:r w:rsidR="486B1EF1" w:rsidRPr="083F51CF">
        <w:rPr>
          <w:rFonts w:eastAsia="Arial Unicode MS"/>
          <w:noProof/>
        </w:rPr>
        <w:t>safety</w:t>
      </w:r>
      <w:r w:rsidR="00E52B89">
        <w:rPr>
          <w:rFonts w:eastAsia="Arial Unicode MS"/>
          <w:noProof/>
        </w:rPr>
        <w:t>,</w:t>
      </w:r>
      <w:r w:rsidR="486B1EF1" w:rsidRPr="083F51CF">
        <w:rPr>
          <w:rFonts w:eastAsia="Arial Unicode MS"/>
          <w:noProof/>
        </w:rPr>
        <w:t xml:space="preserve"> and the facilitation of international trade supply chain</w:t>
      </w:r>
      <w:r w:rsidR="00E52B89">
        <w:rPr>
          <w:rFonts w:eastAsia="Arial Unicode MS"/>
          <w:noProof/>
        </w:rPr>
        <w:t>s</w:t>
      </w:r>
      <w:r w:rsidR="486B1EF1" w:rsidRPr="083F51CF">
        <w:rPr>
          <w:rFonts w:eastAsia="Arial Unicode MS"/>
          <w:noProof/>
        </w:rPr>
        <w:t xml:space="preserve"> can be significantly enhanced through mutual recognition of the respective trade partnership programmes, namely the </w:t>
      </w:r>
      <w:r w:rsidR="11D82ACE" w:rsidRPr="083F51CF">
        <w:rPr>
          <w:rFonts w:eastAsia="Arial Unicode MS"/>
          <w:noProof/>
        </w:rPr>
        <w:t xml:space="preserve">security part of the </w:t>
      </w:r>
      <w:r w:rsidR="486B1EF1" w:rsidRPr="083F51CF">
        <w:rPr>
          <w:rFonts w:eastAsia="Arial Unicode MS"/>
          <w:noProof/>
        </w:rPr>
        <w:t xml:space="preserve">Authorised Economic Operator </w:t>
      </w:r>
      <w:r w:rsidR="00E52B89">
        <w:rPr>
          <w:rFonts w:eastAsia="Arial Unicode MS"/>
          <w:noProof/>
        </w:rPr>
        <w:t>P</w:t>
      </w:r>
      <w:r w:rsidR="486B1EF1" w:rsidRPr="083F51CF">
        <w:rPr>
          <w:rFonts w:eastAsia="Arial Unicode MS"/>
          <w:noProof/>
        </w:rPr>
        <w:t xml:space="preserve">rogramme of the </w:t>
      </w:r>
      <w:r w:rsidR="00BE4D6C">
        <w:rPr>
          <w:rFonts w:eastAsia="Arial Unicode MS"/>
          <w:noProof/>
        </w:rPr>
        <w:t>European Union</w:t>
      </w:r>
      <w:r w:rsidR="486B1EF1" w:rsidRPr="083F51CF">
        <w:rPr>
          <w:rFonts w:eastAsia="Arial Unicode MS"/>
          <w:noProof/>
        </w:rPr>
        <w:t xml:space="preserve"> and the </w:t>
      </w:r>
      <w:r w:rsidR="00E52B89" w:rsidRPr="00672E63">
        <w:rPr>
          <w:noProof/>
          <w:lang w:val="en-US"/>
        </w:rPr>
        <w:t xml:space="preserve">Secure Trade Partnership Plus Programme </w:t>
      </w:r>
      <w:r w:rsidR="486B1EF1" w:rsidRPr="083F51CF">
        <w:rPr>
          <w:rFonts w:eastAsia="Arial Unicode MS"/>
          <w:noProof/>
        </w:rPr>
        <w:t xml:space="preserve">of the Republic of </w:t>
      </w:r>
      <w:r w:rsidR="00E52B89">
        <w:rPr>
          <w:rFonts w:eastAsia="Arial Unicode MS"/>
          <w:noProof/>
          <w:lang w:val="en"/>
        </w:rPr>
        <w:t>Singapore.</w:t>
      </w:r>
      <w:r w:rsidR="00E52B89">
        <w:rPr>
          <w:rFonts w:eastAsia="Arial Unicode MS"/>
          <w:noProof/>
        </w:rPr>
        <w:t xml:space="preserve"> It will allow customs authorities both in the European Union and in the Republic of Singapore to implement more effective border controls while facilitating legitimate trade.</w:t>
      </w:r>
    </w:p>
    <w:p w:rsidR="00531B8E" w:rsidRPr="00531B8E" w:rsidRDefault="00531B8E" w:rsidP="00531B8E">
      <w:pPr>
        <w:rPr>
          <w:rFonts w:eastAsia="Arial Unicode MS"/>
          <w:noProof/>
        </w:rPr>
      </w:pPr>
      <w:r w:rsidRPr="00531B8E">
        <w:rPr>
          <w:rFonts w:eastAsia="Arial Unicode MS"/>
          <w:noProof/>
        </w:rPr>
        <w:t xml:space="preserve">The envisaged act will become binding on the </w:t>
      </w:r>
      <w:r>
        <w:rPr>
          <w:rFonts w:eastAsia="Arial Unicode MS"/>
          <w:noProof/>
        </w:rPr>
        <w:t>P</w:t>
      </w:r>
      <w:r w:rsidRPr="00531B8E">
        <w:rPr>
          <w:rFonts w:eastAsia="Arial Unicode MS"/>
          <w:noProof/>
        </w:rPr>
        <w:t xml:space="preserve">arties in accordance with </w:t>
      </w:r>
      <w:r w:rsidR="00871DB0">
        <w:rPr>
          <w:rFonts w:eastAsia="Arial Unicode MS"/>
          <w:noProof/>
        </w:rPr>
        <w:t>p</w:t>
      </w:r>
      <w:r w:rsidR="002A1508">
        <w:rPr>
          <w:rFonts w:eastAsia="Arial Unicode MS"/>
          <w:noProof/>
        </w:rPr>
        <w:t xml:space="preserve">aragraph 1 of </w:t>
      </w:r>
      <w:r w:rsidRPr="00531B8E">
        <w:rPr>
          <w:rFonts w:eastAsia="Arial Unicode MS"/>
          <w:noProof/>
        </w:rPr>
        <w:t>Article 16.4</w:t>
      </w:r>
      <w:r w:rsidR="002A1508">
        <w:rPr>
          <w:rFonts w:eastAsia="Arial Unicode MS"/>
          <w:noProof/>
        </w:rPr>
        <w:t xml:space="preserve"> </w:t>
      </w:r>
      <w:r w:rsidRPr="00531B8E">
        <w:rPr>
          <w:rFonts w:eastAsia="Arial Unicode MS"/>
          <w:noProof/>
        </w:rPr>
        <w:t>of the Agreement, which provides that the Parties may take decisions in the Trade</w:t>
      </w:r>
      <w:r>
        <w:rPr>
          <w:rFonts w:eastAsia="Arial Unicode MS"/>
          <w:noProof/>
        </w:rPr>
        <w:t xml:space="preserve"> </w:t>
      </w:r>
      <w:r w:rsidRPr="00531B8E">
        <w:rPr>
          <w:rFonts w:eastAsia="Arial Unicode MS"/>
          <w:noProof/>
        </w:rPr>
        <w:t xml:space="preserve">Committee or in a specialised committee, where provided for in the Agreement. </w:t>
      </w:r>
      <w:r>
        <w:rPr>
          <w:rFonts w:eastAsia="Arial Unicode MS"/>
          <w:noProof/>
        </w:rPr>
        <w:t xml:space="preserve">It is provided for in </w:t>
      </w:r>
      <w:r w:rsidR="00871DB0">
        <w:rPr>
          <w:noProof/>
        </w:rPr>
        <w:t>p</w:t>
      </w:r>
      <w:r>
        <w:rPr>
          <w:noProof/>
        </w:rPr>
        <w:t xml:space="preserve">aragraph 2 of </w:t>
      </w:r>
      <w:r w:rsidRPr="00D0437E">
        <w:rPr>
          <w:noProof/>
        </w:rPr>
        <w:t xml:space="preserve">Article </w:t>
      </w:r>
      <w:r>
        <w:rPr>
          <w:noProof/>
        </w:rPr>
        <w:t xml:space="preserve">6.17 of the Agreement that </w:t>
      </w:r>
      <w:r>
        <w:rPr>
          <w:rStyle w:val="normaltextrun"/>
          <w:noProof/>
        </w:rPr>
        <w:t>the Committee on Customs</w:t>
      </w:r>
      <w:r w:rsidR="002A1508">
        <w:rPr>
          <w:rStyle w:val="normaltextrun"/>
          <w:noProof/>
        </w:rPr>
        <w:t>, a specialised committee,</w:t>
      </w:r>
      <w:r>
        <w:rPr>
          <w:rStyle w:val="normaltextrun"/>
          <w:noProof/>
        </w:rPr>
        <w:t xml:space="preserve"> may take </w:t>
      </w:r>
      <w:r>
        <w:rPr>
          <w:noProof/>
        </w:rPr>
        <w:t xml:space="preserve">decisions on the mutual recognition of trade partnership programmes. </w:t>
      </w:r>
      <w:r w:rsidRPr="00531B8E">
        <w:rPr>
          <w:rFonts w:eastAsia="Arial Unicode MS"/>
          <w:noProof/>
        </w:rPr>
        <w:t>The decisions</w:t>
      </w:r>
      <w:r>
        <w:rPr>
          <w:rFonts w:eastAsia="Arial Unicode MS"/>
          <w:noProof/>
        </w:rPr>
        <w:t xml:space="preserve"> </w:t>
      </w:r>
      <w:r w:rsidRPr="00531B8E">
        <w:rPr>
          <w:rFonts w:eastAsia="Arial Unicode MS"/>
          <w:noProof/>
        </w:rPr>
        <w:t xml:space="preserve">taken in such a </w:t>
      </w:r>
      <w:r>
        <w:rPr>
          <w:rFonts w:eastAsia="Arial Unicode MS"/>
          <w:noProof/>
        </w:rPr>
        <w:t xml:space="preserve">specialised </w:t>
      </w:r>
      <w:r w:rsidRPr="00531B8E">
        <w:rPr>
          <w:rFonts w:eastAsia="Arial Unicode MS"/>
          <w:noProof/>
        </w:rPr>
        <w:t>committee shall be binding on the Parties, which shall take the measures</w:t>
      </w:r>
      <w:r>
        <w:rPr>
          <w:rFonts w:eastAsia="Arial Unicode MS"/>
          <w:noProof/>
        </w:rPr>
        <w:t xml:space="preserve"> </w:t>
      </w:r>
      <w:r w:rsidRPr="00531B8E">
        <w:rPr>
          <w:rFonts w:eastAsia="Arial Unicode MS"/>
          <w:noProof/>
        </w:rPr>
        <w:t>necessary to implement those decisions.</w:t>
      </w:r>
      <w:r w:rsidR="002A1508">
        <w:rPr>
          <w:rFonts w:eastAsia="Arial Unicode MS"/>
          <w:noProof/>
        </w:rPr>
        <w:t xml:space="preserve"> The Committee on Customs will apply the Rules of Procedure of the Trade Committee</w:t>
      </w:r>
      <w:r w:rsidR="00BC151C">
        <w:rPr>
          <w:rStyle w:val="FootnoteReference"/>
          <w:rFonts w:eastAsia="Arial Unicode MS"/>
          <w:noProof/>
        </w:rPr>
        <w:footnoteReference w:id="2"/>
      </w:r>
      <w:r w:rsidR="002A1508">
        <w:rPr>
          <w:rFonts w:eastAsia="Arial Unicode MS"/>
          <w:noProof/>
        </w:rPr>
        <w:t>, namely Rule 9 and Rule 13, when adopting the envisaged act.</w:t>
      </w:r>
    </w:p>
    <w:p w:rsidR="004B01D2" w:rsidRPr="00E34F04" w:rsidRDefault="004B01D2" w:rsidP="004B01D2">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D62ADC" w:rsidRDefault="00D62ADC" w:rsidP="00232A39">
      <w:pPr>
        <w:rPr>
          <w:noProof/>
        </w:rPr>
      </w:pPr>
      <w:r>
        <w:rPr>
          <w:noProof/>
        </w:rPr>
        <w:t>Mutual recognition of trade partnership programmes enhances end-to-end supply chain security and facilitates legitimate trade. It consolidates the approach agreed in the World Customs Organization Framework of Standards to Secure and Facilitate Trade (‘SAFE Framework’). It addresses the demand of the business community in the European Union and around the world that standards be implemented in a similar way to avoid proliferation of country-specific requirements and practices.</w:t>
      </w:r>
    </w:p>
    <w:p w:rsidR="00232A39" w:rsidRDefault="00232A39" w:rsidP="00232A39">
      <w:pPr>
        <w:rPr>
          <w:noProof/>
        </w:rPr>
      </w:pPr>
      <w:r>
        <w:rPr>
          <w:noProof/>
        </w:rPr>
        <w:t xml:space="preserve">The </w:t>
      </w:r>
      <w:r w:rsidR="008E3719">
        <w:rPr>
          <w:noProof/>
        </w:rPr>
        <w:t>in-depth</w:t>
      </w:r>
      <w:r>
        <w:rPr>
          <w:noProof/>
        </w:rPr>
        <w:t xml:space="preserve"> comparison </w:t>
      </w:r>
      <w:r w:rsidR="008E3719" w:rsidRPr="083F51CF">
        <w:rPr>
          <w:rFonts w:eastAsia="Arial Unicode MS"/>
          <w:noProof/>
        </w:rPr>
        <w:t xml:space="preserve">of the Authorised Economic Operator </w:t>
      </w:r>
      <w:r w:rsidR="008E3719">
        <w:rPr>
          <w:rFonts w:eastAsia="Arial Unicode MS"/>
          <w:noProof/>
        </w:rPr>
        <w:t>P</w:t>
      </w:r>
      <w:r w:rsidR="008E3719" w:rsidRPr="083F51CF">
        <w:rPr>
          <w:rFonts w:eastAsia="Arial Unicode MS"/>
          <w:noProof/>
        </w:rPr>
        <w:t xml:space="preserve">rogramme of the </w:t>
      </w:r>
      <w:r w:rsidR="00BE4D6C">
        <w:rPr>
          <w:rFonts w:eastAsia="Arial Unicode MS"/>
          <w:noProof/>
        </w:rPr>
        <w:t>European Union</w:t>
      </w:r>
      <w:r w:rsidR="008E3719" w:rsidRPr="083F51CF">
        <w:rPr>
          <w:rFonts w:eastAsia="Arial Unicode MS"/>
          <w:noProof/>
        </w:rPr>
        <w:t xml:space="preserve"> and the </w:t>
      </w:r>
      <w:r w:rsidR="008E3719" w:rsidRPr="00672E63">
        <w:rPr>
          <w:noProof/>
          <w:lang w:val="en-US"/>
        </w:rPr>
        <w:t xml:space="preserve">Secure Trade Partnership Plus Programme </w:t>
      </w:r>
      <w:r w:rsidR="008E3719" w:rsidRPr="083F51CF">
        <w:rPr>
          <w:rFonts w:eastAsia="Arial Unicode MS"/>
          <w:noProof/>
        </w:rPr>
        <w:t xml:space="preserve">of the Republic of </w:t>
      </w:r>
      <w:r w:rsidR="008E3719">
        <w:rPr>
          <w:rFonts w:eastAsia="Arial Unicode MS"/>
          <w:noProof/>
          <w:lang w:val="en"/>
        </w:rPr>
        <w:t xml:space="preserve">Singapore involved both legal comparison and </w:t>
      </w:r>
      <w:r>
        <w:rPr>
          <w:noProof/>
        </w:rPr>
        <w:t>reciprocal on</w:t>
      </w:r>
      <w:r w:rsidR="00B46BDF">
        <w:rPr>
          <w:noProof/>
        </w:rPr>
        <w:t>-</w:t>
      </w:r>
      <w:r>
        <w:rPr>
          <w:noProof/>
        </w:rPr>
        <w:t xml:space="preserve">site </w:t>
      </w:r>
      <w:r w:rsidR="008E3719">
        <w:rPr>
          <w:noProof/>
        </w:rPr>
        <w:t xml:space="preserve">validation </w:t>
      </w:r>
      <w:r>
        <w:rPr>
          <w:noProof/>
        </w:rPr>
        <w:t xml:space="preserve">visits in two member states of the European Union and in the Republic of </w:t>
      </w:r>
      <w:r w:rsidR="00263D55">
        <w:rPr>
          <w:noProof/>
        </w:rPr>
        <w:t>Singapore</w:t>
      </w:r>
      <w:r>
        <w:rPr>
          <w:noProof/>
        </w:rPr>
        <w:t xml:space="preserve"> to assess the compatibility of the practical implementation of the safety and security criteria in the</w:t>
      </w:r>
      <w:r w:rsidR="00263D55">
        <w:rPr>
          <w:noProof/>
        </w:rPr>
        <w:t>ir</w:t>
      </w:r>
      <w:r>
        <w:rPr>
          <w:noProof/>
        </w:rPr>
        <w:t xml:space="preserve"> respective </w:t>
      </w:r>
      <w:r w:rsidR="00263D55">
        <w:rPr>
          <w:noProof/>
        </w:rPr>
        <w:t>trade partnership</w:t>
      </w:r>
      <w:r>
        <w:rPr>
          <w:noProof/>
        </w:rPr>
        <w:t xml:space="preserve"> programmes.</w:t>
      </w:r>
      <w:r w:rsidR="00263D55">
        <w:rPr>
          <w:noProof/>
        </w:rPr>
        <w:t xml:space="preserve"> The assessment of the equivalence of </w:t>
      </w:r>
      <w:r w:rsidR="00263D55" w:rsidRPr="083F51CF">
        <w:rPr>
          <w:rFonts w:eastAsia="Arial Unicode MS"/>
          <w:noProof/>
        </w:rPr>
        <w:t xml:space="preserve">the Authorised Economic Operator </w:t>
      </w:r>
      <w:r w:rsidR="00263D55">
        <w:rPr>
          <w:rFonts w:eastAsia="Arial Unicode MS"/>
          <w:noProof/>
        </w:rPr>
        <w:t>P</w:t>
      </w:r>
      <w:r w:rsidR="00263D55" w:rsidRPr="083F51CF">
        <w:rPr>
          <w:rFonts w:eastAsia="Arial Unicode MS"/>
          <w:noProof/>
        </w:rPr>
        <w:t xml:space="preserve">rogramme of the </w:t>
      </w:r>
      <w:r w:rsidR="00BE4D6C">
        <w:rPr>
          <w:rFonts w:eastAsia="Arial Unicode MS"/>
          <w:noProof/>
        </w:rPr>
        <w:t>European Union</w:t>
      </w:r>
      <w:r w:rsidR="00263D55" w:rsidRPr="083F51CF">
        <w:rPr>
          <w:rFonts w:eastAsia="Arial Unicode MS"/>
          <w:noProof/>
        </w:rPr>
        <w:t xml:space="preserve"> and the </w:t>
      </w:r>
      <w:r w:rsidR="00263D55" w:rsidRPr="00672E63">
        <w:rPr>
          <w:noProof/>
          <w:lang w:val="en-US"/>
        </w:rPr>
        <w:t xml:space="preserve">Secure Trade Partnership Plus Programme </w:t>
      </w:r>
      <w:r w:rsidR="00263D55" w:rsidRPr="083F51CF">
        <w:rPr>
          <w:rFonts w:eastAsia="Arial Unicode MS"/>
          <w:noProof/>
        </w:rPr>
        <w:t xml:space="preserve">of the Republic of </w:t>
      </w:r>
      <w:r w:rsidR="00263D55">
        <w:rPr>
          <w:rFonts w:eastAsia="Arial Unicode MS"/>
          <w:noProof/>
          <w:lang w:val="en"/>
        </w:rPr>
        <w:t>Singapore was completed in 2023</w:t>
      </w:r>
      <w:r w:rsidR="00344A2C">
        <w:rPr>
          <w:rFonts w:eastAsia="Arial Unicode MS"/>
          <w:noProof/>
          <w:lang w:val="en"/>
        </w:rPr>
        <w:t xml:space="preserve"> and it </w:t>
      </w:r>
      <w:r>
        <w:rPr>
          <w:noProof/>
        </w:rPr>
        <w:t xml:space="preserve">revealed that the qualification standards for security and safety purposes of the two </w:t>
      </w:r>
      <w:r w:rsidR="00344A2C">
        <w:rPr>
          <w:noProof/>
        </w:rPr>
        <w:t xml:space="preserve">respective trade partnership </w:t>
      </w:r>
      <w:r>
        <w:rPr>
          <w:noProof/>
        </w:rPr>
        <w:t>programmes are compatible and lead to equivalent results</w:t>
      </w:r>
      <w:r w:rsidR="00122E58">
        <w:rPr>
          <w:noProof/>
        </w:rPr>
        <w:t xml:space="preserve"> and benefits for economic operators</w:t>
      </w:r>
      <w:r>
        <w:rPr>
          <w:noProof/>
        </w:rPr>
        <w:t>.</w:t>
      </w:r>
    </w:p>
    <w:p w:rsidR="00232A39" w:rsidRDefault="00232A39" w:rsidP="00232A39">
      <w:pPr>
        <w:rPr>
          <w:noProof/>
        </w:rPr>
      </w:pPr>
      <w:r>
        <w:rPr>
          <w:noProof/>
        </w:rPr>
        <w:t xml:space="preserve">The European Commission and the competent authorities of the Republic of </w:t>
      </w:r>
      <w:r w:rsidR="00344A2C">
        <w:rPr>
          <w:noProof/>
        </w:rPr>
        <w:t>Singapore</w:t>
      </w:r>
      <w:r>
        <w:rPr>
          <w:noProof/>
        </w:rPr>
        <w:t xml:space="preserve"> share the view that the mutual recognition of the</w:t>
      </w:r>
      <w:r w:rsidR="00344A2C">
        <w:rPr>
          <w:noProof/>
        </w:rPr>
        <w:t>ir</w:t>
      </w:r>
      <w:r>
        <w:rPr>
          <w:noProof/>
        </w:rPr>
        <w:t xml:space="preserve"> respective trade partnership programmes </w:t>
      </w:r>
      <w:r w:rsidR="00122E58">
        <w:rPr>
          <w:noProof/>
        </w:rPr>
        <w:t>will</w:t>
      </w:r>
      <w:r>
        <w:rPr>
          <w:noProof/>
        </w:rPr>
        <w:t xml:space="preserve"> allow to provide </w:t>
      </w:r>
      <w:r w:rsidR="00122E58">
        <w:rPr>
          <w:noProof/>
        </w:rPr>
        <w:t>benefits</w:t>
      </w:r>
      <w:r>
        <w:rPr>
          <w:noProof/>
        </w:rPr>
        <w:t xml:space="preserve"> to economic operators that have invested in </w:t>
      </w:r>
      <w:r w:rsidR="00122E58">
        <w:rPr>
          <w:noProof/>
        </w:rPr>
        <w:t xml:space="preserve">their </w:t>
      </w:r>
      <w:r>
        <w:rPr>
          <w:noProof/>
        </w:rPr>
        <w:t xml:space="preserve">supply-chain security and have been certified under the respective </w:t>
      </w:r>
      <w:r w:rsidR="00122E58">
        <w:rPr>
          <w:noProof/>
        </w:rPr>
        <w:t xml:space="preserve">trade partnership </w:t>
      </w:r>
      <w:r>
        <w:rPr>
          <w:noProof/>
        </w:rPr>
        <w:t xml:space="preserve">programmes. </w:t>
      </w:r>
    </w:p>
    <w:p w:rsidR="00232A39" w:rsidRDefault="00232A39" w:rsidP="00232A39">
      <w:pPr>
        <w:rPr>
          <w:noProof/>
        </w:rPr>
      </w:pPr>
      <w:r>
        <w:rPr>
          <w:noProof/>
        </w:rPr>
        <w:t xml:space="preserve">The envisaged act constitutes the legal basis for the mutual recognition between the European Union and the Republic of </w:t>
      </w:r>
      <w:r w:rsidR="00D62ADC">
        <w:rPr>
          <w:noProof/>
        </w:rPr>
        <w:t>Singapore</w:t>
      </w:r>
      <w:r>
        <w:rPr>
          <w:noProof/>
        </w:rPr>
        <w:t xml:space="preserve"> of the</w:t>
      </w:r>
      <w:r w:rsidR="00D62ADC">
        <w:rPr>
          <w:noProof/>
        </w:rPr>
        <w:t>ir respective trade partnership</w:t>
      </w:r>
      <w:r>
        <w:rPr>
          <w:noProof/>
        </w:rPr>
        <w:t xml:space="preserve"> programmes.</w:t>
      </w:r>
    </w:p>
    <w:p w:rsidR="004B01D2" w:rsidRPr="00E34F04" w:rsidRDefault="00232A39" w:rsidP="00232A39">
      <w:pPr>
        <w:rPr>
          <w:noProof/>
        </w:rPr>
      </w:pPr>
      <w:r>
        <w:rPr>
          <w:noProof/>
        </w:rPr>
        <w:t>The position to be taken by the European Union in the Committee</w:t>
      </w:r>
      <w:r w:rsidR="00D62ADC">
        <w:rPr>
          <w:noProof/>
        </w:rPr>
        <w:t xml:space="preserve"> on Customs concerning the adoption of the envisaged act</w:t>
      </w:r>
      <w:r>
        <w:rPr>
          <w:noProof/>
        </w:rPr>
        <w:t xml:space="preserve"> should be established by the Counci</w:t>
      </w:r>
      <w:r w:rsidRPr="00D0437E">
        <w:rPr>
          <w:noProof/>
        </w:rPr>
        <w:t>l.</w:t>
      </w:r>
    </w:p>
    <w:p w:rsidR="004B01D2" w:rsidRPr="00E34F04" w:rsidRDefault="004B01D2" w:rsidP="00736AA9">
      <w:pPr>
        <w:pStyle w:val="ManualHeading1"/>
        <w:rPr>
          <w:noProof/>
        </w:rPr>
      </w:pPr>
      <w:r>
        <w:rPr>
          <w:noProof/>
        </w:rPr>
        <w:lastRenderedPageBreak/>
        <w:t>4.</w:t>
      </w:r>
      <w:r>
        <w:rPr>
          <w:noProof/>
        </w:rPr>
        <w:tab/>
      </w:r>
      <w:r w:rsidRPr="00E34F04">
        <w:rPr>
          <w:noProof/>
        </w:rPr>
        <w:t>Legal basis</w:t>
      </w:r>
    </w:p>
    <w:p w:rsidR="004B01D2" w:rsidRPr="00E34F04" w:rsidRDefault="004B01D2" w:rsidP="00736AA9">
      <w:pPr>
        <w:pStyle w:val="ManualHeading2"/>
        <w:rPr>
          <w:noProof/>
        </w:rPr>
      </w:pPr>
      <w:r>
        <w:rPr>
          <w:noProof/>
        </w:rPr>
        <w:t>4.1.</w:t>
      </w:r>
      <w:r>
        <w:rPr>
          <w:noProof/>
        </w:rPr>
        <w:tab/>
      </w:r>
      <w:r w:rsidRPr="00E34F04">
        <w:rPr>
          <w:noProof/>
        </w:rPr>
        <w:t>Procedural legal basis</w:t>
      </w:r>
    </w:p>
    <w:p w:rsidR="004B01D2" w:rsidRPr="00E34F04" w:rsidRDefault="004B01D2" w:rsidP="004B01D2">
      <w:pPr>
        <w:pStyle w:val="ManualHeading3"/>
        <w:tabs>
          <w:tab w:val="clear" w:pos="850"/>
          <w:tab w:val="num" w:pos="1984"/>
        </w:tabs>
        <w:ind w:left="1984" w:hanging="567"/>
        <w:rPr>
          <w:noProof/>
        </w:rPr>
      </w:pPr>
      <w:r>
        <w:rPr>
          <w:noProof/>
        </w:rPr>
        <w:t>4.1.1.</w:t>
      </w:r>
      <w:r>
        <w:rPr>
          <w:noProof/>
        </w:rPr>
        <w:tab/>
      </w:r>
      <w:r w:rsidRPr="00E34F04">
        <w:rPr>
          <w:noProof/>
        </w:rPr>
        <w:t>Principles</w:t>
      </w:r>
    </w:p>
    <w:p w:rsidR="00232A39" w:rsidRDefault="00232A39" w:rsidP="00232A39">
      <w:pPr>
        <w:rPr>
          <w:noProof/>
        </w:rPr>
      </w:pPr>
      <w:r>
        <w:rPr>
          <w:noProof/>
        </w:rPr>
        <w:t xml:space="preserve">Article 218(9) of the Treaty on the Functioning of the European Union (TFEU) provides for decisions establishing </w:t>
      </w:r>
      <w:r w:rsidRPr="007D1054">
        <w:rPr>
          <w:i/>
          <w:iCs/>
          <w:noProof/>
        </w:rPr>
        <w:t>‘the positions to be adopted on the Union’s behalf in a body set up by an agreement, when that body is called upon to adopt acts having legal effects, with the exception of acts supplementing or amending the institutional framework of the agreement.’</w:t>
      </w:r>
    </w:p>
    <w:p w:rsidR="00AA623F" w:rsidRPr="00E34F04" w:rsidRDefault="00AA623F" w:rsidP="00AA623F">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3"/>
      </w:r>
      <w:r w:rsidRPr="00E34F04">
        <w:rPr>
          <w:noProof/>
        </w:rPr>
        <w:t>.</w:t>
      </w:r>
    </w:p>
    <w:p w:rsidR="004B01D2" w:rsidRPr="00E34F04" w:rsidRDefault="004B01D2" w:rsidP="004B01D2">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4A25CB" w:rsidRPr="00D0437E" w:rsidRDefault="2284C70D" w:rsidP="004A25CB">
      <w:pPr>
        <w:rPr>
          <w:noProof/>
        </w:rPr>
      </w:pPr>
      <w:r>
        <w:rPr>
          <w:noProof/>
        </w:rPr>
        <w:t xml:space="preserve">The </w:t>
      </w:r>
      <w:r w:rsidR="00AA623F">
        <w:rPr>
          <w:noProof/>
        </w:rPr>
        <w:t xml:space="preserve">Committee on Customs </w:t>
      </w:r>
      <w:r w:rsidR="00AA623F" w:rsidRPr="00CB0DCD">
        <w:rPr>
          <w:noProof/>
        </w:rPr>
        <w:t xml:space="preserve">is a body </w:t>
      </w:r>
      <w:r w:rsidR="0C9BD1F7" w:rsidRPr="00CB0DCD">
        <w:rPr>
          <w:noProof/>
        </w:rPr>
        <w:t xml:space="preserve">set up by an agreement, namely </w:t>
      </w:r>
      <w:r w:rsidR="00AA623F">
        <w:rPr>
          <w:rFonts w:eastAsia="Arial Unicode MS"/>
          <w:noProof/>
        </w:rPr>
        <w:t>the Free Trade Agreement between the European Union and the Republic of Singapore</w:t>
      </w:r>
      <w:r w:rsidR="0C9BD1F7" w:rsidRPr="00D0437E">
        <w:rPr>
          <w:noProof/>
        </w:rPr>
        <w:t>.</w:t>
      </w:r>
    </w:p>
    <w:p w:rsidR="004A25CB" w:rsidRPr="00D0437E" w:rsidRDefault="004A25CB" w:rsidP="004A25CB">
      <w:pPr>
        <w:rPr>
          <w:noProof/>
        </w:rPr>
      </w:pPr>
      <w:r w:rsidRPr="00CB0DCD">
        <w:rPr>
          <w:noProof/>
        </w:rPr>
        <w:t xml:space="preserve">The act which the Committee </w:t>
      </w:r>
      <w:r w:rsidR="00AA623F">
        <w:rPr>
          <w:noProof/>
        </w:rPr>
        <w:t xml:space="preserve">on Customs </w:t>
      </w:r>
      <w:r w:rsidRPr="00CB0DCD">
        <w:rPr>
          <w:noProof/>
        </w:rPr>
        <w:t>is called upon to adopt constitutes an act having legal effect</w:t>
      </w:r>
      <w:r w:rsidR="00AA623F">
        <w:rPr>
          <w:noProof/>
        </w:rPr>
        <w:t>s</w:t>
      </w:r>
      <w:r w:rsidRPr="00CB0DCD">
        <w:rPr>
          <w:noProof/>
        </w:rPr>
        <w:t xml:space="preserve">. The envisaged act will </w:t>
      </w:r>
      <w:r w:rsidR="00531B8E">
        <w:rPr>
          <w:noProof/>
        </w:rPr>
        <w:t>be binding under international law</w:t>
      </w:r>
      <w:r w:rsidRPr="00CB0DCD">
        <w:rPr>
          <w:noProof/>
        </w:rPr>
        <w:t xml:space="preserve"> </w:t>
      </w:r>
      <w:r w:rsidR="00531B8E" w:rsidRPr="00531B8E">
        <w:rPr>
          <w:rFonts w:eastAsia="Arial Unicode MS"/>
          <w:noProof/>
        </w:rPr>
        <w:t xml:space="preserve">in accordance with </w:t>
      </w:r>
      <w:r w:rsidR="00871DB0">
        <w:rPr>
          <w:rFonts w:eastAsia="Arial Unicode MS"/>
          <w:noProof/>
        </w:rPr>
        <w:t>p</w:t>
      </w:r>
      <w:r w:rsidR="002A1508">
        <w:rPr>
          <w:rFonts w:eastAsia="Arial Unicode MS"/>
          <w:noProof/>
        </w:rPr>
        <w:t xml:space="preserve">aragraph 1 of </w:t>
      </w:r>
      <w:r w:rsidR="00531B8E" w:rsidRPr="00531B8E">
        <w:rPr>
          <w:rFonts w:eastAsia="Arial Unicode MS"/>
          <w:noProof/>
        </w:rPr>
        <w:t>Article 16.4</w:t>
      </w:r>
      <w:r w:rsidR="002A1508">
        <w:rPr>
          <w:rFonts w:eastAsia="Arial Unicode MS"/>
          <w:noProof/>
        </w:rPr>
        <w:t xml:space="preserve"> </w:t>
      </w:r>
      <w:r w:rsidR="00B8303A">
        <w:rPr>
          <w:rFonts w:eastAsia="Arial Unicode MS"/>
          <w:noProof/>
        </w:rPr>
        <w:t xml:space="preserve">read in combination with </w:t>
      </w:r>
      <w:r w:rsidR="00871DB0">
        <w:rPr>
          <w:noProof/>
        </w:rPr>
        <w:t>p</w:t>
      </w:r>
      <w:r w:rsidR="002A1508">
        <w:rPr>
          <w:noProof/>
        </w:rPr>
        <w:t xml:space="preserve">aragraph 2 of </w:t>
      </w:r>
      <w:r w:rsidR="002A1508" w:rsidRPr="00D0437E">
        <w:rPr>
          <w:noProof/>
        </w:rPr>
        <w:t xml:space="preserve">Article </w:t>
      </w:r>
      <w:r w:rsidR="002A1508">
        <w:rPr>
          <w:noProof/>
        </w:rPr>
        <w:t xml:space="preserve">6.17 </w:t>
      </w:r>
      <w:r w:rsidR="00531B8E" w:rsidRPr="00531B8E">
        <w:rPr>
          <w:rFonts w:eastAsia="Arial Unicode MS"/>
          <w:noProof/>
        </w:rPr>
        <w:t>of the Agreement</w:t>
      </w:r>
      <w:r w:rsidRPr="00D0437E">
        <w:rPr>
          <w:noProof/>
        </w:rPr>
        <w:t>.</w:t>
      </w:r>
    </w:p>
    <w:p w:rsidR="004A25CB" w:rsidRPr="00D0437E" w:rsidRDefault="004A25CB" w:rsidP="004A25CB">
      <w:pPr>
        <w:rPr>
          <w:noProof/>
        </w:rPr>
      </w:pPr>
      <w:r w:rsidRPr="00D0437E">
        <w:rPr>
          <w:noProof/>
        </w:rPr>
        <w:t xml:space="preserve">The envisaged act does not supplement or amend the institutional framework of the Agreement. </w:t>
      </w:r>
    </w:p>
    <w:p w:rsidR="004B01D2" w:rsidRPr="00E34F04" w:rsidRDefault="004B01D2" w:rsidP="00736AA9">
      <w:pPr>
        <w:rPr>
          <w:noProof/>
        </w:rPr>
      </w:pPr>
      <w:r w:rsidRPr="00E34F04">
        <w:rPr>
          <w:noProof/>
        </w:rPr>
        <w:t>Therefore, the procedural legal basis for the proposed decision is Article 218(9) TFEU.</w:t>
      </w:r>
    </w:p>
    <w:p w:rsidR="004B01D2" w:rsidRPr="00E34F04" w:rsidRDefault="004B01D2" w:rsidP="00736AA9">
      <w:pPr>
        <w:pStyle w:val="ManualHeading2"/>
        <w:rPr>
          <w:noProof/>
        </w:rPr>
      </w:pPr>
      <w:r>
        <w:rPr>
          <w:noProof/>
        </w:rPr>
        <w:t>4.2.</w:t>
      </w:r>
      <w:r>
        <w:rPr>
          <w:noProof/>
        </w:rPr>
        <w:tab/>
      </w:r>
      <w:r w:rsidRPr="00E34F04">
        <w:rPr>
          <w:noProof/>
        </w:rPr>
        <w:t>Substantive legal basis</w:t>
      </w:r>
    </w:p>
    <w:p w:rsidR="004B01D2" w:rsidRPr="00E34F04" w:rsidRDefault="004B01D2" w:rsidP="004B01D2">
      <w:pPr>
        <w:pStyle w:val="ManualHeading3"/>
        <w:tabs>
          <w:tab w:val="clear" w:pos="850"/>
          <w:tab w:val="num" w:pos="1984"/>
        </w:tabs>
        <w:ind w:left="1984" w:hanging="567"/>
        <w:rPr>
          <w:noProof/>
        </w:rPr>
      </w:pPr>
      <w:r>
        <w:rPr>
          <w:noProof/>
        </w:rPr>
        <w:t>4.2.1.</w:t>
      </w:r>
      <w:r>
        <w:rPr>
          <w:noProof/>
        </w:rPr>
        <w:tab/>
      </w:r>
      <w:r w:rsidRPr="00E34F04">
        <w:rPr>
          <w:noProof/>
        </w:rPr>
        <w:t>Principles</w:t>
      </w:r>
    </w:p>
    <w:p w:rsidR="004B01D2" w:rsidRPr="00E34F04" w:rsidRDefault="00BC151C"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r>
        <w:rPr>
          <w:noProof/>
        </w:rPr>
        <w:t>.</w:t>
      </w:r>
    </w:p>
    <w:p w:rsidR="004B01D2" w:rsidRPr="00D0437E" w:rsidRDefault="004B01D2" w:rsidP="00736AA9">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F65241" w:rsidRDefault="0C9BD1F7" w:rsidP="00736AA9">
      <w:pPr>
        <w:rPr>
          <w:noProof/>
        </w:rPr>
      </w:pPr>
      <w:r>
        <w:rPr>
          <w:noProof/>
        </w:rPr>
        <w:t xml:space="preserve">The main objective and content of the envisaged act </w:t>
      </w:r>
      <w:r w:rsidR="00F65241">
        <w:rPr>
          <w:noProof/>
        </w:rPr>
        <w:t>relate to the common commercial policy.</w:t>
      </w:r>
    </w:p>
    <w:p w:rsidR="004B01D2" w:rsidRPr="00E34F04" w:rsidRDefault="00F65241" w:rsidP="00736AA9">
      <w:pPr>
        <w:rPr>
          <w:noProof/>
        </w:rPr>
      </w:pPr>
      <w:r>
        <w:rPr>
          <w:noProof/>
        </w:rPr>
        <w:t>Therefore, the substantive legal basis of the proposed decision is Article 207(4) TFEU</w:t>
      </w:r>
      <w:r w:rsidR="0C9BD1F7">
        <w:rPr>
          <w:noProof/>
        </w:rPr>
        <w:t>.</w:t>
      </w:r>
    </w:p>
    <w:p w:rsidR="004B01D2" w:rsidRPr="00E34F04" w:rsidRDefault="004B01D2" w:rsidP="00736AA9">
      <w:pPr>
        <w:pStyle w:val="ManualHeading2"/>
        <w:rPr>
          <w:noProof/>
        </w:rPr>
      </w:pPr>
      <w:r>
        <w:rPr>
          <w:noProof/>
        </w:rPr>
        <w:t>4.3.</w:t>
      </w:r>
      <w:r>
        <w:rPr>
          <w:noProof/>
        </w:rPr>
        <w:tab/>
      </w:r>
      <w:r w:rsidRPr="00E34F04">
        <w:rPr>
          <w:noProof/>
        </w:rPr>
        <w:t>Conclusion</w:t>
      </w:r>
    </w:p>
    <w:p w:rsidR="004B01D2" w:rsidRPr="00E34F04" w:rsidRDefault="2284C70D" w:rsidP="00736AA9">
      <w:pPr>
        <w:rPr>
          <w:noProof/>
        </w:rPr>
      </w:pPr>
      <w:r>
        <w:rPr>
          <w:noProof/>
        </w:rPr>
        <w:t>The legal basis of the proposed decision should be</w:t>
      </w:r>
      <w:r w:rsidR="0C9BD1F7">
        <w:rPr>
          <w:noProof/>
        </w:rPr>
        <w:t xml:space="preserve"> Article 20</w:t>
      </w:r>
      <w:r w:rsidR="281FED50">
        <w:rPr>
          <w:noProof/>
        </w:rPr>
        <w:t>7</w:t>
      </w:r>
      <w:r w:rsidR="00B8303A">
        <w:rPr>
          <w:noProof/>
        </w:rPr>
        <w:t>(4)</w:t>
      </w:r>
      <w:r w:rsidR="0C9BD1F7">
        <w:rPr>
          <w:noProof/>
        </w:rPr>
        <w:t xml:space="preserve">, </w:t>
      </w:r>
      <w:r>
        <w:rPr>
          <w:noProof/>
        </w:rPr>
        <w:t>in conjunction with Article 218(9) TFEU.</w:t>
      </w:r>
    </w:p>
    <w:p w:rsidR="004B01D2" w:rsidRPr="00E34F04" w:rsidRDefault="004B01D2" w:rsidP="00736AA9">
      <w:pPr>
        <w:pStyle w:val="ManualHeading1"/>
        <w:rPr>
          <w:noProof/>
        </w:rPr>
      </w:pPr>
      <w:r>
        <w:rPr>
          <w:noProof/>
        </w:rPr>
        <w:t>5.</w:t>
      </w:r>
      <w:r>
        <w:rPr>
          <w:noProof/>
        </w:rPr>
        <w:tab/>
      </w:r>
      <w:r w:rsidRPr="00E34F04">
        <w:rPr>
          <w:noProof/>
        </w:rPr>
        <w:t>Publication of the envisaged act</w:t>
      </w:r>
    </w:p>
    <w:p w:rsidR="004B01D2" w:rsidRPr="004A25CB" w:rsidRDefault="004A25CB" w:rsidP="00736AA9">
      <w:pPr>
        <w:rPr>
          <w:noProof/>
        </w:rPr>
      </w:pPr>
      <w:r w:rsidRPr="00D0437E">
        <w:rPr>
          <w:noProof/>
        </w:rPr>
        <w:t xml:space="preserve">As the act of the Committee </w:t>
      </w:r>
      <w:r w:rsidR="00F65241">
        <w:rPr>
          <w:noProof/>
        </w:rPr>
        <w:t xml:space="preserve">on Customs </w:t>
      </w:r>
      <w:r w:rsidRPr="00D0437E">
        <w:rPr>
          <w:noProof/>
        </w:rPr>
        <w:t>will be applicable by both Parties, including the E</w:t>
      </w:r>
      <w:r w:rsidR="00F65241">
        <w:rPr>
          <w:noProof/>
        </w:rPr>
        <w:t xml:space="preserve">uropean </w:t>
      </w:r>
      <w:r w:rsidRPr="00D0437E">
        <w:rPr>
          <w:noProof/>
        </w:rPr>
        <w:t>U</w:t>
      </w:r>
      <w:r w:rsidR="00F65241">
        <w:rPr>
          <w:noProof/>
        </w:rPr>
        <w:t>nion</w:t>
      </w:r>
      <w:r w:rsidRPr="00D0437E">
        <w:rPr>
          <w:noProof/>
        </w:rPr>
        <w:t xml:space="preserve"> and its Member States, it is appropriate to publish it in the </w:t>
      </w:r>
      <w:r w:rsidRPr="00F65241">
        <w:rPr>
          <w:i/>
          <w:iCs/>
          <w:noProof/>
        </w:rPr>
        <w:t>Official Journal of the European Union</w:t>
      </w:r>
      <w:r w:rsidRPr="00D0437E">
        <w:rPr>
          <w:noProof/>
        </w:rPr>
        <w:t xml:space="preserve"> after its adoption</w:t>
      </w:r>
      <w:r w:rsidR="004B01D2" w:rsidRPr="004A25CB">
        <w:rPr>
          <w:noProof/>
        </w:rPr>
        <w:t>.</w:t>
      </w:r>
    </w:p>
    <w:p w:rsidR="004B01D2" w:rsidRPr="00FD40BA" w:rsidRDefault="004B01D2" w:rsidP="00FD40BA">
      <w:pPr>
        <w:rPr>
          <w:noProof/>
        </w:rPr>
        <w:sectPr w:rsidR="004B01D2" w:rsidRPr="00FD40BA" w:rsidSect="00E33EF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C05D17" w:rsidRDefault="004C1859">
      <w:pPr>
        <w:pStyle w:val="Rfrenceinterinstitutionnelle"/>
        <w:rPr>
          <w:noProof/>
        </w:rPr>
      </w:pPr>
      <w:r>
        <w:rPr>
          <w:noProof/>
        </w:rPr>
        <w:lastRenderedPageBreak/>
        <w:t>2026/0160 (NLE)</w:t>
      </w:r>
    </w:p>
    <w:p w:rsidR="004B01D2" w:rsidRPr="00E34F04" w:rsidRDefault="00B31ABF" w:rsidP="00B31ABF">
      <w:pPr>
        <w:pStyle w:val="Statut"/>
        <w:rPr>
          <w:noProof/>
        </w:rPr>
      </w:pPr>
      <w:r w:rsidRPr="00B31ABF">
        <w:rPr>
          <w:noProof/>
        </w:rPr>
        <w:t>Proposal for a</w:t>
      </w:r>
    </w:p>
    <w:p w:rsidR="004B01D2" w:rsidRPr="00E34F04" w:rsidRDefault="00B31ABF" w:rsidP="00B31ABF">
      <w:pPr>
        <w:pStyle w:val="Typedudocument"/>
        <w:rPr>
          <w:noProof/>
        </w:rPr>
      </w:pPr>
      <w:r w:rsidRPr="00B31ABF">
        <w:rPr>
          <w:noProof/>
        </w:rPr>
        <w:t>COUNCIL DECISION</w:t>
      </w:r>
    </w:p>
    <w:p w:rsidR="004B01D2" w:rsidRPr="00E34F04" w:rsidRDefault="00B31ABF" w:rsidP="00B31ABF">
      <w:pPr>
        <w:pStyle w:val="Titreobjet"/>
        <w:rPr>
          <w:noProof/>
        </w:rPr>
      </w:pPr>
      <w:r w:rsidRPr="00B31ABF">
        <w:rPr>
          <w:noProof/>
        </w:rPr>
        <w:t>on the position to be taken on behalf of the European Union in the Committee on Customs established under the Free Trade Agreement between the European Union and the Republic of Singapore as regards the adoption of the decision concerning the mutual recognition of the Secure Trade Partnership Plus Programme of Singapore and the Authorised Economic Operator Programme of the European Union</w:t>
      </w:r>
    </w:p>
    <w:p w:rsidR="004B01D2" w:rsidRPr="00AD2A67" w:rsidRDefault="004B01D2" w:rsidP="00BE7CB9">
      <w:pPr>
        <w:pStyle w:val="Institutionquiagit"/>
        <w:rPr>
          <w:noProof/>
        </w:rPr>
      </w:pPr>
      <w:r w:rsidRPr="00AD2A67">
        <w:rPr>
          <w:noProof/>
        </w:rPr>
        <w:t>THE COUNCIL OF THE EUROPEAN UNION,</w:t>
      </w:r>
    </w:p>
    <w:p w:rsidR="004B01D2" w:rsidRPr="00E34F04" w:rsidRDefault="004B01D2" w:rsidP="00BE7CB9">
      <w:pPr>
        <w:rPr>
          <w:noProof/>
        </w:rPr>
      </w:pPr>
      <w:r w:rsidRPr="00E34F04">
        <w:rPr>
          <w:noProof/>
        </w:rPr>
        <w:t>Having regard to the Treaty on the Functioning of the European Union, and in particular Article</w:t>
      </w:r>
      <w:r w:rsidR="004A25CB">
        <w:rPr>
          <w:noProof/>
        </w:rPr>
        <w:t xml:space="preserve"> 207(4), first subparagraph,</w:t>
      </w:r>
      <w:r w:rsidRPr="00E34F04">
        <w:rPr>
          <w:noProof/>
        </w:rPr>
        <w:t xml:space="preserve"> in conjunction with Article 218(9) thereof,</w:t>
      </w:r>
    </w:p>
    <w:p w:rsidR="004B01D2" w:rsidRPr="00E34F04" w:rsidRDefault="004B01D2" w:rsidP="00BE7CB9">
      <w:pPr>
        <w:rPr>
          <w:noProof/>
        </w:rPr>
      </w:pPr>
      <w:r w:rsidRPr="00E34F04">
        <w:rPr>
          <w:noProof/>
        </w:rPr>
        <w:t>Having regard to the proposal from the European Commission,</w:t>
      </w:r>
    </w:p>
    <w:p w:rsidR="004B01D2" w:rsidRPr="00E34F04" w:rsidRDefault="004B01D2" w:rsidP="00BE7CB9">
      <w:pPr>
        <w:rPr>
          <w:noProof/>
        </w:rPr>
      </w:pPr>
      <w:r w:rsidRPr="00E34F04">
        <w:rPr>
          <w:noProof/>
        </w:rPr>
        <w:t>Whereas:</w:t>
      </w:r>
    </w:p>
    <w:p w:rsidR="004A25CB" w:rsidRDefault="00364407" w:rsidP="00705F49">
      <w:pPr>
        <w:pStyle w:val="ManualConsidrant"/>
        <w:rPr>
          <w:noProof/>
        </w:rPr>
      </w:pPr>
      <w:r>
        <w:rPr>
          <w:noProof/>
        </w:rPr>
        <w:t>(1)</w:t>
      </w:r>
      <w:r>
        <w:rPr>
          <w:noProof/>
        </w:rPr>
        <w:tab/>
        <w:t>The Free Trade Agreement between the European Union and the Republic of Singapore (‘the Agreement’) was concluded by the Union by means of Council Decision (EU) 2019/1875</w:t>
      </w:r>
      <w:r>
        <w:rPr>
          <w:rStyle w:val="FootnoteReference"/>
          <w:noProof/>
        </w:rPr>
        <w:footnoteReference w:id="4"/>
      </w:r>
      <w:r w:rsidR="004A25CB" w:rsidRPr="00D0437E">
        <w:rPr>
          <w:noProof/>
        </w:rPr>
        <w:t>.</w:t>
      </w:r>
    </w:p>
    <w:p w:rsidR="00C17511" w:rsidRPr="00D0437E" w:rsidRDefault="00C17511" w:rsidP="00705F49">
      <w:pPr>
        <w:pStyle w:val="ManualConsidrant"/>
        <w:rPr>
          <w:noProof/>
        </w:rPr>
      </w:pPr>
      <w:r>
        <w:rPr>
          <w:noProof/>
        </w:rPr>
        <w:t>(2)</w:t>
      </w:r>
      <w:r>
        <w:rPr>
          <w:noProof/>
        </w:rPr>
        <w:tab/>
        <w:t>Article 6.3 of the Agreement calls on the Parties to establish, where appropriate, mutual recognition of trade partnership programmes</w:t>
      </w:r>
      <w:r w:rsidR="00C46D33">
        <w:rPr>
          <w:noProof/>
        </w:rPr>
        <w:t>, including aspects such as data transmission and mutually agreed benefits</w:t>
      </w:r>
      <w:r>
        <w:rPr>
          <w:noProof/>
        </w:rPr>
        <w:t>.</w:t>
      </w:r>
    </w:p>
    <w:p w:rsidR="00871DB0" w:rsidRPr="00D0437E" w:rsidRDefault="004A25CB" w:rsidP="00871DB0">
      <w:pPr>
        <w:pStyle w:val="ManualConsidrant"/>
        <w:rPr>
          <w:noProof/>
        </w:rPr>
      </w:pPr>
      <w:r>
        <w:rPr>
          <w:noProof/>
        </w:rPr>
        <w:t>(3)</w:t>
      </w:r>
      <w:r>
        <w:rPr>
          <w:noProof/>
        </w:rPr>
        <w:tab/>
      </w:r>
      <w:r w:rsidRPr="00D0437E">
        <w:rPr>
          <w:noProof/>
        </w:rPr>
        <w:t xml:space="preserve">Pursuant to </w:t>
      </w:r>
      <w:r w:rsidR="00871DB0">
        <w:rPr>
          <w:noProof/>
        </w:rPr>
        <w:t xml:space="preserve">paragraph 2 of </w:t>
      </w:r>
      <w:r w:rsidRPr="00D0437E">
        <w:rPr>
          <w:noProof/>
        </w:rPr>
        <w:t xml:space="preserve">Article </w:t>
      </w:r>
      <w:r w:rsidR="00FC1593">
        <w:rPr>
          <w:noProof/>
        </w:rPr>
        <w:t>6.17</w:t>
      </w:r>
      <w:r w:rsidR="00871DB0">
        <w:rPr>
          <w:noProof/>
        </w:rPr>
        <w:t xml:space="preserve"> and </w:t>
      </w:r>
      <w:r w:rsidR="00871DB0">
        <w:rPr>
          <w:rFonts w:eastAsia="Arial Unicode MS"/>
          <w:noProof/>
        </w:rPr>
        <w:t xml:space="preserve">paragraph 1 of </w:t>
      </w:r>
      <w:r w:rsidR="00871DB0" w:rsidRPr="00531B8E">
        <w:rPr>
          <w:rFonts w:eastAsia="Arial Unicode MS"/>
          <w:noProof/>
        </w:rPr>
        <w:t>Article 16.4</w:t>
      </w:r>
      <w:r w:rsidR="00871DB0">
        <w:rPr>
          <w:rFonts w:eastAsia="Arial Unicode MS"/>
          <w:noProof/>
        </w:rPr>
        <w:t xml:space="preserve"> </w:t>
      </w:r>
      <w:r w:rsidR="00871DB0">
        <w:rPr>
          <w:noProof/>
        </w:rPr>
        <w:t>of the Agreement</w:t>
      </w:r>
      <w:r w:rsidR="00FC1593">
        <w:rPr>
          <w:noProof/>
        </w:rPr>
        <w:t>, the Committee on Customs may adopt decisions on the mutual recognition of trade partnership programmes.</w:t>
      </w:r>
    </w:p>
    <w:p w:rsidR="00871DB0" w:rsidRDefault="00871DB0" w:rsidP="00D0437E">
      <w:pPr>
        <w:pStyle w:val="ManualConsidrant"/>
        <w:rPr>
          <w:noProof/>
        </w:rPr>
      </w:pPr>
      <w:r>
        <w:rPr>
          <w:noProof/>
        </w:rPr>
        <w:t>(4)</w:t>
      </w:r>
      <w:r>
        <w:rPr>
          <w:noProof/>
        </w:rPr>
        <w:tab/>
      </w:r>
      <w:r w:rsidRPr="00D0437E">
        <w:rPr>
          <w:noProof/>
        </w:rPr>
        <w:t>The Committee</w:t>
      </w:r>
      <w:r>
        <w:rPr>
          <w:noProof/>
        </w:rPr>
        <w:t xml:space="preserve"> on Customs </w:t>
      </w:r>
      <w:r w:rsidRPr="00D0437E">
        <w:rPr>
          <w:noProof/>
        </w:rPr>
        <w:t xml:space="preserve">during its </w:t>
      </w:r>
      <w:r>
        <w:rPr>
          <w:noProof/>
        </w:rPr>
        <w:t xml:space="preserve">second </w:t>
      </w:r>
      <w:r w:rsidRPr="00D0437E">
        <w:rPr>
          <w:noProof/>
        </w:rPr>
        <w:t>meeting in 202</w:t>
      </w:r>
      <w:r>
        <w:rPr>
          <w:noProof/>
        </w:rPr>
        <w:t>6,</w:t>
      </w:r>
      <w:r w:rsidRPr="00D0437E">
        <w:rPr>
          <w:noProof/>
        </w:rPr>
        <w:t xml:space="preserve"> or by written procedure if the Parties so agree, is to adopt </w:t>
      </w:r>
      <w:r w:rsidRPr="00672E63">
        <w:rPr>
          <w:noProof/>
          <w:lang w:val="en-US"/>
        </w:rPr>
        <w:t>the decision concerning the mutual recognition of the Secure Trade Partnership Plus Programme of Singapore and the Authorised Economic Operator Programme of the European Union</w:t>
      </w:r>
      <w:r w:rsidRPr="00D0437E">
        <w:rPr>
          <w:noProof/>
        </w:rPr>
        <w:t>.</w:t>
      </w:r>
    </w:p>
    <w:p w:rsidR="004A25CB" w:rsidRPr="00D0437E" w:rsidRDefault="00871DB0" w:rsidP="00D0437E">
      <w:pPr>
        <w:pStyle w:val="ManualConsidrant"/>
        <w:rPr>
          <w:noProof/>
        </w:rPr>
      </w:pPr>
      <w:r>
        <w:rPr>
          <w:noProof/>
        </w:rPr>
        <w:t>(5)</w:t>
      </w:r>
      <w:r>
        <w:rPr>
          <w:noProof/>
        </w:rPr>
        <w:tab/>
      </w:r>
      <w:r w:rsidRPr="00D0437E">
        <w:rPr>
          <w:noProof/>
        </w:rPr>
        <w:t xml:space="preserve">It is appropriate to establish the position to be taken on the Union’s behalf </w:t>
      </w:r>
      <w:r>
        <w:rPr>
          <w:noProof/>
        </w:rPr>
        <w:t>in</w:t>
      </w:r>
      <w:r w:rsidRPr="00D0437E">
        <w:rPr>
          <w:noProof/>
        </w:rPr>
        <w:t xml:space="preserve"> the Committee </w:t>
      </w:r>
      <w:r>
        <w:rPr>
          <w:noProof/>
        </w:rPr>
        <w:t xml:space="preserve">on Customs, </w:t>
      </w:r>
      <w:r w:rsidRPr="00D0437E">
        <w:rPr>
          <w:noProof/>
        </w:rPr>
        <w:t xml:space="preserve">as the decision on mutual recognition of </w:t>
      </w:r>
      <w:r w:rsidRPr="00672E63">
        <w:rPr>
          <w:noProof/>
          <w:lang w:val="en-US"/>
        </w:rPr>
        <w:t>the Secure Trade Partnership Plus Programme of Singapore and the Authorised Economic Operator Programme of the European Union</w:t>
      </w:r>
      <w:r w:rsidRPr="00D0437E">
        <w:rPr>
          <w:noProof/>
        </w:rPr>
        <w:t xml:space="preserve"> will be binding on the Union</w:t>
      </w:r>
      <w:r w:rsidR="00B7768C">
        <w:rPr>
          <w:noProof/>
        </w:rPr>
        <w:t>.</w:t>
      </w:r>
    </w:p>
    <w:p w:rsidR="004A25CB" w:rsidRPr="00D0437E" w:rsidRDefault="0C9BD1F7" w:rsidP="00D0437E">
      <w:pPr>
        <w:pStyle w:val="ManualConsidrant"/>
        <w:rPr>
          <w:noProof/>
        </w:rPr>
      </w:pPr>
      <w:r>
        <w:rPr>
          <w:noProof/>
        </w:rPr>
        <w:t>(6)</w:t>
      </w:r>
      <w:r>
        <w:rPr>
          <w:noProof/>
        </w:rPr>
        <w:tab/>
      </w:r>
      <w:r w:rsidRPr="00D0437E">
        <w:rPr>
          <w:noProof/>
        </w:rPr>
        <w:t xml:space="preserve">Security and safety, and the facilitation of the international trade supply chain can be significantly enhanced through mutual recognition of the respective trade partnership programmes, namely of the Authorised Economic Operator </w:t>
      </w:r>
      <w:r w:rsidR="00AB1C7E">
        <w:rPr>
          <w:noProof/>
        </w:rPr>
        <w:t>P</w:t>
      </w:r>
      <w:r w:rsidRPr="00D0437E">
        <w:rPr>
          <w:noProof/>
        </w:rPr>
        <w:t xml:space="preserve">rogramme </w:t>
      </w:r>
      <w:r w:rsidR="00C17511">
        <w:rPr>
          <w:noProof/>
        </w:rPr>
        <w:t>of</w:t>
      </w:r>
      <w:r w:rsidRPr="00D0437E">
        <w:rPr>
          <w:noProof/>
        </w:rPr>
        <w:t xml:space="preserve"> the European Union and the </w:t>
      </w:r>
      <w:r w:rsidR="00821671" w:rsidRPr="00821671">
        <w:rPr>
          <w:noProof/>
        </w:rPr>
        <w:t xml:space="preserve">Secure Trade Partnership Plus Programme </w:t>
      </w:r>
      <w:r w:rsidR="00C17511">
        <w:rPr>
          <w:noProof/>
        </w:rPr>
        <w:t>of</w:t>
      </w:r>
      <w:r w:rsidRPr="00D0437E">
        <w:rPr>
          <w:noProof/>
        </w:rPr>
        <w:t xml:space="preserve"> the Republic of </w:t>
      </w:r>
      <w:r w:rsidR="00821671">
        <w:rPr>
          <w:noProof/>
        </w:rPr>
        <w:t>Singapore</w:t>
      </w:r>
      <w:r w:rsidR="29BA36DA" w:rsidRPr="00D0437E">
        <w:rPr>
          <w:noProof/>
        </w:rPr>
        <w:t>.</w:t>
      </w:r>
    </w:p>
    <w:p w:rsidR="004A25CB" w:rsidRDefault="004A25CB" w:rsidP="00D0437E">
      <w:pPr>
        <w:pStyle w:val="ManualConsidrant"/>
        <w:rPr>
          <w:noProof/>
        </w:rPr>
      </w:pPr>
      <w:r>
        <w:rPr>
          <w:noProof/>
        </w:rPr>
        <w:t>(7)</w:t>
      </w:r>
      <w:r>
        <w:rPr>
          <w:noProof/>
        </w:rPr>
        <w:tab/>
      </w:r>
      <w:r w:rsidRPr="00D0437E">
        <w:rPr>
          <w:noProof/>
        </w:rPr>
        <w:t xml:space="preserve">The two </w:t>
      </w:r>
      <w:r w:rsidR="00C17511">
        <w:rPr>
          <w:noProof/>
        </w:rPr>
        <w:t xml:space="preserve">respective </w:t>
      </w:r>
      <w:r w:rsidR="00821671">
        <w:rPr>
          <w:noProof/>
        </w:rPr>
        <w:t>trade partnership programmes</w:t>
      </w:r>
      <w:r w:rsidRPr="00D0437E">
        <w:rPr>
          <w:noProof/>
        </w:rPr>
        <w:t xml:space="preserve"> are based on internationally recognised security standards advocated by the SAFE Framework of Standards to </w:t>
      </w:r>
      <w:r w:rsidRPr="00D0437E">
        <w:rPr>
          <w:noProof/>
        </w:rPr>
        <w:lastRenderedPageBreak/>
        <w:t>Secure and Facilitate Global Trade adopted by the World Customs Organization in June 2005 (‘SAFE Framework’).</w:t>
      </w:r>
    </w:p>
    <w:p w:rsidR="00E026CB" w:rsidRPr="00E34F04" w:rsidRDefault="00C17511" w:rsidP="00392F69">
      <w:pPr>
        <w:pStyle w:val="ManualConsidrant"/>
        <w:rPr>
          <w:noProof/>
        </w:rPr>
      </w:pPr>
      <w:r>
        <w:rPr>
          <w:noProof/>
        </w:rPr>
        <w:t>(8)</w:t>
      </w:r>
      <w:r>
        <w:rPr>
          <w:noProof/>
        </w:rPr>
        <w:tab/>
      </w:r>
      <w:r w:rsidRPr="00D0437E">
        <w:rPr>
          <w:noProof/>
        </w:rPr>
        <w:t xml:space="preserve">Site visits and a joint evaluation of the Authorised Economic Operator </w:t>
      </w:r>
      <w:r w:rsidR="00AB1C7E">
        <w:rPr>
          <w:noProof/>
        </w:rPr>
        <w:t>P</w:t>
      </w:r>
      <w:r w:rsidRPr="00D0437E">
        <w:rPr>
          <w:noProof/>
        </w:rPr>
        <w:t xml:space="preserve">rogramme in the European Union and the </w:t>
      </w:r>
      <w:r w:rsidRPr="00821671">
        <w:rPr>
          <w:noProof/>
        </w:rPr>
        <w:t xml:space="preserve">Secure Trade Partnership Plus Programme </w:t>
      </w:r>
      <w:r w:rsidRPr="00D0437E">
        <w:rPr>
          <w:noProof/>
        </w:rPr>
        <w:t xml:space="preserve">in the Republic of </w:t>
      </w:r>
      <w:r>
        <w:rPr>
          <w:noProof/>
        </w:rPr>
        <w:t>Singapore</w:t>
      </w:r>
      <w:r w:rsidRPr="00D0437E">
        <w:rPr>
          <w:noProof/>
        </w:rPr>
        <w:t xml:space="preserve"> have revealed that their qualification standards for security and safety purposes are compatible and lead to equivalent results</w:t>
      </w:r>
      <w:r w:rsidR="00B7768C">
        <w:rPr>
          <w:noProof/>
        </w:rPr>
        <w:t>,</w:t>
      </w:r>
    </w:p>
    <w:p w:rsidR="004B01D2" w:rsidRPr="00E34F04" w:rsidRDefault="004B01D2" w:rsidP="00BE7CB9">
      <w:pPr>
        <w:pStyle w:val="Formuledadoption"/>
        <w:rPr>
          <w:noProof/>
        </w:rPr>
      </w:pPr>
      <w:r w:rsidRPr="00E34F04">
        <w:rPr>
          <w:noProof/>
        </w:rPr>
        <w:t>HAS ADOPTED THIS DECISION:</w:t>
      </w:r>
    </w:p>
    <w:p w:rsidR="004B01D2" w:rsidRPr="00E34F04" w:rsidRDefault="004B01D2" w:rsidP="00BE7CB9">
      <w:pPr>
        <w:pStyle w:val="Titrearticle"/>
        <w:rPr>
          <w:noProof/>
        </w:rPr>
      </w:pPr>
      <w:r w:rsidRPr="00E34F04">
        <w:rPr>
          <w:noProof/>
        </w:rPr>
        <w:t>Article 1</w:t>
      </w:r>
    </w:p>
    <w:p w:rsidR="004B01D2" w:rsidRDefault="004B01D2" w:rsidP="00E026CB">
      <w:pPr>
        <w:rPr>
          <w:noProof/>
        </w:rPr>
      </w:pPr>
      <w:r w:rsidRPr="00E34F04">
        <w:rPr>
          <w:noProof/>
        </w:rPr>
        <w:t>T</w:t>
      </w:r>
      <w:r w:rsidR="00E026CB" w:rsidRPr="00E026CB">
        <w:rPr>
          <w:noProof/>
        </w:rPr>
        <w:t xml:space="preserve">he position </w:t>
      </w:r>
      <w:r w:rsidR="00A64FD3">
        <w:rPr>
          <w:noProof/>
        </w:rPr>
        <w:t xml:space="preserve">to be taken on the Union’s behalf in the meeting of the Committee on Customs under the Free Trade Agreement between the European Union and the Republic of Singapore with regard to the mutual recognition </w:t>
      </w:r>
      <w:r w:rsidR="00A64FD3" w:rsidRPr="00D0437E">
        <w:rPr>
          <w:noProof/>
        </w:rPr>
        <w:t xml:space="preserve">of </w:t>
      </w:r>
      <w:r w:rsidR="00A64FD3" w:rsidRPr="00672E63">
        <w:rPr>
          <w:noProof/>
          <w:lang w:val="en-US"/>
        </w:rPr>
        <w:t>the Secure Trade Partnership Plus Programme of Singapore and the Authorised Economic Operator Programme of the European Union</w:t>
      </w:r>
      <w:r w:rsidR="00A64FD3" w:rsidRPr="00D0437E">
        <w:rPr>
          <w:noProof/>
        </w:rPr>
        <w:t xml:space="preserve"> </w:t>
      </w:r>
      <w:r w:rsidR="00E026CB" w:rsidRPr="00E026CB">
        <w:rPr>
          <w:noProof/>
        </w:rPr>
        <w:t xml:space="preserve">shall be based on the </w:t>
      </w:r>
      <w:r w:rsidR="00B15B13">
        <w:rPr>
          <w:noProof/>
        </w:rPr>
        <w:t>at</w:t>
      </w:r>
      <w:r w:rsidR="000D46CB">
        <w:rPr>
          <w:noProof/>
        </w:rPr>
        <w:t>t</w:t>
      </w:r>
      <w:r w:rsidR="00B15B13">
        <w:rPr>
          <w:noProof/>
        </w:rPr>
        <w:t xml:space="preserve">ached </w:t>
      </w:r>
      <w:r w:rsidR="00E026CB" w:rsidRPr="00E026CB">
        <w:rPr>
          <w:noProof/>
        </w:rPr>
        <w:t xml:space="preserve">draft decision of the Committee </w:t>
      </w:r>
      <w:r w:rsidR="00A64FD3">
        <w:rPr>
          <w:noProof/>
        </w:rPr>
        <w:t>on Customs</w:t>
      </w:r>
      <w:r w:rsidR="00E026CB">
        <w:rPr>
          <w:noProof/>
        </w:rPr>
        <w:t>.</w:t>
      </w:r>
    </w:p>
    <w:p w:rsidR="004B01D2" w:rsidRPr="00E34F04" w:rsidRDefault="004B01D2" w:rsidP="0022209E">
      <w:pPr>
        <w:pStyle w:val="Titrearticle"/>
        <w:rPr>
          <w:noProof/>
        </w:rPr>
      </w:pPr>
      <w:r w:rsidRPr="00E34F04">
        <w:rPr>
          <w:noProof/>
        </w:rPr>
        <w:t>Article</w:t>
      </w:r>
      <w:r w:rsidR="00E026CB">
        <w:rPr>
          <w:noProof/>
        </w:rPr>
        <w:t xml:space="preserve"> </w:t>
      </w:r>
      <w:r w:rsidR="00E94734">
        <w:rPr>
          <w:noProof/>
        </w:rPr>
        <w:t>2</w:t>
      </w:r>
    </w:p>
    <w:p w:rsidR="004B01D2" w:rsidRDefault="004B01D2" w:rsidP="00BE7CB9">
      <w:pPr>
        <w:rPr>
          <w:noProof/>
        </w:rPr>
      </w:pPr>
      <w:r w:rsidRPr="00E34F04">
        <w:rPr>
          <w:noProof/>
        </w:rPr>
        <w:t xml:space="preserve">This Decision </w:t>
      </w:r>
      <w:r w:rsidR="00E21703">
        <w:rPr>
          <w:noProof/>
        </w:rPr>
        <w:t xml:space="preserve">shall </w:t>
      </w:r>
      <w:r w:rsidR="00B46BDF">
        <w:rPr>
          <w:noProof/>
        </w:rPr>
        <w:t>enter into force on the date of its adoption</w:t>
      </w:r>
      <w:r w:rsidRPr="00E34F04">
        <w:rPr>
          <w:noProof/>
        </w:rPr>
        <w:t>.</w:t>
      </w:r>
    </w:p>
    <w:p w:rsidR="004B01D2" w:rsidRDefault="00B31ABF" w:rsidP="0022209E">
      <w:pPr>
        <w:pStyle w:val="Fait"/>
        <w:rPr>
          <w:noProof/>
        </w:rPr>
      </w:pPr>
      <w:r>
        <w:rPr>
          <w:noProof/>
        </w:rPr>
        <w:t>Done at Brussels,</w:t>
      </w:r>
    </w:p>
    <w:p w:rsidR="004B01D2" w:rsidRDefault="004B01D2" w:rsidP="0022209E">
      <w:pPr>
        <w:pStyle w:val="Institutionquisigne"/>
        <w:rPr>
          <w:noProof/>
        </w:rPr>
      </w:pPr>
      <w:r w:rsidRPr="004B01D2">
        <w:rPr>
          <w:noProof/>
        </w:rPr>
        <w:tab/>
        <w:t>For the Council</w:t>
      </w:r>
    </w:p>
    <w:p w:rsidR="004B01D2" w:rsidRPr="004B01D2" w:rsidRDefault="004B01D2" w:rsidP="004B01D2">
      <w:pPr>
        <w:pStyle w:val="Personnequisigne"/>
        <w:rPr>
          <w:noProof/>
        </w:rPr>
      </w:pPr>
      <w:r w:rsidRPr="004B01D2">
        <w:rPr>
          <w:noProof/>
        </w:rPr>
        <w:tab/>
        <w:t>The President</w:t>
      </w:r>
    </w:p>
    <w:sectPr w:rsidR="004B01D2" w:rsidRPr="004B01D2" w:rsidSect="00E33EF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1BA" w:rsidRDefault="00CB51BA" w:rsidP="004B01D2">
      <w:pPr>
        <w:spacing w:before="0" w:after="0"/>
      </w:pPr>
      <w:r>
        <w:separator/>
      </w:r>
    </w:p>
  </w:endnote>
  <w:endnote w:type="continuationSeparator" w:id="0">
    <w:p w:rsidR="00CB51BA" w:rsidRDefault="00CB51BA" w:rsidP="004B01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Footer"/>
      <w:rPr>
        <w:rFonts w:ascii="Arial" w:hAnsi="Arial" w:cs="Arial"/>
        <w:b/>
        <w:sz w:val="48"/>
      </w:rPr>
    </w:pPr>
    <w:r w:rsidRPr="00E33EFA">
      <w:rPr>
        <w:rFonts w:ascii="Arial" w:hAnsi="Arial" w:cs="Arial"/>
        <w:b/>
        <w:sz w:val="48"/>
      </w:rPr>
      <w:t>EN</w:t>
    </w:r>
    <w:r w:rsidRPr="00E33EFA">
      <w:rPr>
        <w:rFonts w:ascii="Arial" w:hAnsi="Arial" w:cs="Arial"/>
        <w:b/>
        <w:sz w:val="48"/>
      </w:rPr>
      <w:tab/>
    </w:r>
    <w:r w:rsidRPr="00E33EFA">
      <w:rPr>
        <w:rFonts w:ascii="Arial" w:hAnsi="Arial" w:cs="Arial"/>
        <w:b/>
        <w:sz w:val="48"/>
      </w:rPr>
      <w:tab/>
    </w:r>
    <w:r w:rsidRPr="00E33EFA">
      <w:tab/>
    </w:r>
    <w:r w:rsidRPr="00E33E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Footer"/>
      <w:rPr>
        <w:rFonts w:ascii="Arial" w:hAnsi="Arial" w:cs="Arial"/>
        <w:b/>
        <w:sz w:val="48"/>
      </w:rPr>
    </w:pPr>
    <w:r w:rsidRPr="00E33EFA">
      <w:rPr>
        <w:rFonts w:ascii="Arial" w:hAnsi="Arial" w:cs="Arial"/>
        <w:b/>
        <w:sz w:val="48"/>
      </w:rPr>
      <w:t>EN</w:t>
    </w:r>
    <w:r w:rsidRPr="00E33EFA">
      <w:rPr>
        <w:rFonts w:ascii="Arial" w:hAnsi="Arial" w:cs="Arial"/>
        <w:b/>
        <w:sz w:val="48"/>
      </w:rPr>
      <w:tab/>
    </w:r>
    <w:r w:rsidRPr="00E33EFA">
      <w:rPr>
        <w:rFonts w:ascii="Arial" w:hAnsi="Arial" w:cs="Arial"/>
        <w:b/>
        <w:sz w:val="48"/>
      </w:rPr>
      <w:tab/>
    </w:r>
    <w:r w:rsidRPr="00E33EFA">
      <w:tab/>
    </w:r>
    <w:r w:rsidRPr="00E33E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Default="00E33E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Footer"/>
      <w:rPr>
        <w:rFonts w:ascii="Arial" w:hAnsi="Arial" w:cs="Arial"/>
        <w:b/>
        <w:sz w:val="48"/>
      </w:rPr>
    </w:pPr>
    <w:r w:rsidRPr="00E33EFA">
      <w:rPr>
        <w:rFonts w:ascii="Arial" w:hAnsi="Arial" w:cs="Arial"/>
        <w:b/>
        <w:sz w:val="48"/>
      </w:rPr>
      <w:t>EN</w:t>
    </w:r>
    <w:r w:rsidRPr="00E33EFA">
      <w:rPr>
        <w:rFonts w:ascii="Arial" w:hAnsi="Arial" w:cs="Arial"/>
        <w:b/>
        <w:sz w:val="48"/>
      </w:rPr>
      <w:tab/>
    </w:r>
    <w:r>
      <w:fldChar w:fldCharType="begin"/>
    </w:r>
    <w:r>
      <w:instrText xml:space="preserve"> PAGE  \* MERGEFORMAT </w:instrText>
    </w:r>
    <w:r>
      <w:fldChar w:fldCharType="separate"/>
    </w:r>
    <w:r w:rsidR="0022209E">
      <w:rPr>
        <w:noProof/>
      </w:rPr>
      <w:t>5</w:t>
    </w:r>
    <w:r>
      <w:fldChar w:fldCharType="end"/>
    </w:r>
    <w:r>
      <w:tab/>
    </w:r>
    <w:r w:rsidRPr="00E33EFA">
      <w:tab/>
    </w:r>
    <w:r w:rsidRPr="00E33EF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Default="00E33EFA" w:rsidP="00E33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BA" w:rsidRDefault="00CB51BA" w:rsidP="004B01D2">
      <w:pPr>
        <w:spacing w:before="0" w:after="0"/>
      </w:pPr>
      <w:r>
        <w:separator/>
      </w:r>
    </w:p>
  </w:footnote>
  <w:footnote w:type="continuationSeparator" w:id="0">
    <w:p w:rsidR="00CB51BA" w:rsidRDefault="00CB51BA" w:rsidP="004B01D2">
      <w:pPr>
        <w:spacing w:before="0" w:after="0"/>
      </w:pPr>
      <w:r>
        <w:continuationSeparator/>
      </w:r>
    </w:p>
  </w:footnote>
  <w:footnote w:id="1">
    <w:p w:rsidR="00131CED" w:rsidRDefault="00131CED">
      <w:pPr>
        <w:pStyle w:val="FootnoteText"/>
      </w:pPr>
      <w:r w:rsidRPr="00877AE6">
        <w:rPr>
          <w:rStyle w:val="FootnoteReference"/>
        </w:rPr>
        <w:footnoteRef/>
      </w:r>
      <w:r w:rsidR="00877AE6">
        <w:tab/>
      </w:r>
      <w:r>
        <w:t>Council Decision (EU) 2019/1875 of 8 November 2019 on the conclusion of the Free Trade Agreement between the European Union and the Republic of Singapore (OJ L 294, 14.11.2019, p.1).</w:t>
      </w:r>
    </w:p>
  </w:footnote>
  <w:footnote w:id="2">
    <w:p w:rsidR="00BC151C" w:rsidRDefault="00BC151C">
      <w:pPr>
        <w:pStyle w:val="FootnoteText"/>
      </w:pPr>
      <w:r w:rsidRPr="00877AE6">
        <w:rPr>
          <w:rStyle w:val="FootnoteReference"/>
        </w:rPr>
        <w:footnoteRef/>
      </w:r>
      <w:r w:rsidR="00877AE6">
        <w:tab/>
      </w:r>
      <w:r>
        <w:t>Council Decision (EU) 2022/1976 of 17 October 2022 on the position to be adopted, on behalf of the Union, within the Trade Committee established by the Free Trade Agreement between the European Union and the republic of Singapore, as regards the adoption of the rules of procedure of the Trade Committee (OJ L 271, 19.10.2022, p.17).</w:t>
      </w:r>
    </w:p>
  </w:footnote>
  <w:footnote w:id="3">
    <w:p w:rsidR="00AA623F" w:rsidRPr="00B035F8" w:rsidRDefault="00AA623F" w:rsidP="00AA623F">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4">
    <w:p w:rsidR="00364407" w:rsidRDefault="00364407">
      <w:pPr>
        <w:pStyle w:val="FootnoteText"/>
      </w:pPr>
      <w:r w:rsidRPr="00877AE6">
        <w:rPr>
          <w:rStyle w:val="FootnoteReference"/>
        </w:rPr>
        <w:footnoteRef/>
      </w:r>
      <w:r w:rsidR="00877AE6">
        <w:tab/>
      </w:r>
      <w:r w:rsidR="00FC1593">
        <w:t>Council Decision (EU) 2019/1875 of 8 November 2019 on the conclusion of the Free Trade Agreement between the European Union and the Republic of Singapore (OJ L 294, 14.11.2019, p.1).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Pr="00E33EFA" w:rsidRDefault="00E33EFA" w:rsidP="00E33E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Default="00E33E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EFA" w:rsidRDefault="00E33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6CCEB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854B6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514439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196C9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6: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40599A3-FD13-418E-B580-46E61B3E50D5"/>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60"/>
    <w:docVar w:name="LW_REF.II.NEW.CP_YEAR" w:val="2026"/>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mmittee on Customs established under the Free Trade Agreement between the European Union and the Republic of Singapore as regards the adoption of the decision concerning the mutual recognition of the Secure Trade Partnership Plus Programme of Singapore and the Authorised Economic Operator Programme of the European Union"/>
    <w:docVar w:name="LW_TYPE.DOC.CP" w:val="COUNCIL DECISION"/>
    <w:docVar w:name="LwApiVersions" w:val="LW4CoDe 1.24.5.0; LW 9.2, Build 20251112"/>
  </w:docVars>
  <w:rsids>
    <w:rsidRoot w:val="004B01D2"/>
    <w:rsid w:val="00032490"/>
    <w:rsid w:val="00046194"/>
    <w:rsid w:val="0009297B"/>
    <w:rsid w:val="00093087"/>
    <w:rsid w:val="000A45F8"/>
    <w:rsid w:val="000D46CB"/>
    <w:rsid w:val="000F519A"/>
    <w:rsid w:val="001065F5"/>
    <w:rsid w:val="00122E58"/>
    <w:rsid w:val="001238EF"/>
    <w:rsid w:val="00127091"/>
    <w:rsid w:val="00131CED"/>
    <w:rsid w:val="001458A2"/>
    <w:rsid w:val="001469B7"/>
    <w:rsid w:val="001637D9"/>
    <w:rsid w:val="001729A3"/>
    <w:rsid w:val="00197613"/>
    <w:rsid w:val="001B7CD5"/>
    <w:rsid w:val="001C0BBB"/>
    <w:rsid w:val="001E4927"/>
    <w:rsid w:val="00204310"/>
    <w:rsid w:val="0022209E"/>
    <w:rsid w:val="00232A39"/>
    <w:rsid w:val="00233DC7"/>
    <w:rsid w:val="00240F67"/>
    <w:rsid w:val="00247779"/>
    <w:rsid w:val="00263D55"/>
    <w:rsid w:val="00285BEE"/>
    <w:rsid w:val="00290EFC"/>
    <w:rsid w:val="0029533F"/>
    <w:rsid w:val="002A1508"/>
    <w:rsid w:val="002A203B"/>
    <w:rsid w:val="002B30AF"/>
    <w:rsid w:val="002B76D3"/>
    <w:rsid w:val="002C39F6"/>
    <w:rsid w:val="002D0776"/>
    <w:rsid w:val="002E5EC9"/>
    <w:rsid w:val="002F3ADF"/>
    <w:rsid w:val="0030571E"/>
    <w:rsid w:val="0033344A"/>
    <w:rsid w:val="00336C56"/>
    <w:rsid w:val="00344A2C"/>
    <w:rsid w:val="0034601E"/>
    <w:rsid w:val="00346FA5"/>
    <w:rsid w:val="00364407"/>
    <w:rsid w:val="00392F69"/>
    <w:rsid w:val="003965E2"/>
    <w:rsid w:val="00397595"/>
    <w:rsid w:val="003D235F"/>
    <w:rsid w:val="003E5291"/>
    <w:rsid w:val="00401739"/>
    <w:rsid w:val="0042648E"/>
    <w:rsid w:val="00451039"/>
    <w:rsid w:val="00480AD4"/>
    <w:rsid w:val="004936D2"/>
    <w:rsid w:val="004A25CB"/>
    <w:rsid w:val="004B01D2"/>
    <w:rsid w:val="004C6EC3"/>
    <w:rsid w:val="004D0D2B"/>
    <w:rsid w:val="004D3F26"/>
    <w:rsid w:val="004E0D27"/>
    <w:rsid w:val="005062B4"/>
    <w:rsid w:val="00511717"/>
    <w:rsid w:val="00517200"/>
    <w:rsid w:val="00520D3F"/>
    <w:rsid w:val="00531B8E"/>
    <w:rsid w:val="00562047"/>
    <w:rsid w:val="005717DD"/>
    <w:rsid w:val="005723E4"/>
    <w:rsid w:val="00575E8F"/>
    <w:rsid w:val="00591FA1"/>
    <w:rsid w:val="005B1EB6"/>
    <w:rsid w:val="005C18E8"/>
    <w:rsid w:val="005C684C"/>
    <w:rsid w:val="005F49C8"/>
    <w:rsid w:val="00617E19"/>
    <w:rsid w:val="00620246"/>
    <w:rsid w:val="0063193E"/>
    <w:rsid w:val="00633412"/>
    <w:rsid w:val="006501D6"/>
    <w:rsid w:val="00675923"/>
    <w:rsid w:val="00696619"/>
    <w:rsid w:val="006A2190"/>
    <w:rsid w:val="006A593F"/>
    <w:rsid w:val="006A770D"/>
    <w:rsid w:val="006D0AA3"/>
    <w:rsid w:val="006F7296"/>
    <w:rsid w:val="00705F49"/>
    <w:rsid w:val="00707129"/>
    <w:rsid w:val="0075226E"/>
    <w:rsid w:val="00773331"/>
    <w:rsid w:val="007932EF"/>
    <w:rsid w:val="007C1DBB"/>
    <w:rsid w:val="007C3CC8"/>
    <w:rsid w:val="007C4966"/>
    <w:rsid w:val="007D1054"/>
    <w:rsid w:val="007E05B0"/>
    <w:rsid w:val="0080307B"/>
    <w:rsid w:val="00821671"/>
    <w:rsid w:val="008306AC"/>
    <w:rsid w:val="008518F1"/>
    <w:rsid w:val="008611B2"/>
    <w:rsid w:val="00871DB0"/>
    <w:rsid w:val="00874D22"/>
    <w:rsid w:val="008769D4"/>
    <w:rsid w:val="00877AE6"/>
    <w:rsid w:val="008A2914"/>
    <w:rsid w:val="008B3B9B"/>
    <w:rsid w:val="008E3719"/>
    <w:rsid w:val="008E4D8E"/>
    <w:rsid w:val="008F62F7"/>
    <w:rsid w:val="009010E4"/>
    <w:rsid w:val="0090285C"/>
    <w:rsid w:val="00914A06"/>
    <w:rsid w:val="00915BB0"/>
    <w:rsid w:val="0095407F"/>
    <w:rsid w:val="00971999"/>
    <w:rsid w:val="0098549A"/>
    <w:rsid w:val="00992D73"/>
    <w:rsid w:val="009A2C26"/>
    <w:rsid w:val="009A7C33"/>
    <w:rsid w:val="00A64FD3"/>
    <w:rsid w:val="00A8307A"/>
    <w:rsid w:val="00A97F25"/>
    <w:rsid w:val="00AA0137"/>
    <w:rsid w:val="00AA623F"/>
    <w:rsid w:val="00AB1C7E"/>
    <w:rsid w:val="00AC5D69"/>
    <w:rsid w:val="00AE3EAC"/>
    <w:rsid w:val="00B02377"/>
    <w:rsid w:val="00B15B13"/>
    <w:rsid w:val="00B16F85"/>
    <w:rsid w:val="00B31ABF"/>
    <w:rsid w:val="00B46416"/>
    <w:rsid w:val="00B46BDF"/>
    <w:rsid w:val="00B61D74"/>
    <w:rsid w:val="00B65895"/>
    <w:rsid w:val="00B67264"/>
    <w:rsid w:val="00B70BE8"/>
    <w:rsid w:val="00B73E88"/>
    <w:rsid w:val="00B75895"/>
    <w:rsid w:val="00B7768C"/>
    <w:rsid w:val="00B8303A"/>
    <w:rsid w:val="00B924A5"/>
    <w:rsid w:val="00B93961"/>
    <w:rsid w:val="00BA65A2"/>
    <w:rsid w:val="00BB485B"/>
    <w:rsid w:val="00BC151C"/>
    <w:rsid w:val="00BC47D6"/>
    <w:rsid w:val="00BD1EFC"/>
    <w:rsid w:val="00BD2042"/>
    <w:rsid w:val="00BE4D6C"/>
    <w:rsid w:val="00C02267"/>
    <w:rsid w:val="00C05D17"/>
    <w:rsid w:val="00C10E34"/>
    <w:rsid w:val="00C12301"/>
    <w:rsid w:val="00C1693C"/>
    <w:rsid w:val="00C17511"/>
    <w:rsid w:val="00C2263A"/>
    <w:rsid w:val="00C46D33"/>
    <w:rsid w:val="00C47922"/>
    <w:rsid w:val="00C86A2E"/>
    <w:rsid w:val="00C94167"/>
    <w:rsid w:val="00CB0DCD"/>
    <w:rsid w:val="00CB51BA"/>
    <w:rsid w:val="00CD0B17"/>
    <w:rsid w:val="00CF134D"/>
    <w:rsid w:val="00CF4C9E"/>
    <w:rsid w:val="00CF4CAE"/>
    <w:rsid w:val="00D0437E"/>
    <w:rsid w:val="00D20381"/>
    <w:rsid w:val="00D2381B"/>
    <w:rsid w:val="00D315F7"/>
    <w:rsid w:val="00D409B5"/>
    <w:rsid w:val="00D443B6"/>
    <w:rsid w:val="00D52535"/>
    <w:rsid w:val="00D61015"/>
    <w:rsid w:val="00D62ADC"/>
    <w:rsid w:val="00D7671C"/>
    <w:rsid w:val="00D8033F"/>
    <w:rsid w:val="00D83F2F"/>
    <w:rsid w:val="00DB51D8"/>
    <w:rsid w:val="00DD0EDA"/>
    <w:rsid w:val="00DE14A0"/>
    <w:rsid w:val="00DE3839"/>
    <w:rsid w:val="00DF1AD9"/>
    <w:rsid w:val="00DF1D43"/>
    <w:rsid w:val="00DF6421"/>
    <w:rsid w:val="00E026CB"/>
    <w:rsid w:val="00E21703"/>
    <w:rsid w:val="00E261F0"/>
    <w:rsid w:val="00E33EFA"/>
    <w:rsid w:val="00E526D1"/>
    <w:rsid w:val="00E52B89"/>
    <w:rsid w:val="00E53717"/>
    <w:rsid w:val="00E55F74"/>
    <w:rsid w:val="00E63784"/>
    <w:rsid w:val="00E7627D"/>
    <w:rsid w:val="00E94734"/>
    <w:rsid w:val="00EC35A9"/>
    <w:rsid w:val="00ED3B94"/>
    <w:rsid w:val="00EF2289"/>
    <w:rsid w:val="00F04D05"/>
    <w:rsid w:val="00F53B0F"/>
    <w:rsid w:val="00F65241"/>
    <w:rsid w:val="00F700CB"/>
    <w:rsid w:val="00F77D70"/>
    <w:rsid w:val="00F9559A"/>
    <w:rsid w:val="00FB40C9"/>
    <w:rsid w:val="00FC1593"/>
    <w:rsid w:val="00FC38F8"/>
    <w:rsid w:val="00FC3E0B"/>
    <w:rsid w:val="06EDC53C"/>
    <w:rsid w:val="083F51CF"/>
    <w:rsid w:val="09805EE5"/>
    <w:rsid w:val="0C9BD1F7"/>
    <w:rsid w:val="0CB81CF2"/>
    <w:rsid w:val="0FDB1B44"/>
    <w:rsid w:val="11D82ACE"/>
    <w:rsid w:val="12A9ADF5"/>
    <w:rsid w:val="148E470D"/>
    <w:rsid w:val="17DD9F80"/>
    <w:rsid w:val="1C7A67CF"/>
    <w:rsid w:val="2284C70D"/>
    <w:rsid w:val="27A8960A"/>
    <w:rsid w:val="281FED50"/>
    <w:rsid w:val="29A74F76"/>
    <w:rsid w:val="29BA36DA"/>
    <w:rsid w:val="2AEC2340"/>
    <w:rsid w:val="2B832A25"/>
    <w:rsid w:val="2CD48771"/>
    <w:rsid w:val="2ED677B6"/>
    <w:rsid w:val="37E8E0A8"/>
    <w:rsid w:val="3EE0E78C"/>
    <w:rsid w:val="40DE6B3A"/>
    <w:rsid w:val="41103CDB"/>
    <w:rsid w:val="447D9B49"/>
    <w:rsid w:val="465A2834"/>
    <w:rsid w:val="46CAA846"/>
    <w:rsid w:val="47C16930"/>
    <w:rsid w:val="486B1EF1"/>
    <w:rsid w:val="5403402B"/>
    <w:rsid w:val="6C74268F"/>
    <w:rsid w:val="6E695DB2"/>
    <w:rsid w:val="75F8E3B7"/>
    <w:rsid w:val="7979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8127D-F244-4BDF-927A-85FDD0F1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32A39"/>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232A39"/>
  </w:style>
  <w:style w:type="character" w:customStyle="1" w:styleId="eop">
    <w:name w:val="eop"/>
    <w:basedOn w:val="DefaultParagraphFont"/>
    <w:rsid w:val="00232A39"/>
  </w:style>
  <w:style w:type="paragraph" w:styleId="ListBullet">
    <w:name w:val="List Bullet"/>
    <w:basedOn w:val="Normal"/>
    <w:uiPriority w:val="99"/>
    <w:semiHidden/>
    <w:unhideWhenUsed/>
    <w:rsid w:val="00401739"/>
    <w:pPr>
      <w:numPr>
        <w:numId w:val="1"/>
      </w:numPr>
      <w:contextualSpacing/>
    </w:pPr>
  </w:style>
  <w:style w:type="paragraph" w:styleId="ListBullet2">
    <w:name w:val="List Bullet 2"/>
    <w:basedOn w:val="Normal"/>
    <w:uiPriority w:val="99"/>
    <w:semiHidden/>
    <w:unhideWhenUsed/>
    <w:rsid w:val="00401739"/>
    <w:pPr>
      <w:numPr>
        <w:numId w:val="2"/>
      </w:numPr>
      <w:contextualSpacing/>
    </w:pPr>
  </w:style>
  <w:style w:type="paragraph" w:styleId="ListBullet3">
    <w:name w:val="List Bullet 3"/>
    <w:basedOn w:val="Normal"/>
    <w:uiPriority w:val="99"/>
    <w:semiHidden/>
    <w:unhideWhenUsed/>
    <w:rsid w:val="00401739"/>
    <w:pPr>
      <w:numPr>
        <w:numId w:val="3"/>
      </w:numPr>
      <w:contextualSpacing/>
    </w:pPr>
  </w:style>
  <w:style w:type="paragraph" w:styleId="ListBullet4">
    <w:name w:val="List Bullet 4"/>
    <w:basedOn w:val="Normal"/>
    <w:uiPriority w:val="99"/>
    <w:semiHidden/>
    <w:unhideWhenUsed/>
    <w:rsid w:val="00401739"/>
    <w:pPr>
      <w:numPr>
        <w:numId w:val="4"/>
      </w:numPr>
      <w:contextualSpacing/>
    </w:pPr>
  </w:style>
  <w:style w:type="paragraph" w:styleId="Revision">
    <w:name w:val="Revision"/>
    <w:hidden/>
    <w:uiPriority w:val="99"/>
    <w:semiHidden/>
    <w:rsid w:val="001729A3"/>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729A3"/>
    <w:rPr>
      <w:sz w:val="16"/>
      <w:szCs w:val="16"/>
    </w:rPr>
  </w:style>
  <w:style w:type="paragraph" w:styleId="CommentText">
    <w:name w:val="annotation text"/>
    <w:basedOn w:val="Normal"/>
    <w:link w:val="CommentTextChar"/>
    <w:uiPriority w:val="99"/>
    <w:unhideWhenUsed/>
    <w:rsid w:val="001729A3"/>
    <w:rPr>
      <w:sz w:val="20"/>
      <w:szCs w:val="20"/>
    </w:rPr>
  </w:style>
  <w:style w:type="character" w:customStyle="1" w:styleId="CommentTextChar">
    <w:name w:val="Comment Text Char"/>
    <w:basedOn w:val="DefaultParagraphFont"/>
    <w:link w:val="CommentText"/>
    <w:uiPriority w:val="99"/>
    <w:rsid w:val="001729A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729A3"/>
    <w:rPr>
      <w:b/>
      <w:bCs/>
    </w:rPr>
  </w:style>
  <w:style w:type="character" w:customStyle="1" w:styleId="CommentSubjectChar">
    <w:name w:val="Comment Subject Char"/>
    <w:basedOn w:val="CommentTextChar"/>
    <w:link w:val="CommentSubject"/>
    <w:uiPriority w:val="99"/>
    <w:semiHidden/>
    <w:rsid w:val="001729A3"/>
    <w:rPr>
      <w:rFonts w:ascii="Times New Roman" w:hAnsi="Times New Roman" w:cs="Times New Roman"/>
      <w:b/>
      <w:bCs/>
      <w:sz w:val="20"/>
      <w:szCs w:val="20"/>
      <w:lang w:val="en-GB"/>
    </w:rPr>
  </w:style>
  <w:style w:type="character" w:styleId="Hyperlink">
    <w:name w:val="Hyperlink"/>
    <w:basedOn w:val="DefaultParagraphFont"/>
    <w:uiPriority w:val="99"/>
    <w:unhideWhenUsed/>
    <w:rsid w:val="002B76D3"/>
    <w:rPr>
      <w:color w:val="0000FF" w:themeColor="hyperlink"/>
      <w:u w:val="single"/>
    </w:rPr>
  </w:style>
  <w:style w:type="character" w:customStyle="1" w:styleId="UnresolvedMention">
    <w:name w:val="Unresolved Mention"/>
    <w:basedOn w:val="DefaultParagraphFont"/>
    <w:uiPriority w:val="99"/>
    <w:semiHidden/>
    <w:unhideWhenUsed/>
    <w:rsid w:val="00877AE6"/>
    <w:rPr>
      <w:color w:val="605E5C"/>
      <w:shd w:val="clear" w:color="auto" w:fill="E1DFDD"/>
    </w:rPr>
  </w:style>
  <w:style w:type="character" w:customStyle="1" w:styleId="HeaderChar">
    <w:name w:val="Header Char"/>
    <w:basedOn w:val="DefaultParagraphFont"/>
    <w:link w:val="Header"/>
    <w:uiPriority w:val="99"/>
    <w:rsid w:val="00E33EFA"/>
    <w:rPr>
      <w:rFonts w:ascii="Times New Roman" w:hAnsi="Times New Roman" w:cs="Times New Roman"/>
      <w:sz w:val="24"/>
      <w:lang w:val="en-GB"/>
    </w:rPr>
  </w:style>
  <w:style w:type="character" w:customStyle="1" w:styleId="FooterChar">
    <w:name w:val="Footer Char"/>
    <w:basedOn w:val="DefaultParagraphFont"/>
    <w:link w:val="Footer"/>
    <w:uiPriority w:val="99"/>
    <w:rsid w:val="00E33EF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33E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33EFA"/>
    <w:pPr>
      <w:spacing w:before="0"/>
      <w:jc w:val="right"/>
    </w:pPr>
    <w:rPr>
      <w:sz w:val="28"/>
    </w:rPr>
  </w:style>
  <w:style w:type="paragraph" w:customStyle="1" w:styleId="FooterSensitivity">
    <w:name w:val="Footer Sensitivity"/>
    <w:basedOn w:val="Normal"/>
    <w:rsid w:val="00E33E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33EFA"/>
    <w:pPr>
      <w:tabs>
        <w:tab w:val="center" w:pos="4535"/>
        <w:tab w:val="right" w:pos="9071"/>
      </w:tabs>
      <w:spacing w:before="0"/>
    </w:pPr>
  </w:style>
  <w:style w:type="paragraph" w:customStyle="1" w:styleId="HeaderLandscape">
    <w:name w:val="HeaderLandscape"/>
    <w:basedOn w:val="Normal"/>
    <w:rsid w:val="00E33EFA"/>
    <w:pPr>
      <w:tabs>
        <w:tab w:val="center" w:pos="7285"/>
        <w:tab w:val="right" w:pos="14003"/>
      </w:tabs>
      <w:spacing w:before="0"/>
    </w:pPr>
  </w:style>
  <w:style w:type="paragraph" w:styleId="Footer">
    <w:name w:val="footer"/>
    <w:basedOn w:val="Normal"/>
    <w:link w:val="FooterChar"/>
    <w:uiPriority w:val="99"/>
    <w:unhideWhenUsed/>
    <w:rsid w:val="00E33E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33E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80227">
      <w:bodyDiv w:val="1"/>
      <w:marLeft w:val="0"/>
      <w:marRight w:val="0"/>
      <w:marTop w:val="0"/>
      <w:marBottom w:val="0"/>
      <w:divBdr>
        <w:top w:val="none" w:sz="0" w:space="0" w:color="auto"/>
        <w:left w:val="none" w:sz="0" w:space="0" w:color="auto"/>
        <w:bottom w:val="none" w:sz="0" w:space="0" w:color="auto"/>
        <w:right w:val="none" w:sz="0" w:space="0" w:color="auto"/>
      </w:divBdr>
      <w:divsChild>
        <w:div w:id="2027293873">
          <w:marLeft w:val="0"/>
          <w:marRight w:val="0"/>
          <w:marTop w:val="0"/>
          <w:marBottom w:val="0"/>
          <w:divBdr>
            <w:top w:val="none" w:sz="0" w:space="0" w:color="auto"/>
            <w:left w:val="none" w:sz="0" w:space="0" w:color="auto"/>
            <w:bottom w:val="none" w:sz="0" w:space="0" w:color="auto"/>
            <w:right w:val="none" w:sz="0" w:space="0" w:color="auto"/>
          </w:divBdr>
        </w:div>
        <w:div w:id="2014917264">
          <w:marLeft w:val="0"/>
          <w:marRight w:val="0"/>
          <w:marTop w:val="0"/>
          <w:marBottom w:val="0"/>
          <w:divBdr>
            <w:top w:val="none" w:sz="0" w:space="0" w:color="auto"/>
            <w:left w:val="none" w:sz="0" w:space="0" w:color="auto"/>
            <w:bottom w:val="none" w:sz="0" w:space="0" w:color="auto"/>
            <w:right w:val="none" w:sz="0" w:space="0" w:color="auto"/>
          </w:divBdr>
        </w:div>
        <w:div w:id="1613632543">
          <w:marLeft w:val="0"/>
          <w:marRight w:val="0"/>
          <w:marTop w:val="0"/>
          <w:marBottom w:val="0"/>
          <w:divBdr>
            <w:top w:val="none" w:sz="0" w:space="0" w:color="auto"/>
            <w:left w:val="none" w:sz="0" w:space="0" w:color="auto"/>
            <w:bottom w:val="none" w:sz="0" w:space="0" w:color="auto"/>
            <w:right w:val="none" w:sz="0" w:space="0" w:color="auto"/>
          </w:divBdr>
        </w:div>
        <w:div w:id="4987044">
          <w:marLeft w:val="0"/>
          <w:marRight w:val="0"/>
          <w:marTop w:val="0"/>
          <w:marBottom w:val="0"/>
          <w:divBdr>
            <w:top w:val="none" w:sz="0" w:space="0" w:color="auto"/>
            <w:left w:val="none" w:sz="0" w:space="0" w:color="auto"/>
            <w:bottom w:val="none" w:sz="0" w:space="0" w:color="auto"/>
            <w:right w:val="none" w:sz="0" w:space="0" w:color="auto"/>
          </w:divBdr>
        </w:div>
        <w:div w:id="1732843442">
          <w:marLeft w:val="0"/>
          <w:marRight w:val="0"/>
          <w:marTop w:val="0"/>
          <w:marBottom w:val="0"/>
          <w:divBdr>
            <w:top w:val="none" w:sz="0" w:space="0" w:color="auto"/>
            <w:left w:val="none" w:sz="0" w:space="0" w:color="auto"/>
            <w:bottom w:val="none" w:sz="0" w:space="0" w:color="auto"/>
            <w:right w:val="none" w:sz="0" w:space="0" w:color="auto"/>
          </w:divBdr>
        </w:div>
      </w:divsChild>
    </w:div>
    <w:div w:id="688871798">
      <w:bodyDiv w:val="1"/>
      <w:marLeft w:val="0"/>
      <w:marRight w:val="0"/>
      <w:marTop w:val="0"/>
      <w:marBottom w:val="0"/>
      <w:divBdr>
        <w:top w:val="none" w:sz="0" w:space="0" w:color="auto"/>
        <w:left w:val="none" w:sz="0" w:space="0" w:color="auto"/>
        <w:bottom w:val="none" w:sz="0" w:space="0" w:color="auto"/>
        <w:right w:val="none" w:sz="0" w:space="0" w:color="auto"/>
      </w:divBdr>
      <w:divsChild>
        <w:div w:id="845435497">
          <w:marLeft w:val="0"/>
          <w:marRight w:val="0"/>
          <w:marTop w:val="0"/>
          <w:marBottom w:val="0"/>
          <w:divBdr>
            <w:top w:val="none" w:sz="0" w:space="0" w:color="auto"/>
            <w:left w:val="none" w:sz="0" w:space="0" w:color="auto"/>
            <w:bottom w:val="none" w:sz="0" w:space="0" w:color="auto"/>
            <w:right w:val="none" w:sz="0" w:space="0" w:color="auto"/>
          </w:divBdr>
        </w:div>
        <w:div w:id="543175530">
          <w:marLeft w:val="0"/>
          <w:marRight w:val="0"/>
          <w:marTop w:val="0"/>
          <w:marBottom w:val="0"/>
          <w:divBdr>
            <w:top w:val="none" w:sz="0" w:space="0" w:color="auto"/>
            <w:left w:val="none" w:sz="0" w:space="0" w:color="auto"/>
            <w:bottom w:val="none" w:sz="0" w:space="0" w:color="auto"/>
            <w:right w:val="none" w:sz="0" w:space="0" w:color="auto"/>
          </w:divBdr>
        </w:div>
        <w:div w:id="63652384">
          <w:marLeft w:val="0"/>
          <w:marRight w:val="0"/>
          <w:marTop w:val="0"/>
          <w:marBottom w:val="0"/>
          <w:divBdr>
            <w:top w:val="none" w:sz="0" w:space="0" w:color="auto"/>
            <w:left w:val="none" w:sz="0" w:space="0" w:color="auto"/>
            <w:bottom w:val="none" w:sz="0" w:space="0" w:color="auto"/>
            <w:right w:val="none" w:sz="0" w:space="0" w:color="auto"/>
          </w:divBdr>
        </w:div>
        <w:div w:id="1556618673">
          <w:marLeft w:val="0"/>
          <w:marRight w:val="0"/>
          <w:marTop w:val="0"/>
          <w:marBottom w:val="0"/>
          <w:divBdr>
            <w:top w:val="none" w:sz="0" w:space="0" w:color="auto"/>
            <w:left w:val="none" w:sz="0" w:space="0" w:color="auto"/>
            <w:bottom w:val="none" w:sz="0" w:space="0" w:color="auto"/>
            <w:right w:val="none" w:sz="0" w:space="0" w:color="auto"/>
          </w:divBdr>
        </w:div>
        <w:div w:id="360589764">
          <w:marLeft w:val="0"/>
          <w:marRight w:val="0"/>
          <w:marTop w:val="0"/>
          <w:marBottom w:val="0"/>
          <w:divBdr>
            <w:top w:val="none" w:sz="0" w:space="0" w:color="auto"/>
            <w:left w:val="none" w:sz="0" w:space="0" w:color="auto"/>
            <w:bottom w:val="none" w:sz="0" w:space="0" w:color="auto"/>
            <w:right w:val="none" w:sz="0" w:space="0" w:color="auto"/>
          </w:divBdr>
        </w:div>
        <w:div w:id="1608080181">
          <w:marLeft w:val="0"/>
          <w:marRight w:val="0"/>
          <w:marTop w:val="0"/>
          <w:marBottom w:val="0"/>
          <w:divBdr>
            <w:top w:val="none" w:sz="0" w:space="0" w:color="auto"/>
            <w:left w:val="none" w:sz="0" w:space="0" w:color="auto"/>
            <w:bottom w:val="none" w:sz="0" w:space="0" w:color="auto"/>
            <w:right w:val="none" w:sz="0" w:space="0" w:color="auto"/>
          </w:divBdr>
        </w:div>
        <w:div w:id="845822130">
          <w:marLeft w:val="0"/>
          <w:marRight w:val="0"/>
          <w:marTop w:val="0"/>
          <w:marBottom w:val="0"/>
          <w:divBdr>
            <w:top w:val="none" w:sz="0" w:space="0" w:color="auto"/>
            <w:left w:val="none" w:sz="0" w:space="0" w:color="auto"/>
            <w:bottom w:val="none" w:sz="0" w:space="0" w:color="auto"/>
            <w:right w:val="none" w:sz="0" w:space="0" w:color="auto"/>
          </w:divBdr>
        </w:div>
        <w:div w:id="196547291">
          <w:marLeft w:val="0"/>
          <w:marRight w:val="0"/>
          <w:marTop w:val="0"/>
          <w:marBottom w:val="0"/>
          <w:divBdr>
            <w:top w:val="none" w:sz="0" w:space="0" w:color="auto"/>
            <w:left w:val="none" w:sz="0" w:space="0" w:color="auto"/>
            <w:bottom w:val="none" w:sz="0" w:space="0" w:color="auto"/>
            <w:right w:val="none" w:sz="0" w:space="0" w:color="auto"/>
          </w:divBdr>
        </w:div>
        <w:div w:id="1687055544">
          <w:marLeft w:val="0"/>
          <w:marRight w:val="0"/>
          <w:marTop w:val="0"/>
          <w:marBottom w:val="0"/>
          <w:divBdr>
            <w:top w:val="none" w:sz="0" w:space="0" w:color="auto"/>
            <w:left w:val="none" w:sz="0" w:space="0" w:color="auto"/>
            <w:bottom w:val="none" w:sz="0" w:space="0" w:color="auto"/>
            <w:right w:val="none" w:sz="0" w:space="0" w:color="auto"/>
          </w:divBdr>
        </w:div>
        <w:div w:id="1683244822">
          <w:marLeft w:val="0"/>
          <w:marRight w:val="0"/>
          <w:marTop w:val="0"/>
          <w:marBottom w:val="0"/>
          <w:divBdr>
            <w:top w:val="none" w:sz="0" w:space="0" w:color="auto"/>
            <w:left w:val="none" w:sz="0" w:space="0" w:color="auto"/>
            <w:bottom w:val="none" w:sz="0" w:space="0" w:color="auto"/>
            <w:right w:val="none" w:sz="0" w:space="0" w:color="auto"/>
          </w:divBdr>
        </w:div>
        <w:div w:id="893203451">
          <w:marLeft w:val="0"/>
          <w:marRight w:val="0"/>
          <w:marTop w:val="0"/>
          <w:marBottom w:val="0"/>
          <w:divBdr>
            <w:top w:val="none" w:sz="0" w:space="0" w:color="auto"/>
            <w:left w:val="none" w:sz="0" w:space="0" w:color="auto"/>
            <w:bottom w:val="none" w:sz="0" w:space="0" w:color="auto"/>
            <w:right w:val="none" w:sz="0" w:space="0" w:color="auto"/>
          </w:divBdr>
        </w:div>
        <w:div w:id="1089540687">
          <w:marLeft w:val="0"/>
          <w:marRight w:val="0"/>
          <w:marTop w:val="0"/>
          <w:marBottom w:val="0"/>
          <w:divBdr>
            <w:top w:val="none" w:sz="0" w:space="0" w:color="auto"/>
            <w:left w:val="none" w:sz="0" w:space="0" w:color="auto"/>
            <w:bottom w:val="none" w:sz="0" w:space="0" w:color="auto"/>
            <w:right w:val="none" w:sz="0" w:space="0" w:color="auto"/>
          </w:divBdr>
        </w:div>
        <w:div w:id="1800295352">
          <w:marLeft w:val="0"/>
          <w:marRight w:val="0"/>
          <w:marTop w:val="0"/>
          <w:marBottom w:val="0"/>
          <w:divBdr>
            <w:top w:val="none" w:sz="0" w:space="0" w:color="auto"/>
            <w:left w:val="none" w:sz="0" w:space="0" w:color="auto"/>
            <w:bottom w:val="none" w:sz="0" w:space="0" w:color="auto"/>
            <w:right w:val="none" w:sz="0" w:space="0" w:color="auto"/>
          </w:divBdr>
        </w:div>
        <w:div w:id="1629242867">
          <w:marLeft w:val="0"/>
          <w:marRight w:val="0"/>
          <w:marTop w:val="0"/>
          <w:marBottom w:val="0"/>
          <w:divBdr>
            <w:top w:val="none" w:sz="0" w:space="0" w:color="auto"/>
            <w:left w:val="none" w:sz="0" w:space="0" w:color="auto"/>
            <w:bottom w:val="none" w:sz="0" w:space="0" w:color="auto"/>
            <w:right w:val="none" w:sz="0" w:space="0" w:color="auto"/>
          </w:divBdr>
        </w:div>
      </w:divsChild>
    </w:div>
    <w:div w:id="1277568429">
      <w:bodyDiv w:val="1"/>
      <w:marLeft w:val="0"/>
      <w:marRight w:val="0"/>
      <w:marTop w:val="0"/>
      <w:marBottom w:val="0"/>
      <w:divBdr>
        <w:top w:val="none" w:sz="0" w:space="0" w:color="auto"/>
        <w:left w:val="none" w:sz="0" w:space="0" w:color="auto"/>
        <w:bottom w:val="none" w:sz="0" w:space="0" w:color="auto"/>
        <w:right w:val="none" w:sz="0" w:space="0" w:color="auto"/>
      </w:divBdr>
      <w:divsChild>
        <w:div w:id="1883595476">
          <w:marLeft w:val="0"/>
          <w:marRight w:val="0"/>
          <w:marTop w:val="0"/>
          <w:marBottom w:val="0"/>
          <w:divBdr>
            <w:top w:val="none" w:sz="0" w:space="0" w:color="auto"/>
            <w:left w:val="none" w:sz="0" w:space="0" w:color="auto"/>
            <w:bottom w:val="none" w:sz="0" w:space="0" w:color="auto"/>
            <w:right w:val="none" w:sz="0" w:space="0" w:color="auto"/>
          </w:divBdr>
        </w:div>
        <w:div w:id="128598740">
          <w:marLeft w:val="0"/>
          <w:marRight w:val="0"/>
          <w:marTop w:val="0"/>
          <w:marBottom w:val="0"/>
          <w:divBdr>
            <w:top w:val="none" w:sz="0" w:space="0" w:color="auto"/>
            <w:left w:val="none" w:sz="0" w:space="0" w:color="auto"/>
            <w:bottom w:val="none" w:sz="0" w:space="0" w:color="auto"/>
            <w:right w:val="none" w:sz="0" w:space="0" w:color="auto"/>
          </w:divBdr>
        </w:div>
        <w:div w:id="1573848792">
          <w:marLeft w:val="0"/>
          <w:marRight w:val="0"/>
          <w:marTop w:val="0"/>
          <w:marBottom w:val="0"/>
          <w:divBdr>
            <w:top w:val="none" w:sz="0" w:space="0" w:color="auto"/>
            <w:left w:val="none" w:sz="0" w:space="0" w:color="auto"/>
            <w:bottom w:val="none" w:sz="0" w:space="0" w:color="auto"/>
            <w:right w:val="none" w:sz="0" w:space="0" w:color="auto"/>
          </w:divBdr>
        </w:div>
        <w:div w:id="520122493">
          <w:marLeft w:val="0"/>
          <w:marRight w:val="0"/>
          <w:marTop w:val="0"/>
          <w:marBottom w:val="0"/>
          <w:divBdr>
            <w:top w:val="none" w:sz="0" w:space="0" w:color="auto"/>
            <w:left w:val="none" w:sz="0" w:space="0" w:color="auto"/>
            <w:bottom w:val="none" w:sz="0" w:space="0" w:color="auto"/>
            <w:right w:val="none" w:sz="0" w:space="0" w:color="auto"/>
          </w:divBdr>
        </w:div>
        <w:div w:id="62798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6A8D1-4191-4093-9B67-4E1C8582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2026-05-28T11:51:00Z</dcterms:created>
  <dcterms:modified xsi:type="dcterms:W3CDTF">2026-06-18T07:46:00Z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2024-12-02T08:41:08Z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1fc5becc-c1bb-4c81-929f-b73e00eb07fe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