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1D2" w:rsidRPr="00455DD4" w:rsidRDefault="005757F8" w:rsidP="005757F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7A6683-8D1D-4579-9826-DF515A5CCE50" style="width:455.25pt;height:399pt">
            <v:imagedata r:id="rId8" o:title=""/>
          </v:shape>
        </w:pict>
      </w:r>
    </w:p>
    <w:p w:rsidR="004B01D2" w:rsidRPr="00455DD4" w:rsidRDefault="004B01D2" w:rsidP="004B01D2">
      <w:pPr>
        <w:rPr>
          <w:noProof/>
        </w:rPr>
        <w:sectPr w:rsidR="004B01D2" w:rsidRPr="00455DD4" w:rsidSect="005757F8">
          <w:footerReference w:type="even" r:id="rId9"/>
          <w:footerReference w:type="default" r:id="rId10"/>
          <w:pgSz w:w="11907" w:h="16839"/>
          <w:pgMar w:top="1134" w:right="1417" w:bottom="1134" w:left="1417" w:header="709" w:footer="709" w:gutter="0"/>
          <w:pgNumType w:start="0"/>
          <w:cols w:space="720"/>
          <w:docGrid w:linePitch="360"/>
        </w:sectPr>
      </w:pPr>
    </w:p>
    <w:p w:rsidR="004B01D2" w:rsidRPr="00455DD4" w:rsidRDefault="004B01D2" w:rsidP="00BB6B30">
      <w:pPr>
        <w:pStyle w:val="Exposdesmotifstitre"/>
        <w:rPr>
          <w:noProof/>
        </w:rPr>
      </w:pPr>
      <w:bookmarkStart w:id="0" w:name="_GoBack"/>
      <w:bookmarkEnd w:id="0"/>
      <w:r w:rsidRPr="00455DD4">
        <w:rPr>
          <w:noProof/>
        </w:rPr>
        <w:lastRenderedPageBreak/>
        <w:t>EXPUNERE DE MOTIVE</w:t>
      </w:r>
    </w:p>
    <w:p w:rsidR="004B01D2" w:rsidRPr="00455DD4" w:rsidRDefault="004B01D2" w:rsidP="00705F49">
      <w:pPr>
        <w:pStyle w:val="ManualHeading1"/>
        <w:rPr>
          <w:rFonts w:eastAsia="Arial Unicode MS"/>
          <w:noProof/>
        </w:rPr>
      </w:pPr>
      <w:r>
        <w:rPr>
          <w:noProof/>
        </w:rPr>
        <w:t>1.</w:t>
      </w:r>
      <w:r>
        <w:rPr>
          <w:noProof/>
        </w:rPr>
        <w:tab/>
      </w:r>
      <w:r w:rsidRPr="00455DD4">
        <w:rPr>
          <w:noProof/>
        </w:rPr>
        <w:t>Obiectul propunerii</w:t>
      </w:r>
    </w:p>
    <w:p w:rsidR="00397595" w:rsidRPr="00455DD4" w:rsidRDefault="002D0776" w:rsidP="00736AA9">
      <w:pPr>
        <w:rPr>
          <w:rFonts w:eastAsia="Arial Unicode MS"/>
          <w:noProof/>
        </w:rPr>
      </w:pPr>
      <w:r w:rsidRPr="00455DD4">
        <w:rPr>
          <w:noProof/>
        </w:rPr>
        <w:t>Prezenta propunere se referă la decizia de stabilire a poziției care urmează să fie luată în numele Uniunii Europene în cadrul Comitetului pentru vamă instituit în temeiul Acordului de liber schimb dintre Uniunea Europeană și Republica Singapore în ceea ce privește adoptarea preconizată a deciziei privind recunoașterea reciprocă a Programului de parteneriat plus pentru un comerț sigur al Republicii Singapore (</w:t>
      </w:r>
      <w:r w:rsidRPr="00455DD4">
        <w:rPr>
          <w:i/>
          <w:iCs/>
          <w:noProof/>
        </w:rPr>
        <w:t>Secure Trade Partnership Plus Programme</w:t>
      </w:r>
      <w:r w:rsidRPr="00455DD4">
        <w:rPr>
          <w:noProof/>
        </w:rPr>
        <w:t>) și a Programului Uniunii Europene privind operatorii economici autorizați.</w:t>
      </w:r>
    </w:p>
    <w:p w:rsidR="004B01D2" w:rsidRPr="00455DD4" w:rsidRDefault="004B01D2" w:rsidP="00736AA9">
      <w:pPr>
        <w:pStyle w:val="ManualHeading1"/>
        <w:rPr>
          <w:noProof/>
        </w:rPr>
      </w:pPr>
      <w:r>
        <w:rPr>
          <w:noProof/>
        </w:rPr>
        <w:t>2.</w:t>
      </w:r>
      <w:r>
        <w:rPr>
          <w:noProof/>
        </w:rPr>
        <w:tab/>
      </w:r>
      <w:r w:rsidRPr="00455DD4">
        <w:rPr>
          <w:noProof/>
        </w:rPr>
        <w:t>Contextul propunerii</w:t>
      </w:r>
    </w:p>
    <w:p w:rsidR="004B01D2" w:rsidRPr="00455DD4" w:rsidRDefault="00397595" w:rsidP="00736AA9">
      <w:pPr>
        <w:pStyle w:val="ManualHeading2"/>
        <w:rPr>
          <w:noProof/>
        </w:rPr>
      </w:pPr>
      <w:r>
        <w:rPr>
          <w:noProof/>
        </w:rPr>
        <w:t>2.1.</w:t>
      </w:r>
      <w:r>
        <w:rPr>
          <w:noProof/>
        </w:rPr>
        <w:tab/>
      </w:r>
      <w:r w:rsidRPr="00455DD4">
        <w:rPr>
          <w:noProof/>
        </w:rPr>
        <w:t>Acordul de liber schimb dintre Uniunea Europeană și Republica Singapore</w:t>
      </w:r>
    </w:p>
    <w:p w:rsidR="002D0776" w:rsidRPr="00455DD4" w:rsidRDefault="00397595" w:rsidP="002D0776">
      <w:pPr>
        <w:rPr>
          <w:noProof/>
        </w:rPr>
      </w:pPr>
      <w:r w:rsidRPr="00455DD4">
        <w:rPr>
          <w:noProof/>
        </w:rPr>
        <w:t>Acordul de liber schimb dintre Uniunea Europeană și Republica Singapore</w:t>
      </w:r>
      <w:r w:rsidRPr="00455DD4">
        <w:rPr>
          <w:rStyle w:val="FootnoteReference"/>
          <w:rFonts w:eastAsia="Arial Unicode MS"/>
          <w:noProof/>
        </w:rPr>
        <w:footnoteReference w:id="1"/>
      </w:r>
      <w:r w:rsidRPr="00455DD4">
        <w:rPr>
          <w:noProof/>
        </w:rPr>
        <w:t xml:space="preserve"> (denumit în continuare „acordul”) a fost încheiat de Uniune prin Decizia (UE) 2019/1875 a Consiliului și a intrat în vigoare la 21 noiembrie 2019.</w:t>
      </w:r>
    </w:p>
    <w:p w:rsidR="00131CED" w:rsidRPr="00455DD4" w:rsidRDefault="00131CED" w:rsidP="002D0776">
      <w:pPr>
        <w:rPr>
          <w:noProof/>
        </w:rPr>
      </w:pPr>
      <w:r w:rsidRPr="00455DD4">
        <w:rPr>
          <w:noProof/>
        </w:rPr>
        <w:t>În ceea ce privește cooperarea vamală, acordul vizează sporirea cooperării dintre părți în multe domenii, inclusiv instituirea, după caz, a recunoașterii reciproce a programelor lor respective de parteneriat comercial, fiind incluse aspecte precum transmiterea datelor și beneficiile convenite de comun acord. Clauza interpretativă nr. 4 din acord solicită părților să acționeze în sensul recunoașterii reciproce a respectivelor lor programe referitoare la operatorii economici autorizați și să convină să își recunoască reciproc respectivele programe.</w:t>
      </w:r>
    </w:p>
    <w:p w:rsidR="00F9559A" w:rsidRPr="00455DD4" w:rsidRDefault="00F9559A" w:rsidP="002D0776">
      <w:pPr>
        <w:pStyle w:val="ManualHeading2"/>
        <w:rPr>
          <w:noProof/>
        </w:rPr>
      </w:pPr>
      <w:r>
        <w:rPr>
          <w:noProof/>
        </w:rPr>
        <w:t>2.2.</w:t>
      </w:r>
      <w:r>
        <w:rPr>
          <w:noProof/>
        </w:rPr>
        <w:tab/>
      </w:r>
      <w:r w:rsidRPr="00455DD4">
        <w:rPr>
          <w:noProof/>
        </w:rPr>
        <w:t>Comitetul pentru vamă</w:t>
      </w:r>
    </w:p>
    <w:p w:rsidR="00451039" w:rsidRPr="00455DD4" w:rsidRDefault="00451039" w:rsidP="002D0776">
      <w:pPr>
        <w:rPr>
          <w:rFonts w:eastAsia="Arial Unicode MS"/>
          <w:noProof/>
        </w:rPr>
      </w:pPr>
      <w:r w:rsidRPr="00455DD4">
        <w:rPr>
          <w:noProof/>
        </w:rPr>
        <w:t>Comitetul pentru vamă este un comitet specializat instituit în temeiul articolului 16.2 din acord. În temeiul articolului 6.17 din acord, acesta asigură buna funcționare a capitolului șase privind procedurile vamale și facilitarea comerțului și a altor dispoziții ale acordului legate de domeniul vamal. Articolul 6.17 alineatul (2) din acord prevede în mod specific că părțile pot lua decizii în cadrul Comitetului pentru vamă cu privire la recunoașterea reciprocă a programelor de parteneriat comercial, iar clauza interpretativă nr. 4 din acord prevede, de asemenea, în mod specific că părțile convin asupra recunoașterii reciproce a programelor lor respective printr-o decizie a Comitetului pentru vamă. Articolul 6.3 alineatul (2) litera (d) din acord solicită părților să asigure, dacă este necesar, recunoașterea reciprocă a programelor de parteneriat comercial, inclusiv a unor aspecte precum transmiterea datelor și beneficiile convenite de comun acord.</w:t>
      </w:r>
    </w:p>
    <w:p w:rsidR="004B01D2" w:rsidRPr="00455DD4" w:rsidRDefault="004B01D2" w:rsidP="00736AA9">
      <w:pPr>
        <w:pStyle w:val="ManualHeading2"/>
        <w:rPr>
          <w:noProof/>
        </w:rPr>
      </w:pPr>
      <w:r>
        <w:rPr>
          <w:noProof/>
        </w:rPr>
        <w:t>2.3.</w:t>
      </w:r>
      <w:r>
        <w:rPr>
          <w:noProof/>
        </w:rPr>
        <w:tab/>
      </w:r>
      <w:r w:rsidRPr="00455DD4">
        <w:rPr>
          <w:noProof/>
        </w:rPr>
        <w:t>Actul avut în vedere de către Comitetul pentru vamă</w:t>
      </w:r>
    </w:p>
    <w:p w:rsidR="00F9559A" w:rsidRPr="00455DD4" w:rsidRDefault="00F9559A" w:rsidP="00232A39">
      <w:pPr>
        <w:rPr>
          <w:rFonts w:eastAsia="Arial Unicode MS"/>
          <w:noProof/>
        </w:rPr>
      </w:pPr>
      <w:r w:rsidRPr="00455DD4">
        <w:rPr>
          <w:noProof/>
        </w:rPr>
        <w:t xml:space="preserve">În cadrul celei de a doua reuniuni din 2026, Comitetul pentru vamă trebuie să adopte decizia privind recunoașterea reciprocă a Programului de parteneriat plus pentru un comerț sigur al Republicii Singapore și a Programului Uniunii Europene privind operatorii economici autorizați. </w:t>
      </w:r>
    </w:p>
    <w:p w:rsidR="00232A39" w:rsidRPr="00455DD4" w:rsidRDefault="486B1EF1" w:rsidP="00232A39">
      <w:pPr>
        <w:rPr>
          <w:rFonts w:eastAsia="Arial Unicode MS"/>
          <w:noProof/>
        </w:rPr>
      </w:pPr>
      <w:r w:rsidRPr="00455DD4">
        <w:rPr>
          <w:noProof/>
        </w:rPr>
        <w:t xml:space="preserve">Scopul deciziei Comitetului pentru vamă („actul avut în vedere”) este de a prevedea recunoașterea reciprocă de către Uniunea Europeană și Republica </w:t>
      </w:r>
      <w:bookmarkStart w:id="1" w:name="_Hlk195168293"/>
      <w:r w:rsidRPr="00455DD4">
        <w:rPr>
          <w:noProof/>
        </w:rPr>
        <w:t>Singapore</w:t>
      </w:r>
      <w:bookmarkEnd w:id="1"/>
      <w:r w:rsidRPr="00455DD4">
        <w:rPr>
          <w:noProof/>
        </w:rPr>
        <w:t xml:space="preserve"> a programelor lor respective de parteneriat comercial.</w:t>
      </w:r>
    </w:p>
    <w:p w:rsidR="00232A39" w:rsidRPr="00455DD4" w:rsidRDefault="00232A39" w:rsidP="00232A39">
      <w:pPr>
        <w:rPr>
          <w:rFonts w:eastAsia="Arial Unicode MS"/>
          <w:noProof/>
        </w:rPr>
      </w:pPr>
      <w:r w:rsidRPr="00455DD4">
        <w:rPr>
          <w:noProof/>
        </w:rPr>
        <w:t xml:space="preserve">Atât Uniunea Europeană, cât și Republica Singapore au instituit programe de parteneriat comercial care oferă facilități operatorilor economici care au investit în securitatea lanțului lor </w:t>
      </w:r>
      <w:r w:rsidRPr="00455DD4">
        <w:rPr>
          <w:noProof/>
        </w:rPr>
        <w:lastRenderedPageBreak/>
        <w:t>de aprovizionare și care au fost certificați de către autoritățile vamale din statul membru respectiv al Uniunii Europene și din Republica Singapore Securitatea și siguranța, precum și facilitarea lanțurilor de aprovizionare ale comerțului internațional pot fi îmbunătățite în mod semnificativ prin recunoașterea reciprocă a programelor respective de parteneriat comercial, și anume a părții referitoare la securitate din Programul Uniunii Europene privind operatorii economici autorizați și din Programul de parteneriat plus pentru un comerț sigur al Republicii Singapore. Acest lucru le va permite autorităților vamale atât din Uniunea Europeană, cât și din Republica Singapore să implementeze controale mai eficace la frontieră, facilitând, în același timp, comerțul legitim.</w:t>
      </w:r>
    </w:p>
    <w:p w:rsidR="00531B8E" w:rsidRPr="00455DD4" w:rsidRDefault="00531B8E" w:rsidP="00531B8E">
      <w:pPr>
        <w:rPr>
          <w:rFonts w:eastAsia="Arial Unicode MS"/>
          <w:noProof/>
        </w:rPr>
      </w:pPr>
      <w:r w:rsidRPr="00455DD4">
        <w:rPr>
          <w:noProof/>
        </w:rPr>
        <w:t xml:space="preserve">Actul avut în vedere va deveni obligatoriu pentru părți în conformitate cu articolul 16.4 alineatul (1) din acord, care prevede că părțile pot lua decizii în cadrul Comitetului pentru comerț sau al unui comitet specializat, în cazul în care acest lucru este prevăzut în acord. Articolul 6.17 alineatul (2) din acord prevede că </w:t>
      </w:r>
      <w:r w:rsidRPr="00455DD4">
        <w:rPr>
          <w:rStyle w:val="normaltextrun"/>
          <w:noProof/>
        </w:rPr>
        <w:t>Comitetul pentru vamă, un comitet specializat, poate lua</w:t>
      </w:r>
      <w:r w:rsidRPr="00455DD4">
        <w:rPr>
          <w:noProof/>
        </w:rPr>
        <w:t xml:space="preserve"> decizii privind recunoașterea reciprocă a programelor de parteneriat comercial. Deciziile luate în cadrul unui astfel de comitet specializat sunt obligatorii pentru părți, care trebuie să ia măsurile necesare pentru punerea în aplicare a respectivelor decizii. Comitetul pentru vamă va aplica regulamentul de procedură al Comitetului pentru comerț</w:t>
      </w:r>
      <w:r w:rsidRPr="00455DD4">
        <w:rPr>
          <w:rStyle w:val="FootnoteReference"/>
          <w:rFonts w:eastAsia="Arial Unicode MS"/>
          <w:noProof/>
        </w:rPr>
        <w:footnoteReference w:id="2"/>
      </w:r>
      <w:r w:rsidRPr="00455DD4">
        <w:rPr>
          <w:noProof/>
        </w:rPr>
        <w:t>, și anume regulile 9 și 13, atunci când va adopta actul avut în vedere.</w:t>
      </w:r>
    </w:p>
    <w:p w:rsidR="004B01D2" w:rsidRPr="00455DD4" w:rsidRDefault="004B01D2" w:rsidP="004B01D2">
      <w:pPr>
        <w:pStyle w:val="ManualHeading1"/>
        <w:rPr>
          <w:rFonts w:eastAsia="Arial Unicode MS"/>
          <w:noProof/>
        </w:rPr>
      </w:pPr>
      <w:r>
        <w:rPr>
          <w:noProof/>
        </w:rPr>
        <w:t>3.</w:t>
      </w:r>
      <w:r>
        <w:rPr>
          <w:noProof/>
        </w:rPr>
        <w:tab/>
      </w:r>
      <w:r w:rsidRPr="00455DD4">
        <w:rPr>
          <w:noProof/>
        </w:rPr>
        <w:t>Poziția care urmează să fie luată în numele Uniunii</w:t>
      </w:r>
    </w:p>
    <w:p w:rsidR="00D62ADC" w:rsidRPr="00455DD4" w:rsidRDefault="00D62ADC" w:rsidP="00232A39">
      <w:pPr>
        <w:rPr>
          <w:noProof/>
        </w:rPr>
      </w:pPr>
      <w:r w:rsidRPr="00455DD4">
        <w:rPr>
          <w:noProof/>
        </w:rPr>
        <w:t>Recunoașterea reciprocă a programelor de parteneriat comercial sporește securitatea lanțurilor de aprovizionare de la un capăt la altul al acestora și facilitează comerțul legitim. Acest lucru consolidează abordarea convenită în Cadrul de standarde pentru securizarea și facilitarea comerțului al Organizației Mondiale a Vămilor („cadrul SAFE”). Acest lucru răspunde cererii comunității de afaceri din Uniunea Europeană și din întreaga lume ca standardele să fie puse în aplicare în mod similar pentru a se evita proliferarea unor cerințe și a unor practici specifice fiecărei țări.</w:t>
      </w:r>
    </w:p>
    <w:p w:rsidR="00232A39" w:rsidRPr="00455DD4" w:rsidRDefault="00232A39" w:rsidP="00232A39">
      <w:pPr>
        <w:rPr>
          <w:noProof/>
        </w:rPr>
      </w:pPr>
      <w:r w:rsidRPr="00455DD4">
        <w:rPr>
          <w:noProof/>
        </w:rPr>
        <w:t>Comparația detaliată dintre Programul Uniunii Europene privind operatorii economici autorizați și Programul de parteneriat plus pentru un comerț sigur al Republicii Singapore a presupus atât comparații juridice, cât și vizite reciproce de validare la fața locului în două state membre ale Uniunii Europene și în Republica Singapore, pentru a evalua compatibilitatea punerii în aplicare practice a criteriilor de siguranță și securitate din programele lor respective de parteneriat comercial. Evaluarea echivalenței dintre Programul Uniunii Europene privind operatorii economici autorizați și Programul de parteneriat plus pentru un comerț sigur al Republicii Singapore a fost finalizată în 2023 și a arătat că standardele de calificare în scopuri de securitate și siguranță ale celor două programe de parteneriat comercial sunt compatibile și duc la rezultate și beneficii echivalente pentru operatorii economici.</w:t>
      </w:r>
    </w:p>
    <w:p w:rsidR="00232A39" w:rsidRPr="00455DD4" w:rsidRDefault="00232A39" w:rsidP="00232A39">
      <w:pPr>
        <w:rPr>
          <w:noProof/>
        </w:rPr>
      </w:pPr>
      <w:r w:rsidRPr="00455DD4">
        <w:rPr>
          <w:noProof/>
        </w:rPr>
        <w:t xml:space="preserve">Comisia Europeană și autoritățile competente din Republica Singapore împărtășesc opinia potrivit căreia recunoașterea reciprocă a programelor lor respective de parteneriat comercial va permite acordarea de beneficii operatorilor economici care au investit în securitatea lanțului lor de aprovizionare și care au fost certificați în cadrul programelor lor respective de parteneriat comercial. </w:t>
      </w:r>
    </w:p>
    <w:p w:rsidR="00232A39" w:rsidRPr="00455DD4" w:rsidRDefault="00232A39" w:rsidP="00232A39">
      <w:pPr>
        <w:rPr>
          <w:noProof/>
        </w:rPr>
      </w:pPr>
      <w:r w:rsidRPr="00455DD4">
        <w:rPr>
          <w:noProof/>
        </w:rPr>
        <w:lastRenderedPageBreak/>
        <w:t>Actul avut în vedere constituie temeiul juridic pentru recunoașterea reciprocă de către Uniunea Europeană și Republica Singapore a programelor lor respective de parteneriat comercial.</w:t>
      </w:r>
    </w:p>
    <w:p w:rsidR="004B01D2" w:rsidRPr="00455DD4" w:rsidRDefault="00232A39" w:rsidP="00232A39">
      <w:pPr>
        <w:rPr>
          <w:noProof/>
        </w:rPr>
      </w:pPr>
      <w:r w:rsidRPr="00455DD4">
        <w:rPr>
          <w:noProof/>
        </w:rPr>
        <w:t>Poziția care urmează să fie luată de Uniunea Europeană în cadrul Comitetului pentru vamă ar trebui să fie stabilită de Consiliu.</w:t>
      </w:r>
    </w:p>
    <w:p w:rsidR="004B01D2" w:rsidRPr="00455DD4" w:rsidRDefault="004B01D2" w:rsidP="00736AA9">
      <w:pPr>
        <w:pStyle w:val="ManualHeading1"/>
        <w:rPr>
          <w:noProof/>
        </w:rPr>
      </w:pPr>
      <w:r>
        <w:rPr>
          <w:noProof/>
        </w:rPr>
        <w:t>4.</w:t>
      </w:r>
      <w:r>
        <w:rPr>
          <w:noProof/>
        </w:rPr>
        <w:tab/>
      </w:r>
      <w:r w:rsidRPr="00455DD4">
        <w:rPr>
          <w:noProof/>
        </w:rPr>
        <w:t>Temeiul juridic</w:t>
      </w:r>
    </w:p>
    <w:p w:rsidR="004B01D2" w:rsidRPr="00455DD4" w:rsidRDefault="004B01D2" w:rsidP="00736AA9">
      <w:pPr>
        <w:pStyle w:val="ManualHeading2"/>
        <w:rPr>
          <w:noProof/>
        </w:rPr>
      </w:pPr>
      <w:r>
        <w:rPr>
          <w:noProof/>
        </w:rPr>
        <w:t>4.1.</w:t>
      </w:r>
      <w:r>
        <w:rPr>
          <w:noProof/>
        </w:rPr>
        <w:tab/>
      </w:r>
      <w:r w:rsidRPr="00455DD4">
        <w:rPr>
          <w:noProof/>
        </w:rPr>
        <w:t>Temeiul juridic procedural</w:t>
      </w:r>
    </w:p>
    <w:p w:rsidR="004B01D2" w:rsidRPr="00455DD4" w:rsidRDefault="004B01D2" w:rsidP="004B01D2">
      <w:pPr>
        <w:pStyle w:val="ManualHeading3"/>
        <w:tabs>
          <w:tab w:val="clear" w:pos="850"/>
          <w:tab w:val="num" w:pos="1984"/>
        </w:tabs>
        <w:ind w:left="1984" w:hanging="567"/>
        <w:rPr>
          <w:noProof/>
        </w:rPr>
      </w:pPr>
      <w:r>
        <w:rPr>
          <w:noProof/>
        </w:rPr>
        <w:t>4.1.1.</w:t>
      </w:r>
      <w:r>
        <w:rPr>
          <w:noProof/>
        </w:rPr>
        <w:tab/>
      </w:r>
      <w:r w:rsidRPr="00455DD4">
        <w:rPr>
          <w:noProof/>
        </w:rPr>
        <w:t>Principii</w:t>
      </w:r>
    </w:p>
    <w:p w:rsidR="00232A39" w:rsidRPr="00455DD4" w:rsidRDefault="00232A39" w:rsidP="00232A39">
      <w:pPr>
        <w:rPr>
          <w:noProof/>
        </w:rPr>
      </w:pPr>
      <w:r w:rsidRPr="00455DD4">
        <w:rPr>
          <w:noProof/>
        </w:rPr>
        <w:t>Articolul 218 alineatul (9) din Tratatul privind funcționarea Uniunii Europene (TFUE) prevede posibilitatea adoptării unor decizii de stabilire a „</w:t>
      </w:r>
      <w:r w:rsidRPr="00455DD4">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455DD4">
        <w:rPr>
          <w:noProof/>
        </w:rPr>
        <w:t>.”</w:t>
      </w:r>
    </w:p>
    <w:p w:rsidR="00AA623F" w:rsidRPr="00455DD4" w:rsidRDefault="00AA623F" w:rsidP="00AA623F">
      <w:pPr>
        <w:rPr>
          <w:noProof/>
        </w:rPr>
      </w:pPr>
      <w:r w:rsidRPr="00455DD4">
        <w:rPr>
          <w:noProof/>
        </w:rPr>
        <w:t>Conceptul de „</w:t>
      </w:r>
      <w:r w:rsidRPr="00455DD4">
        <w:rPr>
          <w:i/>
          <w:noProof/>
        </w:rPr>
        <w:t>acte cu efecte juridice</w:t>
      </w:r>
      <w:r w:rsidRPr="00455DD4">
        <w:rPr>
          <w:noProof/>
        </w:rPr>
        <w:t xml:space="preserve">” include actele care au efecte juridice în temeiul normelor de drept internațional aplicabile organismului în cauză. Sunt, de asemenea, incluse instrumentele care nu au un caracter obligatoriu în temeiul dreptului internațional, dar care </w:t>
      </w:r>
      <w:r w:rsidRPr="00455DD4">
        <w:rPr>
          <w:i/>
          <w:noProof/>
        </w:rPr>
        <w:t>„au vocația de a influența în mod decisiv conținutul reglementării adoptate de legiuitorul Uniunii”</w:t>
      </w:r>
      <w:r w:rsidRPr="00455DD4">
        <w:rPr>
          <w:rStyle w:val="FootnoteReference"/>
          <w:noProof/>
        </w:rPr>
        <w:footnoteReference w:id="3"/>
      </w:r>
      <w:r w:rsidRPr="00455DD4">
        <w:rPr>
          <w:noProof/>
        </w:rPr>
        <w:t>.</w:t>
      </w:r>
    </w:p>
    <w:p w:rsidR="004B01D2" w:rsidRPr="00455DD4" w:rsidRDefault="004B01D2" w:rsidP="004B01D2">
      <w:pPr>
        <w:pStyle w:val="ManualHeading3"/>
        <w:tabs>
          <w:tab w:val="clear" w:pos="850"/>
          <w:tab w:val="num" w:pos="1984"/>
        </w:tabs>
        <w:ind w:left="1984" w:hanging="567"/>
        <w:rPr>
          <w:noProof/>
        </w:rPr>
      </w:pPr>
      <w:r>
        <w:rPr>
          <w:noProof/>
        </w:rPr>
        <w:t>4.1.2.</w:t>
      </w:r>
      <w:r>
        <w:rPr>
          <w:noProof/>
        </w:rPr>
        <w:tab/>
      </w:r>
      <w:r w:rsidRPr="00455DD4">
        <w:rPr>
          <w:noProof/>
        </w:rPr>
        <w:t>Aplicarea la cazul în discuție</w:t>
      </w:r>
    </w:p>
    <w:p w:rsidR="004A25CB" w:rsidRPr="00455DD4" w:rsidRDefault="2284C70D" w:rsidP="004A25CB">
      <w:pPr>
        <w:rPr>
          <w:noProof/>
        </w:rPr>
      </w:pPr>
      <w:r w:rsidRPr="00455DD4">
        <w:rPr>
          <w:noProof/>
        </w:rPr>
        <w:t>Comitetul pentru vamă este un organism instituit printr-un acord, și anume Acordul de liber schimb dintre Uniunea Europeană și Republica Singapore.</w:t>
      </w:r>
    </w:p>
    <w:p w:rsidR="004A25CB" w:rsidRPr="00455DD4" w:rsidRDefault="004A25CB" w:rsidP="004A25CB">
      <w:pPr>
        <w:rPr>
          <w:noProof/>
        </w:rPr>
      </w:pPr>
      <w:r w:rsidRPr="00455DD4">
        <w:rPr>
          <w:noProof/>
        </w:rPr>
        <w:t>Actul pe care Comitetul pentru vamă este invitat să îl adopte este un act cu efecte juridice. Actul avut în vedere va avea caracter obligatoriu în temeiul dreptului internațional, în conformitate cu articolul 16.4 alineatul (1), citit în coroborare cu articolul 6.17 alineatul (2) din acord.</w:t>
      </w:r>
    </w:p>
    <w:p w:rsidR="004A25CB" w:rsidRPr="00455DD4" w:rsidRDefault="004A25CB" w:rsidP="004A25CB">
      <w:pPr>
        <w:rPr>
          <w:noProof/>
        </w:rPr>
      </w:pPr>
      <w:r w:rsidRPr="00455DD4">
        <w:rPr>
          <w:noProof/>
        </w:rPr>
        <w:t xml:space="preserve">Actul avut în vedere nu completează și nici nu aduce modificări cadrului instituțional al acordului. </w:t>
      </w:r>
    </w:p>
    <w:p w:rsidR="004B01D2" w:rsidRPr="00455DD4" w:rsidRDefault="004B01D2" w:rsidP="00736AA9">
      <w:pPr>
        <w:rPr>
          <w:noProof/>
        </w:rPr>
      </w:pPr>
      <w:r w:rsidRPr="00455DD4">
        <w:rPr>
          <w:noProof/>
        </w:rPr>
        <w:t>În consecință, temeiul juridic procedural al deciziei propuse este articolul 218 alineatul (9) din TFUE.</w:t>
      </w:r>
    </w:p>
    <w:p w:rsidR="004B01D2" w:rsidRPr="00455DD4" w:rsidRDefault="004B01D2" w:rsidP="00736AA9">
      <w:pPr>
        <w:pStyle w:val="ManualHeading2"/>
        <w:rPr>
          <w:noProof/>
        </w:rPr>
      </w:pPr>
      <w:r>
        <w:rPr>
          <w:noProof/>
        </w:rPr>
        <w:t>4.2.</w:t>
      </w:r>
      <w:r>
        <w:rPr>
          <w:noProof/>
        </w:rPr>
        <w:tab/>
      </w:r>
      <w:r w:rsidRPr="00455DD4">
        <w:rPr>
          <w:noProof/>
        </w:rPr>
        <w:t>Temeiul juridic material</w:t>
      </w:r>
    </w:p>
    <w:p w:rsidR="004B01D2" w:rsidRPr="00455DD4" w:rsidRDefault="004B01D2" w:rsidP="004B01D2">
      <w:pPr>
        <w:pStyle w:val="ManualHeading3"/>
        <w:tabs>
          <w:tab w:val="clear" w:pos="850"/>
          <w:tab w:val="num" w:pos="1984"/>
        </w:tabs>
        <w:ind w:left="1984" w:hanging="567"/>
        <w:rPr>
          <w:noProof/>
        </w:rPr>
      </w:pPr>
      <w:r>
        <w:rPr>
          <w:noProof/>
        </w:rPr>
        <w:t>4.2.1.</w:t>
      </w:r>
      <w:r>
        <w:rPr>
          <w:noProof/>
        </w:rPr>
        <w:tab/>
      </w:r>
      <w:r w:rsidRPr="00455DD4">
        <w:rPr>
          <w:noProof/>
        </w:rPr>
        <w:t>Principii</w:t>
      </w:r>
    </w:p>
    <w:p w:rsidR="004B01D2" w:rsidRPr="00455DD4" w:rsidRDefault="00BC151C" w:rsidP="00736AA9">
      <w:pPr>
        <w:rPr>
          <w:noProof/>
        </w:rPr>
      </w:pPr>
      <w:r w:rsidRPr="00455DD4">
        <w:rPr>
          <w:noProof/>
        </w:rPr>
        <w:t>Temeiul juridic material al unei decizii adoptate în temeiul articolului 218 alineatul (9) din TFUE depinde, în primul rând, de obiectivul și de conținutul actului avut în vedere cu privire la care se ia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pe cel impus de obiectivul sau de elementul principal sau predominant.</w:t>
      </w:r>
    </w:p>
    <w:p w:rsidR="004B01D2" w:rsidRPr="00455DD4" w:rsidRDefault="004B01D2" w:rsidP="00736AA9">
      <w:pPr>
        <w:pStyle w:val="ManualHeading3"/>
        <w:tabs>
          <w:tab w:val="clear" w:pos="850"/>
          <w:tab w:val="num" w:pos="1984"/>
        </w:tabs>
        <w:ind w:left="1984" w:hanging="567"/>
        <w:rPr>
          <w:noProof/>
        </w:rPr>
      </w:pPr>
      <w:r>
        <w:rPr>
          <w:noProof/>
        </w:rPr>
        <w:lastRenderedPageBreak/>
        <w:t>4.2.2.</w:t>
      </w:r>
      <w:r>
        <w:rPr>
          <w:noProof/>
        </w:rPr>
        <w:tab/>
      </w:r>
      <w:r w:rsidRPr="00455DD4">
        <w:rPr>
          <w:noProof/>
        </w:rPr>
        <w:t>Aplicarea la cazul în discuție</w:t>
      </w:r>
    </w:p>
    <w:p w:rsidR="00F65241" w:rsidRPr="00455DD4" w:rsidRDefault="0C9BD1F7" w:rsidP="00736AA9">
      <w:pPr>
        <w:rPr>
          <w:noProof/>
        </w:rPr>
      </w:pPr>
      <w:r w:rsidRPr="00455DD4">
        <w:rPr>
          <w:noProof/>
        </w:rPr>
        <w:t>Obiectivul principal și conținutul actului avut în vedere se referă la politica comercială comună.</w:t>
      </w:r>
    </w:p>
    <w:p w:rsidR="004B01D2" w:rsidRPr="00455DD4" w:rsidRDefault="00F65241" w:rsidP="00736AA9">
      <w:pPr>
        <w:rPr>
          <w:noProof/>
        </w:rPr>
      </w:pPr>
      <w:r w:rsidRPr="00455DD4">
        <w:rPr>
          <w:noProof/>
        </w:rPr>
        <w:t>Prin urmare, temeiul juridic material al deciziei propuse este articolul 207 alineatul (4) din TFUE.</w:t>
      </w:r>
    </w:p>
    <w:p w:rsidR="004B01D2" w:rsidRPr="00455DD4" w:rsidRDefault="004B01D2" w:rsidP="00736AA9">
      <w:pPr>
        <w:pStyle w:val="ManualHeading2"/>
        <w:rPr>
          <w:noProof/>
        </w:rPr>
      </w:pPr>
      <w:r>
        <w:rPr>
          <w:noProof/>
        </w:rPr>
        <w:t>4.3.</w:t>
      </w:r>
      <w:r>
        <w:rPr>
          <w:noProof/>
        </w:rPr>
        <w:tab/>
      </w:r>
      <w:r w:rsidRPr="00455DD4">
        <w:rPr>
          <w:noProof/>
        </w:rPr>
        <w:t>Concluzie</w:t>
      </w:r>
    </w:p>
    <w:p w:rsidR="004B01D2" w:rsidRPr="00455DD4" w:rsidRDefault="2284C70D" w:rsidP="00736AA9">
      <w:pPr>
        <w:rPr>
          <w:noProof/>
        </w:rPr>
      </w:pPr>
      <w:r w:rsidRPr="00455DD4">
        <w:rPr>
          <w:noProof/>
        </w:rPr>
        <w:t>Temeiul juridic al deciziei propuse ar trebui să fie articolul 207 alineatul (4), coroborat cu articolul 218 alineatul (9) din TFUE.</w:t>
      </w:r>
    </w:p>
    <w:p w:rsidR="004B01D2" w:rsidRPr="00455DD4" w:rsidRDefault="004B01D2" w:rsidP="00736AA9">
      <w:pPr>
        <w:pStyle w:val="ManualHeading1"/>
        <w:rPr>
          <w:noProof/>
        </w:rPr>
      </w:pPr>
      <w:r>
        <w:rPr>
          <w:noProof/>
        </w:rPr>
        <w:t>5.</w:t>
      </w:r>
      <w:r>
        <w:rPr>
          <w:noProof/>
        </w:rPr>
        <w:tab/>
      </w:r>
      <w:r w:rsidRPr="00455DD4">
        <w:rPr>
          <w:noProof/>
        </w:rPr>
        <w:t>Publicarea actului avut în vedere</w:t>
      </w:r>
    </w:p>
    <w:p w:rsidR="004B01D2" w:rsidRPr="00455DD4" w:rsidRDefault="004A25CB" w:rsidP="00736AA9">
      <w:pPr>
        <w:rPr>
          <w:noProof/>
        </w:rPr>
      </w:pPr>
      <w:r w:rsidRPr="00455DD4">
        <w:rPr>
          <w:noProof/>
        </w:rPr>
        <w:t xml:space="preserve">Întrucât actul Comitetului pentru vamă va fi aplicabil de către ambele părți, inclusiv de Uniunea Europeană și de statele sale membre, este adecvat ca acesta să fie publicat în </w:t>
      </w:r>
      <w:r w:rsidRPr="00455DD4">
        <w:rPr>
          <w:i/>
          <w:noProof/>
        </w:rPr>
        <w:t>Jurnalul Oficial al Uniunii Europene</w:t>
      </w:r>
      <w:r w:rsidRPr="00455DD4">
        <w:rPr>
          <w:noProof/>
        </w:rPr>
        <w:t xml:space="preserve"> după adoptare.</w:t>
      </w:r>
    </w:p>
    <w:p w:rsidR="004B01D2" w:rsidRPr="00455DD4" w:rsidRDefault="004B01D2" w:rsidP="00FD40BA">
      <w:pPr>
        <w:rPr>
          <w:noProof/>
        </w:rPr>
        <w:sectPr w:rsidR="004B01D2" w:rsidRPr="00455DD4" w:rsidSect="005757F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26150" w:rsidRDefault="001C29C2">
      <w:pPr>
        <w:pStyle w:val="Rfrenceinterinstitutionnelle"/>
        <w:rPr>
          <w:noProof/>
        </w:rPr>
      </w:pPr>
      <w:r>
        <w:rPr>
          <w:noProof/>
        </w:rPr>
        <w:lastRenderedPageBreak/>
        <w:t>2026/0160 (NLE)</w:t>
      </w:r>
    </w:p>
    <w:p w:rsidR="004B01D2" w:rsidRPr="00455DD4" w:rsidRDefault="003A2503" w:rsidP="003A2503">
      <w:pPr>
        <w:pStyle w:val="Statut"/>
        <w:rPr>
          <w:noProof/>
        </w:rPr>
      </w:pPr>
      <w:r w:rsidRPr="00455DD4">
        <w:rPr>
          <w:noProof/>
        </w:rPr>
        <w:t>Propunere de</w:t>
      </w:r>
    </w:p>
    <w:p w:rsidR="004B01D2" w:rsidRPr="00455DD4" w:rsidRDefault="003A2503" w:rsidP="003A2503">
      <w:pPr>
        <w:pStyle w:val="Typedudocument"/>
        <w:rPr>
          <w:noProof/>
        </w:rPr>
      </w:pPr>
      <w:r w:rsidRPr="00455DD4">
        <w:rPr>
          <w:noProof/>
        </w:rPr>
        <w:t>DECIZIE A CONSILIULUI</w:t>
      </w:r>
    </w:p>
    <w:p w:rsidR="004B01D2" w:rsidRPr="00455DD4" w:rsidRDefault="003A2503" w:rsidP="003A2503">
      <w:pPr>
        <w:pStyle w:val="Titreobjet"/>
        <w:rPr>
          <w:noProof/>
        </w:rPr>
      </w:pPr>
      <w:r w:rsidRPr="00455DD4">
        <w:rPr>
          <w:noProof/>
        </w:rPr>
        <w:t>privind poziția care urmează să fie luată în numele Uniunii Europene în cadrul Comitetului pentru vamă instituit în temeiul Acordului de liber schimb dintre Uniunea Europeană și Republica Singapore în ceea ce privește adoptarea deciziei referitoare la recunoașterea reciprocă a Programului de parteneriat plus pentru un comerț sigur al Republicii Singapore și a Programului Uniunii Europene privind operatorii economici autorizați</w:t>
      </w:r>
    </w:p>
    <w:p w:rsidR="004B01D2" w:rsidRPr="00455DD4" w:rsidRDefault="004B01D2" w:rsidP="00BE7CB9">
      <w:pPr>
        <w:pStyle w:val="Institutionquiagit"/>
        <w:rPr>
          <w:noProof/>
        </w:rPr>
      </w:pPr>
      <w:r w:rsidRPr="00455DD4">
        <w:rPr>
          <w:noProof/>
        </w:rPr>
        <w:t>CONSILIUL UNIUNII EUROPENE,</w:t>
      </w:r>
    </w:p>
    <w:p w:rsidR="004B01D2" w:rsidRPr="00455DD4" w:rsidRDefault="004B01D2" w:rsidP="00BE7CB9">
      <w:pPr>
        <w:rPr>
          <w:noProof/>
        </w:rPr>
      </w:pPr>
      <w:r w:rsidRPr="00455DD4">
        <w:rPr>
          <w:noProof/>
        </w:rPr>
        <w:t>având în vedere Tratatul privind funcționarea Uniunii Europene, în special articolul 207 alineatul (4) primul paragraf, coroborat cu articolul 218 alineatul (9),</w:t>
      </w:r>
    </w:p>
    <w:p w:rsidR="004B01D2" w:rsidRPr="00455DD4" w:rsidRDefault="004B01D2" w:rsidP="00BE7CB9">
      <w:pPr>
        <w:rPr>
          <w:noProof/>
        </w:rPr>
      </w:pPr>
      <w:r w:rsidRPr="00455DD4">
        <w:rPr>
          <w:noProof/>
        </w:rPr>
        <w:t>având în vedere propunerea Comisiei Europene,</w:t>
      </w:r>
    </w:p>
    <w:p w:rsidR="004B01D2" w:rsidRPr="00455DD4" w:rsidRDefault="004B01D2" w:rsidP="00BE7CB9">
      <w:pPr>
        <w:rPr>
          <w:noProof/>
        </w:rPr>
      </w:pPr>
      <w:r w:rsidRPr="00455DD4">
        <w:rPr>
          <w:noProof/>
        </w:rPr>
        <w:t>întrucât:</w:t>
      </w:r>
    </w:p>
    <w:p w:rsidR="004A25CB" w:rsidRPr="00455DD4" w:rsidRDefault="00364407" w:rsidP="00705F49">
      <w:pPr>
        <w:pStyle w:val="ManualConsidrant"/>
        <w:rPr>
          <w:noProof/>
        </w:rPr>
      </w:pPr>
      <w:r>
        <w:rPr>
          <w:noProof/>
        </w:rPr>
        <w:t>(1)</w:t>
      </w:r>
      <w:r>
        <w:rPr>
          <w:noProof/>
        </w:rPr>
        <w:tab/>
      </w:r>
      <w:r w:rsidRPr="00455DD4">
        <w:rPr>
          <w:noProof/>
        </w:rPr>
        <w:t>Acordul de liber schimb dintre Uniunea Europeană și Republica Singapore („acordul”) a fost încheiat de Uniune prin Decizia (UE) 2019/1875 a Consiliului</w:t>
      </w:r>
      <w:r w:rsidRPr="00455DD4">
        <w:rPr>
          <w:rStyle w:val="FootnoteReference"/>
          <w:noProof/>
        </w:rPr>
        <w:footnoteReference w:id="4"/>
      </w:r>
      <w:r w:rsidRPr="00455DD4">
        <w:rPr>
          <w:noProof/>
        </w:rPr>
        <w:t>.</w:t>
      </w:r>
    </w:p>
    <w:p w:rsidR="00C17511" w:rsidRPr="00455DD4" w:rsidRDefault="00C17511" w:rsidP="00705F49">
      <w:pPr>
        <w:pStyle w:val="ManualConsidrant"/>
        <w:rPr>
          <w:noProof/>
        </w:rPr>
      </w:pPr>
      <w:r>
        <w:rPr>
          <w:noProof/>
        </w:rPr>
        <w:t>(2)</w:t>
      </w:r>
      <w:r>
        <w:rPr>
          <w:noProof/>
        </w:rPr>
        <w:tab/>
      </w:r>
      <w:r w:rsidRPr="00455DD4">
        <w:rPr>
          <w:noProof/>
        </w:rPr>
        <w:t>Articolul 6.3 din acord solicită părților să asigure, dacă este necesar, recunoașterea reciprocă a programelor de parteneriat comercial, inclusiv a unor aspecte precum transmiterea datelor și beneficiile convenite de comun acord.</w:t>
      </w:r>
    </w:p>
    <w:p w:rsidR="00871DB0" w:rsidRPr="00455DD4" w:rsidRDefault="004A25CB" w:rsidP="00871DB0">
      <w:pPr>
        <w:pStyle w:val="ManualConsidrant"/>
        <w:rPr>
          <w:noProof/>
        </w:rPr>
      </w:pPr>
      <w:r>
        <w:rPr>
          <w:noProof/>
        </w:rPr>
        <w:t>(3)</w:t>
      </w:r>
      <w:r>
        <w:rPr>
          <w:noProof/>
        </w:rPr>
        <w:tab/>
      </w:r>
      <w:r w:rsidRPr="00455DD4">
        <w:rPr>
          <w:noProof/>
        </w:rPr>
        <w:t>În temeiul articolului 6.17 alineatul (2) și al articolului 16.4 alineatul (1) din acord, Comitetul pentru vamă poate adopta decizii privind recunoașterea reciprocă a programelor de parteneriat comercial.</w:t>
      </w:r>
    </w:p>
    <w:p w:rsidR="00871DB0" w:rsidRPr="00455DD4" w:rsidRDefault="00871DB0" w:rsidP="00D0437E">
      <w:pPr>
        <w:pStyle w:val="ManualConsidrant"/>
        <w:rPr>
          <w:noProof/>
        </w:rPr>
      </w:pPr>
      <w:r>
        <w:rPr>
          <w:noProof/>
        </w:rPr>
        <w:t>(4)</w:t>
      </w:r>
      <w:r>
        <w:rPr>
          <w:noProof/>
        </w:rPr>
        <w:tab/>
      </w:r>
      <w:r w:rsidRPr="00455DD4">
        <w:rPr>
          <w:noProof/>
        </w:rPr>
        <w:t>În cadrul celei de a doua reuniuni din 2026 sau prin procedură scrisă, în cazul în care părțile convin astfel, Comitetul pentru vamă trebuie să adopte decizia privind recunoașterea reciprocă a Programului de parteneriat plus pentru un comerț sigur al Republicii Singapore și a Programului Uniunii Europene privind operatorii economici autorizați.</w:t>
      </w:r>
    </w:p>
    <w:p w:rsidR="004A25CB" w:rsidRPr="00455DD4" w:rsidRDefault="00871DB0" w:rsidP="00D0437E">
      <w:pPr>
        <w:pStyle w:val="ManualConsidrant"/>
        <w:rPr>
          <w:noProof/>
        </w:rPr>
      </w:pPr>
      <w:r>
        <w:rPr>
          <w:noProof/>
        </w:rPr>
        <w:t>(5)</w:t>
      </w:r>
      <w:r>
        <w:rPr>
          <w:noProof/>
        </w:rPr>
        <w:tab/>
      </w:r>
      <w:r w:rsidRPr="00455DD4">
        <w:rPr>
          <w:noProof/>
        </w:rPr>
        <w:t>Este oportun să se stabilească poziția care urmează să fie luată în numele Uniunii în cadrul Comitetului pentru vamă, întrucât decizia privind recunoașterea reciprocă a Programului de parteneriat plus pentru un comerț sigur al Republicii Singapore și a Programului Uniunii Europene privind operatorii economici autorizați va avea caracter obligatoriu pentru Uniune.</w:t>
      </w:r>
    </w:p>
    <w:p w:rsidR="004A25CB" w:rsidRPr="00455DD4" w:rsidRDefault="0C9BD1F7" w:rsidP="00D0437E">
      <w:pPr>
        <w:pStyle w:val="ManualConsidrant"/>
        <w:rPr>
          <w:noProof/>
        </w:rPr>
      </w:pPr>
      <w:r>
        <w:rPr>
          <w:noProof/>
        </w:rPr>
        <w:t>(6)</w:t>
      </w:r>
      <w:r>
        <w:rPr>
          <w:noProof/>
        </w:rPr>
        <w:tab/>
      </w:r>
      <w:r w:rsidRPr="00455DD4">
        <w:rPr>
          <w:noProof/>
        </w:rPr>
        <w:t>Securitatea și siguranța, precum și facilitarea lanțului de aprovizionare al comerțului internațional pot fi îmbunătățite în mod semnificativ prin recunoașterea reciprocă a programelor respective de parteneriat comercial, și anume a Programului Uniunii Europene privind operatorii economici autorizați și a Programului de parteneriat plus pentru un comerț sigur al Republicii Singapore.</w:t>
      </w:r>
    </w:p>
    <w:p w:rsidR="004A25CB" w:rsidRPr="00455DD4" w:rsidRDefault="004A25CB" w:rsidP="00D0437E">
      <w:pPr>
        <w:pStyle w:val="ManualConsidrant"/>
        <w:rPr>
          <w:noProof/>
        </w:rPr>
      </w:pPr>
      <w:r>
        <w:rPr>
          <w:noProof/>
        </w:rPr>
        <w:lastRenderedPageBreak/>
        <w:t>(7)</w:t>
      </w:r>
      <w:r>
        <w:rPr>
          <w:noProof/>
        </w:rPr>
        <w:tab/>
      </w:r>
      <w:r w:rsidRPr="00455DD4">
        <w:rPr>
          <w:noProof/>
        </w:rPr>
        <w:t>Cele două programe respective de parteneriat comercial se bazează pe standarde de securitate recunoscute la nivel internațional și recomandate de Cadrul de standarde pentru securizarea și facilitarea comerțului mondial („cadrul SAFE”), adoptat de Organizația Mondială a Vămilor în iunie 2005.</w:t>
      </w:r>
    </w:p>
    <w:p w:rsidR="00E026CB" w:rsidRPr="00455DD4" w:rsidRDefault="00C17511" w:rsidP="00392F69">
      <w:pPr>
        <w:pStyle w:val="ManualConsidrant"/>
        <w:rPr>
          <w:noProof/>
        </w:rPr>
      </w:pPr>
      <w:r>
        <w:rPr>
          <w:noProof/>
        </w:rPr>
        <w:t>(8)</w:t>
      </w:r>
      <w:r>
        <w:rPr>
          <w:noProof/>
        </w:rPr>
        <w:tab/>
      </w:r>
      <w:r w:rsidRPr="00455DD4">
        <w:rPr>
          <w:noProof/>
        </w:rPr>
        <w:t>Vizitele la fața locului și o evaluare comună a Programului privind operatorii economici autorizați în Uniunea Europeană și a Programului de parteneriat plus pentru un comerț sigur în Republica Singapore au arătat că standardele de calificare în scopuri de securitate și de siguranță prevăzute în acestea sunt compatibile și duc la obținerea unor rezultate echivalente,</w:t>
      </w:r>
    </w:p>
    <w:p w:rsidR="004B01D2" w:rsidRPr="00455DD4" w:rsidRDefault="004B01D2" w:rsidP="00BE7CB9">
      <w:pPr>
        <w:pStyle w:val="Formuledadoption"/>
        <w:rPr>
          <w:noProof/>
        </w:rPr>
      </w:pPr>
      <w:r w:rsidRPr="00455DD4">
        <w:rPr>
          <w:noProof/>
        </w:rPr>
        <w:t>ADOPTĂ PREZENTA DECIZIE:</w:t>
      </w:r>
    </w:p>
    <w:p w:rsidR="004B01D2" w:rsidRPr="00455DD4" w:rsidRDefault="004B01D2" w:rsidP="00BE7CB9">
      <w:pPr>
        <w:pStyle w:val="Titrearticle"/>
        <w:rPr>
          <w:noProof/>
        </w:rPr>
      </w:pPr>
      <w:r w:rsidRPr="00455DD4">
        <w:rPr>
          <w:noProof/>
        </w:rPr>
        <w:t>Articolul 1</w:t>
      </w:r>
    </w:p>
    <w:p w:rsidR="004B01D2" w:rsidRPr="00455DD4" w:rsidRDefault="004B01D2" w:rsidP="00E026CB">
      <w:pPr>
        <w:rPr>
          <w:noProof/>
        </w:rPr>
      </w:pPr>
      <w:r w:rsidRPr="00455DD4">
        <w:rPr>
          <w:noProof/>
        </w:rPr>
        <w:t>Poziția care urmează să fie luată în numele Uniunii în cadrul reuniunii Comitetului pentru vamă instituit în temeiul Acordului de liber schimb dintre Uniunea Europeană și Republica Singapore în ceea ce privește recunoașterea reciprocă a Programului de parteneriat plus pentru un comerț sigur al Republicii Singapore și a Programului Uniunii Europene privind operatorii economici autorizați se bazează pe proiectul de decizie a Comitetului pentru vamă atașat la prezenta decizie.</w:t>
      </w:r>
    </w:p>
    <w:p w:rsidR="004B01D2" w:rsidRPr="00455DD4" w:rsidRDefault="004B01D2" w:rsidP="004C21C6">
      <w:pPr>
        <w:pStyle w:val="Titrearticle"/>
        <w:rPr>
          <w:noProof/>
        </w:rPr>
      </w:pPr>
      <w:r w:rsidRPr="00455DD4">
        <w:rPr>
          <w:noProof/>
        </w:rPr>
        <w:t>Articolul 2</w:t>
      </w:r>
    </w:p>
    <w:p w:rsidR="004B01D2" w:rsidRPr="00455DD4" w:rsidRDefault="004B01D2" w:rsidP="00BE7CB9">
      <w:pPr>
        <w:rPr>
          <w:noProof/>
        </w:rPr>
      </w:pPr>
      <w:r w:rsidRPr="00455DD4">
        <w:rPr>
          <w:noProof/>
        </w:rPr>
        <w:t>Prezenta decizie intră în vigoare la data adoptării.</w:t>
      </w:r>
    </w:p>
    <w:p w:rsidR="004B01D2" w:rsidRPr="00455DD4" w:rsidRDefault="003A2503" w:rsidP="004C21C6">
      <w:pPr>
        <w:pStyle w:val="Fait"/>
        <w:rPr>
          <w:noProof/>
        </w:rPr>
      </w:pPr>
      <w:r>
        <w:rPr>
          <w:noProof/>
        </w:rPr>
        <w:t>Adoptată la Bruxelles,</w:t>
      </w:r>
    </w:p>
    <w:p w:rsidR="004B01D2" w:rsidRPr="00455DD4" w:rsidRDefault="004B01D2" w:rsidP="004C21C6">
      <w:pPr>
        <w:pStyle w:val="Institutionquisigne"/>
        <w:rPr>
          <w:noProof/>
        </w:rPr>
      </w:pPr>
      <w:r w:rsidRPr="00455DD4">
        <w:rPr>
          <w:noProof/>
        </w:rPr>
        <w:tab/>
        <w:t>Pentru Consiliu</w:t>
      </w:r>
    </w:p>
    <w:p w:rsidR="004B01D2" w:rsidRPr="00455DD4" w:rsidRDefault="004B01D2" w:rsidP="004B01D2">
      <w:pPr>
        <w:pStyle w:val="Personnequisigne"/>
        <w:rPr>
          <w:noProof/>
        </w:rPr>
      </w:pPr>
      <w:r w:rsidRPr="00455DD4">
        <w:rPr>
          <w:noProof/>
        </w:rPr>
        <w:tab/>
        <w:t>Președintele</w:t>
      </w:r>
    </w:p>
    <w:sectPr w:rsidR="004B01D2" w:rsidRPr="00455DD4" w:rsidSect="005757F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1BA" w:rsidRDefault="00CB51BA" w:rsidP="004B01D2">
      <w:pPr>
        <w:spacing w:before="0" w:after="0"/>
      </w:pPr>
      <w:r>
        <w:separator/>
      </w:r>
    </w:p>
  </w:endnote>
  <w:endnote w:type="continuationSeparator" w:id="0">
    <w:p w:rsidR="00CB51BA" w:rsidRDefault="00CB51BA" w:rsidP="004B01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Pr="005757F8" w:rsidRDefault="005757F8" w:rsidP="005757F8">
    <w:pPr>
      <w:pStyle w:val="Footer"/>
      <w:rPr>
        <w:rFonts w:ascii="Arial" w:hAnsi="Arial" w:cs="Arial"/>
        <w:b/>
        <w:sz w:val="48"/>
      </w:rPr>
    </w:pPr>
    <w:r w:rsidRPr="005757F8">
      <w:rPr>
        <w:rFonts w:ascii="Arial" w:hAnsi="Arial" w:cs="Arial"/>
        <w:b/>
        <w:sz w:val="48"/>
      </w:rPr>
      <w:t>RO</w:t>
    </w:r>
    <w:r w:rsidRPr="005757F8">
      <w:rPr>
        <w:rFonts w:ascii="Arial" w:hAnsi="Arial" w:cs="Arial"/>
        <w:b/>
        <w:sz w:val="48"/>
      </w:rPr>
      <w:tab/>
    </w:r>
    <w:r w:rsidRPr="005757F8">
      <w:rPr>
        <w:rFonts w:ascii="Arial" w:hAnsi="Arial" w:cs="Arial"/>
        <w:b/>
        <w:sz w:val="48"/>
      </w:rPr>
      <w:tab/>
    </w:r>
    <w:r w:rsidRPr="005757F8">
      <w:tab/>
    </w:r>
    <w:r w:rsidRPr="005757F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Pr="005757F8" w:rsidRDefault="005757F8" w:rsidP="005757F8">
    <w:pPr>
      <w:pStyle w:val="Footer"/>
      <w:rPr>
        <w:rFonts w:ascii="Arial" w:hAnsi="Arial" w:cs="Arial"/>
        <w:b/>
        <w:sz w:val="48"/>
      </w:rPr>
    </w:pPr>
    <w:r w:rsidRPr="005757F8">
      <w:rPr>
        <w:rFonts w:ascii="Arial" w:hAnsi="Arial" w:cs="Arial"/>
        <w:b/>
        <w:sz w:val="48"/>
      </w:rPr>
      <w:t>RO</w:t>
    </w:r>
    <w:r w:rsidRPr="005757F8">
      <w:rPr>
        <w:rFonts w:ascii="Arial" w:hAnsi="Arial" w:cs="Arial"/>
        <w:b/>
        <w:sz w:val="48"/>
      </w:rPr>
      <w:tab/>
    </w:r>
    <w:r w:rsidRPr="005757F8">
      <w:rPr>
        <w:rFonts w:ascii="Arial" w:hAnsi="Arial" w:cs="Arial"/>
        <w:b/>
        <w:sz w:val="48"/>
      </w:rPr>
      <w:tab/>
    </w:r>
    <w:r w:rsidRPr="005757F8">
      <w:tab/>
    </w:r>
    <w:r w:rsidRPr="005757F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Default="005757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Pr="005757F8" w:rsidRDefault="005757F8" w:rsidP="005757F8">
    <w:pPr>
      <w:pStyle w:val="Footer"/>
      <w:rPr>
        <w:rFonts w:ascii="Arial" w:hAnsi="Arial" w:cs="Arial"/>
        <w:b/>
        <w:sz w:val="48"/>
      </w:rPr>
    </w:pPr>
    <w:r w:rsidRPr="005757F8">
      <w:rPr>
        <w:rFonts w:ascii="Arial" w:hAnsi="Arial" w:cs="Arial"/>
        <w:b/>
        <w:sz w:val="48"/>
      </w:rPr>
      <w:t>RO</w:t>
    </w:r>
    <w:r w:rsidRPr="005757F8">
      <w:rPr>
        <w:rFonts w:ascii="Arial" w:hAnsi="Arial" w:cs="Arial"/>
        <w:b/>
        <w:sz w:val="48"/>
      </w:rPr>
      <w:tab/>
    </w:r>
    <w:r>
      <w:fldChar w:fldCharType="begin"/>
    </w:r>
    <w:r>
      <w:instrText xml:space="preserve"> PAGE  \* MERGEFORMAT </w:instrText>
    </w:r>
    <w:r>
      <w:fldChar w:fldCharType="separate"/>
    </w:r>
    <w:r w:rsidR="004C21C6">
      <w:rPr>
        <w:noProof/>
      </w:rPr>
      <w:t>6</w:t>
    </w:r>
    <w:r>
      <w:fldChar w:fldCharType="end"/>
    </w:r>
    <w:r>
      <w:tab/>
    </w:r>
    <w:r w:rsidRPr="005757F8">
      <w:tab/>
    </w:r>
    <w:r w:rsidRPr="005757F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Default="005757F8" w:rsidP="00575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BA" w:rsidRDefault="00CB51BA" w:rsidP="004B01D2">
      <w:pPr>
        <w:spacing w:before="0" w:after="0"/>
      </w:pPr>
      <w:r>
        <w:separator/>
      </w:r>
    </w:p>
  </w:footnote>
  <w:footnote w:type="continuationSeparator" w:id="0">
    <w:p w:rsidR="00CB51BA" w:rsidRDefault="00CB51BA" w:rsidP="004B01D2">
      <w:pPr>
        <w:spacing w:before="0" w:after="0"/>
      </w:pPr>
      <w:r>
        <w:continuationSeparator/>
      </w:r>
    </w:p>
  </w:footnote>
  <w:footnote w:id="1">
    <w:p w:rsidR="00131CED" w:rsidRPr="00455DD4" w:rsidRDefault="00131CED">
      <w:pPr>
        <w:pStyle w:val="FootnoteText"/>
      </w:pPr>
      <w:r w:rsidRPr="00455DD4">
        <w:rPr>
          <w:rStyle w:val="FootnoteReference"/>
        </w:rPr>
        <w:footnoteRef/>
      </w:r>
      <w:r w:rsidRPr="00455DD4">
        <w:tab/>
        <w:t>Decizia (UE) 2019/1875 a Consiliului din 8 noiembrie 2019 privind încheierea Acordului de liber schimb între Uniunea Europeană și Republica Singapore (JO L 294, 14.11.2019, p. 1).</w:t>
      </w:r>
    </w:p>
  </w:footnote>
  <w:footnote w:id="2">
    <w:p w:rsidR="00BC151C" w:rsidRPr="00455DD4" w:rsidRDefault="00BC151C">
      <w:pPr>
        <w:pStyle w:val="FootnoteText"/>
      </w:pPr>
      <w:r w:rsidRPr="00455DD4">
        <w:rPr>
          <w:rStyle w:val="FootnoteReference"/>
        </w:rPr>
        <w:footnoteRef/>
      </w:r>
      <w:r w:rsidRPr="00455DD4">
        <w:tab/>
        <w:t>Decizia (UE) 2022/1976 a Consiliului din 17 octombrie 2022 privind poziția care urmează să fie adoptată, în numele Uniunii, în cadrul Comitetului pentru comerț instituit prin Acordul de liber schimb dintre Uniunea Europeană și Republica Singapore, în ceea ce privește adoptarea regulamentului de procedură al Comitetului pentru comerț (JO L 271, 19.10.2022, p. 17).</w:t>
      </w:r>
    </w:p>
  </w:footnote>
  <w:footnote w:id="3">
    <w:p w:rsidR="00AA623F" w:rsidRPr="00455DD4" w:rsidRDefault="00AA623F" w:rsidP="00AA623F">
      <w:pPr>
        <w:pStyle w:val="FootnoteText"/>
      </w:pPr>
      <w:r w:rsidRPr="00455DD4">
        <w:rPr>
          <w:rStyle w:val="FootnoteReference"/>
        </w:rPr>
        <w:footnoteRef/>
      </w:r>
      <w:r w:rsidRPr="00455DD4">
        <w:tab/>
        <w:t xml:space="preserve">Hotărârea Curții de Justiție din 7 octombrie 2014, Germania/Consiliul, C-399/12, ECLI:EU:C:2014:2258, punctele 61-64. </w:t>
      </w:r>
    </w:p>
  </w:footnote>
  <w:footnote w:id="4">
    <w:p w:rsidR="00364407" w:rsidRPr="00455DD4" w:rsidRDefault="00364407">
      <w:pPr>
        <w:pStyle w:val="FootnoteText"/>
      </w:pPr>
      <w:r w:rsidRPr="00455DD4">
        <w:rPr>
          <w:rStyle w:val="FootnoteReference"/>
        </w:rPr>
        <w:footnoteRef/>
      </w:r>
      <w:r w:rsidRPr="00455DD4">
        <w:tab/>
        <w:t>Decizia (UE) 2019/1875 a Consiliului din 8 noiembrie 2019 privind încheierea Acordului de liber schimb între Uniunea Europeană și Republica Singapore (JO L 294,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Default="00575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7F8" w:rsidRDefault="00575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CCEB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854B6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514439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196C9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7: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67A6683-8D1D-4579-9826-DF515A5CCE50"/>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60"/>
    <w:docVar w:name="LW_REF.II.NEW.CP_YEAR" w:val="2026"/>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pentru vam\u259? instituit în temeiul Acordului de liber schimb dintre Uniunea European\u259? \u537?i Republica Singapore în ceea ce prive\u537?te adoptarea deciziei referitoare la recunoa\u537?terea reciproc\u259? a Programului de parteneriat plus pentru un comer\u539? sigur al Republicii Singapore \u537?i a Programului Uniunii Europene privind operatorii economici autoriza\u539?i"/>
    <w:docVar w:name="LW_TYPE.DOC.CP" w:val="DECIZIE A CONSILIULUI"/>
    <w:docVar w:name="LwApiVersions" w:val="LW4CoDe 1.24.5.0; LW 9.2, Build 20251112"/>
  </w:docVars>
  <w:rsids>
    <w:rsidRoot w:val="004B01D2"/>
    <w:rsid w:val="00032490"/>
    <w:rsid w:val="00046194"/>
    <w:rsid w:val="0009297B"/>
    <w:rsid w:val="00093087"/>
    <w:rsid w:val="000A45F8"/>
    <w:rsid w:val="000D46CB"/>
    <w:rsid w:val="0010648F"/>
    <w:rsid w:val="001065F5"/>
    <w:rsid w:val="00122E58"/>
    <w:rsid w:val="001238EF"/>
    <w:rsid w:val="00127091"/>
    <w:rsid w:val="00131CED"/>
    <w:rsid w:val="001458A2"/>
    <w:rsid w:val="001469B7"/>
    <w:rsid w:val="001637D9"/>
    <w:rsid w:val="001729A3"/>
    <w:rsid w:val="00197613"/>
    <w:rsid w:val="001B7CD5"/>
    <w:rsid w:val="001C0BBB"/>
    <w:rsid w:val="001E4927"/>
    <w:rsid w:val="00204310"/>
    <w:rsid w:val="0022460B"/>
    <w:rsid w:val="00232A39"/>
    <w:rsid w:val="00233DC7"/>
    <w:rsid w:val="00240F67"/>
    <w:rsid w:val="00247779"/>
    <w:rsid w:val="00263D55"/>
    <w:rsid w:val="00285BEE"/>
    <w:rsid w:val="00290EFC"/>
    <w:rsid w:val="0029533F"/>
    <w:rsid w:val="002A1508"/>
    <w:rsid w:val="002A203B"/>
    <w:rsid w:val="002B30AF"/>
    <w:rsid w:val="002B76D3"/>
    <w:rsid w:val="002C39F6"/>
    <w:rsid w:val="002D0776"/>
    <w:rsid w:val="002E5EC9"/>
    <w:rsid w:val="002F3ADF"/>
    <w:rsid w:val="0030571E"/>
    <w:rsid w:val="0033344A"/>
    <w:rsid w:val="00336C56"/>
    <w:rsid w:val="00344A2C"/>
    <w:rsid w:val="0034601E"/>
    <w:rsid w:val="00346FA5"/>
    <w:rsid w:val="00364407"/>
    <w:rsid w:val="00392F69"/>
    <w:rsid w:val="003965E2"/>
    <w:rsid w:val="00397595"/>
    <w:rsid w:val="003A2503"/>
    <w:rsid w:val="003D235F"/>
    <w:rsid w:val="003E5291"/>
    <w:rsid w:val="00401739"/>
    <w:rsid w:val="0042648E"/>
    <w:rsid w:val="00451039"/>
    <w:rsid w:val="00455DD4"/>
    <w:rsid w:val="00480AD4"/>
    <w:rsid w:val="004936D2"/>
    <w:rsid w:val="004A25CB"/>
    <w:rsid w:val="004B01D2"/>
    <w:rsid w:val="004C21C6"/>
    <w:rsid w:val="004C6EC3"/>
    <w:rsid w:val="004D0D2B"/>
    <w:rsid w:val="004D3F26"/>
    <w:rsid w:val="004E0D27"/>
    <w:rsid w:val="004E3E4F"/>
    <w:rsid w:val="005062B4"/>
    <w:rsid w:val="00511717"/>
    <w:rsid w:val="00517200"/>
    <w:rsid w:val="00520D3F"/>
    <w:rsid w:val="00531B8E"/>
    <w:rsid w:val="00562047"/>
    <w:rsid w:val="005717DD"/>
    <w:rsid w:val="005723E4"/>
    <w:rsid w:val="005732E3"/>
    <w:rsid w:val="005757F8"/>
    <w:rsid w:val="00575E8F"/>
    <w:rsid w:val="00591FA1"/>
    <w:rsid w:val="00596349"/>
    <w:rsid w:val="005B1EB6"/>
    <w:rsid w:val="005C18E8"/>
    <w:rsid w:val="005C684C"/>
    <w:rsid w:val="005F49C8"/>
    <w:rsid w:val="00617E19"/>
    <w:rsid w:val="00620246"/>
    <w:rsid w:val="0063193E"/>
    <w:rsid w:val="00633412"/>
    <w:rsid w:val="006501D6"/>
    <w:rsid w:val="00675923"/>
    <w:rsid w:val="00696619"/>
    <w:rsid w:val="006A2190"/>
    <w:rsid w:val="006A593F"/>
    <w:rsid w:val="006A6D07"/>
    <w:rsid w:val="006A770D"/>
    <w:rsid w:val="006D0AA3"/>
    <w:rsid w:val="006F7296"/>
    <w:rsid w:val="00705F49"/>
    <w:rsid w:val="00707129"/>
    <w:rsid w:val="0075226E"/>
    <w:rsid w:val="00754AD2"/>
    <w:rsid w:val="00773331"/>
    <w:rsid w:val="007932EF"/>
    <w:rsid w:val="007A3A7B"/>
    <w:rsid w:val="007C1DBB"/>
    <w:rsid w:val="007C3CC8"/>
    <w:rsid w:val="007C4966"/>
    <w:rsid w:val="007D1054"/>
    <w:rsid w:val="007E05B0"/>
    <w:rsid w:val="0080307B"/>
    <w:rsid w:val="00821671"/>
    <w:rsid w:val="008306AC"/>
    <w:rsid w:val="008518F1"/>
    <w:rsid w:val="008611B2"/>
    <w:rsid w:val="00871DB0"/>
    <w:rsid w:val="00874D22"/>
    <w:rsid w:val="008769D4"/>
    <w:rsid w:val="00877AE6"/>
    <w:rsid w:val="008938B4"/>
    <w:rsid w:val="008A2914"/>
    <w:rsid w:val="008B3B9B"/>
    <w:rsid w:val="008E3719"/>
    <w:rsid w:val="008E4D8E"/>
    <w:rsid w:val="008F62F7"/>
    <w:rsid w:val="009010E4"/>
    <w:rsid w:val="0090285C"/>
    <w:rsid w:val="0090340F"/>
    <w:rsid w:val="00914A06"/>
    <w:rsid w:val="00915BB0"/>
    <w:rsid w:val="00916143"/>
    <w:rsid w:val="00932211"/>
    <w:rsid w:val="0095407F"/>
    <w:rsid w:val="00971999"/>
    <w:rsid w:val="0098549A"/>
    <w:rsid w:val="00992D73"/>
    <w:rsid w:val="009A2C26"/>
    <w:rsid w:val="009A7C33"/>
    <w:rsid w:val="009B3EF6"/>
    <w:rsid w:val="009F7B42"/>
    <w:rsid w:val="00A64FD3"/>
    <w:rsid w:val="00A8307A"/>
    <w:rsid w:val="00A97F25"/>
    <w:rsid w:val="00AA0137"/>
    <w:rsid w:val="00AA623F"/>
    <w:rsid w:val="00AB1C7E"/>
    <w:rsid w:val="00AC5D69"/>
    <w:rsid w:val="00AE3EAC"/>
    <w:rsid w:val="00B02377"/>
    <w:rsid w:val="00B15B13"/>
    <w:rsid w:val="00B16F85"/>
    <w:rsid w:val="00B31ABF"/>
    <w:rsid w:val="00B46416"/>
    <w:rsid w:val="00B46BDF"/>
    <w:rsid w:val="00B61D74"/>
    <w:rsid w:val="00B65895"/>
    <w:rsid w:val="00B67264"/>
    <w:rsid w:val="00B70BE8"/>
    <w:rsid w:val="00B73E88"/>
    <w:rsid w:val="00B75895"/>
    <w:rsid w:val="00B7768C"/>
    <w:rsid w:val="00B8303A"/>
    <w:rsid w:val="00B924A5"/>
    <w:rsid w:val="00B93961"/>
    <w:rsid w:val="00BA65A2"/>
    <w:rsid w:val="00BB485B"/>
    <w:rsid w:val="00BB6C0E"/>
    <w:rsid w:val="00BC151C"/>
    <w:rsid w:val="00BD1EFC"/>
    <w:rsid w:val="00BD2042"/>
    <w:rsid w:val="00BE4D6C"/>
    <w:rsid w:val="00BF04AE"/>
    <w:rsid w:val="00C02267"/>
    <w:rsid w:val="00C10E34"/>
    <w:rsid w:val="00C12301"/>
    <w:rsid w:val="00C1693C"/>
    <w:rsid w:val="00C17511"/>
    <w:rsid w:val="00C2263A"/>
    <w:rsid w:val="00C46D33"/>
    <w:rsid w:val="00C47922"/>
    <w:rsid w:val="00C86A2E"/>
    <w:rsid w:val="00C94167"/>
    <w:rsid w:val="00CB0DCD"/>
    <w:rsid w:val="00CB51BA"/>
    <w:rsid w:val="00CD0B17"/>
    <w:rsid w:val="00CE16DD"/>
    <w:rsid w:val="00CF134D"/>
    <w:rsid w:val="00CF4C9E"/>
    <w:rsid w:val="00CF4CAE"/>
    <w:rsid w:val="00CF6036"/>
    <w:rsid w:val="00D0437E"/>
    <w:rsid w:val="00D20381"/>
    <w:rsid w:val="00D2381B"/>
    <w:rsid w:val="00D315F7"/>
    <w:rsid w:val="00D409B5"/>
    <w:rsid w:val="00D443B6"/>
    <w:rsid w:val="00D52535"/>
    <w:rsid w:val="00D61015"/>
    <w:rsid w:val="00D62ADC"/>
    <w:rsid w:val="00D7671C"/>
    <w:rsid w:val="00D8033F"/>
    <w:rsid w:val="00D83F2F"/>
    <w:rsid w:val="00DB51D8"/>
    <w:rsid w:val="00DD0EDA"/>
    <w:rsid w:val="00DE14A0"/>
    <w:rsid w:val="00DE3839"/>
    <w:rsid w:val="00DF1AD9"/>
    <w:rsid w:val="00DF1D43"/>
    <w:rsid w:val="00DF6421"/>
    <w:rsid w:val="00E026CB"/>
    <w:rsid w:val="00E21703"/>
    <w:rsid w:val="00E261F0"/>
    <w:rsid w:val="00E526D1"/>
    <w:rsid w:val="00E52B89"/>
    <w:rsid w:val="00E53717"/>
    <w:rsid w:val="00E55F74"/>
    <w:rsid w:val="00E63784"/>
    <w:rsid w:val="00E7627D"/>
    <w:rsid w:val="00E94734"/>
    <w:rsid w:val="00EC35A9"/>
    <w:rsid w:val="00EF2289"/>
    <w:rsid w:val="00F04D05"/>
    <w:rsid w:val="00F26150"/>
    <w:rsid w:val="00F53B0F"/>
    <w:rsid w:val="00F65241"/>
    <w:rsid w:val="00F700CB"/>
    <w:rsid w:val="00F77D70"/>
    <w:rsid w:val="00F9559A"/>
    <w:rsid w:val="00FB40C9"/>
    <w:rsid w:val="00FC1593"/>
    <w:rsid w:val="00FC38F8"/>
    <w:rsid w:val="00FC3E0B"/>
    <w:rsid w:val="06EDC53C"/>
    <w:rsid w:val="083F51CF"/>
    <w:rsid w:val="09805EE5"/>
    <w:rsid w:val="0C9BD1F7"/>
    <w:rsid w:val="0CB81CF2"/>
    <w:rsid w:val="0FDB1B44"/>
    <w:rsid w:val="11D82ACE"/>
    <w:rsid w:val="12A9ADF5"/>
    <w:rsid w:val="148E470D"/>
    <w:rsid w:val="17DD9F80"/>
    <w:rsid w:val="1C7A67CF"/>
    <w:rsid w:val="2284C70D"/>
    <w:rsid w:val="27A8960A"/>
    <w:rsid w:val="281FED50"/>
    <w:rsid w:val="29A74F76"/>
    <w:rsid w:val="29BA36DA"/>
    <w:rsid w:val="2AEC2340"/>
    <w:rsid w:val="2B832A25"/>
    <w:rsid w:val="2CD48771"/>
    <w:rsid w:val="2ED677B6"/>
    <w:rsid w:val="37E8E0A8"/>
    <w:rsid w:val="3EE0E78C"/>
    <w:rsid w:val="40DE6B3A"/>
    <w:rsid w:val="41103CDB"/>
    <w:rsid w:val="447D9B49"/>
    <w:rsid w:val="465A2834"/>
    <w:rsid w:val="46CAA846"/>
    <w:rsid w:val="47C16930"/>
    <w:rsid w:val="486B1EF1"/>
    <w:rsid w:val="5403402B"/>
    <w:rsid w:val="6C74268F"/>
    <w:rsid w:val="6E695DB2"/>
    <w:rsid w:val="75F8E3B7"/>
    <w:rsid w:val="7979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8127D-F244-4BDF-927A-85FDD0F1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32A39"/>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232A39"/>
  </w:style>
  <w:style w:type="character" w:customStyle="1" w:styleId="eop">
    <w:name w:val="eop"/>
    <w:basedOn w:val="DefaultParagraphFont"/>
    <w:rsid w:val="00232A39"/>
  </w:style>
  <w:style w:type="paragraph" w:styleId="ListBullet">
    <w:name w:val="List Bullet"/>
    <w:basedOn w:val="Normal"/>
    <w:uiPriority w:val="99"/>
    <w:semiHidden/>
    <w:unhideWhenUsed/>
    <w:rsid w:val="00401739"/>
    <w:pPr>
      <w:numPr>
        <w:numId w:val="1"/>
      </w:numPr>
      <w:contextualSpacing/>
    </w:pPr>
  </w:style>
  <w:style w:type="paragraph" w:styleId="ListBullet2">
    <w:name w:val="List Bullet 2"/>
    <w:basedOn w:val="Normal"/>
    <w:uiPriority w:val="99"/>
    <w:semiHidden/>
    <w:unhideWhenUsed/>
    <w:rsid w:val="00401739"/>
    <w:pPr>
      <w:numPr>
        <w:numId w:val="2"/>
      </w:numPr>
      <w:contextualSpacing/>
    </w:pPr>
  </w:style>
  <w:style w:type="paragraph" w:styleId="ListBullet3">
    <w:name w:val="List Bullet 3"/>
    <w:basedOn w:val="Normal"/>
    <w:uiPriority w:val="99"/>
    <w:semiHidden/>
    <w:unhideWhenUsed/>
    <w:rsid w:val="00401739"/>
    <w:pPr>
      <w:numPr>
        <w:numId w:val="3"/>
      </w:numPr>
      <w:contextualSpacing/>
    </w:pPr>
  </w:style>
  <w:style w:type="paragraph" w:styleId="ListBullet4">
    <w:name w:val="List Bullet 4"/>
    <w:basedOn w:val="Normal"/>
    <w:uiPriority w:val="99"/>
    <w:semiHidden/>
    <w:unhideWhenUsed/>
    <w:rsid w:val="00401739"/>
    <w:pPr>
      <w:numPr>
        <w:numId w:val="4"/>
      </w:numPr>
      <w:contextualSpacing/>
    </w:pPr>
  </w:style>
  <w:style w:type="paragraph" w:styleId="Revision">
    <w:name w:val="Revision"/>
    <w:hidden/>
    <w:uiPriority w:val="99"/>
    <w:semiHidden/>
    <w:rsid w:val="001729A3"/>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729A3"/>
    <w:rPr>
      <w:sz w:val="16"/>
      <w:szCs w:val="16"/>
    </w:rPr>
  </w:style>
  <w:style w:type="paragraph" w:styleId="CommentText">
    <w:name w:val="annotation text"/>
    <w:basedOn w:val="Normal"/>
    <w:link w:val="CommentTextChar"/>
    <w:uiPriority w:val="99"/>
    <w:unhideWhenUsed/>
    <w:rsid w:val="001729A3"/>
    <w:rPr>
      <w:sz w:val="20"/>
      <w:szCs w:val="20"/>
    </w:rPr>
  </w:style>
  <w:style w:type="character" w:customStyle="1" w:styleId="CommentTextChar">
    <w:name w:val="Comment Text Char"/>
    <w:basedOn w:val="DefaultParagraphFont"/>
    <w:link w:val="CommentText"/>
    <w:uiPriority w:val="99"/>
    <w:rsid w:val="001729A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729A3"/>
    <w:rPr>
      <w:b/>
      <w:bCs/>
    </w:rPr>
  </w:style>
  <w:style w:type="character" w:customStyle="1" w:styleId="CommentSubjectChar">
    <w:name w:val="Comment Subject Char"/>
    <w:basedOn w:val="CommentTextChar"/>
    <w:link w:val="CommentSubject"/>
    <w:uiPriority w:val="99"/>
    <w:semiHidden/>
    <w:rsid w:val="001729A3"/>
    <w:rPr>
      <w:rFonts w:ascii="Times New Roman" w:hAnsi="Times New Roman" w:cs="Times New Roman"/>
      <w:b/>
      <w:bCs/>
      <w:sz w:val="20"/>
      <w:szCs w:val="20"/>
      <w:lang w:val="ro-RO"/>
    </w:rPr>
  </w:style>
  <w:style w:type="character" w:styleId="Hyperlink">
    <w:name w:val="Hyperlink"/>
    <w:basedOn w:val="DefaultParagraphFont"/>
    <w:uiPriority w:val="99"/>
    <w:unhideWhenUsed/>
    <w:rsid w:val="002B76D3"/>
    <w:rPr>
      <w:color w:val="0000FF" w:themeColor="hyperlink"/>
      <w:u w:val="single"/>
    </w:rPr>
  </w:style>
  <w:style w:type="character" w:customStyle="1" w:styleId="UnresolvedMention">
    <w:name w:val="Unresolved Mention"/>
    <w:basedOn w:val="DefaultParagraphFont"/>
    <w:uiPriority w:val="99"/>
    <w:semiHidden/>
    <w:unhideWhenUsed/>
    <w:rsid w:val="00877AE6"/>
    <w:rPr>
      <w:color w:val="605E5C"/>
      <w:shd w:val="clear" w:color="auto" w:fill="E1DFDD"/>
    </w:rPr>
  </w:style>
  <w:style w:type="character" w:customStyle="1" w:styleId="HeaderChar">
    <w:name w:val="Header Char"/>
    <w:basedOn w:val="DefaultParagraphFont"/>
    <w:link w:val="Header"/>
    <w:uiPriority w:val="99"/>
    <w:rsid w:val="005757F8"/>
    <w:rPr>
      <w:rFonts w:ascii="Times New Roman" w:hAnsi="Times New Roman" w:cs="Times New Roman"/>
      <w:sz w:val="24"/>
      <w:lang w:val="ro-RO"/>
    </w:rPr>
  </w:style>
  <w:style w:type="character" w:customStyle="1" w:styleId="FooterChar">
    <w:name w:val="Footer Char"/>
    <w:basedOn w:val="DefaultParagraphFont"/>
    <w:link w:val="Footer"/>
    <w:uiPriority w:val="99"/>
    <w:rsid w:val="005757F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57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57F8"/>
    <w:pPr>
      <w:spacing w:before="0"/>
      <w:jc w:val="right"/>
    </w:pPr>
    <w:rPr>
      <w:sz w:val="28"/>
    </w:rPr>
  </w:style>
  <w:style w:type="paragraph" w:customStyle="1" w:styleId="FooterSensitivity">
    <w:name w:val="Footer Sensitivity"/>
    <w:basedOn w:val="Normal"/>
    <w:rsid w:val="005757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57F8"/>
    <w:pPr>
      <w:tabs>
        <w:tab w:val="center" w:pos="4535"/>
        <w:tab w:val="right" w:pos="9071"/>
      </w:tabs>
      <w:spacing w:before="0"/>
    </w:pPr>
  </w:style>
  <w:style w:type="paragraph" w:customStyle="1" w:styleId="HeaderLandscape">
    <w:name w:val="HeaderLandscape"/>
    <w:basedOn w:val="Normal"/>
    <w:rsid w:val="005757F8"/>
    <w:pPr>
      <w:tabs>
        <w:tab w:val="center" w:pos="7285"/>
        <w:tab w:val="right" w:pos="14003"/>
      </w:tabs>
      <w:spacing w:before="0"/>
    </w:pPr>
  </w:style>
  <w:style w:type="paragraph" w:styleId="Footer">
    <w:name w:val="footer"/>
    <w:basedOn w:val="Normal"/>
    <w:link w:val="FooterChar"/>
    <w:uiPriority w:val="99"/>
    <w:unhideWhenUsed/>
    <w:rsid w:val="005757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57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0227">
      <w:bodyDiv w:val="1"/>
      <w:marLeft w:val="0"/>
      <w:marRight w:val="0"/>
      <w:marTop w:val="0"/>
      <w:marBottom w:val="0"/>
      <w:divBdr>
        <w:top w:val="none" w:sz="0" w:space="0" w:color="auto"/>
        <w:left w:val="none" w:sz="0" w:space="0" w:color="auto"/>
        <w:bottom w:val="none" w:sz="0" w:space="0" w:color="auto"/>
        <w:right w:val="none" w:sz="0" w:space="0" w:color="auto"/>
      </w:divBdr>
      <w:divsChild>
        <w:div w:id="2027293873">
          <w:marLeft w:val="0"/>
          <w:marRight w:val="0"/>
          <w:marTop w:val="0"/>
          <w:marBottom w:val="0"/>
          <w:divBdr>
            <w:top w:val="none" w:sz="0" w:space="0" w:color="auto"/>
            <w:left w:val="none" w:sz="0" w:space="0" w:color="auto"/>
            <w:bottom w:val="none" w:sz="0" w:space="0" w:color="auto"/>
            <w:right w:val="none" w:sz="0" w:space="0" w:color="auto"/>
          </w:divBdr>
        </w:div>
        <w:div w:id="2014917264">
          <w:marLeft w:val="0"/>
          <w:marRight w:val="0"/>
          <w:marTop w:val="0"/>
          <w:marBottom w:val="0"/>
          <w:divBdr>
            <w:top w:val="none" w:sz="0" w:space="0" w:color="auto"/>
            <w:left w:val="none" w:sz="0" w:space="0" w:color="auto"/>
            <w:bottom w:val="none" w:sz="0" w:space="0" w:color="auto"/>
            <w:right w:val="none" w:sz="0" w:space="0" w:color="auto"/>
          </w:divBdr>
        </w:div>
        <w:div w:id="1613632543">
          <w:marLeft w:val="0"/>
          <w:marRight w:val="0"/>
          <w:marTop w:val="0"/>
          <w:marBottom w:val="0"/>
          <w:divBdr>
            <w:top w:val="none" w:sz="0" w:space="0" w:color="auto"/>
            <w:left w:val="none" w:sz="0" w:space="0" w:color="auto"/>
            <w:bottom w:val="none" w:sz="0" w:space="0" w:color="auto"/>
            <w:right w:val="none" w:sz="0" w:space="0" w:color="auto"/>
          </w:divBdr>
        </w:div>
        <w:div w:id="4987044">
          <w:marLeft w:val="0"/>
          <w:marRight w:val="0"/>
          <w:marTop w:val="0"/>
          <w:marBottom w:val="0"/>
          <w:divBdr>
            <w:top w:val="none" w:sz="0" w:space="0" w:color="auto"/>
            <w:left w:val="none" w:sz="0" w:space="0" w:color="auto"/>
            <w:bottom w:val="none" w:sz="0" w:space="0" w:color="auto"/>
            <w:right w:val="none" w:sz="0" w:space="0" w:color="auto"/>
          </w:divBdr>
        </w:div>
        <w:div w:id="1732843442">
          <w:marLeft w:val="0"/>
          <w:marRight w:val="0"/>
          <w:marTop w:val="0"/>
          <w:marBottom w:val="0"/>
          <w:divBdr>
            <w:top w:val="none" w:sz="0" w:space="0" w:color="auto"/>
            <w:left w:val="none" w:sz="0" w:space="0" w:color="auto"/>
            <w:bottom w:val="none" w:sz="0" w:space="0" w:color="auto"/>
            <w:right w:val="none" w:sz="0" w:space="0" w:color="auto"/>
          </w:divBdr>
        </w:div>
      </w:divsChild>
    </w:div>
    <w:div w:id="688871798">
      <w:bodyDiv w:val="1"/>
      <w:marLeft w:val="0"/>
      <w:marRight w:val="0"/>
      <w:marTop w:val="0"/>
      <w:marBottom w:val="0"/>
      <w:divBdr>
        <w:top w:val="none" w:sz="0" w:space="0" w:color="auto"/>
        <w:left w:val="none" w:sz="0" w:space="0" w:color="auto"/>
        <w:bottom w:val="none" w:sz="0" w:space="0" w:color="auto"/>
        <w:right w:val="none" w:sz="0" w:space="0" w:color="auto"/>
      </w:divBdr>
      <w:divsChild>
        <w:div w:id="845435497">
          <w:marLeft w:val="0"/>
          <w:marRight w:val="0"/>
          <w:marTop w:val="0"/>
          <w:marBottom w:val="0"/>
          <w:divBdr>
            <w:top w:val="none" w:sz="0" w:space="0" w:color="auto"/>
            <w:left w:val="none" w:sz="0" w:space="0" w:color="auto"/>
            <w:bottom w:val="none" w:sz="0" w:space="0" w:color="auto"/>
            <w:right w:val="none" w:sz="0" w:space="0" w:color="auto"/>
          </w:divBdr>
        </w:div>
        <w:div w:id="543175530">
          <w:marLeft w:val="0"/>
          <w:marRight w:val="0"/>
          <w:marTop w:val="0"/>
          <w:marBottom w:val="0"/>
          <w:divBdr>
            <w:top w:val="none" w:sz="0" w:space="0" w:color="auto"/>
            <w:left w:val="none" w:sz="0" w:space="0" w:color="auto"/>
            <w:bottom w:val="none" w:sz="0" w:space="0" w:color="auto"/>
            <w:right w:val="none" w:sz="0" w:space="0" w:color="auto"/>
          </w:divBdr>
        </w:div>
        <w:div w:id="63652384">
          <w:marLeft w:val="0"/>
          <w:marRight w:val="0"/>
          <w:marTop w:val="0"/>
          <w:marBottom w:val="0"/>
          <w:divBdr>
            <w:top w:val="none" w:sz="0" w:space="0" w:color="auto"/>
            <w:left w:val="none" w:sz="0" w:space="0" w:color="auto"/>
            <w:bottom w:val="none" w:sz="0" w:space="0" w:color="auto"/>
            <w:right w:val="none" w:sz="0" w:space="0" w:color="auto"/>
          </w:divBdr>
        </w:div>
        <w:div w:id="1556618673">
          <w:marLeft w:val="0"/>
          <w:marRight w:val="0"/>
          <w:marTop w:val="0"/>
          <w:marBottom w:val="0"/>
          <w:divBdr>
            <w:top w:val="none" w:sz="0" w:space="0" w:color="auto"/>
            <w:left w:val="none" w:sz="0" w:space="0" w:color="auto"/>
            <w:bottom w:val="none" w:sz="0" w:space="0" w:color="auto"/>
            <w:right w:val="none" w:sz="0" w:space="0" w:color="auto"/>
          </w:divBdr>
        </w:div>
        <w:div w:id="360589764">
          <w:marLeft w:val="0"/>
          <w:marRight w:val="0"/>
          <w:marTop w:val="0"/>
          <w:marBottom w:val="0"/>
          <w:divBdr>
            <w:top w:val="none" w:sz="0" w:space="0" w:color="auto"/>
            <w:left w:val="none" w:sz="0" w:space="0" w:color="auto"/>
            <w:bottom w:val="none" w:sz="0" w:space="0" w:color="auto"/>
            <w:right w:val="none" w:sz="0" w:space="0" w:color="auto"/>
          </w:divBdr>
        </w:div>
        <w:div w:id="1608080181">
          <w:marLeft w:val="0"/>
          <w:marRight w:val="0"/>
          <w:marTop w:val="0"/>
          <w:marBottom w:val="0"/>
          <w:divBdr>
            <w:top w:val="none" w:sz="0" w:space="0" w:color="auto"/>
            <w:left w:val="none" w:sz="0" w:space="0" w:color="auto"/>
            <w:bottom w:val="none" w:sz="0" w:space="0" w:color="auto"/>
            <w:right w:val="none" w:sz="0" w:space="0" w:color="auto"/>
          </w:divBdr>
        </w:div>
        <w:div w:id="845822130">
          <w:marLeft w:val="0"/>
          <w:marRight w:val="0"/>
          <w:marTop w:val="0"/>
          <w:marBottom w:val="0"/>
          <w:divBdr>
            <w:top w:val="none" w:sz="0" w:space="0" w:color="auto"/>
            <w:left w:val="none" w:sz="0" w:space="0" w:color="auto"/>
            <w:bottom w:val="none" w:sz="0" w:space="0" w:color="auto"/>
            <w:right w:val="none" w:sz="0" w:space="0" w:color="auto"/>
          </w:divBdr>
        </w:div>
        <w:div w:id="196547291">
          <w:marLeft w:val="0"/>
          <w:marRight w:val="0"/>
          <w:marTop w:val="0"/>
          <w:marBottom w:val="0"/>
          <w:divBdr>
            <w:top w:val="none" w:sz="0" w:space="0" w:color="auto"/>
            <w:left w:val="none" w:sz="0" w:space="0" w:color="auto"/>
            <w:bottom w:val="none" w:sz="0" w:space="0" w:color="auto"/>
            <w:right w:val="none" w:sz="0" w:space="0" w:color="auto"/>
          </w:divBdr>
        </w:div>
        <w:div w:id="1687055544">
          <w:marLeft w:val="0"/>
          <w:marRight w:val="0"/>
          <w:marTop w:val="0"/>
          <w:marBottom w:val="0"/>
          <w:divBdr>
            <w:top w:val="none" w:sz="0" w:space="0" w:color="auto"/>
            <w:left w:val="none" w:sz="0" w:space="0" w:color="auto"/>
            <w:bottom w:val="none" w:sz="0" w:space="0" w:color="auto"/>
            <w:right w:val="none" w:sz="0" w:space="0" w:color="auto"/>
          </w:divBdr>
        </w:div>
        <w:div w:id="1683244822">
          <w:marLeft w:val="0"/>
          <w:marRight w:val="0"/>
          <w:marTop w:val="0"/>
          <w:marBottom w:val="0"/>
          <w:divBdr>
            <w:top w:val="none" w:sz="0" w:space="0" w:color="auto"/>
            <w:left w:val="none" w:sz="0" w:space="0" w:color="auto"/>
            <w:bottom w:val="none" w:sz="0" w:space="0" w:color="auto"/>
            <w:right w:val="none" w:sz="0" w:space="0" w:color="auto"/>
          </w:divBdr>
        </w:div>
        <w:div w:id="893203451">
          <w:marLeft w:val="0"/>
          <w:marRight w:val="0"/>
          <w:marTop w:val="0"/>
          <w:marBottom w:val="0"/>
          <w:divBdr>
            <w:top w:val="none" w:sz="0" w:space="0" w:color="auto"/>
            <w:left w:val="none" w:sz="0" w:space="0" w:color="auto"/>
            <w:bottom w:val="none" w:sz="0" w:space="0" w:color="auto"/>
            <w:right w:val="none" w:sz="0" w:space="0" w:color="auto"/>
          </w:divBdr>
        </w:div>
        <w:div w:id="1089540687">
          <w:marLeft w:val="0"/>
          <w:marRight w:val="0"/>
          <w:marTop w:val="0"/>
          <w:marBottom w:val="0"/>
          <w:divBdr>
            <w:top w:val="none" w:sz="0" w:space="0" w:color="auto"/>
            <w:left w:val="none" w:sz="0" w:space="0" w:color="auto"/>
            <w:bottom w:val="none" w:sz="0" w:space="0" w:color="auto"/>
            <w:right w:val="none" w:sz="0" w:space="0" w:color="auto"/>
          </w:divBdr>
        </w:div>
        <w:div w:id="1800295352">
          <w:marLeft w:val="0"/>
          <w:marRight w:val="0"/>
          <w:marTop w:val="0"/>
          <w:marBottom w:val="0"/>
          <w:divBdr>
            <w:top w:val="none" w:sz="0" w:space="0" w:color="auto"/>
            <w:left w:val="none" w:sz="0" w:space="0" w:color="auto"/>
            <w:bottom w:val="none" w:sz="0" w:space="0" w:color="auto"/>
            <w:right w:val="none" w:sz="0" w:space="0" w:color="auto"/>
          </w:divBdr>
        </w:div>
        <w:div w:id="1629242867">
          <w:marLeft w:val="0"/>
          <w:marRight w:val="0"/>
          <w:marTop w:val="0"/>
          <w:marBottom w:val="0"/>
          <w:divBdr>
            <w:top w:val="none" w:sz="0" w:space="0" w:color="auto"/>
            <w:left w:val="none" w:sz="0" w:space="0" w:color="auto"/>
            <w:bottom w:val="none" w:sz="0" w:space="0" w:color="auto"/>
            <w:right w:val="none" w:sz="0" w:space="0" w:color="auto"/>
          </w:divBdr>
        </w:div>
      </w:divsChild>
    </w:div>
    <w:div w:id="1277568429">
      <w:bodyDiv w:val="1"/>
      <w:marLeft w:val="0"/>
      <w:marRight w:val="0"/>
      <w:marTop w:val="0"/>
      <w:marBottom w:val="0"/>
      <w:divBdr>
        <w:top w:val="none" w:sz="0" w:space="0" w:color="auto"/>
        <w:left w:val="none" w:sz="0" w:space="0" w:color="auto"/>
        <w:bottom w:val="none" w:sz="0" w:space="0" w:color="auto"/>
        <w:right w:val="none" w:sz="0" w:space="0" w:color="auto"/>
      </w:divBdr>
      <w:divsChild>
        <w:div w:id="1883595476">
          <w:marLeft w:val="0"/>
          <w:marRight w:val="0"/>
          <w:marTop w:val="0"/>
          <w:marBottom w:val="0"/>
          <w:divBdr>
            <w:top w:val="none" w:sz="0" w:space="0" w:color="auto"/>
            <w:left w:val="none" w:sz="0" w:space="0" w:color="auto"/>
            <w:bottom w:val="none" w:sz="0" w:space="0" w:color="auto"/>
            <w:right w:val="none" w:sz="0" w:space="0" w:color="auto"/>
          </w:divBdr>
        </w:div>
        <w:div w:id="128598740">
          <w:marLeft w:val="0"/>
          <w:marRight w:val="0"/>
          <w:marTop w:val="0"/>
          <w:marBottom w:val="0"/>
          <w:divBdr>
            <w:top w:val="none" w:sz="0" w:space="0" w:color="auto"/>
            <w:left w:val="none" w:sz="0" w:space="0" w:color="auto"/>
            <w:bottom w:val="none" w:sz="0" w:space="0" w:color="auto"/>
            <w:right w:val="none" w:sz="0" w:space="0" w:color="auto"/>
          </w:divBdr>
        </w:div>
        <w:div w:id="1573848792">
          <w:marLeft w:val="0"/>
          <w:marRight w:val="0"/>
          <w:marTop w:val="0"/>
          <w:marBottom w:val="0"/>
          <w:divBdr>
            <w:top w:val="none" w:sz="0" w:space="0" w:color="auto"/>
            <w:left w:val="none" w:sz="0" w:space="0" w:color="auto"/>
            <w:bottom w:val="none" w:sz="0" w:space="0" w:color="auto"/>
            <w:right w:val="none" w:sz="0" w:space="0" w:color="auto"/>
          </w:divBdr>
        </w:div>
        <w:div w:id="520122493">
          <w:marLeft w:val="0"/>
          <w:marRight w:val="0"/>
          <w:marTop w:val="0"/>
          <w:marBottom w:val="0"/>
          <w:divBdr>
            <w:top w:val="none" w:sz="0" w:space="0" w:color="auto"/>
            <w:left w:val="none" w:sz="0" w:space="0" w:color="auto"/>
            <w:bottom w:val="none" w:sz="0" w:space="0" w:color="auto"/>
            <w:right w:val="none" w:sz="0" w:space="0" w:color="auto"/>
          </w:divBdr>
        </w:div>
        <w:div w:id="62798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1B961-B7B8-4DF3-A2AE-9911ECED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7</Pages>
  <Words>2048</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2026-05-28T11:51:00Z</dcterms:created>
  <dcterms:modified xsi:type="dcterms:W3CDTF">2026-06-18T07:47:00Z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2024-12-02T08:41:08Z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1fc5becc-c1bb-4c81-929f-b73e00eb07fe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